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240" w:lineRule="auto"/>
        <w:jc w:val="center"/>
        <w:rPr>
          <w:rFonts w:ascii="宋体" w:hAnsi="宋体" w:eastAsia="宋体" w:cs="Times New Roman"/>
          <w:b/>
          <w:bCs/>
          <w:color w:val="000000"/>
          <w:spacing w:val="0"/>
          <w:sz w:val="30"/>
          <w:szCs w:val="30"/>
        </w:rPr>
      </w:pPr>
      <w:r>
        <w:rPr>
          <w:rFonts w:hint="eastAsia" w:ascii="宋体" w:hAnsi="宋体" w:eastAsia="宋体" w:cs="Times New Roman"/>
          <w:b/>
          <w:bCs/>
          <w:color w:val="000000"/>
          <w:spacing w:val="0"/>
          <w:sz w:val="30"/>
          <w:szCs w:val="30"/>
        </w:rPr>
        <w:t>评标办法</w:t>
      </w:r>
    </w:p>
    <w:p>
      <w:pPr>
        <w:numPr>
          <w:ilvl w:val="0"/>
          <w:numId w:val="0"/>
        </w:numPr>
        <w:spacing w:after="156" w:afterLines="50" w:line="240" w:lineRule="auto"/>
        <w:ind w:firstLine="301" w:firstLineChars="100"/>
        <w:jc w:val="center"/>
        <w:rPr>
          <w:rFonts w:ascii="宋体" w:hAnsi="宋体" w:eastAsia="宋体" w:cs="宋体"/>
          <w:b/>
          <w:bCs/>
          <w:color w:val="000000"/>
          <w:spacing w:val="0"/>
          <w:sz w:val="30"/>
          <w:szCs w:val="30"/>
        </w:rPr>
      </w:pPr>
      <w:r>
        <w:rPr>
          <w:rFonts w:hint="eastAsia" w:ascii="宋体" w:hAnsi="宋体" w:eastAsia="宋体" w:cs="宋体"/>
          <w:b/>
          <w:bCs/>
          <w:spacing w:val="0"/>
          <w:sz w:val="30"/>
          <w:szCs w:val="30"/>
        </w:rPr>
        <w:t>（双信封的技术评分最低标价法）</w:t>
      </w:r>
    </w:p>
    <w:p>
      <w:pPr>
        <w:pStyle w:val="3"/>
        <w:spacing w:before="156" w:beforeLines="50" w:after="0" w:line="400" w:lineRule="exact"/>
        <w:rPr>
          <w:rFonts w:ascii="宋体" w:hAnsi="宋体" w:cs="宋体"/>
          <w:spacing w:val="0"/>
          <w:sz w:val="21"/>
          <w:szCs w:val="21"/>
        </w:rPr>
      </w:pPr>
      <w:bookmarkStart w:id="0" w:name="_Toc490681635"/>
      <w:bookmarkEnd w:id="0"/>
      <w:r>
        <w:rPr>
          <w:rFonts w:hint="eastAsia" w:ascii="黑体" w:hAnsi="黑体" w:eastAsia="黑体" w:cs="黑体"/>
          <w:color w:val="000000"/>
          <w:spacing w:val="0"/>
          <w:kern w:val="0"/>
          <w:sz w:val="21"/>
          <w:szCs w:val="21"/>
        </w:rPr>
        <w:t xml:space="preserve">评标办法前附表 </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4"/>
        <w:gridCol w:w="7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70" w:type="dxa"/>
            <w:gridSpan w:val="2"/>
            <w:noWrap w:val="0"/>
            <w:vAlign w:val="center"/>
          </w:tcPr>
          <w:p>
            <w:pPr>
              <w:spacing w:line="400" w:lineRule="exact"/>
              <w:rPr>
                <w:rFonts w:ascii="宋体" w:hAnsi="宋体" w:eastAsia="宋体" w:cs="宋体"/>
                <w:b/>
                <w:spacing w:val="0"/>
                <w:sz w:val="21"/>
                <w:szCs w:val="24"/>
              </w:rPr>
            </w:pPr>
            <w:r>
              <w:rPr>
                <w:rFonts w:ascii="Calibri" w:hAnsi="Calibri" w:eastAsia="宋体" w:cs="Times New Roman"/>
                <w:spacing w:val="0"/>
                <w:sz w:val="21"/>
                <w:szCs w:val="24"/>
              </w:rPr>
              <w:br w:type="page"/>
            </w:r>
            <w:r>
              <w:rPr>
                <w:rFonts w:hint="eastAsia" w:ascii="宋体" w:hAnsi="宋体" w:eastAsia="宋体" w:cs="宋体"/>
                <w:b/>
                <w:spacing w:val="0"/>
                <w:sz w:val="21"/>
                <w:szCs w:val="24"/>
              </w:rPr>
              <w:t>条款号</w:t>
            </w:r>
          </w:p>
        </w:tc>
        <w:tc>
          <w:tcPr>
            <w:tcW w:w="7999" w:type="dxa"/>
            <w:noWrap w:val="0"/>
            <w:vAlign w:val="center"/>
          </w:tcPr>
          <w:p>
            <w:pPr>
              <w:spacing w:line="400" w:lineRule="exact"/>
              <w:jc w:val="center"/>
              <w:rPr>
                <w:rFonts w:ascii="宋体" w:hAnsi="宋体" w:eastAsia="宋体" w:cs="宋体"/>
                <w:b/>
                <w:spacing w:val="0"/>
                <w:sz w:val="21"/>
                <w:szCs w:val="24"/>
              </w:rPr>
            </w:pPr>
            <w:r>
              <w:rPr>
                <w:rFonts w:hint="eastAsia" w:ascii="宋体" w:hAnsi="宋体" w:eastAsia="宋体" w:cs="宋体"/>
                <w:b/>
                <w:spacing w:val="0"/>
                <w:sz w:val="21"/>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1</w:t>
            </w:r>
          </w:p>
        </w:tc>
        <w:tc>
          <w:tcPr>
            <w:tcW w:w="1134"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评标方法</w:t>
            </w:r>
          </w:p>
        </w:tc>
        <w:tc>
          <w:tcPr>
            <w:tcW w:w="7999" w:type="dxa"/>
            <w:noWrap w:val="0"/>
            <w:vAlign w:val="top"/>
          </w:tcPr>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评标价相等时，评标委员会依次按照以下优先顺序推荐中标候选人或确定中标人： </w:t>
            </w:r>
          </w:p>
          <w:p>
            <w:pPr>
              <w:pStyle w:val="8"/>
              <w:numPr>
                <w:ilvl w:val="0"/>
                <w:numId w:val="2"/>
              </w:numPr>
              <w:tabs>
                <w:tab w:val="left" w:pos="804"/>
              </w:tabs>
              <w:overflowPunct w:val="0"/>
              <w:spacing w:line="400" w:lineRule="exact"/>
              <w:ind w:firstLine="456" w:firstLineChars="200"/>
              <w:rPr>
                <w:rFonts w:hint="default"/>
                <w:spacing w:val="0"/>
                <w:sz w:val="21"/>
                <w:szCs w:val="21"/>
              </w:rPr>
            </w:pPr>
            <w:r>
              <w:rPr>
                <w:rFonts w:cs="宋体"/>
                <w:spacing w:val="9"/>
                <w:sz w:val="21"/>
                <w:szCs w:val="21"/>
              </w:rPr>
              <w:t>按招标文件规定</w:t>
            </w:r>
            <w:r>
              <w:rPr>
                <w:spacing w:val="0"/>
                <w:sz w:val="21"/>
                <w:szCs w:val="21"/>
              </w:rPr>
              <w:t>被广东省交通运输厅最新年度评为较高信用等级的投标人优先；</w:t>
            </w:r>
          </w:p>
          <w:p>
            <w:pPr>
              <w:pStyle w:val="8"/>
              <w:numPr>
                <w:ilvl w:val="0"/>
                <w:numId w:val="0"/>
              </w:numPr>
              <w:tabs>
                <w:tab w:val="left" w:pos="804"/>
              </w:tabs>
              <w:overflowPunct w:val="0"/>
              <w:spacing w:line="400" w:lineRule="exact"/>
              <w:ind w:firstLine="420" w:firstLineChars="200"/>
              <w:rPr>
                <w:rFonts w:hint="default"/>
                <w:spacing w:val="0"/>
                <w:sz w:val="21"/>
                <w:szCs w:val="21"/>
              </w:rPr>
            </w:pPr>
            <w:r>
              <w:rPr>
                <w:spacing w:val="0"/>
                <w:sz w:val="21"/>
                <w:szCs w:val="21"/>
              </w:rPr>
              <w:t xml:space="preserve">【采用如下的优先顺序：承诺使用的AA级投标人、不承诺使用的AA级投标人、承诺使用的A级投标人、不承诺使用的A级投标人、B级投标人、未参评且被确定为B级投标人】 </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（2）以投标人企业最新年度净资产较高的优先； </w:t>
            </w:r>
          </w:p>
          <w:p>
            <w:pPr>
              <w:pStyle w:val="8"/>
              <w:tabs>
                <w:tab w:val="left" w:pos="804"/>
              </w:tabs>
              <w:overflowPunct w:val="0"/>
              <w:spacing w:line="400" w:lineRule="exact"/>
              <w:ind w:firstLine="420" w:firstLineChars="200"/>
              <w:rPr>
                <w:rFonts w:hint="default"/>
                <w:spacing w:val="-1"/>
                <w:sz w:val="21"/>
                <w:szCs w:val="21"/>
              </w:rPr>
            </w:pPr>
            <w:r>
              <w:rPr>
                <w:spacing w:val="0"/>
                <w:sz w:val="21"/>
                <w:szCs w:val="21"/>
              </w:rPr>
              <w:t xml:space="preserve">（3）评标委员会视投标人情况综合比较，投票确定其名次。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kinsoku w:val="0"/>
              <w:overflowPunct w:val="0"/>
              <w:spacing w:line="400" w:lineRule="exact"/>
              <w:jc w:val="center"/>
              <w:rPr>
                <w:rFonts w:hint="default"/>
                <w:spacing w:val="-1"/>
                <w:sz w:val="21"/>
                <w:szCs w:val="21"/>
              </w:rPr>
            </w:pPr>
            <w:r>
              <w:rPr>
                <w:spacing w:val="-1"/>
                <w:sz w:val="21"/>
                <w:szCs w:val="21"/>
              </w:rPr>
              <w:t>2.1.1</w:t>
            </w:r>
          </w:p>
          <w:p>
            <w:pPr>
              <w:pStyle w:val="8"/>
              <w:tabs>
                <w:tab w:val="left" w:pos="804"/>
              </w:tabs>
              <w:kinsoku w:val="0"/>
              <w:overflowPunct w:val="0"/>
              <w:spacing w:line="400" w:lineRule="exact"/>
              <w:jc w:val="center"/>
              <w:rPr>
                <w:rFonts w:hint="default"/>
                <w:spacing w:val="-1"/>
                <w:sz w:val="21"/>
                <w:szCs w:val="21"/>
              </w:rPr>
            </w:pPr>
            <w:r>
              <w:rPr>
                <w:spacing w:val="-1"/>
                <w:sz w:val="21"/>
                <w:szCs w:val="21"/>
              </w:rPr>
              <w:t>2.1.3</w:t>
            </w:r>
          </w:p>
        </w:tc>
        <w:tc>
          <w:tcPr>
            <w:tcW w:w="1134" w:type="dxa"/>
            <w:noWrap w:val="0"/>
            <w:vAlign w:val="center"/>
          </w:tcPr>
          <w:p>
            <w:pPr>
              <w:pStyle w:val="8"/>
              <w:tabs>
                <w:tab w:val="left" w:pos="804"/>
              </w:tabs>
              <w:kinsoku w:val="0"/>
              <w:overflowPunct w:val="0"/>
              <w:spacing w:line="400" w:lineRule="exact"/>
              <w:jc w:val="center"/>
              <w:rPr>
                <w:rFonts w:hint="default"/>
                <w:spacing w:val="-1"/>
                <w:sz w:val="21"/>
                <w:szCs w:val="21"/>
              </w:rPr>
            </w:pPr>
            <w:r>
              <w:rPr>
                <w:spacing w:val="-1"/>
                <w:sz w:val="21"/>
                <w:szCs w:val="21"/>
              </w:rPr>
              <w:t>形式评审与响应性评审标准</w:t>
            </w:r>
          </w:p>
        </w:tc>
        <w:tc>
          <w:tcPr>
            <w:tcW w:w="7999" w:type="dxa"/>
            <w:noWrap w:val="0"/>
            <w:vAlign w:val="top"/>
          </w:tcPr>
          <w:p>
            <w:pPr>
              <w:pStyle w:val="8"/>
              <w:tabs>
                <w:tab w:val="left" w:pos="804"/>
              </w:tabs>
              <w:overflowPunct w:val="0"/>
              <w:spacing w:line="400" w:lineRule="exact"/>
              <w:rPr>
                <w:rFonts w:hint="default"/>
                <w:b/>
                <w:spacing w:val="-1"/>
                <w:sz w:val="21"/>
                <w:szCs w:val="21"/>
              </w:rPr>
            </w:pPr>
            <w:r>
              <w:rPr>
                <w:b/>
                <w:spacing w:val="-1"/>
                <w:sz w:val="21"/>
                <w:szCs w:val="21"/>
              </w:rPr>
              <w:t>第一个信封（商务及技术文件）评审标准：</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（1）投标文件按照招标文件规定的格式、内容填写，字迹清晰可辩；</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a.投标函按招标文件规定填报了项目名称、标段号（如有）、补遗书编号（如有)、工期、工程质量要求及安全目标；</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b.投标函附录的所有数据均符合招标文件规定；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c.投标文件组成齐全完整，内容均按规定填写。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（2）投标文件上法定代表人或其委托代理人的签字、投标人的单位章盖章齐全，符合招标文件规定。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（3）投标人按照招标文件的规定提供了投标保证金：</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a.投标保证金金额符合招标文件规定的金额，且投标保证金有效期不少于投标有效期；</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b.若投标保证金采用现金或支票形式提交，投标人应在投标人须知3.4.1 款规定的时间，将投标保证金由投标人的基本账户转入招标人指定账户；</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c.若投标保证金采用银行保函或投标人须知前附表 3.4.1 项规定的其他形式提交，应满足招标文件要求。</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（4）投标人法定代表人授权委托代理人签署投标文件的，需提交授权委托书，且授权人和被授权人均在授权委托书上签名，未使用印章、签名章或其他电子制版签名代替。</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（5）投标人法定代表人亲自签署投标文件的，提供了法定代表人身份证明，且法定代表人在法定代表人身份证明上签名，未使用印章、签名章或其他电子制版签名代替。</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（6）如投标人不具备拟分包工程所需的某专项工程相应资质或投标人如有分包计划，符合招标文件第二章“投标人须知”第 1.11 款规定，且按招标文件第九章“投标文件格式”的要求填写了“拟分包项目情况表”。</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（7）同一投标人未提交两个以上不同的投标文件，但招标文件要求提交备选投标的除外。</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（8）投标文件中未出现有关投标报价的内容。</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（9）投标文件载明的招标项目完成期限未超过招标文件规定的时限。</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（10）投标文件对招标文件的实质性要求和条件作出响应。</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（11）权利义务符合招标文件规定：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a.投标人应接受招标文件规定的风险划分原则，未提出新的风险划分办法；</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b.投标人未增加发包人的责任范围，或减少投标人义务；</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c.投标人未提出不同的工程验收、计量、支付办法；</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d.投标人对合同纠纷、事故处理办法未提出异议；</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e.投标人在投标活动中无欺诈行为；</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f.投标人未对合同条款有重要保留。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（12）投标文件未附有招标人不能接受的条件。</w:t>
            </w:r>
          </w:p>
          <w:p>
            <w:pPr>
              <w:pStyle w:val="8"/>
              <w:tabs>
                <w:tab w:val="left" w:pos="804"/>
              </w:tabs>
              <w:overflowPunct w:val="0"/>
              <w:spacing w:line="400" w:lineRule="exact"/>
              <w:ind w:firstLine="420" w:firstLineChars="200"/>
              <w:rPr>
                <w:rFonts w:hint="default"/>
                <w:spacing w:val="0"/>
                <w:sz w:val="21"/>
                <w:szCs w:val="21"/>
              </w:rPr>
            </w:pPr>
          </w:p>
          <w:p>
            <w:pPr>
              <w:pStyle w:val="8"/>
              <w:tabs>
                <w:tab w:val="left" w:pos="804"/>
              </w:tabs>
              <w:overflowPunct w:val="0"/>
              <w:spacing w:line="400" w:lineRule="exact"/>
              <w:rPr>
                <w:rFonts w:hint="default"/>
                <w:b/>
                <w:spacing w:val="0"/>
                <w:sz w:val="21"/>
                <w:szCs w:val="21"/>
              </w:rPr>
            </w:pPr>
            <w:r>
              <w:rPr>
                <w:b/>
                <w:spacing w:val="0"/>
                <w:sz w:val="21"/>
                <w:szCs w:val="21"/>
              </w:rPr>
              <w:t>第二个信封（报价文件）评审标准：</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（1）投标文件按照招标文件规定的格式、内容填写，字迹清晰可辨：</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a.投标函按招标文件规定填报了项目名称、标段号（如有）、补遗书编号（如有)、投标下浮率、投标总报价（包括大写金额和小写金额)；</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b.投标文件组成齐全完整，内容均按规定填写。</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（2）投标文件上法定代表人或其委托代理人的签字、投标人的单位章盖章齐全，符合招标文件规定。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 投标总报价或调价函中的报价未超过招标文件设定的最高投标限价 (如有)及最高评标限价 (如有) 。</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（4）投标总报价或调价函中报价的大写金额能够确定具体数值。</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 xml:space="preserve">（5）同一投标人未提交两个以上不同的投标报价，但招标文件要求提交备选投标的除外。 </w:t>
            </w:r>
          </w:p>
          <w:p>
            <w:pPr>
              <w:pStyle w:val="8"/>
              <w:tabs>
                <w:tab w:val="left" w:pos="804"/>
              </w:tabs>
              <w:overflowPunct w:val="0"/>
              <w:spacing w:line="400" w:lineRule="exact"/>
              <w:rPr>
                <w:rFonts w:hint="default"/>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8"/>
              <w:kinsoku w:val="0"/>
              <w:overflowPunct w:val="0"/>
              <w:spacing w:line="400" w:lineRule="exact"/>
              <w:jc w:val="center"/>
              <w:rPr>
                <w:rFonts w:hint="default" w:ascii="Times New Roman" w:hAnsi="Times New Roman" w:eastAsia="Times New Roman"/>
                <w:spacing w:val="0"/>
                <w:sz w:val="21"/>
                <w:szCs w:val="21"/>
              </w:rPr>
            </w:pPr>
            <w:r>
              <w:rPr>
                <w:spacing w:val="-1"/>
                <w:sz w:val="21"/>
                <w:szCs w:val="21"/>
              </w:rPr>
              <w:t>2.1.2</w:t>
            </w:r>
          </w:p>
        </w:tc>
        <w:tc>
          <w:tcPr>
            <w:tcW w:w="1134" w:type="dxa"/>
            <w:noWrap w:val="0"/>
            <w:vAlign w:val="center"/>
          </w:tcPr>
          <w:p>
            <w:pPr>
              <w:pStyle w:val="8"/>
              <w:kinsoku w:val="0"/>
              <w:overflowPunct w:val="0"/>
              <w:spacing w:line="400" w:lineRule="exact"/>
              <w:jc w:val="center"/>
              <w:rPr>
                <w:rFonts w:hint="default" w:ascii="Times New Roman" w:hAnsi="Times New Roman" w:eastAsia="Times New Roman"/>
                <w:spacing w:val="0"/>
                <w:sz w:val="21"/>
                <w:szCs w:val="21"/>
              </w:rPr>
            </w:pPr>
            <w:r>
              <w:rPr>
                <w:spacing w:val="0"/>
                <w:sz w:val="21"/>
                <w:szCs w:val="21"/>
              </w:rPr>
              <w:t>资格评审标准</w:t>
            </w:r>
          </w:p>
        </w:tc>
        <w:tc>
          <w:tcPr>
            <w:tcW w:w="7999" w:type="dxa"/>
            <w:noWrap w:val="0"/>
            <w:vAlign w:val="top"/>
          </w:tcPr>
          <w:p>
            <w:pPr>
              <w:pStyle w:val="8"/>
              <w:tabs>
                <w:tab w:val="left" w:pos="804"/>
              </w:tabs>
              <w:overflowPunct w:val="0"/>
              <w:spacing w:line="400" w:lineRule="exact"/>
              <w:ind w:firstLine="420" w:firstLineChars="200"/>
              <w:rPr>
                <w:rFonts w:hint="default"/>
                <w:spacing w:val="0"/>
                <w:sz w:val="21"/>
                <w:szCs w:val="21"/>
              </w:rPr>
            </w:pPr>
            <w:r>
              <w:rPr>
                <w:spacing w:val="0"/>
                <w:sz w:val="21"/>
                <w:szCs w:val="21"/>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（2）投标人的资质等级符合招标文件规定。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（3）投标人的财务状况应符合招标文件规定。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（4）投标人的类似项目业绩符合招标文件规定。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（5）投标人的信誉符合招标文件规定。</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（6）投标人的项目经理和项目总工资格、在岗情况符合符合招标文件规定，并按规定在投标文件中签字确认。</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（7）投标人的其他要求符合招标文件规定（如有）。</w:t>
            </w:r>
          </w:p>
          <w:p>
            <w:pPr>
              <w:pStyle w:val="8"/>
              <w:tabs>
                <w:tab w:val="left" w:pos="804"/>
              </w:tabs>
              <w:overflowPunct w:val="0"/>
              <w:spacing w:line="400" w:lineRule="exact"/>
              <w:ind w:firstLine="420" w:firstLineChars="200"/>
              <w:rPr>
                <w:rFonts w:hint="default"/>
                <w:spacing w:val="0"/>
                <w:sz w:val="21"/>
                <w:szCs w:val="21"/>
              </w:rPr>
            </w:pPr>
            <w:r>
              <w:rPr>
                <w:spacing w:val="0"/>
                <w:sz w:val="21"/>
                <w:szCs w:val="21"/>
              </w:rPr>
              <w:t>（8）投标人不存在第二章“投标人须知”第1.4.3项或第1.4.4项规定的任何一种情形；</w:t>
            </w:r>
          </w:p>
          <w:p>
            <w:pPr>
              <w:pStyle w:val="8"/>
              <w:tabs>
                <w:tab w:val="left" w:pos="804"/>
              </w:tabs>
              <w:overflowPunct w:val="0"/>
              <w:spacing w:line="400" w:lineRule="exact"/>
              <w:ind w:firstLine="420" w:firstLineChars="200"/>
              <w:rPr>
                <w:rFonts w:hint="default" w:ascii="Times New Roman" w:hAnsi="Times New Roman" w:eastAsia="Times New Roman"/>
                <w:spacing w:val="0"/>
                <w:sz w:val="21"/>
                <w:szCs w:val="21"/>
              </w:rPr>
            </w:pPr>
            <w:r>
              <w:rPr>
                <w:spacing w:val="0"/>
                <w:sz w:val="21"/>
                <w:szCs w:val="21"/>
              </w:rPr>
              <w:t>（9）投标人符合第二章“投标人须知”第1.4.5项规定；</w:t>
            </w:r>
          </w:p>
        </w:tc>
      </w:tr>
    </w:tbl>
    <w:p>
      <w:pPr>
        <w:spacing w:line="240" w:lineRule="auto"/>
        <w:rPr>
          <w:rFonts w:ascii="Calibri" w:hAnsi="Calibri" w:eastAsia="宋体" w:cs="Times New Roman"/>
          <w:spacing w:val="0"/>
          <w:sz w:val="21"/>
          <w:szCs w:val="24"/>
        </w:rPr>
      </w:pPr>
    </w:p>
    <w:p>
      <w:pPr>
        <w:pStyle w:val="2"/>
        <w:spacing w:line="240" w:lineRule="auto"/>
        <w:rPr>
          <w:spacing w:val="0"/>
        </w:rPr>
      </w:pPr>
    </w:p>
    <w:tbl>
      <w:tblPr>
        <w:tblStyle w:val="6"/>
        <w:tblpPr w:leftFromText="180" w:rightFromText="180" w:vertAnchor="text" w:horzAnchor="page" w:tblpX="1038" w:tblpY="943"/>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84"/>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4" w:type="dxa"/>
            <w:noWrap w:val="0"/>
            <w:vAlign w:val="center"/>
          </w:tcPr>
          <w:p>
            <w:pPr>
              <w:spacing w:line="400" w:lineRule="exact"/>
              <w:jc w:val="center"/>
              <w:rPr>
                <w:rFonts w:ascii="宋体" w:hAnsi="宋体" w:eastAsia="宋体" w:cs="宋体"/>
                <w:b/>
                <w:spacing w:val="0"/>
                <w:sz w:val="21"/>
                <w:szCs w:val="24"/>
              </w:rPr>
            </w:pPr>
            <w:r>
              <w:rPr>
                <w:rFonts w:hint="eastAsia" w:ascii="宋体" w:hAnsi="宋体" w:eastAsia="宋体" w:cs="宋体"/>
                <w:b/>
                <w:spacing w:val="0"/>
                <w:sz w:val="21"/>
                <w:szCs w:val="24"/>
              </w:rPr>
              <w:t>条款号</w:t>
            </w:r>
          </w:p>
        </w:tc>
        <w:tc>
          <w:tcPr>
            <w:tcW w:w="1584" w:type="dxa"/>
            <w:noWrap w:val="0"/>
            <w:vAlign w:val="center"/>
          </w:tcPr>
          <w:p>
            <w:pPr>
              <w:spacing w:line="400" w:lineRule="exact"/>
              <w:jc w:val="center"/>
              <w:rPr>
                <w:rFonts w:ascii="宋体" w:hAnsi="宋体" w:eastAsia="宋体" w:cs="宋体"/>
                <w:b/>
                <w:spacing w:val="0"/>
                <w:sz w:val="21"/>
                <w:szCs w:val="24"/>
              </w:rPr>
            </w:pPr>
            <w:r>
              <w:rPr>
                <w:rFonts w:ascii="宋体" w:hAnsi="宋体" w:eastAsia="宋体" w:cs="Times New Roman"/>
                <w:b/>
                <w:spacing w:val="0"/>
                <w:sz w:val="21"/>
                <w:szCs w:val="24"/>
              </w:rPr>
              <w:t>条款内容</w:t>
            </w:r>
          </w:p>
        </w:tc>
        <w:tc>
          <w:tcPr>
            <w:tcW w:w="7641" w:type="dxa"/>
            <w:noWrap w:val="0"/>
            <w:vAlign w:val="center"/>
          </w:tcPr>
          <w:p>
            <w:pPr>
              <w:spacing w:line="400" w:lineRule="exact"/>
              <w:jc w:val="center"/>
              <w:rPr>
                <w:rFonts w:ascii="宋体" w:hAnsi="宋体" w:eastAsia="宋体" w:cs="宋体"/>
                <w:b/>
                <w:spacing w:val="0"/>
                <w:sz w:val="21"/>
                <w:szCs w:val="24"/>
              </w:rPr>
            </w:pPr>
            <w:r>
              <w:rPr>
                <w:rFonts w:ascii="宋体" w:hAnsi="宋体" w:eastAsia="宋体" w:cs="Times New Roman"/>
                <w:b/>
                <w:spacing w:val="0"/>
                <w:sz w:val="21"/>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noWrap w:val="0"/>
            <w:vAlign w:val="center"/>
          </w:tcPr>
          <w:p>
            <w:pPr>
              <w:pStyle w:val="8"/>
              <w:kinsoku w:val="0"/>
              <w:overflowPunct w:val="0"/>
              <w:spacing w:line="400" w:lineRule="exact"/>
              <w:jc w:val="center"/>
              <w:rPr>
                <w:rFonts w:hint="default"/>
                <w:spacing w:val="0"/>
                <w:sz w:val="21"/>
                <w:szCs w:val="21"/>
              </w:rPr>
            </w:pPr>
            <w:r>
              <w:rPr>
                <w:spacing w:val="0"/>
                <w:sz w:val="21"/>
                <w:szCs w:val="21"/>
              </w:rPr>
              <w:t>2.2.1</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第一个信封评分分值构成 (总100分）</w:t>
            </w:r>
          </w:p>
        </w:tc>
        <w:tc>
          <w:tcPr>
            <w:tcW w:w="7641" w:type="dxa"/>
            <w:noWrap w:val="0"/>
            <w:vAlign w:val="center"/>
          </w:tcPr>
          <w:p>
            <w:pPr>
              <w:widowControl/>
              <w:spacing w:line="400" w:lineRule="exac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rPr>
              <w:t>施工组织设计（</w:t>
            </w:r>
            <w:r>
              <w:rPr>
                <w:rFonts w:hint="eastAsia" w:ascii="宋体" w:hAnsi="宋体" w:eastAsia="宋体" w:cs="宋体"/>
                <w:color w:val="000000"/>
                <w:spacing w:val="0"/>
                <w:kern w:val="0"/>
                <w:sz w:val="21"/>
                <w:szCs w:val="24"/>
                <w:highlight w:val="none"/>
              </w:rPr>
              <w:t>A）：</w:t>
            </w:r>
            <w:r>
              <w:rPr>
                <w:rFonts w:hint="eastAsia" w:ascii="宋体" w:hAnsi="宋体" w:eastAsia="宋体" w:cs="宋体"/>
                <w:color w:val="000000"/>
                <w:spacing w:val="0"/>
                <w:kern w:val="0"/>
                <w:sz w:val="21"/>
                <w:szCs w:val="24"/>
                <w:highlight w:val="none"/>
                <w:u w:val="single"/>
              </w:rPr>
              <w:t xml:space="preserve">35 </w:t>
            </w:r>
            <w:r>
              <w:rPr>
                <w:rFonts w:hint="eastAsia" w:ascii="宋体" w:hAnsi="宋体" w:eastAsia="宋体" w:cs="宋体"/>
                <w:color w:val="000000"/>
                <w:spacing w:val="0"/>
                <w:kern w:val="0"/>
                <w:sz w:val="21"/>
                <w:szCs w:val="24"/>
                <w:highlight w:val="none"/>
              </w:rPr>
              <w:t>分</w:t>
            </w:r>
          </w:p>
          <w:p>
            <w:pPr>
              <w:widowControl/>
              <w:spacing w:line="400" w:lineRule="exac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主要人员（B）：</w:t>
            </w:r>
            <w:r>
              <w:rPr>
                <w:rFonts w:hint="eastAsia" w:ascii="宋体" w:hAnsi="宋体" w:eastAsia="宋体" w:cs="宋体"/>
                <w:color w:val="000000"/>
                <w:spacing w:val="0"/>
                <w:kern w:val="0"/>
                <w:sz w:val="21"/>
                <w:szCs w:val="24"/>
                <w:highlight w:val="none"/>
                <w:u w:val="single"/>
              </w:rPr>
              <w:t>30</w:t>
            </w:r>
            <w:r>
              <w:rPr>
                <w:rFonts w:hint="eastAsia" w:ascii="宋体" w:hAnsi="宋体" w:eastAsia="宋体" w:cs="宋体"/>
                <w:color w:val="000000"/>
                <w:spacing w:val="0"/>
                <w:kern w:val="0"/>
                <w:sz w:val="21"/>
                <w:szCs w:val="24"/>
                <w:highlight w:val="none"/>
              </w:rPr>
              <w:t>分</w:t>
            </w:r>
          </w:p>
          <w:p>
            <w:pPr>
              <w:widowControl/>
              <w:spacing w:line="400" w:lineRule="exac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其他因素（C）</w:t>
            </w:r>
          </w:p>
          <w:p>
            <w:pPr>
              <w:widowControl/>
              <w:spacing w:line="400" w:lineRule="exac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技术能力：</w:t>
            </w:r>
            <w:r>
              <w:rPr>
                <w:rFonts w:hint="eastAsia" w:ascii="宋体" w:hAnsi="宋体" w:eastAsia="宋体" w:cs="宋体"/>
                <w:color w:val="000000"/>
                <w:spacing w:val="0"/>
                <w:kern w:val="0"/>
                <w:sz w:val="21"/>
                <w:szCs w:val="24"/>
                <w:highlight w:val="none"/>
                <w:u w:val="single"/>
              </w:rPr>
              <w:t xml:space="preserve">20 </w:t>
            </w:r>
            <w:r>
              <w:rPr>
                <w:rFonts w:hint="eastAsia" w:ascii="宋体" w:hAnsi="宋体" w:eastAsia="宋体" w:cs="宋体"/>
                <w:color w:val="000000"/>
                <w:spacing w:val="0"/>
                <w:kern w:val="0"/>
                <w:sz w:val="21"/>
                <w:szCs w:val="24"/>
                <w:highlight w:val="none"/>
              </w:rPr>
              <w:t>分</w:t>
            </w:r>
          </w:p>
          <w:p>
            <w:pPr>
              <w:widowControl/>
              <w:spacing w:line="400" w:lineRule="exact"/>
              <w:rPr>
                <w:rFonts w:ascii="宋体" w:hAnsi="宋体" w:eastAsia="宋体" w:cs="Times New Roman"/>
                <w:spacing w:val="0"/>
                <w:sz w:val="21"/>
                <w:szCs w:val="24"/>
              </w:rPr>
            </w:pPr>
            <w:r>
              <w:rPr>
                <w:rFonts w:hint="eastAsia" w:ascii="宋体" w:hAnsi="宋体" w:eastAsia="宋体" w:cs="宋体"/>
                <w:color w:val="000000"/>
                <w:spacing w:val="0"/>
                <w:kern w:val="0"/>
                <w:sz w:val="21"/>
                <w:szCs w:val="24"/>
                <w:highlight w:val="none"/>
              </w:rPr>
              <w:t>履约信誉：</w:t>
            </w:r>
            <w:r>
              <w:rPr>
                <w:rFonts w:hint="eastAsia" w:ascii="宋体" w:hAnsi="宋体" w:eastAsia="宋体" w:cs="宋体"/>
                <w:color w:val="000000"/>
                <w:spacing w:val="0"/>
                <w:kern w:val="0"/>
                <w:sz w:val="21"/>
                <w:szCs w:val="24"/>
                <w:highlight w:val="none"/>
                <w:u w:val="single"/>
              </w:rPr>
              <w:t xml:space="preserve">15 </w:t>
            </w:r>
            <w:r>
              <w:rPr>
                <w:rFonts w:hint="eastAsia" w:ascii="宋体" w:hAnsi="宋体" w:eastAsia="宋体" w:cs="宋体"/>
                <w:color w:val="000000"/>
                <w:spacing w:val="0"/>
                <w:kern w:val="0"/>
                <w:sz w:val="21"/>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pPr>
              <w:pStyle w:val="8"/>
              <w:kinsoku w:val="0"/>
              <w:overflowPunct w:val="0"/>
              <w:spacing w:line="400" w:lineRule="exact"/>
              <w:jc w:val="center"/>
              <w:rPr>
                <w:rFonts w:hint="default"/>
                <w:spacing w:val="0"/>
                <w:sz w:val="21"/>
                <w:szCs w:val="21"/>
              </w:rPr>
            </w:pPr>
            <w:r>
              <w:rPr>
                <w:spacing w:val="0"/>
                <w:sz w:val="21"/>
                <w:szCs w:val="21"/>
              </w:rPr>
              <w:t>2.2.3</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第二个信封详细评审标准</w:t>
            </w:r>
          </w:p>
        </w:tc>
        <w:tc>
          <w:tcPr>
            <w:tcW w:w="7641"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评标价的评审： </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(1)评标价计算公式： </w:t>
            </w:r>
          </w:p>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评标价=投标函文字报价</w:t>
            </w:r>
          </w:p>
          <w:p>
            <w:pPr>
              <w:widowControl/>
              <w:spacing w:line="400" w:lineRule="exact"/>
              <w:ind w:firstLine="420" w:firstLineChars="200"/>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3.2.4</w:t>
            </w:r>
          </w:p>
        </w:tc>
        <w:tc>
          <w:tcPr>
            <w:tcW w:w="1584" w:type="dxa"/>
            <w:noWrap w:val="0"/>
            <w:vAlign w:val="center"/>
          </w:tcPr>
          <w:p>
            <w:pPr>
              <w:widowControl/>
              <w:spacing w:line="400" w:lineRule="exact"/>
              <w:jc w:val="center"/>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通过第一个信封详细评审的投标人数量</w:t>
            </w:r>
          </w:p>
        </w:tc>
        <w:tc>
          <w:tcPr>
            <w:tcW w:w="7641" w:type="dxa"/>
            <w:noWrap w:val="0"/>
            <w:vAlign w:val="center"/>
          </w:tcPr>
          <w:p>
            <w:pPr>
              <w:widowControl/>
              <w:spacing w:line="400" w:lineRule="exact"/>
              <w:rPr>
                <w:rFonts w:ascii="宋体" w:hAnsi="宋体" w:eastAsia="宋体" w:cs="Times New Roman"/>
                <w:spacing w:val="0"/>
                <w:sz w:val="21"/>
                <w:szCs w:val="24"/>
              </w:rPr>
            </w:pPr>
            <w:r>
              <w:rPr>
                <w:rFonts w:hint="eastAsia" w:ascii="宋体" w:hAnsi="宋体" w:eastAsia="宋体" w:cs="宋体"/>
                <w:color w:val="000000"/>
                <w:spacing w:val="0"/>
                <w:kern w:val="0"/>
                <w:sz w:val="21"/>
                <w:szCs w:val="24"/>
              </w:rPr>
              <w:t>按照投标人的商务和技术得分由高到低排序，选择前5名（不少于3名但不足5名时，按全部实际数量）通过详细评审。</w:t>
            </w:r>
          </w:p>
        </w:tc>
      </w:tr>
    </w:tbl>
    <w:p>
      <w:pPr>
        <w:pStyle w:val="9"/>
        <w:spacing w:line="400" w:lineRule="exact"/>
        <w:ind w:firstLine="0"/>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p>
      <w:pPr>
        <w:pStyle w:val="9"/>
        <w:spacing w:line="400" w:lineRule="exact"/>
        <w:rPr>
          <w:spacing w:val="0"/>
          <w:sz w:val="21"/>
          <w:szCs w:val="21"/>
        </w:rPr>
      </w:pPr>
    </w:p>
    <w:tbl>
      <w:tblPr>
        <w:tblStyle w:val="6"/>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309"/>
        <w:gridCol w:w="713"/>
        <w:gridCol w:w="1224"/>
        <w:gridCol w:w="1036"/>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2" w:type="dxa"/>
            <w:gridSpan w:val="6"/>
            <w:noWrap w:val="0"/>
            <w:vAlign w:val="top"/>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条款号</w:t>
            </w:r>
          </w:p>
        </w:tc>
        <w:tc>
          <w:tcPr>
            <w:tcW w:w="1309"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评分因素</w:t>
            </w:r>
          </w:p>
        </w:tc>
        <w:tc>
          <w:tcPr>
            <w:tcW w:w="713"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评分因素权重</w:t>
            </w:r>
          </w:p>
        </w:tc>
        <w:tc>
          <w:tcPr>
            <w:tcW w:w="1224"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各评分因素细分项</w:t>
            </w:r>
          </w:p>
        </w:tc>
        <w:tc>
          <w:tcPr>
            <w:tcW w:w="1036"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分值</w:t>
            </w:r>
          </w:p>
        </w:tc>
        <w:tc>
          <w:tcPr>
            <w:tcW w:w="4609" w:type="dxa"/>
            <w:noWrap w:val="0"/>
            <w:vAlign w:val="center"/>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2.2.2</w:t>
            </w:r>
          </w:p>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(1)</w:t>
            </w:r>
          </w:p>
          <w:p>
            <w:pPr>
              <w:spacing w:line="400" w:lineRule="exact"/>
              <w:jc w:val="center"/>
              <w:rPr>
                <w:rFonts w:ascii="宋体" w:hAnsi="宋体" w:eastAsia="宋体" w:cs="宋体"/>
                <w:color w:val="000000"/>
                <w:spacing w:val="0"/>
                <w:sz w:val="21"/>
                <w:szCs w:val="24"/>
              </w:rPr>
            </w:pPr>
          </w:p>
        </w:tc>
        <w:tc>
          <w:tcPr>
            <w:tcW w:w="1309"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施工组织设计</w:t>
            </w:r>
          </w:p>
          <w:p>
            <w:pPr>
              <w:spacing w:line="400" w:lineRule="exact"/>
              <w:jc w:val="center"/>
              <w:rPr>
                <w:rFonts w:ascii="宋体" w:hAnsi="宋体" w:eastAsia="宋体" w:cs="宋体"/>
                <w:color w:val="000000"/>
                <w:spacing w:val="0"/>
                <w:sz w:val="21"/>
                <w:szCs w:val="24"/>
              </w:rPr>
            </w:pPr>
          </w:p>
        </w:tc>
        <w:tc>
          <w:tcPr>
            <w:tcW w:w="713" w:type="dxa"/>
            <w:vMerge w:val="restart"/>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35分</w:t>
            </w:r>
          </w:p>
        </w:tc>
        <w:tc>
          <w:tcPr>
            <w:tcW w:w="1224" w:type="dxa"/>
            <w:noWrap w:val="0"/>
            <w:vAlign w:val="center"/>
          </w:tcPr>
          <w:p>
            <w:pPr>
              <w:spacing w:before="65" w:line="229" w:lineRule="auto"/>
              <w:ind w:left="201"/>
              <w:rPr>
                <w:rFonts w:ascii="宋体" w:hAnsi="宋体" w:eastAsia="宋体" w:cs="宋体"/>
                <w:spacing w:val="0"/>
                <w:sz w:val="21"/>
                <w:szCs w:val="21"/>
              </w:rPr>
            </w:pPr>
            <w:r>
              <w:rPr>
                <w:rFonts w:ascii="宋体" w:hAnsi="宋体" w:eastAsia="宋体" w:cs="宋体"/>
                <w:spacing w:val="5"/>
                <w:sz w:val="21"/>
                <w:szCs w:val="21"/>
              </w:rPr>
              <w:t>总体施</w:t>
            </w:r>
          </w:p>
          <w:p>
            <w:pPr>
              <w:spacing w:before="111" w:line="232" w:lineRule="auto"/>
              <w:ind w:left="198"/>
              <w:rPr>
                <w:rFonts w:ascii="宋体" w:hAnsi="宋体" w:eastAsia="宋体" w:cs="宋体"/>
                <w:spacing w:val="0"/>
                <w:sz w:val="21"/>
                <w:szCs w:val="21"/>
              </w:rPr>
            </w:pPr>
            <w:r>
              <w:rPr>
                <w:rFonts w:ascii="宋体" w:hAnsi="宋体" w:eastAsia="宋体" w:cs="宋体"/>
                <w:spacing w:val="6"/>
                <w:sz w:val="21"/>
                <w:szCs w:val="21"/>
              </w:rPr>
              <w:t>工组织</w:t>
            </w:r>
          </w:p>
          <w:p>
            <w:pPr>
              <w:spacing w:before="108" w:line="227" w:lineRule="auto"/>
              <w:ind w:left="196"/>
              <w:rPr>
                <w:rFonts w:ascii="宋体" w:hAnsi="宋体" w:eastAsia="宋体" w:cs="宋体"/>
                <w:spacing w:val="0"/>
                <w:sz w:val="21"/>
                <w:szCs w:val="21"/>
              </w:rPr>
            </w:pPr>
            <w:r>
              <w:rPr>
                <w:rFonts w:ascii="宋体" w:hAnsi="宋体" w:eastAsia="宋体" w:cs="宋体"/>
                <w:spacing w:val="7"/>
                <w:sz w:val="21"/>
                <w:szCs w:val="21"/>
              </w:rPr>
              <w:t>布置</w:t>
            </w:r>
            <w:r>
              <w:rPr>
                <w:rFonts w:ascii="宋体" w:hAnsi="宋体" w:eastAsia="宋体" w:cs="宋体"/>
                <w:spacing w:val="6"/>
                <w:sz w:val="21"/>
                <w:szCs w:val="21"/>
              </w:rPr>
              <w:t>及</w:t>
            </w:r>
          </w:p>
          <w:p>
            <w:pPr>
              <w:spacing w:line="400" w:lineRule="exact"/>
              <w:jc w:val="center"/>
              <w:rPr>
                <w:rFonts w:ascii="宋体" w:hAnsi="宋体" w:eastAsia="宋体" w:cs="宋体"/>
                <w:color w:val="000000"/>
                <w:spacing w:val="0"/>
                <w:sz w:val="21"/>
                <w:szCs w:val="21"/>
              </w:rPr>
            </w:pPr>
            <w:r>
              <w:rPr>
                <w:rFonts w:ascii="宋体" w:hAnsi="宋体" w:eastAsia="宋体" w:cs="宋体"/>
                <w:spacing w:val="4"/>
                <w:sz w:val="21"/>
                <w:szCs w:val="21"/>
              </w:rPr>
              <w:t>规划</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10</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w:t>
            </w:r>
            <w:r>
              <w:rPr>
                <w:rFonts w:hint="eastAsia" w:ascii="宋体" w:hAnsi="宋体" w:eastAsia="宋体" w:cs="宋体"/>
                <w:color w:val="000000"/>
                <w:spacing w:val="0"/>
                <w:sz w:val="21"/>
                <w:szCs w:val="24"/>
              </w:rPr>
              <w:t>1</w:t>
            </w:r>
            <w:r>
              <w:rPr>
                <w:rFonts w:ascii="宋体" w:hAnsi="宋体" w:eastAsia="宋体" w:cs="宋体"/>
                <w:color w:val="000000"/>
                <w:spacing w:val="0"/>
                <w:sz w:val="21"/>
                <w:szCs w:val="24"/>
              </w:rPr>
              <w:t>)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8</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10</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 xml:space="preserve">分(满分分值的 80%~100%)； </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(2)满足工程建设需要，施工总体布置规划、施工进度计划基本可行，得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6</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8</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6</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713" w:type="dxa"/>
            <w:vMerge w:val="continue"/>
            <w:noWrap w:val="0"/>
            <w:vAlign w:val="center"/>
          </w:tcPr>
          <w:p>
            <w:pPr>
              <w:widowControl/>
              <w:spacing w:line="400" w:lineRule="exact"/>
              <w:jc w:val="center"/>
              <w:rPr>
                <w:rFonts w:ascii="宋体" w:hAnsi="宋体" w:eastAsia="宋体" w:cs="宋体"/>
                <w:color w:val="000000"/>
                <w:spacing w:val="0"/>
                <w:sz w:val="21"/>
                <w:szCs w:val="24"/>
              </w:rPr>
            </w:pPr>
          </w:p>
        </w:tc>
        <w:tc>
          <w:tcPr>
            <w:tcW w:w="1224" w:type="dxa"/>
            <w:noWrap w:val="0"/>
            <w:vAlign w:val="center"/>
          </w:tcPr>
          <w:p>
            <w:pPr>
              <w:widowControl/>
              <w:spacing w:line="400" w:lineRule="exact"/>
              <w:jc w:val="center"/>
              <w:rPr>
                <w:rFonts w:ascii="宋体" w:hAnsi="宋体" w:eastAsia="宋体" w:cs="宋体"/>
                <w:color w:val="000000"/>
                <w:spacing w:val="0"/>
                <w:sz w:val="21"/>
                <w:szCs w:val="21"/>
              </w:rPr>
            </w:pPr>
            <w:r>
              <w:rPr>
                <w:rFonts w:ascii="宋体" w:hAnsi="宋体" w:eastAsia="宋体" w:cs="宋体"/>
                <w:spacing w:val="-14"/>
                <w:sz w:val="21"/>
                <w:szCs w:val="21"/>
              </w:rPr>
              <w:t>重</w:t>
            </w:r>
            <w:r>
              <w:rPr>
                <w:rFonts w:ascii="宋体" w:hAnsi="宋体" w:eastAsia="宋体" w:cs="宋体"/>
                <w:spacing w:val="-10"/>
                <w:sz w:val="21"/>
                <w:szCs w:val="21"/>
              </w:rPr>
              <w:t>点、难</w:t>
            </w:r>
            <w:r>
              <w:rPr>
                <w:rFonts w:ascii="宋体" w:hAnsi="宋体" w:eastAsia="宋体" w:cs="宋体"/>
                <w:spacing w:val="7"/>
                <w:sz w:val="21"/>
                <w:szCs w:val="21"/>
              </w:rPr>
              <w:t>点和关键工程的施工</w:t>
            </w:r>
            <w:r>
              <w:rPr>
                <w:rFonts w:ascii="宋体" w:hAnsi="宋体" w:eastAsia="宋体" w:cs="宋体"/>
                <w:spacing w:val="0"/>
                <w:sz w:val="21"/>
                <w:szCs w:val="21"/>
              </w:rPr>
              <w:t xml:space="preserve"> </w:t>
            </w:r>
            <w:r>
              <w:rPr>
                <w:rFonts w:ascii="宋体" w:hAnsi="宋体" w:eastAsia="宋体" w:cs="宋体"/>
                <w:spacing w:val="7"/>
                <w:sz w:val="21"/>
                <w:szCs w:val="21"/>
              </w:rPr>
              <w:t>方案与技术措</w:t>
            </w:r>
            <w:r>
              <w:rPr>
                <w:rFonts w:ascii="宋体" w:hAnsi="宋体" w:eastAsia="宋体" w:cs="宋体"/>
                <w:spacing w:val="1"/>
                <w:sz w:val="21"/>
                <w:szCs w:val="21"/>
              </w:rPr>
              <w:t>施</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15</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12</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15</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分(满分分值的80%~ 100%)；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(2)对项目重点、难点和关键工程认识基本到位，施工方案与技术措施基本可行，重点较为突出的，得</w:t>
            </w:r>
            <w:r>
              <w:rPr>
                <w:rFonts w:hint="eastAsia" w:ascii="宋体" w:hAnsi="宋体" w:eastAsia="宋体" w:cs="宋体"/>
                <w:color w:val="000000"/>
                <w:spacing w:val="0"/>
                <w:sz w:val="21"/>
                <w:szCs w:val="24"/>
                <w:u w:val="single"/>
              </w:rPr>
              <w:t xml:space="preserve"> 9</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12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 得</w:t>
            </w:r>
            <w:r>
              <w:rPr>
                <w:rFonts w:ascii="宋体" w:hAnsi="宋体" w:eastAsia="宋体" w:cs="宋体"/>
                <w:color w:val="000000"/>
                <w:spacing w:val="0"/>
                <w:sz w:val="21"/>
                <w:szCs w:val="24"/>
                <w:u w:val="single"/>
              </w:rPr>
              <w:t xml:space="preserve"> </w:t>
            </w:r>
            <w:r>
              <w:rPr>
                <w:rFonts w:hint="eastAsia" w:ascii="宋体" w:hAnsi="宋体" w:eastAsia="宋体" w:cs="宋体"/>
                <w:color w:val="000000"/>
                <w:spacing w:val="0"/>
                <w:sz w:val="21"/>
                <w:szCs w:val="24"/>
                <w:u w:val="single"/>
              </w:rPr>
              <w:t>9</w:t>
            </w:r>
            <w:r>
              <w:rPr>
                <w:rFonts w:ascii="宋体" w:hAnsi="宋体" w:eastAsia="宋体" w:cs="宋体"/>
                <w:color w:val="000000"/>
                <w:spacing w:val="0"/>
                <w:sz w:val="21"/>
                <w:szCs w:val="24"/>
                <w:u w:val="single"/>
              </w:rPr>
              <w:t xml:space="preserve">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713" w:type="dxa"/>
            <w:vMerge w:val="continue"/>
            <w:noWrap w:val="0"/>
            <w:vAlign w:val="center"/>
          </w:tcPr>
          <w:p>
            <w:pPr>
              <w:widowControl/>
              <w:spacing w:line="400" w:lineRule="exact"/>
              <w:jc w:val="center"/>
              <w:rPr>
                <w:rFonts w:ascii="宋体" w:hAnsi="宋体" w:eastAsia="宋体" w:cs="宋体"/>
                <w:color w:val="000000"/>
                <w:spacing w:val="0"/>
                <w:sz w:val="21"/>
                <w:szCs w:val="24"/>
              </w:rPr>
            </w:pPr>
          </w:p>
        </w:tc>
        <w:tc>
          <w:tcPr>
            <w:tcW w:w="1224" w:type="dxa"/>
            <w:noWrap w:val="0"/>
            <w:vAlign w:val="center"/>
          </w:tcPr>
          <w:p>
            <w:pPr>
              <w:widowControl/>
              <w:spacing w:line="400" w:lineRule="exact"/>
              <w:jc w:val="center"/>
              <w:rPr>
                <w:rFonts w:ascii="宋体" w:hAnsi="宋体" w:eastAsia="宋体" w:cs="宋体"/>
                <w:color w:val="000000"/>
                <w:spacing w:val="0"/>
                <w:sz w:val="21"/>
                <w:szCs w:val="21"/>
              </w:rPr>
            </w:pPr>
            <w:r>
              <w:rPr>
                <w:rFonts w:ascii="宋体" w:hAnsi="宋体" w:eastAsia="宋体" w:cs="宋体"/>
                <w:spacing w:val="-12"/>
                <w:sz w:val="21"/>
                <w:szCs w:val="21"/>
              </w:rPr>
              <w:t>工</w:t>
            </w:r>
            <w:r>
              <w:rPr>
                <w:rFonts w:ascii="宋体" w:hAnsi="宋体" w:eastAsia="宋体" w:cs="宋体"/>
                <w:spacing w:val="-11"/>
                <w:sz w:val="21"/>
                <w:szCs w:val="21"/>
              </w:rPr>
              <w:t>期、质</w:t>
            </w:r>
            <w:r>
              <w:rPr>
                <w:rFonts w:ascii="宋体" w:hAnsi="宋体" w:eastAsia="宋体" w:cs="宋体"/>
                <w:spacing w:val="0"/>
                <w:sz w:val="21"/>
                <w:szCs w:val="21"/>
              </w:rPr>
              <w:t xml:space="preserve"> </w:t>
            </w:r>
            <w:r>
              <w:rPr>
                <w:rFonts w:ascii="宋体" w:hAnsi="宋体" w:eastAsia="宋体" w:cs="宋体"/>
                <w:spacing w:val="7"/>
                <w:sz w:val="21"/>
                <w:szCs w:val="21"/>
              </w:rPr>
              <w:t>量、安</w:t>
            </w:r>
            <w:r>
              <w:rPr>
                <w:rFonts w:ascii="宋体" w:hAnsi="宋体" w:eastAsia="宋体" w:cs="宋体"/>
                <w:spacing w:val="-11"/>
                <w:sz w:val="21"/>
                <w:szCs w:val="21"/>
              </w:rPr>
              <w:t>全、环保</w:t>
            </w:r>
            <w:r>
              <w:rPr>
                <w:rFonts w:ascii="宋体" w:hAnsi="宋体" w:eastAsia="宋体" w:cs="宋体"/>
                <w:spacing w:val="-12"/>
                <w:sz w:val="21"/>
                <w:szCs w:val="21"/>
              </w:rPr>
              <w:t>水</w:t>
            </w:r>
            <w:r>
              <w:rPr>
                <w:rFonts w:ascii="宋体" w:hAnsi="宋体" w:eastAsia="宋体" w:cs="宋体"/>
                <w:spacing w:val="-10"/>
                <w:sz w:val="21"/>
                <w:szCs w:val="21"/>
              </w:rPr>
              <w:t>保、文</w:t>
            </w:r>
            <w:r>
              <w:rPr>
                <w:rFonts w:ascii="宋体" w:hAnsi="宋体" w:eastAsia="宋体" w:cs="宋体"/>
                <w:spacing w:val="7"/>
                <w:sz w:val="21"/>
                <w:szCs w:val="21"/>
              </w:rPr>
              <w:t>明施工</w:t>
            </w:r>
            <w:r>
              <w:rPr>
                <w:rFonts w:ascii="宋体" w:hAnsi="宋体" w:eastAsia="宋体" w:cs="宋体"/>
                <w:spacing w:val="0"/>
                <w:sz w:val="21"/>
                <w:szCs w:val="21"/>
              </w:rPr>
              <w:t xml:space="preserve"> </w:t>
            </w:r>
            <w:r>
              <w:rPr>
                <w:rFonts w:ascii="宋体" w:hAnsi="宋体" w:eastAsia="宋体" w:cs="宋体"/>
                <w:spacing w:val="7"/>
                <w:sz w:val="21"/>
                <w:szCs w:val="21"/>
              </w:rPr>
              <w:t>保证措</w:t>
            </w:r>
            <w:r>
              <w:rPr>
                <w:rFonts w:ascii="宋体" w:hAnsi="宋体" w:eastAsia="宋体" w:cs="宋体"/>
                <w:spacing w:val="1"/>
                <w:sz w:val="21"/>
                <w:szCs w:val="21"/>
              </w:rPr>
              <w:t>施</w:t>
            </w:r>
          </w:p>
        </w:tc>
        <w:tc>
          <w:tcPr>
            <w:tcW w:w="1036"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u w:val="single"/>
              </w:rPr>
              <w:t>10</w:t>
            </w:r>
            <w:r>
              <w:rPr>
                <w:rFonts w:hint="eastAsia" w:ascii="宋体" w:hAnsi="宋体" w:eastAsia="宋体" w:cs="宋体"/>
                <w:color w:val="000000"/>
                <w:spacing w:val="0"/>
                <w:kern w:val="0"/>
                <w:sz w:val="21"/>
                <w:szCs w:val="24"/>
              </w:rPr>
              <w:t>分</w:t>
            </w:r>
          </w:p>
        </w:tc>
        <w:tc>
          <w:tcPr>
            <w:tcW w:w="4609" w:type="dxa"/>
            <w:noWrap w:val="0"/>
            <w:vAlign w:val="center"/>
          </w:tcPr>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000000"/>
                <w:spacing w:val="0"/>
                <w:sz w:val="21"/>
                <w:szCs w:val="24"/>
                <w:u w:val="single"/>
              </w:rPr>
              <w:t xml:space="preserve"> 8</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10 </w:t>
            </w:r>
            <w:r>
              <w:rPr>
                <w:rFonts w:ascii="宋体" w:hAnsi="宋体" w:eastAsia="宋体" w:cs="宋体"/>
                <w:color w:val="000000"/>
                <w:spacing w:val="0"/>
                <w:sz w:val="21"/>
                <w:szCs w:val="24"/>
              </w:rPr>
              <w:t>分 (满分分值的80%~100%)；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(2)对工期、质量、安全、环保、水保等风险有一定认识，预防保证措施基本可行，重点较为突出的，得</w:t>
            </w:r>
            <w:r>
              <w:rPr>
                <w:rFonts w:hint="eastAsia" w:ascii="宋体" w:hAnsi="宋体" w:eastAsia="宋体" w:cs="宋体"/>
                <w:color w:val="000000"/>
                <w:spacing w:val="0"/>
                <w:sz w:val="21"/>
                <w:szCs w:val="24"/>
                <w:u w:val="single"/>
              </w:rPr>
              <w:t xml:space="preserve"> 6</w:t>
            </w:r>
            <w:r>
              <w:rPr>
                <w:rFonts w:ascii="宋体" w:hAnsi="宋体" w:eastAsia="宋体" w:cs="宋体"/>
                <w:color w:val="000000"/>
                <w:spacing w:val="0"/>
                <w:sz w:val="21"/>
                <w:szCs w:val="24"/>
                <w:u w:val="single"/>
              </w:rPr>
              <w:t>~</w:t>
            </w:r>
            <w:r>
              <w:rPr>
                <w:rFonts w:hint="eastAsia" w:ascii="宋体" w:hAnsi="宋体" w:eastAsia="宋体" w:cs="宋体"/>
                <w:color w:val="000000"/>
                <w:spacing w:val="0"/>
                <w:sz w:val="21"/>
                <w:szCs w:val="24"/>
                <w:u w:val="single"/>
              </w:rPr>
              <w:t xml:space="preserve">8 </w:t>
            </w:r>
            <w:r>
              <w:rPr>
                <w:rFonts w:ascii="宋体" w:hAnsi="宋体" w:eastAsia="宋体" w:cs="宋体"/>
                <w:color w:val="000000"/>
                <w:spacing w:val="0"/>
                <w:sz w:val="21"/>
                <w:szCs w:val="24"/>
              </w:rPr>
              <w:t>分(满分分值的 60%~80%)；</w:t>
            </w:r>
          </w:p>
          <w:p>
            <w:pPr>
              <w:widowControl/>
              <w:spacing w:line="400" w:lineRule="exact"/>
              <w:jc w:val="left"/>
              <w:rPr>
                <w:rFonts w:ascii="宋体" w:hAnsi="宋体" w:eastAsia="宋体" w:cs="宋体"/>
                <w:color w:val="000000"/>
                <w:spacing w:val="0"/>
                <w:sz w:val="21"/>
                <w:szCs w:val="24"/>
              </w:rPr>
            </w:pPr>
            <w:r>
              <w:rPr>
                <w:rFonts w:ascii="宋体" w:hAnsi="宋体" w:eastAsia="宋体" w:cs="宋体"/>
                <w:color w:val="000000"/>
                <w:spacing w:val="0"/>
                <w:sz w:val="21"/>
                <w:szCs w:val="24"/>
              </w:rPr>
              <w:t>(3)一般但不被评定为不响应的, 得</w:t>
            </w:r>
            <w:r>
              <w:rPr>
                <w:rFonts w:hint="eastAsia" w:ascii="宋体" w:hAnsi="宋体" w:eastAsia="宋体" w:cs="宋体"/>
                <w:color w:val="000000"/>
                <w:spacing w:val="0"/>
                <w:sz w:val="21"/>
                <w:szCs w:val="24"/>
                <w:u w:val="single"/>
              </w:rPr>
              <w:t xml:space="preserve"> 6 </w:t>
            </w:r>
            <w:r>
              <w:rPr>
                <w:rFonts w:ascii="宋体" w:hAnsi="宋体" w:eastAsia="宋体" w:cs="宋体"/>
                <w:color w:val="000000"/>
                <w:spacing w:val="0"/>
                <w:sz w:val="21"/>
                <w:szCs w:val="24"/>
              </w:rPr>
              <w:t>分(满分分值的60%)。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81" w:type="dxa"/>
            <w:vMerge w:val="restart"/>
            <w:noWrap w:val="0"/>
            <w:vAlign w:val="center"/>
          </w:tcPr>
          <w:p>
            <w:pPr>
              <w:widowControl/>
              <w:spacing w:line="400" w:lineRule="exact"/>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2.2.2 </w:t>
            </w:r>
          </w:p>
          <w:p>
            <w:pPr>
              <w:widowControl/>
              <w:spacing w:line="400" w:lineRule="exact"/>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w:t>
            </w:r>
          </w:p>
          <w:p>
            <w:pPr>
              <w:spacing w:line="400" w:lineRule="exact"/>
              <w:jc w:val="center"/>
              <w:rPr>
                <w:rFonts w:ascii="宋体" w:hAnsi="宋体" w:eastAsia="宋体" w:cs="宋体"/>
                <w:color w:val="000000"/>
                <w:spacing w:val="0"/>
                <w:sz w:val="21"/>
                <w:szCs w:val="24"/>
              </w:rPr>
            </w:pPr>
          </w:p>
        </w:tc>
        <w:tc>
          <w:tcPr>
            <w:tcW w:w="1309" w:type="dxa"/>
            <w:vMerge w:val="restart"/>
            <w:noWrap w:val="0"/>
            <w:vAlign w:val="center"/>
          </w:tcPr>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主要人员</w:t>
            </w:r>
          </w:p>
        </w:tc>
        <w:tc>
          <w:tcPr>
            <w:tcW w:w="713" w:type="dxa"/>
            <w:vMerge w:val="restart"/>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30分</w:t>
            </w:r>
          </w:p>
        </w:tc>
        <w:tc>
          <w:tcPr>
            <w:tcW w:w="1224"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项目经理任职资格与业绩</w:t>
            </w:r>
          </w:p>
        </w:tc>
        <w:tc>
          <w:tcPr>
            <w:tcW w:w="1036" w:type="dxa"/>
            <w:noWrap w:val="0"/>
            <w:vAlign w:val="center"/>
          </w:tcPr>
          <w:p>
            <w:pPr>
              <w:widowControl/>
              <w:spacing w:line="400" w:lineRule="exact"/>
              <w:jc w:val="center"/>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15分</w:t>
            </w:r>
          </w:p>
        </w:tc>
        <w:tc>
          <w:tcPr>
            <w:tcW w:w="4609" w:type="dxa"/>
            <w:noWrap w:val="0"/>
            <w:vAlign w:val="center"/>
          </w:tcPr>
          <w:p>
            <w:pPr>
              <w:widowControl/>
              <w:spacing w:line="400" w:lineRule="exact"/>
              <w:jc w:val="left"/>
              <w:rPr>
                <w:rFonts w:ascii="Calibri" w:hAnsi="Calibri" w:eastAsia="宋体" w:cs="Times New Roman"/>
                <w:spacing w:val="0"/>
                <w:sz w:val="21"/>
                <w:szCs w:val="24"/>
                <w:highlight w:val="none"/>
              </w:rPr>
            </w:pPr>
            <w:r>
              <w:rPr>
                <w:rFonts w:hint="eastAsia" w:ascii="Calibri" w:hAnsi="Calibri" w:eastAsia="宋体" w:cs="Times New Roman"/>
                <w:spacing w:val="0"/>
                <w:sz w:val="21"/>
                <w:szCs w:val="24"/>
                <w:highlight w:val="none"/>
              </w:rPr>
              <w:t>(1) 满足资格审查条件 (项目经理和项目总工最低要求)时，得 9 分；</w:t>
            </w:r>
          </w:p>
          <w:p>
            <w:pPr>
              <w:widowControl/>
              <w:spacing w:line="400" w:lineRule="exact"/>
              <w:jc w:val="left"/>
              <w:rPr>
                <w:spacing w:val="0"/>
                <w:highlight w:val="none"/>
              </w:rPr>
            </w:pPr>
            <w:r>
              <w:rPr>
                <w:rFonts w:hint="eastAsia" w:ascii="Calibri" w:hAnsi="Calibri" w:eastAsia="宋体" w:cs="Times New Roman"/>
                <w:spacing w:val="0"/>
                <w:sz w:val="21"/>
                <w:szCs w:val="24"/>
                <w:highlight w:val="none"/>
              </w:rPr>
              <w:t>(2) 每担任 1 个类似工程项目经理岗位工作经验的，加 6 分，最多加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981" w:type="dxa"/>
            <w:vMerge w:val="continue"/>
            <w:noWrap w:val="0"/>
            <w:vAlign w:val="center"/>
          </w:tcPr>
          <w:p>
            <w:pPr>
              <w:spacing w:line="400" w:lineRule="exact"/>
              <w:jc w:val="center"/>
              <w:rPr>
                <w:rFonts w:ascii="宋体" w:hAnsi="宋体" w:eastAsia="宋体" w:cs="宋体"/>
                <w:color w:val="000000"/>
                <w:spacing w:val="0"/>
                <w:sz w:val="21"/>
                <w:szCs w:val="24"/>
              </w:rPr>
            </w:pPr>
          </w:p>
        </w:tc>
        <w:tc>
          <w:tcPr>
            <w:tcW w:w="1309"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713"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1224" w:type="dxa"/>
            <w:noWrap w:val="0"/>
            <w:vAlign w:val="center"/>
          </w:tcPr>
          <w:p>
            <w:pPr>
              <w:widowControl/>
              <w:spacing w:line="400" w:lineRule="exac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项目总工任职资格与业绩</w:t>
            </w:r>
          </w:p>
        </w:tc>
        <w:tc>
          <w:tcPr>
            <w:tcW w:w="1036" w:type="dxa"/>
            <w:noWrap w:val="0"/>
            <w:vAlign w:val="center"/>
          </w:tcPr>
          <w:p>
            <w:pPr>
              <w:widowControl/>
              <w:spacing w:line="400" w:lineRule="exact"/>
              <w:jc w:val="center"/>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15分</w:t>
            </w:r>
          </w:p>
        </w:tc>
        <w:tc>
          <w:tcPr>
            <w:tcW w:w="4609" w:type="dxa"/>
            <w:noWrap w:val="0"/>
            <w:vAlign w:val="center"/>
          </w:tcPr>
          <w:p>
            <w:pPr>
              <w:widowControl/>
              <w:spacing w:line="400" w:lineRule="exact"/>
              <w:jc w:val="left"/>
              <w:rPr>
                <w:rFonts w:ascii="Calibri" w:hAnsi="Calibri" w:eastAsia="宋体" w:cs="Times New Roman"/>
                <w:spacing w:val="0"/>
                <w:sz w:val="21"/>
                <w:szCs w:val="24"/>
                <w:highlight w:val="none"/>
              </w:rPr>
            </w:pPr>
            <w:r>
              <w:rPr>
                <w:rFonts w:hint="eastAsia" w:ascii="Calibri" w:hAnsi="Calibri" w:eastAsia="宋体" w:cs="Times New Roman"/>
                <w:spacing w:val="0"/>
                <w:sz w:val="21"/>
                <w:szCs w:val="24"/>
                <w:highlight w:val="none"/>
              </w:rPr>
              <w:t>(1) 满足资格审查条件 (项目经理和项目总工最低要求)时，得 9 分；</w:t>
            </w:r>
          </w:p>
          <w:p>
            <w:pPr>
              <w:widowControl/>
              <w:spacing w:line="400" w:lineRule="exact"/>
              <w:jc w:val="left"/>
              <w:rPr>
                <w:spacing w:val="0"/>
                <w:highlight w:val="none"/>
              </w:rPr>
            </w:pPr>
            <w:r>
              <w:rPr>
                <w:rFonts w:hint="eastAsia" w:ascii="Calibri" w:hAnsi="Calibri" w:eastAsia="宋体" w:cs="Times New Roman"/>
                <w:spacing w:val="0"/>
                <w:sz w:val="21"/>
                <w:szCs w:val="24"/>
                <w:highlight w:val="none"/>
              </w:rPr>
              <w:t>(2) 每担任 1 个类似工程项目总工岗位工作经验的，加 6 分，最多加 6 分</w:t>
            </w:r>
            <w:r>
              <w:rPr>
                <w:rFonts w:hint="eastAsia" w:ascii="Calibri" w:hAnsi="Calibri" w:eastAsia="宋体" w:cs="Times New Roman"/>
                <w:spacing w:val="0"/>
                <w:sz w:val="21"/>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981" w:type="dxa"/>
            <w:vMerge w:val="restart"/>
            <w:noWrap w:val="0"/>
            <w:vAlign w:val="center"/>
          </w:tcPr>
          <w:p>
            <w:pPr>
              <w:spacing w:line="400" w:lineRule="exact"/>
              <w:ind w:left="90" w:leftChars="36" w:right="113" w:hanging="14" w:hangingChars="7"/>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2.2.2(3)</w:t>
            </w:r>
          </w:p>
        </w:tc>
        <w:tc>
          <w:tcPr>
            <w:tcW w:w="1309" w:type="dxa"/>
            <w:vMerge w:val="restart"/>
            <w:noWrap w:val="0"/>
            <w:vAlign w:val="center"/>
          </w:tcPr>
          <w:p>
            <w:pPr>
              <w:widowControl/>
              <w:spacing w:line="400" w:lineRule="exact"/>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其他因素</w:t>
            </w:r>
          </w:p>
        </w:tc>
        <w:tc>
          <w:tcPr>
            <w:tcW w:w="713"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技</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术</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能</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力</w:t>
            </w:r>
          </w:p>
        </w:tc>
        <w:tc>
          <w:tcPr>
            <w:tcW w:w="1224"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20分</w:t>
            </w:r>
          </w:p>
        </w:tc>
        <w:tc>
          <w:tcPr>
            <w:tcW w:w="5645" w:type="dxa"/>
            <w:gridSpan w:val="2"/>
            <w:noWrap w:val="0"/>
            <w:vAlign w:val="center"/>
          </w:tcPr>
          <w:p>
            <w:pPr>
              <w:pStyle w:val="4"/>
              <w:spacing w:line="240" w:lineRule="auto"/>
              <w:rPr>
                <w:rFonts w:ascii="宋体" w:hAnsi="宋体" w:cs="宋体"/>
                <w:color w:val="000000"/>
                <w:spacing w:val="0"/>
                <w:sz w:val="21"/>
                <w:szCs w:val="24"/>
                <w:highlight w:val="none"/>
              </w:rPr>
            </w:pPr>
            <w:r>
              <w:rPr>
                <w:rFonts w:hint="eastAsia" w:ascii="宋体" w:hAnsi="宋体" w:cs="宋体"/>
                <w:color w:val="000000"/>
                <w:spacing w:val="0"/>
                <w:sz w:val="21"/>
                <w:szCs w:val="24"/>
                <w:highlight w:val="none"/>
              </w:rPr>
              <w:t>（1）投标人获得与项目施工有关的国家级工法、专利（发明专利或实用新型专利）、国家级科学技术进步奖、鲁班奖、詹天佑奖</w:t>
            </w:r>
            <w:r>
              <w:rPr>
                <w:rFonts w:hint="eastAsia" w:ascii="宋体" w:hAnsi="宋体" w:cs="宋体"/>
                <w:color w:val="000000"/>
                <w:spacing w:val="0"/>
                <w:sz w:val="21"/>
                <w:szCs w:val="24"/>
                <w:highlight w:val="none"/>
                <w:lang w:eastAsia="zh-CN"/>
              </w:rPr>
              <w:t>，</w:t>
            </w:r>
            <w:r>
              <w:rPr>
                <w:rFonts w:hint="eastAsia" w:ascii="宋体" w:hAnsi="宋体" w:cs="宋体"/>
                <w:color w:val="000000"/>
                <w:spacing w:val="0"/>
                <w:sz w:val="21"/>
                <w:szCs w:val="24"/>
                <w:highlight w:val="none"/>
              </w:rPr>
              <w:t xml:space="preserve">主编或参编过国家标准，每项加 </w:t>
            </w:r>
            <w:r>
              <w:rPr>
                <w:rFonts w:hint="eastAsia" w:ascii="宋体" w:hAnsi="宋体" w:cs="宋体"/>
                <w:color w:val="000000"/>
                <w:spacing w:val="0"/>
                <w:sz w:val="21"/>
                <w:szCs w:val="24"/>
                <w:highlight w:val="none"/>
                <w:lang w:val="en-US" w:eastAsia="zh-CN"/>
              </w:rPr>
              <w:t>2</w:t>
            </w:r>
            <w:r>
              <w:rPr>
                <w:rFonts w:hint="eastAsia" w:ascii="宋体" w:hAnsi="宋体" w:cs="宋体"/>
                <w:color w:val="000000"/>
                <w:spacing w:val="0"/>
                <w:sz w:val="21"/>
                <w:szCs w:val="24"/>
                <w:highlight w:val="none"/>
              </w:rPr>
              <w:t xml:space="preserve"> 分</w:t>
            </w:r>
            <w:r>
              <w:rPr>
                <w:rFonts w:hint="eastAsia" w:ascii="宋体" w:hAnsi="宋体" w:cs="宋体"/>
                <w:color w:val="000000"/>
                <w:spacing w:val="0"/>
                <w:sz w:val="21"/>
                <w:szCs w:val="21"/>
                <w:highlight w:val="none"/>
              </w:rPr>
              <w:t>；</w:t>
            </w:r>
          </w:p>
          <w:p>
            <w:pPr>
              <w:pStyle w:val="4"/>
              <w:spacing w:line="240" w:lineRule="auto"/>
              <w:rPr>
                <w:rFonts w:ascii="宋体" w:hAnsi="宋体" w:cs="宋体"/>
                <w:color w:val="000000"/>
                <w:spacing w:val="0"/>
                <w:sz w:val="21"/>
                <w:szCs w:val="24"/>
                <w:highlight w:val="none"/>
              </w:rPr>
            </w:pPr>
            <w:r>
              <w:rPr>
                <w:rFonts w:hint="eastAsia" w:ascii="宋体" w:hAnsi="宋体" w:cs="宋体"/>
                <w:color w:val="000000"/>
                <w:spacing w:val="0"/>
                <w:sz w:val="21"/>
                <w:szCs w:val="24"/>
                <w:highlight w:val="none"/>
              </w:rPr>
              <w:t>（2）投标人获得省级科学技术进步奖，主编或参编过的行业或地方（指省级）标准，每项加 3 分</w:t>
            </w:r>
            <w:r>
              <w:rPr>
                <w:rFonts w:hint="eastAsia" w:ascii="宋体" w:hAnsi="宋体" w:cs="宋体"/>
                <w:color w:val="000000"/>
                <w:spacing w:val="0"/>
                <w:sz w:val="21"/>
                <w:szCs w:val="21"/>
                <w:highlight w:val="none"/>
              </w:rPr>
              <w:t>；</w:t>
            </w:r>
          </w:p>
          <w:p>
            <w:pPr>
              <w:pStyle w:val="4"/>
              <w:spacing w:line="240" w:lineRule="auto"/>
              <w:rPr>
                <w:color w:val="000000"/>
                <w:spacing w:val="0"/>
                <w:highlight w:val="none"/>
              </w:rPr>
            </w:pPr>
            <w:r>
              <w:rPr>
                <w:rFonts w:hint="eastAsia" w:ascii="宋体" w:hAnsi="宋体" w:cs="宋体"/>
                <w:color w:val="000000"/>
                <w:spacing w:val="0"/>
                <w:sz w:val="21"/>
                <w:szCs w:val="24"/>
                <w:highlight w:val="none"/>
              </w:rPr>
              <w:t>注：技术能力加分最高 20 分，同一事项按较高分只计一次。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81" w:type="dxa"/>
            <w:vMerge w:val="continue"/>
            <w:noWrap w:val="0"/>
            <w:vAlign w:val="center"/>
          </w:tcPr>
          <w:p>
            <w:pPr>
              <w:spacing w:line="400" w:lineRule="exact"/>
              <w:ind w:left="90" w:leftChars="36" w:right="113" w:hanging="14" w:hangingChars="7"/>
              <w:jc w:val="center"/>
              <w:rPr>
                <w:rFonts w:ascii="宋体" w:hAnsi="宋体" w:eastAsia="宋体" w:cs="宋体"/>
                <w:color w:val="000000"/>
                <w:spacing w:val="0"/>
                <w:sz w:val="21"/>
                <w:szCs w:val="24"/>
              </w:rPr>
            </w:pPr>
          </w:p>
        </w:tc>
        <w:tc>
          <w:tcPr>
            <w:tcW w:w="1309" w:type="dxa"/>
            <w:vMerge w:val="continue"/>
            <w:noWrap w:val="0"/>
            <w:vAlign w:val="center"/>
          </w:tcPr>
          <w:p>
            <w:pPr>
              <w:widowControl/>
              <w:spacing w:line="400" w:lineRule="exact"/>
              <w:jc w:val="left"/>
              <w:rPr>
                <w:rFonts w:ascii="宋体" w:hAnsi="宋体" w:eastAsia="宋体" w:cs="宋体"/>
                <w:color w:val="000000"/>
                <w:spacing w:val="0"/>
                <w:kern w:val="0"/>
                <w:sz w:val="21"/>
                <w:szCs w:val="24"/>
              </w:rPr>
            </w:pPr>
          </w:p>
        </w:tc>
        <w:tc>
          <w:tcPr>
            <w:tcW w:w="713"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履</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约</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信</w:t>
            </w:r>
          </w:p>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誉</w:t>
            </w:r>
          </w:p>
        </w:tc>
        <w:tc>
          <w:tcPr>
            <w:tcW w:w="1224" w:type="dxa"/>
            <w:noWrap w:val="0"/>
            <w:vAlign w:val="center"/>
          </w:tcPr>
          <w:p>
            <w:pPr>
              <w:widowControl/>
              <w:spacing w:line="400" w:lineRule="exact"/>
              <w:jc w:val="center"/>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15分</w:t>
            </w:r>
          </w:p>
        </w:tc>
        <w:tc>
          <w:tcPr>
            <w:tcW w:w="5645" w:type="dxa"/>
            <w:gridSpan w:val="2"/>
            <w:noWrap w:val="0"/>
            <w:vAlign w:val="center"/>
          </w:tcPr>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1.信用等级分值（10 分）</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 xml:space="preserve">AA、A、B、C 级单位的信用等级分得分分别为 </w:t>
            </w:r>
            <w:r>
              <w:rPr>
                <w:rFonts w:hint="eastAsia" w:ascii="宋体" w:hAnsi="宋体" w:eastAsia="宋体" w:cs="宋体"/>
                <w:color w:val="000000"/>
                <w:spacing w:val="0"/>
                <w:kern w:val="0"/>
                <w:sz w:val="21"/>
                <w:szCs w:val="24"/>
                <w:highlight w:val="none"/>
                <w:u w:val="single"/>
              </w:rPr>
              <w:t>10、9.5、8.9、7.3</w:t>
            </w:r>
            <w:r>
              <w:rPr>
                <w:rFonts w:hint="eastAsia" w:ascii="宋体" w:hAnsi="宋体" w:eastAsia="宋体" w:cs="宋体"/>
                <w:color w:val="000000"/>
                <w:spacing w:val="0"/>
                <w:kern w:val="0"/>
                <w:sz w:val="21"/>
                <w:szCs w:val="24"/>
                <w:highlight w:val="none"/>
              </w:rPr>
              <w:t>分。</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注：信用等级的确定原则遵循投标人须知前附表 10.2 款的规定。</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2. 履约情况（5分）</w:t>
            </w:r>
          </w:p>
          <w:p>
            <w:pPr>
              <w:widowControl/>
              <w:spacing w:line="400" w:lineRule="exact"/>
              <w:ind w:firstLine="420" w:firstLineChars="200"/>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若没出现下述情形得满分；</w:t>
            </w:r>
          </w:p>
          <w:p>
            <w:pPr>
              <w:widowControl/>
              <w:spacing w:line="400" w:lineRule="exact"/>
              <w:ind w:firstLine="420" w:firstLineChars="200"/>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 xml:space="preserve">若自2022年 </w:t>
            </w:r>
            <w:r>
              <w:rPr>
                <w:rFonts w:hint="eastAsia" w:ascii="宋体" w:hAnsi="宋体" w:cs="宋体"/>
                <w:color w:val="000000"/>
                <w:spacing w:val="0"/>
                <w:kern w:val="0"/>
                <w:sz w:val="21"/>
                <w:szCs w:val="24"/>
                <w:highlight w:val="none"/>
                <w:lang w:eastAsia="zh-CN"/>
              </w:rPr>
              <w:t>1</w:t>
            </w:r>
            <w:r>
              <w:rPr>
                <w:rFonts w:hint="eastAsia" w:ascii="宋体" w:hAnsi="宋体" w:cs="宋体"/>
                <w:color w:val="000000"/>
                <w:spacing w:val="0"/>
                <w:kern w:val="0"/>
                <w:sz w:val="21"/>
                <w:szCs w:val="24"/>
                <w:highlight w:val="none"/>
                <w:lang w:val="en-US" w:eastAsia="zh-CN"/>
              </w:rPr>
              <w:t>0</w:t>
            </w:r>
            <w:r>
              <w:rPr>
                <w:rFonts w:hint="eastAsia" w:ascii="宋体" w:hAnsi="宋体" w:eastAsia="宋体" w:cs="宋体"/>
                <w:color w:val="000000"/>
                <w:spacing w:val="0"/>
                <w:kern w:val="0"/>
                <w:sz w:val="21"/>
                <w:szCs w:val="24"/>
                <w:highlight w:val="none"/>
              </w:rPr>
              <w:t>月1日至投标文件递交截止日止，因公路工程（含附属设施）质量、安全、履约或招标投标问题等原因被：</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（1）交通运输部通报批评一次的，扣 5 分；</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（2）广东省交通运输厅通报批评一次的，扣 3 分；</w:t>
            </w:r>
          </w:p>
          <w:p>
            <w:pPr>
              <w:widowControl/>
              <w:spacing w:line="400" w:lineRule="exact"/>
              <w:jc w:val="left"/>
              <w:rPr>
                <w:rFonts w:ascii="宋体" w:hAnsi="宋体" w:eastAsia="宋体" w:cs="宋体"/>
                <w:color w:val="000000"/>
                <w:spacing w:val="0"/>
                <w:kern w:val="0"/>
                <w:sz w:val="21"/>
                <w:szCs w:val="24"/>
                <w:highlight w:val="none"/>
              </w:rPr>
            </w:pPr>
            <w:r>
              <w:rPr>
                <w:rFonts w:hint="eastAsia" w:ascii="宋体" w:hAnsi="宋体" w:eastAsia="宋体" w:cs="宋体"/>
                <w:color w:val="000000"/>
                <w:spacing w:val="0"/>
                <w:kern w:val="0"/>
                <w:sz w:val="21"/>
                <w:szCs w:val="24"/>
                <w:highlight w:val="none"/>
              </w:rPr>
              <w:t>（3）招标项目所在地地级以上市交通运输局行政处罚的，扣 1.5 分/次。</w:t>
            </w:r>
          </w:p>
          <w:p>
            <w:pPr>
              <w:widowControl/>
              <w:spacing w:line="400" w:lineRule="exact"/>
              <w:jc w:val="left"/>
              <w:rPr>
                <w:rFonts w:ascii="宋体" w:hAnsi="宋体" w:eastAsia="宋体" w:cs="宋体"/>
                <w:color w:val="000000"/>
                <w:spacing w:val="0"/>
                <w:kern w:val="0"/>
                <w:sz w:val="21"/>
                <w:szCs w:val="24"/>
                <w:highlight w:val="none"/>
              </w:rPr>
            </w:pPr>
            <w:r>
              <w:rPr>
                <w:rFonts w:ascii="宋体" w:hAnsi="宋体" w:eastAsia="宋体" w:cs="宋体"/>
                <w:color w:val="000000"/>
                <w:spacing w:val="0"/>
                <w:kern w:val="0"/>
                <w:sz w:val="21"/>
                <w:szCs w:val="24"/>
                <w:highlight w:val="none"/>
              </w:rPr>
              <w:t>(4) 广东省交通运输厅正式约谈的，扣 0.1 分/次。</w:t>
            </w:r>
          </w:p>
          <w:p>
            <w:pPr>
              <w:widowControl/>
              <w:spacing w:line="400" w:lineRule="exact"/>
              <w:ind w:firstLine="420" w:firstLineChars="200"/>
              <w:jc w:val="left"/>
              <w:rPr>
                <w:rFonts w:ascii="宋体" w:hAnsi="宋体" w:eastAsia="宋体" w:cs="宋体"/>
                <w:color w:val="000000"/>
                <w:spacing w:val="0"/>
                <w:kern w:val="0"/>
                <w:sz w:val="21"/>
                <w:szCs w:val="24"/>
                <w:highlight w:val="none"/>
              </w:rPr>
            </w:pPr>
            <w:r>
              <w:rPr>
                <w:rFonts w:ascii="宋体" w:hAnsi="宋体" w:eastAsia="宋体" w:cs="宋体"/>
                <w:color w:val="000000"/>
                <w:spacing w:val="0"/>
                <w:kern w:val="0"/>
                <w:sz w:val="21"/>
                <w:szCs w:val="24"/>
                <w:highlight w:val="none"/>
              </w:rPr>
              <w:t>同一事项同时被多个部门行政处罚或正式约谈只按最高的扣分计算 1次 。如果扣完本项分值，可以从总分中扣。以联合体形式投标的，若各联合体成员任何一方或均存在上述情形的，对联合体各成员进行累计扣分。</w:t>
            </w:r>
          </w:p>
        </w:tc>
      </w:tr>
    </w:tbl>
    <w:p>
      <w:pPr>
        <w:spacing w:line="400" w:lineRule="exact"/>
        <w:rPr>
          <w:rFonts w:ascii="Calibri" w:hAnsi="Calibri" w:eastAsia="宋体" w:cs="Times New Roman"/>
          <w:spacing w:val="0"/>
          <w:sz w:val="21"/>
          <w:szCs w:val="24"/>
        </w:rPr>
      </w:pPr>
    </w:p>
    <w:p>
      <w:pPr>
        <w:pStyle w:val="2"/>
        <w:spacing w:line="240" w:lineRule="auto"/>
        <w:rPr>
          <w:spacing w:val="0"/>
        </w:rPr>
      </w:pPr>
    </w:p>
    <w:p>
      <w:pPr>
        <w:pStyle w:val="2"/>
        <w:spacing w:line="240" w:lineRule="auto"/>
        <w:rPr>
          <w:spacing w:val="0"/>
        </w:rPr>
      </w:pP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noWrap w:val="0"/>
            <w:vAlign w:val="top"/>
          </w:tcPr>
          <w:p>
            <w:pPr>
              <w:spacing w:line="400" w:lineRule="exact"/>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条款号</w:t>
            </w:r>
          </w:p>
        </w:tc>
        <w:tc>
          <w:tcPr>
            <w:tcW w:w="8000" w:type="dxa"/>
            <w:noWrap w:val="0"/>
            <w:vAlign w:val="top"/>
          </w:tcPr>
          <w:p>
            <w:pPr>
              <w:widowControl/>
              <w:spacing w:line="400" w:lineRule="exact"/>
              <w:jc w:val="center"/>
              <w:rPr>
                <w:rFonts w:ascii="宋体" w:hAnsi="宋体" w:eastAsia="宋体" w:cs="宋体"/>
                <w:b/>
                <w:bCs/>
                <w:color w:val="000000"/>
                <w:spacing w:val="0"/>
                <w:sz w:val="21"/>
                <w:szCs w:val="24"/>
              </w:rPr>
            </w:pPr>
            <w:r>
              <w:rPr>
                <w:rFonts w:hint="eastAsia" w:ascii="宋体" w:hAnsi="宋体" w:eastAsia="宋体" w:cs="宋体"/>
                <w:b/>
                <w:bCs/>
                <w:color w:val="000000"/>
                <w:spacing w:val="0"/>
                <w:kern w:val="0"/>
                <w:sz w:val="21"/>
                <w:szCs w:val="24"/>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1</w:t>
            </w:r>
          </w:p>
        </w:tc>
        <w:tc>
          <w:tcPr>
            <w:tcW w:w="8000" w:type="dxa"/>
            <w:noWrap w:val="0"/>
            <w:vAlign w:val="top"/>
          </w:tcPr>
          <w:p>
            <w:pPr>
              <w:widowControl/>
              <w:spacing w:line="400" w:lineRule="exact"/>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将评标办法原文第 1 条“评标方法”改为“评标方法、组织及工作程序”，原文内容修改如下：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1.评标方法、组织及工作程序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1.1 评标方法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w:t>
            </w:r>
            <w:r>
              <w:rPr>
                <w:rFonts w:hint="eastAsia" w:ascii="宋体" w:hAnsi="宋体" w:eastAsia="宋体" w:cs="宋体"/>
                <w:color w:val="000000"/>
                <w:spacing w:val="0"/>
                <w:sz w:val="21"/>
                <w:szCs w:val="24"/>
                <w:u w:val="single"/>
              </w:rPr>
              <w:t>前 5 名（不少于 3 名但不足 5 名时，按全部实际数量）</w:t>
            </w:r>
            <w:r>
              <w:rPr>
                <w:rFonts w:hint="eastAsia" w:ascii="宋体" w:hAnsi="宋体" w:eastAsia="宋体" w:cs="宋体"/>
                <w:color w:val="000000"/>
                <w:spacing w:val="0"/>
                <w:sz w:val="21"/>
                <w:szCs w:val="24"/>
              </w:rPr>
              <w:t xml:space="preserve">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 评标组织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1.2.1 协助工作组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招标人可在评标工作开始前成立协助工作组，选派熟悉招标工作、政治素质高的人员组成，协助评标委员会工作。协助工作组人员的具体数量由招标人视评标工作量确定。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招标人可以协助评标委员会开展下列工作并提供相关信息：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（1）根据招标文件，编制评标使用的相应表格；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（2）对投标报价进行算术性校核 (如采用固化工程量清单，本步骤省略) ；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（3）以评标标准和方法为依据，列出投标文件相对于招标文件的所有偏差，并进行归类汇总；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（4）查询公路建设市场信用信息管理系统，对投标人的资质、业绩、主要人员资历和目前在岗情况、信用等级进行核实。</w:t>
            </w:r>
          </w:p>
          <w:p>
            <w:pPr>
              <w:widowControl/>
              <w:spacing w:line="400" w:lineRule="exact"/>
              <w:ind w:firstLine="399" w:firstLineChars="190"/>
              <w:jc w:val="left"/>
              <w:rPr>
                <w:rFonts w:ascii="宋体" w:hAnsi="宋体" w:eastAsia="宋体" w:cs="宋体"/>
                <w:color w:val="000000"/>
                <w:spacing w:val="0"/>
                <w:sz w:val="21"/>
                <w:szCs w:val="24"/>
                <w:highlight w:val="yellow"/>
              </w:rPr>
            </w:pPr>
            <w:r>
              <w:rPr>
                <w:rFonts w:hint="eastAsia" w:ascii="宋体" w:hAnsi="宋体" w:eastAsia="宋体" w:cs="宋体"/>
                <w:color w:val="000000"/>
                <w:spacing w:val="0"/>
                <w:sz w:val="21"/>
                <w:szCs w:val="24"/>
              </w:rPr>
              <w:t xml:space="preserve">招标人不得对投标文件作出任何评价，不得故意遗漏或者片面摘录，不得在评标委员会对所有偏差定性之前透露存有偏差的投标人名称。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1.2.2 评标委员会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评标委员会由招标人按国家、广东省等的有关规定依法组建。评标委员会的主要工作内容包括：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（1）评标委员会开始评标工作之前，首先听取招标人、协助工作组关于工程情况和辅助工作的说明，并认真研读招标文件，获取评标所需的重要信息和数据；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（2）对协助工作组提供的评标工作用表和评标内容进行核查。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sz w:val="21"/>
                <w:szCs w:val="24"/>
              </w:rPr>
              <w:t xml:space="preserve">（3）按照以下 1.3 款程序进行各项评审工作。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1.3 评审工作程序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（一）第一信封（商务及技术文件）：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l、初步评审：包括形式评审与响应性评审、资格评审；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2、详细评审（评审打分）：评标委员会首先对通过第一信封初步评审的投标文件进行详细评审，对投标人的施工组织设计、主要人员、其他因素等分别评审打分，并按照综合得分由高到低排序，排名在招标文件规定数量</w:t>
            </w:r>
            <w:r>
              <w:rPr>
                <w:rFonts w:hint="eastAsia" w:ascii="宋体" w:hAnsi="宋体" w:eastAsia="宋体" w:cs="宋体"/>
                <w:color w:val="000000"/>
                <w:spacing w:val="0"/>
                <w:kern w:val="0"/>
                <w:sz w:val="21"/>
                <w:szCs w:val="24"/>
                <w:u w:val="single"/>
              </w:rPr>
              <w:t>前 5 名（不少于3名但不足5名的，按全部实际数量）</w:t>
            </w:r>
            <w:r>
              <w:rPr>
                <w:rFonts w:hint="eastAsia" w:ascii="宋体" w:hAnsi="宋体" w:eastAsia="宋体" w:cs="宋体"/>
                <w:color w:val="000000"/>
                <w:spacing w:val="0"/>
                <w:kern w:val="0"/>
                <w:sz w:val="21"/>
                <w:szCs w:val="24"/>
              </w:rPr>
              <w:t xml:space="preserve">的投标人，其投标文件第一信封（商务及技术文件）通过详细评审。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（二）第二信封（报价文件）：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1、初步评审：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（1）只有对投标文件第一个信封通过详细评审的投标人的报价文件才能继续参加第二信封报价文件的形式评审与响应性评审。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（2）报价算术性修正(如采用固化工程量清单，本步骤省略)；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2、详细评审：计算评标价。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（三）投标文件相关信息的核查。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（四）投标文件的澄清和说明(如有)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（五）按评标办法规定按照第二信封的评标价由低到高的顺序推荐中标候选人，编写评标报告。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sz w:val="21"/>
                <w:szCs w:val="24"/>
              </w:rPr>
              <w:t>3.2.2</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将评标办法原文第 3.2.2 项修改如下：</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3.2.3</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将评标办法范本原文第 3.2.3 项细化如下： </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投标人的商务和技术得分=A+B+C。 </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 xml:space="preserve">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  </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(2) 如次分差值仍相同，则按随机抽取的方式选定取消1名评委评分。</w:t>
            </w:r>
          </w:p>
          <w:p>
            <w:pPr>
              <w:widowControl/>
              <w:spacing w:line="400" w:lineRule="exact"/>
              <w:ind w:firstLine="399" w:firstLineChars="190"/>
              <w:jc w:val="left"/>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 xml:space="preserve">示例:同一评委对 5 名投标人技术评分总分分别为:6.65 (最高分)、5.88、5.11、 4.90(次低分) 、4.55(最低分) ，则其最大差值为 2.1、次大差值为 6.65-4.90=1.75)。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3.6</w:t>
            </w: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3.6.2项 (2) 目末增加以下条款：</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g.当一家以上投标人评标价相同时，若各投标人工程量清单细目单价也相同， 视为串标 ( 一个标段仅一工作细目报价的除外) 。</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h.广东省实施《中华人民共和国招标投标法》办法第十六条规定的情形。</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增加3.6.3项：</w:t>
            </w:r>
          </w:p>
          <w:p>
            <w:pPr>
              <w:widowControl/>
              <w:spacing w:line="400" w:lineRule="exact"/>
              <w:ind w:firstLine="399" w:firstLineChars="190"/>
              <w:jc w:val="left"/>
              <w:rPr>
                <w:rFonts w:ascii="宋体" w:hAnsi="宋体" w:eastAsia="宋体" w:cs="宋体"/>
                <w:color w:val="000000"/>
                <w:spacing w:val="0"/>
                <w:sz w:val="21"/>
                <w:szCs w:val="24"/>
              </w:rPr>
            </w:pPr>
            <w:r>
              <w:rPr>
                <w:rFonts w:ascii="宋体" w:hAnsi="宋体" w:eastAsia="宋体" w:cs="宋体"/>
                <w:color w:val="000000"/>
                <w:spacing w:val="0"/>
                <w:sz w:val="21"/>
                <w:szCs w:val="24"/>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center"/>
          </w:tcPr>
          <w:p>
            <w:pPr>
              <w:widowControl/>
              <w:spacing w:line="400" w:lineRule="exact"/>
              <w:jc w:val="center"/>
              <w:rPr>
                <w:rFonts w:ascii="宋体" w:hAnsi="宋体" w:eastAsia="宋体" w:cs="宋体"/>
                <w:color w:val="000000"/>
                <w:spacing w:val="0"/>
                <w:sz w:val="21"/>
                <w:szCs w:val="24"/>
              </w:rPr>
            </w:pPr>
            <w:r>
              <w:rPr>
                <w:rFonts w:hint="eastAsia" w:ascii="宋体" w:hAnsi="宋体" w:eastAsia="宋体" w:cs="宋体"/>
                <w:color w:val="000000"/>
                <w:spacing w:val="0"/>
                <w:kern w:val="0"/>
                <w:sz w:val="21"/>
                <w:szCs w:val="24"/>
              </w:rPr>
              <w:t>3.9</w:t>
            </w:r>
          </w:p>
          <w:p>
            <w:pPr>
              <w:widowControl/>
              <w:spacing w:line="400" w:lineRule="exact"/>
              <w:jc w:val="center"/>
              <w:rPr>
                <w:rFonts w:ascii="宋体" w:hAnsi="宋体" w:eastAsia="宋体" w:cs="宋体"/>
                <w:color w:val="000000"/>
                <w:spacing w:val="0"/>
                <w:kern w:val="0"/>
                <w:sz w:val="21"/>
                <w:szCs w:val="24"/>
              </w:rPr>
            </w:pPr>
          </w:p>
        </w:tc>
        <w:tc>
          <w:tcPr>
            <w:tcW w:w="8000" w:type="dxa"/>
            <w:noWrap w:val="0"/>
            <w:vAlign w:val="top"/>
          </w:tcPr>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增加 3.9.3-3.9.7 项：</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3.9.3 推荐中标候选人方式：(1) 已被推荐为某一标段的第一中标候选人，自动失去其在本次招标中其他标段的中标候选人资格。(2)按标段最高投标限价由高到低顺序依次选定各标段中标候选人，如果出现投标人在多个标段都排名第一，将 确定该投标人为最高投标限价较高的标段的第一中标候选人，同时该投标人自动失</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去在本次招标中其他标段的中标候选人资格，其他标段的综合排名名次高者自动上升为中标候选人，以此类推。</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3.9.4 通过第一个信封商务及技术文件评审的投标人少于 3 个的，评标委员会应 否决全部投标。</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3.9.5 通过第一个信封商务及技术文件评审的投标人在 3 个及以上的，招标人应当按照招标文件规定的程序进行第二个信封报价文件开标；在对报价文件进行评审 后，有效投标不足 3 个的，评标委员会可以否决全部投标。未否决全部投标的，评 标委员会应当在评标报告中阐明理由并推荐中标候选人。</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3.9.6 如果发生无法确定推荐中标候选人的其他意外情况，评标委员会可建议招</w:t>
            </w:r>
          </w:p>
          <w:p>
            <w:pPr>
              <w:widowControl/>
              <w:spacing w:line="400" w:lineRule="exact"/>
              <w:ind w:firstLine="399" w:firstLineChars="190"/>
              <w:jc w:val="left"/>
              <w:rPr>
                <w:rFonts w:ascii="宋体" w:hAnsi="宋体" w:eastAsia="宋体" w:cs="宋体"/>
                <w:color w:val="000000"/>
                <w:spacing w:val="0"/>
                <w:kern w:val="0"/>
                <w:sz w:val="21"/>
                <w:szCs w:val="24"/>
              </w:rPr>
            </w:pPr>
            <w:r>
              <w:rPr>
                <w:rFonts w:hint="eastAsia" w:ascii="宋体" w:hAnsi="宋体" w:eastAsia="宋体" w:cs="宋体"/>
                <w:color w:val="000000"/>
                <w:spacing w:val="0"/>
                <w:kern w:val="0"/>
                <w:sz w:val="21"/>
                <w:szCs w:val="24"/>
              </w:rPr>
              <w:t>标人重新招标。</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DAC78"/>
    <w:multiLevelType w:val="singleLevel"/>
    <w:tmpl w:val="B70DAC78"/>
    <w:lvl w:ilvl="0" w:tentative="0">
      <w:start w:val="1"/>
      <w:numFmt w:val="decimal"/>
      <w:suff w:val="nothing"/>
      <w:lvlText w:val="（%1）"/>
      <w:lvlJc w:val="left"/>
    </w:lvl>
  </w:abstractNum>
  <w:abstractNum w:abstractNumId="1">
    <w:nsid w:val="DD309055"/>
    <w:multiLevelType w:val="singleLevel"/>
    <w:tmpl w:val="DD309055"/>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NzRiZGYwNTI0ZDNjZjZjNjE3MDlmNzk3MDA5ZGEifQ=="/>
  </w:docVars>
  <w:rsids>
    <w:rsidRoot w:val="00000000"/>
    <w:rsid w:val="6E27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next w:val="5"/>
    <w:qFormat/>
    <w:uiPriority w:val="0"/>
    <w:pPr>
      <w:widowControl w:val="0"/>
      <w:spacing w:after="120"/>
      <w:jc w:val="both"/>
    </w:pPr>
    <w:rPr>
      <w:rFonts w:ascii="Calibri" w:hAnsi="Calibri" w:eastAsia="宋体" w:cs="Times New Roman"/>
      <w:kern w:val="0"/>
      <w:sz w:val="20"/>
      <w:szCs w:val="20"/>
      <w:lang w:val="en-US" w:eastAsia="zh-CN" w:bidi="ar-SA"/>
    </w:rPr>
  </w:style>
  <w:style w:type="paragraph" w:styleId="5">
    <w:name w:val="Body Text 2"/>
    <w:qFormat/>
    <w:uiPriority w:val="0"/>
    <w:pPr>
      <w:widowControl w:val="0"/>
      <w:jc w:val="both"/>
    </w:pPr>
    <w:rPr>
      <w:rFonts w:ascii="宋体" w:hAnsi="宋体" w:eastAsia="宋体" w:cs="Times New Roman"/>
      <w:color w:val="51585D"/>
      <w:kern w:val="0"/>
      <w:sz w:val="28"/>
      <w:szCs w:val="24"/>
      <w:lang w:val="en-US" w:eastAsia="zh-CN" w:bidi="ar-SA"/>
    </w:rPr>
  </w:style>
  <w:style w:type="paragraph" w:customStyle="1" w:styleId="8">
    <w:name w:val="Table Paragraph"/>
    <w:qFormat/>
    <w:uiPriority w:val="0"/>
    <w:pPr>
      <w:widowControl w:val="0"/>
      <w:autoSpaceDE w:val="0"/>
      <w:autoSpaceDN w:val="0"/>
      <w:jc w:val="left"/>
    </w:pPr>
    <w:rPr>
      <w:rFonts w:hint="eastAsia" w:ascii="宋体" w:hAnsi="宋体" w:eastAsia="宋体" w:cs="Times New Roman"/>
      <w:kern w:val="0"/>
      <w:sz w:val="22"/>
      <w:szCs w:val="22"/>
      <w:lang w:val="en-US" w:eastAsia="zh-CN" w:bidi="ar-SA"/>
    </w:rPr>
  </w:style>
  <w:style w:type="paragraph" w:customStyle="1" w:styleId="9">
    <w:name w:val="正文正"/>
    <w:qFormat/>
    <w:uiPriority w:val="99"/>
    <w:pPr>
      <w:widowControl w:val="0"/>
      <w:spacing w:line="560" w:lineRule="exact"/>
      <w:ind w:firstLine="561"/>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2023-10-12T06:35:03Z</dcterms:created>
  <dc:creator>Administrator</dc:creator>
  <cp:lastModifiedBy>李</cp:lastModifiedBy>
  <dcterms:modified xsi:type="dcterms:W3CDTF">2023-10-12T06:36:13Z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368C699BB6664E36887C8758BEC547D8_12</vt:lpwstr>
  </property>
</Properties>
</file>