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黑体"/>
          <w:color w:val="000000"/>
          <w:sz w:val="36"/>
          <w:szCs w:val="36"/>
        </w:rPr>
      </w:pPr>
      <w:r>
        <w:rPr>
          <w:rFonts w:hint="eastAsia" w:ascii="Times New Roman" w:hAnsi="Times New Roman" w:eastAsia="黑体"/>
          <w:color w:val="000000"/>
          <w:sz w:val="36"/>
          <w:szCs w:val="36"/>
        </w:rPr>
        <w:t>东莞市城市轨道交通1号线一期工程(望洪站~黄江中心站段)段场设备集成采购项目（1504标）</w:t>
      </w:r>
    </w:p>
    <w:p>
      <w:pPr>
        <w:spacing w:line="440" w:lineRule="exact"/>
        <w:jc w:val="center"/>
        <w:rPr>
          <w:rFonts w:ascii="Times New Roman" w:hAnsi="Times New Roman" w:eastAsia="黑体"/>
          <w:color w:val="000000"/>
          <w:sz w:val="22"/>
          <w:szCs w:val="28"/>
        </w:rPr>
      </w:pPr>
      <w:r>
        <w:rPr>
          <w:rFonts w:ascii="Times New Roman" w:hAnsi="Times New Roman" w:eastAsia="黑体"/>
          <w:color w:val="000000"/>
          <w:sz w:val="36"/>
          <w:szCs w:val="28"/>
        </w:rPr>
        <w:t>招标公告</w:t>
      </w:r>
    </w:p>
    <w:p>
      <w:pPr>
        <w:keepNext/>
        <w:keepLines/>
        <w:spacing w:before="260" w:after="260"/>
        <w:outlineLvl w:val="1"/>
        <w:rPr>
          <w:rFonts w:ascii="Times New Roman" w:hAnsi="Times New Roman" w:eastAsia="黑体"/>
          <w:b/>
          <w:color w:val="auto"/>
          <w:sz w:val="32"/>
          <w:szCs w:val="20"/>
        </w:rPr>
      </w:pPr>
      <w:bookmarkStart w:id="0" w:name="_Toc22863"/>
      <w:bookmarkStart w:id="1" w:name="_Toc20997"/>
      <w:bookmarkStart w:id="2" w:name="_Toc11073605"/>
      <w:bookmarkStart w:id="3" w:name="_Toc9357"/>
      <w:bookmarkStart w:id="4" w:name="_Toc11073613"/>
      <w:bookmarkStart w:id="5" w:name="_Toc32147"/>
      <w:bookmarkStart w:id="6" w:name="_Toc8229"/>
      <w:bookmarkStart w:id="7" w:name="_Toc23221"/>
      <w:r>
        <w:rPr>
          <w:rFonts w:ascii="Times New Roman" w:hAnsi="Times New Roman" w:eastAsia="黑体"/>
          <w:b/>
          <w:color w:val="auto"/>
          <w:sz w:val="32"/>
          <w:szCs w:val="20"/>
        </w:rPr>
        <w:t>1. 招标条件</w:t>
      </w:r>
      <w:bookmarkEnd w:id="0"/>
      <w:bookmarkEnd w:id="1"/>
      <w:bookmarkEnd w:id="2"/>
      <w:bookmarkEnd w:id="3"/>
    </w:p>
    <w:p>
      <w:pPr>
        <w:spacing w:line="400" w:lineRule="exact"/>
        <w:ind w:firstLine="420" w:firstLineChars="200"/>
        <w:rPr>
          <w:rFonts w:ascii="Times New Roman" w:hAnsi="Times New Roman"/>
          <w:color w:val="auto"/>
        </w:rPr>
      </w:pPr>
      <w:r>
        <w:rPr>
          <w:rFonts w:ascii="Times New Roman" w:hAnsi="Times New Roman"/>
          <w:color w:val="auto"/>
        </w:rPr>
        <w:t>本招标项目</w:t>
      </w:r>
      <w:r>
        <w:rPr>
          <w:rFonts w:hint="eastAsia" w:ascii="Times New Roman" w:hAnsi="Times New Roman"/>
          <w:color w:val="auto"/>
          <w:u w:val="single"/>
        </w:rPr>
        <w:t>东莞市城市轨道交通1号线一期工程(望洪站~黄江中心站段)段场设备集成采购项目（1504标），</w:t>
      </w:r>
      <w:r>
        <w:rPr>
          <w:rFonts w:ascii="Times New Roman" w:hAnsi="Times New Roman"/>
          <w:color w:val="auto"/>
        </w:rPr>
        <w:t>招标人为</w:t>
      </w:r>
      <w:r>
        <w:rPr>
          <w:rFonts w:hint="eastAsia" w:ascii="Times New Roman" w:hAnsi="Times New Roman"/>
          <w:color w:val="auto"/>
          <w:u w:val="single"/>
        </w:rPr>
        <w:t>东莞市轨道一号线建设发展有限公司</w:t>
      </w:r>
      <w:r>
        <w:rPr>
          <w:rFonts w:ascii="Times New Roman" w:hAnsi="Times New Roman"/>
          <w:color w:val="auto"/>
        </w:rPr>
        <w:t>，</w:t>
      </w:r>
      <w:r>
        <w:rPr>
          <w:rFonts w:hint="eastAsia" w:ascii="Times New Roman" w:hAnsi="Times New Roman"/>
          <w:color w:val="auto"/>
        </w:rPr>
        <w:t>招标代理机构为</w:t>
      </w:r>
      <w:r>
        <w:rPr>
          <w:rFonts w:hint="eastAsia" w:ascii="Times New Roman" w:hAnsi="Times New Roman"/>
          <w:color w:val="auto"/>
          <w:u w:val="single"/>
        </w:rPr>
        <w:t>广东华迪工程管理有限公司</w:t>
      </w:r>
      <w:r>
        <w:rPr>
          <w:rFonts w:hint="eastAsia" w:ascii="Times New Roman" w:hAnsi="Times New Roman"/>
          <w:color w:val="auto"/>
        </w:rPr>
        <w:t>，</w:t>
      </w:r>
      <w:r>
        <w:rPr>
          <w:rFonts w:ascii="Times New Roman" w:hAnsi="Times New Roman"/>
          <w:color w:val="auto"/>
        </w:rPr>
        <w:t>招标项目资金来自</w:t>
      </w:r>
      <w:r>
        <w:rPr>
          <w:rFonts w:hint="eastAsia" w:ascii="宋体" w:hAnsi="宋体"/>
          <w:color w:val="auto"/>
          <w:u w:val="single"/>
        </w:rPr>
        <w:t>政府筹资+社会资本</w:t>
      </w:r>
      <w:r>
        <w:rPr>
          <w:rFonts w:hint="eastAsia" w:ascii="宋体" w:hAnsi="宋体"/>
          <w:color w:val="auto"/>
        </w:rPr>
        <w:t>,</w:t>
      </w:r>
      <w:r>
        <w:rPr>
          <w:rFonts w:hint="eastAsia" w:ascii="Times New Roman" w:hAnsi="Times New Roman"/>
          <w:color w:val="auto"/>
        </w:rPr>
        <w:t>出资比例为</w:t>
      </w:r>
      <w:r>
        <w:rPr>
          <w:rFonts w:hint="eastAsia" w:ascii="Times New Roman" w:hAnsi="Times New Roman"/>
          <w:color w:val="auto"/>
          <w:u w:val="single"/>
        </w:rPr>
        <w:t>政府筹资4</w:t>
      </w:r>
      <w:r>
        <w:rPr>
          <w:rFonts w:ascii="Times New Roman" w:hAnsi="Times New Roman"/>
          <w:color w:val="auto"/>
          <w:u w:val="single"/>
        </w:rPr>
        <w:t>9.5</w:t>
      </w:r>
      <w:r>
        <w:rPr>
          <w:rFonts w:hint="eastAsia" w:ascii="Times New Roman" w:hAnsi="Times New Roman"/>
          <w:color w:val="auto"/>
          <w:u w:val="single"/>
        </w:rPr>
        <w:t>%，社会资本筹资5</w:t>
      </w:r>
      <w:r>
        <w:rPr>
          <w:rFonts w:ascii="Times New Roman" w:hAnsi="Times New Roman"/>
          <w:color w:val="auto"/>
          <w:u w:val="single"/>
        </w:rPr>
        <w:t>0.5</w:t>
      </w:r>
      <w:r>
        <w:rPr>
          <w:rFonts w:hint="eastAsia" w:ascii="Times New Roman" w:hAnsi="Times New Roman"/>
          <w:color w:val="auto"/>
          <w:u w:val="single"/>
        </w:rPr>
        <w:t>%</w:t>
      </w:r>
      <w:r>
        <w:rPr>
          <w:rFonts w:hint="eastAsia" w:ascii="Times New Roman" w:hAnsi="Times New Roman"/>
          <w:color w:val="auto"/>
        </w:rPr>
        <w:t>。</w:t>
      </w:r>
      <w:r>
        <w:rPr>
          <w:rFonts w:ascii="Times New Roman" w:hAnsi="Times New Roman"/>
          <w:color w:val="auto"/>
        </w:rPr>
        <w:t>该项目已具备招标条件，现对</w:t>
      </w:r>
      <w:r>
        <w:rPr>
          <w:rFonts w:ascii="Times New Roman" w:hAnsi="Times New Roman"/>
          <w:color w:val="auto"/>
          <w:u w:val="single"/>
        </w:rPr>
        <w:t xml:space="preserve"> </w:t>
      </w:r>
      <w:r>
        <w:rPr>
          <w:rFonts w:hint="eastAsia" w:ascii="Times New Roman" w:hAnsi="Times New Roman"/>
          <w:color w:val="auto"/>
          <w:u w:val="single"/>
        </w:rPr>
        <w:t>段场设备</w:t>
      </w:r>
      <w:r>
        <w:rPr>
          <w:rFonts w:ascii="Times New Roman" w:hAnsi="Times New Roman"/>
          <w:color w:val="auto"/>
          <w:u w:val="single"/>
        </w:rPr>
        <w:t xml:space="preserve"> </w:t>
      </w:r>
      <w:r>
        <w:rPr>
          <w:rFonts w:hint="eastAsia" w:ascii="Times New Roman" w:hAnsi="Times New Roman"/>
          <w:color w:val="auto"/>
        </w:rPr>
        <w:t>采购项目的设备及相关服务</w:t>
      </w:r>
      <w:r>
        <w:rPr>
          <w:rFonts w:ascii="Times New Roman" w:hAnsi="Times New Roman"/>
          <w:color w:val="auto"/>
        </w:rPr>
        <w:t>采购进行公开招标。</w:t>
      </w:r>
    </w:p>
    <w:p>
      <w:pPr>
        <w:keepNext/>
        <w:keepLines/>
        <w:spacing w:before="260" w:after="260"/>
        <w:outlineLvl w:val="1"/>
        <w:rPr>
          <w:rFonts w:ascii="Times New Roman" w:hAnsi="Times New Roman" w:eastAsia="黑体"/>
          <w:b/>
          <w:color w:val="auto"/>
          <w:sz w:val="32"/>
          <w:szCs w:val="20"/>
        </w:rPr>
      </w:pPr>
      <w:bookmarkStart w:id="8" w:name="_Toc9908"/>
      <w:bookmarkStart w:id="9" w:name="_Toc20290"/>
      <w:bookmarkStart w:id="10" w:name="_Toc10006"/>
      <w:bookmarkStart w:id="11" w:name="_Toc11073606"/>
      <w:r>
        <w:rPr>
          <w:rFonts w:ascii="Times New Roman" w:hAnsi="Times New Roman" w:eastAsia="黑体"/>
          <w:b/>
          <w:color w:val="auto"/>
          <w:sz w:val="32"/>
          <w:szCs w:val="20"/>
        </w:rPr>
        <w:t>2. 项目概况与</w:t>
      </w:r>
      <w:r>
        <w:rPr>
          <w:rFonts w:hint="eastAsia" w:ascii="Times New Roman" w:hAnsi="Times New Roman" w:eastAsia="黑体"/>
          <w:b/>
          <w:color w:val="auto"/>
          <w:sz w:val="32"/>
          <w:szCs w:val="20"/>
        </w:rPr>
        <w:t>招标范围</w:t>
      </w:r>
      <w:bookmarkEnd w:id="8"/>
      <w:bookmarkEnd w:id="9"/>
      <w:bookmarkEnd w:id="10"/>
      <w:bookmarkEnd w:id="11"/>
    </w:p>
    <w:p>
      <w:pPr>
        <w:snapToGrid w:val="0"/>
        <w:spacing w:line="360" w:lineRule="auto"/>
        <w:ind w:firstLine="420" w:firstLineChars="200"/>
        <w:rPr>
          <w:rFonts w:ascii="Times New Roman" w:hAnsi="Times New Roman"/>
          <w:color w:val="auto"/>
        </w:rPr>
      </w:pPr>
      <w:r>
        <w:rPr>
          <w:rFonts w:hint="eastAsia" w:ascii="Times New Roman" w:hAnsi="Times New Roman"/>
          <w:color w:val="auto"/>
        </w:rPr>
        <w:t>（</w:t>
      </w:r>
      <w:r>
        <w:rPr>
          <w:rFonts w:ascii="Times New Roman" w:hAnsi="Times New Roman"/>
          <w:color w:val="auto"/>
        </w:rPr>
        <w:t>1</w:t>
      </w:r>
      <w:r>
        <w:rPr>
          <w:rFonts w:hint="eastAsia" w:ascii="Times New Roman" w:hAnsi="Times New Roman"/>
          <w:color w:val="auto"/>
        </w:rPr>
        <w:t>）东莞轨道交通1号线一期工程（望洪站～黄江中心站）长57.46km，其中高架段线路长度约7.71km，占一期工程13.41%；地下段线路长度约49.43km，占一期工程线路长度约86.03%；过渡段长度约0.32km，占一期约0.56%。设置车站25座，其中3座高架站，22座地下站，平均站间距2370m。最大站间距5053m，为水濂山站～大岭山北站区间；最小站间距851m，为中心广场站～鸿福路站区间。在道滘镇（道滘站西侧）设车辆段1座，在黄江镇（黄江中心站北侧）设停车场1座，控制中心使用2号线西平站旁边的线网控制中心，全线共设置4座主变电所，分别位于道滘车辆段、旗峰公园（与2号线共享）、松山湖和黄江停车场。</w:t>
      </w:r>
    </w:p>
    <w:p>
      <w:pPr>
        <w:spacing w:line="400" w:lineRule="exact"/>
        <w:ind w:firstLine="424" w:firstLineChars="202"/>
        <w:rPr>
          <w:rFonts w:ascii="Times New Roman" w:hAnsi="Times New Roman"/>
          <w:color w:val="auto"/>
          <w:u w:val="single"/>
        </w:rPr>
      </w:pPr>
      <w:r>
        <w:rPr>
          <w:rFonts w:hint="eastAsia" w:ascii="Times New Roman" w:hAnsi="Times New Roman"/>
          <w:color w:val="auto"/>
        </w:rPr>
        <w:t>（</w:t>
      </w:r>
      <w:r>
        <w:rPr>
          <w:rFonts w:ascii="Times New Roman" w:hAnsi="Times New Roman"/>
          <w:color w:val="auto"/>
        </w:rPr>
        <w:t>2</w:t>
      </w:r>
      <w:r>
        <w:rPr>
          <w:rFonts w:hint="eastAsia" w:ascii="Times New Roman" w:hAnsi="Times New Roman"/>
          <w:color w:val="auto"/>
        </w:rPr>
        <w:t>）工程建设地点：</w:t>
      </w:r>
      <w:r>
        <w:rPr>
          <w:rFonts w:hint="eastAsia" w:ascii="Times New Roman" w:hAnsi="Times New Roman"/>
          <w:color w:val="auto"/>
          <w:u w:val="single"/>
        </w:rPr>
        <w:t>广东省东莞市</w:t>
      </w:r>
    </w:p>
    <w:p>
      <w:pPr>
        <w:spacing w:line="400" w:lineRule="exact"/>
        <w:ind w:firstLine="420"/>
        <w:rPr>
          <w:rFonts w:ascii="Times New Roman" w:hAnsi="Times New Roman"/>
          <w:color w:val="auto"/>
          <w:u w:val="single"/>
        </w:rPr>
      </w:pPr>
      <w:r>
        <w:rPr>
          <w:rFonts w:hint="eastAsia" w:ascii="Times New Roman" w:hAnsi="Times New Roman"/>
          <w:color w:val="auto"/>
        </w:rPr>
        <w:t>（</w:t>
      </w:r>
      <w:r>
        <w:rPr>
          <w:rFonts w:ascii="Times New Roman" w:hAnsi="Times New Roman"/>
          <w:color w:val="auto"/>
        </w:rPr>
        <w:t>3</w:t>
      </w:r>
      <w:r>
        <w:rPr>
          <w:rFonts w:hint="eastAsia" w:ascii="Times New Roman" w:hAnsi="Times New Roman"/>
          <w:color w:val="auto"/>
        </w:rPr>
        <w:t>）</w:t>
      </w:r>
      <w:r>
        <w:rPr>
          <w:rFonts w:hint="eastAsia" w:ascii="宋体" w:hAnsi="宋体" w:cs="MingLiU"/>
          <w:color w:val="auto"/>
          <w:kern w:val="0"/>
          <w:szCs w:val="21"/>
        </w:rPr>
        <w:t>工程</w:t>
      </w:r>
      <w:r>
        <w:rPr>
          <w:rFonts w:hint="eastAsia" w:ascii="Times New Roman" w:hAnsi="Times New Roman"/>
          <w:color w:val="auto"/>
        </w:rPr>
        <w:t>建设工期：</w:t>
      </w:r>
      <w:r>
        <w:rPr>
          <w:rFonts w:hint="eastAsia" w:ascii="宋体" w:hAnsi="宋体"/>
          <w:color w:val="auto"/>
          <w:szCs w:val="21"/>
        </w:rPr>
        <w:t>本线路的项目建设周期，暂定如下，招标人可根据线路工程的实际情况对下述工期计划进行提前、延后或调整。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91"/>
        <w:gridCol w:w="4090"/>
        <w:gridCol w:w="1156"/>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91" w:type="dxa"/>
            <w:noWrap w:val="0"/>
            <w:tcMar>
              <w:top w:w="0" w:type="dxa"/>
              <w:left w:w="108" w:type="dxa"/>
              <w:bottom w:w="0" w:type="dxa"/>
              <w:right w:w="108" w:type="dxa"/>
            </w:tcMar>
            <w:vAlign w:val="center"/>
          </w:tcPr>
          <w:p>
            <w:pPr>
              <w:jc w:val="center"/>
              <w:rPr>
                <w:rFonts w:ascii="宋体" w:hAnsi="宋体" w:cs="Calibri"/>
                <w:b/>
                <w:bCs/>
                <w:color w:val="auto"/>
                <w:szCs w:val="21"/>
              </w:rPr>
            </w:pPr>
            <w:r>
              <w:rPr>
                <w:rFonts w:hint="eastAsia" w:ascii="宋体" w:hAnsi="宋体"/>
                <w:b/>
                <w:bCs/>
                <w:color w:val="auto"/>
              </w:rPr>
              <w:t>线路</w:t>
            </w:r>
          </w:p>
        </w:tc>
        <w:tc>
          <w:tcPr>
            <w:tcW w:w="4090" w:type="dxa"/>
            <w:noWrap w:val="0"/>
            <w:tcMar>
              <w:top w:w="0" w:type="dxa"/>
              <w:left w:w="108" w:type="dxa"/>
              <w:bottom w:w="0" w:type="dxa"/>
              <w:right w:w="108" w:type="dxa"/>
            </w:tcMar>
            <w:vAlign w:val="center"/>
          </w:tcPr>
          <w:p>
            <w:pPr>
              <w:jc w:val="center"/>
              <w:rPr>
                <w:rFonts w:ascii="宋体" w:hAnsi="宋体" w:cs="Calibri"/>
                <w:b/>
                <w:bCs/>
                <w:color w:val="auto"/>
                <w:szCs w:val="21"/>
              </w:rPr>
            </w:pPr>
            <w:r>
              <w:rPr>
                <w:rFonts w:hint="eastAsia" w:ascii="宋体" w:hAnsi="宋体"/>
                <w:b/>
                <w:bCs/>
                <w:color w:val="auto"/>
              </w:rPr>
              <w:t>建设周期（年份）</w:t>
            </w:r>
          </w:p>
        </w:tc>
        <w:tc>
          <w:tcPr>
            <w:tcW w:w="1156" w:type="dxa"/>
            <w:noWrap w:val="0"/>
            <w:tcMar>
              <w:top w:w="0" w:type="dxa"/>
              <w:left w:w="108" w:type="dxa"/>
              <w:bottom w:w="0" w:type="dxa"/>
              <w:right w:w="108" w:type="dxa"/>
            </w:tcMar>
            <w:vAlign w:val="center"/>
          </w:tcPr>
          <w:p>
            <w:pPr>
              <w:jc w:val="center"/>
              <w:rPr>
                <w:rFonts w:ascii="宋体" w:hAnsi="宋体" w:cs="Calibri"/>
                <w:b/>
                <w:bCs/>
                <w:color w:val="auto"/>
                <w:szCs w:val="21"/>
              </w:rPr>
            </w:pPr>
            <w:r>
              <w:rPr>
                <w:rFonts w:hint="eastAsia" w:ascii="宋体" w:hAnsi="宋体"/>
                <w:b/>
                <w:bCs/>
                <w:color w:val="auto"/>
              </w:rPr>
              <w:t>线路长度</w:t>
            </w:r>
          </w:p>
        </w:tc>
        <w:tc>
          <w:tcPr>
            <w:tcW w:w="1485" w:type="dxa"/>
            <w:noWrap w:val="0"/>
            <w:tcMar>
              <w:top w:w="0" w:type="dxa"/>
              <w:left w:w="108" w:type="dxa"/>
              <w:bottom w:w="0" w:type="dxa"/>
              <w:right w:w="108" w:type="dxa"/>
            </w:tcMar>
            <w:vAlign w:val="center"/>
          </w:tcPr>
          <w:p>
            <w:pPr>
              <w:jc w:val="center"/>
              <w:rPr>
                <w:rFonts w:ascii="宋体" w:hAnsi="宋体" w:cs="Calibri"/>
                <w:b/>
                <w:bCs/>
                <w:color w:val="auto"/>
                <w:szCs w:val="21"/>
              </w:rPr>
            </w:pPr>
            <w:r>
              <w:rPr>
                <w:rFonts w:hint="eastAsia" w:ascii="宋体" w:hAnsi="宋体"/>
                <w:b/>
                <w:bCs/>
                <w:color w:val="auto"/>
              </w:rPr>
              <w:t>车站数量（站）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91" w:type="dxa"/>
            <w:noWrap w:val="0"/>
            <w:tcMar>
              <w:top w:w="0" w:type="dxa"/>
              <w:left w:w="108" w:type="dxa"/>
              <w:bottom w:w="0" w:type="dxa"/>
              <w:right w:w="108" w:type="dxa"/>
            </w:tcMar>
            <w:vAlign w:val="center"/>
          </w:tcPr>
          <w:p>
            <w:pPr>
              <w:jc w:val="center"/>
              <w:rPr>
                <w:rFonts w:ascii="宋体" w:hAnsi="宋体" w:cs="Calibri"/>
                <w:color w:val="auto"/>
                <w:szCs w:val="21"/>
              </w:rPr>
            </w:pPr>
            <w:r>
              <w:rPr>
                <w:rFonts w:hint="eastAsia" w:ascii="Times New Roman" w:hAnsi="Times New Roman"/>
                <w:color w:val="auto"/>
              </w:rPr>
              <w:t>1号线一期工程</w:t>
            </w:r>
          </w:p>
        </w:tc>
        <w:tc>
          <w:tcPr>
            <w:tcW w:w="4090" w:type="dxa"/>
            <w:noWrap w:val="0"/>
            <w:tcMar>
              <w:top w:w="0" w:type="dxa"/>
              <w:left w:w="108" w:type="dxa"/>
              <w:bottom w:w="0" w:type="dxa"/>
              <w:right w:w="108" w:type="dxa"/>
            </w:tcMar>
            <w:vAlign w:val="center"/>
          </w:tcPr>
          <w:p>
            <w:pPr>
              <w:jc w:val="center"/>
              <w:rPr>
                <w:rFonts w:ascii="宋体" w:hAnsi="宋体" w:cs="Calibri"/>
                <w:color w:val="auto"/>
                <w:szCs w:val="21"/>
              </w:rPr>
            </w:pPr>
            <w:r>
              <w:rPr>
                <w:rFonts w:ascii="宋体" w:hAnsi="宋体"/>
                <w:color w:val="auto"/>
              </w:rPr>
              <w:t>2019-202</w:t>
            </w:r>
            <w:r>
              <w:rPr>
                <w:rFonts w:hint="eastAsia" w:ascii="宋体" w:hAnsi="宋体"/>
                <w:color w:val="auto"/>
              </w:rPr>
              <w:t>4</w:t>
            </w:r>
          </w:p>
        </w:tc>
        <w:tc>
          <w:tcPr>
            <w:tcW w:w="1156" w:type="dxa"/>
            <w:noWrap w:val="0"/>
            <w:tcMar>
              <w:top w:w="0" w:type="dxa"/>
              <w:left w:w="108" w:type="dxa"/>
              <w:bottom w:w="0" w:type="dxa"/>
              <w:right w:w="108" w:type="dxa"/>
            </w:tcMar>
            <w:vAlign w:val="center"/>
          </w:tcPr>
          <w:p>
            <w:pPr>
              <w:jc w:val="center"/>
              <w:rPr>
                <w:rFonts w:ascii="宋体" w:hAnsi="宋体" w:cs="Calibri"/>
                <w:color w:val="auto"/>
                <w:szCs w:val="21"/>
              </w:rPr>
            </w:pPr>
            <w:r>
              <w:rPr>
                <w:rFonts w:ascii="宋体" w:hAnsi="宋体"/>
                <w:color w:val="auto"/>
              </w:rPr>
              <w:t>57.46km</w:t>
            </w:r>
          </w:p>
        </w:tc>
        <w:tc>
          <w:tcPr>
            <w:tcW w:w="1485" w:type="dxa"/>
            <w:noWrap w:val="0"/>
            <w:tcMar>
              <w:top w:w="0" w:type="dxa"/>
              <w:left w:w="108" w:type="dxa"/>
              <w:bottom w:w="0" w:type="dxa"/>
              <w:right w:w="108" w:type="dxa"/>
            </w:tcMar>
            <w:vAlign w:val="center"/>
          </w:tcPr>
          <w:p>
            <w:pPr>
              <w:jc w:val="center"/>
              <w:rPr>
                <w:rFonts w:ascii="宋体" w:hAnsi="宋体" w:cs="Calibri"/>
                <w:color w:val="auto"/>
                <w:szCs w:val="21"/>
              </w:rPr>
            </w:pPr>
            <w:r>
              <w:rPr>
                <w:rFonts w:ascii="宋体" w:hAnsi="宋体"/>
                <w:color w:val="auto"/>
              </w:rPr>
              <w:t>25</w:t>
            </w:r>
          </w:p>
        </w:tc>
      </w:tr>
    </w:tbl>
    <w:p>
      <w:pPr>
        <w:spacing w:line="400" w:lineRule="exact"/>
        <w:ind w:firstLine="420"/>
        <w:rPr>
          <w:rFonts w:ascii="Times New Roman" w:hAnsi="Times New Roman"/>
          <w:color w:val="auto"/>
        </w:rPr>
      </w:pPr>
      <w:r>
        <w:rPr>
          <w:rFonts w:hint="eastAsia" w:ascii="Times New Roman" w:hAnsi="Times New Roman"/>
          <w:color w:val="auto"/>
        </w:rPr>
        <w:t>（</w:t>
      </w:r>
      <w:r>
        <w:rPr>
          <w:rFonts w:ascii="Times New Roman" w:hAnsi="Times New Roman"/>
          <w:color w:val="auto"/>
        </w:rPr>
        <w:t>4</w:t>
      </w:r>
      <w:r>
        <w:rPr>
          <w:rFonts w:hint="eastAsia" w:ascii="Times New Roman" w:hAnsi="Times New Roman"/>
          <w:color w:val="auto"/>
        </w:rPr>
        <w:t>）标段划分：</w:t>
      </w:r>
      <w:r>
        <w:rPr>
          <w:rFonts w:ascii="Times New Roman" w:hAnsi="Times New Roman"/>
          <w:color w:val="auto"/>
          <w:u w:val="single"/>
        </w:rPr>
        <w:t xml:space="preserve"> </w:t>
      </w:r>
      <w:r>
        <w:rPr>
          <w:rFonts w:hint="eastAsia" w:ascii="Times New Roman" w:hAnsi="Times New Roman"/>
          <w:color w:val="auto"/>
          <w:u w:val="single"/>
        </w:rPr>
        <w:t>共1个标段</w:t>
      </w:r>
      <w:r>
        <w:rPr>
          <w:rFonts w:ascii="Times New Roman" w:hAnsi="Times New Roman"/>
          <w:color w:val="auto"/>
          <w:u w:val="single"/>
        </w:rPr>
        <w:t xml:space="preserve"> </w:t>
      </w:r>
    </w:p>
    <w:p>
      <w:pPr>
        <w:spacing w:line="360" w:lineRule="auto"/>
        <w:ind w:firstLine="420" w:firstLineChars="200"/>
        <w:rPr>
          <w:rFonts w:ascii="宋体" w:hAnsi="宋体" w:cs="宋体"/>
          <w:color w:val="auto"/>
          <w:szCs w:val="21"/>
        </w:rPr>
      </w:pPr>
      <w:r>
        <w:rPr>
          <w:rFonts w:hint="eastAsia" w:ascii="Times New Roman" w:hAnsi="Times New Roman"/>
          <w:color w:val="auto"/>
        </w:rPr>
        <w:t>（</w:t>
      </w:r>
      <w:r>
        <w:rPr>
          <w:rFonts w:ascii="Times New Roman" w:hAnsi="Times New Roman"/>
          <w:color w:val="auto"/>
        </w:rPr>
        <w:t>5</w:t>
      </w:r>
      <w:r>
        <w:rPr>
          <w:rFonts w:hint="eastAsia" w:ascii="Times New Roman" w:hAnsi="Times New Roman"/>
          <w:color w:val="auto"/>
        </w:rPr>
        <w:t>）招标内容（包括设备名称、数量）：</w:t>
      </w:r>
      <w:r>
        <w:rPr>
          <w:rFonts w:hint="eastAsia" w:ascii="宋体" w:hAnsi="宋体"/>
          <w:color w:val="auto"/>
          <w:u w:val="single"/>
        </w:rPr>
        <w:t>东莞市城市轨道交通1号线一期工程(望洪站~黄江中心站段)段场设备集成采购项目（1504标）所需的</w:t>
      </w:r>
      <w:r>
        <w:rPr>
          <w:rFonts w:hint="eastAsia" w:ascii="宋体" w:hAnsi="宋体" w:cs="宋体"/>
          <w:color w:val="auto"/>
          <w:u w:val="single"/>
        </w:rPr>
        <w:t>设备以及必须的附属设备、随机附件、专用/特种工具、试验仪器和相关技术服务（具体以用户需求书为准）</w:t>
      </w:r>
      <w:r>
        <w:rPr>
          <w:rFonts w:hint="eastAsia" w:ascii="宋体" w:hAnsi="宋体" w:cs="宋体"/>
          <w:color w:val="auto"/>
          <w:szCs w:val="21"/>
        </w:rPr>
        <w:t>。</w:t>
      </w:r>
    </w:p>
    <w:p>
      <w:pPr>
        <w:spacing w:line="400" w:lineRule="exact"/>
        <w:ind w:firstLine="420"/>
        <w:rPr>
          <w:rFonts w:ascii="Times New Roman" w:hAnsi="Times New Roman"/>
          <w:color w:val="auto"/>
        </w:rPr>
      </w:pPr>
      <w:r>
        <w:rPr>
          <w:rFonts w:hint="eastAsia" w:ascii="Times New Roman" w:hAnsi="Times New Roman"/>
          <w:color w:val="auto"/>
        </w:rPr>
        <w:t>（</w:t>
      </w:r>
      <w:r>
        <w:rPr>
          <w:rFonts w:ascii="Times New Roman" w:hAnsi="Times New Roman"/>
          <w:color w:val="auto"/>
        </w:rPr>
        <w:t>6</w:t>
      </w:r>
      <w:r>
        <w:rPr>
          <w:rFonts w:hint="eastAsia" w:ascii="Times New Roman" w:hAnsi="Times New Roman"/>
          <w:color w:val="auto"/>
        </w:rPr>
        <w:t>）招标控制价</w:t>
      </w:r>
    </w:p>
    <w:p>
      <w:pPr>
        <w:spacing w:line="400" w:lineRule="exact"/>
        <w:ind w:firstLine="630" w:firstLineChars="300"/>
        <w:rPr>
          <w:rFonts w:ascii="Times New Roman" w:hAnsi="Times New Roman"/>
          <w:color w:val="auto"/>
        </w:rPr>
      </w:pPr>
      <w:r>
        <w:rPr>
          <w:rFonts w:hint="eastAsia" w:ascii="Times New Roman" w:hAnsi="Times New Roman"/>
          <w:color w:val="auto"/>
        </w:rPr>
        <w:t>本项目招标控制价为：</w:t>
      </w:r>
      <w:r>
        <w:rPr>
          <w:rFonts w:hint="eastAsia" w:ascii="宋体" w:hAnsi="宋体" w:cs="宋体"/>
          <w:color w:val="auto"/>
          <w:u w:val="single"/>
        </w:rPr>
        <w:t>人民币 9200 万元</w:t>
      </w:r>
      <w:r>
        <w:rPr>
          <w:rFonts w:hint="eastAsia" w:ascii="Times New Roman" w:hAnsi="Times New Roman"/>
          <w:color w:val="auto"/>
        </w:rPr>
        <w:t>。</w:t>
      </w:r>
    </w:p>
    <w:p>
      <w:pPr>
        <w:spacing w:line="400" w:lineRule="exact"/>
        <w:ind w:firstLine="420"/>
        <w:rPr>
          <w:rFonts w:ascii="Times New Roman" w:hAnsi="Times New Roman"/>
          <w:color w:val="auto"/>
        </w:rPr>
      </w:pPr>
      <w:r>
        <w:rPr>
          <w:rFonts w:hint="eastAsia" w:ascii="Times New Roman" w:hAnsi="Times New Roman"/>
          <w:color w:val="auto"/>
        </w:rPr>
        <w:t>（</w:t>
      </w:r>
      <w:r>
        <w:rPr>
          <w:rFonts w:ascii="Times New Roman" w:hAnsi="Times New Roman"/>
          <w:color w:val="auto"/>
        </w:rPr>
        <w:t>7</w:t>
      </w:r>
      <w:r>
        <w:rPr>
          <w:rFonts w:hint="eastAsia" w:ascii="Times New Roman" w:hAnsi="Times New Roman"/>
          <w:color w:val="auto"/>
        </w:rPr>
        <w:t>）主要技术规格：</w:t>
      </w:r>
      <w:r>
        <w:rPr>
          <w:rFonts w:ascii="Times New Roman" w:hAnsi="Times New Roman"/>
          <w:color w:val="auto"/>
          <w:u w:val="single"/>
        </w:rPr>
        <w:t xml:space="preserve">  </w:t>
      </w:r>
      <w:r>
        <w:rPr>
          <w:rFonts w:hint="eastAsia" w:ascii="Times New Roman" w:hAnsi="Times New Roman"/>
          <w:color w:val="auto"/>
          <w:u w:val="single"/>
        </w:rPr>
        <w:t>详见用户需求书</w:t>
      </w:r>
      <w:r>
        <w:rPr>
          <w:rFonts w:ascii="Times New Roman" w:hAnsi="Times New Roman"/>
          <w:color w:val="auto"/>
          <w:u w:val="single"/>
        </w:rPr>
        <w:t xml:space="preserve">  </w:t>
      </w:r>
    </w:p>
    <w:p>
      <w:pPr>
        <w:spacing w:line="400" w:lineRule="exact"/>
        <w:ind w:firstLine="420"/>
        <w:rPr>
          <w:rFonts w:ascii="Times New Roman" w:hAnsi="Times New Roman"/>
          <w:color w:val="auto"/>
        </w:rPr>
      </w:pPr>
      <w:r>
        <w:rPr>
          <w:rFonts w:hint="eastAsia" w:ascii="Times New Roman" w:hAnsi="Times New Roman"/>
          <w:color w:val="auto"/>
        </w:rPr>
        <w:t>（</w:t>
      </w:r>
      <w:r>
        <w:rPr>
          <w:rFonts w:ascii="Times New Roman" w:hAnsi="Times New Roman"/>
          <w:color w:val="auto"/>
        </w:rPr>
        <w:t>8</w:t>
      </w:r>
      <w:r>
        <w:rPr>
          <w:rFonts w:hint="eastAsia" w:ascii="Times New Roman" w:hAnsi="Times New Roman"/>
          <w:color w:val="auto"/>
        </w:rPr>
        <w:t>）交货地点：</w:t>
      </w:r>
      <w:r>
        <w:rPr>
          <w:rFonts w:hint="eastAsia"/>
          <w:color w:val="auto"/>
          <w:u w:val="single"/>
        </w:rPr>
        <w:t>东莞市城市轨道交通1号线一期工程(望洪站～黄江中心站段)各工地或施工单位仓库。</w:t>
      </w:r>
      <w:r>
        <w:rPr>
          <w:rFonts w:hint="eastAsia" w:ascii="Times New Roman" w:hAnsi="Times New Roman"/>
          <w:color w:val="auto"/>
          <w:u w:val="single"/>
        </w:rPr>
        <w:t>具体以招标人指定的地点为准。</w:t>
      </w:r>
    </w:p>
    <w:p>
      <w:pPr>
        <w:spacing w:line="400" w:lineRule="exact"/>
        <w:ind w:firstLine="420"/>
        <w:rPr>
          <w:rFonts w:ascii="Times New Roman" w:hAnsi="Times New Roman"/>
          <w:color w:val="auto"/>
        </w:rPr>
      </w:pPr>
      <w:r>
        <w:rPr>
          <w:rFonts w:hint="eastAsia" w:ascii="Times New Roman" w:hAnsi="Times New Roman"/>
          <w:color w:val="auto"/>
        </w:rPr>
        <w:t>（</w:t>
      </w:r>
      <w:r>
        <w:rPr>
          <w:rFonts w:ascii="Times New Roman" w:hAnsi="Times New Roman"/>
          <w:color w:val="auto"/>
        </w:rPr>
        <w:t>9</w:t>
      </w:r>
      <w:r>
        <w:rPr>
          <w:rFonts w:hint="eastAsia" w:ascii="Times New Roman" w:hAnsi="Times New Roman"/>
          <w:color w:val="auto"/>
        </w:rPr>
        <w:t>）交货期：</w:t>
      </w:r>
      <w:r>
        <w:rPr>
          <w:rFonts w:hint="eastAsia" w:ascii="宋体" w:hAnsi="宋体" w:cs="宋体"/>
          <w:color w:val="auto"/>
          <w:szCs w:val="21"/>
          <w:u w:val="single"/>
        </w:rPr>
        <w:t>见用户需求书具体要求。招标人保留根据项目建设调整执行期的权利。</w:t>
      </w:r>
    </w:p>
    <w:p>
      <w:pPr>
        <w:keepNext/>
        <w:keepLines/>
        <w:spacing w:before="260" w:after="260"/>
        <w:outlineLvl w:val="1"/>
        <w:rPr>
          <w:rFonts w:ascii="Times New Roman" w:hAnsi="Times New Roman" w:eastAsia="黑体"/>
          <w:b/>
          <w:color w:val="auto"/>
          <w:sz w:val="32"/>
          <w:szCs w:val="20"/>
        </w:rPr>
      </w:pPr>
      <w:bookmarkStart w:id="12" w:name="_Toc25181"/>
      <w:bookmarkStart w:id="13" w:name="_Toc11073607"/>
      <w:bookmarkStart w:id="14" w:name="_Toc27928"/>
      <w:bookmarkStart w:id="15" w:name="_Toc24315"/>
      <w:r>
        <w:rPr>
          <w:rFonts w:ascii="Times New Roman" w:hAnsi="Times New Roman" w:eastAsia="黑体"/>
          <w:b/>
          <w:color w:val="auto"/>
          <w:sz w:val="32"/>
          <w:szCs w:val="20"/>
        </w:rPr>
        <w:t xml:space="preserve">3. </w:t>
      </w:r>
      <w:bookmarkStart w:id="16" w:name="_Hlk112252175"/>
      <w:r>
        <w:rPr>
          <w:rFonts w:ascii="Times New Roman" w:hAnsi="Times New Roman" w:eastAsia="黑体"/>
          <w:b/>
          <w:color w:val="auto"/>
          <w:sz w:val="32"/>
          <w:szCs w:val="20"/>
        </w:rPr>
        <w:t>投标人资格要求</w:t>
      </w:r>
      <w:bookmarkEnd w:id="12"/>
      <w:bookmarkEnd w:id="13"/>
      <w:bookmarkEnd w:id="14"/>
      <w:bookmarkEnd w:id="15"/>
      <w:bookmarkEnd w:id="16"/>
    </w:p>
    <w:p>
      <w:pPr>
        <w:spacing w:line="400" w:lineRule="exact"/>
        <w:ind w:firstLine="420" w:firstLineChars="200"/>
        <w:rPr>
          <w:rFonts w:ascii="Times New Roman" w:hAnsi="Times New Roman"/>
          <w:color w:val="auto"/>
        </w:rPr>
      </w:pPr>
      <w:r>
        <w:rPr>
          <w:rFonts w:ascii="Times New Roman" w:hAnsi="Times New Roman"/>
          <w:color w:val="auto"/>
        </w:rPr>
        <w:t>3.1 本次招标要求投标人须具备</w:t>
      </w:r>
      <w:r>
        <w:rPr>
          <w:rFonts w:hint="eastAsia" w:ascii="Times New Roman" w:hAnsi="Times New Roman"/>
          <w:color w:val="auto"/>
          <w:u w:val="single"/>
        </w:rPr>
        <w:t>下述</w:t>
      </w:r>
      <w:r>
        <w:rPr>
          <w:rFonts w:ascii="Times New Roman" w:hAnsi="Times New Roman"/>
          <w:color w:val="auto"/>
        </w:rPr>
        <w:t>资质，</w:t>
      </w:r>
      <w:r>
        <w:rPr>
          <w:rFonts w:hint="eastAsia" w:ascii="Times New Roman" w:hAnsi="Times New Roman"/>
          <w:color w:val="auto"/>
        </w:rPr>
        <w:t>具备</w:t>
      </w:r>
      <w:r>
        <w:rPr>
          <w:rFonts w:hint="eastAsia" w:ascii="Times New Roman" w:hAnsi="Times New Roman"/>
          <w:color w:val="auto"/>
          <w:u w:val="single"/>
        </w:rPr>
        <w:t>下述</w:t>
      </w:r>
      <w:r>
        <w:rPr>
          <w:rFonts w:hint="eastAsia" w:ascii="Times New Roman" w:hAnsi="Times New Roman"/>
          <w:color w:val="auto"/>
        </w:rPr>
        <w:t>业绩，</w:t>
      </w:r>
      <w:r>
        <w:rPr>
          <w:rFonts w:ascii="Times New Roman" w:hAnsi="Times New Roman"/>
          <w:color w:val="auto"/>
        </w:rPr>
        <w:t>并具有与本招标项目相应的供货能力</w:t>
      </w:r>
      <w:r>
        <w:rPr>
          <w:rFonts w:hint="eastAsia" w:ascii="Times New Roman" w:hAnsi="Times New Roman"/>
          <w:color w:val="auto"/>
        </w:rPr>
        <w:t>。</w:t>
      </w:r>
    </w:p>
    <w:p>
      <w:pPr>
        <w:spacing w:line="400" w:lineRule="exact"/>
        <w:ind w:firstLine="422" w:firstLineChars="200"/>
        <w:rPr>
          <w:rFonts w:ascii="Times New Roman" w:hAnsi="Times New Roman"/>
          <w:b/>
          <w:color w:val="auto"/>
        </w:rPr>
      </w:pPr>
      <w:r>
        <w:rPr>
          <w:rFonts w:ascii="Times New Roman" w:hAnsi="Times New Roman"/>
          <w:b/>
          <w:color w:val="auto"/>
        </w:rPr>
        <w:t>3.</w:t>
      </w:r>
      <w:r>
        <w:rPr>
          <w:rFonts w:hint="eastAsia" w:ascii="Times New Roman" w:hAnsi="Times New Roman"/>
          <w:b/>
          <w:color w:val="auto"/>
        </w:rPr>
        <w:t>1.1资质要求：</w:t>
      </w:r>
    </w:p>
    <w:p>
      <w:pPr>
        <w:spacing w:line="400" w:lineRule="exact"/>
        <w:ind w:firstLine="420" w:firstLineChars="200"/>
        <w:rPr>
          <w:rFonts w:ascii="Times New Roman" w:hAnsi="Times New Roman"/>
          <w:color w:val="auto"/>
        </w:rPr>
      </w:pPr>
      <w:r>
        <w:rPr>
          <w:rFonts w:hint="eastAsia" w:ascii="Times New Roman" w:hAnsi="Times New Roman"/>
          <w:color w:val="auto"/>
        </w:rPr>
        <w:t>投标人须是按国家法律经营的法人或者其他组织，同时持有工商行政管理部门核发的营业执照；法定代表人或单位负责人为同一人的两个及两个以上法人，母公司、全资子公司或存在控股、管理关系的不同单位，都不得在本招标项目中同时投标。</w:t>
      </w:r>
      <w:bookmarkStart w:id="17" w:name="_Hlk112252192"/>
    </w:p>
    <w:p>
      <w:pPr>
        <w:spacing w:line="400" w:lineRule="exact"/>
        <w:ind w:firstLine="422" w:firstLineChars="200"/>
        <w:rPr>
          <w:rFonts w:ascii="Times New Roman" w:hAnsi="Times New Roman"/>
          <w:b/>
          <w:color w:val="auto"/>
        </w:rPr>
      </w:pPr>
      <w:r>
        <w:rPr>
          <w:rFonts w:hint="eastAsia" w:ascii="Times New Roman" w:hAnsi="Times New Roman"/>
          <w:b/>
          <w:color w:val="auto"/>
        </w:rPr>
        <w:t>3.1.2 投标人业绩要求</w:t>
      </w:r>
      <w:bookmarkEnd w:id="17"/>
      <w:r>
        <w:rPr>
          <w:rFonts w:hint="eastAsia" w:ascii="Times New Roman" w:hAnsi="Times New Roman"/>
          <w:b/>
          <w:color w:val="auto"/>
        </w:rPr>
        <w:t>：</w:t>
      </w:r>
    </w:p>
    <w:p>
      <w:pPr>
        <w:spacing w:line="400" w:lineRule="exact"/>
        <w:ind w:firstLine="420" w:firstLineChars="200"/>
        <w:rPr>
          <w:rFonts w:hint="eastAsia" w:ascii="Times New Roman" w:hAnsi="Times New Roman"/>
          <w:color w:val="auto"/>
        </w:rPr>
      </w:pPr>
      <w:r>
        <w:rPr>
          <w:rFonts w:hint="eastAsia" w:ascii="Times New Roman" w:hAnsi="Times New Roman"/>
          <w:color w:val="auto"/>
        </w:rPr>
        <w:t>投标人自2018 年</w:t>
      </w:r>
      <w:r>
        <w:rPr>
          <w:rFonts w:hint="eastAsia" w:ascii="Times New Roman" w:hAnsi="Times New Roman"/>
          <w:color w:val="auto"/>
          <w:lang w:val="en-US" w:eastAsia="zh-CN"/>
        </w:rPr>
        <w:t>7</w:t>
      </w:r>
      <w:r>
        <w:rPr>
          <w:rFonts w:hint="eastAsia" w:ascii="Times New Roman" w:hAnsi="Times New Roman"/>
          <w:color w:val="auto"/>
        </w:rPr>
        <w:t>月1 日至公告发布之日，至少在国内完成1项质量合格的单项合同金额不少于3000万元人民币的城市轨道交通工程的车辆段（或停车场）工艺设备集成供货项目，时间以合同签订时间为准。</w:t>
      </w:r>
    </w:p>
    <w:p>
      <w:pPr>
        <w:spacing w:line="400" w:lineRule="exact"/>
        <w:ind w:firstLine="420" w:firstLineChars="200"/>
        <w:rPr>
          <w:rFonts w:hint="eastAsia" w:ascii="Times New Roman" w:hAnsi="Times New Roman"/>
          <w:color w:val="auto"/>
        </w:rPr>
      </w:pPr>
      <w:r>
        <w:rPr>
          <w:rFonts w:hint="eastAsia" w:ascii="Times New Roman" w:hAnsi="Times New Roman"/>
          <w:color w:val="auto"/>
        </w:rPr>
        <w:t>注：①供货项目应为集成类项目，且供货范围至少包含以下设备：不落轮镟床、洗车机、固定式架车机、立体仓储设备、成套救援设备中的任一项；②业绩需同时提供中标通知书（或成交通知书或免招标证明）、采购合同（含供货清单）、竣工验收证明（或预验收证明或业主出具的完工证明）。</w:t>
      </w:r>
    </w:p>
    <w:p>
      <w:pPr>
        <w:spacing w:line="400" w:lineRule="exact"/>
        <w:ind w:firstLine="422" w:firstLineChars="200"/>
        <w:rPr>
          <w:rFonts w:hint="eastAsia" w:ascii="Times New Roman" w:hAnsi="Times New Roman"/>
          <w:b/>
          <w:color w:val="auto"/>
        </w:rPr>
      </w:pPr>
      <w:r>
        <w:rPr>
          <w:rFonts w:hint="eastAsia"/>
          <w:b/>
          <w:color w:val="auto"/>
        </w:rPr>
        <w:t>3.1.3 对拟投设备（投标设备）的要求：无。</w:t>
      </w:r>
    </w:p>
    <w:p>
      <w:pPr>
        <w:spacing w:line="400" w:lineRule="exact"/>
        <w:ind w:firstLine="422" w:firstLineChars="200"/>
        <w:rPr>
          <w:rFonts w:ascii="Times New Roman" w:hAnsi="Times New Roman"/>
          <w:b/>
          <w:color w:val="auto"/>
        </w:rPr>
      </w:pPr>
      <w:r>
        <w:rPr>
          <w:rFonts w:hint="eastAsia" w:ascii="Times New Roman" w:hAnsi="Times New Roman"/>
          <w:b/>
          <w:color w:val="auto"/>
        </w:rPr>
        <w:t>3.1.4 其他要求：</w:t>
      </w:r>
    </w:p>
    <w:p>
      <w:pPr>
        <w:spacing w:line="360" w:lineRule="auto"/>
        <w:ind w:firstLine="470" w:firstLineChars="224"/>
        <w:rPr>
          <w:rFonts w:ascii="Times New Roman" w:hAnsi="Times New Roman"/>
          <w:color w:val="auto"/>
        </w:rPr>
      </w:pPr>
      <w:bookmarkStart w:id="18" w:name="_Toc11073608"/>
      <w:r>
        <w:rPr>
          <w:rFonts w:hint="eastAsia" w:ascii="Times New Roman" w:hAnsi="Times New Roman"/>
          <w:color w:val="auto"/>
        </w:rPr>
        <w:t>（1）投标人已按照附件一的内容签署盖章的投标申请人声明。</w:t>
      </w:r>
    </w:p>
    <w:p>
      <w:pPr>
        <w:spacing w:line="360" w:lineRule="auto"/>
        <w:ind w:firstLine="470" w:firstLineChars="224"/>
        <w:rPr>
          <w:rFonts w:ascii="宋体" w:hAnsi="宋体"/>
          <w:color w:val="auto"/>
          <w:szCs w:val="21"/>
        </w:rPr>
      </w:pPr>
      <w:r>
        <w:rPr>
          <w:rFonts w:hint="eastAsia" w:ascii="宋体" w:hAnsi="宋体"/>
          <w:color w:val="auto"/>
          <w:szCs w:val="21"/>
        </w:rPr>
        <w:t>（2）在本公告发布时，投标人未在以往工程中违约被本业主书面拒绝投标（期限内（见公告附件二）。</w:t>
      </w:r>
    </w:p>
    <w:p>
      <w:pPr>
        <w:spacing w:line="360" w:lineRule="auto"/>
        <w:ind w:firstLine="470" w:firstLineChars="224"/>
        <w:rPr>
          <w:rFonts w:hint="eastAsia" w:ascii="宋体" w:hAnsi="宋体"/>
          <w:color w:val="auto"/>
          <w:szCs w:val="21"/>
        </w:rPr>
      </w:pPr>
      <w:r>
        <w:rPr>
          <w:rFonts w:hint="eastAsia" w:ascii="宋体" w:hAnsi="宋体"/>
          <w:color w:val="auto"/>
          <w:szCs w:val="21"/>
        </w:rPr>
        <w:t>（3）未被列入“信用中国”网（www.creditchina.gov.cn）“失信被执行人或重大税收违法失信主体”记录名单及“国家企业信用信息公示系统”网站（http://www.gsxt.gov.cn）严重违法失信企业名单。</w:t>
      </w:r>
    </w:p>
    <w:p>
      <w:pPr>
        <w:spacing w:line="360" w:lineRule="auto"/>
        <w:ind w:firstLine="470" w:firstLineChars="224"/>
        <w:rPr>
          <w:rFonts w:hint="eastAsia" w:ascii="宋体" w:hAnsi="宋体"/>
          <w:color w:val="auto"/>
          <w:szCs w:val="21"/>
        </w:rPr>
      </w:pPr>
      <w:r>
        <w:rPr>
          <w:rFonts w:hint="eastAsia" w:ascii="宋体" w:hAnsi="宋体"/>
          <w:color w:val="auto"/>
          <w:szCs w:val="21"/>
        </w:rPr>
        <w:t>（4）未被列入“中国执行信息公开网”失信被执行人。</w:t>
      </w:r>
    </w:p>
    <w:p>
      <w:pPr>
        <w:spacing w:line="360" w:lineRule="auto"/>
        <w:ind w:firstLine="470" w:firstLineChars="224"/>
        <w:rPr>
          <w:rFonts w:hint="eastAsia" w:ascii="宋体" w:hAnsi="宋体"/>
          <w:color w:val="auto"/>
          <w:szCs w:val="21"/>
        </w:rPr>
      </w:pPr>
      <w:r>
        <w:rPr>
          <w:rFonts w:hint="eastAsia" w:ascii="宋体" w:hAnsi="宋体"/>
          <w:color w:val="auto"/>
          <w:szCs w:val="21"/>
        </w:rPr>
        <w:t>（5）不存在大额诉讼或多宗诉讼或其他违法、违约等影响本次招标项目正常履行的情形。</w:t>
      </w:r>
    </w:p>
    <w:p>
      <w:pPr>
        <w:spacing w:line="360" w:lineRule="auto"/>
        <w:ind w:firstLine="470" w:firstLineChars="224"/>
        <w:rPr>
          <w:rFonts w:hint="eastAsia" w:ascii="宋体" w:hAnsi="宋体"/>
          <w:color w:val="auto"/>
          <w:szCs w:val="21"/>
        </w:rPr>
      </w:pPr>
      <w:r>
        <w:rPr>
          <w:rFonts w:hint="eastAsia" w:ascii="宋体" w:hAnsi="宋体"/>
          <w:color w:val="auto"/>
          <w:szCs w:val="21"/>
        </w:rPr>
        <w:t>（6）投标人不存在曾与东莞市交通投资集团有限公司及其下属企业签订合同，且在履约过程中发生因投标人严重违约而导致合同中止、变更、解除或严重侵犯东莞市交通投资集团有限公司及其下属企业权益的情形。</w:t>
      </w:r>
    </w:p>
    <w:p>
      <w:pPr>
        <w:spacing w:line="360" w:lineRule="auto"/>
        <w:ind w:firstLine="470" w:firstLineChars="224"/>
        <w:rPr>
          <w:rFonts w:hint="eastAsia" w:ascii="宋体" w:hAnsi="宋体"/>
          <w:color w:val="auto"/>
          <w:szCs w:val="21"/>
        </w:rPr>
      </w:pPr>
      <w:r>
        <w:rPr>
          <w:rFonts w:hint="eastAsia" w:ascii="宋体" w:hAnsi="宋体"/>
          <w:color w:val="auto"/>
          <w:szCs w:val="21"/>
        </w:rPr>
        <w:t>（7）投标人未正在与东莞市交通投资集团有限公司及其下属企业发生诉讼。</w:t>
      </w:r>
    </w:p>
    <w:p>
      <w:pPr>
        <w:spacing w:line="360" w:lineRule="auto"/>
        <w:ind w:firstLine="470" w:firstLineChars="224"/>
        <w:rPr>
          <w:rFonts w:hint="eastAsia" w:ascii="宋体" w:hAnsi="宋体"/>
          <w:color w:val="auto"/>
          <w:szCs w:val="21"/>
        </w:rPr>
      </w:pPr>
      <w:r>
        <w:rPr>
          <w:rFonts w:hint="eastAsia" w:ascii="宋体" w:hAnsi="宋体"/>
          <w:color w:val="auto"/>
          <w:szCs w:val="21"/>
        </w:rPr>
        <w:t>（8）投标登记时，投标人须已完成在广州公共资源交易中心企业库办理企业信息登记。</w:t>
      </w:r>
    </w:p>
    <w:p>
      <w:pPr>
        <w:spacing w:line="360" w:lineRule="auto"/>
        <w:ind w:firstLine="470" w:firstLineChars="224"/>
        <w:rPr>
          <w:rFonts w:hint="eastAsia" w:ascii="Times New Roman" w:hAnsi="Times New Roman"/>
          <w:color w:val="auto"/>
        </w:rPr>
      </w:pPr>
      <w:r>
        <w:rPr>
          <w:rFonts w:hint="eastAsia" w:ascii="宋体" w:hAnsi="宋体"/>
          <w:color w:val="auto"/>
          <w:szCs w:val="21"/>
        </w:rPr>
        <w:t>（9）</w:t>
      </w:r>
      <w:r>
        <w:rPr>
          <w:rFonts w:hint="eastAsia" w:ascii="Times New Roman" w:hAnsi="Times New Roman"/>
          <w:color w:val="auto"/>
        </w:rPr>
        <w:t>投标人若中标，须在双方签署合同时，再次按本公告上述第3.1条要求提供资格审查材料且须符合上述资格要求，否则招标人有权取消其中标资格，并按中标候选人排名次序选择余下中标候选人中排序最高的候选人作为中标人。</w:t>
      </w:r>
    </w:p>
    <w:p>
      <w:pPr>
        <w:spacing w:line="400" w:lineRule="exact"/>
        <w:ind w:firstLine="420" w:firstLineChars="200"/>
        <w:rPr>
          <w:rFonts w:ascii="Times New Roman" w:hAnsi="Times New Roman"/>
          <w:color w:val="auto"/>
        </w:rPr>
      </w:pPr>
      <w:r>
        <w:rPr>
          <w:rFonts w:ascii="Times New Roman" w:hAnsi="Times New Roman"/>
          <w:color w:val="auto"/>
        </w:rPr>
        <w:t>3.</w:t>
      </w:r>
      <w:r>
        <w:rPr>
          <w:rFonts w:hint="eastAsia" w:ascii="Times New Roman" w:hAnsi="Times New Roman"/>
          <w:color w:val="auto"/>
        </w:rPr>
        <w:t>2</w:t>
      </w:r>
      <w:r>
        <w:rPr>
          <w:rFonts w:ascii="Times New Roman" w:hAnsi="Times New Roman"/>
          <w:color w:val="auto"/>
        </w:rPr>
        <w:t xml:space="preserve"> </w:t>
      </w:r>
      <w:r>
        <w:rPr>
          <w:rFonts w:hint="eastAsia" w:ascii="Times New Roman" w:hAnsi="Times New Roman"/>
          <w:color w:val="auto"/>
        </w:rPr>
        <w:t>本次招标</w:t>
      </w:r>
      <w:r>
        <w:rPr>
          <w:rFonts w:hint="eastAsia" w:ascii="Times New Roman" w:hAnsi="Times New Roman"/>
          <w:color w:val="auto"/>
          <w:u w:val="single"/>
        </w:rPr>
        <w:t>不接受</w:t>
      </w:r>
      <w:r>
        <w:rPr>
          <w:rFonts w:hint="eastAsia" w:ascii="Times New Roman" w:hAnsi="Times New Roman"/>
          <w:color w:val="auto"/>
        </w:rPr>
        <w:t>联合体投标。</w:t>
      </w:r>
    </w:p>
    <w:p>
      <w:pPr>
        <w:keepNext/>
        <w:keepLines/>
        <w:spacing w:before="260" w:after="260"/>
        <w:outlineLvl w:val="1"/>
        <w:rPr>
          <w:rFonts w:ascii="Times New Roman" w:hAnsi="Times New Roman" w:eastAsia="黑体"/>
          <w:b/>
          <w:color w:val="auto"/>
          <w:sz w:val="32"/>
          <w:szCs w:val="20"/>
        </w:rPr>
      </w:pPr>
      <w:bookmarkStart w:id="19" w:name="_Toc11914"/>
      <w:bookmarkStart w:id="20" w:name="_Toc1228"/>
      <w:bookmarkStart w:id="21" w:name="_Toc8337"/>
      <w:r>
        <w:rPr>
          <w:rFonts w:ascii="Times New Roman" w:hAnsi="Times New Roman" w:eastAsia="黑体"/>
          <w:b/>
          <w:color w:val="auto"/>
          <w:sz w:val="32"/>
          <w:szCs w:val="20"/>
        </w:rPr>
        <w:t xml:space="preserve">4. </w:t>
      </w:r>
      <w:r>
        <w:rPr>
          <w:rFonts w:hint="eastAsia" w:ascii="Times New Roman" w:hAnsi="Times New Roman" w:eastAsia="黑体"/>
          <w:b/>
          <w:color w:val="auto"/>
          <w:sz w:val="32"/>
          <w:szCs w:val="20"/>
        </w:rPr>
        <w:t>招标文件的获取</w:t>
      </w:r>
      <w:bookmarkEnd w:id="18"/>
      <w:bookmarkEnd w:id="19"/>
      <w:bookmarkEnd w:id="20"/>
      <w:bookmarkEnd w:id="21"/>
    </w:p>
    <w:p>
      <w:pPr>
        <w:tabs>
          <w:tab w:val="left" w:pos="360"/>
        </w:tabs>
        <w:spacing w:line="400" w:lineRule="exact"/>
        <w:ind w:firstLine="420" w:firstLineChars="200"/>
        <w:rPr>
          <w:rFonts w:ascii="Times New Roman" w:hAnsi="Times New Roman"/>
          <w:color w:val="auto"/>
        </w:rPr>
      </w:pPr>
      <w:r>
        <w:rPr>
          <w:rFonts w:hint="eastAsia" w:ascii="Times New Roman" w:hAnsi="Times New Roman"/>
          <w:color w:val="auto"/>
        </w:rPr>
        <w:t>4.1发布招标公告时间（含本日）：</w:t>
      </w:r>
    </w:p>
    <w:p>
      <w:pPr>
        <w:tabs>
          <w:tab w:val="left" w:pos="360"/>
        </w:tabs>
        <w:spacing w:line="400" w:lineRule="exact"/>
        <w:ind w:firstLine="420" w:firstLineChars="200"/>
        <w:rPr>
          <w:rFonts w:ascii="Times New Roman" w:hAnsi="Times New Roman"/>
          <w:color w:val="auto"/>
          <w:szCs w:val="21"/>
        </w:rPr>
      </w:pP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rPr>
        <w:t xml:space="preserve">   </w:t>
      </w:r>
      <w:r>
        <w:rPr>
          <w:rFonts w:ascii="Times New Roman" w:hAnsi="Times New Roman"/>
          <w:color w:val="auto"/>
        </w:rPr>
        <w:t>月</w:t>
      </w:r>
      <w:r>
        <w:rPr>
          <w:rFonts w:hint="eastAsia" w:ascii="Times New Roman" w:hAnsi="Times New Roman"/>
          <w:color w:val="auto"/>
          <w:u w:val="single"/>
        </w:rPr>
        <w:t xml:space="preserve">   </w:t>
      </w:r>
      <w:r>
        <w:rPr>
          <w:rFonts w:ascii="Times New Roman" w:hAnsi="Times New Roman"/>
          <w:color w:val="auto"/>
        </w:rPr>
        <w:t>日</w:t>
      </w:r>
      <w:r>
        <w:rPr>
          <w:rFonts w:hint="eastAsia" w:ascii="Times New Roman" w:hAnsi="Times New Roman"/>
          <w:color w:val="auto"/>
          <w:u w:val="single"/>
        </w:rPr>
        <w:t xml:space="preserve">   </w:t>
      </w:r>
      <w:r>
        <w:rPr>
          <w:rFonts w:hint="eastAsia" w:ascii="Times New Roman" w:hAnsi="Times New Roman"/>
          <w:color w:val="auto"/>
          <w:szCs w:val="21"/>
        </w:rPr>
        <w:t>时</w:t>
      </w:r>
      <w:r>
        <w:rPr>
          <w:rFonts w:hint="eastAsia" w:ascii="Times New Roman" w:hAnsi="Times New Roman"/>
          <w:color w:val="auto"/>
          <w:u w:val="single"/>
        </w:rPr>
        <w:t xml:space="preserve">   </w:t>
      </w:r>
      <w:r>
        <w:rPr>
          <w:rFonts w:hint="eastAsia" w:ascii="Times New Roman" w:hAnsi="Times New Roman"/>
          <w:color w:val="auto"/>
          <w:szCs w:val="21"/>
        </w:rPr>
        <w:t>分至</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rPr>
        <w:t xml:space="preserve">   </w:t>
      </w:r>
      <w:r>
        <w:rPr>
          <w:rFonts w:ascii="Times New Roman" w:hAnsi="Times New Roman"/>
          <w:color w:val="auto"/>
        </w:rPr>
        <w:t>月</w:t>
      </w:r>
      <w:r>
        <w:rPr>
          <w:rFonts w:hint="eastAsia" w:ascii="Times New Roman" w:hAnsi="Times New Roman"/>
          <w:color w:val="auto"/>
          <w:u w:val="single"/>
        </w:rPr>
        <w:t xml:space="preserve">   </w:t>
      </w:r>
      <w:r>
        <w:rPr>
          <w:rFonts w:ascii="Times New Roman" w:hAnsi="Times New Roman"/>
          <w:color w:val="auto"/>
        </w:rPr>
        <w:t>日</w:t>
      </w:r>
      <w:r>
        <w:rPr>
          <w:rFonts w:hint="eastAsia" w:ascii="Times New Roman" w:hAnsi="Times New Roman"/>
          <w:color w:val="auto"/>
          <w:u w:val="single"/>
        </w:rPr>
        <w:t xml:space="preserve">   </w:t>
      </w:r>
      <w:r>
        <w:rPr>
          <w:rFonts w:hint="eastAsia" w:ascii="Times New Roman" w:hAnsi="Times New Roman"/>
          <w:color w:val="auto"/>
          <w:szCs w:val="21"/>
        </w:rPr>
        <w:t>时</w:t>
      </w:r>
      <w:r>
        <w:rPr>
          <w:rFonts w:hint="eastAsia" w:ascii="Times New Roman" w:hAnsi="Times New Roman"/>
          <w:color w:val="auto"/>
          <w:u w:val="single"/>
        </w:rPr>
        <w:t xml:space="preserve">   </w:t>
      </w:r>
      <w:r>
        <w:rPr>
          <w:rFonts w:hint="eastAsia" w:ascii="Times New Roman" w:hAnsi="Times New Roman"/>
          <w:color w:val="auto"/>
          <w:szCs w:val="21"/>
        </w:rPr>
        <w:t>分。</w:t>
      </w:r>
    </w:p>
    <w:p>
      <w:pPr>
        <w:tabs>
          <w:tab w:val="left" w:pos="360"/>
        </w:tabs>
        <w:spacing w:line="400" w:lineRule="exact"/>
        <w:ind w:firstLine="420" w:firstLineChars="200"/>
        <w:rPr>
          <w:rFonts w:ascii="Times New Roman" w:hAnsi="Times New Roman"/>
          <w:color w:val="auto"/>
          <w:szCs w:val="21"/>
        </w:rPr>
      </w:pPr>
      <w:r>
        <w:rPr>
          <w:rFonts w:hint="eastAsia" w:ascii="Times New Roman" w:hAnsi="Times New Roman"/>
          <w:color w:val="auto"/>
          <w:szCs w:val="21"/>
        </w:rPr>
        <w:t>注：发布招标公告的时间为招标公告发出之日起至递交投标文件截止时间止。</w:t>
      </w:r>
    </w:p>
    <w:p>
      <w:pPr>
        <w:tabs>
          <w:tab w:val="left" w:pos="360"/>
        </w:tabs>
        <w:spacing w:line="400" w:lineRule="exact"/>
        <w:ind w:left="210" w:leftChars="100" w:firstLine="210" w:firstLineChars="100"/>
        <w:rPr>
          <w:rFonts w:ascii="Times New Roman" w:hAnsi="Times New Roman"/>
          <w:color w:val="auto"/>
        </w:rPr>
      </w:pPr>
      <w:bookmarkStart w:id="22" w:name="_Hlk40190625"/>
      <w:r>
        <w:rPr>
          <w:rFonts w:ascii="Times New Roman" w:hAnsi="Times New Roman"/>
          <w:color w:val="auto"/>
        </w:rPr>
        <w:t>4.2</w:t>
      </w:r>
      <w:r>
        <w:rPr>
          <w:rFonts w:hint="eastAsia" w:ascii="Times New Roman" w:hAnsi="Times New Roman"/>
          <w:color w:val="auto"/>
        </w:rPr>
        <w:t>（</w:t>
      </w:r>
      <w:r>
        <w:rPr>
          <w:rFonts w:ascii="Times New Roman" w:hAnsi="Times New Roman"/>
          <w:color w:val="auto"/>
        </w:rPr>
        <w:t>B</w:t>
      </w:r>
      <w:r>
        <w:rPr>
          <w:rFonts w:hint="eastAsia" w:ascii="Times New Roman" w:hAnsi="Times New Roman"/>
          <w:color w:val="auto"/>
        </w:rPr>
        <w:t>）</w:t>
      </w:r>
      <w:r>
        <w:rPr>
          <w:rFonts w:hint="eastAsia" w:ascii="Times New Roman" w:hAnsi="Times New Roman"/>
          <w:color w:val="auto"/>
          <w:szCs w:val="21"/>
        </w:rPr>
        <w:t>凡有意参加投标者，请于</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rPr>
        <w:t xml:space="preserve">   </w:t>
      </w:r>
      <w:r>
        <w:rPr>
          <w:rFonts w:ascii="Times New Roman" w:hAnsi="Times New Roman"/>
          <w:color w:val="auto"/>
        </w:rPr>
        <w:t>月</w:t>
      </w:r>
      <w:r>
        <w:rPr>
          <w:rFonts w:hint="eastAsia" w:ascii="Times New Roman" w:hAnsi="Times New Roman"/>
          <w:color w:val="auto"/>
          <w:u w:val="single"/>
        </w:rPr>
        <w:t xml:space="preserve">   </w:t>
      </w:r>
      <w:r>
        <w:rPr>
          <w:rFonts w:ascii="Times New Roman" w:hAnsi="Times New Roman"/>
          <w:color w:val="auto"/>
        </w:rPr>
        <w:t>日</w:t>
      </w:r>
      <w:r>
        <w:rPr>
          <w:rFonts w:hint="eastAsia" w:ascii="Times New Roman" w:hAnsi="Times New Roman"/>
          <w:color w:val="auto"/>
          <w:u w:val="single"/>
        </w:rPr>
        <w:t xml:space="preserve">   </w:t>
      </w:r>
      <w:r>
        <w:rPr>
          <w:rFonts w:hint="eastAsia" w:ascii="Times New Roman" w:hAnsi="Times New Roman"/>
          <w:color w:val="auto"/>
          <w:szCs w:val="21"/>
        </w:rPr>
        <w:t>时</w:t>
      </w:r>
      <w:r>
        <w:rPr>
          <w:rFonts w:hint="eastAsia" w:ascii="Times New Roman" w:hAnsi="Times New Roman"/>
          <w:color w:val="auto"/>
          <w:u w:val="single"/>
        </w:rPr>
        <w:t xml:space="preserve">   </w:t>
      </w:r>
      <w:r>
        <w:rPr>
          <w:rFonts w:hint="eastAsia" w:ascii="Times New Roman" w:hAnsi="Times New Roman"/>
          <w:color w:val="auto"/>
          <w:szCs w:val="21"/>
        </w:rPr>
        <w:t>分至</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rPr>
        <w:t xml:space="preserve">   </w:t>
      </w:r>
      <w:r>
        <w:rPr>
          <w:rFonts w:ascii="Times New Roman" w:hAnsi="Times New Roman"/>
          <w:color w:val="auto"/>
        </w:rPr>
        <w:t>月</w:t>
      </w:r>
      <w:r>
        <w:rPr>
          <w:rFonts w:hint="eastAsia" w:ascii="Times New Roman" w:hAnsi="Times New Roman"/>
          <w:color w:val="auto"/>
          <w:u w:val="single"/>
        </w:rPr>
        <w:t xml:space="preserve">   </w:t>
      </w:r>
      <w:r>
        <w:rPr>
          <w:rFonts w:ascii="Times New Roman" w:hAnsi="Times New Roman"/>
          <w:color w:val="auto"/>
        </w:rPr>
        <w:t>日</w:t>
      </w:r>
      <w:r>
        <w:rPr>
          <w:rFonts w:hint="eastAsia" w:ascii="Times New Roman" w:hAnsi="Times New Roman"/>
          <w:color w:val="auto"/>
          <w:u w:val="single"/>
        </w:rPr>
        <w:t xml:space="preserve"> </w:t>
      </w:r>
      <w:r>
        <w:rPr>
          <w:rFonts w:hint="eastAsia" w:ascii="Times New Roman" w:hAnsi="Times New Roman"/>
          <w:color w:val="auto"/>
          <w:szCs w:val="21"/>
        </w:rPr>
        <w:t>时</w:t>
      </w:r>
      <w:r>
        <w:rPr>
          <w:rFonts w:hint="eastAsia" w:ascii="Times New Roman" w:hAnsi="Times New Roman"/>
          <w:color w:val="auto"/>
          <w:u w:val="single"/>
        </w:rPr>
        <w:t xml:space="preserve">   </w:t>
      </w:r>
      <w:r>
        <w:rPr>
          <w:rFonts w:hint="eastAsia" w:ascii="Times New Roman" w:hAnsi="Times New Roman"/>
          <w:color w:val="auto"/>
          <w:szCs w:val="21"/>
        </w:rPr>
        <w:t>分</w:t>
      </w:r>
      <w:r>
        <w:rPr>
          <w:rFonts w:ascii="Times New Roman" w:hAnsi="Times New Roman"/>
          <w:color w:val="auto"/>
        </w:rPr>
        <w:t>(</w:t>
      </w:r>
      <w:r>
        <w:rPr>
          <w:rFonts w:hint="eastAsia" w:ascii="Times New Roman" w:hAnsi="Times New Roman"/>
          <w:color w:val="auto"/>
        </w:rPr>
        <w:t>北京时间，下同</w:t>
      </w:r>
      <w:r>
        <w:rPr>
          <w:rFonts w:ascii="Times New Roman" w:hAnsi="Times New Roman"/>
          <w:color w:val="auto"/>
        </w:rPr>
        <w:t>)</w:t>
      </w:r>
      <w:r>
        <w:rPr>
          <w:rFonts w:hint="eastAsia" w:ascii="Times New Roman" w:hAnsi="Times New Roman"/>
          <w:color w:val="auto"/>
          <w:szCs w:val="21"/>
        </w:rPr>
        <w:t>，</w:t>
      </w:r>
      <w:r>
        <w:rPr>
          <w:rFonts w:hint="eastAsia" w:ascii="Times New Roman" w:hAnsi="Times New Roman"/>
          <w:color w:val="auto"/>
        </w:rPr>
        <w:t>登录</w:t>
      </w:r>
      <w:r>
        <w:rPr>
          <w:rFonts w:ascii="Times New Roman" w:hAnsi="Times New Roman"/>
          <w:color w:val="auto"/>
          <w:u w:val="single"/>
        </w:rPr>
        <w:t xml:space="preserve"> </w:t>
      </w:r>
      <w:r>
        <w:rPr>
          <w:rFonts w:hint="eastAsia" w:ascii="Times New Roman" w:hAnsi="Times New Roman"/>
          <w:color w:val="auto"/>
          <w:u w:val="single"/>
        </w:rPr>
        <w:t>广州公共资源交易中心（http://www.gzggzy.cn/）</w:t>
      </w:r>
      <w:r>
        <w:rPr>
          <w:rFonts w:hint="eastAsia" w:ascii="Times New Roman" w:hAnsi="Times New Roman"/>
          <w:color w:val="auto"/>
        </w:rPr>
        <w:t>（电子招标投标交易平台名称）下载电子招标文件。</w:t>
      </w:r>
    </w:p>
    <w:bookmarkEnd w:id="22"/>
    <w:p>
      <w:pPr>
        <w:tabs>
          <w:tab w:val="left" w:pos="360"/>
        </w:tabs>
        <w:spacing w:line="400" w:lineRule="exact"/>
        <w:ind w:firstLine="420" w:firstLineChars="200"/>
        <w:rPr>
          <w:rFonts w:ascii="Times New Roman" w:hAnsi="Times New Roman"/>
          <w:color w:val="auto"/>
        </w:rPr>
      </w:pPr>
      <w:bookmarkStart w:id="23" w:name="_Hlk40190643"/>
      <w:r>
        <w:rPr>
          <w:rFonts w:hint="eastAsia" w:ascii="Times New Roman" w:hAnsi="Times New Roman"/>
          <w:color w:val="auto"/>
        </w:rPr>
        <w:t>注：本项目招标文件随招标公告一并在广州公共资源交易中心网站发布。招标文件一经在广州公共资源交易中心发布，视为送达给投标人，招标文件由投标人自行在广州公共资源交易中心网站下载。</w:t>
      </w:r>
    </w:p>
    <w:p>
      <w:pPr>
        <w:tabs>
          <w:tab w:val="left" w:pos="360"/>
        </w:tabs>
        <w:spacing w:line="400" w:lineRule="exact"/>
        <w:ind w:firstLine="420" w:firstLineChars="200"/>
        <w:rPr>
          <w:rFonts w:ascii="Times New Roman" w:hAnsi="Times New Roman"/>
          <w:color w:val="auto"/>
        </w:rPr>
      </w:pPr>
      <w:r>
        <w:rPr>
          <w:rFonts w:hint="eastAsia" w:ascii="Times New Roman" w:hAnsi="Times New Roman"/>
          <w:color w:val="auto"/>
        </w:rPr>
        <w:t>4.</w:t>
      </w:r>
      <w:r>
        <w:rPr>
          <w:rFonts w:ascii="Times New Roman" w:hAnsi="Times New Roman"/>
          <w:color w:val="auto"/>
        </w:rPr>
        <w:t>3</w:t>
      </w:r>
      <w:r>
        <w:rPr>
          <w:rFonts w:hint="eastAsia" w:ascii="Times New Roman" w:hAnsi="Times New Roman"/>
          <w:color w:val="auto"/>
        </w:rPr>
        <w:t xml:space="preserve"> 本项目采用资格后审方式。</w:t>
      </w:r>
      <w:bookmarkEnd w:id="23"/>
    </w:p>
    <w:p>
      <w:pPr>
        <w:keepNext/>
        <w:keepLines/>
        <w:spacing w:before="260" w:after="260"/>
        <w:outlineLvl w:val="1"/>
        <w:rPr>
          <w:rFonts w:ascii="Times New Roman" w:hAnsi="Times New Roman" w:eastAsia="黑体"/>
          <w:b/>
          <w:color w:val="auto"/>
          <w:sz w:val="32"/>
          <w:szCs w:val="20"/>
        </w:rPr>
      </w:pPr>
      <w:bookmarkStart w:id="24" w:name="_Toc27306"/>
      <w:bookmarkStart w:id="25" w:name="_Toc1977"/>
      <w:bookmarkStart w:id="26" w:name="_Toc22345"/>
      <w:bookmarkStart w:id="27" w:name="_Toc11073609"/>
      <w:r>
        <w:rPr>
          <w:rFonts w:ascii="Times New Roman" w:hAnsi="Times New Roman" w:eastAsia="黑体"/>
          <w:b/>
          <w:color w:val="auto"/>
          <w:sz w:val="32"/>
          <w:szCs w:val="20"/>
        </w:rPr>
        <w:t xml:space="preserve">5. </w:t>
      </w:r>
      <w:r>
        <w:rPr>
          <w:rFonts w:hint="eastAsia" w:ascii="Times New Roman" w:hAnsi="Times New Roman" w:eastAsia="黑体"/>
          <w:b/>
          <w:color w:val="auto"/>
          <w:sz w:val="32"/>
          <w:szCs w:val="20"/>
        </w:rPr>
        <w:t>投标文件的递交</w:t>
      </w:r>
      <w:bookmarkEnd w:id="24"/>
      <w:bookmarkEnd w:id="25"/>
      <w:bookmarkEnd w:id="26"/>
      <w:bookmarkEnd w:id="27"/>
    </w:p>
    <w:p>
      <w:pPr>
        <w:tabs>
          <w:tab w:val="left" w:pos="360"/>
        </w:tabs>
        <w:spacing w:line="400" w:lineRule="exact"/>
        <w:ind w:firstLine="420" w:firstLineChars="200"/>
        <w:rPr>
          <w:rFonts w:ascii="Times New Roman" w:hAnsi="Times New Roman"/>
          <w:color w:val="auto"/>
        </w:rPr>
      </w:pPr>
      <w:bookmarkStart w:id="28" w:name="_Hlk40190665"/>
      <w:r>
        <w:rPr>
          <w:rFonts w:ascii="Times New Roman" w:hAnsi="Times New Roman"/>
          <w:color w:val="auto"/>
        </w:rPr>
        <w:t>5.1</w:t>
      </w:r>
      <w:r>
        <w:rPr>
          <w:rFonts w:hint="eastAsia" w:ascii="Times New Roman" w:hAnsi="Times New Roman"/>
          <w:color w:val="auto"/>
        </w:rPr>
        <w:t>（</w:t>
      </w:r>
      <w:r>
        <w:rPr>
          <w:rFonts w:ascii="Times New Roman" w:hAnsi="Times New Roman"/>
          <w:color w:val="auto"/>
        </w:rPr>
        <w:t>B</w:t>
      </w:r>
      <w:r>
        <w:rPr>
          <w:rFonts w:hint="eastAsia" w:ascii="Times New Roman" w:hAnsi="Times New Roman"/>
          <w:color w:val="auto"/>
        </w:rPr>
        <w:t>）</w:t>
      </w:r>
      <w:r>
        <w:rPr>
          <w:rFonts w:ascii="Times New Roman" w:hAnsi="Times New Roman"/>
          <w:color w:val="auto"/>
        </w:rPr>
        <w:t xml:space="preserve"> </w:t>
      </w:r>
      <w:r>
        <w:rPr>
          <w:rFonts w:hint="eastAsia" w:ascii="Times New Roman" w:hAnsi="Times New Roman"/>
          <w:color w:val="auto"/>
        </w:rPr>
        <w:t>递交投标文件的截止时间：</w:t>
      </w:r>
    </w:p>
    <w:p>
      <w:pPr>
        <w:tabs>
          <w:tab w:val="left" w:pos="360"/>
        </w:tabs>
        <w:spacing w:line="400" w:lineRule="exact"/>
        <w:ind w:firstLine="479"/>
        <w:rPr>
          <w:rFonts w:ascii="Times New Roman" w:hAnsi="Times New Roman"/>
          <w:color w:val="auto"/>
          <w:szCs w:val="21"/>
        </w:rPr>
      </w:pPr>
      <w:r>
        <w:rPr>
          <w:rFonts w:hint="eastAsia" w:ascii="宋体" w:hAnsi="宋体"/>
          <w:color w:val="auto"/>
          <w:sz w:val="24"/>
          <w:szCs w:val="24"/>
        </w:rPr>
        <w:fldChar w:fldCharType="begin"/>
      </w:r>
      <w:r>
        <w:rPr>
          <w:rFonts w:hint="eastAsia" w:ascii="宋体" w:hAnsi="宋体"/>
          <w:color w:val="auto"/>
          <w:sz w:val="24"/>
          <w:szCs w:val="24"/>
        </w:rPr>
        <w:instrText xml:space="preserve"> = 1 \* GB3 </w:instrText>
      </w:r>
      <w:r>
        <w:rPr>
          <w:rFonts w:hint="eastAsia" w:ascii="宋体" w:hAnsi="宋体"/>
          <w:color w:val="auto"/>
          <w:sz w:val="24"/>
          <w:szCs w:val="24"/>
        </w:rPr>
        <w:fldChar w:fldCharType="separate"/>
      </w:r>
      <w:r>
        <w:rPr>
          <w:rFonts w:hint="eastAsia" w:ascii="宋体" w:hAnsi="宋体"/>
          <w:color w:val="auto"/>
          <w:sz w:val="24"/>
          <w:szCs w:val="24"/>
        </w:rPr>
        <w:t>①</w:t>
      </w:r>
      <w:r>
        <w:rPr>
          <w:rFonts w:hint="eastAsia" w:ascii="宋体" w:hAnsi="宋体"/>
          <w:color w:val="auto"/>
          <w:sz w:val="24"/>
          <w:szCs w:val="24"/>
        </w:rPr>
        <w:fldChar w:fldCharType="end"/>
      </w:r>
      <w:r>
        <w:rPr>
          <w:rFonts w:hint="eastAsia" w:ascii="宋体" w:hAnsi="宋体"/>
          <w:color w:val="auto"/>
          <w:szCs w:val="21"/>
        </w:rPr>
        <w:t>递交电子投标文件。投标文件递交的截止时间（投标截止时间，下同）为</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rPr>
        <w:t xml:space="preserve">   </w:t>
      </w:r>
      <w:r>
        <w:rPr>
          <w:rFonts w:ascii="Times New Roman" w:hAnsi="Times New Roman"/>
          <w:color w:val="auto"/>
        </w:rPr>
        <w:t>月</w:t>
      </w:r>
      <w:r>
        <w:rPr>
          <w:rFonts w:hint="eastAsia" w:ascii="Times New Roman" w:hAnsi="Times New Roman"/>
          <w:color w:val="auto"/>
          <w:u w:val="single"/>
        </w:rPr>
        <w:t xml:space="preserve"> </w:t>
      </w:r>
      <w:r>
        <w:rPr>
          <w:rFonts w:ascii="Times New Roman" w:hAnsi="Times New Roman"/>
          <w:color w:val="auto"/>
        </w:rPr>
        <w:t>日</w:t>
      </w:r>
      <w:r>
        <w:rPr>
          <w:rFonts w:hint="eastAsia" w:ascii="Times New Roman" w:hAnsi="Times New Roman"/>
          <w:color w:val="auto"/>
          <w:u w:val="single"/>
        </w:rPr>
        <w:t xml:space="preserve">   </w:t>
      </w:r>
      <w:r>
        <w:rPr>
          <w:rFonts w:hint="eastAsia" w:ascii="Times New Roman" w:hAnsi="Times New Roman"/>
          <w:color w:val="auto"/>
          <w:szCs w:val="21"/>
        </w:rPr>
        <w:t>时</w:t>
      </w:r>
      <w:r>
        <w:rPr>
          <w:rFonts w:ascii="Times New Roman" w:hAnsi="Times New Roman"/>
          <w:color w:val="auto"/>
          <w:u w:val="single"/>
        </w:rPr>
        <w:t>00</w:t>
      </w:r>
      <w:r>
        <w:rPr>
          <w:rFonts w:hint="eastAsia" w:ascii="Times New Roman" w:hAnsi="Times New Roman"/>
          <w:color w:val="auto"/>
          <w:szCs w:val="21"/>
        </w:rPr>
        <w:t>分。</w:t>
      </w:r>
    </w:p>
    <w:p>
      <w:pPr>
        <w:tabs>
          <w:tab w:val="left" w:pos="360"/>
        </w:tabs>
        <w:spacing w:line="400" w:lineRule="exact"/>
        <w:ind w:firstLine="420" w:firstLineChars="200"/>
        <w:rPr>
          <w:rFonts w:ascii="Times New Roman" w:hAnsi="Times New Roman"/>
          <w:color w:val="auto"/>
        </w:rPr>
      </w:pPr>
      <w:r>
        <w:rPr>
          <w:rFonts w:hint="eastAsia" w:ascii="Times New Roman" w:hAnsi="Times New Roman"/>
          <w:color w:val="auto"/>
        </w:rPr>
        <w:t>投标人应在投标截止时间前通过</w:t>
      </w:r>
      <w:r>
        <w:rPr>
          <w:rFonts w:ascii="Times New Roman" w:hAnsi="Times New Roman"/>
          <w:color w:val="auto"/>
          <w:u w:val="single"/>
        </w:rPr>
        <w:t xml:space="preserve"> </w:t>
      </w:r>
      <w:r>
        <w:rPr>
          <w:rFonts w:hint="eastAsia" w:ascii="Times New Roman" w:hAnsi="Times New Roman"/>
          <w:color w:val="auto"/>
          <w:u w:val="single"/>
        </w:rPr>
        <w:t>广州市公共资源交易中心</w:t>
      </w:r>
      <w:r>
        <w:rPr>
          <w:rFonts w:ascii="Times New Roman" w:hAnsi="Times New Roman"/>
          <w:color w:val="auto"/>
          <w:u w:val="single"/>
        </w:rPr>
        <w:t xml:space="preserve"> </w:t>
      </w:r>
      <w:r>
        <w:rPr>
          <w:rFonts w:hint="eastAsia" w:ascii="Times New Roman" w:hAnsi="Times New Roman"/>
          <w:color w:val="auto"/>
        </w:rPr>
        <w:t>交易平台（电子招标投标交易平台）递交电子投标文件。投标人应在递交投标文件截止时间前，登陆</w:t>
      </w:r>
      <w:r>
        <w:rPr>
          <w:rFonts w:ascii="Times New Roman" w:hAnsi="Times New Roman"/>
          <w:color w:val="auto"/>
          <w:u w:val="single"/>
        </w:rPr>
        <w:t xml:space="preserve"> </w:t>
      </w:r>
      <w:bookmarkStart w:id="29" w:name="_Hlk41917453"/>
      <w:r>
        <w:rPr>
          <w:rFonts w:ascii="Times New Roman" w:hAnsi="Times New Roman"/>
          <w:color w:val="auto"/>
          <w:u w:val="single"/>
        </w:rPr>
        <w:t xml:space="preserve"> </w:t>
      </w:r>
      <w:r>
        <w:rPr>
          <w:rFonts w:hint="eastAsia" w:ascii="Times New Roman" w:hAnsi="Times New Roman"/>
          <w:color w:val="auto"/>
          <w:u w:val="single"/>
        </w:rPr>
        <w:t>广州公共资源交易中心（http://www.gzggzy.cn/）</w:t>
      </w:r>
      <w:bookmarkEnd w:id="29"/>
      <w:r>
        <w:rPr>
          <w:rFonts w:ascii="Times New Roman" w:hAnsi="Times New Roman"/>
          <w:color w:val="auto"/>
          <w:u w:val="single"/>
        </w:rPr>
        <w:t xml:space="preserve">  </w:t>
      </w:r>
      <w:r>
        <w:rPr>
          <w:rFonts w:hint="eastAsia" w:ascii="Times New Roman" w:hAnsi="Times New Roman"/>
          <w:color w:val="auto"/>
        </w:rPr>
        <w:t>交易平台网站办理网上投标登记手续。按照交易平台关于全流程电子化项目的相关指南进行操作。详见：</w:t>
      </w:r>
      <w:r>
        <w:rPr>
          <w:rFonts w:ascii="Times New Roman" w:hAnsi="Times New Roman"/>
          <w:color w:val="auto"/>
          <w:u w:val="single"/>
        </w:rPr>
        <w:t xml:space="preserve"> </w:t>
      </w:r>
      <w:bookmarkStart w:id="30" w:name="_Hlk41917463"/>
      <w:r>
        <w:rPr>
          <w:rFonts w:hint="eastAsia" w:ascii="Times New Roman" w:hAnsi="Times New Roman"/>
          <w:color w:val="auto"/>
          <w:u w:val="single"/>
        </w:rPr>
        <w:t>广州公共资源交易中心网站发布的最新版操作指引</w:t>
      </w:r>
      <w:bookmarkEnd w:id="30"/>
      <w:r>
        <w:rPr>
          <w:rFonts w:ascii="Times New Roman" w:hAnsi="Times New Roman"/>
          <w:color w:val="auto"/>
          <w:u w:val="single"/>
        </w:rPr>
        <w:t xml:space="preserve"> </w:t>
      </w:r>
      <w:r>
        <w:rPr>
          <w:rFonts w:hint="eastAsia" w:ascii="Times New Roman" w:hAnsi="Times New Roman"/>
          <w:color w:val="auto"/>
        </w:rPr>
        <w:t>。</w:t>
      </w:r>
    </w:p>
    <w:p>
      <w:pPr>
        <w:tabs>
          <w:tab w:val="left" w:pos="360"/>
        </w:tabs>
        <w:spacing w:line="400" w:lineRule="exact"/>
        <w:ind w:firstLine="420" w:firstLineChars="200"/>
        <w:rPr>
          <w:rFonts w:ascii="宋体" w:hAnsi="宋体"/>
          <w:color w:val="auto"/>
          <w:szCs w:val="21"/>
          <w:u w:val="single"/>
        </w:rPr>
      </w:pPr>
      <w:r>
        <w:rPr>
          <w:rFonts w:hint="eastAsia" w:ascii="宋体" w:hAnsi="宋体"/>
          <w:color w:val="auto"/>
          <w:szCs w:val="21"/>
        </w:rPr>
        <w:fldChar w:fldCharType="begin"/>
      </w:r>
      <w:r>
        <w:rPr>
          <w:rFonts w:hint="eastAsia" w:ascii="宋体" w:hAnsi="宋体"/>
          <w:color w:val="auto"/>
          <w:szCs w:val="21"/>
        </w:rPr>
        <w:instrText xml:space="preserve"> = 2 \* GB3 </w:instrText>
      </w:r>
      <w:r>
        <w:rPr>
          <w:rFonts w:hint="eastAsia" w:ascii="宋体" w:hAnsi="宋体"/>
          <w:color w:val="auto"/>
          <w:szCs w:val="21"/>
        </w:rPr>
        <w:fldChar w:fldCharType="separate"/>
      </w:r>
      <w:r>
        <w:rPr>
          <w:rFonts w:hint="eastAsia" w:ascii="宋体" w:hAnsi="宋体"/>
          <w:color w:val="auto"/>
          <w:szCs w:val="21"/>
        </w:rPr>
        <w:t>②</w:t>
      </w:r>
      <w:r>
        <w:rPr>
          <w:rFonts w:hint="eastAsia" w:ascii="宋体" w:hAnsi="宋体"/>
          <w:color w:val="auto"/>
          <w:szCs w:val="21"/>
        </w:rPr>
        <w:fldChar w:fldCharType="end"/>
      </w:r>
      <w:r>
        <w:rPr>
          <w:rFonts w:hint="eastAsia" w:ascii="宋体" w:hAnsi="宋体"/>
          <w:color w:val="auto"/>
          <w:szCs w:val="21"/>
        </w:rPr>
        <w:t>提交投标文件光盘（备用）。递交投标文件光盘(备用)的时间为</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rPr>
        <w:t xml:space="preserve">   </w:t>
      </w:r>
      <w:r>
        <w:rPr>
          <w:rFonts w:ascii="Times New Roman" w:hAnsi="Times New Roman"/>
          <w:color w:val="auto"/>
        </w:rPr>
        <w:t>月</w:t>
      </w:r>
      <w:r>
        <w:rPr>
          <w:rFonts w:hint="eastAsia" w:ascii="Times New Roman" w:hAnsi="Times New Roman"/>
          <w:color w:val="auto"/>
          <w:u w:val="single"/>
        </w:rPr>
        <w:t xml:space="preserve">   </w:t>
      </w:r>
      <w:r>
        <w:rPr>
          <w:rFonts w:ascii="Times New Roman" w:hAnsi="Times New Roman"/>
          <w:color w:val="auto"/>
        </w:rPr>
        <w:t>日</w:t>
      </w:r>
      <w:r>
        <w:rPr>
          <w:rFonts w:hint="eastAsia" w:ascii="Times New Roman" w:hAnsi="Times New Roman"/>
          <w:color w:val="auto"/>
          <w:u w:val="single"/>
        </w:rPr>
        <w:t xml:space="preserve">  </w:t>
      </w:r>
      <w:r>
        <w:rPr>
          <w:rFonts w:hint="eastAsia" w:ascii="Times New Roman" w:hAnsi="Times New Roman"/>
          <w:color w:val="auto"/>
          <w:szCs w:val="21"/>
        </w:rPr>
        <w:t>时</w:t>
      </w:r>
      <w:r>
        <w:rPr>
          <w:rFonts w:hint="eastAsia" w:ascii="Times New Roman" w:hAnsi="Times New Roman"/>
          <w:color w:val="auto"/>
          <w:u w:val="single"/>
        </w:rPr>
        <w:t xml:space="preserve">   </w:t>
      </w:r>
      <w:r>
        <w:rPr>
          <w:rFonts w:hint="eastAsia" w:ascii="Times New Roman" w:hAnsi="Times New Roman"/>
          <w:color w:val="auto"/>
          <w:szCs w:val="21"/>
        </w:rPr>
        <w:t>分</w:t>
      </w:r>
      <w:r>
        <w:rPr>
          <w:rFonts w:hint="eastAsia" w:ascii="宋体" w:hAnsi="宋体"/>
          <w:color w:val="auto"/>
          <w:szCs w:val="21"/>
        </w:rPr>
        <w:t>至</w:t>
      </w:r>
      <w:r>
        <w:rPr>
          <w:rFonts w:hint="eastAsia" w:ascii="Times New Roman" w:hAnsi="Times New Roman"/>
          <w:color w:val="auto"/>
          <w:u w:val="single"/>
        </w:rPr>
        <w:t>2023</w:t>
      </w:r>
      <w:r>
        <w:rPr>
          <w:rFonts w:ascii="Times New Roman" w:hAnsi="Times New Roman"/>
          <w:color w:val="auto"/>
        </w:rPr>
        <w:t>年</w:t>
      </w:r>
      <w:r>
        <w:rPr>
          <w:rFonts w:hint="eastAsia" w:ascii="Times New Roman" w:hAnsi="Times New Roman"/>
          <w:color w:val="auto"/>
          <w:u w:val="single"/>
        </w:rPr>
        <w:t xml:space="preserve">   </w:t>
      </w:r>
      <w:r>
        <w:rPr>
          <w:rFonts w:ascii="Times New Roman" w:hAnsi="Times New Roman"/>
          <w:color w:val="auto"/>
        </w:rPr>
        <w:t>月</w:t>
      </w:r>
      <w:r>
        <w:rPr>
          <w:rFonts w:hint="eastAsia" w:ascii="Times New Roman" w:hAnsi="Times New Roman"/>
          <w:color w:val="auto"/>
          <w:u w:val="single"/>
        </w:rPr>
        <w:t xml:space="preserve">   </w:t>
      </w:r>
      <w:r>
        <w:rPr>
          <w:rFonts w:ascii="Times New Roman" w:hAnsi="Times New Roman"/>
          <w:color w:val="auto"/>
        </w:rPr>
        <w:t>日</w:t>
      </w:r>
      <w:r>
        <w:rPr>
          <w:rFonts w:hint="eastAsia" w:ascii="Times New Roman" w:hAnsi="Times New Roman"/>
          <w:color w:val="auto"/>
          <w:u w:val="single"/>
        </w:rPr>
        <w:t xml:space="preserve">   </w:t>
      </w:r>
      <w:r>
        <w:rPr>
          <w:rFonts w:hint="eastAsia" w:ascii="Times New Roman" w:hAnsi="Times New Roman"/>
          <w:color w:val="auto"/>
          <w:szCs w:val="21"/>
        </w:rPr>
        <w:t>时</w:t>
      </w:r>
      <w:r>
        <w:rPr>
          <w:rFonts w:hint="eastAsia" w:ascii="Times New Roman" w:hAnsi="Times New Roman"/>
          <w:color w:val="auto"/>
          <w:u w:val="single"/>
        </w:rPr>
        <w:t xml:space="preserve">   </w:t>
      </w:r>
      <w:r>
        <w:rPr>
          <w:rFonts w:hint="eastAsia" w:ascii="Times New Roman" w:hAnsi="Times New Roman"/>
          <w:color w:val="auto"/>
          <w:szCs w:val="21"/>
        </w:rPr>
        <w:t>分</w:t>
      </w:r>
      <w:r>
        <w:rPr>
          <w:rFonts w:hint="eastAsia" w:ascii="宋体" w:hAnsi="宋体"/>
          <w:color w:val="auto"/>
          <w:szCs w:val="21"/>
        </w:rPr>
        <w:t>， 递交地点</w:t>
      </w:r>
      <w:r>
        <w:rPr>
          <w:rFonts w:ascii="Times New Roman" w:hAnsi="Times New Roman"/>
          <w:color w:val="auto"/>
        </w:rPr>
        <w:t>为</w:t>
      </w:r>
      <w:r>
        <w:rPr>
          <w:rFonts w:hint="eastAsia" w:ascii="宋体" w:hAnsi="宋体"/>
          <w:color w:val="auto"/>
          <w:szCs w:val="21"/>
          <w:u w:val="single"/>
        </w:rPr>
        <w:t xml:space="preserve"> </w:t>
      </w:r>
      <w:bookmarkStart w:id="31" w:name="_Hlk41917469"/>
      <w:r>
        <w:rPr>
          <w:rFonts w:hint="eastAsia" w:ascii="宋体" w:hAnsi="宋体"/>
          <w:color w:val="auto"/>
          <w:szCs w:val="21"/>
          <w:u w:val="single"/>
        </w:rPr>
        <w:t xml:space="preserve"> 广州市公共资源交易中心</w:t>
      </w:r>
      <w:bookmarkEnd w:id="31"/>
      <w:r>
        <w:rPr>
          <w:rFonts w:hint="eastAsia" w:ascii="宋体" w:hAnsi="宋体"/>
          <w:color w:val="auto"/>
          <w:szCs w:val="21"/>
          <w:u w:val="single"/>
        </w:rPr>
        <w:t>第   开标室。</w:t>
      </w:r>
    </w:p>
    <w:p>
      <w:pPr>
        <w:tabs>
          <w:tab w:val="left" w:pos="360"/>
        </w:tabs>
        <w:spacing w:line="400" w:lineRule="exact"/>
        <w:ind w:firstLine="315" w:firstLineChars="150"/>
        <w:rPr>
          <w:rFonts w:ascii="宋体" w:hAnsi="宋体"/>
          <w:color w:val="auto"/>
          <w:szCs w:val="21"/>
        </w:rPr>
      </w:pPr>
      <w:r>
        <w:rPr>
          <w:rFonts w:hint="eastAsia" w:ascii="宋体" w:hAnsi="宋体"/>
          <w:color w:val="auto"/>
          <w:szCs w:val="21"/>
        </w:rPr>
        <w:t>（投标人完成电子投标上传后，电子招标投标交易平台即时向投标人发出递交回执通知。递交时间以递交回执通知载明的传输时间为准。）</w:t>
      </w:r>
    </w:p>
    <w:bookmarkEnd w:id="28"/>
    <w:p>
      <w:pPr>
        <w:spacing w:line="400" w:lineRule="exact"/>
        <w:ind w:firstLine="420" w:firstLineChars="200"/>
        <w:jc w:val="left"/>
        <w:rPr>
          <w:rFonts w:ascii="Times New Roman" w:hAnsi="Times New Roman"/>
          <w:color w:val="auto"/>
        </w:rPr>
      </w:pPr>
      <w:bookmarkStart w:id="32" w:name="_Hlk40190676"/>
      <w:r>
        <w:rPr>
          <w:rFonts w:ascii="Times New Roman" w:hAnsi="Times New Roman"/>
          <w:color w:val="auto"/>
        </w:rPr>
        <w:t xml:space="preserve">5.2 </w:t>
      </w:r>
      <w:r>
        <w:rPr>
          <w:rFonts w:hint="eastAsia" w:ascii="Times New Roman" w:hAnsi="Times New Roman"/>
          <w:color w:val="auto"/>
        </w:rPr>
        <w:t>（</w:t>
      </w:r>
      <w:r>
        <w:rPr>
          <w:rFonts w:ascii="Times New Roman" w:hAnsi="Times New Roman"/>
          <w:color w:val="auto"/>
        </w:rPr>
        <w:t>B</w:t>
      </w:r>
      <w:r>
        <w:rPr>
          <w:rFonts w:hint="eastAsia" w:ascii="Times New Roman" w:hAnsi="Times New Roman"/>
          <w:color w:val="auto"/>
        </w:rPr>
        <w:t>）逾期送达的投标文件，电子招标投标交易平台将予以拒收。</w:t>
      </w:r>
    </w:p>
    <w:bookmarkEnd w:id="32"/>
    <w:p>
      <w:pPr>
        <w:keepNext/>
        <w:keepLines/>
        <w:spacing w:before="260" w:after="260"/>
        <w:outlineLvl w:val="1"/>
        <w:rPr>
          <w:rFonts w:ascii="Times New Roman" w:hAnsi="Times New Roman" w:eastAsia="黑体"/>
          <w:b/>
          <w:color w:val="auto"/>
          <w:sz w:val="32"/>
          <w:szCs w:val="20"/>
        </w:rPr>
      </w:pPr>
      <w:bookmarkStart w:id="33" w:name="_Toc13694"/>
      <w:bookmarkStart w:id="34" w:name="_Toc20148"/>
      <w:bookmarkStart w:id="35" w:name="_Toc6265"/>
      <w:r>
        <w:rPr>
          <w:rFonts w:ascii="Times New Roman" w:hAnsi="Times New Roman" w:eastAsia="黑体"/>
          <w:b/>
          <w:color w:val="auto"/>
          <w:sz w:val="32"/>
          <w:szCs w:val="20"/>
        </w:rPr>
        <w:t xml:space="preserve">6. </w:t>
      </w:r>
      <w:r>
        <w:rPr>
          <w:rFonts w:hint="eastAsia" w:ascii="Times New Roman" w:hAnsi="Times New Roman" w:eastAsia="黑体"/>
          <w:b/>
          <w:color w:val="auto"/>
          <w:sz w:val="32"/>
          <w:szCs w:val="20"/>
        </w:rPr>
        <w:t>开标</w:t>
      </w:r>
      <w:bookmarkEnd w:id="33"/>
      <w:bookmarkEnd w:id="34"/>
      <w:bookmarkEnd w:id="35"/>
    </w:p>
    <w:p>
      <w:pPr>
        <w:tabs>
          <w:tab w:val="left" w:pos="360"/>
        </w:tabs>
        <w:spacing w:line="400" w:lineRule="exact"/>
        <w:ind w:firstLine="420" w:firstLineChars="200"/>
        <w:rPr>
          <w:rFonts w:ascii="Times New Roman" w:hAnsi="Times New Roman"/>
          <w:color w:val="auto"/>
        </w:rPr>
      </w:pPr>
      <w:r>
        <w:rPr>
          <w:rFonts w:hint="eastAsia" w:ascii="Times New Roman" w:hAnsi="Times New Roman"/>
          <w:color w:val="auto"/>
        </w:rPr>
        <w:t>开标时间：</w:t>
      </w:r>
      <w:r>
        <w:rPr>
          <w:rFonts w:ascii="Times New Roman" w:hAnsi="Times New Roman"/>
          <w:color w:val="auto"/>
          <w:u w:val="single"/>
        </w:rPr>
        <w:t>202</w:t>
      </w:r>
      <w:r>
        <w:rPr>
          <w:rFonts w:hint="eastAsia" w:ascii="Times New Roman" w:hAnsi="Times New Roman"/>
          <w:color w:val="auto"/>
          <w:u w:val="single"/>
        </w:rPr>
        <w:t xml:space="preserve"> </w:t>
      </w:r>
      <w:r>
        <w:rPr>
          <w:rFonts w:ascii="Times New Roman" w:hAnsi="Times New Roman"/>
          <w:color w:val="auto"/>
        </w:rPr>
        <w:t>年</w:t>
      </w:r>
      <w:r>
        <w:rPr>
          <w:rFonts w:hint="eastAsia" w:ascii="Times New Roman" w:hAnsi="Times New Roman"/>
          <w:color w:val="auto"/>
          <w:u w:val="single"/>
        </w:rPr>
        <w:t xml:space="preserve">   </w:t>
      </w:r>
      <w:r>
        <w:rPr>
          <w:rFonts w:ascii="Times New Roman" w:hAnsi="Times New Roman"/>
          <w:color w:val="auto"/>
        </w:rPr>
        <w:t>月</w:t>
      </w:r>
      <w:r>
        <w:rPr>
          <w:rFonts w:hint="eastAsia" w:ascii="Times New Roman" w:hAnsi="Times New Roman"/>
          <w:color w:val="auto"/>
          <w:u w:val="single"/>
        </w:rPr>
        <w:t xml:space="preserve">   </w:t>
      </w:r>
      <w:r>
        <w:rPr>
          <w:rFonts w:ascii="Times New Roman" w:hAnsi="Times New Roman"/>
          <w:color w:val="auto"/>
        </w:rPr>
        <w:t>日</w:t>
      </w:r>
      <w:r>
        <w:rPr>
          <w:rFonts w:hint="eastAsia" w:ascii="Times New Roman" w:hAnsi="Times New Roman"/>
          <w:color w:val="auto"/>
          <w:u w:val="single"/>
        </w:rPr>
        <w:t xml:space="preserve">    </w:t>
      </w:r>
      <w:r>
        <w:rPr>
          <w:rFonts w:hint="eastAsia" w:ascii="Times New Roman" w:hAnsi="Times New Roman"/>
          <w:color w:val="auto"/>
          <w:szCs w:val="21"/>
        </w:rPr>
        <w:t>时</w:t>
      </w:r>
      <w:r>
        <w:rPr>
          <w:rFonts w:hint="eastAsia" w:ascii="Times New Roman" w:hAnsi="Times New Roman"/>
          <w:color w:val="auto"/>
          <w:u w:val="single"/>
        </w:rPr>
        <w:t xml:space="preserve">   </w:t>
      </w:r>
      <w:r>
        <w:rPr>
          <w:rFonts w:hint="eastAsia" w:ascii="Times New Roman" w:hAnsi="Times New Roman"/>
          <w:color w:val="auto"/>
          <w:szCs w:val="21"/>
        </w:rPr>
        <w:t>分</w:t>
      </w:r>
      <w:r>
        <w:rPr>
          <w:rFonts w:hint="eastAsia" w:ascii="Times New Roman" w:hAnsi="Times New Roman"/>
          <w:color w:val="auto"/>
        </w:rPr>
        <w:t>。</w:t>
      </w:r>
    </w:p>
    <w:p>
      <w:pPr>
        <w:keepNext/>
        <w:keepLines/>
        <w:spacing w:before="260" w:after="260"/>
        <w:outlineLvl w:val="1"/>
        <w:rPr>
          <w:rFonts w:ascii="Times New Roman" w:hAnsi="Times New Roman" w:eastAsia="黑体"/>
          <w:b/>
          <w:color w:val="auto"/>
          <w:sz w:val="32"/>
          <w:szCs w:val="20"/>
        </w:rPr>
      </w:pPr>
      <w:bookmarkStart w:id="36" w:name="_Toc20738"/>
      <w:bookmarkStart w:id="37" w:name="_Toc11073610"/>
      <w:bookmarkStart w:id="38" w:name="_Toc11194"/>
      <w:bookmarkStart w:id="39" w:name="_Toc5528"/>
      <w:r>
        <w:rPr>
          <w:rFonts w:hint="eastAsia" w:ascii="Times New Roman" w:hAnsi="Times New Roman" w:eastAsia="黑体"/>
          <w:b/>
          <w:color w:val="auto"/>
          <w:sz w:val="32"/>
          <w:szCs w:val="20"/>
        </w:rPr>
        <w:t>7</w:t>
      </w:r>
      <w:r>
        <w:rPr>
          <w:rFonts w:ascii="Times New Roman" w:hAnsi="Times New Roman" w:eastAsia="黑体"/>
          <w:b/>
          <w:color w:val="auto"/>
          <w:sz w:val="32"/>
          <w:szCs w:val="20"/>
        </w:rPr>
        <w:t xml:space="preserve">. </w:t>
      </w:r>
      <w:r>
        <w:rPr>
          <w:rFonts w:hint="eastAsia" w:ascii="Times New Roman" w:hAnsi="Times New Roman" w:eastAsia="黑体"/>
          <w:b/>
          <w:color w:val="auto"/>
          <w:sz w:val="32"/>
          <w:szCs w:val="20"/>
        </w:rPr>
        <w:t>发布公告的媒介</w:t>
      </w:r>
      <w:bookmarkEnd w:id="36"/>
      <w:bookmarkEnd w:id="37"/>
      <w:bookmarkEnd w:id="38"/>
      <w:bookmarkEnd w:id="39"/>
    </w:p>
    <w:p>
      <w:pPr>
        <w:spacing w:line="400" w:lineRule="exact"/>
        <w:ind w:firstLine="420" w:firstLineChars="200"/>
        <w:rPr>
          <w:rFonts w:ascii="Times New Roman" w:hAnsi="Times New Roman"/>
          <w:color w:val="auto"/>
        </w:rPr>
      </w:pPr>
      <w:r>
        <w:rPr>
          <w:rFonts w:ascii="Times New Roman" w:hAnsi="Times New Roman"/>
          <w:color w:val="auto"/>
        </w:rPr>
        <w:t>本次招标公告同时</w:t>
      </w:r>
      <w:r>
        <w:rPr>
          <w:rFonts w:hint="eastAsia" w:ascii="Times New Roman" w:hAnsi="Times New Roman"/>
          <w:color w:val="auto"/>
        </w:rPr>
        <w:t>在广州公共资源交易中心网站（网址：http://www.gzggzy.cn/）和广东省招标投标监管网（网址：</w:t>
      </w:r>
      <w:r>
        <w:rPr>
          <w:rFonts w:hint="eastAsia" w:ascii="Times New Roman" w:hAnsi="Times New Roman"/>
          <w:color w:val="auto"/>
          <w:highlight w:val="none"/>
        </w:rPr>
        <w:t>https://www.gdzwfw.gov.cn/ztbjg-portal/#/index</w:t>
      </w:r>
      <w:r>
        <w:rPr>
          <w:rFonts w:hint="eastAsia" w:ascii="Times New Roman" w:hAnsi="Times New Roman"/>
          <w:color w:val="auto"/>
        </w:rPr>
        <w:t>）、东莞市交通投资集团有限公司网站（网址：http://www.dgjtjt.com.cn）、中国招标投标公共服务平台（网址：http://www.cebpubservice.com/）、广东省公共资源交易平台（网址：https://ygp.gdzwfw.gov.cn/#/441900/index）发布，本公告的修改、补充，在广州公共资源交易中心网站发布。本公告在各媒体发布的文本如有不同之处，以在广州公共资源交易中心网站发布的文本为准。</w:t>
      </w:r>
    </w:p>
    <w:p>
      <w:pPr>
        <w:keepNext/>
        <w:keepLines/>
        <w:spacing w:before="260" w:after="260"/>
        <w:outlineLvl w:val="1"/>
        <w:rPr>
          <w:rFonts w:ascii="Times New Roman" w:hAnsi="Times New Roman" w:eastAsia="黑体"/>
          <w:b/>
          <w:color w:val="auto"/>
          <w:sz w:val="32"/>
          <w:szCs w:val="20"/>
        </w:rPr>
      </w:pPr>
      <w:bookmarkStart w:id="40" w:name="_Toc16313"/>
      <w:bookmarkStart w:id="41" w:name="_Toc11073611"/>
      <w:bookmarkStart w:id="42" w:name="_Toc23300"/>
      <w:bookmarkStart w:id="43" w:name="_Toc26613"/>
      <w:r>
        <w:rPr>
          <w:rFonts w:hint="eastAsia" w:ascii="Times New Roman" w:hAnsi="Times New Roman" w:eastAsia="黑体"/>
          <w:b/>
          <w:color w:val="auto"/>
          <w:sz w:val="32"/>
          <w:szCs w:val="20"/>
        </w:rPr>
        <w:t>8</w:t>
      </w:r>
      <w:r>
        <w:rPr>
          <w:rFonts w:ascii="Times New Roman" w:hAnsi="Times New Roman" w:eastAsia="黑体"/>
          <w:b/>
          <w:color w:val="auto"/>
          <w:sz w:val="32"/>
          <w:szCs w:val="20"/>
        </w:rPr>
        <w:t xml:space="preserve">. </w:t>
      </w:r>
      <w:r>
        <w:rPr>
          <w:rFonts w:hint="eastAsia" w:ascii="Times New Roman" w:hAnsi="Times New Roman" w:eastAsia="黑体"/>
          <w:b/>
          <w:color w:val="auto"/>
          <w:sz w:val="32"/>
          <w:szCs w:val="20"/>
        </w:rPr>
        <w:t>资格的确定方式</w:t>
      </w:r>
      <w:bookmarkEnd w:id="40"/>
      <w:bookmarkEnd w:id="41"/>
      <w:bookmarkEnd w:id="42"/>
      <w:bookmarkEnd w:id="43"/>
    </w:p>
    <w:p>
      <w:pPr>
        <w:spacing w:line="400" w:lineRule="exact"/>
        <w:ind w:firstLine="420" w:firstLineChars="200"/>
        <w:rPr>
          <w:rFonts w:ascii="Times New Roman" w:hAnsi="Times New Roman"/>
          <w:color w:val="auto"/>
        </w:rPr>
      </w:pPr>
      <w:r>
        <w:rPr>
          <w:rFonts w:hint="eastAsia" w:ascii="Times New Roman" w:hAnsi="Times New Roman"/>
          <w:color w:val="auto"/>
        </w:rPr>
        <w:t>本项目采用资格后审方式。满足资格审查合格条件或通过初步评审的投标申请人不足</w:t>
      </w:r>
      <w:r>
        <w:rPr>
          <w:rFonts w:ascii="Times New Roman" w:hAnsi="Times New Roman"/>
          <w:color w:val="auto"/>
        </w:rPr>
        <w:t>3</w:t>
      </w:r>
      <w:r>
        <w:rPr>
          <w:rFonts w:hint="eastAsia" w:ascii="Times New Roman" w:hAnsi="Times New Roman"/>
          <w:color w:val="auto"/>
        </w:rPr>
        <w:t>名时为招标失败。招标人分析招标失败原因，修正招标方案，报有关管理部门核准后，重新组织招标。</w:t>
      </w:r>
    </w:p>
    <w:p>
      <w:pPr>
        <w:keepNext/>
        <w:keepLines/>
        <w:spacing w:before="260" w:after="260"/>
        <w:outlineLvl w:val="1"/>
        <w:rPr>
          <w:rFonts w:ascii="Times New Roman" w:hAnsi="Times New Roman" w:eastAsia="黑体"/>
          <w:b/>
          <w:color w:val="auto"/>
          <w:sz w:val="32"/>
          <w:szCs w:val="20"/>
        </w:rPr>
      </w:pPr>
      <w:bookmarkStart w:id="44" w:name="_Toc32117"/>
      <w:bookmarkStart w:id="45" w:name="_Toc2431"/>
      <w:bookmarkStart w:id="46" w:name="_Toc4211"/>
      <w:bookmarkStart w:id="47" w:name="_Toc11073612"/>
      <w:r>
        <w:rPr>
          <w:rFonts w:hint="eastAsia" w:ascii="Times New Roman" w:hAnsi="Times New Roman" w:eastAsia="黑体"/>
          <w:b/>
          <w:color w:val="auto"/>
          <w:sz w:val="32"/>
          <w:szCs w:val="20"/>
        </w:rPr>
        <w:t>9</w:t>
      </w:r>
      <w:r>
        <w:rPr>
          <w:rFonts w:ascii="Times New Roman" w:hAnsi="Times New Roman" w:eastAsia="黑体"/>
          <w:b/>
          <w:color w:val="auto"/>
          <w:sz w:val="32"/>
          <w:szCs w:val="20"/>
        </w:rPr>
        <w:t xml:space="preserve">. </w:t>
      </w:r>
      <w:r>
        <w:rPr>
          <w:rFonts w:hint="eastAsia" w:ascii="Times New Roman" w:hAnsi="Times New Roman" w:eastAsia="黑体"/>
          <w:b/>
          <w:color w:val="auto"/>
          <w:sz w:val="32"/>
          <w:szCs w:val="20"/>
        </w:rPr>
        <w:t>其他</w:t>
      </w:r>
      <w:bookmarkEnd w:id="44"/>
      <w:bookmarkEnd w:id="45"/>
      <w:bookmarkEnd w:id="46"/>
      <w:bookmarkEnd w:id="47"/>
    </w:p>
    <w:p>
      <w:pPr>
        <w:spacing w:line="400" w:lineRule="exact"/>
        <w:ind w:firstLine="420" w:firstLineChars="200"/>
        <w:rPr>
          <w:rFonts w:ascii="Times New Roman" w:hAnsi="Times New Roman"/>
          <w:color w:val="auto"/>
        </w:rPr>
      </w:pPr>
      <w:r>
        <w:rPr>
          <w:rFonts w:hint="eastAsia" w:ascii="Times New Roman" w:hAnsi="Times New Roman"/>
          <w:color w:val="auto"/>
        </w:rPr>
        <w:t>9</w:t>
      </w:r>
      <w:r>
        <w:rPr>
          <w:rFonts w:ascii="Times New Roman" w:hAnsi="Times New Roman"/>
          <w:color w:val="auto"/>
        </w:rPr>
        <w:t>.1</w:t>
      </w:r>
      <w:r>
        <w:rPr>
          <w:rFonts w:hint="eastAsia" w:ascii="Times New Roman" w:hAnsi="Times New Roman"/>
          <w:color w:val="auto"/>
        </w:rPr>
        <w:t>招标人连续两次或以上招标失败的项目，需要调整招标方式的，应按《东莞市建设工程招标投标管理办法》（东府〔2022〕28号）的第二十八条规定执行。</w:t>
      </w:r>
    </w:p>
    <w:p>
      <w:pPr>
        <w:spacing w:line="400" w:lineRule="exact"/>
        <w:ind w:firstLine="420" w:firstLineChars="200"/>
        <w:rPr>
          <w:rFonts w:ascii="Times New Roman" w:hAnsi="Times New Roman"/>
          <w:color w:val="auto"/>
        </w:rPr>
      </w:pPr>
      <w:r>
        <w:rPr>
          <w:rFonts w:hint="eastAsia" w:ascii="Times New Roman" w:hAnsi="Times New Roman"/>
          <w:color w:val="auto"/>
        </w:rPr>
        <w:t>9</w:t>
      </w:r>
      <w:r>
        <w:rPr>
          <w:rFonts w:ascii="Times New Roman" w:hAnsi="Times New Roman"/>
          <w:color w:val="auto"/>
        </w:rPr>
        <w:t>.2</w:t>
      </w:r>
      <w:r>
        <w:rPr>
          <w:rFonts w:hint="eastAsia" w:ascii="宋体" w:hAnsi="宋体"/>
          <w:color w:val="auto"/>
          <w:szCs w:val="21"/>
        </w:rPr>
        <w:t>潜在投标人或利害关系人对本招标公告及招标文件内容异议的，向招标人书面提出。异议受理部门：</w:t>
      </w:r>
      <w:r>
        <w:rPr>
          <w:rFonts w:hint="eastAsia" w:ascii="宋体" w:hAnsi="宋体"/>
          <w:color w:val="auto"/>
          <w:szCs w:val="21"/>
          <w:u w:val="single"/>
        </w:rPr>
        <w:t>东莞市轨道一号线建设发展有限公司党群监察部</w:t>
      </w:r>
      <w:r>
        <w:rPr>
          <w:rFonts w:hint="eastAsia" w:ascii="宋体" w:hAnsi="宋体"/>
          <w:color w:val="auto"/>
          <w:szCs w:val="21"/>
        </w:rPr>
        <w:t>，电话：</w:t>
      </w:r>
      <w:r>
        <w:rPr>
          <w:rFonts w:ascii="宋体" w:hAnsi="宋体"/>
          <w:color w:val="auto"/>
          <w:szCs w:val="21"/>
          <w:u w:val="single"/>
        </w:rPr>
        <w:t>0769-</w:t>
      </w:r>
      <w:r>
        <w:rPr>
          <w:rFonts w:hint="eastAsia" w:ascii="宋体" w:hAnsi="宋体"/>
          <w:color w:val="auto"/>
          <w:szCs w:val="21"/>
          <w:u w:val="single"/>
        </w:rPr>
        <w:t>23323203</w:t>
      </w:r>
      <w:r>
        <w:rPr>
          <w:rFonts w:hint="eastAsia" w:ascii="宋体" w:hAnsi="宋体"/>
          <w:color w:val="auto"/>
          <w:szCs w:val="21"/>
        </w:rPr>
        <w:t>，地址：</w:t>
      </w:r>
      <w:r>
        <w:rPr>
          <w:rFonts w:hint="eastAsia" w:ascii="宋体" w:hAnsi="宋体"/>
          <w:color w:val="auto"/>
          <w:u w:val="single"/>
        </w:rPr>
        <w:t>东莞市东城街道东城体育公园内</w:t>
      </w:r>
      <w:r>
        <w:rPr>
          <w:rFonts w:hint="eastAsia" w:ascii="宋体" w:hAnsi="宋体"/>
          <w:color w:val="auto"/>
          <w:szCs w:val="21"/>
          <w:u w:val="single"/>
        </w:rPr>
        <w:t>。</w:t>
      </w:r>
    </w:p>
    <w:p>
      <w:pPr>
        <w:spacing w:line="400" w:lineRule="exact"/>
        <w:ind w:firstLine="420" w:firstLineChars="200"/>
        <w:rPr>
          <w:rFonts w:ascii="Times New Roman" w:hAnsi="Times New Roman"/>
          <w:color w:val="auto"/>
        </w:rPr>
      </w:pPr>
      <w:r>
        <w:rPr>
          <w:rFonts w:hint="eastAsia" w:ascii="Times New Roman" w:hAnsi="Times New Roman"/>
          <w:color w:val="auto"/>
        </w:rPr>
        <w:t>9.3《投诉处理决定书》和《行政处理决定书》在相关网站上公布的，视为送达其他与决定书有关的当事人。</w:t>
      </w:r>
    </w:p>
    <w:p>
      <w:pPr>
        <w:spacing w:line="400" w:lineRule="exact"/>
        <w:ind w:firstLine="420" w:firstLineChars="200"/>
        <w:rPr>
          <w:rFonts w:ascii="Times New Roman" w:hAnsi="Times New Roman"/>
          <w:color w:val="auto"/>
        </w:rPr>
      </w:pPr>
      <w:r>
        <w:rPr>
          <w:rFonts w:hint="eastAsia" w:ascii="Times New Roman" w:hAnsi="Times New Roman"/>
          <w:color w:val="auto"/>
        </w:rPr>
        <w:t>9.4</w:t>
      </w:r>
      <w:r>
        <w:rPr>
          <w:rFonts w:ascii="Times New Roman" w:hAnsi="Times New Roman"/>
          <w:color w:val="auto"/>
        </w:rPr>
        <w:t>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400" w:lineRule="exact"/>
        <w:ind w:firstLine="420" w:firstLineChars="200"/>
        <w:rPr>
          <w:rFonts w:ascii="Times New Roman" w:hAnsi="Times New Roman"/>
          <w:color w:val="auto"/>
        </w:rPr>
      </w:pPr>
      <w:r>
        <w:rPr>
          <w:rFonts w:hint="eastAsia" w:ascii="Times New Roman" w:hAnsi="Times New Roman"/>
          <w:color w:val="auto"/>
        </w:rPr>
        <w:t>（1）</w:t>
      </w:r>
      <w:r>
        <w:rPr>
          <w:rFonts w:ascii="Times New Roman" w:hAnsi="Times New Roman"/>
          <w:color w:val="auto"/>
        </w:rPr>
        <w:t>将中标工程转包或者违法分包的</w:t>
      </w:r>
      <w:r>
        <w:rPr>
          <w:rFonts w:hint="eastAsia" w:ascii="Times New Roman" w:hAnsi="Times New Roman"/>
          <w:color w:val="auto"/>
        </w:rPr>
        <w:t>；</w:t>
      </w:r>
    </w:p>
    <w:p>
      <w:pPr>
        <w:spacing w:line="400" w:lineRule="exact"/>
        <w:ind w:firstLine="420" w:firstLineChars="200"/>
        <w:rPr>
          <w:rFonts w:ascii="Times New Roman" w:hAnsi="Times New Roman"/>
          <w:color w:val="auto"/>
        </w:rPr>
      </w:pPr>
      <w:r>
        <w:rPr>
          <w:rFonts w:hint="eastAsia" w:ascii="Times New Roman" w:hAnsi="Times New Roman"/>
          <w:color w:val="auto"/>
        </w:rPr>
        <w:t>（2）</w:t>
      </w:r>
      <w:r>
        <w:rPr>
          <w:rFonts w:ascii="Times New Roman" w:hAnsi="Times New Roman"/>
          <w:color w:val="auto"/>
        </w:rPr>
        <w:t>在中标工程中不执行质量、安全生产相关规定的，造成质量或安全事故的；</w:t>
      </w:r>
    </w:p>
    <w:p>
      <w:pPr>
        <w:spacing w:line="400" w:lineRule="exact"/>
        <w:ind w:firstLine="420" w:firstLineChars="200"/>
        <w:rPr>
          <w:rFonts w:ascii="Times New Roman" w:hAnsi="Times New Roman"/>
          <w:color w:val="auto"/>
        </w:rPr>
      </w:pPr>
      <w:r>
        <w:rPr>
          <w:rFonts w:hint="eastAsia" w:ascii="Times New Roman" w:hAnsi="Times New Roman"/>
          <w:color w:val="auto"/>
        </w:rPr>
        <w:t>（3）</w:t>
      </w:r>
      <w:r>
        <w:rPr>
          <w:rFonts w:ascii="Times New Roman" w:hAnsi="Times New Roman"/>
          <w:color w:val="auto"/>
        </w:rPr>
        <w:t>存在围标或串标情形的</w:t>
      </w:r>
      <w:r>
        <w:rPr>
          <w:rFonts w:hint="eastAsia" w:ascii="Times New Roman" w:hAnsi="Times New Roman"/>
          <w:color w:val="auto"/>
        </w:rPr>
        <w:t>；</w:t>
      </w:r>
    </w:p>
    <w:p>
      <w:pPr>
        <w:spacing w:line="400" w:lineRule="exact"/>
        <w:ind w:firstLine="420" w:firstLineChars="200"/>
        <w:rPr>
          <w:rFonts w:ascii="Times New Roman" w:hAnsi="Times New Roman"/>
          <w:color w:val="auto"/>
        </w:rPr>
      </w:pPr>
      <w:r>
        <w:rPr>
          <w:rFonts w:hint="eastAsia" w:ascii="Times New Roman" w:hAnsi="Times New Roman"/>
          <w:color w:val="auto"/>
        </w:rPr>
        <w:t>（4）</w:t>
      </w:r>
      <w:r>
        <w:rPr>
          <w:rFonts w:ascii="Times New Roman" w:hAnsi="Times New Roman"/>
          <w:color w:val="auto"/>
        </w:rPr>
        <w:t>存在弄虚作假骗取中标情形的</w:t>
      </w:r>
      <w:r>
        <w:rPr>
          <w:rFonts w:hint="eastAsia" w:ascii="Times New Roman" w:hAnsi="Times New Roman"/>
          <w:color w:val="auto"/>
        </w:rPr>
        <w:t>。</w:t>
      </w:r>
    </w:p>
    <w:p>
      <w:pPr>
        <w:keepNext/>
        <w:keepLines/>
        <w:spacing w:before="260" w:after="260"/>
        <w:outlineLvl w:val="1"/>
        <w:rPr>
          <w:rFonts w:ascii="Times New Roman" w:hAnsi="Times New Roman" w:eastAsia="黑体"/>
          <w:b/>
          <w:color w:val="auto"/>
          <w:sz w:val="32"/>
          <w:szCs w:val="20"/>
        </w:rPr>
      </w:pPr>
      <w:bookmarkStart w:id="76" w:name="_GoBack"/>
      <w:bookmarkEnd w:id="76"/>
      <w:r>
        <w:rPr>
          <w:rFonts w:hint="eastAsia" w:ascii="Times New Roman" w:hAnsi="Times New Roman" w:eastAsia="黑体"/>
          <w:b/>
          <w:color w:val="auto"/>
          <w:sz w:val="32"/>
          <w:szCs w:val="20"/>
        </w:rPr>
        <w:t>10</w:t>
      </w:r>
      <w:r>
        <w:rPr>
          <w:rFonts w:ascii="Times New Roman" w:hAnsi="Times New Roman" w:eastAsia="黑体"/>
          <w:b/>
          <w:color w:val="auto"/>
          <w:sz w:val="32"/>
          <w:szCs w:val="20"/>
        </w:rPr>
        <w:t xml:space="preserve">. </w:t>
      </w:r>
      <w:r>
        <w:rPr>
          <w:rFonts w:hint="eastAsia" w:ascii="Times New Roman" w:hAnsi="Times New Roman" w:eastAsia="黑体"/>
          <w:b/>
          <w:color w:val="auto"/>
          <w:sz w:val="32"/>
          <w:szCs w:val="20"/>
        </w:rPr>
        <w:t>联系方式</w:t>
      </w:r>
      <w:bookmarkEnd w:id="4"/>
      <w:bookmarkEnd w:id="5"/>
      <w:bookmarkEnd w:id="6"/>
      <w:bookmarkEnd w:id="7"/>
    </w:p>
    <w:p>
      <w:pPr>
        <w:spacing w:line="360" w:lineRule="auto"/>
        <w:jc w:val="left"/>
        <w:rPr>
          <w:rFonts w:ascii="宋体" w:hAnsi="宋体"/>
          <w:color w:val="auto"/>
          <w:szCs w:val="21"/>
        </w:rPr>
      </w:pPr>
      <w:bookmarkStart w:id="48" w:name="_Toc152042289"/>
      <w:bookmarkEnd w:id="48"/>
      <w:bookmarkStart w:id="49" w:name="_Toc300834927"/>
      <w:bookmarkEnd w:id="49"/>
      <w:bookmarkStart w:id="50" w:name="_Toc352691456"/>
      <w:bookmarkEnd w:id="50"/>
      <w:bookmarkStart w:id="51" w:name="_Toc369531497"/>
      <w:bookmarkEnd w:id="51"/>
      <w:bookmarkStart w:id="52" w:name="_Toc361508563"/>
      <w:bookmarkEnd w:id="52"/>
      <w:bookmarkStart w:id="53" w:name="_Toc361508560"/>
      <w:bookmarkEnd w:id="53"/>
      <w:bookmarkStart w:id="54" w:name="_Toc384308188"/>
      <w:bookmarkEnd w:id="54"/>
      <w:bookmarkStart w:id="55" w:name="_Toc144974481"/>
      <w:bookmarkEnd w:id="55"/>
      <w:bookmarkStart w:id="56" w:name="_Toc300834930"/>
      <w:bookmarkEnd w:id="56"/>
      <w:bookmarkStart w:id="57" w:name="_Toc300834929"/>
      <w:bookmarkEnd w:id="57"/>
      <w:bookmarkStart w:id="58" w:name="_Toc369531498"/>
      <w:bookmarkEnd w:id="58"/>
      <w:bookmarkStart w:id="59" w:name="_Toc152042288"/>
      <w:bookmarkEnd w:id="59"/>
      <w:bookmarkStart w:id="60" w:name="_Toc247513935"/>
      <w:bookmarkEnd w:id="60"/>
      <w:bookmarkStart w:id="61" w:name="_Toc10785"/>
      <w:bookmarkEnd w:id="61"/>
      <w:bookmarkStart w:id="62" w:name="_Toc384308187"/>
      <w:bookmarkEnd w:id="62"/>
      <w:bookmarkStart w:id="63" w:name="_Toc17972"/>
      <w:bookmarkEnd w:id="63"/>
      <w:bookmarkStart w:id="64" w:name="_Toc152045513"/>
      <w:bookmarkEnd w:id="64"/>
      <w:bookmarkStart w:id="65" w:name="_Toc152045512"/>
      <w:bookmarkEnd w:id="65"/>
      <w:bookmarkStart w:id="66" w:name="_Toc352691453"/>
      <w:bookmarkEnd w:id="66"/>
      <w:bookmarkStart w:id="67" w:name="_Toc144974480"/>
      <w:bookmarkEnd w:id="67"/>
      <w:bookmarkStart w:id="68" w:name="_Toc369531495"/>
      <w:bookmarkEnd w:id="68"/>
      <w:bookmarkStart w:id="69" w:name="_Toc384308185"/>
      <w:bookmarkEnd w:id="69"/>
      <w:bookmarkStart w:id="70" w:name="_Toc247527535"/>
      <w:bookmarkEnd w:id="70"/>
      <w:bookmarkStart w:id="71" w:name="_Toc352691455"/>
      <w:bookmarkEnd w:id="71"/>
      <w:bookmarkStart w:id="72" w:name="_Toc361508562"/>
      <w:bookmarkEnd w:id="72"/>
      <w:bookmarkStart w:id="73" w:name="_Toc247513934"/>
      <w:bookmarkEnd w:id="73"/>
      <w:bookmarkStart w:id="74" w:name="_Toc30817"/>
      <w:bookmarkEnd w:id="74"/>
      <w:bookmarkStart w:id="75" w:name="_Toc247527536"/>
      <w:bookmarkEnd w:id="75"/>
      <w:r>
        <w:rPr>
          <w:rFonts w:hint="eastAsia" w:ascii="宋体" w:hAnsi="宋体"/>
          <w:color w:val="auto"/>
          <w:szCs w:val="21"/>
        </w:rPr>
        <w:t>招标人：</w:t>
      </w:r>
      <w:r>
        <w:rPr>
          <w:rFonts w:hint="eastAsia" w:ascii="宋体" w:hAnsi="宋体"/>
          <w:color w:val="auto"/>
          <w:szCs w:val="21"/>
          <w:u w:val="single"/>
        </w:rPr>
        <w:t>东莞市轨道一号线建设发展有限公司</w:t>
      </w:r>
    </w:p>
    <w:p>
      <w:pPr>
        <w:spacing w:line="360" w:lineRule="auto"/>
        <w:jc w:val="left"/>
        <w:rPr>
          <w:rFonts w:ascii="宋体" w:hAnsi="宋体"/>
          <w:color w:val="auto"/>
        </w:rPr>
      </w:pPr>
      <w:r>
        <w:rPr>
          <w:rFonts w:hint="eastAsia" w:ascii="宋体" w:hAnsi="宋体"/>
          <w:color w:val="auto"/>
          <w:szCs w:val="21"/>
        </w:rPr>
        <w:t>联系人：</w:t>
      </w:r>
      <w:r>
        <w:rPr>
          <w:rFonts w:hint="eastAsia" w:ascii="宋体" w:hAnsi="宋体"/>
          <w:color w:val="auto"/>
          <w:u w:val="single"/>
        </w:rPr>
        <w:t>张工、陈工</w:t>
      </w:r>
    </w:p>
    <w:p>
      <w:pPr>
        <w:spacing w:line="360" w:lineRule="auto"/>
        <w:jc w:val="left"/>
        <w:rPr>
          <w:rFonts w:ascii="宋体" w:hAnsi="宋体"/>
          <w:color w:val="auto"/>
        </w:rPr>
      </w:pPr>
      <w:r>
        <w:rPr>
          <w:rFonts w:hint="eastAsia" w:ascii="宋体" w:hAnsi="宋体"/>
          <w:color w:val="auto"/>
        </w:rPr>
        <w:t>联系电话：</w:t>
      </w:r>
      <w:r>
        <w:rPr>
          <w:rFonts w:hint="eastAsia" w:ascii="宋体" w:hAnsi="宋体"/>
          <w:color w:val="auto"/>
          <w:u w:val="single"/>
        </w:rPr>
        <w:t>0769-22083321</w:t>
      </w:r>
    </w:p>
    <w:p>
      <w:pPr>
        <w:spacing w:line="360" w:lineRule="auto"/>
        <w:jc w:val="left"/>
        <w:rPr>
          <w:rFonts w:ascii="宋体" w:hAnsi="宋体"/>
          <w:color w:val="auto"/>
          <w:szCs w:val="21"/>
          <w:u w:val="single"/>
        </w:rPr>
      </w:pPr>
      <w:r>
        <w:rPr>
          <w:rFonts w:hint="eastAsia" w:ascii="宋体" w:hAnsi="宋体"/>
          <w:color w:val="auto"/>
          <w:szCs w:val="21"/>
        </w:rPr>
        <w:t>地  址</w:t>
      </w:r>
      <w:r>
        <w:rPr>
          <w:rFonts w:hint="eastAsia" w:ascii="宋体" w:hAnsi="宋体" w:cs="宋体"/>
          <w:color w:val="auto"/>
          <w:sz w:val="24"/>
        </w:rPr>
        <w:t>:</w:t>
      </w:r>
      <w:r>
        <w:rPr>
          <w:rFonts w:hint="eastAsia" w:ascii="宋体" w:hAnsi="宋体" w:cs="宋体"/>
          <w:color w:val="auto"/>
          <w:szCs w:val="21"/>
          <w:u w:val="single"/>
        </w:rPr>
        <w:t>东莞市东城街道东城体育公园内</w:t>
      </w:r>
    </w:p>
    <w:p>
      <w:pPr>
        <w:spacing w:line="360" w:lineRule="auto"/>
        <w:ind w:firstLine="890" w:firstLineChars="424"/>
        <w:jc w:val="left"/>
        <w:rPr>
          <w:rFonts w:ascii="宋体" w:hAnsi="宋体"/>
          <w:color w:val="auto"/>
          <w:szCs w:val="21"/>
        </w:rPr>
      </w:pPr>
    </w:p>
    <w:p>
      <w:pPr>
        <w:spacing w:line="360" w:lineRule="auto"/>
        <w:jc w:val="left"/>
        <w:rPr>
          <w:rFonts w:ascii="宋体" w:hAnsi="宋体"/>
          <w:color w:val="auto"/>
          <w:szCs w:val="21"/>
          <w:u w:val="single"/>
        </w:rPr>
      </w:pPr>
      <w:r>
        <w:rPr>
          <w:rFonts w:hint="eastAsia" w:ascii="宋体" w:hAnsi="宋体"/>
          <w:color w:val="auto"/>
          <w:szCs w:val="21"/>
        </w:rPr>
        <w:t>招标代理机构：</w:t>
      </w:r>
      <w:r>
        <w:rPr>
          <w:rFonts w:hint="eastAsia" w:ascii="宋体" w:hAnsi="宋体"/>
          <w:color w:val="auto"/>
          <w:szCs w:val="21"/>
          <w:u w:val="single"/>
        </w:rPr>
        <w:t>广东华迪工程管理有限公司</w:t>
      </w:r>
    </w:p>
    <w:p>
      <w:pPr>
        <w:spacing w:line="360" w:lineRule="auto"/>
        <w:jc w:val="left"/>
        <w:rPr>
          <w:rFonts w:ascii="宋体" w:hAnsi="宋体"/>
          <w:color w:val="auto"/>
        </w:rPr>
      </w:pPr>
      <w:r>
        <w:rPr>
          <w:rFonts w:hint="eastAsia" w:ascii="宋体" w:hAnsi="宋体"/>
          <w:color w:val="auto"/>
          <w:szCs w:val="21"/>
        </w:rPr>
        <w:t>联系人：</w:t>
      </w:r>
      <w:r>
        <w:rPr>
          <w:rFonts w:hint="eastAsia" w:ascii="宋体" w:hAnsi="宋体"/>
          <w:color w:val="auto"/>
          <w:u w:val="single"/>
        </w:rPr>
        <w:t>黄工、莫工</w:t>
      </w:r>
    </w:p>
    <w:p>
      <w:pPr>
        <w:spacing w:line="360" w:lineRule="auto"/>
        <w:jc w:val="left"/>
        <w:rPr>
          <w:rFonts w:ascii="宋体" w:hAnsi="宋体" w:cs="宋体"/>
          <w:color w:val="auto"/>
          <w:u w:val="single"/>
        </w:rPr>
      </w:pPr>
      <w:r>
        <w:rPr>
          <w:rFonts w:hint="eastAsia" w:ascii="宋体" w:hAnsi="宋体"/>
          <w:color w:val="auto"/>
        </w:rPr>
        <w:t>联系电话：</w:t>
      </w:r>
      <w:r>
        <w:rPr>
          <w:rFonts w:ascii="宋体" w:hAnsi="宋体" w:cs="宋体"/>
          <w:color w:val="auto"/>
          <w:u w:val="single"/>
        </w:rPr>
        <w:t>0769-23033403</w:t>
      </w:r>
    </w:p>
    <w:p>
      <w:pPr>
        <w:spacing w:line="360" w:lineRule="auto"/>
        <w:jc w:val="left"/>
        <w:rPr>
          <w:rFonts w:ascii="宋体" w:hAnsi="宋体"/>
          <w:color w:val="auto"/>
          <w:szCs w:val="21"/>
          <w:u w:val="single"/>
        </w:rPr>
      </w:pPr>
      <w:r>
        <w:rPr>
          <w:rFonts w:hint="eastAsia" w:ascii="宋体" w:hAnsi="宋体"/>
          <w:color w:val="auto"/>
          <w:szCs w:val="21"/>
        </w:rPr>
        <w:t>地址：</w:t>
      </w:r>
      <w:r>
        <w:rPr>
          <w:rFonts w:hint="eastAsia" w:ascii="宋体" w:hAnsi="宋体"/>
          <w:color w:val="auto"/>
          <w:szCs w:val="21"/>
          <w:u w:val="single"/>
        </w:rPr>
        <w:t>东莞市南城街道雅园富丽大厦A502</w:t>
      </w:r>
    </w:p>
    <w:p>
      <w:pPr>
        <w:spacing w:line="360" w:lineRule="auto"/>
        <w:jc w:val="left"/>
        <w:rPr>
          <w:rFonts w:ascii="宋体" w:hAnsi="宋体"/>
          <w:color w:val="auto"/>
          <w:szCs w:val="21"/>
          <w:u w:val="single"/>
        </w:rPr>
      </w:pPr>
    </w:p>
    <w:p>
      <w:pPr>
        <w:topLinePunct/>
        <w:spacing w:line="400" w:lineRule="exact"/>
        <w:rPr>
          <w:rFonts w:ascii="Times New Roman" w:hAnsi="Times New Roman"/>
          <w:color w:val="auto"/>
          <w:u w:val="single"/>
        </w:rPr>
      </w:pPr>
      <w:r>
        <w:rPr>
          <w:rFonts w:hint="eastAsia" w:ascii="Times New Roman" w:hAnsi="Times New Roman"/>
          <w:color w:val="auto"/>
        </w:rPr>
        <w:t>异议受理部门：</w:t>
      </w:r>
      <w:r>
        <w:rPr>
          <w:rFonts w:hint="eastAsia" w:ascii="宋体" w:hAnsi="宋体"/>
          <w:color w:val="auto"/>
          <w:szCs w:val="21"/>
          <w:u w:val="single"/>
        </w:rPr>
        <w:t>东莞市轨道一号线建设发展有限公司党群监察部</w:t>
      </w:r>
    </w:p>
    <w:p>
      <w:pPr>
        <w:topLinePunct/>
        <w:spacing w:line="400" w:lineRule="exact"/>
        <w:rPr>
          <w:rFonts w:ascii="Times New Roman" w:hAnsi="Times New Roman"/>
          <w:color w:val="auto"/>
        </w:rPr>
      </w:pPr>
      <w:r>
        <w:rPr>
          <w:rFonts w:ascii="Times New Roman" w:hAnsi="Times New Roman"/>
          <w:color w:val="auto"/>
        </w:rPr>
        <w:t xml:space="preserve">地    </w:t>
      </w:r>
      <w:r>
        <w:rPr>
          <w:rFonts w:hint="eastAsia" w:ascii="Times New Roman" w:hAnsi="Times New Roman"/>
          <w:color w:val="auto"/>
        </w:rPr>
        <w:t>址：</w:t>
      </w:r>
      <w:r>
        <w:rPr>
          <w:rFonts w:hint="eastAsia" w:ascii="宋体" w:hAnsi="宋体"/>
          <w:color w:val="auto"/>
          <w:u w:val="single"/>
        </w:rPr>
        <w:t>东莞市东城街道东城体育公园内</w:t>
      </w:r>
      <w:r>
        <w:rPr>
          <w:rFonts w:ascii="Times New Roman" w:hAnsi="Times New Roman" w:eastAsia="黑体"/>
          <w:color w:val="auto"/>
          <w:sz w:val="28"/>
          <w:u w:val="single"/>
        </w:rPr>
        <w:t xml:space="preserve"> </w:t>
      </w:r>
    </w:p>
    <w:p>
      <w:pPr>
        <w:topLinePunct/>
        <w:spacing w:line="400" w:lineRule="exact"/>
        <w:rPr>
          <w:rFonts w:ascii="Times New Roman" w:hAnsi="Times New Roman"/>
          <w:color w:val="auto"/>
        </w:rPr>
      </w:pPr>
      <w:r>
        <w:rPr>
          <w:rFonts w:hint="eastAsia" w:ascii="Times New Roman" w:hAnsi="Times New Roman"/>
          <w:color w:val="auto"/>
        </w:rPr>
        <w:t>联</w:t>
      </w:r>
      <w:r>
        <w:rPr>
          <w:rFonts w:ascii="Times New Roman" w:hAnsi="Times New Roman"/>
          <w:color w:val="auto"/>
        </w:rPr>
        <w:t xml:space="preserve"> </w:t>
      </w:r>
      <w:r>
        <w:rPr>
          <w:rFonts w:hint="eastAsia" w:ascii="Times New Roman" w:hAnsi="Times New Roman"/>
          <w:color w:val="auto"/>
        </w:rPr>
        <w:t>系</w:t>
      </w:r>
      <w:r>
        <w:rPr>
          <w:rFonts w:ascii="Times New Roman" w:hAnsi="Times New Roman"/>
          <w:color w:val="auto"/>
        </w:rPr>
        <w:t xml:space="preserve"> </w:t>
      </w:r>
      <w:r>
        <w:rPr>
          <w:rFonts w:hint="eastAsia" w:ascii="Times New Roman" w:hAnsi="Times New Roman"/>
          <w:color w:val="auto"/>
        </w:rPr>
        <w:t>人：</w:t>
      </w:r>
      <w:r>
        <w:rPr>
          <w:rFonts w:ascii="Times New Roman" w:hAnsi="Times New Roman" w:eastAsia="黑体"/>
          <w:color w:val="auto"/>
          <w:sz w:val="28"/>
          <w:u w:val="single"/>
        </w:rPr>
        <w:t xml:space="preserve"> </w:t>
      </w:r>
      <w:r>
        <w:rPr>
          <w:rFonts w:hint="eastAsia" w:ascii="Times New Roman" w:hAnsi="Times New Roman" w:eastAsia="黑体"/>
          <w:color w:val="auto"/>
          <w:sz w:val="28"/>
          <w:u w:val="single"/>
        </w:rPr>
        <w:t xml:space="preserve">   </w:t>
      </w:r>
      <w:r>
        <w:rPr>
          <w:rFonts w:ascii="Times New Roman" w:hAnsi="Times New Roman" w:eastAsia="黑体"/>
          <w:color w:val="auto"/>
          <w:sz w:val="28"/>
          <w:u w:val="single"/>
        </w:rPr>
        <w:t xml:space="preserve"> </w:t>
      </w:r>
      <w:r>
        <w:rPr>
          <w:rFonts w:ascii="Times New Roman" w:hAnsi="Times New Roman"/>
          <w:color w:val="auto"/>
          <w:u w:val="single"/>
        </w:rPr>
        <w:t xml:space="preserve">/ </w:t>
      </w:r>
      <w:r>
        <w:rPr>
          <w:rFonts w:hint="eastAsia" w:ascii="Times New Roman" w:hAnsi="Times New Roman" w:eastAsia="黑体"/>
          <w:color w:val="auto"/>
          <w:sz w:val="28"/>
          <w:u w:val="single"/>
        </w:rPr>
        <w:t xml:space="preserve">  </w:t>
      </w:r>
      <w:r>
        <w:rPr>
          <w:rFonts w:ascii="Times New Roman" w:hAnsi="Times New Roman" w:eastAsia="黑体"/>
          <w:color w:val="auto"/>
          <w:sz w:val="28"/>
          <w:u w:val="single"/>
        </w:rPr>
        <w:t xml:space="preserve">  </w:t>
      </w:r>
    </w:p>
    <w:p>
      <w:pPr>
        <w:topLinePunct/>
        <w:spacing w:line="400" w:lineRule="exact"/>
        <w:rPr>
          <w:rFonts w:hint="eastAsia" w:ascii="Times New Roman" w:hAnsi="Times New Roman"/>
          <w:color w:val="auto"/>
          <w:u w:val="single"/>
        </w:rPr>
      </w:pPr>
      <w:r>
        <w:rPr>
          <w:rFonts w:hint="eastAsia" w:ascii="Times New Roman" w:hAnsi="Times New Roman"/>
          <w:color w:val="auto"/>
        </w:rPr>
        <w:t>电</w:t>
      </w:r>
      <w:r>
        <w:rPr>
          <w:rFonts w:ascii="Times New Roman" w:hAnsi="Times New Roman"/>
          <w:color w:val="auto"/>
        </w:rPr>
        <w:t xml:space="preserve">    </w:t>
      </w:r>
      <w:r>
        <w:rPr>
          <w:rFonts w:hint="eastAsia" w:ascii="Times New Roman" w:hAnsi="Times New Roman"/>
          <w:color w:val="auto"/>
        </w:rPr>
        <w:t>话：</w:t>
      </w:r>
      <w:r>
        <w:rPr>
          <w:rFonts w:ascii="宋体" w:hAnsi="宋体"/>
          <w:color w:val="auto"/>
          <w:szCs w:val="21"/>
          <w:u w:val="single"/>
        </w:rPr>
        <w:t>0769-</w:t>
      </w:r>
      <w:r>
        <w:rPr>
          <w:rFonts w:hint="eastAsia" w:ascii="宋体" w:hAnsi="宋体"/>
          <w:color w:val="auto"/>
          <w:szCs w:val="21"/>
          <w:u w:val="single"/>
        </w:rPr>
        <w:t>23323203</w:t>
      </w:r>
    </w:p>
    <w:p>
      <w:pPr>
        <w:spacing w:line="360" w:lineRule="auto"/>
        <w:ind w:firstLine="470" w:firstLineChars="224"/>
        <w:jc w:val="left"/>
        <w:rPr>
          <w:rFonts w:ascii="宋体" w:hAnsi="宋体"/>
          <w:color w:val="auto"/>
          <w:szCs w:val="21"/>
        </w:rPr>
      </w:pPr>
      <w:r>
        <w:rPr>
          <w:rFonts w:hint="eastAsia" w:ascii="宋体" w:hAnsi="宋体"/>
          <w:color w:val="auto"/>
          <w:szCs w:val="21"/>
        </w:rPr>
        <w:t xml:space="preserve">    </w:t>
      </w:r>
    </w:p>
    <w:p>
      <w:pPr>
        <w:spacing w:line="360" w:lineRule="auto"/>
        <w:jc w:val="left"/>
        <w:rPr>
          <w:rFonts w:hint="eastAsia" w:ascii="宋体" w:hAnsi="宋体" w:cs="宋体"/>
          <w:color w:val="auto"/>
          <w:spacing w:val="-6"/>
          <w:szCs w:val="21"/>
          <w:u w:val="single"/>
        </w:rPr>
      </w:pPr>
      <w:r>
        <w:rPr>
          <w:rFonts w:hint="eastAsia" w:ascii="宋体" w:hAnsi="宋体"/>
          <w:color w:val="auto"/>
          <w:szCs w:val="21"/>
        </w:rPr>
        <w:t>招标监督机构：</w:t>
      </w:r>
      <w:r>
        <w:rPr>
          <w:rFonts w:hint="eastAsia" w:ascii="宋体" w:hAnsi="宋体" w:cs="宋体"/>
          <w:color w:val="auto"/>
          <w:spacing w:val="-6"/>
          <w:szCs w:val="21"/>
          <w:u w:val="single"/>
        </w:rPr>
        <w:t>东莞市轨道交通局</w:t>
      </w:r>
    </w:p>
    <w:p>
      <w:pPr>
        <w:spacing w:line="360" w:lineRule="auto"/>
        <w:jc w:val="left"/>
        <w:rPr>
          <w:rFonts w:hint="eastAsia" w:ascii="宋体" w:hAnsi="宋体"/>
          <w:color w:val="auto"/>
          <w:szCs w:val="21"/>
        </w:rPr>
      </w:pPr>
      <w:r>
        <w:rPr>
          <w:rFonts w:ascii="Times New Roman" w:hAnsi="Times New Roman"/>
          <w:color w:val="auto"/>
        </w:rPr>
        <w:t xml:space="preserve">地    </w:t>
      </w:r>
      <w:r>
        <w:rPr>
          <w:rFonts w:hint="eastAsia" w:ascii="Times New Roman" w:hAnsi="Times New Roman"/>
          <w:color w:val="auto"/>
        </w:rPr>
        <w:t>址：</w:t>
      </w:r>
      <w:r>
        <w:rPr>
          <w:rFonts w:hint="eastAsia" w:ascii="宋体" w:hAnsi="宋体"/>
          <w:color w:val="auto"/>
          <w:u w:val="single"/>
        </w:rPr>
        <w:t>广东省东莞市鸿福路99号会议大厦</w:t>
      </w:r>
    </w:p>
    <w:p>
      <w:pPr>
        <w:spacing w:line="360" w:lineRule="auto"/>
        <w:jc w:val="left"/>
        <w:rPr>
          <w:rFonts w:ascii="宋体" w:hAnsi="宋体"/>
          <w:color w:val="auto"/>
          <w:szCs w:val="21"/>
        </w:rPr>
      </w:pPr>
      <w:r>
        <w:rPr>
          <w:rFonts w:hint="eastAsia" w:ascii="宋体" w:hAnsi="宋体"/>
          <w:color w:val="auto"/>
          <w:szCs w:val="21"/>
        </w:rPr>
        <w:t>监督电话：</w:t>
      </w:r>
      <w:r>
        <w:rPr>
          <w:rFonts w:hint="eastAsia" w:ascii="宋体" w:hAnsi="宋体"/>
          <w:color w:val="auto"/>
          <w:szCs w:val="21"/>
          <w:u w:val="single"/>
        </w:rPr>
        <w:t>0769-22832041</w:t>
      </w:r>
    </w:p>
    <w:p/>
    <w:sectPr>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zEwMDRjNzcwOGFkYWVhYTJmMzBlY2UxMDM5ODQifQ=="/>
  </w:docVars>
  <w:rsids>
    <w:rsidRoot w:val="00000000"/>
    <w:rsid w:val="00D9489D"/>
    <w:rsid w:val="0A2476ED"/>
    <w:rsid w:val="1784618E"/>
    <w:rsid w:val="28820959"/>
    <w:rsid w:val="3D15346D"/>
    <w:rsid w:val="53B4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章标题"/>
    <w:next w:val="1"/>
    <w:qFormat/>
    <w:uiPriority w:val="0"/>
    <w:pPr>
      <w:tabs>
        <w:tab w:val="left" w:pos="840"/>
      </w:tabs>
      <w:spacing w:beforeLines="50" w:afterLines="50" w:line="276" w:lineRule="auto"/>
      <w:ind w:left="840" w:hanging="420"/>
      <w:jc w:val="both"/>
      <w:outlineLvl w:val="1"/>
    </w:pPr>
    <w:rPr>
      <w:rFonts w:ascii="黑体" w:hAnsi="Times New Roman" w:eastAsia="黑体" w:cs="Times New Roman"/>
      <w:sz w:val="21"/>
      <w:szCs w:val="22"/>
      <w:lang w:val="en-US" w:eastAsia="zh-CN" w:bidi="ar-SA"/>
    </w:rPr>
  </w:style>
  <w:style w:type="paragraph" w:styleId="3">
    <w:name w:val="Normal Indent"/>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2023-07-25T06:40:00Z</dcterms:created>
  <dc:creator>666</dc:creator>
  <cp:lastModifiedBy>小小小小凤</cp:lastModifiedBy>
  <dcterms:modified xsi:type="dcterms:W3CDTF">2023-10-11T01:55:58Z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D6EF93614C8D47CCA4060F1880B35839_12</vt:lpwstr>
  </property>
</Properties>
</file>