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21" w:lineRule="auto"/>
        <w:ind w:left="499"/>
        <w:rPr>
          <w:rFonts w:ascii="黑体" w:hAnsi="黑体" w:eastAsia="黑体" w:cs="黑体"/>
          <w:sz w:val="28"/>
          <w:szCs w:val="28"/>
          <w:highlight w:val="none"/>
        </w:rPr>
      </w:pPr>
      <w:bookmarkStart w:id="0" w:name="_Toc490681635"/>
      <w:bookmarkEnd w:id="0"/>
      <w:r>
        <w:rPr>
          <w:rFonts w:ascii="黑体" w:hAnsi="黑体" w:eastAsia="黑体" w:cs="黑体"/>
          <w:b/>
          <w:bCs/>
          <w:spacing w:val="-10"/>
          <w:sz w:val="28"/>
          <w:szCs w:val="28"/>
          <w:highlight w:val="none"/>
        </w:rPr>
        <w:t>附件</w:t>
      </w:r>
      <w:r>
        <w:rPr>
          <w:rFonts w:ascii="黑体" w:hAnsi="黑体" w:eastAsia="黑体" w:cs="黑体"/>
          <w:spacing w:val="-42"/>
          <w:sz w:val="28"/>
          <w:szCs w:val="28"/>
          <w:highlight w:val="none"/>
        </w:rPr>
        <w:t xml:space="preserve"> </w:t>
      </w:r>
      <w:r>
        <w:rPr>
          <w:rFonts w:ascii="黑体" w:hAnsi="黑体" w:eastAsia="黑体" w:cs="黑体"/>
          <w:b/>
          <w:bCs/>
          <w:spacing w:val="-10"/>
          <w:sz w:val="28"/>
          <w:szCs w:val="28"/>
          <w:highlight w:val="none"/>
        </w:rPr>
        <w:t>3：评标办法</w:t>
      </w:r>
      <w:r>
        <w:rPr>
          <w:rFonts w:ascii="黑体" w:hAnsi="黑体" w:eastAsia="黑体" w:cs="黑体"/>
          <w:spacing w:val="-31"/>
          <w:sz w:val="28"/>
          <w:szCs w:val="28"/>
          <w:highlight w:val="none"/>
        </w:rPr>
        <w:t xml:space="preserve"> </w:t>
      </w:r>
      <w:r>
        <w:rPr>
          <w:rFonts w:ascii="黑体" w:hAnsi="黑体" w:eastAsia="黑体" w:cs="黑体"/>
          <w:b/>
          <w:bCs/>
          <w:spacing w:val="-10"/>
          <w:sz w:val="28"/>
          <w:szCs w:val="28"/>
          <w:highlight w:val="none"/>
        </w:rPr>
        <w:t>（双信封的技术评分最低标价法）</w:t>
      </w:r>
    </w:p>
    <w:p>
      <w:pPr>
        <w:spacing w:before="211" w:line="213" w:lineRule="auto"/>
        <w:ind w:left="482"/>
        <w:rPr>
          <w:rFonts w:ascii="黑体" w:hAnsi="黑体" w:eastAsia="黑体" w:cs="黑体"/>
          <w:sz w:val="28"/>
          <w:szCs w:val="28"/>
          <w:highlight w:val="none"/>
        </w:rPr>
      </w:pPr>
      <w:r>
        <w:rPr>
          <w:rFonts w:ascii="黑体" w:hAnsi="黑体" w:eastAsia="黑体" w:cs="黑体"/>
          <w:b/>
          <w:bCs/>
          <w:spacing w:val="-4"/>
          <w:sz w:val="28"/>
          <w:szCs w:val="28"/>
          <w:highlight w:val="none"/>
        </w:rPr>
        <w:t>评标办法前附表</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040"/>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28" w:type="pct"/>
            <w:gridSpan w:val="2"/>
            <w:noWrap w:val="0"/>
            <w:vAlign w:val="center"/>
          </w:tcPr>
          <w:p>
            <w:pPr>
              <w:spacing w:line="400" w:lineRule="exact"/>
              <w:rPr>
                <w:rFonts w:ascii="宋体" w:hAnsi="宋体" w:eastAsia="宋体" w:cs="宋体"/>
                <w:b/>
                <w:color w:val="auto"/>
                <w:spacing w:val="0"/>
                <w:sz w:val="21"/>
                <w:szCs w:val="24"/>
                <w:highlight w:val="none"/>
              </w:rPr>
            </w:pPr>
            <w:r>
              <w:rPr>
                <w:rFonts w:ascii="Calibri" w:hAnsi="Calibri" w:eastAsia="宋体"/>
                <w:color w:val="auto"/>
                <w:spacing w:val="0"/>
                <w:sz w:val="21"/>
                <w:szCs w:val="24"/>
                <w:highlight w:val="none"/>
              </w:rPr>
              <w:br w:type="page"/>
            </w:r>
            <w:r>
              <w:rPr>
                <w:rFonts w:hint="eastAsia" w:ascii="宋体" w:hAnsi="宋体" w:eastAsia="宋体" w:cs="宋体"/>
                <w:b/>
                <w:color w:val="auto"/>
                <w:spacing w:val="0"/>
                <w:sz w:val="21"/>
                <w:szCs w:val="24"/>
                <w:highlight w:val="none"/>
              </w:rPr>
              <w:t>条款号</w:t>
            </w:r>
          </w:p>
        </w:tc>
        <w:tc>
          <w:tcPr>
            <w:tcW w:w="3971" w:type="pct"/>
            <w:noWrap w:val="0"/>
            <w:vAlign w:val="center"/>
          </w:tcPr>
          <w:p>
            <w:pPr>
              <w:spacing w:line="400" w:lineRule="exact"/>
              <w:jc w:val="center"/>
              <w:rPr>
                <w:rFonts w:ascii="宋体" w:hAnsi="宋体" w:eastAsia="宋体" w:cs="宋体"/>
                <w:b/>
                <w:color w:val="auto"/>
                <w:spacing w:val="0"/>
                <w:sz w:val="21"/>
                <w:szCs w:val="24"/>
                <w:highlight w:val="none"/>
              </w:rPr>
            </w:pPr>
            <w:r>
              <w:rPr>
                <w:rFonts w:hint="eastAsia" w:ascii="宋体" w:hAnsi="宋体" w:eastAsia="宋体" w:cs="宋体"/>
                <w:b/>
                <w:color w:val="auto"/>
                <w:spacing w:val="0"/>
                <w:sz w:val="21"/>
                <w:szCs w:val="24"/>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noWrap w:val="0"/>
            <w:vAlign w:val="center"/>
          </w:tcPr>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1</w:t>
            </w:r>
          </w:p>
        </w:tc>
        <w:tc>
          <w:tcPr>
            <w:tcW w:w="623" w:type="pct"/>
            <w:noWrap w:val="0"/>
            <w:vAlign w:val="center"/>
          </w:tcPr>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评标方法</w:t>
            </w:r>
          </w:p>
        </w:tc>
        <w:tc>
          <w:tcPr>
            <w:tcW w:w="3971" w:type="pct"/>
            <w:noWrap w:val="0"/>
            <w:vAlign w:val="top"/>
          </w:tcPr>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 xml:space="preserve">评标价相等时，评标委员会依次按照以下优先顺序推荐中标候选人或确定中标人： </w:t>
            </w:r>
          </w:p>
          <w:p>
            <w:pPr>
              <w:pStyle w:val="10"/>
              <w:numPr>
                <w:ilvl w:val="0"/>
                <w:numId w:val="1"/>
              </w:numPr>
              <w:tabs>
                <w:tab w:val="left" w:pos="804"/>
              </w:tabs>
              <w:overflowPunct w:val="0"/>
              <w:spacing w:line="400" w:lineRule="exact"/>
              <w:ind w:firstLine="456" w:firstLineChars="200"/>
              <w:rPr>
                <w:rFonts w:hint="default"/>
                <w:color w:val="auto"/>
                <w:spacing w:val="0"/>
                <w:sz w:val="21"/>
                <w:szCs w:val="21"/>
                <w:highlight w:val="none"/>
              </w:rPr>
            </w:pPr>
            <w:r>
              <w:rPr>
                <w:rFonts w:cs="宋体"/>
                <w:color w:val="auto"/>
                <w:spacing w:val="9"/>
                <w:sz w:val="21"/>
                <w:szCs w:val="21"/>
                <w:highlight w:val="none"/>
              </w:rPr>
              <w:t>按招标文件规定</w:t>
            </w:r>
            <w:r>
              <w:rPr>
                <w:color w:val="auto"/>
                <w:spacing w:val="0"/>
                <w:sz w:val="21"/>
                <w:szCs w:val="21"/>
                <w:highlight w:val="none"/>
              </w:rPr>
              <w:t>被广东省交通运输厅最新年度评为较高信用等级的投标人优先；</w:t>
            </w:r>
          </w:p>
          <w:p>
            <w:pPr>
              <w:pStyle w:val="10"/>
              <w:numPr>
                <w:ilvl w:val="0"/>
                <w:numId w:val="0"/>
              </w:numPr>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 xml:space="preserve">【采用如下的优先顺序：承诺使用的AA级投标人、不承诺使用的AA级投标人、承诺使用的A级投标人、不承诺使用的A级投标人、B级投标人、未参评且被确定为B级投标人】 </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 xml:space="preserve">（2）以投标人企业最新年度净资产较高的优先； </w:t>
            </w:r>
          </w:p>
          <w:p>
            <w:pPr>
              <w:pStyle w:val="10"/>
              <w:tabs>
                <w:tab w:val="left" w:pos="804"/>
              </w:tabs>
              <w:overflowPunct w:val="0"/>
              <w:spacing w:line="400" w:lineRule="exact"/>
              <w:ind w:firstLine="420" w:firstLineChars="200"/>
              <w:rPr>
                <w:rFonts w:hint="default"/>
                <w:color w:val="auto"/>
                <w:spacing w:val="-1"/>
                <w:sz w:val="21"/>
                <w:szCs w:val="21"/>
                <w:highlight w:val="none"/>
              </w:rPr>
            </w:pPr>
            <w:r>
              <w:rPr>
                <w:color w:val="auto"/>
                <w:spacing w:val="0"/>
                <w:sz w:val="21"/>
                <w:szCs w:val="21"/>
                <w:highlight w:val="none"/>
              </w:rPr>
              <w:t xml:space="preserve">（3）评标委员会视投标人情况综合比较，投票确定其名次。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noWrap w:val="0"/>
            <w:vAlign w:val="center"/>
          </w:tcPr>
          <w:p>
            <w:pPr>
              <w:pStyle w:val="10"/>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2.1.1</w:t>
            </w:r>
          </w:p>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2.1.3</w:t>
            </w:r>
          </w:p>
        </w:tc>
        <w:tc>
          <w:tcPr>
            <w:tcW w:w="623" w:type="pct"/>
            <w:noWrap w:val="0"/>
            <w:vAlign w:val="center"/>
          </w:tcPr>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形式评审与响应性评审标准</w:t>
            </w:r>
          </w:p>
        </w:tc>
        <w:tc>
          <w:tcPr>
            <w:tcW w:w="3971" w:type="pct"/>
            <w:noWrap w:val="0"/>
            <w:vAlign w:val="top"/>
          </w:tcPr>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第一个信封（商务及技术文件）评审标准：</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（1）投标文件按照招标文件规定的格式、内容填写， 字迹清晰可辨：</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a.投标函按招标文件规定填报了项目名称、标段号（如有) 、补遗</w:t>
            </w:r>
          </w:p>
          <w:p>
            <w:pPr>
              <w:pStyle w:val="10"/>
              <w:tabs>
                <w:tab w:val="left" w:pos="804"/>
              </w:tabs>
              <w:overflowPunct w:val="0"/>
              <w:spacing w:line="400" w:lineRule="exact"/>
              <w:rPr>
                <w:color w:val="auto"/>
                <w:spacing w:val="0"/>
                <w:sz w:val="21"/>
                <w:szCs w:val="21"/>
                <w:highlight w:val="none"/>
              </w:rPr>
            </w:pPr>
            <w:r>
              <w:rPr>
                <w:color w:val="auto"/>
                <w:spacing w:val="0"/>
                <w:sz w:val="21"/>
                <w:szCs w:val="21"/>
                <w:highlight w:val="none"/>
              </w:rPr>
              <w:t>书编号（如有)、工期、工程质量要求及安全目标；</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b.投标函附录的所有数据均符合招标文件规定；</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c.投标文件组成齐全完整，内容均按规定填写。</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（2）投标文件上法定代表人或其委托代理人的签字、投标人的单位 章盖章齐全，符合招标文件规定。</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（3）投标人按照招标文件的规定提供了投标保证金：</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a.投标保证金金额符合招标文件规定的金额，且投标保证金有效期 不少于投标有效期；</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b.若投标保证金采用现金或支票形式提交，投标人应在投标人须知 3.4.1 款规定的时间，将投标保证金由投标人的基本账户转入招标人指 定账户；</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c.若投标保证金采用银行保函或投标人须知前附表 3.4.1 项规定 的其他形式提交，保函主要内容须与保函格式要求内容原则上保持一致， 并满足招标文件要求。</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（4）投标人法定代表人授权委托代理人签署投标文件的， 需提交授 权委托书，且授权人和被授权人均在授权委托书上签名，未使用印章、 签名章或其他电子制版签名代替。</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（5）投标人法定代表人亲自签署投标文件的，提供了法定代表人身份证明，且法定代表人在法定代表人身份证明上签名，未使用印章、签名章或其他电子制版签名代替。</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（6）如投标人不具备拟分包工程所需的某专项工程相应资质或投标 人如有分包计划， 符合招标文件第二章“投标人须知” 第 1.11 款规定， 且按招标文件第九章“投标文件格式”的要求填写了“拟分包项目情况表”。</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（7）同一投标人未提交两个以上不同的投标文件，但招标文件要求</w:t>
            </w:r>
          </w:p>
          <w:p>
            <w:pPr>
              <w:pStyle w:val="10"/>
              <w:tabs>
                <w:tab w:val="left" w:pos="804"/>
              </w:tabs>
              <w:overflowPunct w:val="0"/>
              <w:spacing w:line="400" w:lineRule="exact"/>
              <w:rPr>
                <w:color w:val="auto"/>
                <w:spacing w:val="0"/>
                <w:sz w:val="21"/>
                <w:szCs w:val="21"/>
                <w:highlight w:val="none"/>
              </w:rPr>
            </w:pPr>
            <w:r>
              <w:rPr>
                <w:color w:val="auto"/>
                <w:spacing w:val="0"/>
                <w:sz w:val="21"/>
                <w:szCs w:val="21"/>
                <w:highlight w:val="none"/>
              </w:rPr>
              <w:t>提交备选投标的除外。</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（8）投标文件中未出现有关投标报价的内容。</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（9）投标文件载明的招标项目完成期限未超过招标文件规定的时限。</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（10）投标文件对招标文件的实质性要求和条件作出响应。（11）权利义务符合招标文件规定：</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a.投标人应接受招标文件规定的风险划分原则，未提出新的风险划</w:t>
            </w:r>
          </w:p>
          <w:p>
            <w:pPr>
              <w:pStyle w:val="10"/>
              <w:tabs>
                <w:tab w:val="left" w:pos="804"/>
              </w:tabs>
              <w:overflowPunct w:val="0"/>
              <w:spacing w:line="400" w:lineRule="exact"/>
              <w:rPr>
                <w:color w:val="auto"/>
                <w:spacing w:val="0"/>
                <w:sz w:val="21"/>
                <w:szCs w:val="21"/>
                <w:highlight w:val="none"/>
              </w:rPr>
            </w:pPr>
            <w:r>
              <w:rPr>
                <w:color w:val="auto"/>
                <w:spacing w:val="0"/>
                <w:sz w:val="21"/>
                <w:szCs w:val="21"/>
                <w:highlight w:val="none"/>
              </w:rPr>
              <w:t>分办法；</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b.投标人未增加发包人的责任范围，或减少投标人义务；</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c.投标人未提出不同的工程验收、计量、支付办法；</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d.投标人对合同纠纷、事故处理办法未提出异议；</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e.投标人在投标活动中无欺诈行为；</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f.投标人未对合同条款有重要保留。</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（12）投标文件未附有招标人不能接受的条件。</w:t>
            </w:r>
          </w:p>
          <w:p>
            <w:pPr>
              <w:pStyle w:val="10"/>
              <w:tabs>
                <w:tab w:val="left" w:pos="804"/>
              </w:tabs>
              <w:overflowPunct w:val="0"/>
              <w:spacing w:line="400" w:lineRule="exact"/>
              <w:ind w:firstLine="420" w:firstLineChars="200"/>
              <w:rPr>
                <w:color w:val="auto"/>
                <w:spacing w:val="0"/>
                <w:sz w:val="21"/>
                <w:szCs w:val="21"/>
                <w:highlight w:val="none"/>
              </w:rPr>
            </w:pP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第二个信封（报价文件） 评审标准：</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（1）投标文件按照招标文件规定的格式、内容填写， 字迹清晰可辩： a.投标函按招标文件规定填报了项目名称、标段号（如有)、补遗书编号（如有)、投标下浮率、 投标总报价（包括大写金额和小写金额)；</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b.投标文件组成齐全完整，内容均按规定填写。</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（2）投标文件上法定代表人或其委托代理人的签字、投标人的单位</w:t>
            </w:r>
          </w:p>
          <w:p>
            <w:pPr>
              <w:pStyle w:val="10"/>
              <w:tabs>
                <w:tab w:val="left" w:pos="804"/>
              </w:tabs>
              <w:overflowPunct w:val="0"/>
              <w:spacing w:line="400" w:lineRule="exact"/>
              <w:rPr>
                <w:color w:val="auto"/>
                <w:spacing w:val="0"/>
                <w:sz w:val="21"/>
                <w:szCs w:val="21"/>
                <w:highlight w:val="none"/>
              </w:rPr>
            </w:pPr>
            <w:r>
              <w:rPr>
                <w:color w:val="auto"/>
                <w:spacing w:val="0"/>
                <w:sz w:val="21"/>
                <w:szCs w:val="21"/>
                <w:highlight w:val="none"/>
              </w:rPr>
              <w:t>章盖章齐全，符合招标文件规定。</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（3）投标总报价或调价函中的报价未超过招标文件设定的最高投标 限价（如有)及最高评标限价（如有）。</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（4）投标总报价或调价函中报价的投标下浮率及报价的大写金额能</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够确定具体数值。</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（5）同一投标人未提交两个以上不同的投标报价， 但招标文件要求</w:t>
            </w:r>
          </w:p>
          <w:p>
            <w:pPr>
              <w:pStyle w:val="10"/>
              <w:tabs>
                <w:tab w:val="left" w:pos="804"/>
              </w:tabs>
              <w:overflowPunct w:val="0"/>
              <w:spacing w:line="400" w:lineRule="exact"/>
              <w:rPr>
                <w:color w:val="auto"/>
                <w:spacing w:val="0"/>
                <w:sz w:val="21"/>
                <w:szCs w:val="21"/>
                <w:highlight w:val="none"/>
              </w:rPr>
            </w:pPr>
            <w:r>
              <w:rPr>
                <w:color w:val="auto"/>
                <w:spacing w:val="0"/>
                <w:sz w:val="21"/>
                <w:szCs w:val="21"/>
                <w:highlight w:val="none"/>
              </w:rPr>
              <w:t>提交备选投标的除外。</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（6）投标文件对招标文件的实质性要求和条件作出响应。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noWrap w:val="0"/>
            <w:vAlign w:val="center"/>
          </w:tcPr>
          <w:p>
            <w:pPr>
              <w:pStyle w:val="10"/>
              <w:kinsoku w:val="0"/>
              <w:overflowPunct w:val="0"/>
              <w:spacing w:line="400" w:lineRule="exact"/>
              <w:jc w:val="center"/>
              <w:rPr>
                <w:rFonts w:hint="default" w:ascii="Times New Roman" w:hAnsi="Times New Roman" w:eastAsia="Times New Roman"/>
                <w:color w:val="auto"/>
                <w:spacing w:val="0"/>
                <w:sz w:val="21"/>
                <w:szCs w:val="21"/>
                <w:highlight w:val="none"/>
              </w:rPr>
            </w:pPr>
            <w:r>
              <w:rPr>
                <w:color w:val="auto"/>
                <w:spacing w:val="-1"/>
                <w:sz w:val="21"/>
                <w:szCs w:val="21"/>
                <w:highlight w:val="none"/>
              </w:rPr>
              <w:t>2.1.2</w:t>
            </w:r>
          </w:p>
        </w:tc>
        <w:tc>
          <w:tcPr>
            <w:tcW w:w="623" w:type="pct"/>
            <w:noWrap w:val="0"/>
            <w:vAlign w:val="center"/>
          </w:tcPr>
          <w:p>
            <w:pPr>
              <w:pStyle w:val="10"/>
              <w:kinsoku w:val="0"/>
              <w:overflowPunct w:val="0"/>
              <w:spacing w:line="400" w:lineRule="exact"/>
              <w:jc w:val="center"/>
              <w:rPr>
                <w:rFonts w:hint="default" w:ascii="Times New Roman" w:hAnsi="Times New Roman" w:eastAsia="Times New Roman"/>
                <w:color w:val="auto"/>
                <w:spacing w:val="0"/>
                <w:sz w:val="21"/>
                <w:szCs w:val="21"/>
                <w:highlight w:val="none"/>
              </w:rPr>
            </w:pPr>
            <w:r>
              <w:rPr>
                <w:color w:val="auto"/>
                <w:spacing w:val="0"/>
                <w:sz w:val="21"/>
                <w:szCs w:val="21"/>
                <w:highlight w:val="none"/>
              </w:rPr>
              <w:t>资格评审标准</w:t>
            </w:r>
          </w:p>
        </w:tc>
        <w:tc>
          <w:tcPr>
            <w:tcW w:w="3971" w:type="pct"/>
            <w:noWrap w:val="0"/>
            <w:vAlign w:val="top"/>
          </w:tcPr>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（2）投标人的资质等级符合招标文件规定。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（3）投标人的财务状况应符合招标文件规定。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（4）投标人的类似项目业绩符合招标文件规定。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（5）投标人的信誉符合招标文件规定。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（6）投标人的项目经理和项目总工资格、在岗情况符合符合招标文件规定，并按规定在投标文件中签字确认。</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（7）投标人的其他要求符合招标文件规定（如有）。</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（8）投标人不存在第二章“投标人须知”第1.4.3项或第1.4.4项规定的任何一种情形；</w:t>
            </w:r>
          </w:p>
          <w:p>
            <w:pPr>
              <w:pStyle w:val="10"/>
              <w:tabs>
                <w:tab w:val="left" w:pos="804"/>
              </w:tabs>
              <w:overflowPunct w:val="0"/>
              <w:spacing w:line="400" w:lineRule="exact"/>
              <w:ind w:firstLine="420" w:firstLineChars="200"/>
              <w:rPr>
                <w:rFonts w:hint="default" w:ascii="Times New Roman" w:hAnsi="Times New Roman" w:eastAsia="Times New Roman"/>
                <w:color w:val="auto"/>
                <w:spacing w:val="0"/>
                <w:sz w:val="21"/>
                <w:szCs w:val="21"/>
                <w:highlight w:val="none"/>
              </w:rPr>
            </w:pPr>
            <w:r>
              <w:rPr>
                <w:color w:val="auto"/>
                <w:spacing w:val="0"/>
                <w:sz w:val="21"/>
                <w:szCs w:val="21"/>
                <w:highlight w:val="none"/>
              </w:rPr>
              <w:t>（9）投标人符合第二章“投标人须知”第1.4.5项规定；</w:t>
            </w:r>
          </w:p>
        </w:tc>
      </w:tr>
    </w:tbl>
    <w:p>
      <w:pPr>
        <w:spacing w:line="240" w:lineRule="auto"/>
        <w:rPr>
          <w:rFonts w:ascii="Calibri" w:hAnsi="Calibri" w:eastAsia="宋体"/>
          <w:color w:val="auto"/>
          <w:spacing w:val="0"/>
          <w:sz w:val="21"/>
          <w:szCs w:val="24"/>
          <w:highlight w:val="none"/>
        </w:rPr>
      </w:pPr>
    </w:p>
    <w:p>
      <w:pPr>
        <w:pStyle w:val="3"/>
        <w:spacing w:line="240" w:lineRule="auto"/>
        <w:rPr>
          <w:color w:val="auto"/>
          <w:spacing w:val="0"/>
          <w:highlight w:val="none"/>
        </w:rPr>
      </w:pPr>
    </w:p>
    <w:tbl>
      <w:tblPr>
        <w:tblStyle w:val="7"/>
        <w:tblpPr w:leftFromText="180" w:rightFromText="180" w:vertAnchor="text" w:horzAnchor="page" w:tblpXSpec="center" w:tblpY="943"/>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22"/>
        <w:gridCol w:w="6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14" w:type="pct"/>
            <w:noWrap w:val="0"/>
            <w:vAlign w:val="center"/>
          </w:tcPr>
          <w:p>
            <w:pPr>
              <w:spacing w:line="400" w:lineRule="exact"/>
              <w:jc w:val="center"/>
              <w:rPr>
                <w:rFonts w:ascii="宋体" w:hAnsi="宋体" w:eastAsia="宋体" w:cs="宋体"/>
                <w:b/>
                <w:color w:val="auto"/>
                <w:spacing w:val="0"/>
                <w:sz w:val="21"/>
                <w:szCs w:val="24"/>
                <w:highlight w:val="none"/>
              </w:rPr>
            </w:pPr>
            <w:r>
              <w:rPr>
                <w:rFonts w:hint="eastAsia" w:ascii="宋体" w:hAnsi="宋体" w:eastAsia="宋体" w:cs="宋体"/>
                <w:b/>
                <w:color w:val="auto"/>
                <w:spacing w:val="0"/>
                <w:sz w:val="21"/>
                <w:szCs w:val="24"/>
                <w:highlight w:val="none"/>
              </w:rPr>
              <w:t>条款号</w:t>
            </w:r>
          </w:p>
        </w:tc>
        <w:tc>
          <w:tcPr>
            <w:tcW w:w="786" w:type="pct"/>
            <w:noWrap w:val="0"/>
            <w:vAlign w:val="center"/>
          </w:tcPr>
          <w:p>
            <w:pPr>
              <w:spacing w:line="400" w:lineRule="exact"/>
              <w:jc w:val="center"/>
              <w:rPr>
                <w:rFonts w:ascii="宋体" w:hAnsi="宋体" w:eastAsia="宋体" w:cs="宋体"/>
                <w:b/>
                <w:color w:val="auto"/>
                <w:spacing w:val="0"/>
                <w:sz w:val="21"/>
                <w:szCs w:val="24"/>
                <w:highlight w:val="none"/>
              </w:rPr>
            </w:pPr>
            <w:r>
              <w:rPr>
                <w:rFonts w:ascii="宋体" w:hAnsi="宋体" w:eastAsia="宋体"/>
                <w:b/>
                <w:color w:val="auto"/>
                <w:spacing w:val="0"/>
                <w:sz w:val="21"/>
                <w:szCs w:val="24"/>
                <w:highlight w:val="none"/>
              </w:rPr>
              <w:t>条款内容</w:t>
            </w:r>
          </w:p>
        </w:tc>
        <w:tc>
          <w:tcPr>
            <w:tcW w:w="3798" w:type="pct"/>
            <w:noWrap w:val="0"/>
            <w:vAlign w:val="center"/>
          </w:tcPr>
          <w:p>
            <w:pPr>
              <w:spacing w:line="400" w:lineRule="exact"/>
              <w:jc w:val="center"/>
              <w:rPr>
                <w:rFonts w:ascii="宋体" w:hAnsi="宋体" w:eastAsia="宋体" w:cs="宋体"/>
                <w:b/>
                <w:color w:val="auto"/>
                <w:spacing w:val="0"/>
                <w:sz w:val="21"/>
                <w:szCs w:val="24"/>
                <w:highlight w:val="none"/>
              </w:rPr>
            </w:pPr>
            <w:r>
              <w:rPr>
                <w:rFonts w:ascii="宋体" w:hAnsi="宋体" w:eastAsia="宋体"/>
                <w:b/>
                <w:color w:val="auto"/>
                <w:spacing w:val="0"/>
                <w:sz w:val="21"/>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noWrap w:val="0"/>
            <w:vAlign w:val="center"/>
          </w:tcPr>
          <w:p>
            <w:pPr>
              <w:pStyle w:val="10"/>
              <w:kinsoku w:val="0"/>
              <w:overflowPunct w:val="0"/>
              <w:spacing w:line="400" w:lineRule="exact"/>
              <w:jc w:val="center"/>
              <w:rPr>
                <w:rFonts w:hint="default"/>
                <w:color w:val="auto"/>
                <w:spacing w:val="0"/>
                <w:sz w:val="21"/>
                <w:szCs w:val="21"/>
                <w:highlight w:val="none"/>
              </w:rPr>
            </w:pPr>
            <w:r>
              <w:rPr>
                <w:color w:val="auto"/>
                <w:spacing w:val="0"/>
                <w:sz w:val="21"/>
                <w:szCs w:val="21"/>
                <w:highlight w:val="none"/>
              </w:rPr>
              <w:t>2.2.1</w:t>
            </w:r>
          </w:p>
        </w:tc>
        <w:tc>
          <w:tcPr>
            <w:tcW w:w="786" w:type="pct"/>
            <w:noWrap w:val="0"/>
            <w:vAlign w:val="center"/>
          </w:tcPr>
          <w:p>
            <w:pPr>
              <w:widowControl/>
              <w:spacing w:line="400" w:lineRule="exact"/>
              <w:jc w:val="center"/>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第一个信封评分分值构成 (总 100</w:t>
            </w:r>
          </w:p>
          <w:p>
            <w:pPr>
              <w:widowControl/>
              <w:spacing w:line="400" w:lineRule="exact"/>
              <w:jc w:val="center"/>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分）</w:t>
            </w:r>
          </w:p>
        </w:tc>
        <w:tc>
          <w:tcPr>
            <w:tcW w:w="3798" w:type="pct"/>
            <w:noWrap w:val="0"/>
            <w:vAlign w:val="center"/>
          </w:tcPr>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施工组织设计（A）：40 分</w:t>
            </w:r>
          </w:p>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主要人员（B）：25 分</w:t>
            </w:r>
          </w:p>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其他因素（C）</w:t>
            </w:r>
          </w:p>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技术能力：20 分</w:t>
            </w:r>
          </w:p>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履约信誉：15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pStyle w:val="10"/>
              <w:kinsoku w:val="0"/>
              <w:overflowPunct w:val="0"/>
              <w:spacing w:line="400" w:lineRule="exact"/>
              <w:jc w:val="center"/>
              <w:rPr>
                <w:rFonts w:hint="default"/>
                <w:color w:val="auto"/>
                <w:spacing w:val="0"/>
                <w:sz w:val="21"/>
                <w:szCs w:val="21"/>
                <w:highlight w:val="none"/>
              </w:rPr>
            </w:pPr>
            <w:r>
              <w:rPr>
                <w:color w:val="auto"/>
                <w:spacing w:val="0"/>
                <w:sz w:val="21"/>
                <w:szCs w:val="21"/>
                <w:highlight w:val="none"/>
              </w:rPr>
              <w:t>2.2.3</w:t>
            </w:r>
          </w:p>
        </w:tc>
        <w:tc>
          <w:tcPr>
            <w:tcW w:w="786" w:type="pct"/>
            <w:noWrap w:val="0"/>
            <w:vAlign w:val="center"/>
          </w:tcPr>
          <w:p>
            <w:pPr>
              <w:widowControl/>
              <w:spacing w:line="400" w:lineRule="exact"/>
              <w:jc w:val="center"/>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第二个信封</w:t>
            </w:r>
          </w:p>
          <w:p>
            <w:pPr>
              <w:widowControl/>
              <w:spacing w:line="400" w:lineRule="exact"/>
              <w:jc w:val="center"/>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详细评审标</w:t>
            </w:r>
          </w:p>
          <w:p>
            <w:pPr>
              <w:widowControl/>
              <w:spacing w:line="400" w:lineRule="exact"/>
              <w:jc w:val="center"/>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准</w:t>
            </w:r>
          </w:p>
        </w:tc>
        <w:tc>
          <w:tcPr>
            <w:tcW w:w="3798" w:type="pct"/>
            <w:noWrap w:val="0"/>
            <w:vAlign w:val="center"/>
          </w:tcPr>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评标价的评审：</w:t>
            </w:r>
          </w:p>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(1)评标价计算公式：</w:t>
            </w:r>
          </w:p>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评标价=投标函文字报价</w:t>
            </w:r>
          </w:p>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若投标人的评标价小于最高投标限价 85％的， 启动澄清程序， 要 求投标人作出书面说明并提供相关证明材料。投标人不能合理说明或 者不能提供相关证明资料的，评标委员会认定该投标人以低于成本报 价竞标，否决其投标。当所有投标人的投标因此种情况被否决；或当 因此种情况被否决部分投标人后，有效投标人不足三家，评标委员会 认为竞争不足的情况出现时，评标委员会可以否决全部投标。未否决 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4" w:type="pct"/>
            <w:noWrap w:val="0"/>
            <w:vAlign w:val="center"/>
          </w:tcPr>
          <w:p>
            <w:pPr>
              <w:widowControl/>
              <w:spacing w:line="400" w:lineRule="exact"/>
              <w:jc w:val="center"/>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3.2.4</w:t>
            </w:r>
          </w:p>
        </w:tc>
        <w:tc>
          <w:tcPr>
            <w:tcW w:w="786" w:type="pct"/>
            <w:noWrap w:val="0"/>
            <w:vAlign w:val="center"/>
          </w:tcPr>
          <w:p>
            <w:pPr>
              <w:widowControl/>
              <w:spacing w:line="400" w:lineRule="exact"/>
              <w:jc w:val="center"/>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通过第一个信封详细评审的投标人数量</w:t>
            </w:r>
          </w:p>
        </w:tc>
        <w:tc>
          <w:tcPr>
            <w:tcW w:w="3798" w:type="pct"/>
            <w:noWrap w:val="0"/>
            <w:vAlign w:val="center"/>
          </w:tcPr>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按照投标人的商务和技术得分由高到低排序，选择前 5 名（不少于 3 名但不足 5 名时，按全部实际数量） 通过详细评审。</w:t>
            </w:r>
          </w:p>
        </w:tc>
      </w:tr>
    </w:tbl>
    <w:p>
      <w:pPr>
        <w:pStyle w:val="11"/>
        <w:spacing w:line="400" w:lineRule="exact"/>
        <w:ind w:firstLine="0"/>
        <w:rPr>
          <w:color w:val="auto"/>
          <w:spacing w:val="0"/>
          <w:sz w:val="21"/>
          <w:szCs w:val="21"/>
          <w:highlight w:val="none"/>
        </w:rPr>
      </w:pPr>
    </w:p>
    <w:p>
      <w:pPr>
        <w:pStyle w:val="11"/>
        <w:spacing w:line="400" w:lineRule="exact"/>
        <w:rPr>
          <w:color w:val="auto"/>
          <w:spacing w:val="0"/>
          <w:sz w:val="21"/>
          <w:szCs w:val="21"/>
          <w:highlight w:val="none"/>
        </w:rPr>
      </w:pPr>
    </w:p>
    <w:tbl>
      <w:tblPr>
        <w:tblStyle w:val="7"/>
        <w:tblpPr w:leftFromText="180" w:rightFromText="180" w:vertAnchor="text" w:horzAnchor="page" w:tblpXSpec="center" w:tblpY="14"/>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048"/>
        <w:gridCol w:w="534"/>
        <w:gridCol w:w="975"/>
        <w:gridCol w:w="813"/>
        <w:gridCol w:w="3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top"/>
          </w:tcPr>
          <w:p>
            <w:pPr>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评分因素与权重分值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条款号</w:t>
            </w:r>
          </w:p>
        </w:tc>
        <w:tc>
          <w:tcPr>
            <w:tcW w:w="662" w:type="pct"/>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评分因素</w:t>
            </w:r>
          </w:p>
        </w:tc>
        <w:tc>
          <w:tcPr>
            <w:tcW w:w="360" w:type="pct"/>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评分因素权重</w:t>
            </w:r>
          </w:p>
        </w:tc>
        <w:tc>
          <w:tcPr>
            <w:tcW w:w="619" w:type="pct"/>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各评分因素细分项</w:t>
            </w:r>
          </w:p>
        </w:tc>
        <w:tc>
          <w:tcPr>
            <w:tcW w:w="524" w:type="pct"/>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分值</w:t>
            </w:r>
          </w:p>
        </w:tc>
        <w:tc>
          <w:tcPr>
            <w:tcW w:w="2336" w:type="pct"/>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Merge w:val="restar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2.2.2</w:t>
            </w:r>
          </w:p>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(1)</w:t>
            </w:r>
          </w:p>
          <w:p>
            <w:pPr>
              <w:spacing w:line="400" w:lineRule="exact"/>
              <w:jc w:val="center"/>
              <w:rPr>
                <w:rFonts w:ascii="宋体" w:hAnsi="宋体" w:eastAsia="宋体" w:cs="宋体"/>
                <w:color w:val="auto"/>
                <w:spacing w:val="0"/>
                <w:sz w:val="21"/>
                <w:szCs w:val="24"/>
                <w:highlight w:val="none"/>
              </w:rPr>
            </w:pPr>
          </w:p>
        </w:tc>
        <w:tc>
          <w:tcPr>
            <w:tcW w:w="662" w:type="pct"/>
            <w:vMerge w:val="restart"/>
            <w:noWrap w:val="0"/>
            <w:vAlign w:val="center"/>
          </w:tcPr>
          <w:p>
            <w:pPr>
              <w:spacing w:line="400" w:lineRule="exact"/>
              <w:jc w:val="center"/>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施工组织</w:t>
            </w:r>
          </w:p>
          <w:p>
            <w:pPr>
              <w:spacing w:line="400" w:lineRule="exact"/>
              <w:jc w:val="center"/>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设计</w:t>
            </w:r>
          </w:p>
        </w:tc>
        <w:tc>
          <w:tcPr>
            <w:tcW w:w="360" w:type="pct"/>
            <w:vMerge w:val="restar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cs="宋体"/>
                <w:color w:val="auto"/>
                <w:spacing w:val="0"/>
                <w:kern w:val="0"/>
                <w:sz w:val="21"/>
                <w:szCs w:val="24"/>
                <w:highlight w:val="none"/>
                <w:u w:val="single"/>
                <w:lang w:val="en-US" w:eastAsia="zh-CN"/>
              </w:rPr>
              <w:t>40</w:t>
            </w:r>
            <w:r>
              <w:rPr>
                <w:rFonts w:hint="eastAsia" w:ascii="宋体" w:hAnsi="宋体" w:eastAsia="宋体" w:cs="宋体"/>
                <w:color w:val="auto"/>
                <w:spacing w:val="0"/>
                <w:kern w:val="0"/>
                <w:sz w:val="21"/>
                <w:szCs w:val="24"/>
                <w:highlight w:val="none"/>
              </w:rPr>
              <w:t>分</w:t>
            </w:r>
          </w:p>
        </w:tc>
        <w:tc>
          <w:tcPr>
            <w:tcW w:w="619" w:type="pct"/>
            <w:noWrap w:val="0"/>
            <w:vAlign w:val="center"/>
          </w:tcPr>
          <w:p>
            <w:pPr>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总体施工 组织布置</w:t>
            </w:r>
          </w:p>
          <w:p>
            <w:pPr>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及规划</w:t>
            </w:r>
          </w:p>
        </w:tc>
        <w:tc>
          <w:tcPr>
            <w:tcW w:w="524" w:type="pc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cs="宋体"/>
                <w:color w:val="auto"/>
                <w:spacing w:val="0"/>
                <w:kern w:val="0"/>
                <w:sz w:val="21"/>
                <w:szCs w:val="24"/>
                <w:highlight w:val="none"/>
                <w:u w:val="single"/>
                <w:lang w:val="en-US" w:eastAsia="zh-CN"/>
              </w:rPr>
              <w:t>15</w:t>
            </w:r>
            <w:r>
              <w:rPr>
                <w:rFonts w:hint="eastAsia" w:ascii="宋体" w:hAnsi="宋体" w:eastAsia="宋体" w:cs="宋体"/>
                <w:color w:val="auto"/>
                <w:spacing w:val="0"/>
                <w:kern w:val="0"/>
                <w:sz w:val="21"/>
                <w:szCs w:val="24"/>
                <w:highlight w:val="none"/>
              </w:rPr>
              <w:t>分</w:t>
            </w:r>
          </w:p>
        </w:tc>
        <w:tc>
          <w:tcPr>
            <w:tcW w:w="2336" w:type="pct"/>
            <w:noWrap w:val="0"/>
            <w:vAlign w:val="center"/>
          </w:tcPr>
          <w:p>
            <w:pPr>
              <w:widowControl/>
              <w:spacing w:line="400" w:lineRule="exact"/>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（1）对项目的基本情况了解全面、准确，施工总体布置规划、施工进度计划科学合理、可操作性强， 按《广东省公路工程施工标准化指南》及《广东省高速公路工程施工安全标准化指南》《公路工程施工安全防护设施技术指南》</w:t>
            </w:r>
          </w:p>
          <w:p>
            <w:pPr>
              <w:widowControl/>
              <w:spacing w:line="400" w:lineRule="exact"/>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执行，得 12～15 分；</w:t>
            </w:r>
          </w:p>
          <w:p>
            <w:pPr>
              <w:widowControl/>
              <w:spacing w:line="400" w:lineRule="exact"/>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（2）满足工程建设需要，施工总体布置规划、 施工进度计划基本可行，得 9～12 分；</w:t>
            </w:r>
          </w:p>
          <w:p>
            <w:pPr>
              <w:widowControl/>
              <w:spacing w:line="400" w:lineRule="exact"/>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（3）一般但不被评定为不响应的,得 9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662" w:type="pct"/>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360" w:type="pct"/>
            <w:vMerge w:val="continue"/>
            <w:noWrap w:val="0"/>
            <w:vAlign w:val="center"/>
          </w:tcPr>
          <w:p>
            <w:pPr>
              <w:widowControl/>
              <w:spacing w:line="400" w:lineRule="exact"/>
              <w:jc w:val="center"/>
              <w:rPr>
                <w:rFonts w:ascii="宋体" w:hAnsi="宋体" w:eastAsia="宋体" w:cs="宋体"/>
                <w:color w:val="auto"/>
                <w:spacing w:val="0"/>
                <w:sz w:val="21"/>
                <w:szCs w:val="24"/>
                <w:highlight w:val="none"/>
              </w:rPr>
            </w:pPr>
          </w:p>
        </w:tc>
        <w:tc>
          <w:tcPr>
            <w:tcW w:w="619" w:type="pct"/>
            <w:noWrap w:val="0"/>
            <w:vAlign w:val="center"/>
          </w:tcPr>
          <w:p>
            <w:pPr>
              <w:widowControl/>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重点、难 点和关键 工程的施 工方案与</w:t>
            </w:r>
          </w:p>
          <w:p>
            <w:pPr>
              <w:widowControl/>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技术措施</w:t>
            </w:r>
          </w:p>
        </w:tc>
        <w:tc>
          <w:tcPr>
            <w:tcW w:w="524" w:type="pc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cs="宋体"/>
                <w:color w:val="auto"/>
                <w:spacing w:val="0"/>
                <w:kern w:val="0"/>
                <w:sz w:val="21"/>
                <w:szCs w:val="24"/>
                <w:highlight w:val="none"/>
                <w:u w:val="single"/>
                <w:lang w:val="en-US" w:eastAsia="zh-CN"/>
              </w:rPr>
              <w:t>15</w:t>
            </w:r>
            <w:r>
              <w:rPr>
                <w:rFonts w:hint="eastAsia" w:ascii="宋体" w:hAnsi="宋体" w:eastAsia="宋体" w:cs="宋体"/>
                <w:color w:val="auto"/>
                <w:spacing w:val="0"/>
                <w:kern w:val="0"/>
                <w:sz w:val="21"/>
                <w:szCs w:val="24"/>
                <w:highlight w:val="none"/>
              </w:rPr>
              <w:t>分</w:t>
            </w:r>
          </w:p>
        </w:tc>
        <w:tc>
          <w:tcPr>
            <w:tcW w:w="2336" w:type="pct"/>
            <w:noWrap w:val="0"/>
            <w:vAlign w:val="center"/>
          </w:tcPr>
          <w:p>
            <w:pPr>
              <w:pStyle w:val="12"/>
              <w:spacing w:before="112" w:line="308" w:lineRule="auto"/>
              <w:rPr>
                <w:highlight w:val="none"/>
              </w:rPr>
            </w:pPr>
            <w:r>
              <w:rPr>
                <w:spacing w:val="-8"/>
                <w:highlight w:val="none"/>
              </w:rPr>
              <w:t xml:space="preserve">（1）对项目重点、难点和关键工程认识分析   </w:t>
            </w:r>
            <w:r>
              <w:rPr>
                <w:spacing w:val="-17"/>
                <w:highlight w:val="none"/>
              </w:rPr>
              <w:t>透彻，</w:t>
            </w:r>
            <w:r>
              <w:rPr>
                <w:spacing w:val="-54"/>
                <w:highlight w:val="none"/>
              </w:rPr>
              <w:t xml:space="preserve"> </w:t>
            </w:r>
            <w:r>
              <w:rPr>
                <w:spacing w:val="-17"/>
                <w:highlight w:val="none"/>
              </w:rPr>
              <w:t>能充分发挥自身优势， 积极采用“四新”</w:t>
            </w:r>
            <w:r>
              <w:rPr>
                <w:highlight w:val="none"/>
              </w:rPr>
              <w:t xml:space="preserve"> </w:t>
            </w:r>
            <w:r>
              <w:rPr>
                <w:spacing w:val="-13"/>
                <w:highlight w:val="none"/>
              </w:rPr>
              <w:t>技术，</w:t>
            </w:r>
            <w:r>
              <w:rPr>
                <w:spacing w:val="-42"/>
                <w:highlight w:val="none"/>
              </w:rPr>
              <w:t xml:space="preserve"> </w:t>
            </w:r>
            <w:r>
              <w:rPr>
                <w:spacing w:val="-13"/>
                <w:highlight w:val="none"/>
              </w:rPr>
              <w:t>制定的施工方案与技术措施针对性和可</w:t>
            </w:r>
            <w:r>
              <w:rPr>
                <w:highlight w:val="none"/>
              </w:rPr>
              <w:t xml:space="preserve">   </w:t>
            </w:r>
            <w:r>
              <w:rPr>
                <w:spacing w:val="-15"/>
                <w:highlight w:val="none"/>
              </w:rPr>
              <w:t>操作性强， 重点突出的，按《广东省公路工程</w:t>
            </w:r>
            <w:r>
              <w:rPr>
                <w:spacing w:val="2"/>
                <w:highlight w:val="none"/>
              </w:rPr>
              <w:t xml:space="preserve">   </w:t>
            </w:r>
            <w:r>
              <w:rPr>
                <w:spacing w:val="-10"/>
                <w:highlight w:val="none"/>
              </w:rPr>
              <w:t>施工标准化指南》及《广东省高速公路工程施</w:t>
            </w:r>
            <w:r>
              <w:rPr>
                <w:spacing w:val="2"/>
                <w:highlight w:val="none"/>
              </w:rPr>
              <w:t xml:space="preserve">   </w:t>
            </w:r>
            <w:r>
              <w:rPr>
                <w:spacing w:val="-10"/>
                <w:highlight w:val="none"/>
              </w:rPr>
              <w:t>工安全标准化指南》《公路工程施工安全防护设施技术指南》执行，得</w:t>
            </w:r>
            <w:r>
              <w:rPr>
                <w:spacing w:val="-46"/>
                <w:highlight w:val="none"/>
              </w:rPr>
              <w:t xml:space="preserve"> </w:t>
            </w:r>
            <w:r>
              <w:rPr>
                <w:spacing w:val="-94"/>
                <w:highlight w:val="none"/>
                <w:u w:val="single" w:color="auto"/>
              </w:rPr>
              <w:t xml:space="preserve"> </w:t>
            </w:r>
            <w:r>
              <w:rPr>
                <w:spacing w:val="-10"/>
                <w:highlight w:val="none"/>
                <w:u w:val="single" w:color="auto"/>
              </w:rPr>
              <w:t>12～15</w:t>
            </w:r>
            <w:r>
              <w:rPr>
                <w:spacing w:val="-49"/>
                <w:highlight w:val="none"/>
                <w:u w:val="single" w:color="auto"/>
              </w:rPr>
              <w:t xml:space="preserve"> </w:t>
            </w:r>
            <w:r>
              <w:rPr>
                <w:spacing w:val="-10"/>
                <w:highlight w:val="none"/>
              </w:rPr>
              <w:t>分；</w:t>
            </w:r>
          </w:p>
          <w:p>
            <w:pPr>
              <w:pStyle w:val="12"/>
              <w:spacing w:before="116" w:line="307" w:lineRule="auto"/>
              <w:ind w:right="114"/>
              <w:rPr>
                <w:highlight w:val="none"/>
              </w:rPr>
            </w:pPr>
            <w:r>
              <w:rPr>
                <w:spacing w:val="-2"/>
                <w:highlight w:val="none"/>
              </w:rPr>
              <w:t>（2）对项目重点、难点和关键工程认识基本</w:t>
            </w:r>
            <w:r>
              <w:rPr>
                <w:spacing w:val="11"/>
                <w:highlight w:val="none"/>
              </w:rPr>
              <w:t xml:space="preserve"> </w:t>
            </w:r>
            <w:r>
              <w:rPr>
                <w:spacing w:val="-16"/>
                <w:highlight w:val="none"/>
              </w:rPr>
              <w:t>到位，</w:t>
            </w:r>
            <w:r>
              <w:rPr>
                <w:spacing w:val="-28"/>
                <w:highlight w:val="none"/>
              </w:rPr>
              <w:t xml:space="preserve"> </w:t>
            </w:r>
            <w:r>
              <w:rPr>
                <w:spacing w:val="-16"/>
                <w:highlight w:val="none"/>
              </w:rPr>
              <w:t>施工方案与技术措施基本可行，</w:t>
            </w:r>
            <w:r>
              <w:rPr>
                <w:spacing w:val="38"/>
                <w:highlight w:val="none"/>
              </w:rPr>
              <w:t xml:space="preserve"> </w:t>
            </w:r>
            <w:r>
              <w:rPr>
                <w:spacing w:val="-16"/>
                <w:highlight w:val="none"/>
              </w:rPr>
              <w:t>重点较</w:t>
            </w:r>
            <w:r>
              <w:rPr>
                <w:spacing w:val="-17"/>
                <w:highlight w:val="none"/>
              </w:rPr>
              <w:t>为突出的，得</w:t>
            </w:r>
            <w:r>
              <w:rPr>
                <w:spacing w:val="-50"/>
                <w:highlight w:val="none"/>
              </w:rPr>
              <w:t xml:space="preserve"> </w:t>
            </w:r>
            <w:r>
              <w:rPr>
                <w:spacing w:val="-17"/>
                <w:highlight w:val="none"/>
                <w:u w:val="single" w:color="auto"/>
              </w:rPr>
              <w:t>9～12</w:t>
            </w:r>
            <w:r>
              <w:rPr>
                <w:spacing w:val="-48"/>
                <w:highlight w:val="none"/>
                <w:u w:val="single" w:color="auto"/>
              </w:rPr>
              <w:t xml:space="preserve"> </w:t>
            </w:r>
            <w:r>
              <w:rPr>
                <w:spacing w:val="-17"/>
                <w:highlight w:val="none"/>
              </w:rPr>
              <w:t>分；</w:t>
            </w:r>
          </w:p>
          <w:p>
            <w:pPr>
              <w:widowControl/>
              <w:spacing w:line="400" w:lineRule="exact"/>
              <w:jc w:val="left"/>
              <w:rPr>
                <w:rFonts w:ascii="宋体" w:hAnsi="宋体" w:eastAsia="宋体" w:cs="宋体"/>
                <w:color w:val="auto"/>
                <w:spacing w:val="0"/>
                <w:sz w:val="24"/>
                <w:szCs w:val="24"/>
                <w:highlight w:val="none"/>
              </w:rPr>
            </w:pPr>
            <w:r>
              <w:rPr>
                <w:spacing w:val="-3"/>
                <w:highlight w:val="none"/>
              </w:rPr>
              <w:t>（3）一般但不被评定为不响应的, 得</w:t>
            </w:r>
            <w:r>
              <w:rPr>
                <w:spacing w:val="-38"/>
                <w:highlight w:val="none"/>
              </w:rPr>
              <w:t xml:space="preserve"> </w:t>
            </w:r>
            <w:r>
              <w:rPr>
                <w:spacing w:val="-3"/>
                <w:highlight w:val="none"/>
                <w:u w:val="single" w:color="auto"/>
              </w:rPr>
              <w:t>9</w:t>
            </w:r>
            <w:r>
              <w:rPr>
                <w:spacing w:val="-48"/>
                <w:highlight w:val="none"/>
                <w:u w:val="single" w:color="auto"/>
              </w:rPr>
              <w:t xml:space="preserve"> </w:t>
            </w:r>
            <w:r>
              <w:rPr>
                <w:spacing w:val="-3"/>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662" w:type="pct"/>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360" w:type="pct"/>
            <w:vMerge w:val="continue"/>
            <w:noWrap w:val="0"/>
            <w:vAlign w:val="center"/>
          </w:tcPr>
          <w:p>
            <w:pPr>
              <w:widowControl/>
              <w:spacing w:line="400" w:lineRule="exact"/>
              <w:jc w:val="center"/>
              <w:rPr>
                <w:rFonts w:ascii="宋体" w:hAnsi="宋体" w:eastAsia="宋体" w:cs="宋体"/>
                <w:color w:val="auto"/>
                <w:spacing w:val="0"/>
                <w:sz w:val="21"/>
                <w:szCs w:val="24"/>
                <w:highlight w:val="none"/>
              </w:rPr>
            </w:pPr>
          </w:p>
        </w:tc>
        <w:tc>
          <w:tcPr>
            <w:tcW w:w="619" w:type="pct"/>
            <w:noWrap w:val="0"/>
            <w:vAlign w:val="center"/>
          </w:tcPr>
          <w:p>
            <w:pPr>
              <w:widowControl/>
              <w:spacing w:line="400" w:lineRule="exact"/>
              <w:jc w:val="center"/>
              <w:rPr>
                <w:rFonts w:ascii="宋体" w:hAnsi="宋体" w:eastAsia="宋体" w:cs="宋体"/>
                <w:color w:val="auto"/>
                <w:spacing w:val="-10"/>
                <w:sz w:val="21"/>
                <w:szCs w:val="21"/>
                <w:highlight w:val="none"/>
              </w:rPr>
            </w:pPr>
            <w:r>
              <w:rPr>
                <w:rFonts w:ascii="宋体" w:hAnsi="宋体" w:eastAsia="宋体" w:cs="宋体"/>
                <w:color w:val="auto"/>
                <w:spacing w:val="-10"/>
                <w:sz w:val="21"/>
                <w:szCs w:val="21"/>
                <w:highlight w:val="none"/>
              </w:rPr>
              <w:t>工期、质</w:t>
            </w:r>
          </w:p>
          <w:p>
            <w:pPr>
              <w:widowControl/>
              <w:spacing w:line="400" w:lineRule="exact"/>
              <w:jc w:val="center"/>
              <w:rPr>
                <w:rFonts w:ascii="宋体" w:hAnsi="宋体" w:eastAsia="宋体" w:cs="宋体"/>
                <w:color w:val="auto"/>
                <w:spacing w:val="-10"/>
                <w:sz w:val="21"/>
                <w:szCs w:val="21"/>
                <w:highlight w:val="none"/>
              </w:rPr>
            </w:pPr>
            <w:r>
              <w:rPr>
                <w:rFonts w:ascii="宋体" w:hAnsi="宋体" w:eastAsia="宋体" w:cs="宋体"/>
                <w:color w:val="auto"/>
                <w:spacing w:val="-10"/>
                <w:sz w:val="21"/>
                <w:szCs w:val="21"/>
                <w:highlight w:val="none"/>
              </w:rPr>
              <w:t>量、安全、</w:t>
            </w:r>
          </w:p>
          <w:p>
            <w:pPr>
              <w:widowControl/>
              <w:spacing w:line="400" w:lineRule="exact"/>
              <w:jc w:val="center"/>
              <w:rPr>
                <w:rFonts w:ascii="宋体" w:hAnsi="宋体" w:eastAsia="宋体" w:cs="宋体"/>
                <w:color w:val="auto"/>
                <w:spacing w:val="-10"/>
                <w:sz w:val="21"/>
                <w:szCs w:val="21"/>
                <w:highlight w:val="none"/>
              </w:rPr>
            </w:pPr>
            <w:r>
              <w:rPr>
                <w:rFonts w:ascii="宋体" w:hAnsi="宋体" w:eastAsia="宋体" w:cs="宋体"/>
                <w:color w:val="auto"/>
                <w:spacing w:val="-10"/>
                <w:sz w:val="21"/>
                <w:szCs w:val="21"/>
                <w:highlight w:val="none"/>
              </w:rPr>
              <w:t>环保水</w:t>
            </w:r>
          </w:p>
          <w:p>
            <w:pPr>
              <w:widowControl/>
              <w:spacing w:line="400" w:lineRule="exact"/>
              <w:jc w:val="center"/>
              <w:rPr>
                <w:rFonts w:ascii="宋体" w:hAnsi="宋体" w:eastAsia="宋体" w:cs="宋体"/>
                <w:color w:val="auto"/>
                <w:spacing w:val="-10"/>
                <w:sz w:val="21"/>
                <w:szCs w:val="21"/>
                <w:highlight w:val="none"/>
              </w:rPr>
            </w:pPr>
            <w:r>
              <w:rPr>
                <w:rFonts w:ascii="宋体" w:hAnsi="宋体" w:eastAsia="宋体" w:cs="宋体"/>
                <w:color w:val="auto"/>
                <w:spacing w:val="-10"/>
                <w:sz w:val="21"/>
                <w:szCs w:val="21"/>
                <w:highlight w:val="none"/>
              </w:rPr>
              <w:t>保、文明</w:t>
            </w:r>
          </w:p>
          <w:p>
            <w:pPr>
              <w:widowControl/>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10"/>
                <w:sz w:val="21"/>
                <w:szCs w:val="21"/>
                <w:highlight w:val="none"/>
              </w:rPr>
              <w:t>施工保证文</w:t>
            </w:r>
            <w:r>
              <w:rPr>
                <w:rFonts w:ascii="宋体" w:hAnsi="宋体" w:eastAsia="宋体" w:cs="宋体"/>
                <w:color w:val="auto"/>
                <w:spacing w:val="7"/>
                <w:sz w:val="21"/>
                <w:szCs w:val="21"/>
                <w:highlight w:val="none"/>
              </w:rPr>
              <w:t>明施工措施</w:t>
            </w:r>
          </w:p>
        </w:tc>
        <w:tc>
          <w:tcPr>
            <w:tcW w:w="524" w:type="pc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u w:val="single"/>
              </w:rPr>
              <w:t>10</w:t>
            </w:r>
            <w:r>
              <w:rPr>
                <w:rFonts w:hint="eastAsia" w:ascii="宋体" w:hAnsi="宋体" w:eastAsia="宋体" w:cs="宋体"/>
                <w:color w:val="auto"/>
                <w:spacing w:val="0"/>
                <w:kern w:val="0"/>
                <w:sz w:val="21"/>
                <w:szCs w:val="24"/>
                <w:highlight w:val="none"/>
              </w:rPr>
              <w:t>分</w:t>
            </w:r>
          </w:p>
        </w:tc>
        <w:tc>
          <w:tcPr>
            <w:tcW w:w="2336" w:type="pct"/>
            <w:noWrap w:val="0"/>
            <w:vAlign w:val="center"/>
          </w:tcPr>
          <w:p>
            <w:pPr>
              <w:widowControl/>
              <w:spacing w:line="400" w:lineRule="exact"/>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（1）能够准确预判分析工期、质量、安全、</w:t>
            </w:r>
          </w:p>
          <w:p>
            <w:pPr>
              <w:widowControl/>
              <w:spacing w:line="400" w:lineRule="exact"/>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环保、水保、文明施工目标实现的主要影响因 素，拟采取预防保证措施针对性强、科学有效， 重点突出的， 按《广东省公路工程施工标准化</w:t>
            </w:r>
          </w:p>
          <w:p>
            <w:pPr>
              <w:widowControl/>
              <w:spacing w:line="400" w:lineRule="exact"/>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指南》及《广东省高速公路工程施工安全标准</w:t>
            </w:r>
          </w:p>
          <w:p>
            <w:pPr>
              <w:widowControl/>
              <w:spacing w:line="400" w:lineRule="exact"/>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化指南》《公路工程施工安全防护设施技术 指南》执行，得 8～10 分；</w:t>
            </w:r>
          </w:p>
          <w:p>
            <w:pPr>
              <w:widowControl/>
              <w:spacing w:line="400" w:lineRule="exact"/>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（2）对工期、质量、安全、环保、水保等风 险有一定认识， 预防保证措施基本可行，重点较为突出的，得 6～8 分；</w:t>
            </w:r>
          </w:p>
          <w:p>
            <w:pPr>
              <w:widowControl/>
              <w:spacing w:line="400" w:lineRule="exact"/>
              <w:jc w:val="left"/>
              <w:rPr>
                <w:rFonts w:ascii="宋体" w:hAnsi="宋体" w:eastAsia="宋体" w:cs="宋体"/>
                <w:color w:val="auto"/>
                <w:spacing w:val="0"/>
                <w:sz w:val="24"/>
                <w:szCs w:val="24"/>
                <w:highlight w:val="none"/>
              </w:rPr>
            </w:pPr>
            <w:r>
              <w:rPr>
                <w:rFonts w:hint="eastAsia" w:ascii="宋体" w:hAnsi="宋体" w:eastAsia="宋体" w:cs="宋体"/>
                <w:color w:val="auto"/>
                <w:spacing w:val="0"/>
                <w:sz w:val="21"/>
                <w:szCs w:val="24"/>
                <w:highlight w:val="none"/>
              </w:rPr>
              <w:t>（3）一般但不被评定为不响应的,得 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96" w:type="pct"/>
            <w:vMerge w:val="restar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2.2.2</w:t>
            </w:r>
          </w:p>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(2)</w:t>
            </w:r>
          </w:p>
          <w:p>
            <w:pPr>
              <w:spacing w:line="400" w:lineRule="exact"/>
              <w:jc w:val="center"/>
              <w:rPr>
                <w:rFonts w:ascii="宋体" w:hAnsi="宋体" w:eastAsia="宋体" w:cs="宋体"/>
                <w:color w:val="auto"/>
                <w:spacing w:val="0"/>
                <w:sz w:val="21"/>
                <w:szCs w:val="24"/>
                <w:highlight w:val="none"/>
              </w:rPr>
            </w:pPr>
          </w:p>
        </w:tc>
        <w:tc>
          <w:tcPr>
            <w:tcW w:w="662" w:type="pct"/>
            <w:vMerge w:val="restar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主要人员</w:t>
            </w:r>
          </w:p>
        </w:tc>
        <w:tc>
          <w:tcPr>
            <w:tcW w:w="360" w:type="pct"/>
            <w:vMerge w:val="restar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cs="宋体"/>
                <w:color w:val="auto"/>
                <w:spacing w:val="0"/>
                <w:kern w:val="0"/>
                <w:sz w:val="21"/>
                <w:szCs w:val="24"/>
                <w:highlight w:val="none"/>
                <w:u w:val="single"/>
                <w:lang w:val="en-US" w:eastAsia="zh-CN"/>
              </w:rPr>
              <w:t>25</w:t>
            </w:r>
            <w:r>
              <w:rPr>
                <w:rFonts w:hint="eastAsia" w:ascii="宋体" w:hAnsi="宋体" w:eastAsia="宋体" w:cs="宋体"/>
                <w:color w:val="auto"/>
                <w:spacing w:val="0"/>
                <w:kern w:val="0"/>
                <w:sz w:val="21"/>
                <w:szCs w:val="24"/>
                <w:highlight w:val="none"/>
              </w:rPr>
              <w:t>分</w:t>
            </w:r>
          </w:p>
        </w:tc>
        <w:tc>
          <w:tcPr>
            <w:tcW w:w="619" w:type="pct"/>
            <w:noWrap w:val="0"/>
            <w:vAlign w:val="center"/>
          </w:tcPr>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项目经理任职资格与业绩</w:t>
            </w:r>
          </w:p>
        </w:tc>
        <w:tc>
          <w:tcPr>
            <w:tcW w:w="524" w:type="pc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cs="宋体"/>
                <w:color w:val="auto"/>
                <w:spacing w:val="0"/>
                <w:kern w:val="0"/>
                <w:sz w:val="21"/>
                <w:szCs w:val="24"/>
                <w:highlight w:val="none"/>
                <w:u w:val="single"/>
                <w:lang w:val="en-US" w:eastAsia="zh-CN"/>
              </w:rPr>
              <w:t>15</w:t>
            </w:r>
            <w:r>
              <w:rPr>
                <w:rFonts w:hint="eastAsia" w:ascii="宋体" w:hAnsi="宋体" w:eastAsia="宋体" w:cs="宋体"/>
                <w:color w:val="auto"/>
                <w:spacing w:val="0"/>
                <w:kern w:val="0"/>
                <w:sz w:val="21"/>
                <w:szCs w:val="24"/>
                <w:highlight w:val="none"/>
              </w:rPr>
              <w:t>分</w:t>
            </w:r>
          </w:p>
        </w:tc>
        <w:tc>
          <w:tcPr>
            <w:tcW w:w="2336" w:type="pct"/>
            <w:noWrap w:val="0"/>
            <w:vAlign w:val="center"/>
          </w:tcPr>
          <w:p>
            <w:pPr>
              <w:widowControl/>
              <w:spacing w:line="400" w:lineRule="exact"/>
              <w:jc w:val="left"/>
              <w:rPr>
                <w:rFonts w:ascii="Calibri" w:hAnsi="Calibri" w:eastAsia="宋体"/>
                <w:color w:val="auto"/>
                <w:spacing w:val="0"/>
                <w:sz w:val="21"/>
                <w:szCs w:val="24"/>
                <w:highlight w:val="none"/>
              </w:rPr>
            </w:pPr>
            <w:r>
              <w:rPr>
                <w:rFonts w:ascii="Calibri" w:hAnsi="Calibri" w:eastAsia="宋体"/>
                <w:color w:val="auto"/>
                <w:spacing w:val="0"/>
                <w:sz w:val="21"/>
                <w:szCs w:val="24"/>
                <w:highlight w:val="none"/>
              </w:rPr>
              <w:t>（1）项目经理在满足资格审查条件的最低要</w:t>
            </w:r>
          </w:p>
          <w:p>
            <w:pPr>
              <w:widowControl/>
              <w:spacing w:line="400" w:lineRule="exact"/>
              <w:jc w:val="left"/>
              <w:rPr>
                <w:rFonts w:ascii="Calibri" w:hAnsi="Calibri" w:eastAsia="宋体"/>
                <w:color w:val="auto"/>
                <w:spacing w:val="0"/>
                <w:sz w:val="21"/>
                <w:szCs w:val="24"/>
                <w:highlight w:val="none"/>
              </w:rPr>
            </w:pPr>
            <w:r>
              <w:rPr>
                <w:rFonts w:ascii="Calibri" w:hAnsi="Calibri" w:eastAsia="宋体"/>
                <w:color w:val="auto"/>
                <w:spacing w:val="0"/>
                <w:sz w:val="21"/>
                <w:szCs w:val="24"/>
                <w:highlight w:val="none"/>
              </w:rPr>
              <w:t>求时，得 9 分；</w:t>
            </w:r>
          </w:p>
          <w:p>
            <w:pPr>
              <w:widowControl/>
              <w:spacing w:line="400" w:lineRule="exact"/>
              <w:jc w:val="left"/>
              <w:rPr>
                <w:rFonts w:ascii="Calibri" w:hAnsi="Calibri" w:eastAsia="宋体"/>
                <w:color w:val="auto"/>
                <w:spacing w:val="0"/>
                <w:sz w:val="21"/>
                <w:szCs w:val="24"/>
                <w:highlight w:val="none"/>
              </w:rPr>
            </w:pPr>
            <w:r>
              <w:rPr>
                <w:rFonts w:ascii="Calibri" w:hAnsi="Calibri" w:eastAsia="宋体"/>
                <w:color w:val="auto"/>
                <w:spacing w:val="0"/>
                <w:sz w:val="21"/>
                <w:szCs w:val="24"/>
                <w:highlight w:val="none"/>
              </w:rPr>
              <w:t>（2）项目经理具有高级工程师资格的，加</w:t>
            </w:r>
            <w:r>
              <w:rPr>
                <w:rFonts w:hint="eastAsia" w:ascii="Calibri" w:hAnsi="Calibri" w:eastAsia="宋体"/>
                <w:color w:val="auto"/>
                <w:spacing w:val="0"/>
                <w:sz w:val="21"/>
                <w:szCs w:val="24"/>
                <w:highlight w:val="none"/>
                <w:lang w:val="en-US" w:eastAsia="zh-CN"/>
              </w:rPr>
              <w:t>2</w:t>
            </w:r>
            <w:r>
              <w:rPr>
                <w:rFonts w:ascii="Calibri" w:hAnsi="Calibri" w:eastAsia="宋体"/>
                <w:color w:val="auto"/>
                <w:spacing w:val="0"/>
                <w:sz w:val="21"/>
                <w:szCs w:val="24"/>
                <w:highlight w:val="none"/>
              </w:rPr>
              <w:t>分，最多加</w:t>
            </w:r>
            <w:r>
              <w:rPr>
                <w:rFonts w:hint="eastAsia" w:ascii="Calibri" w:hAnsi="Calibri" w:eastAsia="宋体"/>
                <w:color w:val="auto"/>
                <w:spacing w:val="0"/>
                <w:sz w:val="21"/>
                <w:szCs w:val="24"/>
                <w:highlight w:val="none"/>
                <w:lang w:val="en-US" w:eastAsia="zh-CN"/>
              </w:rPr>
              <w:t>2</w:t>
            </w:r>
            <w:r>
              <w:rPr>
                <w:rFonts w:ascii="Calibri" w:hAnsi="Calibri" w:eastAsia="宋体"/>
                <w:color w:val="auto"/>
                <w:spacing w:val="0"/>
                <w:sz w:val="21"/>
                <w:szCs w:val="24"/>
                <w:highlight w:val="none"/>
              </w:rPr>
              <w:t>分；</w:t>
            </w:r>
          </w:p>
          <w:p>
            <w:pPr>
              <w:widowControl/>
              <w:spacing w:line="400" w:lineRule="exact"/>
              <w:jc w:val="left"/>
              <w:rPr>
                <w:rFonts w:ascii="Calibri" w:hAnsi="Calibri" w:eastAsia="宋体"/>
                <w:color w:val="auto"/>
                <w:spacing w:val="0"/>
                <w:sz w:val="21"/>
                <w:szCs w:val="24"/>
                <w:highlight w:val="none"/>
              </w:rPr>
            </w:pPr>
            <w:r>
              <w:rPr>
                <w:rFonts w:ascii="Calibri" w:hAnsi="Calibri" w:eastAsia="宋体"/>
                <w:color w:val="auto"/>
                <w:spacing w:val="0"/>
                <w:sz w:val="21"/>
                <w:szCs w:val="24"/>
                <w:highlight w:val="none"/>
              </w:rPr>
              <w:t>（3）每担任 1 个类似项目项目经理</w:t>
            </w:r>
            <w:r>
              <w:rPr>
                <w:rFonts w:hint="eastAsia" w:ascii="Calibri" w:hAnsi="Calibri" w:eastAsia="宋体"/>
                <w:color w:val="auto"/>
                <w:spacing w:val="0"/>
                <w:sz w:val="21"/>
                <w:szCs w:val="24"/>
                <w:highlight w:val="none"/>
                <w:lang w:val="en-US" w:eastAsia="zh-CN"/>
              </w:rPr>
              <w:t>(</w:t>
            </w:r>
            <w:r>
              <w:rPr>
                <w:rFonts w:hint="eastAsia" w:ascii="Calibri" w:hAnsi="Calibri" w:eastAsia="宋体"/>
                <w:color w:val="auto"/>
                <w:spacing w:val="0"/>
                <w:sz w:val="21"/>
                <w:szCs w:val="24"/>
                <w:highlight w:val="none"/>
                <w:lang w:eastAsia="zh-CN"/>
              </w:rPr>
              <w:t>或项目副经理）</w:t>
            </w:r>
            <w:r>
              <w:rPr>
                <w:rFonts w:ascii="Calibri" w:hAnsi="Calibri" w:eastAsia="宋体"/>
                <w:color w:val="auto"/>
                <w:spacing w:val="0"/>
                <w:sz w:val="21"/>
                <w:szCs w:val="24"/>
                <w:highlight w:val="none"/>
              </w:rPr>
              <w:t>岗位工作经验的，加</w:t>
            </w:r>
            <w:r>
              <w:rPr>
                <w:rFonts w:hint="eastAsia" w:ascii="Calibri" w:hAnsi="Calibri" w:eastAsia="宋体"/>
                <w:color w:val="auto"/>
                <w:spacing w:val="0"/>
                <w:sz w:val="21"/>
                <w:szCs w:val="24"/>
                <w:highlight w:val="none"/>
                <w:lang w:val="en-US" w:eastAsia="zh-CN"/>
              </w:rPr>
              <w:t>4</w:t>
            </w:r>
            <w:r>
              <w:rPr>
                <w:rFonts w:ascii="Calibri" w:hAnsi="Calibri" w:eastAsia="宋体"/>
                <w:color w:val="auto"/>
                <w:spacing w:val="0"/>
                <w:sz w:val="21"/>
                <w:szCs w:val="24"/>
                <w:highlight w:val="none"/>
              </w:rPr>
              <w:t>分，最多加 4 分。</w:t>
            </w:r>
          </w:p>
          <w:p>
            <w:pPr>
              <w:widowControl/>
              <w:spacing w:line="400" w:lineRule="exact"/>
              <w:jc w:val="left"/>
              <w:rPr>
                <w:rFonts w:ascii="Calibri" w:hAnsi="Calibri" w:eastAsia="宋体"/>
                <w:color w:val="auto"/>
                <w:spacing w:val="0"/>
                <w:sz w:val="21"/>
                <w:szCs w:val="24"/>
                <w:highlight w:val="none"/>
              </w:rPr>
            </w:pPr>
            <w:r>
              <w:rPr>
                <w:rFonts w:ascii="Calibri" w:hAnsi="Calibri" w:eastAsia="宋体"/>
                <w:color w:val="auto"/>
                <w:spacing w:val="0"/>
                <w:sz w:val="21"/>
                <w:szCs w:val="24"/>
                <w:highlight w:val="none"/>
              </w:rPr>
              <w:t>类似项目指：新建或改、扩建、路面改造</w:t>
            </w:r>
            <w:r>
              <w:rPr>
                <w:rFonts w:hint="eastAsia" w:ascii="Calibri" w:hAnsi="Calibri" w:eastAsia="宋体"/>
                <w:color w:val="auto"/>
                <w:spacing w:val="0"/>
                <w:sz w:val="21"/>
                <w:szCs w:val="24"/>
                <w:highlight w:val="none"/>
                <w:lang w:eastAsia="zh-CN"/>
              </w:rPr>
              <w:t>二</w:t>
            </w:r>
            <w:r>
              <w:rPr>
                <w:rFonts w:ascii="Calibri" w:hAnsi="Calibri" w:eastAsia="宋体"/>
                <w:color w:val="auto"/>
                <w:spacing w:val="0"/>
                <w:sz w:val="21"/>
                <w:szCs w:val="24"/>
                <w:highlight w:val="none"/>
              </w:rPr>
              <w:t>级</w:t>
            </w:r>
          </w:p>
          <w:p>
            <w:pPr>
              <w:widowControl/>
              <w:spacing w:line="400" w:lineRule="exact"/>
              <w:jc w:val="left"/>
              <w:rPr>
                <w:rFonts w:ascii="Calibri" w:hAnsi="Calibri" w:eastAsia="宋体"/>
                <w:color w:val="auto"/>
                <w:spacing w:val="0"/>
                <w:sz w:val="21"/>
                <w:szCs w:val="24"/>
                <w:highlight w:val="none"/>
              </w:rPr>
            </w:pPr>
            <w:r>
              <w:rPr>
                <w:rFonts w:ascii="Calibri" w:hAnsi="Calibri" w:eastAsia="宋体"/>
                <w:color w:val="auto"/>
                <w:spacing w:val="0"/>
                <w:sz w:val="21"/>
                <w:szCs w:val="24"/>
                <w:highlight w:val="none"/>
              </w:rPr>
              <w:t>(或以上等级)公路施工项目。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496" w:type="pct"/>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662" w:type="pct"/>
            <w:vMerge w:val="continue"/>
            <w:noWrap w:val="0"/>
            <w:vAlign w:val="center"/>
          </w:tcPr>
          <w:p>
            <w:pPr>
              <w:widowControl/>
              <w:spacing w:line="400" w:lineRule="exact"/>
              <w:jc w:val="left"/>
              <w:rPr>
                <w:rFonts w:ascii="宋体" w:hAnsi="宋体" w:eastAsia="宋体" w:cs="宋体"/>
                <w:color w:val="auto"/>
                <w:spacing w:val="0"/>
                <w:kern w:val="0"/>
                <w:sz w:val="21"/>
                <w:szCs w:val="24"/>
                <w:highlight w:val="none"/>
              </w:rPr>
            </w:pPr>
          </w:p>
        </w:tc>
        <w:tc>
          <w:tcPr>
            <w:tcW w:w="360" w:type="pct"/>
            <w:vMerge w:val="continue"/>
            <w:noWrap w:val="0"/>
            <w:vAlign w:val="center"/>
          </w:tcPr>
          <w:p>
            <w:pPr>
              <w:widowControl/>
              <w:spacing w:line="400" w:lineRule="exact"/>
              <w:jc w:val="left"/>
              <w:rPr>
                <w:rFonts w:ascii="宋体" w:hAnsi="宋体" w:eastAsia="宋体" w:cs="宋体"/>
                <w:color w:val="auto"/>
                <w:spacing w:val="0"/>
                <w:kern w:val="0"/>
                <w:sz w:val="21"/>
                <w:szCs w:val="24"/>
                <w:highlight w:val="none"/>
              </w:rPr>
            </w:pPr>
          </w:p>
        </w:tc>
        <w:tc>
          <w:tcPr>
            <w:tcW w:w="619" w:type="pct"/>
            <w:noWrap w:val="0"/>
            <w:vAlign w:val="center"/>
          </w:tcPr>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项目总工任职资格与业绩</w:t>
            </w:r>
          </w:p>
        </w:tc>
        <w:tc>
          <w:tcPr>
            <w:tcW w:w="524" w:type="pc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cs="宋体"/>
                <w:color w:val="auto"/>
                <w:spacing w:val="0"/>
                <w:kern w:val="0"/>
                <w:sz w:val="21"/>
                <w:szCs w:val="24"/>
                <w:highlight w:val="none"/>
                <w:u w:val="single"/>
                <w:lang w:val="en-US" w:eastAsia="zh-CN"/>
              </w:rPr>
              <w:t>10</w:t>
            </w:r>
            <w:r>
              <w:rPr>
                <w:rFonts w:hint="eastAsia" w:ascii="宋体" w:hAnsi="宋体" w:eastAsia="宋体" w:cs="宋体"/>
                <w:color w:val="auto"/>
                <w:spacing w:val="0"/>
                <w:kern w:val="0"/>
                <w:sz w:val="21"/>
                <w:szCs w:val="24"/>
                <w:highlight w:val="none"/>
              </w:rPr>
              <w:t>分</w:t>
            </w:r>
          </w:p>
        </w:tc>
        <w:tc>
          <w:tcPr>
            <w:tcW w:w="2336" w:type="pct"/>
            <w:noWrap w:val="0"/>
            <w:vAlign w:val="center"/>
          </w:tcPr>
          <w:p>
            <w:pPr>
              <w:widowControl/>
              <w:spacing w:line="400" w:lineRule="exact"/>
              <w:jc w:val="left"/>
              <w:rPr>
                <w:rFonts w:ascii="Calibri" w:hAnsi="Calibri" w:eastAsia="宋体"/>
                <w:color w:val="auto"/>
                <w:spacing w:val="0"/>
                <w:sz w:val="21"/>
                <w:szCs w:val="24"/>
                <w:highlight w:val="none"/>
              </w:rPr>
            </w:pPr>
            <w:r>
              <w:rPr>
                <w:rFonts w:hint="eastAsia"/>
                <w:color w:val="auto"/>
                <w:spacing w:val="0"/>
                <w:sz w:val="21"/>
                <w:szCs w:val="24"/>
                <w:highlight w:val="none"/>
                <w:lang w:eastAsia="zh-CN"/>
              </w:rPr>
              <w:t>（</w:t>
            </w:r>
            <w:r>
              <w:rPr>
                <w:rFonts w:hint="eastAsia"/>
                <w:color w:val="auto"/>
                <w:spacing w:val="0"/>
                <w:sz w:val="21"/>
                <w:szCs w:val="24"/>
                <w:highlight w:val="none"/>
                <w:lang w:val="en-US" w:eastAsia="zh-CN"/>
              </w:rPr>
              <w:t>1</w:t>
            </w:r>
            <w:r>
              <w:rPr>
                <w:rFonts w:hint="eastAsia"/>
                <w:color w:val="auto"/>
                <w:spacing w:val="0"/>
                <w:sz w:val="21"/>
                <w:szCs w:val="24"/>
                <w:highlight w:val="none"/>
                <w:lang w:eastAsia="zh-CN"/>
              </w:rPr>
              <w:t>）</w:t>
            </w:r>
            <w:r>
              <w:rPr>
                <w:rFonts w:ascii="Calibri" w:hAnsi="Calibri" w:eastAsia="宋体"/>
                <w:color w:val="auto"/>
                <w:spacing w:val="0"/>
                <w:sz w:val="21"/>
                <w:szCs w:val="24"/>
                <w:highlight w:val="none"/>
              </w:rPr>
              <w:t>在满足资格审查条件的最低要求时</w:t>
            </w:r>
            <w:r>
              <w:rPr>
                <w:rFonts w:hint="eastAsia" w:ascii="Calibri" w:hAnsi="Calibri" w:eastAsia="宋体"/>
                <w:color w:val="auto"/>
                <w:spacing w:val="0"/>
                <w:sz w:val="21"/>
                <w:szCs w:val="24"/>
                <w:highlight w:val="none"/>
                <w:lang w:eastAsia="zh-CN"/>
              </w:rPr>
              <w:t>，得</w:t>
            </w:r>
            <w:r>
              <w:rPr>
                <w:rFonts w:hint="eastAsia" w:ascii="Calibri" w:hAnsi="Calibri" w:eastAsia="宋体"/>
                <w:color w:val="auto"/>
                <w:spacing w:val="0"/>
                <w:sz w:val="21"/>
                <w:szCs w:val="24"/>
                <w:highlight w:val="none"/>
                <w:lang w:val="en-US" w:eastAsia="zh-CN"/>
              </w:rPr>
              <w:t>6</w:t>
            </w:r>
            <w:r>
              <w:rPr>
                <w:rFonts w:ascii="Calibri" w:hAnsi="Calibri" w:eastAsia="宋体"/>
                <w:color w:val="auto"/>
                <w:spacing w:val="0"/>
                <w:sz w:val="21"/>
                <w:szCs w:val="24"/>
                <w:highlight w:val="none"/>
              </w:rPr>
              <w:t>分；</w:t>
            </w:r>
          </w:p>
          <w:p>
            <w:pPr>
              <w:widowControl/>
              <w:spacing w:line="400" w:lineRule="exact"/>
              <w:jc w:val="left"/>
              <w:rPr>
                <w:rFonts w:ascii="Calibri" w:hAnsi="Calibri" w:eastAsia="宋体"/>
                <w:color w:val="auto"/>
                <w:spacing w:val="0"/>
                <w:sz w:val="21"/>
                <w:szCs w:val="24"/>
                <w:highlight w:val="none"/>
              </w:rPr>
            </w:pPr>
            <w:r>
              <w:rPr>
                <w:rFonts w:ascii="Calibri" w:hAnsi="Calibri" w:eastAsia="宋体"/>
                <w:color w:val="auto"/>
                <w:spacing w:val="0"/>
                <w:sz w:val="21"/>
                <w:szCs w:val="24"/>
                <w:highlight w:val="none"/>
              </w:rPr>
              <w:t>（2）每担任 1 个类似项目项目总工</w:t>
            </w:r>
            <w:r>
              <w:rPr>
                <w:rFonts w:hint="eastAsia" w:ascii="Calibri" w:hAnsi="Calibri" w:eastAsia="宋体"/>
                <w:color w:val="auto"/>
                <w:spacing w:val="0"/>
                <w:sz w:val="21"/>
                <w:szCs w:val="24"/>
                <w:highlight w:val="none"/>
                <w:lang w:eastAsia="zh-CN"/>
              </w:rPr>
              <w:t>（或项目副总工）</w:t>
            </w:r>
            <w:r>
              <w:rPr>
                <w:rFonts w:ascii="Calibri" w:hAnsi="Calibri" w:eastAsia="宋体"/>
                <w:color w:val="auto"/>
                <w:spacing w:val="0"/>
                <w:sz w:val="21"/>
                <w:szCs w:val="24"/>
                <w:highlight w:val="none"/>
              </w:rPr>
              <w:t>岗位工作经验的，加</w:t>
            </w:r>
            <w:r>
              <w:rPr>
                <w:rFonts w:hint="eastAsia" w:ascii="Calibri" w:hAnsi="Calibri" w:eastAsia="宋体"/>
                <w:color w:val="auto"/>
                <w:spacing w:val="0"/>
                <w:sz w:val="21"/>
                <w:szCs w:val="24"/>
                <w:highlight w:val="none"/>
                <w:lang w:val="en-US" w:eastAsia="zh-CN"/>
              </w:rPr>
              <w:t>4</w:t>
            </w:r>
            <w:r>
              <w:rPr>
                <w:rFonts w:ascii="Calibri" w:hAnsi="Calibri" w:eastAsia="宋体"/>
                <w:color w:val="auto"/>
                <w:spacing w:val="0"/>
                <w:sz w:val="21"/>
                <w:szCs w:val="24"/>
                <w:highlight w:val="none"/>
              </w:rPr>
              <w:t>分，最多加 4 分。</w:t>
            </w:r>
          </w:p>
          <w:p>
            <w:pPr>
              <w:widowControl/>
              <w:spacing w:line="400" w:lineRule="exact"/>
              <w:jc w:val="left"/>
              <w:rPr>
                <w:rFonts w:ascii="Calibri" w:hAnsi="Calibri" w:eastAsia="宋体"/>
                <w:color w:val="auto"/>
                <w:spacing w:val="0"/>
                <w:sz w:val="21"/>
                <w:szCs w:val="24"/>
                <w:highlight w:val="none"/>
              </w:rPr>
            </w:pPr>
            <w:r>
              <w:rPr>
                <w:rFonts w:ascii="Calibri" w:hAnsi="Calibri" w:eastAsia="宋体"/>
                <w:color w:val="auto"/>
                <w:spacing w:val="0"/>
                <w:sz w:val="21"/>
                <w:szCs w:val="24"/>
                <w:highlight w:val="none"/>
              </w:rPr>
              <w:t>类似项目指：新建或改、扩建、路面改造</w:t>
            </w:r>
            <w:r>
              <w:rPr>
                <w:rFonts w:hint="eastAsia" w:ascii="Calibri" w:hAnsi="Calibri" w:eastAsia="宋体"/>
                <w:color w:val="auto"/>
                <w:spacing w:val="0"/>
                <w:sz w:val="21"/>
                <w:szCs w:val="24"/>
                <w:highlight w:val="none"/>
                <w:lang w:eastAsia="zh-CN"/>
              </w:rPr>
              <w:t>二</w:t>
            </w:r>
            <w:r>
              <w:rPr>
                <w:rFonts w:ascii="Calibri" w:hAnsi="Calibri" w:eastAsia="宋体"/>
                <w:color w:val="auto"/>
                <w:spacing w:val="0"/>
                <w:sz w:val="21"/>
                <w:szCs w:val="24"/>
                <w:highlight w:val="none"/>
              </w:rPr>
              <w:t>级</w:t>
            </w:r>
          </w:p>
          <w:p>
            <w:pPr>
              <w:widowControl/>
              <w:spacing w:line="400" w:lineRule="exact"/>
              <w:jc w:val="left"/>
              <w:rPr>
                <w:rFonts w:ascii="Calibri" w:hAnsi="Calibri" w:eastAsia="宋体"/>
                <w:color w:val="auto"/>
                <w:spacing w:val="0"/>
                <w:sz w:val="21"/>
                <w:szCs w:val="24"/>
                <w:highlight w:val="none"/>
              </w:rPr>
            </w:pPr>
            <w:r>
              <w:rPr>
                <w:rFonts w:ascii="Calibri" w:hAnsi="Calibri" w:eastAsia="宋体"/>
                <w:color w:val="auto"/>
                <w:spacing w:val="0"/>
                <w:sz w:val="21"/>
                <w:szCs w:val="24"/>
                <w:highlight w:val="none"/>
              </w:rPr>
              <w:t>(或以上等级)公路施工项目。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496" w:type="pct"/>
            <w:vMerge w:val="restart"/>
            <w:noWrap w:val="0"/>
            <w:vAlign w:val="center"/>
          </w:tcPr>
          <w:p>
            <w:pPr>
              <w:spacing w:line="400" w:lineRule="exact"/>
              <w:ind w:left="90" w:leftChars="36" w:right="113" w:hanging="14" w:hangingChars="7"/>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2.2.2(3)</w:t>
            </w:r>
          </w:p>
        </w:tc>
        <w:tc>
          <w:tcPr>
            <w:tcW w:w="662" w:type="pct"/>
            <w:vMerge w:val="restart"/>
            <w:noWrap w:val="0"/>
            <w:vAlign w:val="center"/>
          </w:tcPr>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其他因素</w:t>
            </w:r>
          </w:p>
        </w:tc>
        <w:tc>
          <w:tcPr>
            <w:tcW w:w="360" w:type="pc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技</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术</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能</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力</w:t>
            </w:r>
          </w:p>
        </w:tc>
        <w:tc>
          <w:tcPr>
            <w:tcW w:w="619" w:type="pc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cs="宋体"/>
                <w:color w:val="auto"/>
                <w:spacing w:val="0"/>
                <w:kern w:val="0"/>
                <w:sz w:val="21"/>
                <w:szCs w:val="24"/>
                <w:highlight w:val="none"/>
                <w:u w:val="single"/>
                <w:lang w:val="en-US" w:eastAsia="zh-CN"/>
              </w:rPr>
              <w:t>20</w:t>
            </w:r>
            <w:r>
              <w:rPr>
                <w:rFonts w:hint="eastAsia" w:ascii="宋体" w:hAnsi="宋体" w:eastAsia="宋体" w:cs="宋体"/>
                <w:color w:val="auto"/>
                <w:spacing w:val="0"/>
                <w:kern w:val="0"/>
                <w:sz w:val="21"/>
                <w:szCs w:val="24"/>
                <w:highlight w:val="none"/>
              </w:rPr>
              <w:t>分</w:t>
            </w:r>
          </w:p>
        </w:tc>
        <w:tc>
          <w:tcPr>
            <w:tcW w:w="2860" w:type="pct"/>
            <w:gridSpan w:val="2"/>
            <w:noWrap w:val="0"/>
            <w:vAlign w:val="center"/>
          </w:tcPr>
          <w:p>
            <w:pPr>
              <w:spacing w:after="120" w:line="240" w:lineRule="auto"/>
              <w:rPr>
                <w:rFonts w:ascii="Calibri" w:hAnsi="Calibri" w:eastAsia="宋体"/>
                <w:color w:val="auto"/>
                <w:spacing w:val="0"/>
                <w:kern w:val="0"/>
                <w:sz w:val="20"/>
                <w:szCs w:val="20"/>
                <w:highlight w:val="none"/>
              </w:rPr>
            </w:pPr>
            <w:r>
              <w:rPr>
                <w:rFonts w:ascii="Calibri" w:hAnsi="Calibri" w:eastAsia="宋体"/>
                <w:color w:val="auto"/>
                <w:spacing w:val="0"/>
                <w:kern w:val="0"/>
                <w:sz w:val="20"/>
                <w:szCs w:val="20"/>
                <w:highlight w:val="none"/>
              </w:rPr>
              <w:t>（1）投标人获得与项目施工有关的国家级工法、专利（发明专利 或实用新型专利）、国家级科学技术进步奖、鲁班奖、詹天佑奖，主编或参编过国家标准，每项加</w:t>
            </w:r>
            <w:r>
              <w:rPr>
                <w:rFonts w:hint="eastAsia"/>
                <w:color w:val="auto"/>
                <w:spacing w:val="0"/>
                <w:kern w:val="0"/>
                <w:sz w:val="20"/>
                <w:szCs w:val="20"/>
                <w:highlight w:val="none"/>
                <w:lang w:val="en-US" w:eastAsia="zh-CN"/>
              </w:rPr>
              <w:t>5</w:t>
            </w:r>
            <w:r>
              <w:rPr>
                <w:rFonts w:ascii="Calibri" w:hAnsi="Calibri" w:eastAsia="宋体"/>
                <w:color w:val="auto"/>
                <w:spacing w:val="0"/>
                <w:kern w:val="0"/>
                <w:sz w:val="20"/>
                <w:szCs w:val="20"/>
                <w:highlight w:val="none"/>
              </w:rPr>
              <w:t>分；</w:t>
            </w:r>
          </w:p>
          <w:p>
            <w:pPr>
              <w:spacing w:after="120" w:line="240" w:lineRule="auto"/>
              <w:rPr>
                <w:rFonts w:ascii="Calibri" w:hAnsi="Calibri" w:eastAsia="宋体"/>
                <w:color w:val="auto"/>
                <w:spacing w:val="0"/>
                <w:kern w:val="0"/>
                <w:sz w:val="20"/>
                <w:szCs w:val="20"/>
                <w:highlight w:val="none"/>
              </w:rPr>
            </w:pPr>
            <w:r>
              <w:rPr>
                <w:rFonts w:ascii="Calibri" w:hAnsi="Calibri" w:eastAsia="宋体"/>
                <w:color w:val="auto"/>
                <w:spacing w:val="0"/>
                <w:kern w:val="0"/>
                <w:sz w:val="20"/>
                <w:szCs w:val="20"/>
                <w:highlight w:val="none"/>
              </w:rPr>
              <w:t>（2）投标人获得省级科学技术进步奖，主编或参编过的行业或地方（指省级）标准，每项加</w:t>
            </w:r>
            <w:r>
              <w:rPr>
                <w:rFonts w:hint="eastAsia"/>
                <w:color w:val="auto"/>
                <w:spacing w:val="0"/>
                <w:kern w:val="0"/>
                <w:sz w:val="20"/>
                <w:szCs w:val="20"/>
                <w:highlight w:val="none"/>
                <w:lang w:val="en-US" w:eastAsia="zh-CN"/>
              </w:rPr>
              <w:t xml:space="preserve"> 4 </w:t>
            </w:r>
            <w:r>
              <w:rPr>
                <w:rFonts w:ascii="Calibri" w:hAnsi="Calibri" w:eastAsia="宋体"/>
                <w:color w:val="auto"/>
                <w:spacing w:val="0"/>
                <w:kern w:val="0"/>
                <w:sz w:val="20"/>
                <w:szCs w:val="20"/>
                <w:highlight w:val="none"/>
              </w:rPr>
              <w:t>分；</w:t>
            </w:r>
          </w:p>
          <w:p>
            <w:pPr>
              <w:spacing w:after="120" w:line="240" w:lineRule="auto"/>
              <w:rPr>
                <w:rFonts w:ascii="Calibri" w:hAnsi="Calibri" w:eastAsia="宋体"/>
                <w:color w:val="auto"/>
                <w:spacing w:val="0"/>
                <w:kern w:val="0"/>
                <w:sz w:val="20"/>
                <w:szCs w:val="20"/>
                <w:highlight w:val="none"/>
              </w:rPr>
            </w:pPr>
            <w:r>
              <w:rPr>
                <w:rFonts w:ascii="Calibri" w:hAnsi="Calibri" w:eastAsia="宋体"/>
                <w:color w:val="auto"/>
                <w:spacing w:val="0"/>
                <w:kern w:val="0"/>
                <w:sz w:val="20"/>
                <w:szCs w:val="20"/>
                <w:highlight w:val="none"/>
              </w:rPr>
              <w:t>注：技术能力加分最高 20 分，同一事项按较高分只计一次。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496" w:type="pct"/>
            <w:vMerge w:val="continue"/>
            <w:noWrap w:val="0"/>
            <w:vAlign w:val="center"/>
          </w:tcPr>
          <w:p>
            <w:pPr>
              <w:spacing w:line="400" w:lineRule="exact"/>
              <w:ind w:left="90" w:leftChars="36" w:right="113" w:hanging="14" w:hangingChars="7"/>
              <w:jc w:val="center"/>
              <w:rPr>
                <w:rFonts w:ascii="宋体" w:hAnsi="宋体" w:eastAsia="宋体" w:cs="宋体"/>
                <w:color w:val="auto"/>
                <w:spacing w:val="0"/>
                <w:sz w:val="21"/>
                <w:szCs w:val="24"/>
                <w:highlight w:val="none"/>
              </w:rPr>
            </w:pPr>
          </w:p>
        </w:tc>
        <w:tc>
          <w:tcPr>
            <w:tcW w:w="662" w:type="pct"/>
            <w:vMerge w:val="continue"/>
            <w:noWrap w:val="0"/>
            <w:vAlign w:val="center"/>
          </w:tcPr>
          <w:p>
            <w:pPr>
              <w:widowControl/>
              <w:spacing w:line="400" w:lineRule="exact"/>
              <w:jc w:val="left"/>
              <w:rPr>
                <w:rFonts w:ascii="宋体" w:hAnsi="宋体" w:eastAsia="宋体" w:cs="宋体"/>
                <w:color w:val="auto"/>
                <w:spacing w:val="0"/>
                <w:kern w:val="0"/>
                <w:sz w:val="21"/>
                <w:szCs w:val="24"/>
                <w:highlight w:val="none"/>
              </w:rPr>
            </w:pPr>
          </w:p>
        </w:tc>
        <w:tc>
          <w:tcPr>
            <w:tcW w:w="360" w:type="pc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履</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约</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信</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誉</w:t>
            </w:r>
          </w:p>
        </w:tc>
        <w:tc>
          <w:tcPr>
            <w:tcW w:w="619" w:type="pc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u w:val="single"/>
              </w:rPr>
              <w:t>15</w:t>
            </w:r>
            <w:r>
              <w:rPr>
                <w:rFonts w:hint="eastAsia" w:ascii="宋体" w:hAnsi="宋体" w:eastAsia="宋体" w:cs="宋体"/>
                <w:color w:val="auto"/>
                <w:spacing w:val="0"/>
                <w:kern w:val="0"/>
                <w:sz w:val="21"/>
                <w:szCs w:val="24"/>
                <w:highlight w:val="none"/>
              </w:rPr>
              <w:t>分</w:t>
            </w:r>
          </w:p>
        </w:tc>
        <w:tc>
          <w:tcPr>
            <w:tcW w:w="2860" w:type="pct"/>
            <w:gridSpan w:val="2"/>
            <w:noWrap w:val="0"/>
            <w:vAlign w:val="center"/>
          </w:tcPr>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1.信用等级分值（10分）</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AA、A、B、C 级单位的信用等级分得分分别为 10、9.5、8.9、7.3 分。</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注：信用等级的确定原则遵循投标人须知前附表 10.2 款的规定。</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2.履约情况（5分）</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若没出现下述情形得满分；</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投标文件递交截止日前 1 年内， 投标人因公路工程（含附属</w:t>
            </w:r>
            <w:bookmarkStart w:id="1" w:name="_GoBack"/>
            <w:bookmarkEnd w:id="1"/>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设施）质量、安全、履约或招标投标问题等原因被：</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（1）交通运输部行政处罚的，扣 5 分/次。</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（2）广东省交通运输厅行政处罚的，扣 3 分/次。</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（3）招标项目所在地地级以上市交通运输局行政处罚的， 扣 1.5分/次。</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（4）广东省交通运输厅正式约谈的，扣 0.1 分/次。</w:t>
            </w:r>
          </w:p>
          <w:p>
            <w:pPr>
              <w:widowControl/>
              <w:spacing w:line="400" w:lineRule="exact"/>
              <w:ind w:right="-449" w:rightChars="-214" w:firstLine="420" w:firstLineChars="20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同一事项同时被多个部门行政处罚或正式约谈只按最高的扣分计算 1 次。如果扣完本项分值，可以从总分中扣。</w:t>
            </w:r>
          </w:p>
        </w:tc>
      </w:tr>
    </w:tbl>
    <w:p>
      <w:pPr>
        <w:pStyle w:val="11"/>
        <w:spacing w:line="400" w:lineRule="exact"/>
        <w:rPr>
          <w:color w:val="auto"/>
          <w:spacing w:val="0"/>
          <w:sz w:val="21"/>
          <w:szCs w:val="21"/>
          <w:highlight w:val="none"/>
        </w:rPr>
      </w:pPr>
    </w:p>
    <w:tbl>
      <w:tblPr>
        <w:tblStyle w:val="7"/>
        <w:tblpPr w:leftFromText="180" w:rightFromText="180" w:vertAnchor="text" w:horzAnchor="page" w:tblpXSpec="center" w:tblpY="3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2"/>
            <w:noWrap w:val="0"/>
            <w:vAlign w:val="top"/>
          </w:tcPr>
          <w:p>
            <w:pPr>
              <w:spacing w:line="400" w:lineRule="exact"/>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noWrap w:val="0"/>
            <w:vAlign w:val="top"/>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条款号</w:t>
            </w:r>
          </w:p>
        </w:tc>
        <w:tc>
          <w:tcPr>
            <w:tcW w:w="4059" w:type="pct"/>
            <w:noWrap w:val="0"/>
            <w:vAlign w:val="top"/>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noWrap w:val="0"/>
            <w:vAlign w:val="center"/>
          </w:tcPr>
          <w:p>
            <w:pPr>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w:t>
            </w:r>
          </w:p>
        </w:tc>
        <w:tc>
          <w:tcPr>
            <w:tcW w:w="4059" w:type="pct"/>
            <w:noWrap w:val="0"/>
            <w:vAlign w:val="top"/>
          </w:tcPr>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将评标办法原文第 1 条“评标方法”改为“评标方法、组织及工作程序”，原文内 容修改如下：</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1.评标方法、组织及工作程序</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1.1 评标方法</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本次评标采用双信封的技术评分最低标价法。评标委员会对满足招标文件实质 性要求的投标文件， 按照本章第 2.2 款规定对通过初步评审的投标人的施工组织设 计、主要人员、其他因素等进行评分，按照得分由高到低排序，对排名在招标文件 规定数量前 5 名（不少于 3 名但不足 5 名时， 按全部实际数量） 的投标人的报价 文件进行评审，按照评标价由低到高的顺序推荐中标候选人的评标方法。但投标报 价低于其成本的除外。评标价相等时，评标委员会应按照评标办法前附表规定的优 先次序推荐中标候选人或确定中标人。</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1.2 评标组织</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1.2.1  协助工作组</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招标人可在评标工作开始前成立协助工作组，选派熟悉招标工作、政治素质高 的人员组成，协助评标委员会工作。协助工作组人员的具体数量由招标人视评标工</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作量确定。</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招标人可以协助评标委员会开展下列工作并提供相关信息：</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（1）根据招标文件，编制评标使用的相应表格；</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（2）对投标报价进行算术性校核（如采用固化工程量清单，本步骤省略）；</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（3）以评标标准和方法为依据， 列出投标文件相对于招标文件的所有偏差， 并</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进行归类汇总；</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（4）查询公路建设市场信用信息管理系统， 对投标人的资质、业绩、主要人员 资历和目前在岗情况、信用等级进行核实。</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招标人不得对投标文件作出任何评价，不得故意遗漏或者片面摘录，不得在评</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标委员会对所有偏差定性之前透露存有偏差的投标人名称。</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1.2.2  评标委员会</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评标委员会由招标人按国家、广东省等的有关规定依法组建。评标委员会的主</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要工作内容包括：</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（1）评标委员会开始评标工作之前， 首先听取招标人、协助工作组关于工程情</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况和辅助工作的说明，并认真研读招标文件，获取评标所需的重要信息和数据；</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（2）对协助工作组提供的评标工作用表和评标内容进行核查。 （3）按照以下 1.3 款程序进行各项评审工作。</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1.3 评审工作程序</w:t>
            </w:r>
          </w:p>
          <w:p>
            <w:pPr>
              <w:widowControl/>
              <w:spacing w:line="400" w:lineRule="exact"/>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（一）第一个信封（商务及技术文件）：</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l、初步评审：包括形式评审与响应性评审、资格评审；</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2、详细评审（评审打分）：评标委员会首先对通过第一个信封初步评审的投标 文件进行详细评审，对投标人的施工组织设计、主要人员、其他因素等分别评审打 分，并按照综合得分由高到低排序， 排名在招标文件规定数量前 5 名（不少于 3 名 但不足 5 名的，按全部实际数量） 的投标人，其投标文件第一个信封（商务及技术</w:t>
            </w:r>
          </w:p>
          <w:p>
            <w:pPr>
              <w:widowControl/>
              <w:spacing w:line="400" w:lineRule="exact"/>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文件） 通过详细评审。</w:t>
            </w:r>
          </w:p>
          <w:p>
            <w:pPr>
              <w:widowControl/>
              <w:spacing w:line="400" w:lineRule="exact"/>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（二）第二个信封（报价文件）：</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1、初步评审：</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（1）只有对投标文件第一个信封通过详细评审的投标人的报价文件才能继续参</w:t>
            </w:r>
          </w:p>
          <w:p>
            <w:pPr>
              <w:widowControl/>
              <w:spacing w:line="400" w:lineRule="exact"/>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加第二个信封报价文件的形式评审与响应性评审。</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（2）报价算术性修正（如采用固化工程量清单，本步骤省略）；</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2、详细评审：计算评标价。</w:t>
            </w:r>
          </w:p>
          <w:p>
            <w:pPr>
              <w:widowControl/>
              <w:spacing w:line="400" w:lineRule="exact"/>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（三）投标文件相关信息的核查。</w:t>
            </w:r>
          </w:p>
          <w:p>
            <w:pPr>
              <w:widowControl/>
              <w:spacing w:line="400" w:lineRule="exact"/>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（四）投标文件的澄清和说明(如有)。</w:t>
            </w:r>
          </w:p>
          <w:p>
            <w:pPr>
              <w:widowControl/>
              <w:spacing w:line="400" w:lineRule="exact"/>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（五）按评标办法规定按照第二个信封的评标价由低到高的顺序推荐中标候选人，</w:t>
            </w:r>
          </w:p>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编写评标报告。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noWrap w:val="0"/>
            <w:vAlign w:val="center"/>
          </w:tcPr>
          <w:p>
            <w:pPr>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3.2.2</w:t>
            </w:r>
          </w:p>
        </w:tc>
        <w:tc>
          <w:tcPr>
            <w:tcW w:w="4059" w:type="pct"/>
            <w:noWrap w:val="0"/>
            <w:vAlign w:val="top"/>
          </w:tcPr>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将评标办法原文第 3.2.2 项修改如下：</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3.2.3</w:t>
            </w:r>
          </w:p>
        </w:tc>
        <w:tc>
          <w:tcPr>
            <w:tcW w:w="4059" w:type="pct"/>
            <w:noWrap w:val="0"/>
            <w:vAlign w:val="top"/>
          </w:tcPr>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将评标办法范本原文第 3.2.3 项细化如下：</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投标人的商务和技术得分=A+B+C。</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除履约信誉、技术能力得分外，投标文件各评分因素细分项得分均不应低于其 权重分的 60%，评分低于权重分值 60%的， 评标委员会成员应当在评标报告中作出说 明。计算投标人技术得分时:首先在评委技术评分中， 采用取消同一评委对同一标段 各投标人评分总分的差值最大的 1 名评委评分分值（若有 2 名或以上评委技术评分 总分差值最大值相等时，则取消其中 1 名评委的所有评分，具体办法如下），再对 各评分因素细分项中取消一个最高、 一个最低分后计算其算术平均值的和为投标人 的最终技术得分，平均值计算保留小数点后三位，小数点后第四位“四舍五入”。</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取消其中 1 名评委所有评分的办法一（依次按照以下流程） ：（1）对比上述出 现技术评分总分差值最大值相等的评委的次大差值（次大差值＝某一评委技术评分 总分的最高分－该评委技术评分总分的次低分），取消次分差值最大的评委所有评分；（2）如次分差值仍相同，则按随机抽取的方式选定取消 1 名评委评分。</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示例:同一评委对 5 名投标人技术评分总分分别为:6.65（最高分)、5.88、5.11、 4.90（次低分）、4.55（最低分），则其最大差值为 2.1、次大差值为 6.65-4.90=1.75）。</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取消其中 1 名评委所有评分的办法二：按随机抽取的方式选定取消 1 名评委评分。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3.6</w:t>
            </w:r>
          </w:p>
        </w:tc>
        <w:tc>
          <w:tcPr>
            <w:tcW w:w="4059" w:type="pct"/>
            <w:noWrap w:val="0"/>
            <w:vAlign w:val="top"/>
          </w:tcPr>
          <w:p>
            <w:pPr>
              <w:widowControl/>
              <w:spacing w:line="400" w:lineRule="exact"/>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3.6.2 项（2）目末增加以下条款：</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g.广东省实施《中华人民共和国招标投标法》办法第十六条规定的情形。</w:t>
            </w:r>
          </w:p>
          <w:p>
            <w:pPr>
              <w:widowControl/>
              <w:spacing w:line="400" w:lineRule="exact"/>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增加 3.6.3 项：</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3.6.3 依法必须进行招标的项目， 除第一中标候选人或者中标人， 其他投标人存 在串通投标、弄虚作假、行贿情形且在评标过程中未被发现的，视为对中标结果没 有造成实质性影响，招标人可以依法继续开展招标活动。投标人的违法行为由行政</w:t>
            </w:r>
          </w:p>
          <w:p>
            <w:pPr>
              <w:widowControl/>
              <w:spacing w:line="400" w:lineRule="exact"/>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3.9</w:t>
            </w:r>
          </w:p>
          <w:p>
            <w:pPr>
              <w:widowControl/>
              <w:spacing w:line="400" w:lineRule="exact"/>
              <w:jc w:val="center"/>
              <w:rPr>
                <w:rFonts w:ascii="宋体" w:hAnsi="宋体" w:eastAsia="宋体" w:cs="宋体"/>
                <w:color w:val="auto"/>
                <w:spacing w:val="0"/>
                <w:kern w:val="0"/>
                <w:sz w:val="21"/>
                <w:szCs w:val="24"/>
                <w:highlight w:val="none"/>
              </w:rPr>
            </w:pPr>
          </w:p>
        </w:tc>
        <w:tc>
          <w:tcPr>
            <w:tcW w:w="4059" w:type="pct"/>
            <w:noWrap w:val="0"/>
            <w:vAlign w:val="top"/>
          </w:tcPr>
          <w:p>
            <w:pPr>
              <w:widowControl/>
              <w:spacing w:line="400" w:lineRule="exact"/>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增加 3.9.3-3.9.7 项：</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3.9.3 推荐中标候选人方式： （1）已被推荐为某一标段的第一中标候选人， 自 动失去其在本次招标中其他标段的中标候选人资格。（2）按标段最高投标限价由高 到低顺序依次选定各标段中标候选人，如果出现投标人在多个标段都排名第一，将 确定该投标人为最高投标限价较高的标段的第一中标候选人，同时该投标人自动失 去在本次招标中其他标段的中标候选人资格， 其他标段的综合排名名次高者自动上</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升为中标候选人，以此类推。</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3.9.4 通过第一个信封商务及技术文件评审的投标人少于 3 个的，评标委员会</w:t>
            </w:r>
          </w:p>
          <w:p>
            <w:pPr>
              <w:widowControl/>
              <w:spacing w:line="400" w:lineRule="exact"/>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应否决全部投标。</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3.9.5 通过第一个信封商务及技术文件评审的投标人在 3 个及以上的， 招标人 应当按照招标文件规定的程序进行第二个信封报价文件开标；在对报价文件进行评 审后，有效投标不足 3 个的，评标委员会可以否决全部投标。 未否决全部投标的，</w:t>
            </w:r>
          </w:p>
          <w:p>
            <w:pPr>
              <w:widowControl/>
              <w:spacing w:line="400" w:lineRule="exact"/>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评标委员会应当在评标报告中阐明理由并推荐中标候选人。</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3.9.6 如果发生无法确定推荐中标候选人的其他意外情况，评标委员会可建议</w:t>
            </w:r>
          </w:p>
          <w:p>
            <w:pPr>
              <w:widowControl/>
              <w:spacing w:line="400" w:lineRule="exact"/>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招标人重新招标。</w:t>
            </w:r>
          </w:p>
          <w:p>
            <w:pPr>
              <w:widowControl/>
              <w:spacing w:line="400" w:lineRule="exact"/>
              <w:ind w:firstLine="401" w:firstLineChars="190"/>
              <w:jc w:val="left"/>
              <w:rPr>
                <w:rFonts w:ascii="宋体" w:hAnsi="宋体" w:eastAsia="宋体" w:cs="宋体"/>
                <w:b/>
                <w:bCs/>
                <w:color w:val="auto"/>
                <w:spacing w:val="0"/>
                <w:kern w:val="0"/>
                <w:sz w:val="21"/>
                <w:szCs w:val="24"/>
                <w:highlight w:val="none"/>
              </w:rPr>
            </w:pPr>
            <w:r>
              <w:rPr>
                <w:rFonts w:ascii="宋体" w:hAnsi="宋体" w:eastAsia="宋体" w:cs="宋体"/>
                <w:b/>
                <w:bCs/>
                <w:color w:val="auto"/>
                <w:spacing w:val="0"/>
                <w:kern w:val="0"/>
                <w:sz w:val="21"/>
                <w:szCs w:val="24"/>
                <w:highlight w:val="none"/>
              </w:rPr>
              <w:t>3.9.7 本招标文件规定的否决投标条款包含在以下条款：</w:t>
            </w:r>
          </w:p>
          <w:p>
            <w:pPr>
              <w:widowControl/>
              <w:spacing w:line="400" w:lineRule="exact"/>
              <w:ind w:firstLine="401" w:firstLineChars="190"/>
              <w:jc w:val="left"/>
              <w:rPr>
                <w:rFonts w:ascii="宋体" w:hAnsi="宋体" w:eastAsia="宋体" w:cs="宋体"/>
                <w:b/>
                <w:bCs/>
                <w:color w:val="auto"/>
                <w:spacing w:val="0"/>
                <w:kern w:val="0"/>
                <w:sz w:val="21"/>
                <w:szCs w:val="24"/>
                <w:highlight w:val="none"/>
              </w:rPr>
            </w:pPr>
            <w:r>
              <w:rPr>
                <w:rFonts w:ascii="宋体" w:hAnsi="宋体" w:eastAsia="宋体" w:cs="宋体"/>
                <w:b/>
                <w:bCs/>
                <w:color w:val="auto"/>
                <w:spacing w:val="0"/>
                <w:kern w:val="0"/>
                <w:sz w:val="21"/>
                <w:szCs w:val="24"/>
                <w:highlight w:val="none"/>
              </w:rPr>
              <w:t>（1）招标公告第 3 点 投标人资格要求；</w:t>
            </w:r>
          </w:p>
          <w:p>
            <w:pPr>
              <w:widowControl/>
              <w:spacing w:line="400" w:lineRule="exact"/>
              <w:ind w:firstLine="401" w:firstLineChars="190"/>
              <w:jc w:val="left"/>
              <w:rPr>
                <w:rFonts w:ascii="宋体" w:hAnsi="宋体" w:eastAsia="宋体" w:cs="宋体"/>
                <w:b/>
                <w:bCs/>
                <w:color w:val="auto"/>
                <w:spacing w:val="0"/>
                <w:kern w:val="0"/>
                <w:sz w:val="21"/>
                <w:szCs w:val="24"/>
                <w:highlight w:val="none"/>
              </w:rPr>
            </w:pPr>
            <w:r>
              <w:rPr>
                <w:rFonts w:ascii="宋体" w:hAnsi="宋体" w:eastAsia="宋体" w:cs="宋体"/>
                <w:b/>
                <w:bCs/>
                <w:color w:val="auto"/>
                <w:spacing w:val="0"/>
                <w:kern w:val="0"/>
                <w:sz w:val="21"/>
                <w:szCs w:val="24"/>
                <w:highlight w:val="none"/>
              </w:rPr>
              <w:t>（2）投标人须知 1.4.3 项、 1.4.4 项、 1.4.5 项、 1.11.1 项、 1.12.2 项、</w:t>
            </w:r>
          </w:p>
          <w:p>
            <w:pPr>
              <w:widowControl/>
              <w:spacing w:line="400" w:lineRule="exact"/>
              <w:jc w:val="left"/>
              <w:rPr>
                <w:rFonts w:ascii="宋体" w:hAnsi="宋体" w:eastAsia="宋体" w:cs="宋体"/>
                <w:b/>
                <w:bCs/>
                <w:color w:val="auto"/>
                <w:spacing w:val="0"/>
                <w:kern w:val="0"/>
                <w:sz w:val="21"/>
                <w:szCs w:val="24"/>
                <w:highlight w:val="none"/>
              </w:rPr>
            </w:pPr>
            <w:r>
              <w:rPr>
                <w:rFonts w:ascii="宋体" w:hAnsi="宋体" w:eastAsia="宋体" w:cs="宋体"/>
                <w:b/>
                <w:bCs/>
                <w:color w:val="auto"/>
                <w:spacing w:val="0"/>
                <w:kern w:val="0"/>
                <w:sz w:val="21"/>
                <w:szCs w:val="24"/>
                <w:highlight w:val="none"/>
              </w:rPr>
              <w:t>3.4.2 项、 3.5.11 项、 3.6.1 项；</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（3）本评标办法的否决条款。</w:t>
            </w:r>
          </w:p>
          <w:p>
            <w:pPr>
              <w:widowControl/>
              <w:spacing w:line="400" w:lineRule="exact"/>
              <w:ind w:firstLine="399" w:firstLineChars="190"/>
              <w:jc w:val="left"/>
              <w:rPr>
                <w:rFonts w:ascii="宋体" w:hAnsi="宋体" w:eastAsia="宋体" w:cs="宋体"/>
                <w:color w:val="auto"/>
                <w:spacing w:val="0"/>
                <w:kern w:val="0"/>
                <w:sz w:val="21"/>
                <w:szCs w:val="24"/>
                <w:highlight w:val="none"/>
              </w:rPr>
            </w:pPr>
          </w:p>
          <w:p>
            <w:pPr>
              <w:widowControl/>
              <w:spacing w:line="400" w:lineRule="exact"/>
              <w:jc w:val="left"/>
              <w:rPr>
                <w:rFonts w:ascii="宋体" w:hAnsi="宋体" w:eastAsia="宋体" w:cs="宋体"/>
                <w:b/>
                <w:bCs/>
                <w:color w:val="auto"/>
                <w:spacing w:val="0"/>
                <w:kern w:val="0"/>
                <w:sz w:val="21"/>
                <w:szCs w:val="24"/>
                <w:highlight w:val="none"/>
              </w:rPr>
            </w:pPr>
            <w:r>
              <w:rPr>
                <w:rFonts w:ascii="宋体" w:hAnsi="宋体" w:eastAsia="宋体" w:cs="宋体"/>
                <w:b/>
                <w:bCs/>
                <w:color w:val="auto"/>
                <w:spacing w:val="0"/>
                <w:kern w:val="0"/>
                <w:sz w:val="21"/>
                <w:szCs w:val="24"/>
                <w:highlight w:val="none"/>
              </w:rPr>
              <w:t>附：投标人须知 1.4.3 项、1.4.4 项、1.4.5 项、1.11.1 项、1.12.2 项、3.4.2 项、 3.5.11 项、 3.6.1 项正文内容：</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1.4.3</w:t>
            </w:r>
            <w:r>
              <w:rPr>
                <w:rFonts w:ascii="宋体" w:hAnsi="宋体" w:eastAsia="宋体" w:cs="宋体"/>
                <w:color w:val="auto"/>
                <w:spacing w:val="0"/>
                <w:kern w:val="0"/>
                <w:sz w:val="21"/>
                <w:szCs w:val="24"/>
                <w:highlight w:val="none"/>
              </w:rPr>
              <w:t xml:space="preserve"> 投标人不得与本标段相关单位存在下列关联关系：</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（1）为招标人不具有独立法人资格的附属机构（单位）；</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（2）与招标人存在利害关系且可能影响招标公正性；</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（3）与本标段的其他投标人同为一个单位负责人；</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（4）与本标段的其他投标人存在控股、管理关系；</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（5）为本标段前期准备提供设计或咨询服务的法人或其任何附属机构（单位）；</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（6）为本标段的监理人；</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（7）为本标段的代建人；</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（8）为本标段的招标代理机构；</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（9）与本标段的监理人或代建人或招标代理机构同为一个法定代表人；</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（10）与本标段的监理人或代建人或招标代理机构存在控股或参股关系；</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（11）法律法规或投标人须知前附表规定的其他情形。</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 xml:space="preserve">1.4.4 </w:t>
            </w:r>
            <w:r>
              <w:rPr>
                <w:rFonts w:ascii="宋体" w:hAnsi="宋体" w:eastAsia="宋体" w:cs="宋体"/>
                <w:color w:val="auto"/>
                <w:spacing w:val="0"/>
                <w:kern w:val="0"/>
                <w:sz w:val="21"/>
                <w:szCs w:val="24"/>
                <w:highlight w:val="none"/>
              </w:rPr>
              <w:t>投标人不得存在下列不良状况或不良信用记录：</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（1）被省级及以上交通运输主管部门取消招标项目所在地的投标资格且处于有</w:t>
            </w:r>
          </w:p>
          <w:p>
            <w:pPr>
              <w:widowControl/>
              <w:spacing w:line="400" w:lineRule="exact"/>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效期内；</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（2）被责令停业，暂扣或吊销执照，或吊销资质证书；</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（3）进入清算程序，或被宣告破产，或其他丧失履约能力的情形；</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（4）在国家企业信用信息公示系统（</w:t>
            </w:r>
            <w:r>
              <w:rPr>
                <w:rFonts w:ascii="宋体" w:hAnsi="宋体" w:eastAsia="宋体" w:cs="宋体"/>
                <w:color w:val="auto"/>
                <w:spacing w:val="0"/>
                <w:kern w:val="0"/>
                <w:sz w:val="21"/>
                <w:szCs w:val="24"/>
                <w:highlight w:val="none"/>
              </w:rPr>
              <w:fldChar w:fldCharType="begin"/>
            </w:r>
            <w:r>
              <w:rPr>
                <w:rFonts w:ascii="宋体" w:hAnsi="宋体" w:eastAsia="宋体" w:cs="宋体"/>
                <w:color w:val="auto"/>
                <w:spacing w:val="0"/>
                <w:kern w:val="0"/>
                <w:sz w:val="21"/>
                <w:szCs w:val="24"/>
                <w:highlight w:val="none"/>
              </w:rPr>
              <w:instrText xml:space="preserve"> HYPERLINK "https://www.gsxt.gov.cn/" </w:instrText>
            </w:r>
            <w:r>
              <w:rPr>
                <w:rFonts w:ascii="宋体" w:hAnsi="宋体" w:eastAsia="宋体" w:cs="宋体"/>
                <w:color w:val="auto"/>
                <w:spacing w:val="0"/>
                <w:kern w:val="0"/>
                <w:sz w:val="21"/>
                <w:szCs w:val="24"/>
                <w:highlight w:val="none"/>
              </w:rPr>
              <w:fldChar w:fldCharType="separate"/>
            </w:r>
            <w:r>
              <w:rPr>
                <w:rFonts w:ascii="宋体" w:hAnsi="宋体" w:eastAsia="宋体" w:cs="宋体"/>
                <w:color w:val="auto"/>
                <w:spacing w:val="0"/>
                <w:kern w:val="0"/>
                <w:sz w:val="21"/>
                <w:szCs w:val="24"/>
                <w:highlight w:val="none"/>
              </w:rPr>
              <w:t>https://www.gsxt.gov.cn/</w:t>
            </w:r>
            <w:r>
              <w:rPr>
                <w:rFonts w:ascii="宋体" w:hAnsi="宋体" w:eastAsia="宋体" w:cs="宋体"/>
                <w:color w:val="auto"/>
                <w:spacing w:val="0"/>
                <w:kern w:val="0"/>
                <w:sz w:val="21"/>
                <w:szCs w:val="24"/>
                <w:highlight w:val="none"/>
              </w:rPr>
              <w:fldChar w:fldCharType="end"/>
            </w:r>
            <w:r>
              <w:rPr>
                <w:rFonts w:ascii="宋体" w:hAnsi="宋体" w:eastAsia="宋体" w:cs="宋体"/>
                <w:color w:val="auto"/>
                <w:spacing w:val="0"/>
                <w:kern w:val="0"/>
                <w:sz w:val="21"/>
                <w:szCs w:val="24"/>
                <w:highlight w:val="none"/>
              </w:rPr>
              <w:t>）中被列入严 重违法失信企业名单；</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（5）在“信用中国 ”网站（</w:t>
            </w:r>
            <w:r>
              <w:rPr>
                <w:rFonts w:ascii="宋体" w:hAnsi="宋体" w:eastAsia="宋体" w:cs="宋体"/>
                <w:color w:val="auto"/>
                <w:spacing w:val="0"/>
                <w:kern w:val="0"/>
                <w:sz w:val="21"/>
                <w:szCs w:val="24"/>
                <w:highlight w:val="none"/>
              </w:rPr>
              <w:fldChar w:fldCharType="begin"/>
            </w:r>
            <w:r>
              <w:rPr>
                <w:rFonts w:ascii="宋体" w:hAnsi="宋体" w:eastAsia="宋体" w:cs="宋体"/>
                <w:color w:val="auto"/>
                <w:spacing w:val="0"/>
                <w:kern w:val="0"/>
                <w:sz w:val="21"/>
                <w:szCs w:val="24"/>
                <w:highlight w:val="none"/>
              </w:rPr>
              <w:instrText xml:space="preserve"> HYPERLINK "https://www.creditchina.gov.cn/" </w:instrText>
            </w:r>
            <w:r>
              <w:rPr>
                <w:rFonts w:ascii="宋体" w:hAnsi="宋体" w:eastAsia="宋体" w:cs="宋体"/>
                <w:color w:val="auto"/>
                <w:spacing w:val="0"/>
                <w:kern w:val="0"/>
                <w:sz w:val="21"/>
                <w:szCs w:val="24"/>
                <w:highlight w:val="none"/>
              </w:rPr>
              <w:fldChar w:fldCharType="separate"/>
            </w:r>
            <w:r>
              <w:rPr>
                <w:rFonts w:ascii="宋体" w:hAnsi="宋体" w:eastAsia="宋体" w:cs="宋体"/>
                <w:color w:val="auto"/>
                <w:spacing w:val="0"/>
                <w:kern w:val="0"/>
                <w:sz w:val="21"/>
                <w:szCs w:val="24"/>
                <w:highlight w:val="none"/>
              </w:rPr>
              <w:t>https://www.creditchina.gov.cn/</w:t>
            </w:r>
            <w:r>
              <w:rPr>
                <w:rFonts w:ascii="宋体" w:hAnsi="宋体" w:eastAsia="宋体" w:cs="宋体"/>
                <w:color w:val="auto"/>
                <w:spacing w:val="0"/>
                <w:kern w:val="0"/>
                <w:sz w:val="21"/>
                <w:szCs w:val="24"/>
                <w:highlight w:val="none"/>
              </w:rPr>
              <w:fldChar w:fldCharType="end"/>
            </w:r>
            <w:r>
              <w:rPr>
                <w:rFonts w:ascii="宋体" w:hAnsi="宋体" w:eastAsia="宋体" w:cs="宋体"/>
                <w:color w:val="auto"/>
                <w:spacing w:val="0"/>
                <w:kern w:val="0"/>
                <w:sz w:val="21"/>
                <w:szCs w:val="24"/>
                <w:highlight w:val="none"/>
              </w:rPr>
              <w:t>）中被列入失</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信被执行人名单；</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（6）法律法规或投标人须知前附表规定的其他情形。</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1.4.5</w:t>
            </w:r>
            <w:r>
              <w:rPr>
                <w:rFonts w:ascii="宋体" w:hAnsi="宋体" w:eastAsia="宋体" w:cs="宋体"/>
                <w:color w:val="auto"/>
                <w:spacing w:val="0"/>
                <w:kern w:val="0"/>
                <w:sz w:val="21"/>
                <w:szCs w:val="24"/>
                <w:highlight w:val="none"/>
              </w:rPr>
              <w:t xml:space="preserve"> 投标人（包括联合体各成员） 应进入交通运输部“全国公路建设市场信用 信息管理系统（</w:t>
            </w:r>
            <w:r>
              <w:rPr>
                <w:rFonts w:ascii="宋体" w:hAnsi="宋体" w:eastAsia="宋体" w:cs="宋体"/>
                <w:color w:val="auto"/>
                <w:spacing w:val="0"/>
                <w:kern w:val="0"/>
                <w:sz w:val="21"/>
                <w:szCs w:val="24"/>
                <w:highlight w:val="none"/>
              </w:rPr>
              <w:fldChar w:fldCharType="begin"/>
            </w:r>
            <w:r>
              <w:rPr>
                <w:rFonts w:ascii="宋体" w:hAnsi="宋体" w:eastAsia="宋体" w:cs="宋体"/>
                <w:color w:val="auto"/>
                <w:spacing w:val="0"/>
                <w:kern w:val="0"/>
                <w:sz w:val="21"/>
                <w:szCs w:val="24"/>
                <w:highlight w:val="none"/>
              </w:rPr>
              <w:instrText xml:space="preserve"> HYPERLINK "https://glxy.mot.gov.cn/" </w:instrText>
            </w:r>
            <w:r>
              <w:rPr>
                <w:rFonts w:ascii="宋体" w:hAnsi="宋体" w:eastAsia="宋体" w:cs="宋体"/>
                <w:color w:val="auto"/>
                <w:spacing w:val="0"/>
                <w:kern w:val="0"/>
                <w:sz w:val="21"/>
                <w:szCs w:val="24"/>
                <w:highlight w:val="none"/>
              </w:rPr>
              <w:fldChar w:fldCharType="separate"/>
            </w:r>
            <w:r>
              <w:rPr>
                <w:rFonts w:ascii="宋体" w:hAnsi="宋体" w:eastAsia="宋体" w:cs="宋体"/>
                <w:color w:val="auto"/>
                <w:spacing w:val="0"/>
                <w:kern w:val="0"/>
                <w:sz w:val="21"/>
                <w:szCs w:val="24"/>
                <w:highlight w:val="none"/>
              </w:rPr>
              <w:t>https://glxy.mot.gov.cn/</w:t>
            </w:r>
            <w:r>
              <w:rPr>
                <w:rFonts w:ascii="宋体" w:hAnsi="宋体" w:eastAsia="宋体" w:cs="宋体"/>
                <w:color w:val="auto"/>
                <w:spacing w:val="0"/>
                <w:kern w:val="0"/>
                <w:sz w:val="21"/>
                <w:szCs w:val="24"/>
                <w:highlight w:val="none"/>
              </w:rPr>
              <w:fldChar w:fldCharType="end"/>
            </w:r>
            <w:r>
              <w:rPr>
                <w:rFonts w:ascii="宋体" w:hAnsi="宋体" w:eastAsia="宋体" w:cs="宋体"/>
                <w:color w:val="auto"/>
                <w:spacing w:val="0"/>
                <w:kern w:val="0"/>
                <w:sz w:val="21"/>
                <w:szCs w:val="24"/>
                <w:highlight w:val="none"/>
              </w:rPr>
              <w:t>） ”中的公路工程施工资质企业名录， 且投标人名称和资质与该名录中的相应企业名称和资质完全一致。投标人不满足本</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项规定条件的，将被否决投标。</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1.11.1</w:t>
            </w:r>
            <w:r>
              <w:rPr>
                <w:rFonts w:ascii="宋体" w:hAnsi="宋体" w:eastAsia="宋体" w:cs="宋体"/>
                <w:color w:val="auto"/>
                <w:spacing w:val="0"/>
                <w:kern w:val="0"/>
                <w:sz w:val="21"/>
                <w:szCs w:val="24"/>
                <w:highlight w:val="none"/>
              </w:rPr>
              <w:t xml:space="preserve"> 投标人拟在中标后将中标项目的部分非主体、非关键性工作进行分包的， 应符合以下规定：</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（1）分包内容要求： 允许分包的工程范围仅限于非关键性工程或适合专业化队 伍施工的专项工程。招标人允许分包或不允许分包的专项工程（如有）应在投标人 须知前附表中载明。</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（2）接受分包的第三人资格要求： 分包人的资格能力应与其分包工程的标准和</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规模相适应，且具备投标人须知前附表中规定的资格条件。</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（3）其他要求： 投标人如有分包计划， 应按第九章“投标文件格式 ”的要求填 写“拟分包项目情况表 ”，明确拟分包的工程及规模，且投标人中标后的分包应满</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足合同条款第 4.3 款的相关要求。</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1.11.2</w:t>
            </w:r>
            <w:r>
              <w:rPr>
                <w:rFonts w:ascii="宋体" w:hAnsi="宋体" w:eastAsia="宋体" w:cs="宋体"/>
                <w:color w:val="auto"/>
                <w:spacing w:val="0"/>
                <w:kern w:val="0"/>
                <w:sz w:val="21"/>
                <w:szCs w:val="24"/>
                <w:highlight w:val="none"/>
              </w:rPr>
              <w:t xml:space="preserve"> 中标人不得向他人转让中标项目，接受分包的人不得再次分包。中标人</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应就分包项目向招标人负责，接受分包的人就分包项目承担连带责任。</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3.4.2</w:t>
            </w:r>
            <w:r>
              <w:rPr>
                <w:rFonts w:ascii="宋体" w:hAnsi="宋体" w:eastAsia="宋体" w:cs="宋体"/>
                <w:color w:val="auto"/>
                <w:spacing w:val="0"/>
                <w:kern w:val="0"/>
                <w:sz w:val="21"/>
                <w:szCs w:val="24"/>
                <w:highlight w:val="none"/>
              </w:rPr>
              <w:t xml:space="preserve"> 投标人不按本章第 3.4.1 项要求提交投标保证金的， 评标委员会将否决</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其投标。</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3.5.11</w:t>
            </w:r>
            <w:r>
              <w:rPr>
                <w:rFonts w:ascii="宋体" w:hAnsi="宋体" w:eastAsia="宋体" w:cs="宋体"/>
                <w:color w:val="auto"/>
                <w:spacing w:val="0"/>
                <w:kern w:val="0"/>
                <w:sz w:val="21"/>
                <w:szCs w:val="24"/>
                <w:highlight w:val="none"/>
              </w:rPr>
              <w:t xml:space="preserve"> 招标人有权核查投标人在资格预审申请文件和投标文件中提供的资料， 若在评标期间发现投标人提供了虚假资料，其投标将被否决；若在签订合同前发现 作为中标候选人的投标人提供了虚假资料，招标人有权取消其中标资格；若在合同 实施期间发现投标人提供了虚假资料，招标人有权从工程支付款或履约保证金中扣 除不超过 10％签约合同价的金额作为违约金。同时招标人将投标人上述弄虚作假行</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为上报省级交通运输主管部门， 作为不良记录纳入公路建设市场信用信息管理系统。</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3.6.1</w:t>
            </w:r>
            <w:r>
              <w:rPr>
                <w:rFonts w:ascii="宋体" w:hAnsi="宋体" w:eastAsia="宋体" w:cs="宋体"/>
                <w:color w:val="auto"/>
                <w:spacing w:val="0"/>
                <w:kern w:val="0"/>
                <w:sz w:val="21"/>
                <w:szCs w:val="24"/>
                <w:highlight w:val="none"/>
              </w:rPr>
              <w:t xml:space="preserve"> 除投标人须知前附表规定允许外， 投标人不得递交备选投标方案， 否则其 投标将被否决。</w:t>
            </w:r>
          </w:p>
        </w:tc>
      </w:tr>
    </w:tbl>
    <w:p>
      <w:pPr>
        <w:pStyle w:val="11"/>
        <w:spacing w:line="400" w:lineRule="exact"/>
        <w:rPr>
          <w:color w:val="auto"/>
          <w:spacing w:val="0"/>
          <w:sz w:val="21"/>
          <w:szCs w:val="21"/>
          <w:highlight w:val="none"/>
        </w:rPr>
      </w:pPr>
    </w:p>
    <w:p>
      <w:pPr>
        <w:pStyle w:val="11"/>
        <w:spacing w:line="400" w:lineRule="exact"/>
        <w:rPr>
          <w:rFonts w:hint="eastAsia"/>
          <w:color w:val="auto"/>
          <w:spacing w:val="0"/>
          <w:sz w:val="21"/>
          <w:szCs w:val="21"/>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DAC78"/>
    <w:multiLevelType w:val="singleLevel"/>
    <w:tmpl w:val="B70DAC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MzJhYjcyZjBkZTJjNjNmMTJhOTBkNThkYmI3ZmMifQ=="/>
  </w:docVars>
  <w:rsids>
    <w:rsidRoot w:val="00000000"/>
    <w:rsid w:val="01C761D7"/>
    <w:rsid w:val="02936D16"/>
    <w:rsid w:val="07C80EFB"/>
    <w:rsid w:val="08B3637C"/>
    <w:rsid w:val="0AFA13CC"/>
    <w:rsid w:val="0CC83E81"/>
    <w:rsid w:val="0F291CE2"/>
    <w:rsid w:val="1F603E5D"/>
    <w:rsid w:val="24DB3BC4"/>
    <w:rsid w:val="2EBC05C2"/>
    <w:rsid w:val="3B3B4AFB"/>
    <w:rsid w:val="3B5068F7"/>
    <w:rsid w:val="40DC1F38"/>
    <w:rsid w:val="4548523A"/>
    <w:rsid w:val="48E51C50"/>
    <w:rsid w:val="4D277E97"/>
    <w:rsid w:val="505803C4"/>
    <w:rsid w:val="550E57B1"/>
    <w:rsid w:val="56825E47"/>
    <w:rsid w:val="56DB194F"/>
    <w:rsid w:val="5AF72D35"/>
    <w:rsid w:val="63D4113F"/>
    <w:rsid w:val="68E73AB5"/>
    <w:rsid w:val="6A0725C2"/>
    <w:rsid w:val="6D4132E8"/>
    <w:rsid w:val="6E071DE1"/>
    <w:rsid w:val="6EA747A6"/>
    <w:rsid w:val="6F8C24D4"/>
    <w:rsid w:val="76F40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rPr>
  </w:style>
  <w:style w:type="paragraph" w:styleId="4">
    <w:name w:val="Body Text"/>
    <w:basedOn w:val="1"/>
    <w:next w:val="5"/>
    <w:qFormat/>
    <w:uiPriority w:val="0"/>
    <w:pPr>
      <w:spacing w:after="120"/>
    </w:pPr>
    <w:rPr>
      <w:kern w:val="0"/>
      <w:sz w:val="20"/>
      <w:szCs w:val="20"/>
    </w:rPr>
  </w:style>
  <w:style w:type="paragraph" w:styleId="5">
    <w:name w:val="Body Text 2"/>
    <w:basedOn w:val="1"/>
    <w:qFormat/>
    <w:uiPriority w:val="0"/>
    <w:rPr>
      <w:rFonts w:ascii="宋体" w:hAnsi="宋体"/>
      <w:color w:val="51585D"/>
      <w:kern w:val="0"/>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纯文本1"/>
    <w:basedOn w:val="1"/>
    <w:qFormat/>
    <w:uiPriority w:val="0"/>
    <w:rPr>
      <w:rFonts w:ascii="宋体" w:hAnsi="Times New Roman"/>
      <w:sz w:val="24"/>
    </w:rPr>
  </w:style>
  <w:style w:type="paragraph" w:customStyle="1" w:styleId="10">
    <w:name w:val="Table Paragraph"/>
    <w:basedOn w:val="1"/>
    <w:qFormat/>
    <w:uiPriority w:val="0"/>
    <w:pPr>
      <w:autoSpaceDE w:val="0"/>
      <w:autoSpaceDN w:val="0"/>
      <w:jc w:val="left"/>
    </w:pPr>
    <w:rPr>
      <w:rFonts w:hint="eastAsia" w:ascii="宋体" w:hAnsi="宋体"/>
      <w:kern w:val="0"/>
      <w:sz w:val="22"/>
      <w:szCs w:val="22"/>
    </w:rPr>
  </w:style>
  <w:style w:type="paragraph" w:customStyle="1" w:styleId="11">
    <w:name w:val="正文正"/>
    <w:basedOn w:val="1"/>
    <w:qFormat/>
    <w:uiPriority w:val="99"/>
    <w:pPr>
      <w:spacing w:line="560" w:lineRule="exact"/>
      <w:ind w:firstLine="561"/>
    </w:pPr>
    <w:rPr>
      <w:rFonts w:ascii="Times New Roman" w:hAnsi="Times New Roman"/>
      <w:sz w:val="28"/>
      <w:szCs w:val="28"/>
    </w:rPr>
  </w:style>
  <w:style w:type="paragraph" w:customStyle="1" w:styleId="12">
    <w:name w:val="Table Text"/>
    <w:basedOn w:val="1"/>
    <w:qFormat/>
    <w:uiPriority w:val="0"/>
    <w:rPr>
      <w:rFonts w:ascii="宋体" w:hAnsi="宋体" w:eastAsia="宋体" w:cs="宋体"/>
      <w:sz w:val="24"/>
      <w:szCs w:val="24"/>
      <w:lang w:val="en-US" w:eastAsia="en-US" w:bidi="ar-SA"/>
    </w:rPr>
  </w:style>
  <w:style w:type="table" w:customStyle="1" w:styleId="13">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9246</Words>
  <Characters>9762</Characters>
  <Lines>0</Lines>
  <Paragraphs>0</Paragraphs>
  <TotalTime>32</TotalTime>
  <ScaleCrop>false</ScaleCrop>
  <LinksUpToDate>false</LinksUpToDate>
  <CharactersWithSpaces>9982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2023-05-24T02:10:00Z</dcterms:created>
  <dc:creator>admin</dc:creator>
  <cp:lastModifiedBy>炽</cp:lastModifiedBy>
  <dcterms:modified xsi:type="dcterms:W3CDTF">2023-10-07T08:08:14Z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E398FC9A838041D28C9F9A46366A5B9D_13</vt:lpwstr>
  </property>
</Properties>
</file>