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outlineLvl w:val="0"/>
        <w:rPr>
          <w:rFonts w:cs="宋体"/>
          <w:b/>
          <w:snapToGrid w:val="0"/>
          <w:kern w:val="0"/>
          <w:sz w:val="28"/>
          <w:szCs w:val="28"/>
          <w:highlight w:val="none"/>
          <w:u w:val="none"/>
          <w:shd w:val="clear" w:color="auto" w:fill="FFFFFF"/>
        </w:rPr>
      </w:pPr>
      <w:bookmarkStart w:id="0" w:name="_GoBack"/>
      <w:bookmarkEnd w:id="0"/>
      <w:r>
        <w:rPr>
          <w:rFonts w:hint="eastAsia" w:cs="宋体"/>
          <w:b/>
          <w:snapToGrid w:val="0"/>
          <w:kern w:val="0"/>
          <w:sz w:val="28"/>
          <w:szCs w:val="28"/>
          <w:highlight w:val="none"/>
          <w:u w:val="none"/>
          <w:shd w:val="clear" w:color="auto" w:fill="FFFFFF"/>
        </w:rPr>
        <w:t>紫兰学校周边道路工程设计施工总承包补充公告</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　　</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u w:val="single"/>
        </w:rPr>
        <w:t>紫兰学校周边道路工程设计施工总承包 (项目编号：JG2023-5569)</w:t>
      </w:r>
      <w:r>
        <w:rPr>
          <w:rFonts w:hint="eastAsia" w:ascii="宋体" w:hAnsi="宋体" w:eastAsia="宋体" w:cs="宋体"/>
          <w:sz w:val="24"/>
          <w:highlight w:val="none"/>
        </w:rPr>
        <w:t>招标公告于2023年9月28日在广州公共资源交易中心网站等媒体发布，现对原招标公告、招标文件的相关内容修改如下：</w:t>
      </w:r>
    </w:p>
    <w:p>
      <w:pPr>
        <w:widowControl w:val="0"/>
        <w:numPr>
          <w:ilvl w:val="0"/>
          <w:numId w:val="1"/>
        </w:numPr>
        <w:adjustRightInd/>
        <w:snapToGrid/>
        <w:spacing w:after="0" w:line="360" w:lineRule="auto"/>
        <w:ind w:left="720"/>
        <w:jc w:val="both"/>
        <w:rPr>
          <w:rFonts w:ascii="宋体" w:hAnsi="宋体" w:eastAsia="宋体" w:cs="宋体"/>
          <w:b/>
          <w:snapToGrid w:val="0"/>
          <w:sz w:val="24"/>
          <w:highlight w:val="none"/>
          <w:shd w:val="clear" w:color="auto" w:fill="FFFFFF"/>
        </w:rPr>
      </w:pPr>
      <w:r>
        <w:rPr>
          <w:rFonts w:hint="eastAsia" w:ascii="宋体" w:hAnsi="宋体" w:eastAsia="宋体" w:cs="宋体"/>
          <w:b/>
          <w:snapToGrid w:val="0"/>
          <w:sz w:val="24"/>
          <w:highlight w:val="none"/>
          <w:shd w:val="clear" w:color="auto" w:fill="FFFFFF"/>
        </w:rPr>
        <w:t>招标公告第3点投标人资格要求3.4现修改为：</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3.4投标人同时具有承接本项目所需的建设行政主管部门颁发的以下企业资质证书：</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3.4.1工程设计资质：具备以下资质条件中的任意一项：①工程设计综合类资质甲级 ②工程设计市政行业乙级资质③</w:t>
      </w:r>
      <w:r>
        <w:rPr>
          <w:rFonts w:hint="eastAsia" w:ascii="宋体" w:hAnsi="宋体" w:eastAsia="宋体" w:cs="宋体"/>
          <w:sz w:val="24"/>
          <w:highlight w:val="none"/>
          <w:u w:val="single"/>
        </w:rPr>
        <w:t>同时具备市政行业（道路工程）专业设计丙级或以上资质、市政行业（给水工程）专业设计丙级或以上资质、市政行业（排水工程）专业设计丙级或以上资质</w:t>
      </w:r>
      <w:r>
        <w:rPr>
          <w:rFonts w:hint="eastAsia" w:ascii="宋体" w:hAnsi="宋体" w:eastAsia="宋体" w:cs="宋体"/>
          <w:b/>
          <w:bCs/>
          <w:sz w:val="24"/>
          <w:highlight w:val="none"/>
          <w:u w:val="single"/>
        </w:rPr>
        <w:t>。</w:t>
      </w:r>
      <w:r>
        <w:rPr>
          <w:rFonts w:hint="eastAsia" w:ascii="宋体" w:hAnsi="宋体" w:eastAsia="宋体" w:cs="宋体"/>
          <w:sz w:val="24"/>
          <w:highlight w:val="none"/>
        </w:rPr>
        <w:t>香港企业参加投标的，须在广东省住房和城乡建设主管部门备案且备案的业务范围为符合本招标项目对工程设计资质的要求。</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注：①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填写。</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③外国或澳门、台湾的设计企业必须选择一家符合上述条件的企业进行合作设计。香港企业如不组成联合体参加投标，也必须选择一家符合上述条件的企业进行合作设计，并签订合作设计协议。</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3.4.2工程施工资质：具备的市政公用工程施工总承包</w:t>
      </w:r>
      <w:r>
        <w:rPr>
          <w:rFonts w:hint="eastAsia" w:ascii="宋体" w:hAnsi="宋体" w:eastAsia="宋体" w:cs="宋体"/>
          <w:b w:val="0"/>
          <w:bCs w:val="0"/>
          <w:sz w:val="24"/>
          <w:highlight w:val="none"/>
          <w:u w:val="single"/>
        </w:rPr>
        <w:t>三级</w:t>
      </w:r>
      <w:r>
        <w:rPr>
          <w:rFonts w:hint="eastAsia" w:ascii="宋体" w:hAnsi="宋体" w:eastAsia="宋体" w:cs="宋体"/>
          <w:sz w:val="24"/>
          <w:highlight w:val="none"/>
        </w:rPr>
        <w:t>或以上资质。</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注：①资质标准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根据《住房和城乡建设部关于印发建设工程企业资质管理制度改革方案的通知》（建市【2020】94号）的要求，改革后的资质等级与本项目资质等级要求一致的可视为有效。</w:t>
      </w:r>
    </w:p>
    <w:p>
      <w:pPr>
        <w:widowControl w:val="0"/>
        <w:numPr>
          <w:ilvl w:val="0"/>
          <w:numId w:val="1"/>
        </w:numPr>
        <w:adjustRightInd/>
        <w:snapToGrid/>
        <w:spacing w:after="0" w:line="360" w:lineRule="auto"/>
        <w:ind w:left="720"/>
        <w:jc w:val="both"/>
        <w:rPr>
          <w:rFonts w:ascii="宋体" w:hAnsi="宋体" w:eastAsia="宋体" w:cs="宋体"/>
          <w:b/>
          <w:snapToGrid w:val="0"/>
          <w:sz w:val="24"/>
          <w:highlight w:val="none"/>
          <w:shd w:val="clear" w:color="auto" w:fill="FFFFFF"/>
        </w:rPr>
      </w:pPr>
      <w:r>
        <w:rPr>
          <w:rFonts w:hint="eastAsia" w:ascii="宋体" w:hAnsi="宋体" w:eastAsia="宋体" w:cs="宋体"/>
          <w:b/>
          <w:snapToGrid w:val="0"/>
          <w:sz w:val="24"/>
          <w:highlight w:val="none"/>
          <w:shd w:val="clear" w:color="auto" w:fill="FFFFFF"/>
        </w:rPr>
        <w:t>招标公告第3点投标人资格要求3.5条中（4）对施工技术负责人要求现修改为：</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3.5投标人拟担任本工程的主要人员：</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（4）拟担任本工程施工技术负责人（若联合体投标，由牵头方提供）为：市政工程类相关专业</w:t>
      </w:r>
      <w:r>
        <w:rPr>
          <w:rFonts w:hint="eastAsia" w:ascii="宋体" w:hAnsi="宋体" w:eastAsia="宋体" w:cs="宋体"/>
          <w:sz w:val="24"/>
          <w:highlight w:val="none"/>
          <w:u w:val="single"/>
        </w:rPr>
        <w:t>中级</w:t>
      </w:r>
      <w:r>
        <w:rPr>
          <w:rFonts w:hint="eastAsia" w:ascii="宋体" w:hAnsi="宋体" w:eastAsia="宋体" w:cs="宋体"/>
          <w:sz w:val="24"/>
          <w:highlight w:val="none"/>
        </w:rPr>
        <w:t>（或以上）工程师技术职称。</w:t>
      </w:r>
    </w:p>
    <w:p>
      <w:pPr>
        <w:widowControl w:val="0"/>
        <w:numPr>
          <w:ilvl w:val="0"/>
          <w:numId w:val="1"/>
        </w:numPr>
        <w:adjustRightInd/>
        <w:snapToGrid/>
        <w:spacing w:after="0" w:line="360" w:lineRule="auto"/>
        <w:ind w:left="720"/>
        <w:jc w:val="both"/>
        <w:rPr>
          <w:rFonts w:ascii="宋体" w:hAnsi="宋体" w:eastAsia="宋体" w:cs="宋体"/>
          <w:b/>
          <w:snapToGrid w:val="0"/>
          <w:sz w:val="24"/>
          <w:highlight w:val="none"/>
          <w:shd w:val="clear" w:color="auto" w:fill="FFFFFF"/>
        </w:rPr>
      </w:pPr>
      <w:r>
        <w:rPr>
          <w:rFonts w:hint="eastAsia" w:ascii="宋体" w:hAnsi="宋体" w:eastAsia="宋体" w:cs="宋体"/>
          <w:b/>
          <w:snapToGrid w:val="0"/>
          <w:sz w:val="24"/>
          <w:highlight w:val="none"/>
          <w:shd w:val="clear" w:color="auto" w:fill="FFFFFF"/>
        </w:rPr>
        <w:t>招标公告第3点投标人资格要求3.8现修改为：</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3.8允许联合体投标，但只接受最多由</w:t>
      </w:r>
      <w:r>
        <w:rPr>
          <w:rFonts w:hint="eastAsia" w:ascii="宋体" w:hAnsi="宋体" w:eastAsia="宋体" w:cs="宋体"/>
          <w:sz w:val="24"/>
          <w:highlight w:val="none"/>
          <w:u w:val="single"/>
        </w:rPr>
        <w:t>4家</w:t>
      </w:r>
      <w:r>
        <w:rPr>
          <w:rFonts w:hint="eastAsia" w:ascii="宋体" w:hAnsi="宋体" w:eastAsia="宋体" w:cs="宋体"/>
          <w:sz w:val="24"/>
          <w:highlight w:val="none"/>
        </w:rPr>
        <w:t>单位组成的联合体。应以承担施工任务一方的为主办方，并签定联合体</w:t>
      </w:r>
      <w:r>
        <w:rPr>
          <w:rFonts w:hint="eastAsia" w:ascii="宋体" w:hAnsi="宋体" w:eastAsia="宋体" w:cs="宋体"/>
          <w:sz w:val="24"/>
          <w:highlight w:val="none"/>
          <w:u w:val="single"/>
        </w:rPr>
        <w:t>共同投标</w:t>
      </w:r>
      <w:r>
        <w:rPr>
          <w:rFonts w:hint="eastAsia" w:ascii="宋体" w:hAnsi="宋体" w:eastAsia="宋体" w:cs="宋体"/>
          <w:sz w:val="24"/>
          <w:highlight w:val="none"/>
        </w:rPr>
        <w:t>协议。联合体共同投标协议应明确约定各方拟承担的工作和责任。</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注：①参加联合体的各成员不得再以自己的名义单独投标，也不得同时参加两个或两个以上的联合体投标。出现上述情况者，其投标和与此有关的联合体的投标将被拒绝。</w:t>
      </w:r>
    </w:p>
    <w:p>
      <w:pPr>
        <w:widowControl w:val="0"/>
        <w:adjustRightInd/>
        <w:snapToGrid/>
        <w:spacing w:after="0"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②投标人拟任本工程项目负责人（可兼任施工负责人）、设计负责人、施工技术负责人、专职安全员必须是联合体中对应分工成员的正式员工。</w:t>
      </w:r>
    </w:p>
    <w:p>
      <w:pPr>
        <w:widowControl w:val="0"/>
        <w:adjustRightInd/>
        <w:snapToGrid/>
        <w:spacing w:after="0" w:line="360" w:lineRule="auto"/>
        <w:ind w:firstLine="480" w:firstLineChars="200"/>
        <w:jc w:val="both"/>
        <w:rPr>
          <w:rFonts w:ascii="宋体" w:hAnsi="宋体" w:eastAsia="宋体" w:cs="宋体"/>
          <w:sz w:val="24"/>
          <w:highlight w:val="none"/>
          <w:u w:val="single"/>
        </w:rPr>
      </w:pPr>
      <w:r>
        <w:rPr>
          <w:rFonts w:hint="eastAsia" w:ascii="宋体" w:hAnsi="宋体" w:eastAsia="宋体" w:cs="宋体"/>
          <w:sz w:val="24"/>
          <w:highlight w:val="none"/>
        </w:rPr>
        <w:t>③联合体的资格条件按联合体任务分工进行评审（其中施工资质、安全生产许可证、专职安全员、施工负责人、项目负责人、施工技术负责人以承接施工任务的施工单位为准；工程设计资质及设计负责人以承接设计任务的设计单位为准）。</w:t>
      </w:r>
      <w:r>
        <w:rPr>
          <w:rFonts w:hint="eastAsia" w:ascii="宋体" w:hAnsi="宋体" w:eastAsia="宋体" w:cs="宋体"/>
          <w:sz w:val="24"/>
          <w:highlight w:val="none"/>
          <w:u w:val="single"/>
        </w:rPr>
        <w:t>在资格审查及评标环节，具有同一专业资质的单位组成联合体的，按照资质等级较低的单位确定资质等级。</w:t>
      </w:r>
    </w:p>
    <w:p>
      <w:pPr>
        <w:widowControl w:val="0"/>
        <w:numPr>
          <w:ilvl w:val="0"/>
          <w:numId w:val="1"/>
        </w:numPr>
        <w:adjustRightInd/>
        <w:snapToGrid/>
        <w:spacing w:after="0" w:line="360" w:lineRule="auto"/>
        <w:ind w:left="0" w:firstLine="0"/>
        <w:jc w:val="both"/>
        <w:rPr>
          <w:rFonts w:ascii="宋体" w:hAnsi="宋体" w:eastAsia="宋体" w:cs="宋体"/>
          <w:b/>
          <w:snapToGrid w:val="0"/>
          <w:sz w:val="24"/>
          <w:highlight w:val="none"/>
          <w:shd w:val="clear" w:color="auto" w:fill="FFFFFF"/>
        </w:rPr>
      </w:pPr>
      <w:r>
        <w:rPr>
          <w:rFonts w:hint="eastAsia" w:ascii="宋体" w:hAnsi="宋体" w:eastAsia="宋体" w:cs="宋体"/>
          <w:b/>
          <w:snapToGrid w:val="0"/>
          <w:sz w:val="24"/>
          <w:highlight w:val="none"/>
          <w:shd w:val="clear" w:color="auto" w:fill="FFFFFF"/>
        </w:rPr>
        <w:t>招标公告附件二《联合体共同投标协议》格式已修改，修改后的格式详见本补充公告附件一。</w:t>
      </w:r>
    </w:p>
    <w:p>
      <w:pPr>
        <w:widowControl w:val="0"/>
        <w:numPr>
          <w:ilvl w:val="0"/>
          <w:numId w:val="1"/>
        </w:numPr>
        <w:adjustRightInd/>
        <w:snapToGrid/>
        <w:spacing w:after="0" w:line="360" w:lineRule="auto"/>
        <w:ind w:left="720"/>
        <w:jc w:val="both"/>
        <w:rPr>
          <w:rFonts w:ascii="宋体" w:hAnsi="宋体" w:eastAsia="宋体" w:cs="宋体"/>
          <w:b/>
          <w:snapToGrid w:val="0"/>
          <w:sz w:val="24"/>
          <w:highlight w:val="none"/>
          <w:shd w:val="clear" w:color="auto" w:fill="FFFFFF"/>
        </w:rPr>
      </w:pPr>
      <w:r>
        <w:rPr>
          <w:rFonts w:hint="eastAsia" w:ascii="宋体" w:hAnsi="宋体" w:eastAsia="宋体" w:cs="宋体"/>
          <w:b/>
          <w:snapToGrid w:val="0"/>
          <w:sz w:val="24"/>
          <w:highlight w:val="none"/>
          <w:shd w:val="clear" w:color="auto" w:fill="FFFFFF"/>
        </w:rPr>
        <w:t>招标文件第三章评标办法前附表现修改为：</w:t>
      </w:r>
    </w:p>
    <w:tbl>
      <w:tblPr>
        <w:tblStyle w:val="14"/>
        <w:tblW w:w="94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373"/>
        <w:gridCol w:w="1006"/>
        <w:gridCol w:w="1389"/>
        <w:gridCol w:w="6"/>
        <w:gridCol w:w="4794"/>
        <w:gridCol w:w="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2219"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373"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法定代表人证明及授权</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投标文件中有有效的法定代表人证明书，或由委托代理人签字或盖章的投标文件中有法定代表人证明书和授权委托证明书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投标承诺函内容与招标文件规定一致，且按规定加盖投标人电子印章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符合第七章“投标文件格式”的要求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846"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nil"/>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机器特征码一致</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不同投标人的加密打包投标文件电脑机器特征码不一致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restart"/>
            <w:tcBorders>
              <w:top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373" w:type="dxa"/>
            <w:vMerge w:val="restart"/>
            <w:tcBorders>
              <w:top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项目负责人（可兼任施工负责人）</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施工负责人</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设计负责人</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施工技术负责人</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95" w:hRule="atLeast"/>
          <w:jc w:val="center"/>
        </w:trPr>
        <w:tc>
          <w:tcPr>
            <w:tcW w:w="846"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p>
            <w:pPr>
              <w:spacing w:line="440" w:lineRule="exact"/>
              <w:jc w:val="center"/>
              <w:rPr>
                <w:rFonts w:hint="eastAsia" w:ascii="宋体" w:hAnsi="宋体" w:eastAsia="宋体" w:cs="宋体"/>
                <w:color w:val="auto"/>
                <w:sz w:val="21"/>
                <w:szCs w:val="21"/>
                <w:highlight w:val="none"/>
              </w:rPr>
            </w:pPr>
          </w:p>
        </w:tc>
        <w:tc>
          <w:tcPr>
            <w:tcW w:w="137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符合第二章“投标人须知”第3.2.2项规定且不低于企业成本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460" w:hRule="atLeast"/>
          <w:jc w:val="center"/>
        </w:trPr>
        <w:tc>
          <w:tcPr>
            <w:tcW w:w="846"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1095" w:hRule="atLeast"/>
          <w:jc w:val="center"/>
        </w:trPr>
        <w:tc>
          <w:tcPr>
            <w:tcW w:w="846"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1373"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2219"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2219" w:type="dxa"/>
            <w:gridSpan w:val="2"/>
            <w:tcBorders>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tabs>
                <w:tab w:val="left" w:pos="7222"/>
              </w:tabs>
              <w:rPr>
                <w:rFonts w:hint="eastAsia" w:ascii="宋体" w:hAnsi="宋体" w:eastAsia="宋体" w:cs="宋体"/>
                <w:color w:val="auto"/>
                <w:sz w:val="21"/>
                <w:szCs w:val="21"/>
                <w:highlight w:val="none"/>
                <w:u w:val="single"/>
                <w:shd w:val="clear" w:color="auto" w:fill="FFFFFF"/>
                <w:lang w:bidi="ar"/>
              </w:rPr>
            </w:pPr>
            <w:r>
              <w:rPr>
                <w:rFonts w:hint="eastAsia" w:ascii="宋体" w:hAnsi="宋体" w:eastAsia="宋体" w:cs="宋体"/>
                <w:color w:val="auto"/>
                <w:sz w:val="21"/>
                <w:szCs w:val="21"/>
                <w:highlight w:val="none"/>
                <w:shd w:val="clear" w:color="auto" w:fill="FFFFFF"/>
                <w:lang w:bidi="ar"/>
              </w:rPr>
              <w:t>投标人总得分（满分100分）=设计部分得分（满分100分）×权重（30%）+施工部分得分（满分100分）×权重(35%)+投标总报价得分（满分100分）×权重(35%)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90" w:hRule="atLeast"/>
          <w:jc w:val="center"/>
        </w:trPr>
        <w:tc>
          <w:tcPr>
            <w:tcW w:w="2219"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形式评审、资格评审和响应性评审且经算术校核的投标总报价位于[本项目最高投标限价×90%，本项目最高投标限价]区间的投标人大于5家时，去掉一个最高价和一个最低价后，取剩余报价的算术平均值为评标基准价；通过形式评审、资格评审和响应性评审且经算术校核的投标总报价位于[本项目最高投标限价×90%，本项目最高投标限价]区间的投标人少于或等于5家时，直接取区间中的投标总报价的算术平均值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1275" w:hRule="atLeast"/>
          <w:jc w:val="center"/>
        </w:trPr>
        <w:tc>
          <w:tcPr>
            <w:tcW w:w="2219"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4800" w:type="dxa"/>
            <w:gridSpan w:val="2"/>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偏差率=100%×（投标总报价－评标基准价）/评标基准价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615" w:hRule="atLeast"/>
          <w:jc w:val="center"/>
        </w:trPr>
        <w:tc>
          <w:tcPr>
            <w:tcW w:w="2219"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9" w:hRule="atLeast"/>
          <w:jc w:val="center"/>
        </w:trPr>
        <w:tc>
          <w:tcPr>
            <w:tcW w:w="846" w:type="dxa"/>
            <w:vMerge w:val="restart"/>
            <w:tcBorders>
              <w:top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373"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设计部分评分标准（</w:t>
            </w:r>
            <w:r>
              <w:rPr>
                <w:rFonts w:hint="eastAsia" w:ascii="宋体" w:hAnsi="宋体" w:eastAsia="宋体" w:cs="宋体"/>
                <w:color w:val="auto"/>
                <w:sz w:val="21"/>
                <w:szCs w:val="21"/>
                <w:highlight w:val="none"/>
              </w:rPr>
              <w:t>100分</w:t>
            </w:r>
            <w:r>
              <w:rPr>
                <w:rFonts w:hint="eastAsia" w:ascii="宋体" w:hAnsi="宋体" w:eastAsia="宋体" w:cs="宋体"/>
                <w:color w:val="auto"/>
                <w:sz w:val="21"/>
                <w:szCs w:val="21"/>
                <w:highlight w:val="none"/>
                <w:lang w:val="zh-CN"/>
              </w:rPr>
              <w:t>）</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类似业绩（20分）</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投标人自2018年1月1日至投标截止时间止设计对应类似业绩：有类似业绩的，每项得3分，本项最高得20分。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u w:val="single"/>
              </w:rPr>
              <w:t>类似业绩工程是指达到招标公告第3.4.1条所述设计资质方能承接的</w:t>
            </w:r>
            <w:r>
              <w:rPr>
                <w:rFonts w:hint="eastAsia" w:ascii="宋体" w:hAnsi="宋体" w:eastAsia="宋体" w:cs="宋体"/>
                <w:color w:val="auto"/>
                <w:sz w:val="21"/>
                <w:szCs w:val="21"/>
                <w:highlight w:val="none"/>
                <w:u w:val="single"/>
                <w:lang w:val="en-US" w:eastAsia="zh-CN"/>
              </w:rPr>
              <w:t>市政公用工程</w:t>
            </w:r>
            <w:r>
              <w:rPr>
                <w:rFonts w:hint="eastAsia" w:ascii="宋体" w:hAnsi="宋体" w:eastAsia="宋体" w:cs="宋体"/>
                <w:color w:val="auto"/>
                <w:sz w:val="21"/>
                <w:szCs w:val="21"/>
                <w:highlight w:val="none"/>
                <w:u w:val="single"/>
              </w:rPr>
              <w:t>项目业绩或工程总承包业绩(工程总承包业绩</w:t>
            </w:r>
            <w:r>
              <w:rPr>
                <w:rFonts w:hint="eastAsia" w:ascii="宋体" w:hAnsi="宋体" w:eastAsia="宋体" w:cs="宋体"/>
                <w:color w:val="auto"/>
                <w:sz w:val="21"/>
                <w:szCs w:val="21"/>
                <w:highlight w:val="none"/>
              </w:rPr>
              <w:t>包含以下任一种:勘察设计施工总承包、设计施工总承包、EPC+0、EPC等)。业绩认定时间以合同签订时间为准。同时提供中标通知书（或项目审批部门出具的免招标的相关证明）、合同关键页、施工图审查合格证并加盖单位公章，不提供或资料不齐全者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7089"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p>
        </w:tc>
        <w:tc>
          <w:tcPr>
            <w:tcW w:w="2395"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企业获奖</w:t>
            </w:r>
            <w:r>
              <w:rPr>
                <w:rFonts w:hint="eastAsia" w:ascii="宋体" w:hAnsi="宋体" w:eastAsia="宋体" w:cs="宋体"/>
                <w:color w:val="auto"/>
                <w:sz w:val="21"/>
                <w:szCs w:val="21"/>
                <w:highlight w:val="none"/>
              </w:rPr>
              <w:t>（30分）</w:t>
            </w:r>
          </w:p>
        </w:tc>
        <w:tc>
          <w:tcPr>
            <w:tcW w:w="4800" w:type="dxa"/>
            <w:gridSpan w:val="2"/>
            <w:tcBorders>
              <w:top w:val="single" w:color="auto" w:sz="4" w:space="0"/>
              <w:left w:val="single" w:color="auto" w:sz="4" w:space="0"/>
              <w:right w:val="single" w:color="auto" w:sz="4" w:space="0"/>
            </w:tcBorders>
            <w:vAlign w:val="center"/>
          </w:tcPr>
          <w:p>
            <w:pP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投</w:t>
            </w:r>
            <w:r>
              <w:rPr>
                <w:rFonts w:hint="eastAsia" w:ascii="宋体" w:hAnsi="宋体" w:eastAsia="宋体" w:cs="宋体"/>
                <w:b/>
                <w:bCs/>
                <w:color w:val="auto"/>
                <w:sz w:val="21"/>
                <w:szCs w:val="21"/>
                <w:highlight w:val="none"/>
              </w:rPr>
              <w:t>标人承接的类似设计业绩自2018年1月1日至今：</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（1）获国家级奖项每项得6分；</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（2）获行业级奖项，每项得4分；</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（3）获省（部）级奖项，每项得3分；</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（4）获市（副省级）奖项，每项得2分。</w:t>
            </w:r>
          </w:p>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以上奖项合计最多得30分。</w:t>
            </w:r>
          </w:p>
          <w:p>
            <w:pPr>
              <w:pStyle w:val="3"/>
              <w:rPr>
                <w:rFonts w:hint="eastAsia" w:ascii="宋体" w:hAnsi="宋体" w:eastAsia="宋体" w:cs="宋体"/>
                <w:color w:val="auto"/>
                <w:szCs w:val="21"/>
                <w:highlight w:val="none"/>
              </w:rPr>
            </w:pPr>
            <w:r>
              <w:rPr>
                <w:rFonts w:hint="eastAsia"/>
                <w:color w:val="auto"/>
                <w:highlight w:val="none"/>
              </w:rPr>
              <w:t>注</w:t>
            </w:r>
            <w:r>
              <w:rPr>
                <w:rFonts w:hint="eastAsia"/>
                <w:color w:val="auto"/>
                <w:highlight w:val="none"/>
                <w:u w:val="single"/>
              </w:rPr>
              <w:t>：①注：类似业绩工程是指达到招标公告第3.4.1条所述设计资质方能承接的</w:t>
            </w:r>
            <w:r>
              <w:rPr>
                <w:rFonts w:hint="eastAsia"/>
                <w:color w:val="auto"/>
                <w:highlight w:val="none"/>
                <w:u w:val="single"/>
                <w:lang w:val="en-US" w:eastAsia="zh-CN"/>
              </w:rPr>
              <w:t>市政公用</w:t>
            </w:r>
            <w:r>
              <w:rPr>
                <w:rFonts w:hint="eastAsia"/>
                <w:color w:val="auto"/>
                <w:highlight w:val="none"/>
                <w:u w:val="single"/>
              </w:rPr>
              <w:t>工程设计项目业绩或工程总承包业绩(工程总承包业绩包含以下任一种:勘察设计施工总承包、设计施工总承包、EPC+0、EPC等) ②获奖奖项是由住建部颁发的全国优秀工程勘察设计奖、中国勘察设计协会颁发的全国优秀工程勘察设计行业奖</w:t>
            </w:r>
            <w:r>
              <w:rPr>
                <w:rFonts w:hint="eastAsia"/>
                <w:color w:val="auto"/>
                <w:highlight w:val="none"/>
                <w:u w:val="single"/>
                <w:lang w:val="en-US" w:eastAsia="zh-CN"/>
              </w:rPr>
              <w:t>等</w:t>
            </w:r>
            <w:r>
              <w:rPr>
                <w:rFonts w:hint="eastAsia"/>
                <w:color w:val="auto"/>
                <w:highlight w:val="none"/>
                <w:u w:val="single"/>
              </w:rPr>
              <w:t>、省级建设行政主管部门或省级（含副省级）工程勘察设计行业协会颁发的省级（含副省级）优秀勘察设计奖</w:t>
            </w:r>
            <w:r>
              <w:rPr>
                <w:rFonts w:hint="eastAsia"/>
                <w:color w:val="auto"/>
                <w:highlight w:val="none"/>
                <w:u w:val="single"/>
                <w:lang w:val="en-US" w:eastAsia="zh-CN"/>
              </w:rPr>
              <w:t>等</w:t>
            </w:r>
            <w:r>
              <w:rPr>
                <w:rFonts w:hint="eastAsia"/>
                <w:color w:val="auto"/>
                <w:highlight w:val="none"/>
                <w:u w:val="single"/>
              </w:rPr>
              <w:t>、市级建设行政主管部门或市级工程勘察设计行业协会颁发的市级优秀勘察设计奖</w:t>
            </w:r>
            <w:r>
              <w:rPr>
                <w:rFonts w:hint="eastAsia"/>
                <w:color w:val="auto"/>
                <w:highlight w:val="none"/>
                <w:u w:val="single"/>
                <w:lang w:val="en-US" w:eastAsia="zh-CN"/>
              </w:rPr>
              <w:t>等</w:t>
            </w:r>
            <w:r>
              <w:rPr>
                <w:rFonts w:hint="eastAsia"/>
                <w:color w:val="auto"/>
                <w:highlight w:val="none"/>
                <w:u w:val="single"/>
              </w:rPr>
              <w:t>；国家级（国家科学技术奖、全国优秀工程勘察设计奖）分值＞行业级（全国优秀工程勘察设计行业奖）分值＞省级（省科学技术奖、省（含副省级）优秀工程勘察设计奖）分值＞市级（市科学技术奖、市工程勘察设计奖）分值，各级奖项的一等（金）奖、二等（银）奖、三等（铜）奖具体分值不再细分。③企业业绩获奖的按最高奖项只计算一次，不重复计算。④须提供获奖证书（或获奖文件）并加盖单位公章，不提供者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733"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第三方评价（</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u w:val="single"/>
                <w:lang w:val="zh-CN"/>
              </w:rPr>
              <w:t>分</w:t>
            </w:r>
            <w:r>
              <w:rPr>
                <w:rFonts w:hint="eastAsia" w:ascii="宋体" w:hAnsi="宋体" w:eastAsia="宋体" w:cs="宋体"/>
                <w:color w:val="auto"/>
                <w:sz w:val="21"/>
                <w:szCs w:val="21"/>
                <w:highlight w:val="none"/>
                <w:lang w:val="zh-CN"/>
              </w:rPr>
              <w:t>）</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kern w:val="0"/>
                <w:sz w:val="21"/>
                <w:szCs w:val="21"/>
                <w:highlight w:val="none"/>
                <w:u w:val="single"/>
              </w:rPr>
              <w:t>投标人</w:t>
            </w:r>
            <w:r>
              <w:rPr>
                <w:rFonts w:hint="eastAsia" w:ascii="宋体" w:hAnsi="宋体" w:eastAsia="宋体" w:cs="宋体"/>
                <w:b/>
                <w:bCs/>
                <w:color w:val="auto"/>
                <w:sz w:val="21"/>
                <w:szCs w:val="21"/>
                <w:highlight w:val="none"/>
                <w:u w:val="single"/>
              </w:rPr>
              <w:t>获得过省级或以上市政行业协会颁发在有效期内的（勘察设计）信用等级评价</w:t>
            </w:r>
            <w:r>
              <w:rPr>
                <w:rFonts w:hint="eastAsia" w:ascii="宋体" w:hAnsi="宋体" w:eastAsia="宋体" w:cs="宋体"/>
                <w:b/>
                <w:bCs/>
                <w:color w:val="auto"/>
                <w:sz w:val="21"/>
                <w:szCs w:val="21"/>
                <w:highlight w:val="none"/>
                <w:u w:val="single"/>
                <w:lang w:eastAsia="zh-CN"/>
              </w:rPr>
              <w:t>：</w:t>
            </w:r>
          </w:p>
          <w:p>
            <w:pPr>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u w:val="single"/>
              </w:rPr>
              <w:t>获得“AAA”级及以上得</w:t>
            </w:r>
            <w:r>
              <w:rPr>
                <w:rFonts w:hint="eastAsia" w:ascii="宋体" w:hAnsi="宋体" w:eastAsia="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rPr>
              <w:t>分；获得“AAA”级以下得</w:t>
            </w:r>
            <w:r>
              <w:rPr>
                <w:rFonts w:hint="eastAsia" w:ascii="宋体" w:hAnsi="宋体" w:eastAsia="宋体" w:cs="宋体"/>
                <w:b w:val="0"/>
                <w:bCs w:val="0"/>
                <w:color w:val="auto"/>
                <w:sz w:val="21"/>
                <w:szCs w:val="21"/>
                <w:highlight w:val="none"/>
                <w:u w:val="single"/>
                <w:lang w:val="en-US" w:eastAsia="zh-CN"/>
              </w:rPr>
              <w:t>2</w:t>
            </w:r>
            <w:r>
              <w:rPr>
                <w:rFonts w:hint="eastAsia" w:ascii="宋体" w:hAnsi="宋体" w:eastAsia="宋体" w:cs="宋体"/>
                <w:b w:val="0"/>
                <w:bCs w:val="0"/>
                <w:color w:val="auto"/>
                <w:sz w:val="21"/>
                <w:szCs w:val="21"/>
                <w:highlight w:val="none"/>
                <w:u w:val="single"/>
              </w:rPr>
              <w:t>分；不提供不得分。本小项最高得</w:t>
            </w:r>
            <w:r>
              <w:rPr>
                <w:rFonts w:hint="eastAsia" w:ascii="宋体" w:hAnsi="宋体" w:eastAsia="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rPr>
              <w:t>分</w:t>
            </w:r>
            <w:r>
              <w:rPr>
                <w:rFonts w:hint="eastAsia" w:ascii="宋体" w:hAnsi="宋体" w:eastAsia="宋体" w:cs="宋体"/>
                <w:b w:val="0"/>
                <w:bCs w:val="0"/>
                <w:color w:val="auto"/>
                <w:sz w:val="21"/>
                <w:szCs w:val="21"/>
                <w:highlight w:val="none"/>
                <w:u w:val="single"/>
                <w:lang w:eastAsia="zh-CN"/>
              </w:rPr>
              <w:t>。</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2.投标人企业相关证书：</w:t>
            </w: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（1）获得质量管理体系认证的得2.5分；</w:t>
            </w: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（2）获得环境管理体系认证得2.5分；</w:t>
            </w: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（3）获得职业健康安全管理体系认证得2.5分；</w:t>
            </w:r>
          </w:p>
          <w:p>
            <w:pPr>
              <w:pStyle w:val="2"/>
              <w:rPr>
                <w:rFonts w:hint="eastAsia" w:ascii="宋体" w:hAnsi="宋体" w:eastAsia="宋体" w:cs="宋体"/>
                <w:highlight w:val="none"/>
                <w:u w:val="single"/>
                <w:lang w:eastAsia="zh-CN"/>
              </w:rPr>
            </w:pPr>
            <w:r>
              <w:rPr>
                <w:rFonts w:hint="eastAsia" w:ascii="宋体" w:hAnsi="宋体" w:eastAsia="宋体" w:cs="宋体"/>
                <w:highlight w:val="none"/>
                <w:u w:val="single"/>
                <w:lang w:val="en-US" w:eastAsia="zh-CN"/>
              </w:rPr>
              <w:t>无或未提供不得分，</w:t>
            </w:r>
            <w:r>
              <w:rPr>
                <w:rFonts w:hint="eastAsia" w:ascii="宋体" w:hAnsi="宋体" w:eastAsia="宋体" w:cs="宋体"/>
                <w:highlight w:val="none"/>
                <w:u w:val="single"/>
              </w:rPr>
              <w:t>以上合计最多得</w:t>
            </w:r>
            <w:r>
              <w:rPr>
                <w:rFonts w:hint="eastAsia" w:ascii="宋体" w:hAnsi="宋体" w:eastAsia="宋体" w:cs="宋体"/>
                <w:highlight w:val="none"/>
                <w:u w:val="single"/>
                <w:lang w:val="en-US" w:eastAsia="zh-CN"/>
              </w:rPr>
              <w:t>7.5</w:t>
            </w:r>
            <w:r>
              <w:rPr>
                <w:rFonts w:hint="eastAsia" w:ascii="宋体" w:hAnsi="宋体" w:eastAsia="宋体" w:cs="宋体"/>
                <w:highlight w:val="none"/>
                <w:u w:val="single"/>
              </w:rPr>
              <w:t>分</w:t>
            </w:r>
            <w:r>
              <w:rPr>
                <w:rFonts w:hint="eastAsia" w:ascii="宋体" w:hAnsi="宋体" w:eastAsia="宋体" w:cs="宋体"/>
                <w:highlight w:val="none"/>
                <w:u w:val="single"/>
                <w:lang w:eastAsia="zh-CN"/>
              </w:rPr>
              <w:t>。</w:t>
            </w:r>
          </w:p>
          <w:p>
            <w:pPr>
              <w:spacing w:after="0"/>
              <w:rPr>
                <w:rFonts w:hint="eastAsia" w:ascii="宋体" w:hAnsi="宋体" w:eastAsia="宋体" w:cs="宋体"/>
                <w:b/>
                <w:bCs/>
                <w:color w:val="auto"/>
                <w:sz w:val="21"/>
                <w:szCs w:val="21"/>
                <w:highlight w:val="none"/>
                <w:lang w:val="en-US" w:eastAsia="zh-CN"/>
              </w:rPr>
            </w:pPr>
          </w:p>
          <w:p>
            <w:pPr>
              <w:spacing w:after="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.投标人获得高新企业证书得2.5分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无或未提供不得分</w:t>
            </w:r>
            <w:r>
              <w:rPr>
                <w:rFonts w:hint="eastAsia" w:ascii="宋体" w:hAnsi="宋体" w:eastAsia="宋体" w:cs="宋体"/>
                <w:b/>
                <w:bCs/>
                <w:color w:val="auto"/>
                <w:sz w:val="21"/>
                <w:szCs w:val="21"/>
                <w:highlight w:val="none"/>
                <w:lang w:eastAsia="zh-CN"/>
              </w:rPr>
              <w:t>。</w:t>
            </w: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最多得</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pPr>
              <w:spacing w:after="0"/>
              <w:rPr>
                <w:rFonts w:hint="eastAsia" w:ascii="宋体" w:hAnsi="宋体" w:eastAsia="宋体" w:cs="宋体"/>
                <w:color w:val="auto"/>
                <w:sz w:val="21"/>
                <w:szCs w:val="21"/>
                <w:highlight w:val="none"/>
              </w:rPr>
            </w:pP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注：认证证书应在有效期内，否则不计分。应提供证书原件扫描件，加盖单位公章。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533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p>
        </w:tc>
        <w:tc>
          <w:tcPr>
            <w:tcW w:w="2395"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shd w:val="clear" w:color="auto" w:fill="FFFFFF"/>
              </w:rPr>
              <w:t>人员配备及技术水平</w:t>
            </w:r>
            <w:r>
              <w:rPr>
                <w:rFonts w:hint="eastAsia" w:ascii="宋体" w:hAnsi="宋体" w:eastAsia="宋体" w:cs="宋体"/>
                <w:color w:val="auto"/>
                <w:sz w:val="21"/>
                <w:szCs w:val="21"/>
                <w:highlight w:val="none"/>
              </w:rPr>
              <w:t>（30分）</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1.设计负责人设计经历及业务能力：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设计经历在15年（含15年）以上得5分，其他不得分。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本项最高得5分。设计经历年限从毕业证书的核发时间[大学专科(或以上)学历]起计。</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（2）自2018年1月1日至今设计的类似业绩获国家级奖项每项得5分；获行业级奖项，每项得4分；获省（部）级奖项的，每项得3分；获市（副省级）奖项，每项得2分。本小项最多得12分。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（3）自2018年1月1日至今主持过类似业绩每项得1分。本小项最多得2分。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以上合计最多得16分。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设计负责人职称证书、毕业证书、获奖证书（或获奖文件）、须同时提供投标截止时间最近1个月（2023年8月份）在本单位交纳的社保证明（已退休人员提供退休证明及返聘证明材料）原件扫描件，加盖单位公章，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p>
        </w:tc>
        <w:tc>
          <w:tcPr>
            <w:tcW w:w="2395"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shd w:val="clear" w:color="auto" w:fill="FFFFFF"/>
              </w:rPr>
            </w:pP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2.各专业负责人设计经历及业务能力：</w:t>
            </w:r>
          </w:p>
          <w:p>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配置道路、给排水、电气、造价专业各一位专业负责人，且每个专业负责人具有高级工程师职称的加1分，全部满足得4分，缺少一名满足上述条件的得2分，缺少二名或以上满足上述条件的不得分。本小项最多得4分。</w:t>
            </w:r>
          </w:p>
          <w:p>
            <w:pPr>
              <w:pStyle w:val="2"/>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配置道路、给排水、电气、造价专业各一位专业负责人，且每个专业负责人具有对应注册执业证书的加1分，全部满足得4分，缺少一名满足上述条件的得2分，缺少二名或以上满足上述条件的不得分。本小项最多得4分。</w:t>
            </w:r>
          </w:p>
          <w:p>
            <w:pPr>
              <w:pStyle w:val="2"/>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（3）上述四个专业负责人在自2018年1月1日至今，每1名参与设计的市政</w:t>
            </w:r>
            <w:r>
              <w:rPr>
                <w:rFonts w:hint="eastAsia" w:ascii="宋体" w:hAnsi="宋体" w:eastAsia="宋体" w:cs="宋体"/>
                <w:color w:val="auto"/>
                <w:szCs w:val="21"/>
                <w:highlight w:val="none"/>
                <w:lang w:val="en-US" w:eastAsia="zh-CN"/>
              </w:rPr>
              <w:t>公用</w:t>
            </w:r>
            <w:r>
              <w:rPr>
                <w:rFonts w:hint="eastAsia" w:ascii="宋体" w:hAnsi="宋体" w:eastAsia="宋体" w:cs="宋体"/>
                <w:color w:val="auto"/>
                <w:szCs w:val="21"/>
                <w:highlight w:val="none"/>
              </w:rPr>
              <w:t>工程项目获得省级（或以上）奖项的，每项得2分；获得地市级（含副省级）奖项，每项得1分。本小项最高得6分。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以上合计最多得14分。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各专业负责人的职称证书、注册证书、获奖证书（或获奖文件）等证明材料原件扫描件，同时提供投标截止时间最近1个月（2023年8月份）在本单位交纳的社保证明文件（已退休人员提供退休证明及返聘证明材料），加盖单位公章，不提供不得分。各专业负责人对应的注册执业证书为：道路专业为注册土木工程师（道路）执业证书、给排水专业为注册公用设备工程师（给水排水）执业证书、电气专业为注册电气工程师（供配电）执业证书、造价专业为具有住建行政主管部门颁发的注册造价工程师执业证书（或一级造价工程师注册证(土木建筑工程专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 w:type="dxa"/>
          <w:trHeight w:val="350" w:hRule="atLeast"/>
          <w:jc w:val="center"/>
        </w:trPr>
        <w:tc>
          <w:tcPr>
            <w:tcW w:w="846" w:type="dxa"/>
            <w:vMerge w:val="continue"/>
            <w:tcBorders>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val="zh-CN"/>
              </w:rPr>
            </w:pP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bidi="ar"/>
              </w:rPr>
              <w:t>服务及措施（5分）</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有针对本项目所制定的设计进度安排、质量保证措施、协助业主确保工程质量、控制工程规模、降低工程造价、减少设计变更等措施得5分，无得0分。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846" w:type="dxa"/>
            <w:vMerge w:val="restart"/>
            <w:tcBorders>
              <w:top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373"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施工部分评分标准（100</w:t>
            </w:r>
            <w:r>
              <w:rPr>
                <w:rFonts w:hint="eastAsia" w:ascii="宋体" w:hAnsi="宋体" w:eastAsia="宋体" w:cs="宋体"/>
                <w:color w:val="auto"/>
                <w:sz w:val="21"/>
                <w:szCs w:val="21"/>
                <w:highlight w:val="none"/>
                <w:lang w:val="en-GB"/>
              </w:rPr>
              <w:t>分</w:t>
            </w:r>
            <w:r>
              <w:rPr>
                <w:rFonts w:hint="eastAsia" w:ascii="宋体" w:hAnsi="宋体" w:eastAsia="宋体" w:cs="宋体"/>
                <w:color w:val="auto"/>
                <w:sz w:val="21"/>
                <w:szCs w:val="21"/>
                <w:highlight w:val="none"/>
              </w:rPr>
              <w:t>）</w:t>
            </w: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投标人</w:t>
            </w:r>
            <w:r>
              <w:rPr>
                <w:rFonts w:hint="eastAsia" w:ascii="宋体" w:hAnsi="宋体" w:eastAsia="宋体" w:cs="宋体"/>
                <w:b/>
                <w:bCs/>
                <w:color w:val="auto"/>
                <w:sz w:val="21"/>
                <w:szCs w:val="21"/>
                <w:highlight w:val="none"/>
              </w:rPr>
              <w:t>自2018年1月1日至今完成过类似工程业绩，每项得1分，本项最高得</w:t>
            </w: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分。</w:t>
            </w:r>
          </w:p>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类似业绩工程是指中标金额大于或等于1800万元的市政公用工程施工总承包业绩或</w:t>
            </w:r>
            <w:r>
              <w:rPr>
                <w:rFonts w:hint="eastAsia" w:ascii="宋体" w:hAnsi="宋体" w:eastAsia="宋体" w:cs="宋体"/>
                <w:color w:val="auto"/>
                <w:sz w:val="21"/>
                <w:szCs w:val="21"/>
                <w:highlight w:val="none"/>
                <w:u w:val="single"/>
              </w:rPr>
              <w:t>工程总承包业绩(工程总承包业绩</w:t>
            </w:r>
            <w:r>
              <w:rPr>
                <w:rFonts w:hint="eastAsia" w:ascii="宋体" w:hAnsi="宋体" w:eastAsia="宋体" w:cs="宋体"/>
                <w:color w:val="auto"/>
                <w:sz w:val="21"/>
                <w:szCs w:val="21"/>
                <w:highlight w:val="none"/>
              </w:rPr>
              <w:t>包含以下任一种:勘察设计施工总承包、设计施工总承包、EPC+0、EPC等)。须同时提供中标通知书（或免招标证明）和</w:t>
            </w:r>
            <w:r>
              <w:rPr>
                <w:rFonts w:hint="eastAsia" w:ascii="宋体" w:hAnsi="宋体" w:eastAsia="宋体" w:cs="宋体"/>
                <w:color w:val="auto"/>
                <w:sz w:val="21"/>
                <w:szCs w:val="21"/>
                <w:highlight w:val="none"/>
                <w:lang w:val="zh-CN"/>
              </w:rPr>
              <w:t>施工</w:t>
            </w:r>
            <w:r>
              <w:rPr>
                <w:rFonts w:hint="eastAsia" w:ascii="宋体" w:hAnsi="宋体" w:eastAsia="宋体" w:cs="宋体"/>
                <w:color w:val="auto"/>
                <w:sz w:val="21"/>
                <w:szCs w:val="21"/>
                <w:highlight w:val="none"/>
              </w:rPr>
              <w:t>合同、竣工验收证明文件(验收文件至少具有建设单位、设计、施工和监理单位盖章)。完成时间以竣工验收证明材料为准。业绩金额以业绩中标通知书为准，若中标通知书没有显示中标金额或免招标的，以施工合同(不含补充合同)为准，未提供或不满足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企业获奖（12分）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投标人</w:t>
            </w:r>
            <w:r>
              <w:rPr>
                <w:rFonts w:hint="eastAsia" w:ascii="宋体" w:hAnsi="宋体" w:eastAsia="宋体" w:cs="宋体"/>
                <w:b/>
                <w:bCs/>
                <w:color w:val="auto"/>
                <w:sz w:val="21"/>
                <w:szCs w:val="21"/>
                <w:highlight w:val="none"/>
              </w:rPr>
              <w:t>承接的类似工程自2018年1月1日至今：</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（1）获得过国家级质量奖项的，每项得1.5分；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（2）获得过省级质量奖项的，每项得0.7分；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（3）获得过市级质量奖项的，每项得0.3分。</w:t>
            </w:r>
          </w:p>
          <w:p>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本项最高得12分。</w:t>
            </w:r>
          </w:p>
          <w:p>
            <w:pP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color w:val="auto"/>
                <w:sz w:val="21"/>
                <w:szCs w:val="21"/>
                <w:highlight w:val="none"/>
              </w:rPr>
              <w:t>工程获奖：国家级质量奖项指鲁班奖、国家优质工程金质奖、国家优质工程奖、土木工程詹天佑奖等。省级和市级质量奖项指省级优质工程奖等质量奖等。同一项目获得多个级别奖项的，按所满足的最高等级计分一次。投标人须提供相关获奖证书或获奖文件扫描件。获奖时间以证书中载明的发证时间或获奖文件颁发时间为准。如颁奖单位为协会的，还须提供该协会在“中国社会组织政务服务平台”有登记的网页查询截图（网址：https://chinanpo.mca.gov.cn/），证明其有登记备案，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企业工程研发能力   （</w:t>
            </w:r>
            <w:r>
              <w:rPr>
                <w:rFonts w:hint="eastAsia" w:ascii="宋体" w:hAnsi="宋体" w:eastAsia="宋体" w:cs="宋体"/>
                <w:color w:val="auto"/>
                <w:sz w:val="21"/>
                <w:szCs w:val="21"/>
                <w:highlight w:val="none"/>
                <w:u w:val="single"/>
              </w:rPr>
              <w:t>18分</w:t>
            </w:r>
            <w:r>
              <w:rPr>
                <w:rFonts w:hint="eastAsia" w:ascii="宋体" w:hAnsi="宋体" w:eastAsia="宋体" w:cs="宋体"/>
                <w:color w:val="auto"/>
                <w:sz w:val="21"/>
                <w:szCs w:val="21"/>
                <w:highlight w:val="none"/>
              </w:rPr>
              <w:t>）</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pStyle w:val="34"/>
              <w:ind w:firstLine="0" w:firstLineChars="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投标人自201</w:t>
            </w: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zh-CN"/>
              </w:rPr>
              <w:t>年1月1日至投标截止时间止，</w:t>
            </w:r>
            <w:r>
              <w:rPr>
                <w:rFonts w:hint="eastAsia" w:ascii="宋体" w:hAnsi="宋体" w:eastAsia="宋体" w:cs="宋体"/>
                <w:b/>
                <w:color w:val="auto"/>
                <w:sz w:val="21"/>
                <w:szCs w:val="21"/>
                <w:highlight w:val="none"/>
              </w:rPr>
              <w:t>承接过的</w:t>
            </w:r>
            <w:r>
              <w:rPr>
                <w:rFonts w:hint="eastAsia" w:ascii="宋体" w:hAnsi="宋体" w:eastAsia="宋体" w:cs="宋体"/>
                <w:b/>
                <w:color w:val="auto"/>
                <w:sz w:val="21"/>
                <w:szCs w:val="21"/>
                <w:highlight w:val="none"/>
                <w:lang w:val="zh-CN"/>
              </w:rPr>
              <w:t>市政公用</w:t>
            </w:r>
            <w:r>
              <w:rPr>
                <w:rFonts w:hint="eastAsia" w:ascii="宋体" w:hAnsi="宋体" w:eastAsia="宋体" w:cs="宋体"/>
                <w:b/>
                <w:color w:val="auto"/>
                <w:sz w:val="21"/>
                <w:szCs w:val="21"/>
                <w:highlight w:val="none"/>
              </w:rPr>
              <w:t>工</w:t>
            </w:r>
            <w:r>
              <w:rPr>
                <w:rFonts w:hint="eastAsia" w:ascii="宋体" w:hAnsi="宋体" w:eastAsia="宋体" w:cs="宋体"/>
                <w:b/>
                <w:color w:val="auto"/>
                <w:sz w:val="21"/>
                <w:szCs w:val="21"/>
                <w:highlight w:val="none"/>
                <w:lang w:val="zh-CN"/>
              </w:rPr>
              <w:t>程</w:t>
            </w:r>
            <w:r>
              <w:rPr>
                <w:rFonts w:hint="eastAsia" w:ascii="宋体" w:hAnsi="宋体" w:eastAsia="宋体" w:cs="宋体"/>
                <w:b/>
                <w:color w:val="auto"/>
                <w:sz w:val="21"/>
                <w:szCs w:val="21"/>
                <w:highlight w:val="none"/>
              </w:rPr>
              <w:t>类项目</w:t>
            </w:r>
            <w:r>
              <w:rPr>
                <w:rFonts w:hint="eastAsia" w:ascii="宋体" w:hAnsi="宋体" w:eastAsia="宋体" w:cs="宋体"/>
                <w:b/>
                <w:color w:val="auto"/>
                <w:sz w:val="21"/>
                <w:szCs w:val="21"/>
                <w:highlight w:val="none"/>
                <w:lang w:val="zh-CN"/>
              </w:rPr>
              <w:t>获得过</w:t>
            </w:r>
            <w:r>
              <w:rPr>
                <w:rFonts w:hint="eastAsia" w:ascii="宋体" w:hAnsi="宋体" w:eastAsia="宋体" w:cs="宋体"/>
                <w:b/>
                <w:color w:val="auto"/>
                <w:sz w:val="21"/>
                <w:szCs w:val="21"/>
                <w:highlight w:val="none"/>
              </w:rPr>
              <w:t>土木类工</w:t>
            </w:r>
            <w:r>
              <w:rPr>
                <w:rFonts w:hint="eastAsia" w:ascii="宋体" w:hAnsi="宋体" w:eastAsia="宋体" w:cs="宋体"/>
                <w:b/>
                <w:color w:val="auto"/>
                <w:sz w:val="21"/>
                <w:szCs w:val="21"/>
                <w:highlight w:val="none"/>
                <w:lang w:val="zh-CN"/>
              </w:rPr>
              <w:t>法奖项：</w:t>
            </w:r>
          </w:p>
          <w:p>
            <w:pPr>
              <w:pStyle w:val="34"/>
              <w:ind w:firstLine="0" w:firstLineChars="0"/>
              <w:rPr>
                <w:rFonts w:hint="eastAsia" w:ascii="宋体" w:hAnsi="宋体" w:eastAsia="宋体" w:cs="宋体"/>
                <w:bCs/>
                <w:color w:val="auto"/>
                <w:sz w:val="21"/>
                <w:szCs w:val="21"/>
                <w:highlight w:val="none"/>
                <w:u w:val="single"/>
                <w:lang w:val="zh-CN"/>
              </w:rPr>
            </w:pPr>
            <w:r>
              <w:rPr>
                <w:rFonts w:hint="eastAsia" w:ascii="宋体" w:hAnsi="宋体" w:eastAsia="宋体" w:cs="宋体"/>
                <w:bCs/>
                <w:color w:val="auto"/>
                <w:sz w:val="21"/>
                <w:szCs w:val="21"/>
                <w:highlight w:val="none"/>
                <w:u w:val="single"/>
              </w:rPr>
              <w:t>每</w:t>
            </w:r>
            <w:r>
              <w:rPr>
                <w:rFonts w:hint="eastAsia" w:ascii="宋体" w:hAnsi="宋体" w:eastAsia="宋体" w:cs="宋体"/>
                <w:bCs/>
                <w:color w:val="auto"/>
                <w:sz w:val="21"/>
                <w:szCs w:val="21"/>
                <w:highlight w:val="none"/>
                <w:u w:val="single"/>
                <w:lang w:val="zh-CN"/>
              </w:rPr>
              <w:t>获得</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zh-CN"/>
              </w:rPr>
              <w:t>项，得</w:t>
            </w:r>
            <w:r>
              <w:rPr>
                <w:rFonts w:hint="eastAsia" w:ascii="宋体" w:hAnsi="宋体" w:eastAsia="宋体" w:cs="宋体"/>
                <w:bCs/>
                <w:color w:val="auto"/>
                <w:sz w:val="21"/>
                <w:szCs w:val="21"/>
                <w:highlight w:val="none"/>
                <w:u w:val="single"/>
              </w:rPr>
              <w:t>0.9</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zh-CN"/>
              </w:rPr>
              <w:t>不提供或不满足上述情况的，不得分。</w:t>
            </w:r>
            <w:r>
              <w:rPr>
                <w:rFonts w:hint="eastAsia" w:ascii="宋体" w:hAnsi="宋体" w:eastAsia="宋体" w:cs="宋体"/>
                <w:bCs/>
                <w:color w:val="auto"/>
                <w:sz w:val="21"/>
                <w:szCs w:val="21"/>
                <w:highlight w:val="none"/>
                <w:u w:val="single"/>
              </w:rPr>
              <w:t>本项最高得18分。</w:t>
            </w:r>
          </w:p>
          <w:p>
            <w:pPr>
              <w:pStyle w:val="34"/>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省级或以上工法奖，需提供经建设行政主管部门认定的获奖证书原件扫描件。证书上应可反映其为市政类工法，若无法反映，需提供建设职能部门（或其主管的行业协会）出具的科学技术成果鉴定证书扫描件，并且在科学技术成果鉴定证书中需能反映该工法的研究背景项目为市政类项目，无法证明该工法为市政类项目获得的工法不得分。相同工法按最高级别奖项只计一次得分。获奖时间以发证时间为准。如颁奖单位为协会的，还须提供该协会在“中国社会组织政务服务平台”有登记的网页查询截图（网址：https://chinanpo.mca.gov.cn/），证明其有登记备案，否则不得分。不符合上述条件的奖项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pStyle w:val="28"/>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投标人至今获得过国家税务总局“A级纳税人”称号</w:t>
            </w:r>
            <w:r>
              <w:rPr>
                <w:rFonts w:hint="eastAsia" w:ascii="宋体" w:hAnsi="宋体" w:eastAsia="宋体" w:cs="宋体"/>
                <w:color w:val="auto"/>
                <w:szCs w:val="21"/>
                <w:highlight w:val="none"/>
              </w:rPr>
              <w:t>的：</w:t>
            </w:r>
          </w:p>
          <w:p>
            <w:pPr>
              <w:pStyle w:val="28"/>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u w:val="single"/>
                <w:lang w:val="en-US" w:eastAsia="zh-CN"/>
              </w:rPr>
              <w:t>近五年均</w:t>
            </w:r>
            <w:r>
              <w:rPr>
                <w:rFonts w:hint="eastAsia" w:ascii="宋体" w:hAnsi="宋体" w:eastAsia="宋体" w:cs="宋体"/>
                <w:b w:val="0"/>
                <w:bCs/>
                <w:color w:val="auto"/>
                <w:szCs w:val="21"/>
                <w:highlight w:val="none"/>
              </w:rPr>
              <w:t>被评为“纳税信用A级”称号的，得10分；</w:t>
            </w:r>
          </w:p>
          <w:p>
            <w:pPr>
              <w:pStyle w:val="28"/>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b w:val="0"/>
                <w:bCs/>
                <w:color w:val="auto"/>
                <w:szCs w:val="21"/>
                <w:highlight w:val="none"/>
                <w:u w:val="single"/>
                <w:lang w:val="en-US" w:eastAsia="zh-CN"/>
              </w:rPr>
              <w:t>近四年均</w:t>
            </w:r>
            <w:r>
              <w:rPr>
                <w:rFonts w:hint="eastAsia" w:ascii="宋体" w:hAnsi="宋体" w:eastAsia="宋体" w:cs="宋体"/>
                <w:b w:val="0"/>
                <w:bCs/>
                <w:color w:val="auto"/>
                <w:szCs w:val="21"/>
                <w:highlight w:val="none"/>
              </w:rPr>
              <w:t>被评为“纳税信用A级”称号的，得6分；</w:t>
            </w:r>
          </w:p>
          <w:p>
            <w:pPr>
              <w:pStyle w:val="28"/>
              <w:jc w:val="both"/>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rPr>
              <w:t>3.</w:t>
            </w:r>
            <w:r>
              <w:rPr>
                <w:rFonts w:hint="eastAsia" w:ascii="宋体" w:hAnsi="宋体" w:eastAsia="宋体" w:cs="宋体"/>
                <w:b w:val="0"/>
                <w:bCs/>
                <w:color w:val="auto"/>
                <w:szCs w:val="21"/>
                <w:highlight w:val="none"/>
                <w:u w:val="single"/>
                <w:lang w:val="en-US" w:eastAsia="zh-CN"/>
              </w:rPr>
              <w:t>近三年均</w:t>
            </w:r>
            <w:r>
              <w:rPr>
                <w:rFonts w:hint="eastAsia" w:ascii="宋体" w:hAnsi="宋体" w:eastAsia="宋体" w:cs="宋体"/>
                <w:b w:val="0"/>
                <w:bCs/>
                <w:color w:val="auto"/>
                <w:szCs w:val="21"/>
                <w:highlight w:val="none"/>
              </w:rPr>
              <w:t>被评为“纳税信用A级”称号的，得2分。</w:t>
            </w:r>
          </w:p>
          <w:p>
            <w:pPr>
              <w:pStyle w:val="28"/>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zh-CN"/>
              </w:rPr>
              <w:t>不提供或不满足上述情况的，不得分。</w:t>
            </w:r>
            <w:r>
              <w:rPr>
                <w:rFonts w:hint="eastAsia" w:ascii="宋体" w:hAnsi="宋体" w:eastAsia="宋体" w:cs="宋体"/>
                <w:b w:val="0"/>
                <w:bCs/>
                <w:color w:val="auto"/>
                <w:szCs w:val="21"/>
                <w:highlight w:val="none"/>
              </w:rPr>
              <w:t>本项最高得10分。</w:t>
            </w:r>
          </w:p>
          <w:p>
            <w:pPr>
              <w:pStyle w:val="28"/>
              <w:jc w:val="both"/>
              <w:rPr>
                <w:rFonts w:hint="eastAsia" w:ascii="宋体" w:hAnsi="宋体" w:eastAsia="宋体" w:cs="宋体"/>
                <w:b w:val="0"/>
                <w:bCs/>
                <w:color w:val="auto"/>
                <w:szCs w:val="21"/>
                <w:highlight w:val="none"/>
                <w:lang w:val="zh-CN"/>
              </w:rPr>
            </w:pPr>
          </w:p>
          <w:p>
            <w:pPr>
              <w:pStyle w:val="28"/>
              <w:jc w:val="both"/>
              <w:rPr>
                <w:rFonts w:hint="eastAsia" w:ascii="宋体" w:hAnsi="宋体" w:eastAsia="宋体" w:cs="宋体"/>
                <w:b w:val="0"/>
                <w:color w:val="auto"/>
                <w:szCs w:val="21"/>
                <w:highlight w:val="none"/>
              </w:rPr>
            </w:pPr>
            <w:r>
              <w:rPr>
                <w:rFonts w:hint="eastAsia" w:ascii="宋体" w:hAnsi="宋体" w:eastAsia="宋体" w:cs="宋体"/>
                <w:b w:val="0"/>
                <w:bCs/>
                <w:color w:val="auto"/>
                <w:szCs w:val="21"/>
                <w:highlight w:val="none"/>
              </w:rPr>
              <w:t>注：“A级纳税人”称号以国家税务总局官网（http://www.chinatax.gov.cn/index.html）查询结果为准，时间以评价年度为准；只计算投标人自身（不计算投标人的分公司和子公司）；提供国家税务总局相关查询结果的网页截图，未能提供的，按不得分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pStyle w:val="28"/>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负责人</w:t>
            </w:r>
            <w:r>
              <w:rPr>
                <w:rFonts w:hint="eastAsia" w:ascii="宋体" w:hAnsi="宋体" w:eastAsia="宋体" w:cs="宋体"/>
                <w:color w:val="auto"/>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1、具有10年（含10年）以上工作经验年限的得2分，具有10年（不含10年）以下工作经验年限的得1分。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具有市政</w:t>
            </w:r>
            <w:r>
              <w:rPr>
                <w:rFonts w:hint="eastAsia"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zh-CN"/>
              </w:rPr>
              <w:t>相关专业</w:t>
            </w:r>
            <w:r>
              <w:rPr>
                <w:rFonts w:hint="eastAsia" w:ascii="宋体" w:hAnsi="宋体" w:eastAsia="宋体" w:cs="宋体"/>
                <w:color w:val="auto"/>
                <w:sz w:val="21"/>
                <w:szCs w:val="21"/>
                <w:highlight w:val="none"/>
              </w:rPr>
              <w:t>中级</w:t>
            </w:r>
            <w:r>
              <w:rPr>
                <w:rFonts w:hint="eastAsia" w:ascii="宋体" w:hAnsi="宋体" w:eastAsia="宋体" w:cs="宋体"/>
                <w:color w:val="auto"/>
                <w:sz w:val="21"/>
                <w:szCs w:val="21"/>
                <w:highlight w:val="none"/>
                <w:lang w:val="zh-CN"/>
              </w:rPr>
              <w:t>或以上工程师职称的</w:t>
            </w:r>
            <w:r>
              <w:rPr>
                <w:rFonts w:hint="eastAsia" w:ascii="宋体" w:hAnsi="宋体" w:eastAsia="宋体" w:cs="宋体"/>
                <w:color w:val="auto"/>
                <w:sz w:val="21"/>
                <w:szCs w:val="21"/>
                <w:highlight w:val="none"/>
              </w:rPr>
              <w:t>，得2分；</w:t>
            </w:r>
            <w:r>
              <w:rPr>
                <w:rFonts w:hint="eastAsia" w:ascii="宋体" w:hAnsi="宋体" w:eastAsia="宋体" w:cs="宋体"/>
                <w:color w:val="auto"/>
                <w:sz w:val="21"/>
                <w:szCs w:val="21"/>
                <w:highlight w:val="none"/>
                <w:lang w:val="zh-CN"/>
              </w:rPr>
              <w:t>具有市政</w:t>
            </w:r>
            <w:r>
              <w:rPr>
                <w:rFonts w:hint="eastAsia" w:ascii="宋体" w:hAnsi="宋体" w:eastAsia="宋体" w:cs="宋体"/>
                <w:color w:val="auto"/>
                <w:sz w:val="21"/>
                <w:szCs w:val="21"/>
                <w:highlight w:val="none"/>
              </w:rPr>
              <w:t>类</w:t>
            </w:r>
            <w:r>
              <w:rPr>
                <w:rFonts w:hint="eastAsia" w:ascii="宋体" w:hAnsi="宋体" w:eastAsia="宋体" w:cs="宋体"/>
                <w:color w:val="auto"/>
                <w:sz w:val="21"/>
                <w:szCs w:val="21"/>
                <w:highlight w:val="none"/>
                <w:lang w:val="zh-CN"/>
              </w:rPr>
              <w:t>相关专业</w:t>
            </w:r>
            <w:r>
              <w:rPr>
                <w:rFonts w:hint="eastAsia" w:ascii="宋体" w:hAnsi="宋体" w:eastAsia="宋体" w:cs="宋体"/>
                <w:color w:val="auto"/>
                <w:sz w:val="21"/>
                <w:szCs w:val="21"/>
                <w:highlight w:val="none"/>
              </w:rPr>
              <w:t>初级</w:t>
            </w:r>
            <w:r>
              <w:rPr>
                <w:rFonts w:hint="eastAsia" w:ascii="宋体" w:hAnsi="宋体" w:eastAsia="宋体" w:cs="宋体"/>
                <w:color w:val="auto"/>
                <w:sz w:val="21"/>
                <w:szCs w:val="21"/>
                <w:highlight w:val="none"/>
                <w:lang w:val="zh-CN"/>
              </w:rPr>
              <w:t>工程师职称的</w:t>
            </w:r>
            <w:r>
              <w:rPr>
                <w:rFonts w:hint="eastAsia" w:ascii="宋体" w:hAnsi="宋体" w:eastAsia="宋体" w:cs="宋体"/>
                <w:color w:val="auto"/>
                <w:sz w:val="21"/>
                <w:szCs w:val="21"/>
                <w:highlight w:val="none"/>
              </w:rPr>
              <w:t>，得1分。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注：（1）人员必须为投标单位人员（含分公司，不含子公司）。须同时提供投标截止时间最近1个月（2023年8月份）在本单位交纳的社保证明文件（已退休人员提供退休证明及返聘证明材料）。</w:t>
            </w:r>
          </w:p>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（2）工作经验年限以毕业证书载明的时间（大学专科(或以上)学历）开始计算，需提供毕业证书扫描件。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技术负责人</w:t>
            </w:r>
            <w:r>
              <w:rPr>
                <w:rFonts w:hint="eastAsia" w:ascii="宋体" w:hAnsi="宋体" w:eastAsia="宋体" w:cs="宋体"/>
                <w:b/>
                <w:bCs/>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1、具有10年（含10年）以上工作经验年限的得4分，具有10年（不含10年）以下工作经验年限的得2分。</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本项最高得4分。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注：（1）需提供毕业证书，须同时提供投标截止时间最近1个月（2023年8月份）在本单位交纳的社保证明文件（已退休人员提供退休证明及返聘证明材料）。不符合条件或无提交相关资料的不计分。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（2）其中工作年限以毕业证书登记日期计算。（提供相关资料扫描件）。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6"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24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主要管理人员（</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w:t>
            </w:r>
          </w:p>
        </w:tc>
        <w:tc>
          <w:tcPr>
            <w:tcW w:w="4801" w:type="dxa"/>
            <w:gridSpan w:val="2"/>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质量负责人</w:t>
            </w:r>
            <w:r>
              <w:rPr>
                <w:rFonts w:hint="eastAsia" w:ascii="宋体" w:hAnsi="宋体" w:eastAsia="宋体" w:cs="宋体"/>
                <w:color w:val="auto"/>
                <w:sz w:val="21"/>
                <w:szCs w:val="21"/>
                <w:highlight w:val="none"/>
                <w:lang w:val="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（1）具有10年（含10年）以上工作经验年限的得2 分，具有10年（不含10年）以下工作经验年限的得1分。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（2）具有市政类相关专业高级工程师或以上职称的，得3分；具有市政类相关专业中级工程师或以下职称的，得1分。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（3）具有市政工程质量员相关岗位证的，得1分。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本项最高得6分。</w:t>
            </w:r>
          </w:p>
          <w:p>
            <w:pPr>
              <w:pStyle w:val="2"/>
              <w:rPr>
                <w:rFonts w:hint="eastAsia" w:ascii="宋体" w:hAnsi="宋体" w:eastAsia="宋体" w:cs="宋体"/>
                <w:color w:val="auto"/>
                <w:szCs w:val="21"/>
                <w:highlight w:val="none"/>
              </w:rPr>
            </w:pPr>
          </w:p>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安全负责人</w:t>
            </w:r>
            <w:r>
              <w:rPr>
                <w:rFonts w:hint="eastAsia" w:ascii="宋体" w:hAnsi="宋体" w:eastAsia="宋体" w:cs="宋体"/>
                <w:color w:val="auto"/>
                <w:sz w:val="21"/>
                <w:szCs w:val="21"/>
                <w:highlight w:val="none"/>
                <w:lang w:val="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（1）具有10年（含10年）以上工作经验年限的得2分，具有10年（不含10年）以下工作经验年限的得1分。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（2）具有市政类相关专业高级工程师或以上职称的，得3分；具有市政类相关专业中级工程师或以下职称的，得1分。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（3）具有安全生产考核合格证（C类或C3类）的,得1分.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pStyle w:val="2"/>
              <w:rPr>
                <w:rFonts w:hint="eastAsia" w:ascii="宋体" w:hAnsi="宋体" w:eastAsia="宋体" w:cs="宋体"/>
                <w:color w:val="auto"/>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造价负责人</w:t>
            </w:r>
            <w:r>
              <w:rPr>
                <w:rFonts w:hint="eastAsia" w:ascii="宋体" w:hAnsi="宋体" w:eastAsia="宋体" w:cs="宋体"/>
                <w:color w:val="auto"/>
                <w:sz w:val="21"/>
                <w:szCs w:val="21"/>
                <w:highlight w:val="none"/>
                <w:lang w:val="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（1）具有10年（含10年）以上工作经验年限的得2分，具有10年（不含10年）以下工作经验年限的得1分。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（2）具有建筑工程造价类相关专业高级工程师或以上职称的，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具有建筑工程造价类相关专业中级工程师或以下职称的，得1分。</w:t>
            </w:r>
          </w:p>
          <w:p>
            <w:pPr>
              <w:pStyle w:val="2"/>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（3）具有有效期内的一级注册造价工程师证书（</w:t>
            </w:r>
            <w:r>
              <w:rPr>
                <w:rFonts w:hint="eastAsia" w:ascii="宋体" w:hAnsi="宋体" w:eastAsia="宋体" w:cs="宋体"/>
                <w:color w:val="auto"/>
                <w:szCs w:val="21"/>
                <w:highlight w:val="none"/>
                <w:lang w:val="zh-CN"/>
              </w:rPr>
              <w:t>未实行分级的注册造价工程师自动划分为一级注册造价工程师</w:t>
            </w:r>
            <w:r>
              <w:rPr>
                <w:rFonts w:hint="eastAsia" w:ascii="宋体" w:hAnsi="宋体" w:eastAsia="宋体" w:cs="宋体"/>
                <w:color w:val="auto"/>
                <w:szCs w:val="21"/>
                <w:highlight w:val="none"/>
              </w:rPr>
              <w:t>），得2分；二级注册造价工程师证书的，得1分。</w:t>
            </w:r>
          </w:p>
          <w:p>
            <w:pPr>
              <w:pStyle w:val="2"/>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本项最高得7分。</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给排水专业负责人</w:t>
            </w:r>
            <w:r>
              <w:rPr>
                <w:rFonts w:hint="eastAsia" w:ascii="宋体" w:hAnsi="宋体" w:eastAsia="宋体" w:cs="宋体"/>
                <w:color w:val="auto"/>
                <w:sz w:val="21"/>
                <w:szCs w:val="21"/>
                <w:highlight w:val="none"/>
                <w:lang w:val="zh-CN"/>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（1）具有10年（含10年）以上工作经验年限的得2分，具有10年（不含10年）以下工作经验年限的得1分。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（2）具有给排水专业高级工程师或以上职称证，得3分；具有给排水专业中级工程师或以下职称证，得1分。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本项最高得5分。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注：（1）需提供毕业证书、职称证，须同时提供投标截止时间最近1个月（2023年8月份）在本单位交纳的社保证明文件（已退休人员提供退休证明及返聘证明材料）。不符合条件或无提交相关资料的不计分。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（2）其中工作年限以毕业证书登记日期计算。（提供相关资料扫描件）。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vMerge w:val="continue"/>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0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工程实施方案（12分）</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  措施      （2分）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分析准确、措施得当。针对项目特点编制施工总进度计划及工期保证措施，确保实现工程进度目标。优得2分，良得1.5分，一般得1分，差或没有得0分。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06"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机械设备投入计划及  保证措施    （2分）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根据本工程的特点编制机械设备投入计划，确保满足施工要求，投入保证措施明确、具体、可行。优得2分，良得1.5分，一般得1分，差或没有得0分。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06"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  措施        （2分）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根据本工程的质量目标，针对项目的特点，从质量保证体系、材料的检测、质量通病的防治等方面提出详细的质量保证措施。优得2分，良得1.5分，一般得1分，差或没有得0分。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06"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安全控制  措施        （2分）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根据本工程的安全文明施工目标，针对项目的特点，从安全文明施工管理体系、应急预案等方面提出详细的安全生产及文明施工保证措施。优得2分，良得1.5分，一般得1分，差或没有得0分。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06"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绿色节能  控制措施    （2分）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建立了完善的绿色施工管理体系，根据本工程的特点，提出详细的绿色节能控制措施。优得2分，良得1.5分，一般得1分，差或没有得0分。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right w:val="single" w:color="auto" w:sz="4" w:space="0"/>
            </w:tcBorders>
            <w:vAlign w:val="center"/>
          </w:tcPr>
          <w:p>
            <w:pPr>
              <w:jc w:val="center"/>
              <w:rPr>
                <w:rFonts w:hint="eastAsia" w:ascii="宋体" w:hAnsi="宋体" w:eastAsia="宋体" w:cs="宋体"/>
                <w:color w:val="auto"/>
                <w:sz w:val="21"/>
                <w:szCs w:val="21"/>
                <w:highlight w:val="none"/>
              </w:rPr>
            </w:pPr>
          </w:p>
        </w:tc>
        <w:tc>
          <w:tcPr>
            <w:tcW w:w="1373" w:type="dxa"/>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006"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施工重难点分析处理及保证措施  （2分）</w:t>
            </w:r>
          </w:p>
        </w:tc>
        <w:tc>
          <w:tcPr>
            <w:tcW w:w="480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根据本工程重点难点分析全面、准确，保证措施合理可行。优得2分，良得1.5分，一般得1分，差或没有得0分。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7" w:type="dxa"/>
          <w:trHeight w:val="95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3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投标报价（100分）</w:t>
            </w:r>
          </w:p>
        </w:tc>
        <w:tc>
          <w:tcPr>
            <w:tcW w:w="48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当投标总报价等于评标基准价时得100分，投标报价每高于评标基准价1%，扣0.15分，每低于评标基准价1%，扣0.1分，得出投标报价得分，最多扣100分，精确到小数点后两位，第三位小数四舍五入。</w:t>
            </w:r>
          </w:p>
        </w:tc>
      </w:tr>
    </w:tbl>
    <w:p>
      <w:pPr>
        <w:spacing w:line="312" w:lineRule="auto"/>
        <w:rPr>
          <w:rFonts w:ascii="宋体" w:hAnsi="宋体" w:eastAsia="宋体" w:cs="宋体"/>
          <w:b/>
          <w:bCs/>
          <w:strike/>
          <w:szCs w:val="21"/>
          <w:highlight w:val="none"/>
        </w:rPr>
      </w:pPr>
      <w:r>
        <w:rPr>
          <w:rFonts w:hint="eastAsia" w:ascii="宋体" w:hAnsi="宋体" w:eastAsia="宋体" w:cs="宋体"/>
          <w:b/>
          <w:bCs/>
          <w:szCs w:val="21"/>
          <w:highlight w:val="none"/>
        </w:rPr>
        <w:t>注：</w:t>
      </w:r>
      <w:r>
        <w:rPr>
          <w:rFonts w:hint="eastAsia" w:ascii="宋体" w:hAnsi="宋体" w:eastAsia="宋体" w:cs="宋体"/>
          <w:b/>
          <w:bCs/>
          <w:highlight w:val="none"/>
        </w:rPr>
        <w:t>如组成联合体投标的，设计部分评分以承接设计任务的单位为准；施工部分评分以承接施工任务的单位为准。</w:t>
      </w:r>
      <w:r>
        <w:rPr>
          <w:rFonts w:hint="eastAsia" w:ascii="宋体" w:hAnsi="宋体" w:eastAsia="宋体" w:cs="宋体"/>
          <w:b/>
          <w:bCs/>
          <w:szCs w:val="21"/>
          <w:highlight w:val="none"/>
        </w:rPr>
        <w:t>投标人如果同时满足多个评分档次的，按所满足的最高档得分。</w:t>
      </w:r>
    </w:p>
    <w:p>
      <w:pPr>
        <w:widowControl w:val="0"/>
        <w:numPr>
          <w:ilvl w:val="0"/>
          <w:numId w:val="1"/>
        </w:numPr>
        <w:adjustRightInd/>
        <w:snapToGrid/>
        <w:spacing w:after="0" w:line="360" w:lineRule="auto"/>
        <w:ind w:left="0" w:firstLine="0"/>
        <w:rPr>
          <w:rFonts w:ascii="宋体" w:hAnsi="宋体" w:eastAsia="宋体" w:cs="宋体"/>
          <w:sz w:val="24"/>
          <w:highlight w:val="none"/>
        </w:rPr>
      </w:pPr>
      <w:r>
        <w:rPr>
          <w:rFonts w:hint="eastAsia" w:ascii="宋体" w:hAnsi="宋体" w:eastAsia="宋体" w:cs="宋体"/>
          <w:sz w:val="24"/>
          <w:highlight w:val="none"/>
        </w:rPr>
        <w:t>原招标公告、招标文件的内容与本补充公告发布的内容有不一致之处的，以本补充公告内容为准，本补充公告为招标文件的组成部分，如对同一事项的表述与之前所发出的招标文件不符，则以本补充公告为准，其他内容不变。</w:t>
      </w:r>
    </w:p>
    <w:p>
      <w:pPr>
        <w:widowControl w:val="0"/>
        <w:numPr>
          <w:ilvl w:val="0"/>
          <w:numId w:val="1"/>
        </w:numPr>
        <w:adjustRightInd/>
        <w:snapToGrid/>
        <w:spacing w:after="0" w:line="360" w:lineRule="auto"/>
        <w:ind w:left="0" w:firstLine="0"/>
        <w:jc w:val="both"/>
        <w:rPr>
          <w:rFonts w:ascii="宋体" w:hAnsi="宋体" w:eastAsia="宋体" w:cs="宋体"/>
          <w:sz w:val="24"/>
          <w:highlight w:val="none"/>
        </w:rPr>
      </w:pPr>
      <w:r>
        <w:rPr>
          <w:rFonts w:hint="eastAsia" w:ascii="宋体" w:hAnsi="宋体" w:eastAsia="宋体" w:cs="宋体"/>
          <w:sz w:val="24"/>
          <w:highlight w:val="none"/>
        </w:rPr>
        <w:t>本项目原定的公告发布时间、投标登记时间、递交电子投标文件时间、提交投标文件光盘（备用）时间及场地、开标时间及场地安排等招标投标日程安排作相应调整，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p>
      <w:pPr>
        <w:pStyle w:val="2"/>
        <w:ind w:firstLine="0" w:firstLineChars="0"/>
        <w:rPr>
          <w:rFonts w:ascii="宋体" w:hAnsi="宋体" w:cs="宋体"/>
          <w:highlight w:val="none"/>
        </w:rPr>
      </w:pPr>
      <w:r>
        <w:rPr>
          <w:rFonts w:hint="eastAsia" w:ascii="宋体" w:hAnsi="宋体" w:cs="宋体"/>
          <w:highlight w:val="none"/>
        </w:rPr>
        <w:t>　　</w:t>
      </w:r>
    </w:p>
    <w:p>
      <w:pPr>
        <w:pStyle w:val="2"/>
        <w:ind w:firstLine="0" w:firstLineChars="0"/>
        <w:rPr>
          <w:rFonts w:ascii="宋体" w:hAnsi="宋体" w:cs="宋体"/>
          <w:highlight w:val="none"/>
        </w:rPr>
      </w:pPr>
    </w:p>
    <w:p>
      <w:pPr>
        <w:pStyle w:val="11"/>
        <w:spacing w:line="500" w:lineRule="exact"/>
        <w:jc w:val="left"/>
        <w:rPr>
          <w:rFonts w:cs="宋体"/>
          <w:sz w:val="24"/>
          <w:highlight w:val="none"/>
          <w:u w:val="none"/>
        </w:rPr>
      </w:pPr>
    </w:p>
    <w:p>
      <w:pPr>
        <w:pStyle w:val="11"/>
        <w:spacing w:line="500" w:lineRule="exact"/>
        <w:ind w:firstLine="480"/>
        <w:jc w:val="right"/>
        <w:rPr>
          <w:rFonts w:cs="宋体"/>
          <w:bCs/>
          <w:snapToGrid w:val="0"/>
          <w:kern w:val="0"/>
          <w:sz w:val="24"/>
          <w:szCs w:val="22"/>
          <w:highlight w:val="none"/>
          <w:u w:val="none"/>
          <w:shd w:val="clear" w:color="auto" w:fill="FFFFFF"/>
        </w:rPr>
      </w:pPr>
      <w:r>
        <w:rPr>
          <w:rFonts w:hint="eastAsia" w:cs="宋体"/>
          <w:bCs/>
          <w:snapToGrid w:val="0"/>
          <w:kern w:val="0"/>
          <w:sz w:val="24"/>
          <w:szCs w:val="22"/>
          <w:highlight w:val="none"/>
          <w:u w:val="none"/>
          <w:shd w:val="clear" w:color="auto" w:fill="FFFFFF"/>
        </w:rPr>
        <w:t>招标人：广州市花都区交通运输局</w:t>
      </w:r>
    </w:p>
    <w:p>
      <w:pPr>
        <w:spacing w:after="0" w:line="500" w:lineRule="exact"/>
        <w:ind w:firstLine="465"/>
        <w:jc w:val="right"/>
        <w:rPr>
          <w:rFonts w:ascii="宋体" w:hAnsi="宋体" w:eastAsia="宋体" w:cs="宋体"/>
          <w:bCs/>
          <w:snapToGrid w:val="0"/>
          <w:sz w:val="24"/>
          <w:highlight w:val="none"/>
          <w:shd w:val="clear" w:color="auto" w:fill="FFFFFF"/>
        </w:rPr>
      </w:pPr>
      <w:r>
        <w:rPr>
          <w:rFonts w:hint="eastAsia" w:ascii="宋体" w:hAnsi="宋体" w:eastAsia="宋体" w:cs="宋体"/>
          <w:bCs/>
          <w:snapToGrid w:val="0"/>
          <w:sz w:val="24"/>
          <w:highlight w:val="none"/>
          <w:shd w:val="clear" w:color="auto" w:fill="FFFFFF"/>
        </w:rPr>
        <w:t>招标代理：广州市广州工程建设监理有限公司</w:t>
      </w:r>
    </w:p>
    <w:p>
      <w:pPr>
        <w:spacing w:line="500" w:lineRule="exact"/>
        <w:ind w:firstLine="465"/>
        <w:jc w:val="right"/>
        <w:rPr>
          <w:rFonts w:ascii="宋体" w:hAnsi="宋体" w:eastAsia="宋体" w:cs="宋体"/>
          <w:bCs/>
          <w:snapToGrid w:val="0"/>
          <w:sz w:val="24"/>
          <w:highlight w:val="none"/>
          <w:shd w:val="clear" w:color="auto" w:fill="FFFFFF"/>
        </w:rPr>
      </w:pPr>
      <w:r>
        <w:rPr>
          <w:rFonts w:hint="eastAsia" w:ascii="宋体" w:hAnsi="宋体" w:eastAsia="宋体" w:cs="宋体"/>
          <w:bCs/>
          <w:snapToGrid w:val="0"/>
          <w:sz w:val="24"/>
          <w:highlight w:val="none"/>
          <w:shd w:val="clear" w:color="auto" w:fill="FFFFFF"/>
        </w:rPr>
        <w:t>2023年10月  日</w:t>
      </w:r>
    </w:p>
    <w:p>
      <w:pPr>
        <w:rPr>
          <w:rFonts w:ascii="宋体" w:hAnsi="宋体" w:eastAsia="宋体" w:cs="宋体"/>
          <w:bCs/>
          <w:snapToGrid w:val="0"/>
          <w:sz w:val="24"/>
          <w:highlight w:val="none"/>
          <w:shd w:val="clear" w:color="auto" w:fill="FFFFFF"/>
        </w:rPr>
      </w:pPr>
      <w:r>
        <w:rPr>
          <w:rFonts w:hint="eastAsia" w:ascii="宋体" w:hAnsi="宋体" w:eastAsia="宋体" w:cs="宋体"/>
          <w:bCs/>
          <w:snapToGrid w:val="0"/>
          <w:sz w:val="24"/>
          <w:highlight w:val="none"/>
          <w:shd w:val="clear" w:color="auto" w:fill="FFFFFF"/>
        </w:rPr>
        <w:br w:type="page"/>
      </w:r>
    </w:p>
    <w:p>
      <w:pPr>
        <w:widowControl w:val="0"/>
        <w:autoSpaceDE w:val="0"/>
        <w:spacing w:line="440" w:lineRule="exact"/>
        <w:jc w:val="both"/>
        <w:outlineLvl w:val="0"/>
        <w:rPr>
          <w:rFonts w:ascii="Times New Roman" w:hAnsi="Times New Roman" w:eastAsia="宋体" w:cs="Times New Roman"/>
          <w:kern w:val="2"/>
          <w:sz w:val="24"/>
          <w:szCs w:val="24"/>
          <w:highlight w:val="none"/>
        </w:rPr>
      </w:pPr>
      <w:r>
        <w:rPr>
          <w:rFonts w:ascii="Times New Roman" w:hAnsi="Times New Roman" w:eastAsia="宋体" w:cs="Times New Roman"/>
          <w:b/>
          <w:bCs/>
          <w:kern w:val="2"/>
          <w:sz w:val="24"/>
          <w:szCs w:val="24"/>
          <w:highlight w:val="none"/>
        </w:rPr>
        <w:t>附件</w:t>
      </w:r>
      <w:r>
        <w:rPr>
          <w:rFonts w:hint="eastAsia" w:ascii="Times New Roman" w:hAnsi="Times New Roman" w:eastAsia="宋体" w:cs="Times New Roman"/>
          <w:b/>
          <w:bCs/>
          <w:kern w:val="2"/>
          <w:sz w:val="24"/>
          <w:szCs w:val="24"/>
          <w:highlight w:val="none"/>
        </w:rPr>
        <w:t>一</w:t>
      </w:r>
      <w:r>
        <w:rPr>
          <w:rFonts w:ascii="Times New Roman" w:hAnsi="Times New Roman" w:eastAsia="宋体" w:cs="Times New Roman"/>
          <w:b/>
          <w:bCs/>
          <w:kern w:val="2"/>
          <w:sz w:val="24"/>
          <w:szCs w:val="24"/>
          <w:highlight w:val="none"/>
        </w:rPr>
        <w:t>：</w:t>
      </w:r>
    </w:p>
    <w:p>
      <w:pPr>
        <w:widowControl w:val="0"/>
        <w:spacing w:line="360" w:lineRule="auto"/>
        <w:jc w:val="center"/>
        <w:outlineLvl w:val="0"/>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t>联合体共同投标协议</w:t>
      </w:r>
    </w:p>
    <w:p>
      <w:pPr>
        <w:widowControl w:val="0"/>
        <w:jc w:val="both"/>
        <w:rPr>
          <w:rFonts w:ascii="Times New Roman" w:hAnsi="Times New Roman" w:eastAsia="宋体" w:cs="Times New Roman"/>
          <w:sz w:val="24"/>
          <w:szCs w:val="24"/>
          <w:highlight w:val="none"/>
        </w:rPr>
      </w:pPr>
    </w:p>
    <w:p>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投标项目名称：</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w:t>
      </w:r>
    </w:p>
    <w:p>
      <w:pPr>
        <w:pStyle w:val="6"/>
        <w:spacing w:line="360" w:lineRule="auto"/>
        <w:jc w:val="left"/>
        <w:rPr>
          <w:rFonts w:ascii="Times New Roman" w:hAnsi="Times New Roman"/>
          <w:sz w:val="24"/>
          <w:highlight w:val="none"/>
        </w:rPr>
      </w:pPr>
      <w:r>
        <w:rPr>
          <w:rFonts w:ascii="Times New Roman" w:hAnsi="Times New Roman"/>
          <w:sz w:val="24"/>
          <w:highlight w:val="none"/>
        </w:rPr>
        <w:t>致：</w:t>
      </w:r>
      <w:r>
        <w:rPr>
          <w:rFonts w:ascii="Times New Roman" w:hAnsi="Times New Roman"/>
          <w:b/>
          <w:bCs/>
          <w:sz w:val="24"/>
          <w:highlight w:val="none"/>
          <w:u w:val="single"/>
        </w:rPr>
        <w:t xml:space="preserve">              　　    　　  </w:t>
      </w:r>
      <w:r>
        <w:rPr>
          <w:rFonts w:ascii="Times New Roman" w:hAnsi="Times New Roman"/>
          <w:sz w:val="24"/>
          <w:highlight w:val="none"/>
        </w:rPr>
        <w:t xml:space="preserve">        </w:t>
      </w:r>
    </w:p>
    <w:p>
      <w:pPr>
        <w:spacing w:line="360" w:lineRule="auto"/>
        <w:ind w:firstLine="482"/>
        <w:rPr>
          <w:rFonts w:ascii="Times New Roman" w:hAnsi="Times New Roman" w:eastAsia="宋体" w:cs="Times New Roman"/>
          <w:sz w:val="24"/>
          <w:highlight w:val="none"/>
        </w:rPr>
      </w:pPr>
      <w:r>
        <w:rPr>
          <w:rFonts w:ascii="Times New Roman" w:hAnsi="Times New Roman" w:eastAsia="宋体" w:cs="Times New Roman"/>
          <w:sz w:val="24"/>
          <w:highlight w:val="none"/>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pPr>
        <w:spacing w:line="360" w:lineRule="auto"/>
        <w:ind w:firstLine="482"/>
        <w:rPr>
          <w:rFonts w:ascii="Times New Roman" w:hAnsi="Times New Roman" w:eastAsia="宋体" w:cs="Times New Roman"/>
          <w:sz w:val="24"/>
          <w:highlight w:val="none"/>
        </w:rPr>
      </w:pPr>
      <w:r>
        <w:rPr>
          <w:rFonts w:ascii="Times New Roman" w:hAnsi="Times New Roman" w:eastAsia="宋体" w:cs="Times New Roman"/>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ascii="Times New Roman" w:hAnsi="Times New Roman" w:eastAsia="宋体" w:cs="Times New Roman"/>
          <w:sz w:val="24"/>
          <w:highlight w:val="none"/>
        </w:rPr>
      </w:pPr>
      <w:r>
        <w:rPr>
          <w:rFonts w:ascii="Times New Roman" w:hAnsi="Times New Roman" w:eastAsia="宋体" w:cs="Times New Roman"/>
          <w:sz w:val="24"/>
          <w:highlight w:val="none"/>
        </w:rPr>
        <w:t>联合体将严格按照招标文件的各项要求，递交投标文件，履行合同，并对外承担相应责任。</w:t>
      </w: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联合体</w:t>
      </w:r>
      <w:r>
        <w:rPr>
          <w:rFonts w:hint="eastAsia" w:ascii="Times New Roman" w:hAnsi="Times New Roman"/>
          <w:sz w:val="24"/>
          <w:highlight w:val="none"/>
        </w:rPr>
        <w:t>牵头人</w:t>
      </w:r>
      <w:r>
        <w:rPr>
          <w:rFonts w:ascii="Times New Roman" w:hAnsi="Times New Roman"/>
          <w:sz w:val="24"/>
          <w:highlight w:val="none"/>
        </w:rPr>
        <w:t>：（盖章）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b/>
          <w:bCs/>
          <w:sz w:val="24"/>
          <w:highlight w:val="none"/>
          <w:u w:val="single"/>
        </w:rPr>
      </w:pPr>
      <w:r>
        <w:rPr>
          <w:rFonts w:ascii="Times New Roman" w:hAnsi="Times New Roman"/>
          <w:sz w:val="24"/>
          <w:highlight w:val="none"/>
        </w:rPr>
        <w:t>法定代表人：（签字或盖章）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分工内容：</w:t>
      </w:r>
      <w:r>
        <w:rPr>
          <w:rFonts w:ascii="Times New Roman" w:hAnsi="Times New Roman"/>
          <w:b/>
          <w:bCs/>
          <w:sz w:val="24"/>
          <w:highlight w:val="none"/>
          <w:u w:val="single"/>
        </w:rPr>
        <w:t xml:space="preserve">        　　    　　        　　    　　</w:t>
      </w:r>
      <w:r>
        <w:rPr>
          <w:rFonts w:ascii="Times New Roman" w:hAnsi="Times New Roman"/>
          <w:sz w:val="24"/>
          <w:highlight w:val="none"/>
          <w:u w:val="single"/>
        </w:rPr>
        <w:t xml:space="preserve">                                        </w:t>
      </w:r>
    </w:p>
    <w:p>
      <w:pPr>
        <w:pStyle w:val="6"/>
        <w:spacing w:line="360" w:lineRule="auto"/>
        <w:ind w:firstLine="420"/>
        <w:rPr>
          <w:rFonts w:ascii="Times New Roman" w:hAnsi="Times New Roman"/>
          <w:sz w:val="24"/>
          <w:highlight w:val="none"/>
        </w:rPr>
      </w:pP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联合体成员：（盖章）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b/>
          <w:bCs/>
          <w:sz w:val="24"/>
          <w:highlight w:val="none"/>
          <w:u w:val="single"/>
        </w:rPr>
      </w:pPr>
      <w:r>
        <w:rPr>
          <w:rFonts w:ascii="Times New Roman" w:hAnsi="Times New Roman"/>
          <w:sz w:val="24"/>
          <w:highlight w:val="none"/>
        </w:rPr>
        <w:t>法定代表人：（签字或盖章）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分工内容：</w:t>
      </w:r>
      <w:r>
        <w:rPr>
          <w:rFonts w:ascii="Times New Roman" w:hAnsi="Times New Roman"/>
          <w:b/>
          <w:bCs/>
          <w:sz w:val="24"/>
          <w:highlight w:val="none"/>
          <w:u w:val="single"/>
        </w:rPr>
        <w:t xml:space="preserve">        　　    　　        　　    　　</w:t>
      </w:r>
      <w:r>
        <w:rPr>
          <w:rFonts w:ascii="Times New Roman" w:hAnsi="Times New Roman"/>
          <w:sz w:val="24"/>
          <w:highlight w:val="none"/>
          <w:u w:val="single"/>
        </w:rPr>
        <w:t xml:space="preserve">                                        </w:t>
      </w:r>
    </w:p>
    <w:p>
      <w:pPr>
        <w:pStyle w:val="6"/>
        <w:spacing w:line="360" w:lineRule="auto"/>
        <w:ind w:firstLine="420"/>
        <w:rPr>
          <w:rFonts w:ascii="Times New Roman" w:hAnsi="Times New Roman"/>
          <w:sz w:val="24"/>
          <w:highlight w:val="none"/>
        </w:rPr>
      </w:pP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联合体成员：（盖章）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b/>
          <w:bCs/>
          <w:sz w:val="24"/>
          <w:highlight w:val="none"/>
          <w:u w:val="single"/>
        </w:rPr>
      </w:pPr>
      <w:r>
        <w:rPr>
          <w:rFonts w:ascii="Times New Roman" w:hAnsi="Times New Roman"/>
          <w:sz w:val="24"/>
          <w:highlight w:val="none"/>
        </w:rPr>
        <w:t>法定代表人：（签字或盖章）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分工内容：</w:t>
      </w:r>
      <w:r>
        <w:rPr>
          <w:rFonts w:ascii="Times New Roman" w:hAnsi="Times New Roman"/>
          <w:b/>
          <w:bCs/>
          <w:sz w:val="24"/>
          <w:highlight w:val="none"/>
          <w:u w:val="single"/>
        </w:rPr>
        <w:t xml:space="preserve">        　　    　　        　　    　　</w:t>
      </w:r>
      <w:r>
        <w:rPr>
          <w:rFonts w:ascii="Times New Roman" w:hAnsi="Times New Roman"/>
          <w:sz w:val="24"/>
          <w:highlight w:val="none"/>
          <w:u w:val="single"/>
        </w:rPr>
        <w:t xml:space="preserve">                                        </w:t>
      </w:r>
    </w:p>
    <w:p>
      <w:pPr>
        <w:pStyle w:val="6"/>
        <w:spacing w:line="360" w:lineRule="auto"/>
        <w:ind w:firstLine="420"/>
        <w:rPr>
          <w:rFonts w:ascii="Times New Roman" w:hAnsi="Times New Roman"/>
          <w:sz w:val="24"/>
          <w:highlight w:val="none"/>
        </w:rPr>
      </w:pPr>
    </w:p>
    <w:p>
      <w:pPr>
        <w:pStyle w:val="6"/>
        <w:spacing w:line="360" w:lineRule="auto"/>
        <w:ind w:firstLine="420"/>
        <w:rPr>
          <w:rFonts w:ascii="Times New Roman" w:hAnsi="Times New Roman"/>
          <w:sz w:val="24"/>
          <w:highlight w:val="none"/>
          <w:u w:val="single"/>
        </w:rPr>
      </w:pPr>
      <w:r>
        <w:rPr>
          <w:rFonts w:ascii="Times New Roman" w:hAnsi="Times New Roman"/>
          <w:sz w:val="24"/>
          <w:highlight w:val="none"/>
        </w:rPr>
        <w:t>联合体成员：（盖章）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b/>
          <w:bCs/>
          <w:sz w:val="24"/>
          <w:highlight w:val="none"/>
          <w:u w:val="single"/>
        </w:rPr>
      </w:pPr>
      <w:r>
        <w:rPr>
          <w:rFonts w:ascii="Times New Roman" w:hAnsi="Times New Roman"/>
          <w:sz w:val="24"/>
          <w:highlight w:val="none"/>
        </w:rPr>
        <w:t>法定代表人：（签字或盖章）</w:t>
      </w:r>
      <w:r>
        <w:rPr>
          <w:rFonts w:ascii="Times New Roman" w:hAnsi="Times New Roman"/>
          <w:b/>
          <w:bCs/>
          <w:sz w:val="24"/>
          <w:highlight w:val="none"/>
          <w:u w:val="single"/>
        </w:rPr>
        <w:t xml:space="preserve">                　　    　　                </w:t>
      </w:r>
    </w:p>
    <w:p>
      <w:pPr>
        <w:pStyle w:val="6"/>
        <w:spacing w:line="360" w:lineRule="auto"/>
        <w:ind w:firstLine="420"/>
        <w:rPr>
          <w:rFonts w:ascii="Times New Roman" w:hAnsi="Times New Roman"/>
          <w:sz w:val="24"/>
          <w:highlight w:val="none"/>
        </w:rPr>
      </w:pPr>
      <w:r>
        <w:rPr>
          <w:rFonts w:ascii="Times New Roman" w:hAnsi="Times New Roman"/>
          <w:sz w:val="24"/>
          <w:highlight w:val="none"/>
        </w:rPr>
        <w:t>分工内容：</w:t>
      </w:r>
      <w:r>
        <w:rPr>
          <w:rFonts w:ascii="Times New Roman" w:hAnsi="Times New Roman"/>
          <w:b/>
          <w:bCs/>
          <w:sz w:val="24"/>
          <w:highlight w:val="none"/>
          <w:u w:val="single"/>
        </w:rPr>
        <w:t xml:space="preserve">        　　    　　        　　    　　</w:t>
      </w:r>
      <w:r>
        <w:rPr>
          <w:rFonts w:ascii="Times New Roman" w:hAnsi="Times New Roman"/>
          <w:sz w:val="24"/>
          <w:highlight w:val="none"/>
        </w:rPr>
        <w:t xml:space="preserve">                                        </w:t>
      </w:r>
    </w:p>
    <w:p>
      <w:pPr>
        <w:spacing w:line="360" w:lineRule="auto"/>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pPr>
        <w:spacing w:line="360" w:lineRule="auto"/>
        <w:jc w:val="right"/>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签订日期：</w:t>
      </w:r>
      <w:r>
        <w:rPr>
          <w:rFonts w:ascii="Times New Roman" w:hAnsi="Times New Roman" w:eastAsia="宋体" w:cs="Times New Roman"/>
          <w:b/>
          <w:bCs/>
          <w:sz w:val="24"/>
          <w:highlight w:val="none"/>
          <w:u w:val="single"/>
        </w:rPr>
        <w:t xml:space="preserve">      </w:t>
      </w:r>
      <w:r>
        <w:rPr>
          <w:rFonts w:ascii="Times New Roman" w:hAnsi="Times New Roman" w:eastAsia="宋体" w:cs="Times New Roman"/>
          <w:sz w:val="24"/>
          <w:highlight w:val="none"/>
        </w:rPr>
        <w:t>年</w:t>
      </w:r>
      <w:r>
        <w:rPr>
          <w:rFonts w:ascii="Times New Roman" w:hAnsi="Times New Roman" w:eastAsia="宋体" w:cs="Times New Roman"/>
          <w:b/>
          <w:bCs/>
          <w:sz w:val="24"/>
          <w:highlight w:val="none"/>
          <w:u w:val="single"/>
        </w:rPr>
        <w:t xml:space="preserve">      </w:t>
      </w:r>
      <w:r>
        <w:rPr>
          <w:rFonts w:ascii="Times New Roman" w:hAnsi="Times New Roman" w:eastAsia="宋体" w:cs="Times New Roman"/>
          <w:sz w:val="24"/>
          <w:highlight w:val="none"/>
        </w:rPr>
        <w:t>月</w:t>
      </w:r>
      <w:r>
        <w:rPr>
          <w:rFonts w:ascii="Times New Roman" w:hAnsi="Times New Roman" w:eastAsia="宋体" w:cs="Times New Roman"/>
          <w:b/>
          <w:bCs/>
          <w:sz w:val="24"/>
          <w:highlight w:val="none"/>
          <w:u w:val="single"/>
        </w:rPr>
        <w:t xml:space="preserve">     </w:t>
      </w:r>
      <w:r>
        <w:rPr>
          <w:rFonts w:ascii="Times New Roman" w:hAnsi="Times New Roman" w:eastAsia="宋体" w:cs="Times New Roman"/>
          <w:sz w:val="24"/>
          <w:highlight w:val="none"/>
        </w:rPr>
        <w:t>日</w:t>
      </w:r>
    </w:p>
    <w:p>
      <w:pPr>
        <w:spacing w:line="360" w:lineRule="auto"/>
        <w:rPr>
          <w:rFonts w:ascii="Times New Roman" w:hAnsi="Times New Roman" w:eastAsia="宋体" w:cs="Times New Roman"/>
          <w:szCs w:val="21"/>
          <w:highlight w:val="none"/>
          <w:lang w:bidi="ar"/>
        </w:rPr>
      </w:pPr>
      <w:r>
        <w:rPr>
          <w:rFonts w:ascii="Times New Roman" w:hAnsi="Times New Roman" w:eastAsia="宋体" w:cs="Times New Roman"/>
          <w:szCs w:val="21"/>
          <w:highlight w:val="none"/>
          <w:lang w:bidi="ar"/>
        </w:rPr>
        <w:t>注：1、投标联合体成员数量若有增减，可按实际自行调整。</w:t>
      </w:r>
    </w:p>
    <w:p>
      <w:pPr>
        <w:spacing w:line="324" w:lineRule="auto"/>
        <w:ind w:firstLine="440" w:firstLineChars="200"/>
        <w:rPr>
          <w:rFonts w:ascii="Times New Roman" w:hAnsi="Times New Roman" w:eastAsia="宋体" w:cs="Times New Roman"/>
          <w:highlight w:val="none"/>
          <w:u w:val="single"/>
        </w:rPr>
      </w:pPr>
      <w:r>
        <w:rPr>
          <w:rFonts w:ascii="Times New Roman" w:hAnsi="Times New Roman" w:eastAsia="宋体" w:cs="Times New Roman"/>
          <w:szCs w:val="21"/>
          <w:highlight w:val="none"/>
          <w:lang w:bidi="ar"/>
        </w:rPr>
        <w:t>2、单独投标的，无需提交本协议书。</w:t>
      </w:r>
    </w:p>
    <w:p>
      <w:pPr>
        <w:rPr>
          <w:rFonts w:ascii="宋体" w:hAnsi="宋体" w:eastAsia="宋体" w:cs="宋体"/>
          <w:highlight w:val="none"/>
        </w:rPr>
      </w:pPr>
    </w:p>
    <w:sectPr>
      <w:footerReference r:id="rId4" w:type="default"/>
      <w:pgSz w:w="11906" w:h="16838"/>
      <w:pgMar w:top="1134" w:right="1134" w:bottom="1134" w:left="1134" w:header="6" w:footer="851" w:gutter="284"/>
      <w:cols w:space="720" w:num="1"/>
      <w:docGrid w:linePitch="4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01721"/>
      <w:docPartObj>
        <w:docPartGallery w:val="autotext"/>
      </w:docPartObj>
    </w:sdtPr>
    <w:sdtContent>
      <w:p>
        <w:pPr>
          <w:pStyle w:val="9"/>
          <w:jc w:val="right"/>
        </w:pPr>
        <w:r>
          <w:fldChar w:fldCharType="begin"/>
        </w:r>
        <w:r>
          <w:instrText xml:space="preserve"> PAGE   \* MERGEFORMAT </w:instrText>
        </w:r>
        <w:r>
          <w:fldChar w:fldCharType="separate"/>
        </w:r>
        <w:r>
          <w:rPr>
            <w:lang w:val="zh-CN"/>
          </w:rPr>
          <w:t>5</w:t>
        </w:r>
        <w:r>
          <w:rPr>
            <w:lang w:val="zh-CN"/>
          </w:rP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53EB2"/>
    <w:multiLevelType w:val="multilevel"/>
    <w:tmpl w:val="44053EB2"/>
    <w:lvl w:ilvl="0" w:tentative="0">
      <w:start w:val="1"/>
      <w:numFmt w:val="japaneseCounting"/>
      <w:lvlText w:val="%1、"/>
      <w:lvlJc w:val="left"/>
      <w:pPr>
        <w:ind w:left="1562" w:hanging="720"/>
      </w:pPr>
      <w:rPr>
        <w:rFonts w:hint="default"/>
      </w:rPr>
    </w:lvl>
    <w:lvl w:ilvl="1" w:tentative="0">
      <w:start w:val="1"/>
      <w:numFmt w:val="lowerLetter"/>
      <w:lvlText w:val="%2)"/>
      <w:lvlJc w:val="left"/>
      <w:pPr>
        <w:ind w:left="1682" w:hanging="420"/>
      </w:pPr>
    </w:lvl>
    <w:lvl w:ilvl="2" w:tentative="0">
      <w:start w:val="1"/>
      <w:numFmt w:val="lowerRoman"/>
      <w:lvlText w:val="%3."/>
      <w:lvlJc w:val="right"/>
      <w:pPr>
        <w:ind w:left="2102" w:hanging="420"/>
      </w:pPr>
    </w:lvl>
    <w:lvl w:ilvl="3" w:tentative="0">
      <w:start w:val="1"/>
      <w:numFmt w:val="decimal"/>
      <w:lvlText w:val="%4."/>
      <w:lvlJc w:val="left"/>
      <w:pPr>
        <w:ind w:left="2522" w:hanging="420"/>
      </w:pPr>
    </w:lvl>
    <w:lvl w:ilvl="4" w:tentative="0">
      <w:start w:val="1"/>
      <w:numFmt w:val="lowerLetter"/>
      <w:lvlText w:val="%5)"/>
      <w:lvlJc w:val="left"/>
      <w:pPr>
        <w:ind w:left="2942" w:hanging="420"/>
      </w:pPr>
    </w:lvl>
    <w:lvl w:ilvl="5" w:tentative="0">
      <w:start w:val="1"/>
      <w:numFmt w:val="lowerRoman"/>
      <w:lvlText w:val="%6."/>
      <w:lvlJc w:val="right"/>
      <w:pPr>
        <w:ind w:left="3362" w:hanging="420"/>
      </w:pPr>
    </w:lvl>
    <w:lvl w:ilvl="6" w:tentative="0">
      <w:start w:val="1"/>
      <w:numFmt w:val="decimal"/>
      <w:lvlText w:val="%7."/>
      <w:lvlJc w:val="left"/>
      <w:pPr>
        <w:ind w:left="3782" w:hanging="420"/>
      </w:pPr>
    </w:lvl>
    <w:lvl w:ilvl="7" w:tentative="0">
      <w:start w:val="1"/>
      <w:numFmt w:val="lowerLetter"/>
      <w:lvlText w:val="%8)"/>
      <w:lvlJc w:val="left"/>
      <w:pPr>
        <w:ind w:left="4202" w:hanging="420"/>
      </w:pPr>
    </w:lvl>
    <w:lvl w:ilvl="8" w:tentative="0">
      <w:start w:val="1"/>
      <w:numFmt w:val="lowerRoman"/>
      <w:lvlText w:val="%9."/>
      <w:lvlJc w:val="right"/>
      <w:pPr>
        <w:ind w:left="46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D31D50"/>
    <w:rsid w:val="000606E0"/>
    <w:rsid w:val="000A4AFC"/>
    <w:rsid w:val="000B5DCC"/>
    <w:rsid w:val="000C7177"/>
    <w:rsid w:val="001248BA"/>
    <w:rsid w:val="00163F85"/>
    <w:rsid w:val="0018254C"/>
    <w:rsid w:val="001C75B4"/>
    <w:rsid w:val="001D392B"/>
    <w:rsid w:val="001F1266"/>
    <w:rsid w:val="00212652"/>
    <w:rsid w:val="0021574D"/>
    <w:rsid w:val="0029479D"/>
    <w:rsid w:val="002954DC"/>
    <w:rsid w:val="002F2383"/>
    <w:rsid w:val="0031176B"/>
    <w:rsid w:val="00323B43"/>
    <w:rsid w:val="00355497"/>
    <w:rsid w:val="003602E8"/>
    <w:rsid w:val="003707EC"/>
    <w:rsid w:val="003A30CC"/>
    <w:rsid w:val="003C5F11"/>
    <w:rsid w:val="003D37D8"/>
    <w:rsid w:val="003E419E"/>
    <w:rsid w:val="00403523"/>
    <w:rsid w:val="00426133"/>
    <w:rsid w:val="004266A9"/>
    <w:rsid w:val="004358AB"/>
    <w:rsid w:val="004605BD"/>
    <w:rsid w:val="004A55AD"/>
    <w:rsid w:val="004B1041"/>
    <w:rsid w:val="005029D2"/>
    <w:rsid w:val="00524EB2"/>
    <w:rsid w:val="0056244C"/>
    <w:rsid w:val="0059766B"/>
    <w:rsid w:val="005A4E55"/>
    <w:rsid w:val="005A6A7D"/>
    <w:rsid w:val="005B3AD2"/>
    <w:rsid w:val="005C11CA"/>
    <w:rsid w:val="005E4CA6"/>
    <w:rsid w:val="00621E07"/>
    <w:rsid w:val="006322D4"/>
    <w:rsid w:val="0067168C"/>
    <w:rsid w:val="006C062F"/>
    <w:rsid w:val="00712CA9"/>
    <w:rsid w:val="00712EF4"/>
    <w:rsid w:val="0076385B"/>
    <w:rsid w:val="007B7C3C"/>
    <w:rsid w:val="00820F7A"/>
    <w:rsid w:val="008617E2"/>
    <w:rsid w:val="008618EF"/>
    <w:rsid w:val="008B3824"/>
    <w:rsid w:val="008B7726"/>
    <w:rsid w:val="008F0FD3"/>
    <w:rsid w:val="00944E9E"/>
    <w:rsid w:val="00950FEA"/>
    <w:rsid w:val="00967D7B"/>
    <w:rsid w:val="009B6123"/>
    <w:rsid w:val="009C79F5"/>
    <w:rsid w:val="009F2CF6"/>
    <w:rsid w:val="009F69F7"/>
    <w:rsid w:val="00A043E7"/>
    <w:rsid w:val="00A17796"/>
    <w:rsid w:val="00A32367"/>
    <w:rsid w:val="00A50252"/>
    <w:rsid w:val="00A902B3"/>
    <w:rsid w:val="00AA320E"/>
    <w:rsid w:val="00AB507A"/>
    <w:rsid w:val="00AC20C4"/>
    <w:rsid w:val="00AF3DDC"/>
    <w:rsid w:val="00AF6BA7"/>
    <w:rsid w:val="00B3357F"/>
    <w:rsid w:val="00BA7F53"/>
    <w:rsid w:val="00C43980"/>
    <w:rsid w:val="00C534C0"/>
    <w:rsid w:val="00CA6604"/>
    <w:rsid w:val="00D12FBF"/>
    <w:rsid w:val="00D27170"/>
    <w:rsid w:val="00D31D50"/>
    <w:rsid w:val="00D51E50"/>
    <w:rsid w:val="00D703B2"/>
    <w:rsid w:val="00D71A29"/>
    <w:rsid w:val="00DB464C"/>
    <w:rsid w:val="00DE27E5"/>
    <w:rsid w:val="00E00443"/>
    <w:rsid w:val="00E20932"/>
    <w:rsid w:val="00E24BEA"/>
    <w:rsid w:val="00E34700"/>
    <w:rsid w:val="00E614BE"/>
    <w:rsid w:val="00E61C8D"/>
    <w:rsid w:val="00E949C5"/>
    <w:rsid w:val="00E96DEF"/>
    <w:rsid w:val="00EA6178"/>
    <w:rsid w:val="00EC030D"/>
    <w:rsid w:val="00F4652B"/>
    <w:rsid w:val="00FB0F6E"/>
    <w:rsid w:val="08B42A65"/>
    <w:rsid w:val="0E9C0543"/>
    <w:rsid w:val="118C1BF9"/>
    <w:rsid w:val="11F83306"/>
    <w:rsid w:val="14A33E02"/>
    <w:rsid w:val="1B9A3DC4"/>
    <w:rsid w:val="1D201070"/>
    <w:rsid w:val="26D2047B"/>
    <w:rsid w:val="34BB0D29"/>
    <w:rsid w:val="3D2263DC"/>
    <w:rsid w:val="40AB5760"/>
    <w:rsid w:val="465E7C4E"/>
    <w:rsid w:val="511B709E"/>
    <w:rsid w:val="51D142A3"/>
    <w:rsid w:val="541747B9"/>
    <w:rsid w:val="592D1791"/>
    <w:rsid w:val="6A615F83"/>
    <w:rsid w:val="6B090729"/>
    <w:rsid w:val="6B646CBE"/>
    <w:rsid w:val="6BCA66A2"/>
    <w:rsid w:val="6D6377B8"/>
    <w:rsid w:val="6DBC309B"/>
    <w:rsid w:val="6F4C1195"/>
    <w:rsid w:val="7C021F97"/>
    <w:rsid w:val="7CED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3">
    <w:name w:val="annotation text"/>
    <w:basedOn w:val="1"/>
    <w:link w:val="26"/>
    <w:unhideWhenUsed/>
    <w:qFormat/>
    <w:uiPriority w:val="0"/>
    <w:pPr>
      <w:widowControl w:val="0"/>
      <w:adjustRightInd/>
      <w:snapToGrid/>
      <w:spacing w:after="0"/>
    </w:pPr>
    <w:rPr>
      <w:rFonts w:ascii="Times New Roman" w:hAnsi="Times New Roman" w:eastAsia="宋体" w:cs="Times New Roman"/>
      <w:sz w:val="20"/>
      <w:szCs w:val="24"/>
    </w:rPr>
  </w:style>
  <w:style w:type="paragraph" w:styleId="4">
    <w:name w:val="Body Text"/>
    <w:basedOn w:val="1"/>
    <w:next w:val="1"/>
    <w:link w:val="18"/>
    <w:qFormat/>
    <w:uiPriority w:val="0"/>
    <w:pPr>
      <w:widowControl w:val="0"/>
      <w:adjustRightInd/>
      <w:snapToGrid/>
      <w:spacing w:after="120"/>
      <w:jc w:val="both"/>
    </w:pPr>
    <w:rPr>
      <w:rFonts w:ascii="Times New Roman" w:hAnsi="Times New Roman" w:eastAsia="楷体_GB2312" w:cs="Times New Roman"/>
      <w:kern w:val="2"/>
      <w:sz w:val="21"/>
      <w:szCs w:val="24"/>
    </w:rPr>
  </w:style>
  <w:style w:type="paragraph" w:styleId="5">
    <w:name w:val="Body Text Indent"/>
    <w:basedOn w:val="1"/>
    <w:qFormat/>
    <w:uiPriority w:val="99"/>
    <w:pPr>
      <w:spacing w:after="120"/>
      <w:ind w:left="420" w:leftChars="200"/>
    </w:pPr>
    <w:rPr>
      <w:rFonts w:ascii="Times New Roman" w:hAnsi="Times New Roman" w:cs="Times New Roman"/>
      <w:sz w:val="24"/>
      <w:szCs w:val="24"/>
    </w:rPr>
  </w:style>
  <w:style w:type="paragraph" w:styleId="6">
    <w:name w:val="Plain Text"/>
    <w:basedOn w:val="1"/>
    <w:next w:val="1"/>
    <w:link w:val="21"/>
    <w:qFormat/>
    <w:uiPriority w:val="0"/>
    <w:pPr>
      <w:widowControl w:val="0"/>
      <w:adjustRightInd/>
      <w:snapToGrid/>
      <w:spacing w:after="0"/>
      <w:jc w:val="both"/>
    </w:pPr>
    <w:rPr>
      <w:rFonts w:ascii="宋体" w:hAnsi="Courier New" w:eastAsia="宋体" w:cs="Times New Roman"/>
      <w:sz w:val="20"/>
      <w:szCs w:val="20"/>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31"/>
    <w:semiHidden/>
    <w:unhideWhenUsed/>
    <w:qFormat/>
    <w:uiPriority w:val="99"/>
    <w:pPr>
      <w:spacing w:after="0"/>
    </w:pPr>
    <w:rPr>
      <w:sz w:val="18"/>
      <w:szCs w:val="18"/>
    </w:rPr>
  </w:style>
  <w:style w:type="paragraph" w:styleId="9">
    <w:name w:val="footer"/>
    <w:basedOn w:val="1"/>
    <w:link w:val="17"/>
    <w:unhideWhenUsed/>
    <w:qFormat/>
    <w:uiPriority w:val="99"/>
    <w:pPr>
      <w:tabs>
        <w:tab w:val="center" w:pos="4153"/>
        <w:tab w:val="right" w:pos="8306"/>
      </w:tabs>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Body Text 2"/>
    <w:basedOn w:val="1"/>
    <w:link w:val="19"/>
    <w:qFormat/>
    <w:uiPriority w:val="0"/>
    <w:pPr>
      <w:widowControl w:val="0"/>
      <w:adjustRightInd/>
      <w:snapToGrid/>
      <w:spacing w:after="0"/>
      <w:jc w:val="both"/>
    </w:pPr>
    <w:rPr>
      <w:rFonts w:ascii="宋体" w:hAnsi="宋体" w:eastAsia="宋体" w:cs="Times New Roman"/>
      <w:kern w:val="2"/>
      <w:sz w:val="21"/>
      <w:szCs w:val="24"/>
      <w:u w:val="single"/>
    </w:rPr>
  </w:style>
  <w:style w:type="paragraph" w:styleId="12">
    <w:name w:val="Body Text First Indent"/>
    <w:basedOn w:val="4"/>
    <w:next w:val="13"/>
    <w:link w:val="30"/>
    <w:unhideWhenUsed/>
    <w:qFormat/>
    <w:uiPriority w:val="99"/>
    <w:pPr>
      <w:widowControl/>
      <w:adjustRightInd w:val="0"/>
      <w:snapToGrid w:val="0"/>
      <w:ind w:firstLine="420" w:firstLineChars="100"/>
      <w:jc w:val="left"/>
    </w:pPr>
    <w:rPr>
      <w:rFonts w:ascii="Tahoma" w:hAnsi="Tahoma" w:eastAsia="微软雅黑" w:cstheme="minorBidi"/>
      <w:kern w:val="0"/>
      <w:sz w:val="22"/>
      <w:szCs w:val="22"/>
    </w:rPr>
  </w:style>
  <w:style w:type="paragraph" w:styleId="13">
    <w:name w:val="Body Text First Indent 2"/>
    <w:basedOn w:val="5"/>
    <w:qFormat/>
    <w:uiPriority w:val="0"/>
    <w:pPr>
      <w:spacing w:after="0" w:line="420" w:lineRule="exact"/>
      <w:ind w:left="0" w:leftChars="0" w:firstLine="420" w:firstLineChars="200"/>
    </w:pPr>
    <w:rPr>
      <w:rFonts w:ascii="宋体" w:hAnsi="宋体"/>
      <w:color w:val="000000"/>
      <w:szCs w:val="18"/>
    </w:rPr>
  </w:style>
  <w:style w:type="character" w:customStyle="1" w:styleId="16">
    <w:name w:val="页眉 Char"/>
    <w:basedOn w:val="15"/>
    <w:link w:val="10"/>
    <w:qFormat/>
    <w:uiPriority w:val="99"/>
    <w:rPr>
      <w:rFonts w:ascii="Tahoma" w:hAnsi="Tahoma"/>
      <w:sz w:val="18"/>
      <w:szCs w:val="18"/>
    </w:rPr>
  </w:style>
  <w:style w:type="character" w:customStyle="1" w:styleId="17">
    <w:name w:val="页脚 Char"/>
    <w:basedOn w:val="15"/>
    <w:link w:val="9"/>
    <w:qFormat/>
    <w:uiPriority w:val="99"/>
    <w:rPr>
      <w:rFonts w:ascii="Tahoma" w:hAnsi="Tahoma"/>
      <w:sz w:val="18"/>
      <w:szCs w:val="18"/>
    </w:rPr>
  </w:style>
  <w:style w:type="character" w:customStyle="1" w:styleId="18">
    <w:name w:val="正文文本 Char"/>
    <w:basedOn w:val="15"/>
    <w:link w:val="4"/>
    <w:qFormat/>
    <w:uiPriority w:val="0"/>
    <w:rPr>
      <w:rFonts w:ascii="Times New Roman" w:hAnsi="Times New Roman" w:eastAsia="楷体_GB2312" w:cs="Times New Roman"/>
      <w:kern w:val="2"/>
      <w:sz w:val="21"/>
      <w:szCs w:val="24"/>
    </w:rPr>
  </w:style>
  <w:style w:type="character" w:customStyle="1" w:styleId="19">
    <w:name w:val="正文文本 2 Char"/>
    <w:basedOn w:val="15"/>
    <w:link w:val="11"/>
    <w:qFormat/>
    <w:uiPriority w:val="0"/>
    <w:rPr>
      <w:rFonts w:ascii="宋体" w:hAnsi="宋体" w:eastAsia="宋体" w:cs="Times New Roman"/>
      <w:kern w:val="2"/>
      <w:sz w:val="21"/>
      <w:szCs w:val="24"/>
      <w:u w:val="single"/>
    </w:rPr>
  </w:style>
  <w:style w:type="character" w:customStyle="1" w:styleId="20">
    <w:name w:val="纯文本 Char"/>
    <w:basedOn w:val="15"/>
    <w:semiHidden/>
    <w:qFormat/>
    <w:uiPriority w:val="99"/>
    <w:rPr>
      <w:rFonts w:ascii="宋体" w:hAnsi="Courier New" w:eastAsia="宋体" w:cs="Courier New"/>
      <w:sz w:val="21"/>
      <w:szCs w:val="21"/>
    </w:rPr>
  </w:style>
  <w:style w:type="character" w:customStyle="1" w:styleId="21">
    <w:name w:val="纯文本 Char1"/>
    <w:link w:val="6"/>
    <w:qFormat/>
    <w:uiPriority w:val="0"/>
    <w:rPr>
      <w:rFonts w:ascii="宋体" w:hAnsi="Courier New" w:eastAsia="宋体" w:cs="Times New Roman"/>
      <w:sz w:val="20"/>
      <w:szCs w:val="20"/>
    </w:rPr>
  </w:style>
  <w:style w:type="character" w:customStyle="1" w:styleId="22">
    <w:name w:val="NormalCharacter"/>
    <w:qFormat/>
    <w:uiPriority w:val="0"/>
  </w:style>
  <w:style w:type="paragraph" w:styleId="23">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0"/>
    </w:rPr>
  </w:style>
  <w:style w:type="character" w:customStyle="1" w:styleId="24">
    <w:name w:val="纯文本 Char2"/>
    <w:qFormat/>
    <w:uiPriority w:val="0"/>
    <w:rPr>
      <w:rFonts w:ascii="宋体" w:hAnsi="Courier New"/>
    </w:rPr>
  </w:style>
  <w:style w:type="character" w:customStyle="1" w:styleId="25">
    <w:name w:val="批注文字 Char"/>
    <w:basedOn w:val="15"/>
    <w:semiHidden/>
    <w:qFormat/>
    <w:uiPriority w:val="99"/>
    <w:rPr>
      <w:rFonts w:ascii="Tahoma" w:hAnsi="Tahoma"/>
    </w:rPr>
  </w:style>
  <w:style w:type="character" w:customStyle="1" w:styleId="26">
    <w:name w:val="批注文字 Char1"/>
    <w:link w:val="3"/>
    <w:qFormat/>
    <w:uiPriority w:val="0"/>
    <w:rPr>
      <w:rFonts w:ascii="Times New Roman" w:hAnsi="Times New Roman" w:eastAsia="宋体" w:cs="Times New Roman"/>
      <w:sz w:val="20"/>
      <w:szCs w:val="24"/>
    </w:rPr>
  </w:style>
  <w:style w:type="paragraph" w:customStyle="1" w:styleId="27">
    <w:name w:val="BodyText"/>
    <w:basedOn w:val="1"/>
    <w:qFormat/>
    <w:uiPriority w:val="0"/>
    <w:pPr>
      <w:widowControl w:val="0"/>
      <w:adjustRightInd/>
      <w:snapToGrid/>
      <w:spacing w:after="120"/>
      <w:jc w:val="both"/>
    </w:pPr>
    <w:rPr>
      <w:rFonts w:ascii="等线" w:hAnsi="等线" w:eastAsia="等线" w:cs="Times New Roman"/>
      <w:kern w:val="2"/>
      <w:sz w:val="20"/>
      <w:szCs w:val="20"/>
    </w:rPr>
  </w:style>
  <w:style w:type="paragraph" w:customStyle="1" w:styleId="28">
    <w:name w:val="样式 宋体 行距: 1.5 倍行距"/>
    <w:basedOn w:val="1"/>
    <w:qFormat/>
    <w:uiPriority w:val="0"/>
    <w:pPr>
      <w:widowControl w:val="0"/>
      <w:adjustRightInd/>
      <w:snapToGrid/>
      <w:spacing w:after="0"/>
      <w:jc w:val="center"/>
    </w:pPr>
    <w:rPr>
      <w:rFonts w:ascii="Times New Roman" w:hAnsi="Times New Roman" w:eastAsia="宋体" w:cs="Times New Roman"/>
      <w:b/>
      <w:kern w:val="2"/>
      <w:sz w:val="21"/>
      <w:szCs w:val="24"/>
    </w:rPr>
  </w:style>
  <w:style w:type="paragraph" w:customStyle="1" w:styleId="2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首行缩进 Char"/>
    <w:basedOn w:val="18"/>
    <w:link w:val="12"/>
    <w:qFormat/>
    <w:uiPriority w:val="99"/>
    <w:rPr>
      <w:rFonts w:ascii="Tahoma" w:hAnsi="Tahoma" w:eastAsia="楷体_GB2312" w:cs="Times New Roman"/>
      <w:kern w:val="2"/>
      <w:sz w:val="21"/>
      <w:szCs w:val="24"/>
    </w:rPr>
  </w:style>
  <w:style w:type="character" w:customStyle="1" w:styleId="31">
    <w:name w:val="批注框文本 Char"/>
    <w:basedOn w:val="15"/>
    <w:link w:val="8"/>
    <w:semiHidden/>
    <w:qFormat/>
    <w:uiPriority w:val="99"/>
    <w:rPr>
      <w:rFonts w:ascii="Tahoma" w:hAnsi="Tahoma"/>
      <w:sz w:val="18"/>
      <w:szCs w:val="18"/>
    </w:rPr>
  </w:style>
  <w:style w:type="character" w:customStyle="1" w:styleId="32">
    <w:name w:val="日期 Char"/>
    <w:basedOn w:val="15"/>
    <w:link w:val="7"/>
    <w:semiHidden/>
    <w:qFormat/>
    <w:uiPriority w:val="99"/>
    <w:rPr>
      <w:rFonts w:ascii="Tahoma" w:hAnsi="Tahoma"/>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4">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511172-C2BA-40D2-8EEC-94598D73A1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1515</Words>
  <Characters>8640</Characters>
  <Lines>72</Lines>
  <Paragraphs>20</Paragraphs>
  <TotalTime>5</TotalTime>
  <ScaleCrop>false</ScaleCrop>
  <LinksUpToDate>false</LinksUpToDate>
  <CharactersWithSpaces>10135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2023-10-08T01:53:00Z</dcterms:created>
  <dc:creator>Administrator</dc:creator>
  <cp:lastModifiedBy>张荣</cp:lastModifiedBy>
  <cp:lastPrinted>2023-07-11T06:43:00Z</cp:lastPrinted>
  <dcterms:modified xsi:type="dcterms:W3CDTF">2023-10-10T08:53:55Z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F03C59E1913E4055A23136B7DDCD2FDE</vt:lpwstr>
  </property>
</Properties>
</file>