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ind w:firstLine="3720" w:firstLineChars="1550"/>
        <w:rPr>
          <w:rFonts w:ascii="黑体" w:hAnsi="黑体" w:eastAsia="黑体"/>
          <w:b/>
          <w:color w:val="auto"/>
          <w:sz w:val="24"/>
          <w:szCs w:val="24"/>
          <w:highlight w:val="none"/>
        </w:rPr>
      </w:pPr>
      <w:r>
        <w:rPr>
          <w:rFonts w:hint="eastAsia" w:ascii="黑体" w:hAnsi="黑体" w:eastAsia="黑体"/>
          <w:bCs/>
          <w:color w:val="auto"/>
          <w:sz w:val="24"/>
          <w:szCs w:val="24"/>
          <w:highlight w:val="none"/>
        </w:rPr>
        <w:t>合同编号：</w:t>
      </w:r>
      <w:r>
        <w:rPr>
          <w:rFonts w:hint="eastAsia" w:ascii="黑体" w:hAnsi="黑体" w:eastAsia="黑体"/>
          <w:bCs/>
          <w:color w:val="auto"/>
          <w:sz w:val="24"/>
          <w:szCs w:val="24"/>
          <w:highlight w:val="none"/>
          <w:u w:val="single"/>
        </w:rPr>
        <w:t xml:space="preserve">                        </w:t>
      </w:r>
      <w:r>
        <w:rPr>
          <w:rFonts w:hint="eastAsia" w:ascii="黑体" w:hAnsi="黑体" w:eastAsia="黑体"/>
          <w:bCs/>
          <w:color w:val="auto"/>
          <w:sz w:val="24"/>
          <w:szCs w:val="24"/>
          <w:highlight w:val="none"/>
        </w:rPr>
        <w:t xml:space="preserve"> </w:t>
      </w:r>
    </w:p>
    <w:p>
      <w:pPr>
        <w:jc w:val="center"/>
        <w:rPr>
          <w:rFonts w:ascii="黑体" w:hAnsi="黑体" w:eastAsia="黑体"/>
          <w:color w:val="auto"/>
          <w:spacing w:val="120"/>
          <w:sz w:val="48"/>
          <w:highlight w:val="none"/>
        </w:rPr>
      </w:pPr>
    </w:p>
    <w:p>
      <w:pPr>
        <w:spacing w:before="120" w:after="120"/>
        <w:jc w:val="center"/>
        <w:rPr>
          <w:rFonts w:ascii="黑体" w:hAnsi="黑体" w:eastAsia="黑体"/>
          <w:color w:val="auto"/>
          <w:sz w:val="48"/>
          <w:szCs w:val="48"/>
          <w:highlight w:val="none"/>
          <w:u w:val="single"/>
        </w:rPr>
      </w:pPr>
      <w:r>
        <w:rPr>
          <w:rFonts w:hint="eastAsia" w:ascii="黑体" w:hAnsi="黑体" w:eastAsia="黑体"/>
          <w:color w:val="auto"/>
          <w:sz w:val="48"/>
          <w:szCs w:val="48"/>
          <w:highlight w:val="none"/>
          <w:u w:val="single"/>
        </w:rPr>
        <w:t>南沙期货金融大数据产业园（横沥）项目基坑支护工程第三方检测、监测服务</w:t>
      </w:r>
    </w:p>
    <w:p>
      <w:pPr>
        <w:spacing w:before="120" w:after="120"/>
        <w:jc w:val="center"/>
        <w:rPr>
          <w:rFonts w:ascii="黑体" w:hAnsi="黑体" w:eastAsia="黑体"/>
          <w:color w:val="auto"/>
          <w:sz w:val="30"/>
          <w:szCs w:val="30"/>
          <w:highlight w:val="none"/>
        </w:rPr>
      </w:pPr>
    </w:p>
    <w:p>
      <w:pPr>
        <w:spacing w:before="120" w:after="120"/>
        <w:jc w:val="center"/>
        <w:rPr>
          <w:rFonts w:ascii="黑体" w:hAnsi="黑体" w:eastAsia="黑体"/>
          <w:color w:val="auto"/>
          <w:sz w:val="30"/>
          <w:szCs w:val="30"/>
          <w:highlight w:val="none"/>
        </w:rPr>
      </w:pPr>
    </w:p>
    <w:p>
      <w:pPr>
        <w:spacing w:before="120" w:after="120"/>
        <w:jc w:val="center"/>
        <w:rPr>
          <w:rFonts w:ascii="黑体" w:hAnsi="黑体" w:eastAsia="黑体"/>
          <w:color w:val="auto"/>
          <w:sz w:val="30"/>
          <w:szCs w:val="30"/>
          <w:highlight w:val="none"/>
        </w:rPr>
      </w:pPr>
    </w:p>
    <w:p>
      <w:pPr>
        <w:spacing w:before="120" w:after="120"/>
        <w:jc w:val="center"/>
        <w:rPr>
          <w:rFonts w:ascii="黑体" w:hAnsi="黑体" w:eastAsia="黑体"/>
          <w:color w:val="auto"/>
          <w:sz w:val="30"/>
          <w:szCs w:val="30"/>
          <w:highlight w:val="none"/>
        </w:rPr>
      </w:pPr>
    </w:p>
    <w:p>
      <w:pPr>
        <w:spacing w:before="312" w:beforeLines="100" w:after="100" w:afterAutospacing="1" w:line="480" w:lineRule="auto"/>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技术服务合同</w:t>
      </w:r>
    </w:p>
    <w:p>
      <w:pPr>
        <w:spacing w:before="120" w:after="120"/>
        <w:rPr>
          <w:rFonts w:ascii="黑体" w:hAnsi="黑体" w:eastAsia="黑体"/>
          <w:b/>
          <w:color w:val="auto"/>
          <w:sz w:val="30"/>
          <w:szCs w:val="30"/>
          <w:highlight w:val="none"/>
        </w:rPr>
      </w:pPr>
    </w:p>
    <w:p>
      <w:pPr>
        <w:spacing w:before="120" w:after="120"/>
        <w:rPr>
          <w:rFonts w:ascii="黑体" w:hAnsi="黑体" w:eastAsia="黑体"/>
          <w:b/>
          <w:color w:val="auto"/>
          <w:sz w:val="30"/>
          <w:szCs w:val="30"/>
          <w:highlight w:val="none"/>
        </w:rPr>
      </w:pPr>
    </w:p>
    <w:p>
      <w:pPr>
        <w:rPr>
          <w:rFonts w:ascii="黑体" w:hAnsi="黑体" w:eastAsia="黑体"/>
          <w:color w:val="auto"/>
          <w:sz w:val="30"/>
          <w:szCs w:val="30"/>
          <w:highlight w:val="none"/>
          <w:u w:val="single"/>
        </w:rPr>
      </w:pPr>
      <w:r>
        <w:rPr>
          <w:rFonts w:hint="eastAsia" w:ascii="黑体" w:hAnsi="黑体" w:eastAsia="黑体"/>
          <w:color w:val="auto"/>
          <w:sz w:val="30"/>
          <w:szCs w:val="30"/>
          <w:highlight w:val="none"/>
        </w:rPr>
        <w:t xml:space="preserve">委托方（甲方、业主）： </w:t>
      </w:r>
      <w:r>
        <w:rPr>
          <w:rFonts w:hint="eastAsia" w:ascii="黑体" w:hAnsi="黑体" w:eastAsia="黑体"/>
          <w:color w:val="auto"/>
          <w:sz w:val="30"/>
          <w:szCs w:val="30"/>
          <w:highlight w:val="none"/>
          <w:u w:val="single"/>
        </w:rPr>
        <w:t>广州南沙期金产业园投资有限公司</w:t>
      </w:r>
    </w:p>
    <w:p>
      <w:pPr>
        <w:rPr>
          <w:rFonts w:ascii="黑体" w:hAnsi="黑体" w:eastAsia="黑体"/>
          <w:color w:val="auto"/>
          <w:sz w:val="30"/>
          <w:szCs w:val="30"/>
          <w:highlight w:val="none"/>
        </w:rPr>
      </w:pPr>
      <w:bookmarkStart w:id="0" w:name="_Hlk143697044"/>
      <w:r>
        <w:rPr>
          <w:rFonts w:hint="eastAsia" w:ascii="黑体" w:hAnsi="黑体" w:eastAsia="黑体"/>
          <w:color w:val="auto"/>
          <w:sz w:val="30"/>
          <w:szCs w:val="30"/>
          <w:highlight w:val="none"/>
        </w:rPr>
        <w:t>委托方（甲方、项目管理单位）：</w:t>
      </w:r>
      <w:r>
        <w:rPr>
          <w:rFonts w:hint="eastAsia" w:ascii="黑体" w:hAnsi="黑体" w:eastAsia="黑体" w:cs="黑体"/>
          <w:color w:val="auto"/>
          <w:sz w:val="30"/>
          <w:szCs w:val="30"/>
          <w:highlight w:val="none"/>
          <w:u w:val="single"/>
        </w:rPr>
        <w:t>广州南投房地产开发有限</w:t>
      </w:r>
      <w:r>
        <w:rPr>
          <w:rFonts w:ascii="黑体" w:hAnsi="黑体" w:eastAsia="黑体" w:cs="黑体"/>
          <w:color w:val="auto"/>
          <w:sz w:val="30"/>
          <w:szCs w:val="30"/>
          <w:highlight w:val="none"/>
          <w:u w:val="single"/>
        </w:rPr>
        <w:t>公司</w:t>
      </w:r>
    </w:p>
    <w:bookmarkEnd w:id="0"/>
    <w:p>
      <w:pPr>
        <w:rPr>
          <w:rFonts w:ascii="黑体" w:hAnsi="黑体" w:eastAsia="黑体"/>
          <w:color w:val="auto"/>
          <w:sz w:val="30"/>
          <w:szCs w:val="30"/>
          <w:highlight w:val="none"/>
        </w:rPr>
      </w:pPr>
      <w:r>
        <w:rPr>
          <w:rFonts w:hint="eastAsia" w:ascii="黑体" w:hAnsi="黑体" w:eastAsia="黑体"/>
          <w:color w:val="auto"/>
          <w:sz w:val="30"/>
          <w:szCs w:val="30"/>
          <w:highlight w:val="none"/>
        </w:rPr>
        <w:t xml:space="preserve">受托方（乙方）： </w:t>
      </w:r>
      <w:r>
        <w:rPr>
          <w:rFonts w:hint="eastAsia" w:ascii="黑体" w:hAnsi="黑体" w:eastAsia="黑体"/>
          <w:color w:val="auto"/>
          <w:sz w:val="30"/>
          <w:szCs w:val="30"/>
          <w:highlight w:val="none"/>
          <w:u w:val="single"/>
        </w:rPr>
        <w:t xml:space="preserve">  </w:t>
      </w:r>
      <w:r>
        <w:rPr>
          <w:rFonts w:ascii="黑体" w:hAnsi="黑体" w:eastAsia="黑体"/>
          <w:color w:val="auto"/>
          <w:sz w:val="30"/>
          <w:szCs w:val="30"/>
          <w:highlight w:val="none"/>
          <w:u w:val="single"/>
        </w:rPr>
        <w:t xml:space="preserve">                            </w:t>
      </w:r>
    </w:p>
    <w:p>
      <w:pPr>
        <w:rPr>
          <w:rFonts w:ascii="黑体" w:hAnsi="黑体" w:eastAsia="黑体"/>
          <w:color w:val="auto"/>
          <w:sz w:val="30"/>
          <w:szCs w:val="30"/>
          <w:highlight w:val="none"/>
        </w:rPr>
      </w:pPr>
    </w:p>
    <w:p>
      <w:pPr>
        <w:jc w:val="center"/>
        <w:rPr>
          <w:rFonts w:ascii="黑体" w:hAnsi="黑体" w:eastAsia="黑体"/>
          <w:color w:val="auto"/>
          <w:sz w:val="30"/>
          <w:szCs w:val="30"/>
          <w:highlight w:val="none"/>
          <w:u w:val="single"/>
        </w:rPr>
      </w:pPr>
      <w:r>
        <w:rPr>
          <w:rFonts w:hint="eastAsia" w:ascii="黑体" w:hAnsi="黑体" w:eastAsia="黑体"/>
          <w:color w:val="auto"/>
          <w:sz w:val="30"/>
          <w:szCs w:val="30"/>
          <w:highlight w:val="none"/>
        </w:rPr>
        <w:t xml:space="preserve">          </w:t>
      </w:r>
    </w:p>
    <w:p>
      <w:pPr>
        <w:adjustRightInd w:val="0"/>
        <w:snapToGrid w:val="0"/>
        <w:spacing w:before="156" w:beforeLines="50" w:after="156" w:afterLines="50" w:line="360" w:lineRule="auto"/>
        <w:ind w:firstLine="2400" w:firstLineChars="800"/>
        <w:rPr>
          <w:rFonts w:ascii="黑体" w:hAnsi="黑体" w:eastAsia="黑体"/>
          <w:bCs/>
          <w:color w:val="auto"/>
          <w:sz w:val="30"/>
          <w:szCs w:val="30"/>
          <w:highlight w:val="none"/>
        </w:rPr>
      </w:pPr>
      <w:r>
        <w:rPr>
          <w:rFonts w:hint="eastAsia" w:ascii="黑体" w:hAnsi="黑体" w:eastAsia="黑体"/>
          <w:bCs/>
          <w:color w:val="auto"/>
          <w:sz w:val="30"/>
          <w:szCs w:val="30"/>
          <w:highlight w:val="none"/>
        </w:rPr>
        <w:t>签订日期：2023 年  月</w:t>
      </w:r>
    </w:p>
    <w:p>
      <w:pPr>
        <w:adjustRightInd w:val="0"/>
        <w:snapToGrid w:val="0"/>
        <w:spacing w:before="156" w:beforeLines="50" w:after="156" w:afterLines="50" w:line="360" w:lineRule="auto"/>
        <w:ind w:firstLine="2700"/>
        <w:rPr>
          <w:rFonts w:ascii="黑体" w:hAnsi="黑体" w:eastAsia="黑体"/>
          <w:bCs/>
          <w:color w:val="auto"/>
          <w:sz w:val="30"/>
          <w:szCs w:val="30"/>
          <w:highlight w:val="none"/>
        </w:rPr>
        <w:sectPr>
          <w:footerReference r:id="rId3" w:type="default"/>
          <w:pgSz w:w="11906" w:h="16838"/>
          <w:pgMar w:top="1440" w:right="1800" w:bottom="1440" w:left="1800" w:header="851" w:footer="992" w:gutter="0"/>
          <w:cols w:space="720" w:num="1"/>
          <w:docGrid w:type="lines" w:linePitch="312" w:charSpace="0"/>
        </w:sectPr>
      </w:pPr>
    </w:p>
    <w:p>
      <w:pPr>
        <w:spacing w:before="120" w:after="120"/>
        <w:jc w:val="center"/>
        <w:rPr>
          <w:rFonts w:ascii="宋体" w:hAnsi="宋体" w:cs="宋体"/>
          <w:b/>
          <w:bCs/>
          <w:color w:val="auto"/>
          <w:sz w:val="32"/>
          <w:szCs w:val="32"/>
          <w:highlight w:val="none"/>
          <w:u w:val="single"/>
        </w:rPr>
      </w:pPr>
      <w:r>
        <w:rPr>
          <w:rFonts w:hint="eastAsia" w:ascii="宋体" w:hAnsi="宋体" w:cs="宋体"/>
          <w:b/>
          <w:bCs/>
          <w:color w:val="auto"/>
          <w:sz w:val="32"/>
          <w:szCs w:val="32"/>
          <w:highlight w:val="none"/>
          <w:u w:val="single"/>
        </w:rPr>
        <w:t>南沙期货金融大数据产</w:t>
      </w:r>
      <w:bookmarkStart w:id="1" w:name="_GoBack"/>
      <w:bookmarkEnd w:id="1"/>
      <w:r>
        <w:rPr>
          <w:rFonts w:hint="eastAsia" w:ascii="宋体" w:hAnsi="宋体" w:cs="宋体"/>
          <w:b/>
          <w:bCs/>
          <w:color w:val="auto"/>
          <w:sz w:val="32"/>
          <w:szCs w:val="32"/>
          <w:highlight w:val="none"/>
          <w:u w:val="single"/>
        </w:rPr>
        <w:t>业园（横沥）项目</w:t>
      </w:r>
    </w:p>
    <w:p>
      <w:pPr>
        <w:spacing w:before="120" w:after="120"/>
        <w:jc w:val="center"/>
        <w:rPr>
          <w:rFonts w:ascii="宋体" w:hAnsi="宋体" w:cs="宋体"/>
          <w:b/>
          <w:bCs/>
          <w:color w:val="auto"/>
          <w:sz w:val="32"/>
          <w:szCs w:val="32"/>
          <w:highlight w:val="none"/>
          <w:u w:val="single"/>
        </w:rPr>
      </w:pPr>
      <w:r>
        <w:rPr>
          <w:rFonts w:hint="eastAsia" w:ascii="宋体" w:hAnsi="宋体" w:cs="宋体"/>
          <w:b/>
          <w:bCs/>
          <w:color w:val="auto"/>
          <w:sz w:val="32"/>
          <w:szCs w:val="32"/>
          <w:highlight w:val="none"/>
          <w:u w:val="single"/>
        </w:rPr>
        <w:t xml:space="preserve">基坑支护工程第三方检测、监测服务 </w:t>
      </w:r>
    </w:p>
    <w:p>
      <w:pPr>
        <w:spacing w:before="120" w:after="120"/>
        <w:jc w:val="center"/>
        <w:rPr>
          <w:rFonts w:ascii="Calibri" w:hAnsi="Calibri"/>
          <w:b/>
          <w:color w:val="auto"/>
          <w:sz w:val="30"/>
          <w:szCs w:val="30"/>
          <w:highlight w:val="none"/>
        </w:rPr>
      </w:pPr>
      <w:r>
        <w:rPr>
          <w:rFonts w:hint="eastAsia" w:ascii="Calibri" w:hAnsi="宋体"/>
          <w:b/>
          <w:color w:val="auto"/>
          <w:sz w:val="32"/>
          <w:szCs w:val="32"/>
          <w:highlight w:val="none"/>
        </w:rPr>
        <w:t>技术服务合同</w:t>
      </w:r>
      <w:r>
        <w:rPr>
          <w:rFonts w:ascii="Calibri" w:hAnsi="Calibri"/>
          <w:b/>
          <w:color w:val="auto"/>
          <w:sz w:val="30"/>
          <w:szCs w:val="30"/>
          <w:highlight w:val="none"/>
        </w:rPr>
        <w:t xml:space="preserve"> </w:t>
      </w:r>
    </w:p>
    <w:p>
      <w:pPr>
        <w:spacing w:before="120" w:after="120"/>
        <w:jc w:val="center"/>
        <w:rPr>
          <w:rFonts w:ascii="Calibri" w:hAnsi="Calibri"/>
          <w:b/>
          <w:color w:val="auto"/>
          <w:sz w:val="30"/>
          <w:szCs w:val="30"/>
          <w:highlight w:val="none"/>
        </w:rPr>
      </w:pPr>
      <w:r>
        <w:rPr>
          <w:rFonts w:ascii="Calibri" w:hAnsi="Calibri"/>
          <w:b/>
          <w:color w:val="auto"/>
          <w:sz w:val="30"/>
          <w:szCs w:val="30"/>
          <w:highlight w:val="none"/>
        </w:rPr>
        <w:t xml:space="preserve">  </w:t>
      </w:r>
    </w:p>
    <w:p>
      <w:pPr>
        <w:spacing w:line="360" w:lineRule="auto"/>
        <w:rPr>
          <w:rFonts w:ascii="Calibri" w:hAnsi="宋体"/>
          <w:color w:val="auto"/>
          <w:sz w:val="24"/>
          <w:szCs w:val="24"/>
          <w:highlight w:val="none"/>
        </w:rPr>
      </w:pPr>
      <w:r>
        <w:rPr>
          <w:rFonts w:hint="eastAsia" w:ascii="Calibri" w:hAnsi="宋体"/>
          <w:color w:val="auto"/>
          <w:sz w:val="24"/>
          <w:szCs w:val="24"/>
          <w:highlight w:val="none"/>
        </w:rPr>
        <w:t xml:space="preserve">委托方（甲方、业主）： </w:t>
      </w:r>
      <w:r>
        <w:rPr>
          <w:rFonts w:hint="eastAsia" w:ascii="Calibri" w:hAnsi="宋体"/>
          <w:color w:val="auto"/>
          <w:sz w:val="24"/>
          <w:szCs w:val="24"/>
          <w:highlight w:val="none"/>
          <w:u w:val="single"/>
        </w:rPr>
        <w:t>广州南沙期金产业园投资有限公司</w:t>
      </w:r>
    </w:p>
    <w:p>
      <w:pPr>
        <w:spacing w:line="360" w:lineRule="auto"/>
        <w:rPr>
          <w:rFonts w:ascii="Calibri" w:hAnsi="Calibri"/>
          <w:color w:val="auto"/>
          <w:sz w:val="24"/>
          <w:szCs w:val="24"/>
          <w:highlight w:val="none"/>
          <w:u w:val="single"/>
        </w:rPr>
      </w:pPr>
      <w:r>
        <w:rPr>
          <w:rFonts w:hint="eastAsia" w:ascii="Calibri" w:hAnsi="宋体"/>
          <w:color w:val="auto"/>
          <w:sz w:val="24"/>
          <w:szCs w:val="24"/>
          <w:highlight w:val="none"/>
        </w:rPr>
        <w:t>委托方（甲方、项目管理单位）：</w:t>
      </w:r>
      <w:r>
        <w:rPr>
          <w:rFonts w:hint="eastAsia" w:ascii="Calibri" w:hAnsi="宋体"/>
          <w:color w:val="auto"/>
          <w:sz w:val="24"/>
          <w:szCs w:val="24"/>
          <w:highlight w:val="none"/>
          <w:u w:val="single"/>
        </w:rPr>
        <w:t>广州南投房地产开发有限</w:t>
      </w:r>
      <w:r>
        <w:rPr>
          <w:rFonts w:ascii="Calibri" w:hAnsi="宋体"/>
          <w:color w:val="auto"/>
          <w:sz w:val="24"/>
          <w:szCs w:val="24"/>
          <w:highlight w:val="none"/>
          <w:u w:val="single"/>
        </w:rPr>
        <w:t>公司</w:t>
      </w:r>
    </w:p>
    <w:p>
      <w:pPr>
        <w:spacing w:line="360" w:lineRule="auto"/>
        <w:rPr>
          <w:rFonts w:ascii="Calibri" w:hAnsi="宋体"/>
          <w:color w:val="auto"/>
          <w:sz w:val="24"/>
          <w:szCs w:val="24"/>
          <w:highlight w:val="none"/>
        </w:rPr>
      </w:pPr>
      <w:r>
        <w:rPr>
          <w:rFonts w:ascii="Calibri" w:hAnsi="宋体"/>
          <w:color w:val="auto"/>
          <w:sz w:val="24"/>
          <w:szCs w:val="24"/>
          <w:highlight w:val="none"/>
        </w:rPr>
        <w:t>受托方(乙方)：</w:t>
      </w:r>
      <w:r>
        <w:rPr>
          <w:rFonts w:hint="eastAsia" w:ascii="Calibri" w:hAnsi="宋体"/>
          <w:color w:val="auto"/>
          <w:sz w:val="24"/>
          <w:szCs w:val="24"/>
          <w:highlight w:val="none"/>
          <w:u w:val="single"/>
        </w:rPr>
        <w:t xml:space="preserve">   </w:t>
      </w:r>
      <w:r>
        <w:rPr>
          <w:rFonts w:ascii="Calibri" w:hAnsi="宋体"/>
          <w:color w:val="auto"/>
          <w:sz w:val="24"/>
          <w:szCs w:val="24"/>
          <w:highlight w:val="none"/>
          <w:u w:val="single"/>
        </w:rPr>
        <w:t xml:space="preserve">                            </w:t>
      </w:r>
    </w:p>
    <w:p>
      <w:pPr>
        <w:spacing w:before="156" w:beforeLines="50" w:after="156" w:afterLines="50" w:line="360" w:lineRule="auto"/>
        <w:ind w:firstLine="480" w:firstLineChars="200"/>
        <w:rPr>
          <w:rFonts w:ascii="宋体" w:hAnsi="宋体" w:cs="宋体"/>
          <w:b/>
          <w:color w:val="auto"/>
          <w:kern w:val="0"/>
          <w:sz w:val="24"/>
          <w:szCs w:val="24"/>
          <w:highlight w:val="none"/>
          <w:u w:val="single"/>
        </w:rPr>
      </w:pPr>
      <w:r>
        <w:rPr>
          <w:rFonts w:hint="eastAsia" w:ascii="宋体" w:hAnsi="宋体"/>
          <w:color w:val="auto"/>
          <w:sz w:val="24"/>
          <w:szCs w:val="24"/>
          <w:highlight w:val="none"/>
        </w:rPr>
        <w:t>经</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公开招标  </w:t>
      </w:r>
      <w:r>
        <w:rPr>
          <w:rFonts w:hint="eastAsia" w:ascii="宋体" w:hAnsi="宋体"/>
          <w:color w:val="auto"/>
          <w:sz w:val="24"/>
          <w:szCs w:val="24"/>
          <w:highlight w:val="none"/>
        </w:rPr>
        <w:t>确定你单位为</w:t>
      </w:r>
      <w:r>
        <w:rPr>
          <w:rFonts w:hint="eastAsia" w:ascii="宋体" w:hAnsi="宋体" w:cs="宋体"/>
          <w:b/>
          <w:color w:val="auto"/>
          <w:kern w:val="0"/>
          <w:sz w:val="24"/>
          <w:szCs w:val="24"/>
          <w:highlight w:val="none"/>
          <w:u w:val="single"/>
        </w:rPr>
        <w:t xml:space="preserve"> </w:t>
      </w:r>
      <w:r>
        <w:rPr>
          <w:rFonts w:ascii="宋体" w:hAnsi="宋体" w:cs="宋体"/>
          <w:b/>
          <w:color w:val="auto"/>
          <w:kern w:val="0"/>
          <w:sz w:val="24"/>
          <w:szCs w:val="24"/>
          <w:highlight w:val="none"/>
          <w:u w:val="single"/>
        </w:rPr>
        <w:t xml:space="preserve"> </w:t>
      </w:r>
      <w:r>
        <w:rPr>
          <w:rFonts w:hint="eastAsia" w:ascii="宋体" w:hAnsi="宋体" w:cs="宋体"/>
          <w:bCs/>
          <w:color w:val="auto"/>
          <w:kern w:val="0"/>
          <w:sz w:val="24"/>
          <w:szCs w:val="24"/>
          <w:highlight w:val="none"/>
          <w:u w:val="single"/>
        </w:rPr>
        <w:t xml:space="preserve">南沙期货金融大数据产业园（横沥）项目基坑支护工程第三方检测、监测服务  </w:t>
      </w:r>
      <w:r>
        <w:rPr>
          <w:rFonts w:hint="eastAsia" w:ascii="宋体" w:hAnsi="宋体"/>
          <w:color w:val="auto"/>
          <w:sz w:val="24"/>
          <w:szCs w:val="24"/>
          <w:highlight w:val="none"/>
        </w:rPr>
        <w:t>的中标单位（中标通知书编号：</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before="156" w:beforeLines="50" w:after="156" w:afterLines="50" w:line="360" w:lineRule="auto"/>
        <w:ind w:firstLine="480" w:firstLineChars="200"/>
        <w:jc w:val="left"/>
        <w:rPr>
          <w:rFonts w:ascii="Calibri" w:hAnsi="宋体"/>
          <w:color w:val="auto"/>
          <w:sz w:val="24"/>
          <w:szCs w:val="24"/>
          <w:highlight w:val="none"/>
        </w:rPr>
      </w:pPr>
      <w:r>
        <w:rPr>
          <w:rFonts w:hint="eastAsia" w:ascii="Calibri" w:hAnsi="宋体"/>
          <w:color w:val="auto"/>
          <w:sz w:val="24"/>
          <w:szCs w:val="24"/>
          <w:highlight w:val="none"/>
        </w:rPr>
        <w:t>甲方委托乙方开展</w:t>
      </w:r>
      <w:r>
        <w:rPr>
          <w:rFonts w:hint="eastAsia" w:ascii="宋体" w:hAnsi="宋体" w:cs="宋体"/>
          <w:bCs/>
          <w:color w:val="auto"/>
          <w:kern w:val="0"/>
          <w:sz w:val="24"/>
          <w:szCs w:val="24"/>
          <w:highlight w:val="none"/>
          <w:u w:val="single"/>
        </w:rPr>
        <w:t xml:space="preserve"> </w:t>
      </w:r>
      <w:r>
        <w:rPr>
          <w:rFonts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rPr>
        <w:t xml:space="preserve">南沙期货金融大数据产业园（横沥）项目基坑支护工程第三方检测、监测 </w:t>
      </w:r>
      <w:r>
        <w:rPr>
          <w:rFonts w:ascii="宋体" w:hAnsi="宋体" w:cs="宋体"/>
          <w:bCs/>
          <w:color w:val="auto"/>
          <w:kern w:val="0"/>
          <w:sz w:val="24"/>
          <w:szCs w:val="24"/>
          <w:highlight w:val="none"/>
          <w:u w:val="single"/>
        </w:rPr>
        <w:t xml:space="preserve"> </w:t>
      </w:r>
      <w:r>
        <w:rPr>
          <w:rFonts w:hint="eastAsia" w:ascii="宋体" w:hAnsi="宋体" w:cs="宋体"/>
          <w:b/>
          <w:color w:val="auto"/>
          <w:kern w:val="0"/>
          <w:sz w:val="24"/>
          <w:szCs w:val="24"/>
          <w:highlight w:val="none"/>
          <w:u w:val="single"/>
        </w:rPr>
        <w:t xml:space="preserve"> </w:t>
      </w:r>
      <w:r>
        <w:rPr>
          <w:rFonts w:hint="eastAsia" w:ascii="Calibri" w:hAnsi="宋体"/>
          <w:color w:val="auto"/>
          <w:sz w:val="24"/>
          <w:szCs w:val="24"/>
          <w:highlight w:val="none"/>
        </w:rPr>
        <w:t>服务，双方经过平等协商，在真实、充分地表达各自意愿的基础上，</w:t>
      </w:r>
      <w:r>
        <w:rPr>
          <w:rFonts w:hint="eastAsia" w:ascii="宋体" w:hAnsi="宋体"/>
          <w:color w:val="auto"/>
          <w:sz w:val="24"/>
          <w:highlight w:val="none"/>
        </w:rPr>
        <w:t>根据《中华人民共和国民法典》和《中华人民共和国建筑法》的有关规定，经双方协商，达成如下条款</w:t>
      </w:r>
      <w:r>
        <w:rPr>
          <w:rFonts w:hint="eastAsia" w:ascii="Calibri" w:hAnsi="宋体"/>
          <w:color w:val="auto"/>
          <w:sz w:val="24"/>
          <w:szCs w:val="24"/>
          <w:highlight w:val="none"/>
        </w:rPr>
        <w:t>。</w:t>
      </w:r>
    </w:p>
    <w:p>
      <w:pPr>
        <w:adjustRightInd w:val="0"/>
        <w:snapToGrid w:val="0"/>
        <w:spacing w:before="156" w:beforeLines="50" w:after="156" w:afterLines="50" w:line="360" w:lineRule="auto"/>
        <w:ind w:firstLine="480" w:firstLineChars="200"/>
        <w:jc w:val="left"/>
        <w:rPr>
          <w:color w:val="auto"/>
          <w:highlight w:val="none"/>
        </w:rPr>
      </w:pPr>
      <w:r>
        <w:rPr>
          <w:rFonts w:hint="eastAsia" w:ascii="Calibri" w:hAnsi="宋体"/>
          <w:color w:val="auto"/>
          <w:sz w:val="24"/>
          <w:szCs w:val="24"/>
          <w:highlight w:val="none"/>
        </w:rPr>
        <w:t>根据广州南沙期金产业园投资有限公司委托，由项目管理单位广州南投房地产开发有限公司负责本项目管理，行使发包人权利，承担发包人除付款义务以外的其他义务；本项目费用由业主广州南沙期金产业园投资有限公司支付。</w:t>
      </w:r>
    </w:p>
    <w:p>
      <w:pPr>
        <w:widowControl/>
        <w:spacing w:before="156" w:beforeLines="50" w:after="156" w:afterLines="50" w:line="360" w:lineRule="auto"/>
        <w:outlineLvl w:val="0"/>
        <w:rPr>
          <w:rFonts w:ascii="宋体" w:hAnsi="宋体"/>
          <w:b/>
          <w:color w:val="auto"/>
          <w:kern w:val="0"/>
          <w:sz w:val="24"/>
          <w:szCs w:val="24"/>
          <w:highlight w:val="none"/>
        </w:rPr>
      </w:pPr>
      <w:r>
        <w:rPr>
          <w:rFonts w:hint="eastAsia" w:ascii="宋体" w:hAnsi="宋体"/>
          <w:b/>
          <w:color w:val="auto"/>
          <w:kern w:val="0"/>
          <w:sz w:val="24"/>
          <w:szCs w:val="24"/>
          <w:highlight w:val="none"/>
        </w:rPr>
        <w:t>一、工程概况</w:t>
      </w:r>
    </w:p>
    <w:p>
      <w:pPr>
        <w:widowControl/>
        <w:spacing w:before="156" w:beforeLines="50" w:after="156" w:afterLines="50" w:line="360" w:lineRule="auto"/>
        <w:ind w:firstLine="480" w:firstLineChars="200"/>
        <w:rPr>
          <w:rFonts w:cs="宋体"/>
          <w:b/>
          <w:color w:val="auto"/>
          <w:kern w:val="0"/>
          <w:sz w:val="24"/>
          <w:szCs w:val="24"/>
          <w:highlight w:val="none"/>
          <w:u w:val="single"/>
        </w:rPr>
      </w:pPr>
      <w:r>
        <w:rPr>
          <w:rFonts w:hint="eastAsia" w:ascii="宋体" w:hAnsi="宋体"/>
          <w:color w:val="auto"/>
          <w:kern w:val="0"/>
          <w:sz w:val="24"/>
          <w:szCs w:val="24"/>
          <w:highlight w:val="none"/>
        </w:rPr>
        <w:t>（一）工程名称：</w:t>
      </w:r>
      <w:r>
        <w:rPr>
          <w:rFonts w:hint="eastAsia" w:ascii="宋体" w:hAnsi="宋体"/>
          <w:color w:val="auto"/>
          <w:kern w:val="0"/>
          <w:sz w:val="24"/>
          <w:szCs w:val="24"/>
          <w:highlight w:val="none"/>
          <w:u w:val="single"/>
        </w:rPr>
        <w:t xml:space="preserve"> 南沙期货金融大数据产业园（横沥）项目基坑支护</w:t>
      </w:r>
      <w:r>
        <w:rPr>
          <w:rFonts w:hint="eastAsia" w:ascii="宋体" w:hAnsi="宋体" w:cs="宋体"/>
          <w:bCs/>
          <w:color w:val="auto"/>
          <w:kern w:val="0"/>
          <w:sz w:val="24"/>
          <w:szCs w:val="24"/>
          <w:highlight w:val="none"/>
          <w:u w:val="single"/>
        </w:rPr>
        <w:t>工程第三方</w:t>
      </w:r>
      <w:r>
        <w:rPr>
          <w:rFonts w:hint="eastAsia" w:ascii="宋体" w:hAnsi="宋体"/>
          <w:color w:val="auto"/>
          <w:kern w:val="0"/>
          <w:sz w:val="24"/>
          <w:szCs w:val="24"/>
          <w:highlight w:val="none"/>
          <w:u w:val="single"/>
        </w:rPr>
        <w:t xml:space="preserve">检测、监测服务 </w:t>
      </w:r>
    </w:p>
    <w:p>
      <w:pPr>
        <w:widowControl/>
        <w:spacing w:before="156" w:beforeLines="50" w:after="156" w:afterLines="50" w:line="360" w:lineRule="auto"/>
        <w:ind w:firstLine="480" w:firstLineChars="200"/>
        <w:rPr>
          <w:rFonts w:ascii="宋体" w:hAnsi="宋体"/>
          <w:color w:val="auto"/>
          <w:kern w:val="0"/>
          <w:sz w:val="24"/>
          <w:szCs w:val="24"/>
          <w:highlight w:val="none"/>
          <w:u w:val="single"/>
        </w:rPr>
      </w:pPr>
      <w:r>
        <w:rPr>
          <w:rFonts w:hint="eastAsia" w:ascii="宋体" w:hAnsi="宋体"/>
          <w:color w:val="auto"/>
          <w:kern w:val="0"/>
          <w:sz w:val="24"/>
          <w:szCs w:val="24"/>
          <w:highlight w:val="none"/>
        </w:rPr>
        <w:t>（二）工程地点：</w:t>
      </w:r>
      <w:r>
        <w:rPr>
          <w:rFonts w:hint="eastAsia" w:ascii="宋体" w:hAnsi="宋体"/>
          <w:color w:val="auto"/>
          <w:kern w:val="0"/>
          <w:sz w:val="24"/>
          <w:szCs w:val="24"/>
          <w:highlight w:val="none"/>
          <w:u w:val="single"/>
        </w:rPr>
        <w:t xml:space="preserve"> 广州市南沙区横沥岛横沥中路以北、中轴涌以南 </w:t>
      </w:r>
    </w:p>
    <w:p>
      <w:pPr>
        <w:widowControl/>
        <w:adjustRightInd w:val="0"/>
        <w:snapToGrid w:val="0"/>
        <w:spacing w:before="156" w:beforeLines="50" w:after="156" w:afterLines="50" w:line="360" w:lineRule="auto"/>
        <w:ind w:firstLine="480" w:firstLineChars="200"/>
        <w:jc w:val="left"/>
        <w:rPr>
          <w:rFonts w:ascii="宋体" w:hAnsi="宋体"/>
          <w:color w:val="auto"/>
          <w:kern w:val="0"/>
          <w:sz w:val="24"/>
          <w:szCs w:val="24"/>
          <w:highlight w:val="none"/>
          <w:u w:val="single"/>
        </w:rPr>
      </w:pPr>
      <w:r>
        <w:rPr>
          <w:rFonts w:hint="eastAsia" w:ascii="宋体" w:hAnsi="宋体"/>
          <w:color w:val="auto"/>
          <w:sz w:val="24"/>
          <w:highlight w:val="none"/>
        </w:rPr>
        <w:t>（三）工程概况：</w:t>
      </w:r>
      <w:r>
        <w:rPr>
          <w:rFonts w:hint="eastAsia" w:ascii="宋体" w:hAnsi="宋体"/>
          <w:color w:val="auto"/>
          <w:sz w:val="24"/>
          <w:highlight w:val="none"/>
          <w:u w:val="single"/>
        </w:rPr>
        <w:t xml:space="preserve"> 项目总用地面积46934平方米，计容总建筑面积102275平方米；暂定总建筑面积143703平方米，其中地下41428平方米，地上102275平方米</w:t>
      </w:r>
      <w:r>
        <w:rPr>
          <w:rFonts w:hint="eastAsia" w:ascii="宋体" w:hAnsi="宋体"/>
          <w:color w:val="auto"/>
          <w:sz w:val="24"/>
          <w:highlight w:val="none"/>
        </w:rPr>
        <w:t xml:space="preserve">。                      </w:t>
      </w:r>
      <w:r>
        <w:rPr>
          <w:rFonts w:hint="eastAsia" w:ascii="宋体" w:hAnsi="宋体"/>
          <w:color w:val="auto"/>
          <w:kern w:val="0"/>
          <w:sz w:val="24"/>
          <w:szCs w:val="24"/>
          <w:highlight w:val="none"/>
        </w:rPr>
        <w:t xml:space="preserve">     </w:t>
      </w:r>
    </w:p>
    <w:p>
      <w:pPr>
        <w:spacing w:before="156" w:beforeLines="50" w:after="156" w:afterLines="50" w:line="360" w:lineRule="auto"/>
        <w:outlineLvl w:val="0"/>
        <w:rPr>
          <w:rFonts w:ascii="宋体" w:hAnsi="宋体"/>
          <w:b/>
          <w:color w:val="auto"/>
          <w:sz w:val="24"/>
          <w:highlight w:val="none"/>
        </w:rPr>
      </w:pPr>
      <w:r>
        <w:rPr>
          <w:rFonts w:hint="eastAsia" w:ascii="宋体" w:hAnsi="宋体"/>
          <w:b/>
          <w:color w:val="auto"/>
          <w:sz w:val="24"/>
          <w:highlight w:val="none"/>
        </w:rPr>
        <w:t>二、检测、监测内容及要求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（一）检测、监测服务内容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支护桩检测：含预制管桩完整性、搅拌桩、喷射混凝土厚度、土钉、止水帷幕等；</w:t>
      </w:r>
    </w:p>
    <w:p>
      <w:pPr>
        <w:spacing w:line="360" w:lineRule="auto"/>
        <w:ind w:firstLine="480" w:firstLineChars="200"/>
        <w:rPr>
          <w:rFonts w:ascii="宋体" w:hAnsi="宋体"/>
          <w:color w:val="auto"/>
          <w:sz w:val="24"/>
          <w:szCs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szCs w:val="24"/>
          <w:highlight w:val="none"/>
        </w:rPr>
        <w:t>支护工程原材料检测：混凝土试块、钢筋原材、水泥、钢筋焊接等；</w:t>
      </w:r>
    </w:p>
    <w:p>
      <w:pPr>
        <w:pStyle w:val="2"/>
        <w:rPr>
          <w:rFonts w:ascii="宋体" w:hAnsi="宋体"/>
          <w:color w:val="auto"/>
          <w:sz w:val="24"/>
          <w:szCs w:val="24"/>
          <w:highlight w:val="none"/>
        </w:rPr>
      </w:pPr>
      <w:r>
        <w:rPr>
          <w:rFonts w:ascii="宋体" w:hAnsi="宋体"/>
          <w:color w:val="auto"/>
          <w:sz w:val="24"/>
          <w:szCs w:val="24"/>
          <w:highlight w:val="none"/>
        </w:rPr>
        <w:t xml:space="preserve">    3、</w:t>
      </w:r>
      <w:r>
        <w:rPr>
          <w:rFonts w:hint="eastAsia" w:ascii="宋体" w:hAnsi="宋体"/>
          <w:color w:val="auto"/>
          <w:sz w:val="24"/>
          <w:szCs w:val="24"/>
          <w:highlight w:val="none"/>
        </w:rPr>
        <w:t>土壤氡检测：土壤氡等；</w:t>
      </w:r>
    </w:p>
    <w:p>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4、基坑监测(含材料埋设)：坡顶位移、坡顶沉降、道路沉降、地下水位、测斜（墙体变形）、管线沉降等；</w:t>
      </w:r>
    </w:p>
    <w:p>
      <w:pPr>
        <w:spacing w:line="360" w:lineRule="auto"/>
        <w:ind w:firstLine="480" w:firstLineChars="200"/>
        <w:rPr>
          <w:color w:val="auto"/>
          <w:highlight w:val="none"/>
        </w:rPr>
      </w:pPr>
      <w:r>
        <w:rPr>
          <w:rFonts w:ascii="宋体" w:hAnsi="宋体"/>
          <w:color w:val="auto"/>
          <w:sz w:val="24"/>
          <w:szCs w:val="24"/>
          <w:highlight w:val="none"/>
        </w:rPr>
        <w:t>5</w:t>
      </w:r>
      <w:r>
        <w:rPr>
          <w:rFonts w:hint="eastAsia" w:ascii="宋体" w:hAnsi="宋体"/>
          <w:color w:val="auto"/>
          <w:sz w:val="24"/>
          <w:szCs w:val="24"/>
          <w:highlight w:val="none"/>
        </w:rPr>
        <w:t>、其他类第三方检测、监测由甲方另</w:t>
      </w:r>
      <w:r>
        <w:rPr>
          <w:rFonts w:ascii="宋体" w:hAnsi="宋体"/>
          <w:color w:val="auto"/>
          <w:sz w:val="24"/>
          <w:szCs w:val="24"/>
          <w:highlight w:val="none"/>
        </w:rPr>
        <w:t>行委托。</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（二）</w:t>
      </w:r>
      <w:r>
        <w:rPr>
          <w:rFonts w:hint="eastAsia"/>
          <w:color w:val="auto"/>
          <w:sz w:val="24"/>
          <w:szCs w:val="24"/>
          <w:highlight w:val="none"/>
        </w:rPr>
        <w:t>检测、监测服务范围</w:t>
      </w:r>
    </w:p>
    <w:p>
      <w:pPr>
        <w:spacing w:line="360" w:lineRule="auto"/>
        <w:ind w:firstLine="480" w:firstLineChars="200"/>
        <w:rPr>
          <w:color w:val="auto"/>
          <w:sz w:val="24"/>
          <w:szCs w:val="24"/>
          <w:highlight w:val="none"/>
          <w:u w:val="single"/>
        </w:rPr>
      </w:pPr>
      <w:r>
        <w:rPr>
          <w:rFonts w:hint="eastAsia"/>
          <w:color w:val="auto"/>
          <w:sz w:val="24"/>
          <w:szCs w:val="24"/>
          <w:highlight w:val="none"/>
          <w:u w:val="single"/>
        </w:rPr>
        <w:t>本次服务内容包含但不限于以上所提及的支护桩检测、支护工程原材料检测、土壤氡检测、基坑监测等</w:t>
      </w:r>
      <w:r>
        <w:rPr>
          <w:color w:val="auto"/>
          <w:sz w:val="24"/>
          <w:szCs w:val="24"/>
          <w:highlight w:val="none"/>
          <w:u w:val="single"/>
        </w:rPr>
        <w:t>（具体</w:t>
      </w:r>
      <w:r>
        <w:rPr>
          <w:rFonts w:hint="eastAsia"/>
          <w:color w:val="auto"/>
          <w:sz w:val="24"/>
          <w:szCs w:val="24"/>
          <w:highlight w:val="none"/>
          <w:u w:val="single"/>
        </w:rPr>
        <w:t>检测、监测内容及数量以施工图、相关验收规范、质监站监督交底文件及</w:t>
      </w:r>
      <w:r>
        <w:rPr>
          <w:color w:val="auto"/>
          <w:sz w:val="24"/>
          <w:szCs w:val="24"/>
          <w:highlight w:val="none"/>
          <w:u w:val="single"/>
        </w:rPr>
        <w:t>甲方批复</w:t>
      </w:r>
      <w:r>
        <w:rPr>
          <w:rFonts w:hint="eastAsia"/>
          <w:color w:val="auto"/>
          <w:sz w:val="24"/>
          <w:szCs w:val="24"/>
          <w:highlight w:val="none"/>
          <w:u w:val="single"/>
        </w:rPr>
        <w:t>检测方案为准，工程量清单仅供参考</w:t>
      </w:r>
      <w:r>
        <w:rPr>
          <w:color w:val="auto"/>
          <w:sz w:val="24"/>
          <w:szCs w:val="24"/>
          <w:highlight w:val="none"/>
          <w:u w:val="single"/>
        </w:rPr>
        <w:t>）</w:t>
      </w:r>
      <w:r>
        <w:rPr>
          <w:rFonts w:hint="eastAsia"/>
          <w:color w:val="auto"/>
          <w:sz w:val="24"/>
          <w:szCs w:val="24"/>
          <w:highlight w:val="none"/>
          <w:u w:val="single"/>
        </w:rPr>
        <w:t>。</w:t>
      </w:r>
    </w:p>
    <w:p>
      <w:pPr>
        <w:spacing w:line="360" w:lineRule="auto"/>
        <w:ind w:firstLine="480" w:firstLineChars="200"/>
        <w:rPr>
          <w:color w:val="auto"/>
          <w:highlight w:val="none"/>
        </w:rPr>
      </w:pPr>
      <w:r>
        <w:rPr>
          <w:color w:val="auto"/>
          <w:sz w:val="24"/>
          <w:szCs w:val="24"/>
          <w:highlight w:val="none"/>
        </w:rPr>
        <w:t>服务范围除以上工作外，还包括：</w:t>
      </w:r>
      <w:r>
        <w:rPr>
          <w:rFonts w:hint="eastAsia" w:ascii="宋体" w:hAnsi="宋体" w:cs="宋体"/>
          <w:color w:val="auto"/>
          <w:sz w:val="24"/>
          <w:szCs w:val="24"/>
          <w:highlight w:val="none"/>
        </w:rPr>
        <w:t>（1）与工程所在行政区域的相关建设行政主管部门和监督部门进行检测、监测工作的协调，申报检测、监测技术成果的审批，保证技术成果能够通过相关部门认可，确保不因检测、监测工作影响本工程项目的建设进度和竣工验收。（2）在进行检测、监测任务的过程中与该工程相关的施工单位、监理单位、设计单位、建设主管部门等相关单位的协调工作。（3）乙方需按相关要求将工程检测、监测数据的有关信息通过连接系统进行传输报送，确保不因传输报送工作影响本工程项目的建设进度和竣工验收，且上述工作发生的费用已包含在综合单价中。（4）本项目实施期间，如因本项目管理需要，经甲方确认需增加《工程量清单》中没有的其他检测、监测项目，且乙方也具备相应资质，则乙方不得以任何理由拒绝为甲方提供检测、监测服务，并出具符合验收要求的检测、监测报告。若乙方资质不能涵盖的项目，由乙方委托有资质的相应单位实</w:t>
      </w:r>
      <w:r>
        <w:rPr>
          <w:rFonts w:hint="eastAsia" w:ascii="宋体" w:hAnsi="宋体"/>
          <w:color w:val="auto"/>
          <w:sz w:val="24"/>
          <w:szCs w:val="24"/>
          <w:highlight w:val="none"/>
        </w:rPr>
        <w:t>施，并按相关要求取得相应管理部门确认，确保不影响项目验收。</w:t>
      </w: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ascii="宋体" w:hAnsi="宋体" w:cs="宋体"/>
          <w:color w:val="auto"/>
          <w:sz w:val="24"/>
          <w:szCs w:val="24"/>
          <w:highlight w:val="none"/>
        </w:rPr>
        <w:t>由于项目周边市政道路均为在建或新修道路，承包人须按照政府相关单位要求办理通行手续，载重车辆严格按照道路通行要求执行</w:t>
      </w: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w:t>
      </w:r>
      <w:r>
        <w:rPr>
          <w:rFonts w:ascii="宋体" w:hAnsi="宋体" w:cs="宋体"/>
          <w:color w:val="auto"/>
          <w:sz w:val="24"/>
          <w:szCs w:val="24"/>
          <w:highlight w:val="none"/>
        </w:rPr>
        <w:t>如遇紧急情况须24小时内提供真实有效基坑监测快报，并按照要求采取加密监测、增加监测内容、启动应急预案等措施，供发包人及相关单位使用。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（三）检测、监测要求：必须符合国家、省、市有关规范规程和规定的要求。</w:t>
      </w:r>
    </w:p>
    <w:p>
      <w:pPr>
        <w:widowControl/>
        <w:spacing w:before="156" w:beforeLines="50" w:after="156" w:afterLines="50" w:line="360" w:lineRule="auto"/>
        <w:jc w:val="left"/>
        <w:outlineLvl w:val="0"/>
        <w:rPr>
          <w:rFonts w:ascii="宋体" w:hAnsi="宋体"/>
          <w:b/>
          <w:color w:val="auto"/>
          <w:kern w:val="0"/>
          <w:sz w:val="24"/>
          <w:szCs w:val="24"/>
          <w:highlight w:val="none"/>
        </w:rPr>
      </w:pPr>
      <w:r>
        <w:rPr>
          <w:rFonts w:hint="eastAsia" w:ascii="宋体" w:hAnsi="宋体"/>
          <w:b/>
          <w:color w:val="auto"/>
          <w:kern w:val="0"/>
          <w:sz w:val="24"/>
          <w:szCs w:val="24"/>
          <w:highlight w:val="none"/>
        </w:rPr>
        <w:t>三、检测、监测服务期限</w:t>
      </w:r>
    </w:p>
    <w:p>
      <w:pPr>
        <w:widowControl/>
        <w:spacing w:before="156" w:beforeLines="50" w:after="156" w:afterLines="50" w:line="360" w:lineRule="auto"/>
        <w:ind w:firstLine="480" w:firstLineChars="200"/>
        <w:jc w:val="left"/>
        <w:rPr>
          <w:rFonts w:ascii="宋体"/>
          <w:color w:val="auto"/>
          <w:kern w:val="0"/>
          <w:sz w:val="24"/>
          <w:szCs w:val="24"/>
          <w:highlight w:val="none"/>
        </w:rPr>
      </w:pPr>
      <w:r>
        <w:rPr>
          <w:rFonts w:hint="eastAsia" w:ascii="宋体" w:hAnsi="宋体"/>
          <w:color w:val="auto"/>
          <w:kern w:val="0"/>
          <w:sz w:val="24"/>
          <w:szCs w:val="24"/>
          <w:highlight w:val="none"/>
        </w:rPr>
        <w:t>自</w:t>
      </w:r>
      <w:r>
        <w:rPr>
          <w:rFonts w:ascii="宋体" w:hAnsi="宋体"/>
          <w:color w:val="auto"/>
          <w:kern w:val="0"/>
          <w:sz w:val="24"/>
          <w:szCs w:val="24"/>
          <w:highlight w:val="none"/>
        </w:rPr>
        <w:t>甲方与乙方签订合同</w:t>
      </w:r>
      <w:r>
        <w:rPr>
          <w:rFonts w:hint="eastAsia" w:ascii="宋体" w:hAnsi="宋体"/>
          <w:color w:val="auto"/>
          <w:kern w:val="0"/>
          <w:sz w:val="24"/>
          <w:szCs w:val="24"/>
          <w:highlight w:val="none"/>
        </w:rPr>
        <w:t>之日起，</w:t>
      </w:r>
      <w:r>
        <w:rPr>
          <w:rFonts w:ascii="宋体" w:hAnsi="宋体" w:eastAsia="宋体" w:cs="Times New Roman"/>
          <w:color w:val="auto"/>
          <w:sz w:val="24"/>
          <w:szCs w:val="24"/>
          <w:highlight w:val="none"/>
          <w:shd w:val="clear" w:color="auto" w:fill="auto"/>
        </w:rPr>
        <w:t>至地下工程完成为止，对有特殊要求的周边环境监测，根据需要延续至变形趋于稳定后结束</w:t>
      </w:r>
      <w:r>
        <w:rPr>
          <w:rFonts w:hint="eastAsia" w:ascii="宋体" w:hAnsi="宋体" w:eastAsia="宋体" w:cs="Times New Roman"/>
          <w:color w:val="auto"/>
          <w:sz w:val="24"/>
          <w:szCs w:val="24"/>
          <w:highlight w:val="none"/>
          <w:shd w:val="clear" w:color="auto" w:fill="auto"/>
        </w:rPr>
        <w:t>。</w:t>
      </w:r>
      <w:r>
        <w:rPr>
          <w:rFonts w:hint="eastAsia" w:ascii="宋体" w:hAnsi="宋体"/>
          <w:color w:val="auto"/>
          <w:kern w:val="0"/>
          <w:sz w:val="24"/>
          <w:szCs w:val="24"/>
          <w:highlight w:val="none"/>
        </w:rPr>
        <w:t>每次检测、监测的开始时间，由甲方另行书面通知。</w:t>
      </w:r>
    </w:p>
    <w:p>
      <w:pPr>
        <w:spacing w:before="156" w:beforeLines="50" w:after="156" w:afterLines="50" w:line="360" w:lineRule="auto"/>
        <w:jc w:val="left"/>
        <w:outlineLvl w:val="0"/>
        <w:rPr>
          <w:rFonts w:ascii="宋体" w:hAnsi="宋体"/>
          <w:b/>
          <w:color w:val="auto"/>
          <w:kern w:val="0"/>
          <w:sz w:val="24"/>
          <w:szCs w:val="24"/>
          <w:highlight w:val="none"/>
        </w:rPr>
      </w:pPr>
      <w:r>
        <w:rPr>
          <w:rFonts w:hint="eastAsia" w:ascii="宋体" w:hAnsi="宋体"/>
          <w:b/>
          <w:color w:val="auto"/>
          <w:kern w:val="0"/>
          <w:sz w:val="24"/>
          <w:szCs w:val="24"/>
          <w:highlight w:val="none"/>
        </w:rPr>
        <w:t>四、法律、法规及相关管理规定</w:t>
      </w:r>
    </w:p>
    <w:p>
      <w:pPr>
        <w:spacing w:before="156" w:beforeLines="50" w:after="156" w:afterLines="50"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本合同适用的法律是指国家的法律、行政法规，以及部门规章或工程所在地的地方法规、地方规章。</w:t>
      </w:r>
      <w:r>
        <w:rPr>
          <w:color w:val="auto"/>
          <w:sz w:val="24"/>
          <w:szCs w:val="24"/>
          <w:highlight w:val="none"/>
        </w:rPr>
        <w:t>广东省、广州市现行的有关技术规范、规定及标准要求。</w:t>
      </w:r>
      <w:r>
        <w:rPr>
          <w:rFonts w:hint="eastAsia"/>
          <w:color w:val="auto"/>
          <w:sz w:val="24"/>
          <w:szCs w:val="24"/>
          <w:highlight w:val="none"/>
        </w:rPr>
        <w:t>本合同</w:t>
      </w:r>
      <w:r>
        <w:rPr>
          <w:color w:val="auto"/>
          <w:sz w:val="24"/>
          <w:szCs w:val="24"/>
          <w:highlight w:val="none"/>
        </w:rPr>
        <w:t>检测规程及其工程质量检验评定标准，</w:t>
      </w:r>
      <w:r>
        <w:rPr>
          <w:rFonts w:hint="eastAsia"/>
          <w:color w:val="auto"/>
          <w:sz w:val="24"/>
          <w:szCs w:val="24"/>
          <w:highlight w:val="none"/>
        </w:rPr>
        <w:t>按</w:t>
      </w:r>
      <w:r>
        <w:rPr>
          <w:rFonts w:hint="eastAsia"/>
          <w:b/>
          <w:bCs/>
          <w:color w:val="auto"/>
          <w:sz w:val="24"/>
          <w:szCs w:val="24"/>
          <w:highlight w:val="none"/>
        </w:rPr>
        <w:t>最新</w:t>
      </w:r>
      <w:r>
        <w:rPr>
          <w:rFonts w:hint="eastAsia"/>
          <w:color w:val="auto"/>
          <w:sz w:val="24"/>
          <w:szCs w:val="24"/>
          <w:highlight w:val="none"/>
        </w:rPr>
        <w:t>相应法律、法规、质量检验评定标准为准</w:t>
      </w:r>
      <w:r>
        <w:rPr>
          <w:rFonts w:hint="eastAsia" w:ascii="宋体" w:hAnsi="宋体"/>
          <w:color w:val="auto"/>
          <w:kern w:val="0"/>
          <w:sz w:val="24"/>
          <w:szCs w:val="24"/>
          <w:highlight w:val="none"/>
        </w:rPr>
        <w:t>。包含但不限于</w:t>
      </w:r>
    </w:p>
    <w:p>
      <w:pPr>
        <w:spacing w:before="50" w:after="50" w:line="360" w:lineRule="auto"/>
        <w:ind w:firstLine="480" w:firstLineChars="200"/>
        <w:rPr>
          <w:rFonts w:ascii="宋体" w:hAnsi="宋体"/>
          <w:color w:val="auto"/>
          <w:sz w:val="24"/>
          <w:highlight w:val="none"/>
        </w:rPr>
      </w:pPr>
      <w:r>
        <w:rPr>
          <w:rFonts w:hint="eastAsia" w:ascii="宋体" w:hAnsi="宋体"/>
          <w:color w:val="auto"/>
          <w:sz w:val="24"/>
          <w:highlight w:val="none"/>
        </w:rPr>
        <w:t>1.《工程测量规范》GB50026-2007； </w:t>
      </w:r>
    </w:p>
    <w:p>
      <w:pPr>
        <w:spacing w:before="50" w:after="50" w:line="360" w:lineRule="auto"/>
        <w:ind w:firstLine="480" w:firstLineChars="200"/>
        <w:rPr>
          <w:rFonts w:ascii="宋体" w:hAnsi="宋体"/>
          <w:color w:val="auto"/>
          <w:sz w:val="24"/>
          <w:highlight w:val="none"/>
        </w:rPr>
      </w:pPr>
      <w:r>
        <w:rPr>
          <w:rFonts w:hint="eastAsia" w:ascii="宋体" w:hAnsi="宋体"/>
          <w:color w:val="auto"/>
          <w:sz w:val="24"/>
          <w:highlight w:val="none"/>
        </w:rPr>
        <w:t>2.《建筑基坑工程监测技术标准》GB50497-20</w:t>
      </w:r>
      <w:r>
        <w:rPr>
          <w:rFonts w:ascii="宋体" w:hAnsi="宋体"/>
          <w:color w:val="auto"/>
          <w:sz w:val="24"/>
          <w:highlight w:val="none"/>
        </w:rPr>
        <w:t>1</w:t>
      </w:r>
      <w:r>
        <w:rPr>
          <w:rFonts w:hint="eastAsia" w:ascii="宋体" w:hAnsi="宋体"/>
          <w:color w:val="auto"/>
          <w:sz w:val="24"/>
          <w:highlight w:val="none"/>
        </w:rPr>
        <w:t>9； </w:t>
      </w:r>
    </w:p>
    <w:p>
      <w:pPr>
        <w:spacing w:before="50" w:after="50" w:line="360" w:lineRule="auto"/>
        <w:ind w:firstLine="480" w:firstLineChars="200"/>
        <w:rPr>
          <w:rFonts w:ascii="宋体" w:hAnsi="宋体"/>
          <w:color w:val="auto"/>
          <w:sz w:val="24"/>
          <w:highlight w:val="none"/>
        </w:rPr>
      </w:pPr>
      <w:r>
        <w:rPr>
          <w:rFonts w:hint="eastAsia" w:ascii="宋体" w:hAnsi="宋体"/>
          <w:color w:val="auto"/>
          <w:sz w:val="24"/>
          <w:highlight w:val="none"/>
        </w:rPr>
        <w:t>3.《国家一、二等水准测量规范》GB/T 12897-2007； </w:t>
      </w:r>
    </w:p>
    <w:p>
      <w:pPr>
        <w:spacing w:before="50" w:after="50" w:line="360" w:lineRule="auto"/>
        <w:ind w:firstLine="480" w:firstLineChars="200"/>
        <w:rPr>
          <w:rFonts w:ascii="宋体" w:hAnsi="宋体"/>
          <w:color w:val="auto"/>
          <w:sz w:val="24"/>
          <w:highlight w:val="none"/>
        </w:rPr>
      </w:pPr>
      <w:r>
        <w:rPr>
          <w:rFonts w:hint="eastAsia" w:ascii="宋体" w:hAnsi="宋体"/>
          <w:color w:val="auto"/>
          <w:sz w:val="24"/>
          <w:highlight w:val="none"/>
        </w:rPr>
        <w:t>4.《建筑基坑支护工程技术规程》JGJ 120-2012； </w:t>
      </w:r>
    </w:p>
    <w:p>
      <w:pPr>
        <w:spacing w:before="50" w:after="50" w:line="360" w:lineRule="auto"/>
        <w:ind w:firstLine="480" w:firstLineChars="200"/>
        <w:rPr>
          <w:rFonts w:ascii="宋体" w:hAnsi="宋体"/>
          <w:color w:val="auto"/>
          <w:sz w:val="24"/>
          <w:highlight w:val="none"/>
        </w:rPr>
      </w:pPr>
      <w:r>
        <w:rPr>
          <w:rFonts w:hint="eastAsia" w:ascii="宋体" w:hAnsi="宋体"/>
          <w:color w:val="auto"/>
          <w:sz w:val="24"/>
          <w:highlight w:val="none"/>
        </w:rPr>
        <w:t>5.《广东省建筑基坑工程技术规程》DBJ／T 15-20-2016；</w:t>
      </w:r>
    </w:p>
    <w:p>
      <w:pPr>
        <w:spacing w:before="50" w:after="50" w:line="360" w:lineRule="auto"/>
        <w:ind w:firstLine="480" w:firstLineChars="200"/>
        <w:rPr>
          <w:rFonts w:ascii="宋体" w:hAnsi="宋体"/>
          <w:color w:val="auto"/>
          <w:sz w:val="24"/>
          <w:highlight w:val="none"/>
        </w:rPr>
      </w:pPr>
      <w:r>
        <w:rPr>
          <w:rFonts w:hint="eastAsia" w:ascii="宋体" w:hAnsi="宋体"/>
          <w:color w:val="auto"/>
          <w:sz w:val="24"/>
          <w:highlight w:val="none"/>
        </w:rPr>
        <w:t>6.《建筑变形测量规范》JGJ 8-2007；</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本合同适用的相关管理规定包含但不限于甲方及上级主管部门针对本项目制定的有关安全、质量、进度、文明施工等方面的制度、办法以及实施细则。</w:t>
      </w:r>
    </w:p>
    <w:p>
      <w:pPr>
        <w:spacing w:before="156" w:beforeLines="50" w:after="156" w:afterLines="50" w:line="360" w:lineRule="auto"/>
        <w:outlineLvl w:val="0"/>
        <w:rPr>
          <w:rFonts w:ascii="宋体" w:hAnsi="宋体"/>
          <w:color w:val="auto"/>
          <w:kern w:val="0"/>
          <w:sz w:val="24"/>
          <w:szCs w:val="24"/>
          <w:highlight w:val="none"/>
        </w:rPr>
      </w:pPr>
      <w:r>
        <w:rPr>
          <w:rFonts w:hint="eastAsia" w:ascii="宋体" w:hAnsi="宋体"/>
          <w:b/>
          <w:color w:val="auto"/>
          <w:sz w:val="24"/>
          <w:highlight w:val="none"/>
        </w:rPr>
        <w:t>五、合同金额</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（一）本合同含增值税暂定价为</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人民币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元</w:t>
      </w:r>
      <w:r>
        <w:rPr>
          <w:rFonts w:hint="eastAsia" w:ascii="宋体" w:hAnsi="宋体"/>
          <w:color w:val="auto"/>
          <w:sz w:val="24"/>
          <w:szCs w:val="24"/>
          <w:highlight w:val="none"/>
        </w:rPr>
        <w:t>（小写：</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元</w:t>
      </w:r>
      <w:r>
        <w:rPr>
          <w:rFonts w:hint="eastAsia" w:ascii="宋体" w:hAnsi="宋体"/>
          <w:color w:val="auto"/>
          <w:sz w:val="24"/>
          <w:szCs w:val="24"/>
          <w:highlight w:val="none"/>
        </w:rPr>
        <w:t>），不含增值税暂定价为</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元</w:t>
      </w:r>
      <w:r>
        <w:rPr>
          <w:rFonts w:ascii="宋体" w:hAnsi="宋体"/>
          <w:color w:val="auto"/>
          <w:sz w:val="24"/>
          <w:szCs w:val="24"/>
          <w:highlight w:val="none"/>
        </w:rPr>
        <w:t>，增值税金为</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元</w:t>
      </w:r>
      <w:r>
        <w:rPr>
          <w:rFonts w:ascii="宋体" w:hAnsi="宋体"/>
          <w:color w:val="auto"/>
          <w:sz w:val="24"/>
          <w:szCs w:val="24"/>
          <w:highlight w:val="none"/>
        </w:rPr>
        <w:t>，增值税税率：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w:t>
      </w:r>
      <w:r>
        <w:rPr>
          <w:rFonts w:hint="eastAsia"/>
          <w:color w:val="auto"/>
          <w:kern w:val="0"/>
          <w:sz w:val="24"/>
          <w:szCs w:val="24"/>
          <w:highlight w:val="none"/>
        </w:rPr>
        <w:t>，</w:t>
      </w:r>
      <w:r>
        <w:rPr>
          <w:color w:val="auto"/>
          <w:kern w:val="0"/>
          <w:sz w:val="24"/>
          <w:szCs w:val="24"/>
          <w:highlight w:val="none"/>
        </w:rPr>
        <w:t>投标下浮率</w:t>
      </w:r>
      <w:r>
        <w:rPr>
          <w:rFonts w:hint="eastAsia"/>
          <w:color w:val="auto"/>
          <w:kern w:val="0"/>
          <w:sz w:val="24"/>
          <w:szCs w:val="24"/>
          <w:highlight w:val="none"/>
        </w:rPr>
        <w:t>（</w:t>
      </w:r>
      <w:r>
        <w:rPr>
          <w:color w:val="auto"/>
          <w:kern w:val="0"/>
          <w:sz w:val="24"/>
          <w:szCs w:val="24"/>
          <w:highlight w:val="none"/>
        </w:rPr>
        <w:t>1 -投标报价/招标控制价的百分比）</w:t>
      </w:r>
      <w:r>
        <w:rPr>
          <w:rFonts w:ascii="宋体" w:hAnsi="宋体"/>
          <w:color w:val="auto"/>
          <w:sz w:val="24"/>
          <w:szCs w:val="24"/>
          <w:highlight w:val="none"/>
        </w:rPr>
        <w:t>：</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本合同履行期间，不含增值税服务单价不作任何调整，如增值税税率调整，本合同税额及含增值税总额相应调整。</w:t>
      </w:r>
    </w:p>
    <w:p>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rPr>
        <w:t>本合同采用综合单价包干，按实结算，并要求承包人在合同实施期间应根据现场实际不断调整优化检（监）测方案，并按程序报甲方审批，原则上最终结算金额不能超暂定合同价，如遇客观原因导致检（监）数量增加（含新增合同范围外），经优化后方案的结算金额仍超合同暂定价的，最高结算金额不能超合同暂定价的</w:t>
      </w:r>
      <w:r>
        <w:rPr>
          <w:rFonts w:ascii="宋体" w:hAnsi="宋体"/>
          <w:color w:val="auto"/>
          <w:sz w:val="24"/>
          <w:highlight w:val="none"/>
        </w:rPr>
        <w:t>110%（超过110%的部分由承包人自行承担</w:t>
      </w:r>
      <w:r>
        <w:rPr>
          <w:rFonts w:hint="eastAsia" w:ascii="宋体" w:hAnsi="宋体"/>
          <w:color w:val="auto"/>
          <w:sz w:val="24"/>
          <w:highlight w:val="none"/>
        </w:rPr>
        <w:t>）</w:t>
      </w:r>
      <w:r>
        <w:rPr>
          <w:rFonts w:hint="eastAsia" w:ascii="宋体" w:hAnsi="宋体"/>
          <w:color w:val="auto"/>
          <w:sz w:val="24"/>
          <w:highlight w:val="none"/>
        </w:rPr>
        <w:t>。</w:t>
      </w:r>
      <w:r>
        <w:rPr>
          <w:color w:val="auto"/>
          <w:sz w:val="24"/>
          <w:szCs w:val="24"/>
          <w:highlight w:val="none"/>
        </w:rPr>
        <w:t>各项综合单价包括但不限于人工费、材料费、</w:t>
      </w:r>
      <w:r>
        <w:rPr>
          <w:rFonts w:hint="eastAsia"/>
          <w:color w:val="auto"/>
          <w:sz w:val="24"/>
          <w:szCs w:val="24"/>
          <w:highlight w:val="none"/>
        </w:rPr>
        <w:t>资料费</w:t>
      </w:r>
      <w:r>
        <w:rPr>
          <w:color w:val="auto"/>
          <w:sz w:val="24"/>
          <w:szCs w:val="24"/>
          <w:highlight w:val="none"/>
        </w:rPr>
        <w:t>、设备使用费、设备进出场费</w:t>
      </w:r>
      <w:r>
        <w:rPr>
          <w:rFonts w:hint="eastAsia"/>
          <w:color w:val="auto"/>
          <w:sz w:val="24"/>
          <w:szCs w:val="24"/>
          <w:highlight w:val="none"/>
        </w:rPr>
        <w:t>（综合</w:t>
      </w:r>
      <w:r>
        <w:rPr>
          <w:color w:val="auto"/>
          <w:sz w:val="24"/>
          <w:szCs w:val="24"/>
          <w:highlight w:val="none"/>
        </w:rPr>
        <w:t>考虑</w:t>
      </w:r>
      <w:r>
        <w:rPr>
          <w:rFonts w:hint="eastAsia"/>
          <w:color w:val="auto"/>
          <w:sz w:val="24"/>
          <w:szCs w:val="24"/>
          <w:highlight w:val="none"/>
        </w:rPr>
        <w:t>按现场</w:t>
      </w:r>
      <w:r>
        <w:rPr>
          <w:color w:val="auto"/>
          <w:sz w:val="24"/>
          <w:szCs w:val="24"/>
          <w:highlight w:val="none"/>
        </w:rPr>
        <w:t>实际</w:t>
      </w:r>
      <w:r>
        <w:rPr>
          <w:rFonts w:hint="eastAsia"/>
          <w:color w:val="auto"/>
          <w:sz w:val="24"/>
          <w:szCs w:val="24"/>
          <w:highlight w:val="none"/>
        </w:rPr>
        <w:t>可能</w:t>
      </w:r>
      <w:r>
        <w:rPr>
          <w:color w:val="auto"/>
          <w:sz w:val="24"/>
          <w:szCs w:val="24"/>
          <w:highlight w:val="none"/>
        </w:rPr>
        <w:t>存在多次进出场</w:t>
      </w:r>
      <w:r>
        <w:rPr>
          <w:rFonts w:hint="eastAsia"/>
          <w:color w:val="auto"/>
          <w:sz w:val="24"/>
          <w:szCs w:val="24"/>
          <w:highlight w:val="none"/>
        </w:rPr>
        <w:t>情况）</w:t>
      </w:r>
      <w:r>
        <w:rPr>
          <w:color w:val="auto"/>
          <w:sz w:val="24"/>
          <w:szCs w:val="24"/>
          <w:highlight w:val="none"/>
        </w:rPr>
        <w:t>、</w:t>
      </w:r>
      <w:r>
        <w:rPr>
          <w:rFonts w:hint="eastAsia"/>
          <w:color w:val="auto"/>
          <w:sz w:val="24"/>
          <w:szCs w:val="24"/>
          <w:highlight w:val="none"/>
        </w:rPr>
        <w:t>措施费、</w:t>
      </w:r>
      <w:r>
        <w:rPr>
          <w:color w:val="auto"/>
          <w:sz w:val="24"/>
          <w:szCs w:val="24"/>
          <w:highlight w:val="none"/>
        </w:rPr>
        <w:t>基准点及观测点损坏修复费、检</w:t>
      </w:r>
      <w:r>
        <w:rPr>
          <w:rFonts w:hint="eastAsia"/>
          <w:color w:val="auto"/>
          <w:sz w:val="24"/>
          <w:szCs w:val="24"/>
          <w:highlight w:val="none"/>
        </w:rPr>
        <w:t>（监）</w:t>
      </w:r>
      <w:r>
        <w:rPr>
          <w:color w:val="auto"/>
          <w:sz w:val="24"/>
          <w:szCs w:val="24"/>
          <w:highlight w:val="none"/>
        </w:rPr>
        <w:t>测试验费、报告编写费、各项管理费及所有因工程质量检</w:t>
      </w:r>
      <w:r>
        <w:rPr>
          <w:rFonts w:hint="eastAsia"/>
          <w:color w:val="auto"/>
          <w:sz w:val="24"/>
          <w:szCs w:val="24"/>
          <w:highlight w:val="none"/>
        </w:rPr>
        <w:t>（监）</w:t>
      </w:r>
      <w:r>
        <w:rPr>
          <w:color w:val="auto"/>
          <w:sz w:val="24"/>
          <w:szCs w:val="24"/>
          <w:highlight w:val="none"/>
        </w:rPr>
        <w:t>测应交纳的政府规费、利润、税金等</w:t>
      </w:r>
      <w:r>
        <w:rPr>
          <w:rFonts w:hint="eastAsia"/>
          <w:color w:val="auto"/>
          <w:sz w:val="24"/>
          <w:szCs w:val="24"/>
          <w:highlight w:val="none"/>
        </w:rPr>
        <w:t>，</w:t>
      </w:r>
      <w:r>
        <w:rPr>
          <w:color w:val="auto"/>
          <w:sz w:val="24"/>
          <w:szCs w:val="24"/>
          <w:highlight w:val="none"/>
        </w:rPr>
        <w:t>包括完成对应检</w:t>
      </w:r>
      <w:r>
        <w:rPr>
          <w:rFonts w:hint="eastAsia"/>
          <w:color w:val="auto"/>
          <w:sz w:val="24"/>
          <w:szCs w:val="24"/>
          <w:highlight w:val="none"/>
        </w:rPr>
        <w:t>（监）</w:t>
      </w:r>
      <w:r>
        <w:rPr>
          <w:color w:val="auto"/>
          <w:sz w:val="24"/>
          <w:szCs w:val="24"/>
          <w:highlight w:val="none"/>
        </w:rPr>
        <w:t>测项目所需发生的全部费用以及本合同明示或暗示的所有风险</w:t>
      </w:r>
      <w:r>
        <w:rPr>
          <w:rFonts w:hint="eastAsia"/>
          <w:color w:val="auto"/>
          <w:sz w:val="24"/>
          <w:szCs w:val="24"/>
          <w:highlight w:val="none"/>
        </w:rPr>
        <w:t>而进一步产生的费用</w:t>
      </w:r>
      <w:r>
        <w:rPr>
          <w:color w:val="auto"/>
          <w:sz w:val="24"/>
          <w:szCs w:val="24"/>
          <w:highlight w:val="none"/>
        </w:rPr>
        <w:t>，结算时</w:t>
      </w:r>
      <w:r>
        <w:rPr>
          <w:rFonts w:hint="eastAsia"/>
          <w:color w:val="auto"/>
          <w:sz w:val="24"/>
          <w:szCs w:val="24"/>
          <w:highlight w:val="none"/>
        </w:rPr>
        <w:t>不含税</w:t>
      </w:r>
      <w:r>
        <w:rPr>
          <w:color w:val="auto"/>
          <w:sz w:val="24"/>
          <w:szCs w:val="24"/>
          <w:highlight w:val="none"/>
        </w:rPr>
        <w:t>综合单价不作调整。本合同工程量为暂定数量，不作为</w:t>
      </w:r>
      <w:r>
        <w:rPr>
          <w:rFonts w:hint="eastAsia"/>
          <w:color w:val="auto"/>
          <w:sz w:val="24"/>
          <w:szCs w:val="24"/>
          <w:highlight w:val="none"/>
        </w:rPr>
        <w:t>施工及</w:t>
      </w:r>
      <w:r>
        <w:rPr>
          <w:color w:val="auto"/>
          <w:sz w:val="24"/>
          <w:szCs w:val="24"/>
          <w:highlight w:val="none"/>
        </w:rPr>
        <w:t>结算的依据</w:t>
      </w:r>
      <w:r>
        <w:rPr>
          <w:rFonts w:hint="eastAsia"/>
          <w:color w:val="auto"/>
          <w:sz w:val="24"/>
          <w:szCs w:val="24"/>
          <w:highlight w:val="none"/>
        </w:rPr>
        <w:t>, 以经甲方</w:t>
      </w:r>
      <w:r>
        <w:rPr>
          <w:color w:val="auto"/>
          <w:sz w:val="24"/>
          <w:szCs w:val="24"/>
          <w:highlight w:val="none"/>
        </w:rPr>
        <w:t>确认的</w:t>
      </w:r>
      <w:r>
        <w:rPr>
          <w:rFonts w:hint="eastAsia"/>
          <w:color w:val="auto"/>
          <w:sz w:val="24"/>
          <w:szCs w:val="24"/>
          <w:highlight w:val="none"/>
        </w:rPr>
        <w:t>实际工程量为结算依据</w:t>
      </w:r>
      <w:r>
        <w:rPr>
          <w:color w:val="auto"/>
          <w:sz w:val="24"/>
          <w:szCs w:val="24"/>
          <w:highlight w:val="none"/>
        </w:rPr>
        <w:t>。综合单价及暂定数量详见本合同附件</w:t>
      </w:r>
      <w:r>
        <w:rPr>
          <w:rFonts w:ascii="宋体" w:hAnsi="宋体" w:cs="宋体"/>
          <w:color w:val="auto"/>
          <w:sz w:val="24"/>
          <w:szCs w:val="24"/>
          <w:highlight w:val="none"/>
        </w:rPr>
        <w:t>6</w:t>
      </w:r>
      <w:r>
        <w:rPr>
          <w:color w:val="auto"/>
          <w:sz w:val="24"/>
          <w:szCs w:val="24"/>
          <w:highlight w:val="none"/>
        </w:rPr>
        <w:t>。</w:t>
      </w:r>
      <w:r>
        <w:rPr>
          <w:rFonts w:hint="eastAsia"/>
          <w:color w:val="auto"/>
          <w:sz w:val="24"/>
          <w:szCs w:val="24"/>
          <w:highlight w:val="none"/>
        </w:rPr>
        <w:t>乙方应自行解决现场项目组的办公和生活用房、设施、配套水电，以及检（监）测人员交通、通讯费和本项目检（监）测用水电费等，由此发生的费用已包含在综合单价中。</w:t>
      </w:r>
    </w:p>
    <w:p>
      <w:pPr>
        <w:spacing w:before="156" w:beforeLines="50" w:after="156" w:afterLines="50" w:line="360" w:lineRule="auto"/>
        <w:ind w:firstLine="600" w:firstLineChars="250"/>
        <w:rPr>
          <w:rFonts w:ascii="宋体" w:hAnsi="宋体"/>
          <w:strike/>
          <w:color w:val="auto"/>
          <w:sz w:val="24"/>
          <w:highlight w:val="none"/>
          <w:shd w:val="clear" w:color="auto" w:fill="FFFFFF"/>
        </w:rPr>
      </w:pPr>
      <w:r>
        <w:rPr>
          <w:rFonts w:hint="eastAsia" w:ascii="宋体" w:hAnsi="宋体"/>
          <w:color w:val="auto"/>
          <w:sz w:val="24"/>
          <w:highlight w:val="none"/>
        </w:rPr>
        <w:t>(三)非合同范围及清单的新增检（监）测项，需事前报甲方审批通过后方可实施。新增检（监）测项目：（1）在合同中有对应综合单价的，按合同中对应综合单价执行；（2）新增检（监）测项目在合同中有类似综合单价的，按合同对应综合单价调整执行；（3）新增检测项目在合同中没有对应综合单价可参考的，参考《广东省房屋建筑和市政工程工程质量安全检测收费指导价》（粤建检协【2015】8号）</w:t>
      </w:r>
      <w:r>
        <w:rPr>
          <w:rFonts w:hint="eastAsia" w:ascii="宋体" w:hAnsi="宋体"/>
          <w:color w:val="auto"/>
          <w:sz w:val="24"/>
          <w:highlight w:val="none"/>
        </w:rPr>
        <w:t>下浮</w:t>
      </w:r>
      <w:r>
        <w:rPr>
          <w:rFonts w:ascii="宋体" w:hAnsi="宋体"/>
          <w:color w:val="auto"/>
          <w:sz w:val="24"/>
          <w:highlight w:val="none"/>
        </w:rPr>
        <w:t>6</w:t>
      </w:r>
      <w:r>
        <w:rPr>
          <w:rFonts w:hint="eastAsia" w:ascii="宋体" w:hAnsi="宋体"/>
          <w:color w:val="auto"/>
          <w:sz w:val="24"/>
          <w:highlight w:val="none"/>
        </w:rPr>
        <w:t>0%</w:t>
      </w:r>
      <w:r>
        <w:rPr>
          <w:rFonts w:hint="eastAsia" w:ascii="宋体" w:hAnsi="宋体"/>
          <w:color w:val="auto"/>
          <w:sz w:val="24"/>
          <w:highlight w:val="none"/>
        </w:rPr>
        <w:t>后再乘以（1-投标下浮率）计算执行，即检测收费指导价*（1</w:t>
      </w:r>
      <w:r>
        <w:rPr>
          <w:rFonts w:ascii="宋体" w:hAnsi="宋体"/>
          <w:color w:val="auto"/>
          <w:sz w:val="24"/>
          <w:highlight w:val="none"/>
        </w:rPr>
        <w:t>-60%</w:t>
      </w:r>
      <w:r>
        <w:rPr>
          <w:rFonts w:hint="eastAsia" w:ascii="宋体" w:hAnsi="宋体"/>
          <w:color w:val="auto"/>
          <w:sz w:val="24"/>
          <w:highlight w:val="none"/>
        </w:rPr>
        <w:t>）*（1-投标下浮率）；（4）若新增检测项目没有对应综合单价可参考的，由甲乙双方另行协商定价。</w:t>
      </w:r>
    </w:p>
    <w:p>
      <w:pPr>
        <w:widowControl/>
        <w:spacing w:before="156" w:beforeLines="50" w:after="156" w:afterLines="50" w:line="360" w:lineRule="auto"/>
        <w:outlineLvl w:val="0"/>
        <w:rPr>
          <w:rFonts w:ascii="宋体" w:hAnsi="宋体"/>
          <w:b/>
          <w:bCs/>
          <w:color w:val="auto"/>
          <w:kern w:val="0"/>
          <w:sz w:val="24"/>
          <w:szCs w:val="24"/>
          <w:highlight w:val="none"/>
        </w:rPr>
      </w:pPr>
      <w:r>
        <w:rPr>
          <w:rFonts w:hint="eastAsia" w:ascii="宋体" w:hAnsi="宋体"/>
          <w:b/>
          <w:bCs/>
          <w:color w:val="auto"/>
          <w:kern w:val="0"/>
          <w:sz w:val="24"/>
          <w:szCs w:val="24"/>
          <w:highlight w:val="none"/>
        </w:rPr>
        <w:t>六、进度款支付与结算</w:t>
      </w:r>
    </w:p>
    <w:p>
      <w:pPr>
        <w:spacing w:before="156" w:beforeLines="50" w:after="156" w:afterLines="50" w:line="360" w:lineRule="auto"/>
        <w:ind w:firstLine="480" w:firstLineChars="200"/>
        <w:rPr>
          <w:rFonts w:ascii="宋体" w:hAnsi="宋体"/>
          <w:bCs/>
          <w:color w:val="auto"/>
          <w:sz w:val="24"/>
          <w:highlight w:val="none"/>
        </w:rPr>
      </w:pPr>
      <w:r>
        <w:rPr>
          <w:rFonts w:hint="eastAsia" w:ascii="宋体" w:hAnsi="宋体"/>
          <w:bCs/>
          <w:color w:val="auto"/>
          <w:sz w:val="24"/>
          <w:highlight w:val="none"/>
        </w:rPr>
        <w:t>（一）进度款支付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进度款按</w:t>
      </w:r>
      <w:r>
        <w:rPr>
          <w:rFonts w:hint="eastAsia" w:ascii="宋体" w:hAnsi="宋体" w:cs="宋体"/>
          <w:b/>
          <w:bCs/>
          <w:color w:val="auto"/>
          <w:sz w:val="24"/>
          <w:szCs w:val="24"/>
          <w:highlight w:val="none"/>
        </w:rPr>
        <w:t>季度支付</w:t>
      </w:r>
      <w:r>
        <w:rPr>
          <w:rFonts w:hint="eastAsia" w:ascii="宋体" w:hAnsi="宋体" w:cs="宋体"/>
          <w:color w:val="auto"/>
          <w:sz w:val="24"/>
          <w:szCs w:val="24"/>
          <w:highlight w:val="none"/>
        </w:rPr>
        <w:t>。按照经监理及甲方审核确定的完成工作内容计算产值，根据乙方提交符合合同约定标准的检测、监测报告，经项目监理单位及甲方审核确定后20个工作日内支付上季度相应检测费用的80%，累计支付不超过合同暂定金额的80%。</w:t>
      </w:r>
    </w:p>
    <w:p>
      <w:pPr>
        <w:spacing w:before="156" w:beforeLines="50" w:after="156" w:afterLines="50" w:line="360" w:lineRule="auto"/>
        <w:ind w:firstLine="480" w:firstLineChars="200"/>
        <w:rPr>
          <w:rFonts w:ascii="宋体" w:hAnsi="宋体"/>
          <w:bCs/>
          <w:color w:val="auto"/>
          <w:sz w:val="24"/>
          <w:highlight w:val="none"/>
        </w:rPr>
      </w:pPr>
      <w:r>
        <w:rPr>
          <w:rFonts w:hint="eastAsia" w:ascii="宋体" w:hAnsi="宋体"/>
          <w:bCs/>
          <w:color w:val="auto"/>
          <w:sz w:val="24"/>
          <w:highlight w:val="none"/>
        </w:rPr>
        <w:t>（二）结算</w:t>
      </w:r>
    </w:p>
    <w:p>
      <w:pPr>
        <w:spacing w:before="156" w:beforeLines="50" w:after="156" w:afterLines="50" w:line="360" w:lineRule="auto"/>
        <w:ind w:firstLine="480" w:firstLineChars="200"/>
        <w:rPr>
          <w:rFonts w:ascii="宋体" w:hAnsi="宋体"/>
          <w:bCs/>
          <w:color w:val="auto"/>
          <w:sz w:val="24"/>
          <w:highlight w:val="none"/>
        </w:rPr>
      </w:pPr>
      <w:r>
        <w:rPr>
          <w:rFonts w:hint="eastAsia" w:ascii="宋体" w:hAnsi="宋体"/>
          <w:bCs/>
          <w:color w:val="auto"/>
          <w:sz w:val="24"/>
          <w:highlight w:val="none"/>
        </w:rPr>
        <w:t>乙方按照合同要求完成所有的检测、监测工作，并按甲方要求提交全部检测、监测成果报告和合格的申请资料后，</w:t>
      </w:r>
      <w:r>
        <w:rPr>
          <w:rFonts w:hint="eastAsia" w:ascii="Calibri" w:hAnsi="Calibri"/>
          <w:bCs/>
          <w:color w:val="auto"/>
          <w:sz w:val="24"/>
          <w:highlight w:val="none"/>
        </w:rPr>
        <w:t>双方根据实际完成工程量和</w:t>
      </w:r>
      <w:r>
        <w:rPr>
          <w:rFonts w:ascii="Calibri" w:hAnsi="Calibri"/>
          <w:bCs/>
          <w:color w:val="auto"/>
          <w:sz w:val="24"/>
          <w:highlight w:val="none"/>
        </w:rPr>
        <w:t>甲方</w:t>
      </w:r>
      <w:r>
        <w:rPr>
          <w:rFonts w:hint="eastAsia" w:ascii="Calibri" w:hAnsi="Calibri"/>
          <w:bCs/>
          <w:color w:val="auto"/>
          <w:sz w:val="24"/>
          <w:highlight w:val="none"/>
        </w:rPr>
        <w:t>有关结算计量及管理的规定流程办理结算，结算审批完成后</w:t>
      </w:r>
      <w:r>
        <w:rPr>
          <w:rFonts w:hint="eastAsia" w:ascii="宋体" w:hAnsi="宋体"/>
          <w:bCs/>
          <w:color w:val="auto"/>
          <w:sz w:val="24"/>
          <w:highlight w:val="none"/>
        </w:rPr>
        <w:t>20个工作日内</w:t>
      </w:r>
      <w:r>
        <w:rPr>
          <w:rFonts w:hint="eastAsia" w:ascii="Calibri" w:hAnsi="Calibri"/>
          <w:bCs/>
          <w:color w:val="auto"/>
          <w:sz w:val="24"/>
          <w:highlight w:val="none"/>
        </w:rPr>
        <w:t>甲方</w:t>
      </w:r>
      <w:r>
        <w:rPr>
          <w:rFonts w:hint="eastAsia" w:ascii="宋体" w:hAnsi="宋体"/>
          <w:bCs/>
          <w:color w:val="auto"/>
          <w:sz w:val="24"/>
          <w:highlight w:val="none"/>
        </w:rPr>
        <w:t>支付至结算金额的100％。</w:t>
      </w:r>
    </w:p>
    <w:p>
      <w:pPr>
        <w:tabs>
          <w:tab w:val="left" w:pos="1620"/>
        </w:tabs>
        <w:spacing w:line="540" w:lineRule="exact"/>
        <w:ind w:firstLine="560"/>
        <w:rPr>
          <w:rFonts w:ascii="宋体" w:hAnsi="宋体"/>
          <w:color w:val="auto"/>
          <w:sz w:val="24"/>
          <w:szCs w:val="24"/>
          <w:highlight w:val="none"/>
        </w:rPr>
      </w:pPr>
      <w:r>
        <w:rPr>
          <w:rFonts w:hint="eastAsia" w:ascii="宋体" w:hAnsi="宋体"/>
          <w:color w:val="auto"/>
          <w:sz w:val="24"/>
          <w:szCs w:val="24"/>
          <w:highlight w:val="none"/>
        </w:rPr>
        <w:t>甲方付款前，乙方须提供等额合法有效的增值税专用发票，因乙方未及时提供发票等原因致使甲方逾期付款的，责任由乙方承担；乙方未提供发票给甲方的，甲方可以顺延付款日期。甲方（业主）开票信息如下：</w:t>
      </w:r>
    </w:p>
    <w:p>
      <w:pPr>
        <w:tabs>
          <w:tab w:val="left" w:pos="1620"/>
        </w:tabs>
        <w:spacing w:line="540" w:lineRule="exact"/>
        <w:ind w:firstLine="560"/>
        <w:rPr>
          <w:rFonts w:ascii="宋体" w:hAnsi="宋体"/>
          <w:color w:val="auto"/>
          <w:sz w:val="24"/>
          <w:szCs w:val="24"/>
          <w:highlight w:val="none"/>
          <w:u w:val="single"/>
        </w:rPr>
      </w:pPr>
      <w:r>
        <w:rPr>
          <w:rFonts w:hint="eastAsia" w:ascii="宋体" w:hAnsi="宋体"/>
          <w:color w:val="auto"/>
          <w:sz w:val="24"/>
          <w:szCs w:val="24"/>
          <w:highlight w:val="none"/>
        </w:rPr>
        <w:t>公司名称：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tabs>
          <w:tab w:val="left" w:pos="1620"/>
        </w:tabs>
        <w:spacing w:line="540" w:lineRule="exact"/>
        <w:ind w:firstLine="560"/>
        <w:rPr>
          <w:rFonts w:ascii="宋体" w:hAnsi="宋体"/>
          <w:color w:val="auto"/>
          <w:sz w:val="24"/>
          <w:szCs w:val="24"/>
          <w:highlight w:val="none"/>
        </w:rPr>
      </w:pPr>
      <w:r>
        <w:rPr>
          <w:rFonts w:hint="eastAsia" w:ascii="宋体" w:hAnsi="宋体"/>
          <w:color w:val="auto"/>
          <w:sz w:val="24"/>
          <w:szCs w:val="24"/>
          <w:highlight w:val="none"/>
        </w:rPr>
        <w:t>纳税人识别号：</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tabs>
          <w:tab w:val="left" w:pos="1620"/>
        </w:tabs>
        <w:spacing w:line="540" w:lineRule="exact"/>
        <w:ind w:firstLine="560"/>
        <w:rPr>
          <w:rFonts w:ascii="宋体" w:hAnsi="宋体"/>
          <w:color w:val="auto"/>
          <w:sz w:val="24"/>
          <w:szCs w:val="24"/>
          <w:highlight w:val="none"/>
        </w:rPr>
      </w:pPr>
      <w:r>
        <w:rPr>
          <w:rFonts w:hint="eastAsia" w:ascii="宋体" w:hAnsi="宋体"/>
          <w:color w:val="auto"/>
          <w:sz w:val="24"/>
          <w:szCs w:val="24"/>
          <w:highlight w:val="none"/>
        </w:rPr>
        <w:t>地址、电话：</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tabs>
          <w:tab w:val="left" w:pos="1620"/>
        </w:tabs>
        <w:spacing w:line="540" w:lineRule="exact"/>
        <w:ind w:firstLine="560"/>
        <w:rPr>
          <w:rFonts w:ascii="宋体" w:hAnsi="宋体"/>
          <w:color w:val="auto"/>
          <w:sz w:val="24"/>
          <w:szCs w:val="24"/>
          <w:highlight w:val="none"/>
        </w:rPr>
      </w:pPr>
      <w:r>
        <w:rPr>
          <w:rFonts w:hint="eastAsia" w:ascii="宋体" w:hAnsi="宋体"/>
          <w:color w:val="auto"/>
          <w:sz w:val="24"/>
          <w:szCs w:val="24"/>
          <w:highlight w:val="none"/>
        </w:rPr>
        <w:t>开户行及账号：</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rPr>
          <w:color w:val="auto"/>
          <w:highlight w:val="none"/>
        </w:rPr>
      </w:pPr>
    </w:p>
    <w:p>
      <w:pPr>
        <w:adjustRightInd w:val="0"/>
        <w:snapToGrid w:val="0"/>
        <w:spacing w:before="156" w:beforeLines="50" w:after="156" w:afterLines="50" w:line="360" w:lineRule="auto"/>
        <w:ind w:firstLine="480" w:firstLineChars="200"/>
        <w:rPr>
          <w:rFonts w:ascii="宋体" w:hAnsi="宋体"/>
          <w:color w:val="auto"/>
          <w:sz w:val="24"/>
          <w:szCs w:val="24"/>
          <w:highlight w:val="none"/>
        </w:rPr>
      </w:pPr>
      <w:r>
        <w:rPr>
          <w:rFonts w:hint="eastAsia" w:ascii="Calibri" w:hAnsi="Calibri"/>
          <w:color w:val="auto"/>
          <w:sz w:val="24"/>
          <w:szCs w:val="24"/>
          <w:highlight w:val="none"/>
        </w:rPr>
        <w:t>以上付款</w:t>
      </w:r>
      <w:r>
        <w:rPr>
          <w:rFonts w:ascii="Calibri" w:hAnsi="Calibri"/>
          <w:color w:val="auto"/>
          <w:sz w:val="24"/>
          <w:szCs w:val="24"/>
          <w:highlight w:val="none"/>
        </w:rPr>
        <w:t>甲方</w:t>
      </w:r>
      <w:r>
        <w:rPr>
          <w:rFonts w:hint="eastAsia" w:ascii="Calibri" w:hAnsi="Calibri"/>
          <w:color w:val="auto"/>
          <w:sz w:val="24"/>
          <w:szCs w:val="24"/>
          <w:highlight w:val="none"/>
        </w:rPr>
        <w:t>以转账方式支付，本合同签定乙方的银行及账号为</w:t>
      </w:r>
      <w:r>
        <w:rPr>
          <w:rFonts w:ascii="Calibri" w:hAnsi="Calibri"/>
          <w:color w:val="auto"/>
          <w:sz w:val="24"/>
          <w:szCs w:val="24"/>
          <w:highlight w:val="none"/>
        </w:rPr>
        <w:t>甲方</w:t>
      </w:r>
      <w:r>
        <w:rPr>
          <w:rFonts w:hint="eastAsia" w:ascii="Calibri" w:hAnsi="Calibri"/>
          <w:color w:val="auto"/>
          <w:sz w:val="24"/>
          <w:szCs w:val="24"/>
          <w:highlight w:val="none"/>
        </w:rPr>
        <w:t>付款的唯一账号。</w:t>
      </w:r>
      <w:r>
        <w:rPr>
          <w:rFonts w:ascii="宋体" w:hAnsi="宋体"/>
          <w:color w:val="auto"/>
          <w:sz w:val="24"/>
          <w:szCs w:val="24"/>
          <w:highlight w:val="none"/>
        </w:rPr>
        <w:t>乙方账户信息</w:t>
      </w:r>
      <w:r>
        <w:rPr>
          <w:rFonts w:hint="eastAsia" w:ascii="宋体" w:hAnsi="宋体"/>
          <w:color w:val="auto"/>
          <w:sz w:val="24"/>
          <w:szCs w:val="24"/>
          <w:highlight w:val="none"/>
        </w:rPr>
        <w:t>如下</w:t>
      </w:r>
      <w:r>
        <w:rPr>
          <w:rFonts w:ascii="宋体" w:hAnsi="宋体"/>
          <w:color w:val="auto"/>
          <w:sz w:val="24"/>
          <w:szCs w:val="24"/>
          <w:highlight w:val="none"/>
        </w:rPr>
        <w:t>：</w:t>
      </w:r>
    </w:p>
    <w:p>
      <w:pPr>
        <w:adjustRightInd w:val="0"/>
        <w:snapToGrid w:val="0"/>
        <w:spacing w:before="156" w:beforeLines="50" w:after="156" w:afterLines="50"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开户名称：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p>
      <w:pPr>
        <w:adjustRightInd w:val="0"/>
        <w:snapToGrid w:val="0"/>
        <w:spacing w:before="156" w:beforeLines="50" w:after="156" w:afterLines="50"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开户银行：</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p>
      <w:pPr>
        <w:adjustRightInd w:val="0"/>
        <w:snapToGrid w:val="0"/>
        <w:spacing w:before="156" w:beforeLines="50" w:after="156" w:afterLines="50"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地    址：</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p>
      <w:pPr>
        <w:adjustRightInd w:val="0"/>
        <w:snapToGrid w:val="0"/>
        <w:spacing w:before="156" w:beforeLines="50" w:after="156" w:afterLines="5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账</w:t>
      </w:r>
      <w:r>
        <w:rPr>
          <w:rFonts w:ascii="宋体" w:hAnsi="宋体"/>
          <w:color w:val="auto"/>
          <w:sz w:val="24"/>
          <w:szCs w:val="24"/>
          <w:highlight w:val="none"/>
        </w:rPr>
        <w:t xml:space="preserve">    号：</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widowControl/>
        <w:spacing w:before="156" w:beforeLines="50" w:after="156" w:afterLines="50" w:line="360" w:lineRule="auto"/>
        <w:outlineLvl w:val="0"/>
        <w:rPr>
          <w:rFonts w:ascii="宋体"/>
          <w:color w:val="auto"/>
          <w:kern w:val="0"/>
          <w:sz w:val="24"/>
          <w:szCs w:val="24"/>
          <w:highlight w:val="none"/>
        </w:rPr>
      </w:pPr>
      <w:r>
        <w:rPr>
          <w:rFonts w:hint="eastAsia" w:ascii="宋体" w:hAnsi="宋体"/>
          <w:b/>
          <w:bCs/>
          <w:color w:val="auto"/>
          <w:kern w:val="0"/>
          <w:sz w:val="24"/>
          <w:szCs w:val="24"/>
          <w:highlight w:val="none"/>
        </w:rPr>
        <w:t>七、甲方责任</w:t>
      </w:r>
    </w:p>
    <w:p>
      <w:pPr>
        <w:widowControl/>
        <w:spacing w:before="156" w:beforeLines="50" w:after="156" w:afterLines="50" w:line="360" w:lineRule="auto"/>
        <w:ind w:firstLine="480" w:firstLineChars="200"/>
        <w:rPr>
          <w:rFonts w:ascii="宋体" w:hAnsi="宋体"/>
          <w:color w:val="auto"/>
          <w:kern w:val="0"/>
          <w:sz w:val="24"/>
          <w:szCs w:val="24"/>
          <w:highlight w:val="none"/>
          <w:u w:val="single"/>
        </w:rPr>
      </w:pPr>
      <w:r>
        <w:rPr>
          <w:rFonts w:hint="eastAsia" w:ascii="宋体" w:hAnsi="宋体"/>
          <w:color w:val="auto"/>
          <w:kern w:val="0"/>
          <w:sz w:val="24"/>
          <w:szCs w:val="24"/>
          <w:highlight w:val="none"/>
        </w:rPr>
        <w:t>（一）甲方指定一名：【</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】为甲方的授权代表，</w:t>
      </w:r>
      <w:r>
        <w:rPr>
          <w:rFonts w:hint="eastAsia" w:ascii="宋体" w:hAnsi="宋体"/>
          <w:color w:val="auto"/>
          <w:kern w:val="0"/>
          <w:sz w:val="24"/>
          <w:szCs w:val="24"/>
          <w:highlight w:val="none"/>
          <w:u w:val="single"/>
        </w:rPr>
        <w:t>电话：【</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】，地址：【 </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与乙方的授权代表建立工作联系，负责本项目有关工作事项，并对双方往来文件进行签收。</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（二）</w:t>
      </w:r>
      <w:r>
        <w:rPr>
          <w:rFonts w:hint="eastAsia" w:ascii="宋体" w:hAnsi="宋体"/>
          <w:color w:val="auto"/>
          <w:sz w:val="24"/>
          <w:highlight w:val="none"/>
        </w:rPr>
        <w:t>甲方负责向乙方</w:t>
      </w:r>
      <w:r>
        <w:rPr>
          <w:rFonts w:hint="eastAsia" w:ascii="宋体" w:hAnsi="宋体"/>
          <w:color w:val="auto"/>
          <w:sz w:val="24"/>
          <w:szCs w:val="24"/>
          <w:highlight w:val="none"/>
        </w:rPr>
        <w:t>提供与检（监）测服务有关的资料</w:t>
      </w:r>
      <w:r>
        <w:rPr>
          <w:rFonts w:hint="eastAsia" w:ascii="宋体" w:hAnsi="宋体"/>
          <w:color w:val="auto"/>
          <w:sz w:val="24"/>
          <w:highlight w:val="none"/>
        </w:rPr>
        <w:t>：包括但不限于相关文件资料、</w:t>
      </w:r>
      <w:r>
        <w:rPr>
          <w:color w:val="auto"/>
          <w:sz w:val="24"/>
          <w:szCs w:val="24"/>
          <w:highlight w:val="none"/>
        </w:rPr>
        <w:t>项目监督登记号等</w:t>
      </w:r>
      <w:r>
        <w:rPr>
          <w:rFonts w:hint="eastAsia" w:ascii="宋体" w:hAnsi="宋体"/>
          <w:color w:val="auto"/>
          <w:sz w:val="24"/>
          <w:highlight w:val="none"/>
        </w:rPr>
        <w:t>。</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三）甲方负责协调现场、提供进场条件。乙方承诺在合同签订前已查看过甲方所提供的场地及周围的环境，掌握了所有与工程施工有关或对施工有影响的情况，乙方进场施工后因场地因素所产生的费用增加均由乙方承担。</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（四）按合同约定</w:t>
      </w:r>
      <w:r>
        <w:rPr>
          <w:rFonts w:hint="eastAsia" w:ascii="Calibri" w:hAnsi="Calibri"/>
          <w:color w:val="auto"/>
          <w:sz w:val="24"/>
          <w:highlight w:val="none"/>
        </w:rPr>
        <w:t>支付</w:t>
      </w:r>
      <w:r>
        <w:rPr>
          <w:rFonts w:hint="eastAsia" w:ascii="宋体" w:hAnsi="宋体"/>
          <w:color w:val="auto"/>
          <w:sz w:val="24"/>
          <w:highlight w:val="none"/>
        </w:rPr>
        <w:t>款项。</w:t>
      </w:r>
    </w:p>
    <w:p>
      <w:pPr>
        <w:widowControl/>
        <w:spacing w:before="156" w:beforeLines="50" w:after="156" w:afterLines="50" w:line="360" w:lineRule="auto"/>
        <w:outlineLvl w:val="0"/>
        <w:rPr>
          <w:rFonts w:ascii="宋体" w:hAnsi="宋体"/>
          <w:b/>
          <w:bCs/>
          <w:color w:val="auto"/>
          <w:kern w:val="0"/>
          <w:sz w:val="24"/>
          <w:szCs w:val="24"/>
          <w:highlight w:val="none"/>
        </w:rPr>
      </w:pPr>
      <w:r>
        <w:rPr>
          <w:rFonts w:hint="eastAsia" w:ascii="宋体" w:hAnsi="宋体"/>
          <w:b/>
          <w:bCs/>
          <w:color w:val="auto"/>
          <w:kern w:val="0"/>
          <w:sz w:val="24"/>
          <w:szCs w:val="24"/>
          <w:highlight w:val="none"/>
        </w:rPr>
        <w:t>八、乙方责任</w:t>
      </w:r>
    </w:p>
    <w:p>
      <w:pPr>
        <w:widowControl/>
        <w:spacing w:before="156" w:beforeLines="50" w:after="156" w:afterLines="50" w:line="360" w:lineRule="auto"/>
        <w:ind w:firstLine="480"/>
        <w:rPr>
          <w:rFonts w:ascii="宋体"/>
          <w:color w:val="auto"/>
          <w:kern w:val="0"/>
          <w:sz w:val="24"/>
          <w:szCs w:val="24"/>
          <w:highlight w:val="none"/>
        </w:rPr>
      </w:pPr>
      <w:r>
        <w:rPr>
          <w:rFonts w:hint="eastAsia" w:ascii="宋体" w:hAnsi="宋体"/>
          <w:color w:val="auto"/>
          <w:kern w:val="0"/>
          <w:sz w:val="24"/>
          <w:szCs w:val="24"/>
          <w:highlight w:val="none"/>
        </w:rPr>
        <w:t>（一）为了履行检（监）测服务，乙方指定授权代表</w:t>
      </w:r>
      <w:r>
        <w:rPr>
          <w:rFonts w:hint="eastAsia" w:ascii="Calibri" w:hAnsi="Calibri" w:cs="宋体"/>
          <w:color w:val="auto"/>
          <w:sz w:val="24"/>
          <w:szCs w:val="24"/>
          <w:highlight w:val="none"/>
          <w:u w:val="single"/>
        </w:rPr>
        <w:t xml:space="preserve">   </w:t>
      </w:r>
      <w:r>
        <w:rPr>
          <w:rFonts w:ascii="Calibri" w:hAnsi="Calibri" w:cs="宋体"/>
          <w:color w:val="auto"/>
          <w:sz w:val="24"/>
          <w:szCs w:val="24"/>
          <w:highlight w:val="none"/>
          <w:u w:val="single"/>
        </w:rPr>
        <w:t xml:space="preserve">   </w:t>
      </w:r>
      <w:r>
        <w:rPr>
          <w:rFonts w:hint="eastAsia" w:ascii="Calibri" w:hAnsi="Calibri" w:cs="宋体"/>
          <w:color w:val="auto"/>
          <w:sz w:val="24"/>
          <w:szCs w:val="24"/>
          <w:highlight w:val="none"/>
          <w:u w:val="single"/>
        </w:rPr>
        <w:t xml:space="preserve"> （电话：</w:t>
      </w:r>
      <w:r>
        <w:rPr>
          <w:rFonts w:ascii="宋体" w:hAnsi="宋体" w:cs="宋体"/>
          <w:color w:val="auto"/>
          <w:sz w:val="24"/>
          <w:szCs w:val="24"/>
          <w:highlight w:val="none"/>
          <w:u w:val="single"/>
        </w:rPr>
        <w:t xml:space="preserve">           </w:t>
      </w:r>
      <w:r>
        <w:rPr>
          <w:rFonts w:hint="eastAsia" w:ascii="Calibri" w:hAnsi="Calibri" w:cs="宋体"/>
          <w:color w:val="auto"/>
          <w:sz w:val="24"/>
          <w:szCs w:val="24"/>
          <w:highlight w:val="none"/>
          <w:u w:val="single"/>
        </w:rPr>
        <w:t xml:space="preserve">），联系地址：【 </w:t>
      </w:r>
      <w:r>
        <w:rPr>
          <w:rFonts w:ascii="Calibri" w:hAnsi="Calibri" w:cs="宋体"/>
          <w:color w:val="auto"/>
          <w:sz w:val="24"/>
          <w:szCs w:val="24"/>
          <w:highlight w:val="none"/>
          <w:u w:val="single"/>
        </w:rPr>
        <w:t xml:space="preserve">                            </w:t>
      </w:r>
      <w:r>
        <w:rPr>
          <w:rFonts w:hint="eastAsia" w:ascii="Calibri" w:hAnsi="Calibri" w:cs="宋体"/>
          <w:color w:val="auto"/>
          <w:sz w:val="24"/>
          <w:szCs w:val="24"/>
          <w:highlight w:val="none"/>
          <w:u w:val="single"/>
        </w:rPr>
        <w:t>】</w:t>
      </w:r>
      <w:r>
        <w:rPr>
          <w:rFonts w:hint="eastAsia" w:ascii="宋体" w:hAnsi="宋体"/>
          <w:color w:val="auto"/>
          <w:kern w:val="0"/>
          <w:sz w:val="24"/>
          <w:szCs w:val="24"/>
          <w:highlight w:val="none"/>
        </w:rPr>
        <w:t>与甲方的授权代表建立工作联系，</w:t>
      </w:r>
      <w:r>
        <w:rPr>
          <w:rFonts w:hint="eastAsia" w:ascii="宋体" w:hAnsi="宋体"/>
          <w:color w:val="auto"/>
          <w:kern w:val="0"/>
          <w:sz w:val="24"/>
          <w:szCs w:val="21"/>
          <w:highlight w:val="none"/>
        </w:rPr>
        <w:t>负责</w:t>
      </w:r>
      <w:r>
        <w:rPr>
          <w:rFonts w:hint="eastAsia" w:ascii="宋体" w:hAnsi="宋体"/>
          <w:color w:val="auto"/>
          <w:kern w:val="0"/>
          <w:sz w:val="24"/>
          <w:szCs w:val="24"/>
          <w:highlight w:val="none"/>
        </w:rPr>
        <w:t>检（监）测</w:t>
      </w:r>
      <w:r>
        <w:rPr>
          <w:rFonts w:hint="eastAsia" w:ascii="宋体" w:hAnsi="宋体"/>
          <w:color w:val="auto"/>
          <w:kern w:val="0"/>
          <w:sz w:val="24"/>
          <w:szCs w:val="21"/>
          <w:highlight w:val="none"/>
        </w:rPr>
        <w:t>工作期间的全面管理，</w:t>
      </w:r>
      <w:r>
        <w:rPr>
          <w:rFonts w:hint="eastAsia" w:ascii="宋体" w:hAnsi="宋体"/>
          <w:color w:val="auto"/>
          <w:kern w:val="0"/>
          <w:sz w:val="24"/>
          <w:szCs w:val="24"/>
          <w:highlight w:val="none"/>
        </w:rPr>
        <w:t>并对双方往来文件进行签收。</w:t>
      </w:r>
      <w:r>
        <w:rPr>
          <w:rFonts w:hint="eastAsia" w:ascii="宋体" w:hAnsi="宋体"/>
          <w:color w:val="auto"/>
          <w:kern w:val="0"/>
          <w:sz w:val="24"/>
          <w:szCs w:val="21"/>
          <w:highlight w:val="none"/>
        </w:rPr>
        <w:t>该授权代表须持有与本</w:t>
      </w:r>
      <w:r>
        <w:rPr>
          <w:rFonts w:hint="eastAsia" w:ascii="宋体" w:hAnsi="宋体"/>
          <w:color w:val="auto"/>
          <w:kern w:val="0"/>
          <w:sz w:val="24"/>
          <w:szCs w:val="24"/>
          <w:highlight w:val="none"/>
        </w:rPr>
        <w:t>检（监）测</w:t>
      </w:r>
      <w:r>
        <w:rPr>
          <w:rFonts w:hint="eastAsia" w:ascii="宋体" w:hAnsi="宋体"/>
          <w:color w:val="auto"/>
          <w:kern w:val="0"/>
          <w:sz w:val="24"/>
          <w:szCs w:val="21"/>
          <w:highlight w:val="none"/>
        </w:rPr>
        <w:t>项目相适应的资格证书</w:t>
      </w:r>
      <w:r>
        <w:rPr>
          <w:rFonts w:hint="eastAsia" w:ascii="宋体" w:hAnsi="宋体"/>
          <w:color w:val="auto"/>
          <w:kern w:val="0"/>
          <w:sz w:val="24"/>
          <w:szCs w:val="24"/>
          <w:highlight w:val="none"/>
        </w:rPr>
        <w:t>。</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如变更授权代表应事先经甲方书面同意。</w:t>
      </w:r>
      <w:r>
        <w:rPr>
          <w:rFonts w:hint="eastAsia" w:ascii="宋体" w:hAnsi="宋体"/>
          <w:color w:val="auto"/>
          <w:sz w:val="24"/>
          <w:szCs w:val="24"/>
          <w:highlight w:val="none"/>
        </w:rPr>
        <w:t>未及时通知并影响本合同履行或造成损失的，应承担相应的责任。</w:t>
      </w:r>
    </w:p>
    <w:p>
      <w:pPr>
        <w:numPr>
          <w:ilvl w:val="0"/>
          <w:numId w:val="1"/>
        </w:num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工作方案要求：</w:t>
      </w:r>
    </w:p>
    <w:p>
      <w:pPr>
        <w:widowControl/>
        <w:spacing w:before="156" w:beforeLines="50" w:after="156" w:afterLines="50" w:line="360" w:lineRule="auto"/>
        <w:ind w:firstLine="480"/>
        <w:rPr>
          <w:rFonts w:ascii="宋体" w:hAnsi="宋体"/>
          <w:bCs/>
          <w:color w:val="auto"/>
          <w:kern w:val="0"/>
          <w:sz w:val="24"/>
          <w:szCs w:val="24"/>
          <w:highlight w:val="none"/>
        </w:rPr>
      </w:pPr>
      <w:r>
        <w:rPr>
          <w:rFonts w:hint="eastAsia" w:ascii="宋体" w:hAnsi="宋体"/>
          <w:color w:val="auto"/>
          <w:sz w:val="24"/>
          <w:szCs w:val="24"/>
          <w:highlight w:val="none"/>
        </w:rPr>
        <w:t>在监测（检测）前需根据甲方要求提交相关监测、检测工作方案（含相关</w:t>
      </w:r>
      <w:r>
        <w:rPr>
          <w:rFonts w:ascii="宋体" w:hAnsi="宋体"/>
          <w:color w:val="auto"/>
          <w:sz w:val="24"/>
          <w:szCs w:val="24"/>
          <w:highlight w:val="none"/>
        </w:rPr>
        <w:t>配套方案</w:t>
      </w:r>
      <w:r>
        <w:rPr>
          <w:rFonts w:hint="eastAsia" w:ascii="宋体" w:hAnsi="宋体"/>
          <w:color w:val="auto"/>
          <w:sz w:val="24"/>
          <w:szCs w:val="24"/>
          <w:highlight w:val="none"/>
        </w:rPr>
        <w:t>）。乙方编制的监测、检测方案必须满足设计文件、国家现行技术规范及相关主管部门的要求，观测点布置及数量必须确保满足工程及周围环境安全，并按相关程序报审（涉及需要组织专家论证的，由乙方组织并承担相关费用，此费</w:t>
      </w:r>
      <w:r>
        <w:rPr>
          <w:rFonts w:hint="eastAsia" w:ascii="宋体" w:hAnsi="宋体"/>
          <w:bCs/>
          <w:color w:val="auto"/>
          <w:kern w:val="0"/>
          <w:sz w:val="24"/>
          <w:szCs w:val="24"/>
          <w:highlight w:val="none"/>
        </w:rPr>
        <w:t>用已包含在单价中），经甲方审批后实施。</w:t>
      </w:r>
    </w:p>
    <w:p>
      <w:pPr>
        <w:widowControl/>
        <w:spacing w:before="156" w:beforeLines="50" w:after="156" w:afterLines="50" w:line="360" w:lineRule="auto"/>
        <w:ind w:firstLine="480"/>
        <w:rPr>
          <w:rFonts w:ascii="宋体" w:hAnsi="宋体"/>
          <w:bCs/>
          <w:color w:val="auto"/>
          <w:kern w:val="0"/>
          <w:sz w:val="24"/>
          <w:szCs w:val="24"/>
          <w:highlight w:val="none"/>
        </w:rPr>
      </w:pPr>
      <w:r>
        <w:rPr>
          <w:rFonts w:hint="eastAsia" w:ascii="宋体" w:hAnsi="宋体"/>
          <w:bCs/>
          <w:color w:val="auto"/>
          <w:kern w:val="0"/>
          <w:sz w:val="24"/>
          <w:szCs w:val="24"/>
          <w:highlight w:val="none"/>
        </w:rPr>
        <w:t>乙方在检（监）测过程中，若发现检（监）测结果异常时，需及时通知甲方、施工方及监理，对检（监）测过程中发现存在的质量问题，提出具体的处理意见和建议。</w:t>
      </w:r>
      <w:r>
        <w:rPr>
          <w:rFonts w:hint="eastAsia" w:ascii="宋体" w:hAnsi="宋体"/>
          <w:b/>
          <w:color w:val="auto"/>
          <w:kern w:val="0"/>
          <w:sz w:val="24"/>
          <w:szCs w:val="24"/>
          <w:highlight w:val="none"/>
        </w:rPr>
        <w:t>因非乙方原因导致的复检（监），由责任单位承担相关费用</w:t>
      </w:r>
      <w:r>
        <w:rPr>
          <w:rFonts w:hint="eastAsia" w:ascii="宋体" w:hAnsi="宋体"/>
          <w:bCs/>
          <w:color w:val="auto"/>
          <w:kern w:val="0"/>
          <w:sz w:val="24"/>
          <w:szCs w:val="24"/>
          <w:highlight w:val="none"/>
        </w:rPr>
        <w:t>。</w:t>
      </w:r>
    </w:p>
    <w:p>
      <w:pPr>
        <w:widowControl/>
        <w:spacing w:before="156" w:beforeLines="50" w:after="156" w:afterLines="50" w:line="360" w:lineRule="auto"/>
        <w:ind w:firstLine="480"/>
        <w:rPr>
          <w:rFonts w:ascii="宋体" w:hAnsi="宋体"/>
          <w:bCs/>
          <w:color w:val="auto"/>
          <w:kern w:val="0"/>
          <w:sz w:val="24"/>
          <w:szCs w:val="24"/>
          <w:highlight w:val="none"/>
        </w:rPr>
      </w:pPr>
      <w:r>
        <w:rPr>
          <w:rFonts w:hint="eastAsia" w:ascii="宋体" w:hAnsi="宋体"/>
          <w:bCs/>
          <w:color w:val="auto"/>
          <w:kern w:val="0"/>
          <w:sz w:val="24"/>
          <w:szCs w:val="24"/>
          <w:highlight w:val="none"/>
        </w:rPr>
        <w:t>（三）监测或检测频率和要求：</w:t>
      </w:r>
    </w:p>
    <w:p>
      <w:pPr>
        <w:widowControl/>
        <w:spacing w:before="156" w:beforeLines="50" w:after="156" w:afterLines="50" w:line="360" w:lineRule="auto"/>
        <w:ind w:firstLine="480"/>
        <w:rPr>
          <w:rFonts w:ascii="宋体" w:hAnsi="宋体"/>
          <w:bCs/>
          <w:color w:val="auto"/>
          <w:kern w:val="0"/>
          <w:sz w:val="24"/>
          <w:szCs w:val="24"/>
          <w:highlight w:val="none"/>
        </w:rPr>
      </w:pPr>
      <w:r>
        <w:rPr>
          <w:rFonts w:hint="eastAsia" w:ascii="宋体" w:hAnsi="宋体"/>
          <w:bCs/>
          <w:color w:val="auto"/>
          <w:kern w:val="0"/>
          <w:sz w:val="24"/>
          <w:szCs w:val="24"/>
          <w:highlight w:val="none"/>
        </w:rPr>
        <w:t>测点布置及频率按设计要求，并且须满足、符合建设行政主管部门和安全监督部门的相关要求。</w:t>
      </w:r>
    </w:p>
    <w:p>
      <w:pPr>
        <w:widowControl/>
        <w:spacing w:before="156" w:beforeLines="50" w:after="156" w:afterLines="50" w:line="360" w:lineRule="auto"/>
        <w:ind w:firstLine="480"/>
        <w:rPr>
          <w:rFonts w:ascii="宋体" w:hAnsi="宋体"/>
          <w:bCs/>
          <w:color w:val="auto"/>
          <w:kern w:val="0"/>
          <w:sz w:val="24"/>
          <w:szCs w:val="24"/>
          <w:highlight w:val="none"/>
        </w:rPr>
      </w:pPr>
      <w:r>
        <w:rPr>
          <w:rFonts w:hint="eastAsia" w:ascii="宋体" w:hAnsi="宋体"/>
          <w:bCs/>
          <w:color w:val="auto"/>
          <w:kern w:val="0"/>
          <w:sz w:val="24"/>
          <w:szCs w:val="24"/>
          <w:highlight w:val="none"/>
        </w:rPr>
        <w:t>（四）成果报告要求：</w:t>
      </w:r>
    </w:p>
    <w:p>
      <w:pPr>
        <w:spacing w:before="50" w:after="50" w:line="360" w:lineRule="auto"/>
        <w:ind w:firstLine="480" w:firstLineChars="200"/>
        <w:rPr>
          <w:rFonts w:ascii="宋体" w:hAnsi="宋体"/>
          <w:color w:val="auto"/>
          <w:sz w:val="24"/>
          <w:highlight w:val="none"/>
        </w:rPr>
      </w:pPr>
      <w:r>
        <w:rPr>
          <w:rFonts w:hint="eastAsia" w:ascii="宋体" w:hAnsi="宋体"/>
          <w:color w:val="auto"/>
          <w:sz w:val="24"/>
          <w:highlight w:val="none"/>
        </w:rPr>
        <w:t>1.每次监测</w:t>
      </w:r>
      <w:r>
        <w:rPr>
          <w:rFonts w:ascii="宋体" w:hAnsi="宋体"/>
          <w:color w:val="auto"/>
          <w:sz w:val="24"/>
          <w:highlight w:val="none"/>
        </w:rPr>
        <w:t>、</w:t>
      </w:r>
      <w:r>
        <w:rPr>
          <w:rFonts w:hint="eastAsia" w:ascii="宋体" w:hAnsi="宋体"/>
          <w:color w:val="auto"/>
          <w:sz w:val="24"/>
          <w:highlight w:val="none"/>
        </w:rPr>
        <w:t>检测后两</w:t>
      </w:r>
      <w:r>
        <w:rPr>
          <w:rFonts w:hint="eastAsia" w:ascii="宋体" w:hAnsi="宋体"/>
          <w:bCs/>
          <w:color w:val="auto"/>
          <w:kern w:val="0"/>
          <w:sz w:val="24"/>
          <w:szCs w:val="24"/>
          <w:highlight w:val="none"/>
        </w:rPr>
        <w:t xml:space="preserve">个工作日内将监测、检测结果以书面形式 </w:t>
      </w:r>
      <w:r>
        <w:rPr>
          <w:rFonts w:hint="eastAsia" w:ascii="宋体" w:hAnsi="宋体"/>
          <w:color w:val="auto"/>
          <w:sz w:val="24"/>
          <w:highlight w:val="none"/>
          <w:u w:val="single"/>
        </w:rPr>
        <w:t>壹</w:t>
      </w:r>
      <w:r>
        <w:rPr>
          <w:rFonts w:hint="eastAsia" w:ascii="宋体" w:hAnsi="宋体"/>
          <w:bCs/>
          <w:color w:val="auto"/>
          <w:kern w:val="0"/>
          <w:sz w:val="24"/>
          <w:szCs w:val="24"/>
          <w:highlight w:val="none"/>
          <w:u w:val="single"/>
        </w:rPr>
        <w:t>式伍</w:t>
      </w:r>
      <w:r>
        <w:rPr>
          <w:rFonts w:hint="eastAsia" w:ascii="宋体" w:hAnsi="宋体"/>
          <w:color w:val="auto"/>
          <w:sz w:val="24"/>
          <w:highlight w:val="none"/>
          <w:u w:val="single"/>
        </w:rPr>
        <w:t>份</w:t>
      </w:r>
      <w:r>
        <w:rPr>
          <w:rFonts w:hint="eastAsia" w:ascii="宋体" w:hAnsi="宋体"/>
          <w:bCs/>
          <w:color w:val="auto"/>
          <w:kern w:val="0"/>
          <w:sz w:val="24"/>
          <w:szCs w:val="24"/>
          <w:highlight w:val="none"/>
          <w:u w:val="single"/>
        </w:rPr>
        <w:t xml:space="preserve"> </w:t>
      </w:r>
      <w:r>
        <w:rPr>
          <w:rFonts w:hint="eastAsia" w:ascii="宋体" w:hAnsi="宋体"/>
          <w:bCs/>
          <w:color w:val="auto"/>
          <w:kern w:val="0"/>
          <w:sz w:val="24"/>
          <w:szCs w:val="24"/>
          <w:highlight w:val="none"/>
        </w:rPr>
        <w:t>通知现场监理人员及甲方</w:t>
      </w:r>
      <w:r>
        <w:rPr>
          <w:rFonts w:hint="eastAsia" w:ascii="宋体" w:hAnsi="宋体"/>
          <w:color w:val="auto"/>
          <w:sz w:val="24"/>
          <w:highlight w:val="none"/>
        </w:rPr>
        <w:t>；现场监测</w:t>
      </w:r>
      <w:r>
        <w:rPr>
          <w:rFonts w:ascii="宋体" w:hAnsi="宋体"/>
          <w:color w:val="auto"/>
          <w:sz w:val="24"/>
          <w:highlight w:val="none"/>
        </w:rPr>
        <w:t>、</w:t>
      </w:r>
      <w:r>
        <w:rPr>
          <w:rFonts w:hint="eastAsia" w:ascii="宋体" w:hAnsi="宋体"/>
          <w:color w:val="auto"/>
          <w:sz w:val="24"/>
          <w:highlight w:val="none"/>
        </w:rPr>
        <w:t>检测完成后三个工作日内提交正式检测报告（壹式</w:t>
      </w:r>
      <w:r>
        <w:rPr>
          <w:rFonts w:hint="eastAsia" w:ascii="宋体" w:hAnsi="宋体"/>
          <w:color w:val="auto"/>
          <w:sz w:val="24"/>
          <w:highlight w:val="none"/>
          <w:u w:val="single"/>
        </w:rPr>
        <w:t xml:space="preserve"> 捌 </w:t>
      </w:r>
      <w:r>
        <w:rPr>
          <w:rFonts w:hint="eastAsia" w:ascii="宋体" w:hAnsi="宋体"/>
          <w:color w:val="auto"/>
          <w:sz w:val="24"/>
          <w:highlight w:val="none"/>
        </w:rPr>
        <w:t>份），具体以甲方要求及相关主管部门要求为准。</w:t>
      </w:r>
    </w:p>
    <w:p>
      <w:pPr>
        <w:widowControl/>
        <w:spacing w:before="156" w:beforeLines="50" w:after="156" w:afterLines="50" w:line="360" w:lineRule="auto"/>
        <w:ind w:firstLine="480" w:firstLineChars="200"/>
        <w:rPr>
          <w:rFonts w:ascii="宋体" w:hAnsi="宋体"/>
          <w:bCs/>
          <w:color w:val="auto"/>
          <w:kern w:val="0"/>
          <w:sz w:val="24"/>
          <w:szCs w:val="24"/>
          <w:highlight w:val="none"/>
        </w:rPr>
      </w:pPr>
      <w:r>
        <w:rPr>
          <w:rFonts w:hint="eastAsia" w:ascii="宋体" w:hAnsi="宋体"/>
          <w:bCs/>
          <w:color w:val="auto"/>
          <w:kern w:val="0"/>
          <w:sz w:val="24"/>
          <w:szCs w:val="24"/>
          <w:highlight w:val="none"/>
        </w:rPr>
        <w:t>2.所有检测、监测均应有详细完整的记录表、数据报表、图形和曲线等书面报告。</w:t>
      </w:r>
    </w:p>
    <w:p>
      <w:pPr>
        <w:widowControl/>
        <w:spacing w:before="156" w:beforeLines="50" w:after="156" w:afterLines="50" w:line="360" w:lineRule="auto"/>
        <w:ind w:firstLine="480" w:firstLineChars="200"/>
        <w:rPr>
          <w:rFonts w:ascii="宋体" w:hAnsi="宋体"/>
          <w:bCs/>
          <w:color w:val="auto"/>
          <w:kern w:val="0"/>
          <w:sz w:val="24"/>
          <w:szCs w:val="24"/>
          <w:highlight w:val="none"/>
        </w:rPr>
      </w:pPr>
      <w:r>
        <w:rPr>
          <w:rFonts w:ascii="宋体" w:hAnsi="宋体"/>
          <w:bCs/>
          <w:color w:val="auto"/>
          <w:kern w:val="0"/>
          <w:sz w:val="24"/>
          <w:szCs w:val="24"/>
          <w:highlight w:val="none"/>
        </w:rPr>
        <w:t>3</w:t>
      </w:r>
      <w:r>
        <w:rPr>
          <w:rFonts w:hint="eastAsia" w:ascii="宋体" w:hAnsi="宋体"/>
          <w:bCs/>
          <w:color w:val="auto"/>
          <w:kern w:val="0"/>
          <w:sz w:val="24"/>
          <w:szCs w:val="24"/>
          <w:highlight w:val="none"/>
        </w:rPr>
        <w:t>.根据项目需要按甲方要求提供中间成果报告（周报</w:t>
      </w:r>
      <w:r>
        <w:rPr>
          <w:rFonts w:ascii="宋体" w:hAnsi="宋体"/>
          <w:bCs/>
          <w:color w:val="auto"/>
          <w:kern w:val="0"/>
          <w:sz w:val="24"/>
          <w:szCs w:val="24"/>
          <w:highlight w:val="none"/>
        </w:rPr>
        <w:t>、月报等</w:t>
      </w:r>
      <w:r>
        <w:rPr>
          <w:rFonts w:hint="eastAsia" w:ascii="宋体" w:hAnsi="宋体"/>
          <w:bCs/>
          <w:color w:val="auto"/>
          <w:kern w:val="0"/>
          <w:sz w:val="24"/>
          <w:szCs w:val="24"/>
          <w:highlight w:val="none"/>
        </w:rPr>
        <w:t>）。</w:t>
      </w:r>
    </w:p>
    <w:p>
      <w:pPr>
        <w:widowControl/>
        <w:spacing w:before="156" w:beforeLines="50" w:after="156" w:afterLines="50" w:line="360" w:lineRule="auto"/>
        <w:ind w:firstLine="480" w:firstLineChars="200"/>
        <w:rPr>
          <w:rFonts w:ascii="宋体" w:hAnsi="宋体"/>
          <w:bCs/>
          <w:color w:val="auto"/>
          <w:kern w:val="0"/>
          <w:sz w:val="24"/>
          <w:szCs w:val="24"/>
          <w:highlight w:val="none"/>
        </w:rPr>
      </w:pPr>
      <w:r>
        <w:rPr>
          <w:rFonts w:ascii="宋体" w:hAnsi="宋体"/>
          <w:bCs/>
          <w:color w:val="auto"/>
          <w:kern w:val="0"/>
          <w:sz w:val="24"/>
          <w:szCs w:val="24"/>
          <w:highlight w:val="none"/>
        </w:rPr>
        <w:t>4</w:t>
      </w:r>
      <w:r>
        <w:rPr>
          <w:rFonts w:hint="eastAsia" w:ascii="宋体" w:hAnsi="宋体"/>
          <w:bCs/>
          <w:color w:val="auto"/>
          <w:kern w:val="0"/>
          <w:sz w:val="24"/>
          <w:szCs w:val="24"/>
          <w:highlight w:val="none"/>
        </w:rPr>
        <w:t>.乙方提供的监测数据应满足广州市住房和城乡建设局的规定，按时上传，每周、每月及时上报监测简报。</w:t>
      </w:r>
    </w:p>
    <w:p>
      <w:pPr>
        <w:widowControl/>
        <w:spacing w:before="156" w:beforeLines="50" w:after="156" w:afterLines="50" w:line="360" w:lineRule="auto"/>
        <w:ind w:firstLine="480"/>
        <w:rPr>
          <w:rFonts w:ascii="宋体"/>
          <w:color w:val="auto"/>
          <w:kern w:val="0"/>
          <w:sz w:val="24"/>
          <w:szCs w:val="21"/>
          <w:highlight w:val="none"/>
        </w:rPr>
      </w:pPr>
      <w:r>
        <w:rPr>
          <w:rFonts w:ascii="宋体" w:hAnsi="宋体"/>
          <w:bCs/>
          <w:color w:val="auto"/>
          <w:kern w:val="0"/>
          <w:sz w:val="24"/>
          <w:szCs w:val="24"/>
          <w:highlight w:val="none"/>
        </w:rPr>
        <w:t>5</w:t>
      </w:r>
      <w:r>
        <w:rPr>
          <w:rFonts w:hint="eastAsia" w:ascii="宋体" w:hAnsi="宋体"/>
          <w:bCs/>
          <w:color w:val="auto"/>
          <w:kern w:val="0"/>
          <w:sz w:val="24"/>
          <w:szCs w:val="24"/>
          <w:highlight w:val="none"/>
        </w:rPr>
        <w:t>.检测、监测</w:t>
      </w:r>
      <w:r>
        <w:rPr>
          <w:rFonts w:hint="eastAsia" w:ascii="宋体" w:hAnsi="宋体"/>
          <w:color w:val="auto"/>
          <w:kern w:val="0"/>
          <w:sz w:val="24"/>
          <w:szCs w:val="21"/>
          <w:highlight w:val="none"/>
        </w:rPr>
        <w:t>报告需符合广州市南沙区安监站、质监站等相关主管部门要求。</w:t>
      </w:r>
    </w:p>
    <w:p>
      <w:pPr>
        <w:widowControl/>
        <w:spacing w:before="156" w:beforeLines="50" w:after="156" w:afterLines="50" w:line="360" w:lineRule="auto"/>
        <w:ind w:firstLine="480"/>
        <w:rPr>
          <w:rFonts w:ascii="宋体" w:hAnsi="宋体"/>
          <w:color w:val="auto"/>
          <w:kern w:val="0"/>
          <w:sz w:val="24"/>
          <w:szCs w:val="24"/>
          <w:highlight w:val="none"/>
        </w:rPr>
      </w:pPr>
      <w:r>
        <w:rPr>
          <w:rFonts w:ascii="宋体" w:hAnsi="宋体"/>
          <w:color w:val="auto"/>
          <w:kern w:val="0"/>
          <w:sz w:val="24"/>
          <w:szCs w:val="24"/>
          <w:highlight w:val="none"/>
        </w:rPr>
        <w:t>6</w:t>
      </w:r>
      <w:r>
        <w:rPr>
          <w:rFonts w:hint="eastAsia" w:ascii="宋体" w:hAnsi="宋体"/>
          <w:color w:val="auto"/>
          <w:kern w:val="0"/>
          <w:sz w:val="24"/>
          <w:szCs w:val="24"/>
          <w:highlight w:val="none"/>
        </w:rPr>
        <w:t>.提交的检测、监测试验报告应具有法定效力。</w:t>
      </w:r>
    </w:p>
    <w:p>
      <w:pPr>
        <w:widowControl/>
        <w:spacing w:before="156" w:beforeLines="50" w:after="156" w:afterLines="50" w:line="360" w:lineRule="auto"/>
        <w:ind w:firstLine="480" w:firstLineChars="200"/>
        <w:rPr>
          <w:rFonts w:ascii="宋体" w:hAnsi="宋体"/>
          <w:bCs/>
          <w:color w:val="auto"/>
          <w:kern w:val="0"/>
          <w:sz w:val="24"/>
          <w:szCs w:val="24"/>
          <w:highlight w:val="none"/>
        </w:rPr>
      </w:pPr>
      <w:r>
        <w:rPr>
          <w:rFonts w:ascii="宋体" w:hAnsi="宋体"/>
          <w:bCs/>
          <w:color w:val="auto"/>
          <w:kern w:val="0"/>
          <w:sz w:val="24"/>
          <w:szCs w:val="24"/>
          <w:highlight w:val="none"/>
        </w:rPr>
        <w:t>7</w:t>
      </w:r>
      <w:r>
        <w:rPr>
          <w:rFonts w:hint="eastAsia" w:ascii="宋体" w:hAnsi="宋体"/>
          <w:color w:val="auto"/>
          <w:kern w:val="0"/>
          <w:sz w:val="24"/>
          <w:szCs w:val="24"/>
          <w:highlight w:val="none"/>
        </w:rPr>
        <w:t>.</w:t>
      </w:r>
      <w:r>
        <w:rPr>
          <w:rFonts w:hint="eastAsia" w:ascii="宋体" w:hAnsi="宋体"/>
          <w:bCs/>
          <w:color w:val="auto"/>
          <w:kern w:val="0"/>
          <w:sz w:val="24"/>
          <w:szCs w:val="24"/>
          <w:highlight w:val="none"/>
        </w:rPr>
        <w:t>乙方对报告、成果、文件出现的遗漏或错误负责修改补充：由于乙方的遗漏、错误造成工程质量事故，乙方除负法律责任和采取补救措施外，应减收或免收直接受损失部分的工程施工监测费，并根据受损失程度向甲方支付</w:t>
      </w:r>
      <w:r>
        <w:rPr>
          <w:rFonts w:ascii="宋体" w:hAnsi="宋体"/>
          <w:bCs/>
          <w:color w:val="auto"/>
          <w:kern w:val="0"/>
          <w:sz w:val="24"/>
          <w:szCs w:val="24"/>
          <w:highlight w:val="none"/>
        </w:rPr>
        <w:t>赔</w:t>
      </w:r>
      <w:r>
        <w:rPr>
          <w:rFonts w:hint="eastAsia" w:ascii="宋体" w:hAnsi="宋体"/>
          <w:bCs/>
          <w:color w:val="auto"/>
          <w:kern w:val="0"/>
          <w:sz w:val="24"/>
          <w:szCs w:val="24"/>
          <w:highlight w:val="none"/>
        </w:rPr>
        <w:t>偿金</w:t>
      </w:r>
      <w:r>
        <w:rPr>
          <w:rFonts w:ascii="宋体" w:hAnsi="宋体"/>
          <w:bCs/>
          <w:color w:val="auto"/>
          <w:kern w:val="0"/>
          <w:sz w:val="24"/>
          <w:szCs w:val="24"/>
          <w:highlight w:val="none"/>
        </w:rPr>
        <w:t>。</w:t>
      </w:r>
    </w:p>
    <w:p>
      <w:pPr>
        <w:widowControl/>
        <w:spacing w:before="156" w:beforeLines="50" w:after="156" w:afterLines="50" w:line="360" w:lineRule="auto"/>
        <w:ind w:firstLine="480"/>
        <w:rPr>
          <w:rFonts w:ascii="宋体" w:hAnsi="宋体"/>
          <w:bCs/>
          <w:color w:val="auto"/>
          <w:kern w:val="0"/>
          <w:sz w:val="24"/>
          <w:szCs w:val="24"/>
          <w:highlight w:val="none"/>
        </w:rPr>
      </w:pPr>
      <w:r>
        <w:rPr>
          <w:rFonts w:hint="eastAsia" w:ascii="宋体" w:hAnsi="宋体"/>
          <w:bCs/>
          <w:color w:val="auto"/>
          <w:kern w:val="0"/>
          <w:sz w:val="24"/>
          <w:szCs w:val="24"/>
          <w:highlight w:val="none"/>
        </w:rPr>
        <w:t>（五）现场工作要求：</w:t>
      </w:r>
    </w:p>
    <w:p>
      <w:pPr>
        <w:widowControl/>
        <w:spacing w:before="156" w:beforeLines="50" w:after="156" w:afterLines="50" w:line="360" w:lineRule="auto"/>
        <w:ind w:firstLine="480"/>
        <w:rPr>
          <w:rFonts w:ascii="宋体" w:hAnsi="宋体"/>
          <w:bCs/>
          <w:color w:val="auto"/>
          <w:kern w:val="0"/>
          <w:sz w:val="24"/>
          <w:szCs w:val="24"/>
          <w:highlight w:val="none"/>
        </w:rPr>
      </w:pPr>
      <w:r>
        <w:rPr>
          <w:rFonts w:hint="eastAsia" w:ascii="宋体" w:hAnsi="宋体"/>
          <w:bCs/>
          <w:color w:val="auto"/>
          <w:kern w:val="0"/>
          <w:sz w:val="24"/>
          <w:szCs w:val="24"/>
          <w:highlight w:val="none"/>
        </w:rPr>
        <w:t>1.乙方应严格按照设计要求、建设行政主管部门和安全监督部门的相关要求及甲方现场管理要求，配合工程进度，及时到现场进行</w:t>
      </w:r>
      <w:r>
        <w:rPr>
          <w:rFonts w:hint="eastAsia" w:ascii="宋体" w:hAnsi="宋体"/>
          <w:color w:val="auto"/>
          <w:kern w:val="0"/>
          <w:sz w:val="24"/>
          <w:szCs w:val="24"/>
          <w:highlight w:val="none"/>
        </w:rPr>
        <w:t>检（监）测</w:t>
      </w:r>
      <w:r>
        <w:rPr>
          <w:rFonts w:hint="eastAsia" w:ascii="宋体" w:hAnsi="宋体"/>
          <w:bCs/>
          <w:color w:val="auto"/>
          <w:kern w:val="0"/>
          <w:sz w:val="24"/>
          <w:szCs w:val="24"/>
          <w:highlight w:val="none"/>
        </w:rPr>
        <w:t>工作。</w:t>
      </w:r>
      <w:r>
        <w:rPr>
          <w:rFonts w:hint="eastAsia" w:ascii="宋体" w:hAnsi="宋体"/>
          <w:color w:val="auto"/>
          <w:kern w:val="0"/>
          <w:sz w:val="24"/>
          <w:szCs w:val="21"/>
          <w:highlight w:val="none"/>
        </w:rPr>
        <w:t>进场后必须接受甲方及现场监理的监督并予以积极配合。</w:t>
      </w:r>
      <w:r>
        <w:rPr>
          <w:rFonts w:hint="eastAsia" w:ascii="宋体" w:hAnsi="宋体"/>
          <w:color w:val="auto"/>
          <w:kern w:val="0"/>
          <w:sz w:val="24"/>
          <w:szCs w:val="21"/>
          <w:highlight w:val="none"/>
        </w:rPr>
        <w:t>每次进场须向甲方、监理进行签到确认，请款和结算时须提交进场签到记录或系统人脸识别记录。</w:t>
      </w:r>
    </w:p>
    <w:p>
      <w:pPr>
        <w:widowControl/>
        <w:spacing w:before="156" w:beforeLines="50" w:after="156" w:afterLines="50" w:line="360" w:lineRule="auto"/>
        <w:ind w:firstLine="480"/>
        <w:rPr>
          <w:rFonts w:ascii="宋体" w:hAnsi="宋体"/>
          <w:bCs/>
          <w:color w:val="auto"/>
          <w:kern w:val="0"/>
          <w:sz w:val="24"/>
          <w:szCs w:val="24"/>
          <w:highlight w:val="none"/>
        </w:rPr>
      </w:pPr>
      <w:r>
        <w:rPr>
          <w:rFonts w:hint="eastAsia" w:ascii="宋体" w:hAnsi="宋体"/>
          <w:color w:val="auto"/>
          <w:kern w:val="0"/>
          <w:sz w:val="24"/>
          <w:szCs w:val="24"/>
          <w:highlight w:val="none"/>
        </w:rPr>
        <w:t>2.检（监）测工作需按甲方要求</w:t>
      </w:r>
      <w:r>
        <w:rPr>
          <w:rFonts w:ascii="宋体" w:hAnsi="宋体"/>
          <w:color w:val="auto"/>
          <w:kern w:val="0"/>
          <w:sz w:val="24"/>
          <w:szCs w:val="24"/>
          <w:highlight w:val="none"/>
        </w:rPr>
        <w:t>24</w:t>
      </w:r>
      <w:r>
        <w:rPr>
          <w:rFonts w:hint="eastAsia" w:ascii="宋体" w:hAnsi="宋体"/>
          <w:color w:val="auto"/>
          <w:kern w:val="0"/>
          <w:sz w:val="24"/>
          <w:szCs w:val="24"/>
          <w:highlight w:val="none"/>
        </w:rPr>
        <w:t>小时内到场检（监）测，并在甲方指定的时间内按质按量完成，不能影响工程其他工序的实施。</w:t>
      </w:r>
      <w:r>
        <w:rPr>
          <w:rFonts w:hint="eastAsia" w:ascii="宋体" w:hAnsi="宋体"/>
          <w:bCs/>
          <w:color w:val="auto"/>
          <w:kern w:val="0"/>
          <w:sz w:val="24"/>
          <w:szCs w:val="24"/>
          <w:highlight w:val="none"/>
        </w:rPr>
        <w:t>若未在规定时间内到场，则视为乙方违约并</w:t>
      </w:r>
      <w:r>
        <w:rPr>
          <w:rFonts w:hint="eastAsia" w:ascii="宋体" w:hAnsi="宋体" w:cs="宋体"/>
          <w:color w:val="auto"/>
          <w:sz w:val="24"/>
          <w:szCs w:val="24"/>
          <w:highlight w:val="none"/>
        </w:rPr>
        <w:t>承担</w:t>
      </w:r>
      <w:r>
        <w:rPr>
          <w:rFonts w:ascii="宋体" w:hAnsi="宋体" w:cs="宋体"/>
          <w:color w:val="auto"/>
          <w:sz w:val="24"/>
          <w:szCs w:val="24"/>
          <w:highlight w:val="none"/>
        </w:rPr>
        <w:t>违约责任</w:t>
      </w:r>
      <w:r>
        <w:rPr>
          <w:rFonts w:hint="eastAsia" w:ascii="宋体" w:hAnsi="宋体"/>
          <w:bCs/>
          <w:color w:val="auto"/>
          <w:kern w:val="0"/>
          <w:sz w:val="24"/>
          <w:szCs w:val="24"/>
          <w:highlight w:val="none"/>
        </w:rPr>
        <w:t>。</w:t>
      </w:r>
    </w:p>
    <w:p>
      <w:pPr>
        <w:widowControl/>
        <w:spacing w:before="156" w:beforeLines="50" w:after="156" w:afterLines="50" w:line="360" w:lineRule="auto"/>
        <w:ind w:firstLine="480"/>
        <w:rPr>
          <w:rFonts w:ascii="宋体" w:hAnsi="宋体"/>
          <w:bCs/>
          <w:color w:val="auto"/>
          <w:kern w:val="0"/>
          <w:sz w:val="24"/>
          <w:szCs w:val="24"/>
          <w:highlight w:val="none"/>
        </w:rPr>
      </w:pPr>
      <w:r>
        <w:rPr>
          <w:rFonts w:ascii="宋体" w:hAnsi="宋体"/>
          <w:bCs/>
          <w:color w:val="auto"/>
          <w:kern w:val="0"/>
          <w:sz w:val="24"/>
          <w:szCs w:val="24"/>
          <w:highlight w:val="none"/>
        </w:rPr>
        <w:t>3</w:t>
      </w:r>
      <w:r>
        <w:rPr>
          <w:rFonts w:hint="eastAsia" w:ascii="宋体" w:hAnsi="宋体"/>
          <w:bCs/>
          <w:color w:val="auto"/>
          <w:kern w:val="0"/>
          <w:sz w:val="24"/>
          <w:szCs w:val="24"/>
          <w:highlight w:val="none"/>
        </w:rPr>
        <w:t>.工程出现质量隐患时，必须立即上报甲方；因乙方未及时上报情况而造成安全事故的，乙方需负相关责任，对甲方造成损失的，乙方应负责赔偿。</w:t>
      </w:r>
    </w:p>
    <w:p>
      <w:pPr>
        <w:widowControl/>
        <w:spacing w:before="156" w:beforeLines="50" w:after="156" w:afterLines="50" w:line="360" w:lineRule="auto"/>
        <w:ind w:firstLine="480" w:firstLineChars="200"/>
        <w:rPr>
          <w:rFonts w:ascii="宋体"/>
          <w:color w:val="auto"/>
          <w:kern w:val="0"/>
          <w:sz w:val="24"/>
          <w:szCs w:val="24"/>
          <w:highlight w:val="none"/>
        </w:rPr>
      </w:pPr>
      <w:r>
        <w:rPr>
          <w:rFonts w:ascii="宋体" w:hAnsi="宋体"/>
          <w:color w:val="auto"/>
          <w:kern w:val="0"/>
          <w:sz w:val="24"/>
          <w:szCs w:val="21"/>
          <w:highlight w:val="none"/>
        </w:rPr>
        <w:t>4</w:t>
      </w:r>
      <w:r>
        <w:rPr>
          <w:rFonts w:hint="eastAsia" w:ascii="宋体" w:hAnsi="宋体"/>
          <w:color w:val="auto"/>
          <w:kern w:val="0"/>
          <w:sz w:val="24"/>
          <w:szCs w:val="21"/>
          <w:highlight w:val="none"/>
        </w:rPr>
        <w:t>.</w:t>
      </w:r>
      <w:r>
        <w:rPr>
          <w:rFonts w:hint="eastAsia" w:ascii="宋体" w:hAnsi="宋体"/>
          <w:color w:val="auto"/>
          <w:kern w:val="0"/>
          <w:sz w:val="24"/>
          <w:szCs w:val="24"/>
          <w:highlight w:val="none"/>
        </w:rPr>
        <w:t>乙方必须按照国家、省、市、市政建筑相关的检（监）测规程及其工程质量检验评定标准、本合同的技术条件来开展检（监）测工作；由于乙方原因造成的停工、返工、窝工，由乙方自行承担全部责任并不得向甲方索赔任何费用；</w:t>
      </w:r>
      <w:r>
        <w:rPr>
          <w:rFonts w:hint="eastAsia" w:ascii="宋体" w:hAnsi="宋体"/>
          <w:color w:val="auto"/>
          <w:kern w:val="0"/>
          <w:sz w:val="24"/>
          <w:szCs w:val="21"/>
          <w:highlight w:val="none"/>
        </w:rPr>
        <w:t>同时乙方须承担因此给甲方造成的损失。</w:t>
      </w:r>
    </w:p>
    <w:p>
      <w:pPr>
        <w:spacing w:before="156" w:beforeLines="50" w:after="156" w:afterLines="50"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.由于乙方原因造成工程</w:t>
      </w:r>
      <w:r>
        <w:rPr>
          <w:rFonts w:hint="eastAsia" w:ascii="宋体" w:hAnsi="宋体"/>
          <w:color w:val="auto"/>
          <w:sz w:val="24"/>
          <w:szCs w:val="24"/>
          <w:highlight w:val="none"/>
        </w:rPr>
        <w:t>检（监）测</w:t>
      </w:r>
      <w:r>
        <w:rPr>
          <w:rFonts w:hint="eastAsia" w:ascii="宋体" w:hAnsi="宋体"/>
          <w:color w:val="auto"/>
          <w:sz w:val="24"/>
          <w:highlight w:val="none"/>
        </w:rPr>
        <w:t>返工或增加工作量，甲方不另支付费用。</w:t>
      </w:r>
    </w:p>
    <w:p>
      <w:pPr>
        <w:spacing w:before="156" w:beforeLines="50" w:after="156" w:afterLines="50" w:line="360" w:lineRule="auto"/>
        <w:ind w:firstLine="480" w:firstLineChars="200"/>
        <w:rPr>
          <w:rFonts w:hint="eastAsia" w:ascii="宋体" w:hAnsi="宋体"/>
          <w:color w:val="auto"/>
          <w:kern w:val="2"/>
          <w:sz w:val="24"/>
          <w:szCs w:val="22"/>
          <w:highlight w:val="none"/>
        </w:rPr>
      </w:pPr>
      <w:r>
        <w:rPr>
          <w:rFonts w:hint="eastAsia" w:ascii="宋体" w:hAnsi="宋体"/>
          <w:color w:val="auto"/>
          <w:kern w:val="2"/>
          <w:sz w:val="24"/>
          <w:szCs w:val="22"/>
          <w:highlight w:val="none"/>
        </w:rPr>
        <w:t>6</w:t>
      </w:r>
      <w:r>
        <w:rPr>
          <w:rFonts w:hint="eastAsia" w:ascii="宋体" w:hAnsi="宋体"/>
          <w:color w:val="auto"/>
          <w:sz w:val="24"/>
          <w:highlight w:val="none"/>
        </w:rPr>
        <w:t>.</w:t>
      </w:r>
      <w:r>
        <w:rPr>
          <w:rFonts w:hint="eastAsia" w:ascii="宋体" w:hAnsi="宋体" w:eastAsia="宋体" w:cs="Times New Roman"/>
          <w:color w:val="auto"/>
          <w:sz w:val="24"/>
          <w:szCs w:val="22"/>
          <w:highlight w:val="none"/>
          <w:shd w:val="clear" w:color="auto" w:fill="FFFFFF"/>
        </w:rPr>
        <w:t>基坑监测的预警阈值应由监测项目的累计变化量和变化速率值共同控制，当监测数据超过其中之一时即进入危险状态。监测过程中，监测单位因停工、灾害天气等原因需放宽监测频率或调整测点状态时，应在系统上报送监理单位、建设单位</w:t>
      </w:r>
      <w:r>
        <w:rPr>
          <w:rFonts w:hint="eastAsia" w:ascii="宋体" w:hAnsi="宋体"/>
          <w:color w:val="auto"/>
          <w:kern w:val="2"/>
          <w:sz w:val="24"/>
          <w:szCs w:val="22"/>
          <w:highlight w:val="none"/>
          <w:shd w:val="clear" w:color="auto" w:fill="FFFFFF"/>
        </w:rPr>
        <w:t>，并书面通知监理单位和建设单位</w:t>
      </w:r>
      <w:r>
        <w:rPr>
          <w:rFonts w:hint="eastAsia" w:ascii="宋体" w:hAnsi="宋体" w:eastAsia="宋体" w:cs="Times New Roman"/>
          <w:color w:val="auto"/>
          <w:sz w:val="24"/>
          <w:szCs w:val="22"/>
          <w:highlight w:val="none"/>
          <w:shd w:val="clear" w:color="auto" w:fill="FFFFFF"/>
        </w:rPr>
        <w:t>。</w:t>
      </w:r>
    </w:p>
    <w:p>
      <w:pPr>
        <w:spacing w:before="156" w:beforeLines="50" w:after="156" w:afterLines="50" w:line="360" w:lineRule="auto"/>
        <w:ind w:firstLine="480" w:firstLineChars="200"/>
        <w:rPr>
          <w:rFonts w:hint="eastAsia" w:ascii="宋体" w:hAnsi="宋体"/>
          <w:color w:val="auto"/>
          <w:sz w:val="24"/>
          <w:highlight w:val="none"/>
        </w:rPr>
      </w:pPr>
      <w:r>
        <w:rPr>
          <w:rFonts w:hint="eastAsia" w:ascii="宋体" w:hAnsi="宋体"/>
          <w:color w:val="auto"/>
          <w:kern w:val="2"/>
          <w:sz w:val="24"/>
          <w:szCs w:val="22"/>
          <w:highlight w:val="none"/>
        </w:rPr>
        <w:t>7.当监测工程量超过合同清单工程量的60%时，乙方须书面通知监理单位和建设单位，且各监测点累计监测数量须每月以书面文件的形式提交给监理单位和建设单位确认。</w:t>
      </w:r>
    </w:p>
    <w:p>
      <w:pPr>
        <w:widowControl/>
        <w:spacing w:before="156" w:beforeLines="50" w:after="156" w:afterLines="50" w:line="360" w:lineRule="auto"/>
        <w:ind w:firstLine="482"/>
        <w:rPr>
          <w:rFonts w:ascii="宋体"/>
          <w:color w:val="auto"/>
          <w:kern w:val="0"/>
          <w:sz w:val="24"/>
          <w:szCs w:val="24"/>
          <w:highlight w:val="none"/>
        </w:rPr>
      </w:pPr>
      <w:r>
        <w:rPr>
          <w:rFonts w:hint="eastAsia" w:ascii="宋体" w:hAnsi="宋体"/>
          <w:color w:val="auto"/>
          <w:kern w:val="0"/>
          <w:sz w:val="24"/>
          <w:szCs w:val="24"/>
          <w:highlight w:val="none"/>
        </w:rPr>
        <w:t>（六）检（监）测人员要求：</w:t>
      </w:r>
    </w:p>
    <w:p>
      <w:pPr>
        <w:widowControl/>
        <w:spacing w:before="156" w:beforeLines="50" w:after="156" w:afterLines="50" w:line="360" w:lineRule="auto"/>
        <w:ind w:firstLine="480"/>
        <w:rPr>
          <w:rFonts w:hAnsi="宋体" w:cs="宋体"/>
          <w:color w:val="auto"/>
          <w:kern w:val="0"/>
          <w:sz w:val="24"/>
          <w:szCs w:val="21"/>
          <w:highlight w:val="none"/>
        </w:rPr>
      </w:pPr>
      <w:r>
        <w:rPr>
          <w:rFonts w:hint="eastAsia" w:ascii="宋体" w:hAnsi="宋体"/>
          <w:color w:val="auto"/>
          <w:kern w:val="0"/>
          <w:sz w:val="24"/>
          <w:szCs w:val="24"/>
          <w:highlight w:val="none"/>
        </w:rPr>
        <w:t>1.</w:t>
      </w:r>
      <w:r>
        <w:rPr>
          <w:color w:val="auto"/>
          <w:sz w:val="24"/>
          <w:szCs w:val="24"/>
          <w:highlight w:val="none"/>
        </w:rPr>
        <w:t>乙方检测人员必须持证上岗，甲方有权对现场检测人员的上岗证进行查实，如出现无证上岗现象甲方有权</w:t>
      </w:r>
      <w:r>
        <w:rPr>
          <w:rFonts w:hint="eastAsia"/>
          <w:color w:val="auto"/>
          <w:sz w:val="24"/>
          <w:szCs w:val="24"/>
          <w:highlight w:val="none"/>
        </w:rPr>
        <w:t>追究违约</w:t>
      </w:r>
      <w:r>
        <w:rPr>
          <w:color w:val="auto"/>
          <w:sz w:val="24"/>
          <w:szCs w:val="24"/>
          <w:highlight w:val="none"/>
        </w:rPr>
        <w:t>责任或上报主管部门。</w:t>
      </w:r>
      <w:r>
        <w:rPr>
          <w:rFonts w:hint="eastAsia" w:hAnsi="宋体" w:cs="宋体"/>
          <w:color w:val="auto"/>
          <w:kern w:val="0"/>
          <w:sz w:val="24"/>
          <w:szCs w:val="21"/>
          <w:highlight w:val="none"/>
        </w:rPr>
        <w:t>乙方必须按投标承诺派出满足本</w:t>
      </w:r>
      <w:r>
        <w:rPr>
          <w:rFonts w:hint="eastAsia" w:ascii="宋体" w:hAnsi="宋体"/>
          <w:color w:val="auto"/>
          <w:kern w:val="0"/>
          <w:sz w:val="24"/>
          <w:szCs w:val="24"/>
          <w:highlight w:val="none"/>
        </w:rPr>
        <w:t>检（监）测</w:t>
      </w:r>
      <w:r>
        <w:rPr>
          <w:rFonts w:hint="eastAsia" w:hAnsi="宋体" w:cs="宋体"/>
          <w:color w:val="auto"/>
          <w:kern w:val="0"/>
          <w:sz w:val="24"/>
          <w:szCs w:val="21"/>
          <w:highlight w:val="none"/>
        </w:rPr>
        <w:t>服务需要人员，全部人员资格报甲方备案，乙方不得擅自更换人员。</w:t>
      </w:r>
    </w:p>
    <w:p>
      <w:pPr>
        <w:widowControl/>
        <w:spacing w:before="156" w:beforeLines="50" w:after="156" w:afterLines="50" w:line="360" w:lineRule="auto"/>
        <w:ind w:firstLine="480"/>
        <w:rPr>
          <w:rFonts w:ascii="宋体"/>
          <w:color w:val="auto"/>
          <w:kern w:val="0"/>
          <w:sz w:val="24"/>
          <w:szCs w:val="24"/>
          <w:highlight w:val="none"/>
        </w:rPr>
      </w:pPr>
      <w:r>
        <w:rPr>
          <w:rFonts w:hint="eastAsia" w:ascii="宋体" w:hAnsi="宋体"/>
          <w:color w:val="auto"/>
          <w:kern w:val="0"/>
          <w:sz w:val="24"/>
          <w:szCs w:val="24"/>
          <w:highlight w:val="none"/>
        </w:rPr>
        <w:t>2.甲方有权以书面形式要求乙方更换不按照合同约定履行检（监）测的服务人员，对违反合同对甲方或工程造成损失或不良影响的检（监）测人员，甲方有权对其进行警告、通报批评、要求</w:t>
      </w:r>
      <w:r>
        <w:rPr>
          <w:rFonts w:ascii="宋体" w:hAnsi="宋体"/>
          <w:color w:val="auto"/>
          <w:kern w:val="0"/>
          <w:sz w:val="24"/>
          <w:szCs w:val="24"/>
          <w:highlight w:val="none"/>
        </w:rPr>
        <w:t>支付违约金</w:t>
      </w:r>
      <w:r>
        <w:rPr>
          <w:rFonts w:hint="eastAsia" w:ascii="宋体" w:hAnsi="宋体"/>
          <w:color w:val="auto"/>
          <w:kern w:val="0"/>
          <w:sz w:val="24"/>
          <w:szCs w:val="24"/>
          <w:highlight w:val="none"/>
        </w:rPr>
        <w:t>，直到清退；对触犯法律的，将依法追究其法律责任。</w:t>
      </w:r>
    </w:p>
    <w:p>
      <w:pPr>
        <w:widowControl/>
        <w:spacing w:before="156" w:beforeLines="50" w:after="156" w:afterLines="50"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3.即使是甲方要求或同意更换的检（监）测人员，其代替的检（监）测人员的资质需不低于投标文件的承诺，并且应得到甲方的认可。</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（七）其他要求：</w:t>
      </w:r>
    </w:p>
    <w:p>
      <w:pPr>
        <w:widowControl/>
        <w:spacing w:before="156" w:beforeLines="50" w:after="156" w:afterLines="50" w:line="360" w:lineRule="auto"/>
        <w:ind w:firstLine="480" w:firstLineChars="200"/>
        <w:rPr>
          <w:rFonts w:ascii="宋体" w:hAnsi="宋体"/>
          <w:color w:val="auto"/>
          <w:kern w:val="0"/>
          <w:sz w:val="24"/>
          <w:szCs w:val="24"/>
          <w:highlight w:val="none"/>
        </w:rPr>
      </w:pPr>
      <w:r>
        <w:rPr>
          <w:rFonts w:ascii="宋体" w:hAnsi="宋体"/>
          <w:color w:val="auto"/>
          <w:kern w:val="0"/>
          <w:sz w:val="24"/>
          <w:szCs w:val="21"/>
          <w:highlight w:val="none"/>
        </w:rPr>
        <w:t>1</w:t>
      </w:r>
      <w:r>
        <w:rPr>
          <w:rFonts w:hint="eastAsia" w:ascii="宋体" w:hAnsi="宋体"/>
          <w:color w:val="auto"/>
          <w:kern w:val="0"/>
          <w:sz w:val="24"/>
          <w:szCs w:val="21"/>
          <w:highlight w:val="none"/>
        </w:rPr>
        <w:t>.乙方在施工作业期间应对自己员工行为负责，不得损害或恶意中伤甲方、监理人以及施工单位人员。</w:t>
      </w:r>
      <w:r>
        <w:rPr>
          <w:rFonts w:hint="eastAsia" w:ascii="宋体" w:hAnsi="宋体"/>
          <w:color w:val="auto"/>
          <w:kern w:val="0"/>
          <w:sz w:val="24"/>
          <w:szCs w:val="24"/>
          <w:highlight w:val="none"/>
        </w:rPr>
        <w:t>乙方对第三方责任造成的任何经济损失，由乙方自行承担责任。</w:t>
      </w:r>
    </w:p>
    <w:p>
      <w:pPr>
        <w:spacing w:before="156" w:beforeLines="50" w:after="156" w:afterLines="50"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在现场工作的乙方人员，应遵守甲方的安全保卫及其它有关的规章制度，承担其有关资料保密义务。乙方应安排已依法与乙方建立劳动关系的员工代表履行本合同义务。乙方承诺已依法为其员工购买国家规定的社会保险、商业保险等福利待遇。乙方履约过程中，若乙方人员出现任何工伤事故、人身伤害、财产损失的，由乙方自行承担用人单位的法定责任和侵权责任，与甲方无关。若因乙方履约造成甲方财物损失或人员伤害的（包括但不限于甲方向任何第三方支付的补偿、律师费、差旅费、仲裁费和诉讼费、公证费、公告费、评估费、鉴定费、邮寄送达费、印刷费、财产保全费、执行费、拍卖费等甲方的财物损失），乙方应全额赔偿甲方。</w:t>
      </w:r>
    </w:p>
    <w:p>
      <w:pPr>
        <w:spacing w:before="156" w:beforeLines="50" w:after="156" w:afterLines="50"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hint="eastAsia" w:ascii="宋体" w:hAnsi="宋体"/>
          <w:color w:val="auto"/>
          <w:sz w:val="24"/>
          <w:szCs w:val="24"/>
          <w:highlight w:val="none"/>
        </w:rPr>
        <w:t>乙方在进行工作时，应采取相应的安全、保卫和环境保护措施，并遵守甲方制定的质量、进度、安全、文明施工等各项管理规定和制度。</w:t>
      </w:r>
    </w:p>
    <w:p>
      <w:pPr>
        <w:spacing w:before="156" w:beforeLines="50" w:after="156" w:afterLines="5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w:t>
      </w:r>
      <w:r>
        <w:rPr>
          <w:rFonts w:hint="eastAsia" w:ascii="Calibri" w:hAnsi="宋体"/>
          <w:color w:val="auto"/>
          <w:sz w:val="24"/>
          <w:szCs w:val="24"/>
          <w:highlight w:val="none"/>
        </w:rPr>
        <w:t>乙方需为投入本项目的工作人员购买相应的保险。</w:t>
      </w:r>
      <w:r>
        <w:rPr>
          <w:rFonts w:hint="eastAsia" w:ascii="宋体" w:hAnsi="宋体"/>
          <w:color w:val="auto"/>
          <w:sz w:val="24"/>
          <w:szCs w:val="24"/>
          <w:highlight w:val="none"/>
        </w:rPr>
        <w:t>乙方工作期间发生的有关安全事故、人身伤亡、罚款、损失赔偿、诉讼费及其他一切责任由乙方自行负责。</w:t>
      </w:r>
    </w:p>
    <w:p>
      <w:pPr>
        <w:spacing w:before="156" w:beforeLines="50" w:after="156" w:afterLines="50" w:line="36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w:t>
      </w:r>
      <w:r>
        <w:rPr>
          <w:rFonts w:hint="eastAsia" w:ascii="Calibri" w:hAnsi="Calibri"/>
          <w:color w:val="auto"/>
          <w:sz w:val="24"/>
          <w:szCs w:val="24"/>
          <w:highlight w:val="none"/>
        </w:rPr>
        <w:t>工作全部完成后三天内，</w:t>
      </w:r>
      <w:r>
        <w:rPr>
          <w:rFonts w:ascii="Calibri" w:hAnsi="Calibri"/>
          <w:color w:val="auto"/>
          <w:sz w:val="24"/>
          <w:szCs w:val="24"/>
          <w:highlight w:val="none"/>
        </w:rPr>
        <w:t>乙方</w:t>
      </w:r>
      <w:r>
        <w:rPr>
          <w:rFonts w:hint="eastAsia" w:ascii="Calibri" w:hAnsi="Calibri"/>
          <w:color w:val="auto"/>
          <w:sz w:val="24"/>
          <w:szCs w:val="24"/>
          <w:highlight w:val="none"/>
        </w:rPr>
        <w:t>需及时清理现场垃圾，拆除临时设施，并负责运出现场，做到工完场清，由此产生的费用，由乙方自行承担。且</w:t>
      </w:r>
      <w:r>
        <w:rPr>
          <w:rFonts w:ascii="Calibri" w:hAnsi="Calibri"/>
          <w:color w:val="auto"/>
          <w:sz w:val="24"/>
          <w:szCs w:val="24"/>
          <w:highlight w:val="none"/>
        </w:rPr>
        <w:t>乙方</w:t>
      </w:r>
      <w:r>
        <w:rPr>
          <w:rFonts w:hint="eastAsia" w:ascii="Calibri" w:hAnsi="Calibri"/>
          <w:color w:val="auto"/>
          <w:sz w:val="24"/>
          <w:szCs w:val="24"/>
          <w:highlight w:val="none"/>
        </w:rPr>
        <w:t>人员亦全部撤离现</w:t>
      </w:r>
      <w:r>
        <w:rPr>
          <w:rFonts w:hint="eastAsia" w:ascii="宋体" w:hAnsi="宋体" w:cs="宋体"/>
          <w:color w:val="auto"/>
          <w:sz w:val="24"/>
          <w:szCs w:val="24"/>
          <w:highlight w:val="none"/>
        </w:rPr>
        <w:t>场，</w:t>
      </w:r>
      <w:r>
        <w:rPr>
          <w:rFonts w:ascii="宋体" w:hAnsi="宋体" w:cs="宋体"/>
          <w:color w:val="auto"/>
          <w:sz w:val="24"/>
          <w:szCs w:val="24"/>
          <w:highlight w:val="none"/>
        </w:rPr>
        <w:t>否则视为违约并承担违约责任</w:t>
      </w:r>
      <w:r>
        <w:rPr>
          <w:rFonts w:hint="eastAsia" w:ascii="宋体" w:hAnsi="宋体" w:cs="宋体"/>
          <w:color w:val="auto"/>
          <w:sz w:val="24"/>
          <w:szCs w:val="24"/>
          <w:highlight w:val="none"/>
        </w:rPr>
        <w:t>。</w:t>
      </w:r>
    </w:p>
    <w:p>
      <w:pPr>
        <w:spacing w:before="156" w:beforeLines="50" w:after="156" w:afterLines="50" w:line="360" w:lineRule="auto"/>
        <w:ind w:firstLine="480" w:firstLineChars="200"/>
        <w:rPr>
          <w:rFonts w:ascii="Calibri" w:hAnsi="Calibri"/>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w:t>
      </w:r>
      <w:r>
        <w:rPr>
          <w:rFonts w:ascii="Calibri" w:hAnsi="Calibri"/>
          <w:color w:val="auto"/>
          <w:sz w:val="24"/>
          <w:szCs w:val="24"/>
          <w:highlight w:val="none"/>
        </w:rPr>
        <w:t>乙方</w:t>
      </w:r>
      <w:r>
        <w:rPr>
          <w:rFonts w:hint="eastAsia" w:ascii="Calibri" w:hAnsi="Calibri"/>
          <w:color w:val="auto"/>
          <w:sz w:val="24"/>
          <w:szCs w:val="24"/>
          <w:highlight w:val="none"/>
        </w:rPr>
        <w:t>应执行甲方制定的成本管理制度的相关规定，任何类别的变更必须按甲方规定的程序和审批进行，严格遵守“先批准，后变更”的要求，未经甲方批准自行变更，</w:t>
      </w:r>
      <w:r>
        <w:rPr>
          <w:rFonts w:ascii="Calibri" w:hAnsi="Calibri"/>
          <w:color w:val="auto"/>
          <w:sz w:val="24"/>
          <w:szCs w:val="24"/>
          <w:highlight w:val="none"/>
        </w:rPr>
        <w:t>乙方</w:t>
      </w:r>
      <w:r>
        <w:rPr>
          <w:rFonts w:hint="eastAsia" w:ascii="Calibri" w:hAnsi="Calibri"/>
          <w:color w:val="auto"/>
          <w:sz w:val="24"/>
          <w:szCs w:val="24"/>
          <w:highlight w:val="none"/>
        </w:rPr>
        <w:t>需承担由此产生的全部责任，且甲方不予支付费用。若由于</w:t>
      </w:r>
      <w:r>
        <w:rPr>
          <w:rFonts w:ascii="Calibri" w:hAnsi="Calibri"/>
          <w:color w:val="auto"/>
          <w:sz w:val="24"/>
          <w:szCs w:val="24"/>
          <w:highlight w:val="none"/>
        </w:rPr>
        <w:t>乙</w:t>
      </w:r>
      <w:r>
        <w:rPr>
          <w:rFonts w:hint="eastAsia" w:ascii="Calibri" w:hAnsi="Calibri"/>
          <w:color w:val="auto"/>
          <w:sz w:val="24"/>
          <w:szCs w:val="24"/>
          <w:highlight w:val="none"/>
        </w:rPr>
        <w:t>方原因引起的变更，由乙方承担由此产生的相关责任，且甲方不予支付费用。</w:t>
      </w:r>
    </w:p>
    <w:p>
      <w:pPr>
        <w:spacing w:before="156" w:beforeLines="50" w:after="156" w:afterLines="5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w:t>
      </w:r>
      <w:r>
        <w:rPr>
          <w:rFonts w:hint="eastAsia" w:ascii="宋体" w:hAnsi="宋体"/>
          <w:color w:val="auto"/>
          <w:sz w:val="24"/>
          <w:szCs w:val="24"/>
          <w:highlight w:val="none"/>
        </w:rPr>
        <w:t>.</w:t>
      </w:r>
      <w:r>
        <w:rPr>
          <w:rFonts w:ascii="宋体" w:hAnsi="宋体"/>
          <w:color w:val="auto"/>
          <w:sz w:val="24"/>
          <w:szCs w:val="24"/>
          <w:highlight w:val="none"/>
        </w:rPr>
        <w:t>乙方的监测方案必须满足相关规范和设计要求，如果监测项目的施工方案发生变更，乙方的监测方案和测试内容应作相应调整，但监测单价不变，增加的工程量按合同内单价执行。</w:t>
      </w:r>
    </w:p>
    <w:p>
      <w:pPr>
        <w:adjustRightInd w:val="0"/>
        <w:snapToGrid w:val="0"/>
        <w:spacing w:before="156" w:beforeLines="50" w:after="156" w:afterLines="50" w:line="360" w:lineRule="auto"/>
        <w:outlineLvl w:val="0"/>
        <w:rPr>
          <w:rFonts w:ascii="宋体" w:hAnsi="宋体"/>
          <w:b/>
          <w:color w:val="auto"/>
          <w:sz w:val="24"/>
          <w:szCs w:val="24"/>
          <w:highlight w:val="none"/>
        </w:rPr>
      </w:pPr>
      <w:r>
        <w:rPr>
          <w:rFonts w:hint="eastAsia" w:ascii="宋体" w:hAnsi="宋体"/>
          <w:b/>
          <w:color w:val="auto"/>
          <w:sz w:val="24"/>
          <w:szCs w:val="24"/>
          <w:highlight w:val="none"/>
        </w:rPr>
        <w:t>九、保密条款及知识产权归属</w:t>
      </w:r>
    </w:p>
    <w:p>
      <w:pPr>
        <w:adjustRightInd w:val="0"/>
        <w:snapToGrid w:val="0"/>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甲方对提供的资料和乙方提交的成果拥有知识产权和所有权。未经甲方书面同意，乙方不得将有关资料及成果向第三人转让或用于其他项目。如发生以上情况，乙方除承担由此给甲方造成的经济损失外，还应</w:t>
      </w:r>
      <w:r>
        <w:rPr>
          <w:rFonts w:hint="eastAsia" w:ascii="Calibri" w:hAnsi="Calibri"/>
          <w:color w:val="auto"/>
          <w:sz w:val="24"/>
          <w:szCs w:val="24"/>
          <w:highlight w:val="none"/>
        </w:rPr>
        <w:t>承担</w:t>
      </w:r>
      <w:r>
        <w:rPr>
          <w:rFonts w:hint="eastAsia" w:ascii="宋体" w:hAnsi="宋体"/>
          <w:color w:val="auto"/>
          <w:sz w:val="24"/>
          <w:szCs w:val="24"/>
          <w:highlight w:val="none"/>
        </w:rPr>
        <w:t>相应法律责任。</w:t>
      </w:r>
    </w:p>
    <w:p>
      <w:pPr>
        <w:adjustRightInd w:val="0"/>
        <w:snapToGrid w:val="0"/>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（二）乙方提交的成果不得侵犯第三人的</w:t>
      </w:r>
      <w:r>
        <w:rPr>
          <w:rFonts w:ascii="宋体" w:hAnsi="宋体"/>
          <w:color w:val="auto"/>
          <w:sz w:val="24"/>
          <w:szCs w:val="24"/>
          <w:highlight w:val="none"/>
        </w:rPr>
        <w:t>合法权利</w:t>
      </w:r>
      <w:r>
        <w:rPr>
          <w:rFonts w:hint="eastAsia" w:ascii="宋体" w:hAnsi="宋体"/>
          <w:color w:val="auto"/>
          <w:sz w:val="24"/>
          <w:szCs w:val="24"/>
          <w:highlight w:val="none"/>
        </w:rPr>
        <w:t>，若因乙方侵犯第三方权利给甲方造成损失的，乙方承担全部赔偿责任。</w:t>
      </w:r>
    </w:p>
    <w:p>
      <w:pPr>
        <w:tabs>
          <w:tab w:val="left" w:pos="360"/>
        </w:tabs>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（三）在本合同有效期内，甲方利用乙方提交的技术咨询工作成果所完成的新的技术成果，归甲方所有。</w:t>
      </w:r>
    </w:p>
    <w:p>
      <w:p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（四）在本合同有效期内，乙方利用甲方提供的技术资料和工作条件所完成的新的技术成果，归甲方所有。</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（五）</w:t>
      </w:r>
      <w:r>
        <w:rPr>
          <w:rFonts w:hint="eastAsia" w:ascii="宋体" w:hAnsi="宋体"/>
          <w:color w:val="auto"/>
          <w:sz w:val="24"/>
          <w:highlight w:val="none"/>
        </w:rPr>
        <w:t>未经甲方书面同意，乙方不得泄露与本项目、本工程、本检测、监测合同有关的资料。</w:t>
      </w:r>
    </w:p>
    <w:p>
      <w:pPr>
        <w:spacing w:before="156" w:beforeLines="50" w:after="156" w:afterLines="50" w:line="360" w:lineRule="auto"/>
        <w:outlineLvl w:val="0"/>
        <w:rPr>
          <w:rFonts w:ascii="宋体" w:hAnsi="宋体"/>
          <w:b/>
          <w:color w:val="auto"/>
          <w:sz w:val="24"/>
          <w:szCs w:val="24"/>
          <w:highlight w:val="none"/>
        </w:rPr>
      </w:pPr>
      <w:r>
        <w:rPr>
          <w:rFonts w:hint="eastAsia" w:ascii="宋体" w:hAnsi="宋体"/>
          <w:b/>
          <w:color w:val="auto"/>
          <w:sz w:val="24"/>
          <w:szCs w:val="24"/>
          <w:highlight w:val="none"/>
        </w:rPr>
        <w:t>十、履约保证金</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（一）乙方是否提供履约担保：■提供；□不提供。</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（二）乙方提供履约担保的形式、金额及期限：中标通知书发出后30天内，乙方向甲方提供合同总金额10%的履约担保，其担保方式采用以下两种方式:</w:t>
      </w:r>
    </w:p>
    <w:p>
      <w:pPr>
        <w:spacing w:before="156" w:beforeLines="50" w:after="156" w:afterLines="50" w:line="360" w:lineRule="auto"/>
        <w:ind w:firstLine="720" w:firstLineChars="3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银行保函;</w:t>
      </w:r>
    </w:p>
    <w:p>
      <w:pPr>
        <w:spacing w:before="156" w:beforeLines="50" w:after="156" w:afterLines="50" w:line="360" w:lineRule="auto"/>
        <w:ind w:firstLine="720" w:firstLineChars="300"/>
        <w:rPr>
          <w:rFonts w:ascii="宋体" w:hAnsi="宋体"/>
          <w:color w:val="auto"/>
          <w:sz w:val="24"/>
          <w:highlight w:val="none"/>
        </w:rPr>
      </w:pPr>
      <w:r>
        <w:rPr>
          <w:rFonts w:hint="eastAsia" w:ascii="宋体" w:hAnsi="宋体"/>
          <w:color w:val="auto"/>
          <w:sz w:val="24"/>
          <w:highlight w:val="none"/>
        </w:rPr>
        <w:t>(2）现金保证金。</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（三）银行保函的要求</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乙方应按甲方要求的格式由在中华人民共和国注册经营且营业地点在中国境内的银行开具不可撤销</w:t>
      </w:r>
      <w:r>
        <w:rPr>
          <w:rFonts w:ascii="宋体" w:hAnsi="宋体"/>
          <w:color w:val="auto"/>
          <w:sz w:val="24"/>
          <w:highlight w:val="none"/>
        </w:rPr>
        <w:t>的</w:t>
      </w:r>
      <w:r>
        <w:rPr>
          <w:rFonts w:hint="eastAsia" w:ascii="宋体" w:hAnsi="宋体"/>
          <w:color w:val="auto"/>
          <w:sz w:val="24"/>
          <w:highlight w:val="none"/>
        </w:rPr>
        <w:t>履约</w:t>
      </w:r>
      <w:r>
        <w:rPr>
          <w:rFonts w:ascii="宋体" w:hAnsi="宋体"/>
          <w:color w:val="auto"/>
          <w:sz w:val="24"/>
          <w:highlight w:val="none"/>
        </w:rPr>
        <w:t>保函</w:t>
      </w:r>
      <w:r>
        <w:rPr>
          <w:rFonts w:hint="eastAsia" w:ascii="宋体" w:hAnsi="宋体"/>
          <w:color w:val="auto"/>
          <w:sz w:val="24"/>
          <w:highlight w:val="none"/>
        </w:rPr>
        <w:t>。至合同履行完毕后的二十八（</w:t>
      </w:r>
      <w:r>
        <w:rPr>
          <w:rFonts w:ascii="宋体" w:hAnsi="宋体"/>
          <w:color w:val="auto"/>
          <w:sz w:val="24"/>
          <w:highlight w:val="none"/>
        </w:rPr>
        <w:t>28</w:t>
      </w:r>
      <w:r>
        <w:rPr>
          <w:rFonts w:hint="eastAsia" w:ascii="宋体" w:hAnsi="宋体"/>
          <w:color w:val="auto"/>
          <w:sz w:val="24"/>
          <w:highlight w:val="none"/>
        </w:rPr>
        <w:t>）天内履约保证金应保持有效。如因乙方</w:t>
      </w:r>
      <w:r>
        <w:rPr>
          <w:rFonts w:ascii="宋体" w:hAnsi="宋体"/>
          <w:color w:val="auto"/>
          <w:sz w:val="24"/>
          <w:highlight w:val="none"/>
        </w:rPr>
        <w:t>原因而导致所出具的履约保函的期限早于合同履行</w:t>
      </w:r>
      <w:r>
        <w:rPr>
          <w:rFonts w:hint="eastAsia" w:ascii="宋体" w:hAnsi="宋体"/>
          <w:color w:val="auto"/>
          <w:sz w:val="24"/>
          <w:highlight w:val="none"/>
        </w:rPr>
        <w:t>完毕后的二十八（</w:t>
      </w:r>
      <w:r>
        <w:rPr>
          <w:rFonts w:ascii="宋体" w:hAnsi="宋体"/>
          <w:color w:val="auto"/>
          <w:sz w:val="24"/>
          <w:highlight w:val="none"/>
        </w:rPr>
        <w:t>28</w:t>
      </w:r>
      <w:r>
        <w:rPr>
          <w:rFonts w:hint="eastAsia" w:ascii="宋体" w:hAnsi="宋体"/>
          <w:color w:val="auto"/>
          <w:sz w:val="24"/>
          <w:highlight w:val="none"/>
        </w:rPr>
        <w:t>）天的</w:t>
      </w:r>
      <w:r>
        <w:rPr>
          <w:rFonts w:ascii="宋体" w:hAnsi="宋体"/>
          <w:color w:val="auto"/>
          <w:sz w:val="24"/>
          <w:highlight w:val="none"/>
        </w:rPr>
        <w:t>，则乙方应在履约保函期满前自行对银行保函续保并承担由此产生的费用，</w:t>
      </w:r>
      <w:r>
        <w:rPr>
          <w:rFonts w:hint="eastAsia" w:ascii="宋体" w:hAnsi="宋体"/>
          <w:color w:val="auto"/>
          <w:sz w:val="24"/>
          <w:highlight w:val="none"/>
        </w:rPr>
        <w:t>乙方未按要求按期对银行保函续保，甲方有权暂停批准乙方的所有支付申请，直至乙方向甲方提交新的合法有效的银行保函时止。如工程延期，乙方有义务继续提供履约担保并承担</w:t>
      </w:r>
      <w:r>
        <w:rPr>
          <w:rFonts w:ascii="宋体" w:hAnsi="宋体"/>
          <w:color w:val="auto"/>
          <w:sz w:val="24"/>
          <w:highlight w:val="none"/>
        </w:rPr>
        <w:t>相应费用</w:t>
      </w:r>
      <w:r>
        <w:rPr>
          <w:rFonts w:hint="eastAsia" w:ascii="宋体" w:hAnsi="宋体"/>
          <w:color w:val="auto"/>
          <w:sz w:val="24"/>
          <w:highlight w:val="none"/>
        </w:rPr>
        <w:t>。履约保函作为本合同的组成文件之一。</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（四）履约担保的退还</w:t>
      </w:r>
    </w:p>
    <w:p>
      <w:pPr>
        <w:adjustRightInd w:val="0"/>
        <w:spacing w:before="156" w:beforeLines="50" w:after="156" w:afterLines="50" w:line="360" w:lineRule="auto"/>
        <w:ind w:firstLine="540"/>
        <w:textAlignment w:val="baseline"/>
        <w:rPr>
          <w:rFonts w:ascii="宋体" w:hAnsi="宋体"/>
          <w:color w:val="auto"/>
          <w:sz w:val="24"/>
          <w:highlight w:val="none"/>
        </w:rPr>
      </w:pPr>
      <w:r>
        <w:rPr>
          <w:rFonts w:hint="eastAsia" w:ascii="宋体" w:hAnsi="宋体"/>
          <w:color w:val="auto"/>
          <w:sz w:val="24"/>
          <w:highlight w:val="none"/>
        </w:rPr>
        <w:t>（1）银行保函：于合同履约完毕后二十八（28）天内退还。</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（2）现金保证金：于合同履约完毕后二十八（28）天内，凭甲方开具的收据退还。履约保证金不计利息。</w:t>
      </w:r>
    </w:p>
    <w:p>
      <w:pPr>
        <w:spacing w:before="156" w:beforeLines="50" w:after="156" w:afterLines="50" w:line="360" w:lineRule="auto"/>
        <w:outlineLvl w:val="0"/>
        <w:rPr>
          <w:rFonts w:ascii="宋体" w:hAnsi="宋体"/>
          <w:b/>
          <w:color w:val="auto"/>
          <w:sz w:val="24"/>
          <w:highlight w:val="none"/>
        </w:rPr>
      </w:pPr>
      <w:r>
        <w:rPr>
          <w:rFonts w:hint="eastAsia" w:ascii="宋体" w:hAnsi="宋体"/>
          <w:b/>
          <w:color w:val="auto"/>
          <w:sz w:val="24"/>
          <w:highlight w:val="none"/>
        </w:rPr>
        <w:t>十一、违约责任</w:t>
      </w:r>
    </w:p>
    <w:p>
      <w:pPr>
        <w:spacing w:before="156" w:beforeLines="50" w:after="156" w:afterLines="50" w:line="360" w:lineRule="auto"/>
        <w:ind w:firstLine="480" w:firstLineChars="200"/>
        <w:rPr>
          <w:rFonts w:ascii="Calibri" w:hAnsi="Calibri"/>
          <w:color w:val="auto"/>
          <w:sz w:val="24"/>
          <w:highlight w:val="none"/>
        </w:rPr>
      </w:pPr>
      <w:r>
        <w:rPr>
          <w:rFonts w:hint="eastAsia" w:ascii="宋体" w:hAnsi="宋体"/>
          <w:color w:val="auto"/>
          <w:sz w:val="24"/>
          <w:highlight w:val="none"/>
        </w:rPr>
        <w:t>（一）</w:t>
      </w:r>
      <w:r>
        <w:rPr>
          <w:rFonts w:hint="eastAsia" w:ascii="Calibri" w:hAnsi="Calibri"/>
          <w:color w:val="auto"/>
          <w:sz w:val="24"/>
          <w:highlight w:val="none"/>
        </w:rPr>
        <w:t>合同签订后，</w:t>
      </w:r>
      <w:r>
        <w:rPr>
          <w:rFonts w:ascii="Calibri" w:hAnsi="Calibri"/>
          <w:color w:val="auto"/>
          <w:sz w:val="24"/>
          <w:highlight w:val="none"/>
        </w:rPr>
        <w:t>乙方</w:t>
      </w:r>
      <w:r>
        <w:rPr>
          <w:rFonts w:hint="eastAsia" w:ascii="Calibri" w:hAnsi="Calibri"/>
          <w:color w:val="auto"/>
          <w:sz w:val="24"/>
          <w:highlight w:val="none"/>
        </w:rPr>
        <w:t>要求终止或解除合同，</w:t>
      </w:r>
      <w:r>
        <w:rPr>
          <w:rFonts w:ascii="Calibri" w:hAnsi="Calibri"/>
          <w:color w:val="auto"/>
          <w:sz w:val="24"/>
          <w:highlight w:val="none"/>
        </w:rPr>
        <w:t>乙方</w:t>
      </w:r>
      <w:r>
        <w:rPr>
          <w:rFonts w:hint="eastAsia" w:ascii="Calibri" w:hAnsi="Calibri"/>
          <w:color w:val="auto"/>
          <w:sz w:val="24"/>
          <w:highlight w:val="none"/>
        </w:rPr>
        <w:t>除退还</w:t>
      </w:r>
      <w:r>
        <w:rPr>
          <w:rFonts w:ascii="Calibri" w:hAnsi="Calibri"/>
          <w:color w:val="auto"/>
          <w:sz w:val="24"/>
          <w:highlight w:val="none"/>
        </w:rPr>
        <w:t>甲方</w:t>
      </w:r>
      <w:r>
        <w:rPr>
          <w:rFonts w:hint="eastAsia" w:ascii="Calibri" w:hAnsi="Calibri"/>
          <w:color w:val="auto"/>
          <w:sz w:val="24"/>
          <w:highlight w:val="none"/>
        </w:rPr>
        <w:t>已支付的所有款项外，还须按合同暂定</w:t>
      </w:r>
      <w:r>
        <w:rPr>
          <w:rFonts w:hint="eastAsia" w:ascii="宋体" w:hAnsi="宋体" w:cs="宋体"/>
          <w:color w:val="auto"/>
          <w:sz w:val="24"/>
          <w:highlight w:val="none"/>
        </w:rPr>
        <w:t>价的20%承</w:t>
      </w:r>
      <w:r>
        <w:rPr>
          <w:rFonts w:hint="eastAsia" w:ascii="Calibri" w:hAnsi="Calibri"/>
          <w:color w:val="auto"/>
          <w:sz w:val="24"/>
          <w:highlight w:val="none"/>
        </w:rPr>
        <w:t>担违约金，给</w:t>
      </w:r>
      <w:r>
        <w:rPr>
          <w:rFonts w:ascii="Calibri" w:hAnsi="Calibri"/>
          <w:color w:val="auto"/>
          <w:sz w:val="24"/>
          <w:highlight w:val="none"/>
        </w:rPr>
        <w:t>甲方</w:t>
      </w:r>
      <w:r>
        <w:rPr>
          <w:rFonts w:hint="eastAsia" w:ascii="Calibri" w:hAnsi="Calibri"/>
          <w:color w:val="auto"/>
          <w:sz w:val="24"/>
          <w:highlight w:val="none"/>
        </w:rPr>
        <w:t>造成损失的还需承担赔偿责任。</w:t>
      </w:r>
    </w:p>
    <w:p>
      <w:pPr>
        <w:spacing w:before="156" w:beforeLines="50" w:after="156" w:afterLines="50" w:line="360" w:lineRule="auto"/>
        <w:ind w:firstLine="480" w:firstLineChars="200"/>
        <w:rPr>
          <w:rFonts w:ascii="宋体" w:hAnsi="宋体"/>
          <w:color w:val="auto"/>
          <w:sz w:val="24"/>
          <w:highlight w:val="none"/>
        </w:rPr>
      </w:pPr>
      <w:r>
        <w:rPr>
          <w:rFonts w:ascii="Calibri" w:hAnsi="Calibri"/>
          <w:color w:val="auto"/>
          <w:sz w:val="24"/>
          <w:highlight w:val="none"/>
        </w:rPr>
        <w:t>（二）</w:t>
      </w:r>
      <w:r>
        <w:rPr>
          <w:rFonts w:hint="eastAsia" w:ascii="宋体" w:hAnsi="宋体"/>
          <w:color w:val="auto"/>
          <w:sz w:val="24"/>
          <w:highlight w:val="none"/>
        </w:rPr>
        <w:t>乙方未按合同约定的时间提交各项</w:t>
      </w:r>
      <w:r>
        <w:rPr>
          <w:rFonts w:hint="eastAsia" w:ascii="宋体" w:hAnsi="宋体"/>
          <w:color w:val="auto"/>
          <w:sz w:val="24"/>
          <w:szCs w:val="24"/>
          <w:highlight w:val="none"/>
        </w:rPr>
        <w:t>检（监）测</w:t>
      </w:r>
      <w:r>
        <w:rPr>
          <w:rFonts w:hint="eastAsia" w:ascii="宋体" w:hAnsi="宋体"/>
          <w:color w:val="auto"/>
          <w:sz w:val="24"/>
          <w:highlight w:val="none"/>
        </w:rPr>
        <w:t>成果（含中间成果报告）及最终成果报告的，每逾期一日，应按合同暂定价的</w:t>
      </w:r>
      <w:r>
        <w:rPr>
          <w:rFonts w:hint="eastAsia" w:ascii="宋体" w:hAnsi="宋体"/>
          <w:color w:val="auto"/>
          <w:sz w:val="24"/>
          <w:highlight w:val="none"/>
          <w:u w:val="single"/>
        </w:rPr>
        <w:t xml:space="preserve"> 万分之四 </w:t>
      </w:r>
      <w:r>
        <w:rPr>
          <w:rFonts w:hint="eastAsia" w:ascii="宋体" w:hAnsi="宋体"/>
          <w:color w:val="auto"/>
          <w:sz w:val="24"/>
          <w:highlight w:val="none"/>
        </w:rPr>
        <w:t>向甲方支付逾期违约金，逾期超过十五日的，甲方有权单方解除合同，乙方</w:t>
      </w:r>
      <w:r>
        <w:rPr>
          <w:rFonts w:hint="eastAsia" w:ascii="Calibri" w:hAnsi="Calibri"/>
          <w:color w:val="auto"/>
          <w:sz w:val="24"/>
          <w:highlight w:val="none"/>
        </w:rPr>
        <w:t>须按合同暂定总</w:t>
      </w:r>
      <w:r>
        <w:rPr>
          <w:rFonts w:hint="eastAsia" w:ascii="宋体" w:hAnsi="宋体" w:cs="宋体"/>
          <w:color w:val="auto"/>
          <w:sz w:val="24"/>
          <w:highlight w:val="none"/>
        </w:rPr>
        <w:t>价的20%承</w:t>
      </w:r>
      <w:r>
        <w:rPr>
          <w:rFonts w:hint="eastAsia" w:ascii="Calibri" w:hAnsi="Calibri"/>
          <w:color w:val="auto"/>
          <w:sz w:val="24"/>
          <w:highlight w:val="none"/>
        </w:rPr>
        <w:t>担违约金，给</w:t>
      </w:r>
      <w:r>
        <w:rPr>
          <w:rFonts w:ascii="Calibri" w:hAnsi="Calibri"/>
          <w:color w:val="auto"/>
          <w:sz w:val="24"/>
          <w:highlight w:val="none"/>
        </w:rPr>
        <w:t>甲方</w:t>
      </w:r>
      <w:r>
        <w:rPr>
          <w:rFonts w:hint="eastAsia" w:ascii="Calibri" w:hAnsi="Calibri"/>
          <w:color w:val="auto"/>
          <w:sz w:val="24"/>
          <w:highlight w:val="none"/>
        </w:rPr>
        <w:t>造成损失的还需承担赔偿责任</w:t>
      </w:r>
      <w:r>
        <w:rPr>
          <w:rFonts w:hint="eastAsia" w:ascii="宋体" w:hAnsi="宋体"/>
          <w:color w:val="auto"/>
          <w:sz w:val="24"/>
          <w:highlight w:val="none"/>
        </w:rPr>
        <w:t>。</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（三）</w:t>
      </w:r>
      <w:r>
        <w:rPr>
          <w:rFonts w:ascii="Calibri" w:hAnsi="Calibri"/>
          <w:color w:val="auto"/>
          <w:sz w:val="24"/>
          <w:highlight w:val="none"/>
        </w:rPr>
        <w:t>乙方未按合同约定的时间到达现场，每发生一次，乙方向甲方支付违约</w:t>
      </w:r>
      <w:r>
        <w:rPr>
          <w:rFonts w:hint="eastAsia" w:ascii="宋体" w:hAnsi="宋体" w:cs="宋体"/>
          <w:color w:val="auto"/>
          <w:sz w:val="24"/>
          <w:highlight w:val="none"/>
        </w:rPr>
        <w:t>金</w:t>
      </w:r>
      <w:r>
        <w:rPr>
          <w:rFonts w:hint="eastAsia" w:ascii="宋体" w:hAnsi="宋体" w:cs="宋体"/>
          <w:b/>
          <w:color w:val="auto"/>
          <w:sz w:val="24"/>
          <w:highlight w:val="none"/>
          <w:u w:val="single"/>
        </w:rPr>
        <w:t>￥</w:t>
      </w:r>
      <w:r>
        <w:rPr>
          <w:rFonts w:hint="eastAsia" w:ascii="宋体" w:hAnsi="宋体" w:cs="宋体"/>
          <w:color w:val="auto"/>
          <w:sz w:val="24"/>
          <w:highlight w:val="none"/>
          <w:u w:val="single"/>
        </w:rPr>
        <w:t>5000.00元；</w:t>
      </w:r>
      <w:r>
        <w:rPr>
          <w:rFonts w:hint="eastAsia" w:ascii="宋体" w:hAnsi="宋体" w:cs="宋体"/>
          <w:color w:val="auto"/>
          <w:sz w:val="24"/>
          <w:highlight w:val="none"/>
        </w:rPr>
        <w:t>当甲方向乙方做出合理的书面指示，乙方应按照甲方书面指示执行，乙方拒不执行，甲方有权暂停支付乙方进度款，直至乙方执行到位为止。同时，每发生一次，乙方向甲方支付违约</w:t>
      </w:r>
      <w:r>
        <w:rPr>
          <w:rFonts w:hint="eastAsia" w:ascii="宋体" w:hAnsi="宋体"/>
          <w:color w:val="auto"/>
          <w:sz w:val="24"/>
          <w:highlight w:val="none"/>
        </w:rPr>
        <w:t>金</w:t>
      </w:r>
      <w:r>
        <w:rPr>
          <w:rFonts w:hint="eastAsia" w:ascii="Calibri" w:hAnsi="Calibri"/>
          <w:b/>
          <w:color w:val="auto"/>
          <w:sz w:val="24"/>
          <w:highlight w:val="none"/>
          <w:u w:val="single"/>
        </w:rPr>
        <w:t>￥</w:t>
      </w:r>
      <w:r>
        <w:rPr>
          <w:rFonts w:hint="eastAsia" w:ascii="宋体" w:hAnsi="宋体"/>
          <w:color w:val="auto"/>
          <w:sz w:val="24"/>
          <w:highlight w:val="none"/>
          <w:u w:val="single"/>
        </w:rPr>
        <w:t>5000.00</w:t>
      </w:r>
      <w:r>
        <w:rPr>
          <w:rFonts w:hint="eastAsia" w:ascii="宋体" w:hAnsi="宋体"/>
          <w:color w:val="auto"/>
          <w:sz w:val="24"/>
          <w:highlight w:val="none"/>
        </w:rPr>
        <w:t>元。</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（四）乙方擅自更换人员或甲方书面要求更换不符合工作要求人员的，每更换一人次，</w:t>
      </w:r>
      <w:r>
        <w:rPr>
          <w:rFonts w:hint="eastAsia" w:ascii="宋体" w:hAnsi="宋体"/>
          <w:color w:val="auto"/>
          <w:sz w:val="24"/>
          <w:highlight w:val="none"/>
        </w:rPr>
        <w:t>乙方向甲方支付违约金</w:t>
      </w:r>
      <w:r>
        <w:rPr>
          <w:rFonts w:hint="eastAsia" w:ascii="Calibri" w:hAnsi="Calibri"/>
          <w:b/>
          <w:color w:val="auto"/>
          <w:sz w:val="24"/>
          <w:highlight w:val="none"/>
          <w:u w:val="single"/>
        </w:rPr>
        <w:t>￥</w:t>
      </w:r>
      <w:r>
        <w:rPr>
          <w:rFonts w:hint="eastAsia" w:ascii="宋体" w:hAnsi="宋体"/>
          <w:color w:val="auto"/>
          <w:sz w:val="24"/>
          <w:highlight w:val="none"/>
          <w:u w:val="single"/>
        </w:rPr>
        <w:t>5000.00</w:t>
      </w:r>
      <w:r>
        <w:rPr>
          <w:rFonts w:hint="eastAsia" w:ascii="宋体" w:hAnsi="宋体"/>
          <w:color w:val="auto"/>
          <w:sz w:val="24"/>
          <w:highlight w:val="none"/>
        </w:rPr>
        <w:t>元。</w:t>
      </w:r>
    </w:p>
    <w:p>
      <w:p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乙方</w:t>
      </w:r>
      <w:r>
        <w:rPr>
          <w:rFonts w:hint="eastAsia" w:ascii="宋体" w:hAnsi="宋体"/>
          <w:color w:val="auto"/>
          <w:sz w:val="24"/>
          <w:szCs w:val="24"/>
          <w:highlight w:val="none"/>
        </w:rPr>
        <w:t>未</w:t>
      </w:r>
      <w:r>
        <w:rPr>
          <w:rFonts w:ascii="宋体" w:hAnsi="宋体"/>
          <w:color w:val="auto"/>
          <w:sz w:val="24"/>
          <w:szCs w:val="24"/>
          <w:highlight w:val="none"/>
        </w:rPr>
        <w:t>按要求</w:t>
      </w:r>
      <w:r>
        <w:rPr>
          <w:rFonts w:hint="eastAsia" w:ascii="宋体" w:hAnsi="宋体"/>
          <w:color w:val="auto"/>
          <w:sz w:val="24"/>
          <w:szCs w:val="24"/>
          <w:highlight w:val="none"/>
        </w:rPr>
        <w:t>及时清理现场垃圾，拆除临时设施并撤离现场，按每天</w:t>
      </w:r>
      <w:r>
        <w:rPr>
          <w:rFonts w:hint="eastAsia" w:ascii="宋体" w:hAnsi="宋体"/>
          <w:color w:val="auto"/>
          <w:sz w:val="24"/>
          <w:szCs w:val="24"/>
          <w:highlight w:val="none"/>
          <w:u w:val="single"/>
        </w:rPr>
        <w:t>￥</w:t>
      </w:r>
      <w:r>
        <w:rPr>
          <w:rFonts w:ascii="宋体" w:hAnsi="宋体"/>
          <w:color w:val="auto"/>
          <w:sz w:val="24"/>
          <w:szCs w:val="24"/>
          <w:highlight w:val="none"/>
          <w:u w:val="single"/>
        </w:rPr>
        <w:t>10,000元</w:t>
      </w:r>
      <w:r>
        <w:rPr>
          <w:rFonts w:hint="eastAsia" w:ascii="宋体" w:hAnsi="宋体"/>
          <w:color w:val="auto"/>
          <w:sz w:val="24"/>
          <w:szCs w:val="24"/>
          <w:highlight w:val="none"/>
        </w:rPr>
        <w:t>承担</w:t>
      </w:r>
      <w:r>
        <w:rPr>
          <w:rFonts w:ascii="宋体" w:hAnsi="宋体"/>
          <w:color w:val="auto"/>
          <w:sz w:val="24"/>
          <w:szCs w:val="24"/>
          <w:highlight w:val="none"/>
        </w:rPr>
        <w:t>违约责任</w:t>
      </w:r>
      <w:r>
        <w:rPr>
          <w:rFonts w:hint="eastAsia" w:ascii="宋体" w:hAnsi="宋体"/>
          <w:color w:val="auto"/>
          <w:sz w:val="24"/>
          <w:szCs w:val="24"/>
          <w:highlight w:val="none"/>
        </w:rPr>
        <w:t>；</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六）乙方不得徇私舞弊、弄虚作假、不负责任，一经发现，乙方除向甲方支付合同暂定价20%的违约金外，还需承担由此给甲方造成的一切损失。同时，甲方视情节轻重，有权解除本合同，并向相应主管部门报告相关情况。</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（七）</w:t>
      </w:r>
      <w:r>
        <w:rPr>
          <w:rFonts w:ascii="宋体" w:hAnsi="宋体"/>
          <w:color w:val="auto"/>
          <w:sz w:val="24"/>
          <w:highlight w:val="none"/>
        </w:rPr>
        <w:t>由于乙方原因造成</w:t>
      </w:r>
      <w:r>
        <w:rPr>
          <w:rFonts w:hint="eastAsia" w:ascii="宋体" w:hAnsi="宋体"/>
          <w:color w:val="auto"/>
          <w:sz w:val="24"/>
          <w:szCs w:val="24"/>
          <w:highlight w:val="none"/>
        </w:rPr>
        <w:t>检（监）测</w:t>
      </w:r>
      <w:r>
        <w:rPr>
          <w:rFonts w:ascii="宋体" w:hAnsi="宋体"/>
          <w:color w:val="auto"/>
          <w:sz w:val="24"/>
          <w:highlight w:val="none"/>
        </w:rPr>
        <w:t>成果报告质量不合格，不能满足技术要求时，</w:t>
      </w:r>
      <w:r>
        <w:rPr>
          <w:rFonts w:hint="eastAsia" w:ascii="宋体" w:hAnsi="宋体"/>
          <w:color w:val="auto"/>
          <w:sz w:val="24"/>
          <w:highlight w:val="none"/>
        </w:rPr>
        <w:t>乙方应立即无条件进行修改、返工直至符合本合同要求，由此增加的费用</w:t>
      </w:r>
      <w:r>
        <w:rPr>
          <w:rFonts w:ascii="宋体" w:hAnsi="宋体"/>
          <w:color w:val="auto"/>
          <w:sz w:val="24"/>
          <w:highlight w:val="none"/>
        </w:rPr>
        <w:t>由乙方承担</w:t>
      </w:r>
      <w:r>
        <w:rPr>
          <w:rFonts w:hint="eastAsia" w:ascii="宋体" w:hAnsi="宋体"/>
          <w:color w:val="auto"/>
          <w:sz w:val="24"/>
          <w:highlight w:val="none"/>
        </w:rPr>
        <w:t>。若由此造成逾期交付</w:t>
      </w:r>
      <w:r>
        <w:rPr>
          <w:rFonts w:hint="eastAsia" w:ascii="宋体" w:hAnsi="宋体"/>
          <w:color w:val="auto"/>
          <w:sz w:val="24"/>
          <w:szCs w:val="24"/>
          <w:highlight w:val="none"/>
        </w:rPr>
        <w:t>检（监）测</w:t>
      </w:r>
      <w:r>
        <w:rPr>
          <w:rFonts w:hint="eastAsia" w:ascii="宋体" w:hAnsi="宋体"/>
          <w:color w:val="auto"/>
          <w:sz w:val="24"/>
          <w:highlight w:val="none"/>
        </w:rPr>
        <w:t>成果报告的，按本条第（二）款执行。</w:t>
      </w:r>
    </w:p>
    <w:p>
      <w:pPr>
        <w:widowControl/>
        <w:spacing w:before="156" w:beforeLines="50" w:after="156" w:afterLines="50" w:line="360" w:lineRule="auto"/>
        <w:ind w:firstLine="480"/>
        <w:rPr>
          <w:rFonts w:ascii="宋体" w:hAnsi="宋体"/>
          <w:bCs/>
          <w:color w:val="auto"/>
          <w:kern w:val="0"/>
          <w:sz w:val="24"/>
          <w:szCs w:val="24"/>
          <w:highlight w:val="none"/>
        </w:rPr>
      </w:pPr>
      <w:r>
        <w:rPr>
          <w:rFonts w:hint="eastAsia" w:ascii="宋体" w:hAnsi="宋体"/>
          <w:bCs/>
          <w:color w:val="auto"/>
          <w:kern w:val="0"/>
          <w:sz w:val="24"/>
          <w:szCs w:val="24"/>
          <w:highlight w:val="none"/>
        </w:rPr>
        <w:t>（八）工程出现质量隐患时，因乙方未及时上报情况而造成安全事故的，因此给甲方造成实际损失的，乙方应负责赔偿。</w:t>
      </w:r>
    </w:p>
    <w:p>
      <w:pPr>
        <w:spacing w:before="50" w:after="50" w:line="360" w:lineRule="auto"/>
        <w:ind w:firstLine="480" w:firstLineChars="200"/>
        <w:rPr>
          <w:rFonts w:ascii="Calibri" w:hAnsi="Calibri"/>
          <w:color w:val="auto"/>
          <w:sz w:val="24"/>
          <w:highlight w:val="none"/>
        </w:rPr>
      </w:pPr>
      <w:r>
        <w:rPr>
          <w:rFonts w:hint="eastAsia" w:ascii="宋体" w:hAnsi="宋体"/>
          <w:color w:val="auto"/>
          <w:sz w:val="24"/>
          <w:highlight w:val="none"/>
        </w:rPr>
        <w:t>（九）</w:t>
      </w:r>
      <w:r>
        <w:rPr>
          <w:rFonts w:hint="eastAsia" w:ascii="Calibri" w:hAnsi="Calibri"/>
          <w:color w:val="auto"/>
          <w:sz w:val="24"/>
          <w:highlight w:val="none"/>
        </w:rPr>
        <w:t>合同规定的乙方的工程项目，未经甲方书面批准，乙方不得将任何工程项目私自分包或违法转包给第三方，若有未经甲方批准的第三方检测单位进场，甲方有权拒绝验收检测成果，并有权单方解除合同，</w:t>
      </w:r>
      <w:r>
        <w:rPr>
          <w:rFonts w:hint="eastAsia" w:ascii="宋体" w:hAnsi="宋体"/>
          <w:color w:val="auto"/>
          <w:sz w:val="24"/>
          <w:highlight w:val="none"/>
        </w:rPr>
        <w:t>乙方除向甲方支付合同暂定</w:t>
      </w:r>
      <w:r>
        <w:rPr>
          <w:rFonts w:ascii="宋体" w:hAnsi="宋体"/>
          <w:color w:val="auto"/>
          <w:sz w:val="24"/>
          <w:highlight w:val="none"/>
        </w:rPr>
        <w:t>价</w:t>
      </w:r>
      <w:r>
        <w:rPr>
          <w:rFonts w:hint="eastAsia" w:ascii="宋体" w:hAnsi="宋体"/>
          <w:color w:val="auto"/>
          <w:sz w:val="24"/>
          <w:highlight w:val="none"/>
        </w:rPr>
        <w:t>20%的违约金外，还需承担由此给甲方造成的一切损失</w:t>
      </w:r>
      <w:r>
        <w:rPr>
          <w:rFonts w:hint="eastAsia" w:ascii="Calibri" w:hAnsi="Calibri"/>
          <w:color w:val="auto"/>
          <w:sz w:val="24"/>
          <w:highlight w:val="none"/>
        </w:rPr>
        <w:t>。</w:t>
      </w:r>
    </w:p>
    <w:p>
      <w:pPr>
        <w:spacing w:before="50" w:after="50" w:line="360" w:lineRule="auto"/>
        <w:ind w:firstLine="480" w:firstLineChars="200"/>
        <w:rPr>
          <w:rFonts w:ascii="Calibri" w:hAnsi="Calibri"/>
          <w:color w:val="auto"/>
          <w:sz w:val="24"/>
          <w:highlight w:val="none"/>
        </w:rPr>
      </w:pPr>
      <w:r>
        <w:rPr>
          <w:rFonts w:ascii="Calibri" w:hAnsi="Calibri"/>
          <w:color w:val="auto"/>
          <w:sz w:val="24"/>
          <w:highlight w:val="none"/>
        </w:rPr>
        <w:t>（</w:t>
      </w:r>
      <w:r>
        <w:rPr>
          <w:rFonts w:hint="eastAsia" w:ascii="Calibri" w:hAnsi="Calibri"/>
          <w:color w:val="auto"/>
          <w:sz w:val="24"/>
          <w:highlight w:val="none"/>
        </w:rPr>
        <w:t>十</w:t>
      </w:r>
      <w:r>
        <w:rPr>
          <w:rFonts w:ascii="Calibri" w:hAnsi="Calibri"/>
          <w:color w:val="auto"/>
          <w:sz w:val="24"/>
          <w:highlight w:val="none"/>
        </w:rPr>
        <w:t>）</w:t>
      </w:r>
      <w:r>
        <w:rPr>
          <w:rFonts w:hint="eastAsia" w:ascii="Calibri" w:hAnsi="Calibri"/>
          <w:color w:val="auto"/>
          <w:sz w:val="24"/>
          <w:highlight w:val="none"/>
        </w:rPr>
        <w:t>本合同履行期间，因以上乙方原因造成甲方解除合同的，</w:t>
      </w:r>
      <w:r>
        <w:rPr>
          <w:rFonts w:ascii="Calibri" w:hAnsi="Calibri"/>
          <w:color w:val="auto"/>
          <w:sz w:val="24"/>
          <w:highlight w:val="none"/>
        </w:rPr>
        <w:t>本合同自甲方发出《解除通知》之日起第3日解除。</w:t>
      </w:r>
      <w:r>
        <w:rPr>
          <w:rFonts w:hint="eastAsia" w:ascii="Calibri" w:hAnsi="Calibri"/>
          <w:color w:val="auto"/>
          <w:sz w:val="24"/>
          <w:highlight w:val="none"/>
        </w:rPr>
        <w:t>乙方</w:t>
      </w:r>
      <w:r>
        <w:rPr>
          <w:rFonts w:ascii="Calibri" w:hAnsi="Calibri"/>
          <w:color w:val="auto"/>
          <w:sz w:val="24"/>
          <w:highlight w:val="none"/>
        </w:rPr>
        <w:t>须于本合同解除之日起10日内</w:t>
      </w:r>
      <w:r>
        <w:rPr>
          <w:rFonts w:hint="eastAsia" w:ascii="Calibri" w:hAnsi="Calibri"/>
          <w:color w:val="auto"/>
          <w:sz w:val="24"/>
          <w:highlight w:val="none"/>
        </w:rPr>
        <w:t>退还甲方已支付的全部款项，</w:t>
      </w:r>
      <w:r>
        <w:rPr>
          <w:rFonts w:ascii="Calibri" w:hAnsi="Calibri"/>
          <w:color w:val="auto"/>
          <w:sz w:val="24"/>
          <w:highlight w:val="none"/>
        </w:rPr>
        <w:t>并</w:t>
      </w:r>
      <w:r>
        <w:rPr>
          <w:rFonts w:hint="eastAsia" w:ascii="Calibri" w:hAnsi="Calibri"/>
          <w:color w:val="auto"/>
          <w:sz w:val="24"/>
          <w:highlight w:val="none"/>
        </w:rPr>
        <w:t>按合同暂</w:t>
      </w:r>
      <w:r>
        <w:rPr>
          <w:rFonts w:hint="eastAsia" w:ascii="宋体" w:hAnsi="宋体" w:cs="宋体"/>
          <w:color w:val="auto"/>
          <w:sz w:val="24"/>
          <w:highlight w:val="none"/>
        </w:rPr>
        <w:t>定价的20%</w:t>
      </w:r>
      <w:r>
        <w:rPr>
          <w:rFonts w:hint="eastAsia" w:ascii="Calibri" w:hAnsi="Calibri"/>
          <w:color w:val="auto"/>
          <w:sz w:val="24"/>
          <w:highlight w:val="none"/>
        </w:rPr>
        <w:t>承担违约金</w:t>
      </w:r>
      <w:r>
        <w:rPr>
          <w:rFonts w:ascii="Calibri" w:hAnsi="Calibri"/>
          <w:color w:val="auto"/>
          <w:sz w:val="24"/>
          <w:highlight w:val="none"/>
        </w:rPr>
        <w:t>。</w:t>
      </w:r>
      <w:r>
        <w:rPr>
          <w:rFonts w:hint="eastAsia" w:ascii="Calibri" w:hAnsi="Calibri"/>
          <w:color w:val="auto"/>
          <w:sz w:val="24"/>
          <w:highlight w:val="none"/>
        </w:rPr>
        <w:t>由</w:t>
      </w:r>
      <w:r>
        <w:rPr>
          <w:rFonts w:ascii="Calibri" w:hAnsi="Calibri"/>
          <w:color w:val="auto"/>
          <w:sz w:val="24"/>
          <w:highlight w:val="none"/>
        </w:rPr>
        <w:t>此造成甲方损失的，乙方还</w:t>
      </w:r>
      <w:r>
        <w:rPr>
          <w:rFonts w:hint="eastAsia" w:ascii="Calibri" w:hAnsi="Calibri"/>
          <w:color w:val="auto"/>
          <w:sz w:val="24"/>
          <w:highlight w:val="none"/>
        </w:rPr>
        <w:t>须</w:t>
      </w:r>
      <w:r>
        <w:rPr>
          <w:rFonts w:ascii="Calibri" w:hAnsi="Calibri"/>
          <w:color w:val="auto"/>
          <w:sz w:val="24"/>
          <w:highlight w:val="none"/>
        </w:rPr>
        <w:t>承担赔偿责任</w:t>
      </w:r>
      <w:r>
        <w:rPr>
          <w:rFonts w:hint="eastAsia" w:ascii="Calibri" w:hAnsi="Calibri"/>
          <w:color w:val="auto"/>
          <w:sz w:val="24"/>
          <w:highlight w:val="none"/>
        </w:rPr>
        <w:t>。</w:t>
      </w:r>
    </w:p>
    <w:p>
      <w:pPr>
        <w:spacing w:before="156" w:beforeLines="50" w:after="156" w:afterLines="50" w:line="360" w:lineRule="auto"/>
        <w:ind w:firstLine="480" w:firstLineChars="200"/>
        <w:rPr>
          <w:rFonts w:ascii="宋体" w:hAnsi="宋体"/>
          <w:color w:val="auto"/>
          <w:sz w:val="24"/>
          <w:highlight w:val="none"/>
        </w:rPr>
      </w:pPr>
      <w:r>
        <w:rPr>
          <w:rFonts w:hint="eastAsia" w:ascii="Calibri" w:hAnsi="Calibri"/>
          <w:color w:val="auto"/>
          <w:sz w:val="24"/>
          <w:highlight w:val="none"/>
        </w:rPr>
        <w:t>（十一</w:t>
      </w:r>
      <w:r>
        <w:rPr>
          <w:rFonts w:ascii="Calibri" w:hAnsi="Calibri"/>
          <w:color w:val="auto"/>
          <w:sz w:val="24"/>
          <w:highlight w:val="none"/>
        </w:rPr>
        <w:t>）上述违约金、赔偿金，甲方有权在履约保证金、进度款或结算金额中扣除</w:t>
      </w:r>
      <w:r>
        <w:rPr>
          <w:rFonts w:hint="eastAsia" w:ascii="Calibri" w:hAnsi="Calibri"/>
          <w:color w:val="auto"/>
          <w:sz w:val="24"/>
          <w:highlight w:val="none"/>
        </w:rPr>
        <w:t>，不足以扣除的，乙方须在收到甲方通知的十天内向甲方付清。上述</w:t>
      </w:r>
      <w:r>
        <w:rPr>
          <w:rFonts w:ascii="Calibri" w:hAnsi="Calibri"/>
          <w:color w:val="auto"/>
          <w:sz w:val="24"/>
          <w:highlight w:val="none"/>
        </w:rPr>
        <w:t>损失范围包括</w:t>
      </w:r>
      <w:r>
        <w:rPr>
          <w:rFonts w:ascii="宋体" w:hAnsi="宋体"/>
          <w:bCs/>
          <w:color w:val="auto"/>
          <w:kern w:val="0"/>
          <w:sz w:val="24"/>
          <w:szCs w:val="24"/>
          <w:highlight w:val="none"/>
        </w:rPr>
        <w:t>但不限于工程修复、损毁而支付的费用、</w:t>
      </w:r>
      <w:r>
        <w:rPr>
          <w:rFonts w:hint="eastAsia" w:ascii="宋体" w:hAnsi="宋体"/>
          <w:bCs/>
          <w:color w:val="auto"/>
          <w:kern w:val="0"/>
          <w:sz w:val="24"/>
          <w:szCs w:val="24"/>
          <w:highlight w:val="none"/>
        </w:rPr>
        <w:t>对</w:t>
      </w:r>
      <w:r>
        <w:rPr>
          <w:rFonts w:ascii="宋体" w:hAnsi="宋体"/>
          <w:bCs/>
          <w:color w:val="auto"/>
          <w:kern w:val="0"/>
          <w:sz w:val="24"/>
          <w:szCs w:val="24"/>
          <w:highlight w:val="none"/>
        </w:rPr>
        <w:t>第三方的赔偿、律师费、差旅费、诉讼费和仲裁费、公证费、公告费、评估费、鉴定费、邮寄送达费、</w:t>
      </w:r>
      <w:r>
        <w:rPr>
          <w:rFonts w:hint="eastAsia" w:ascii="宋体" w:hAnsi="宋体"/>
          <w:bCs/>
          <w:color w:val="auto"/>
          <w:kern w:val="0"/>
          <w:sz w:val="24"/>
          <w:szCs w:val="24"/>
          <w:highlight w:val="none"/>
        </w:rPr>
        <w:t>印刷费</w:t>
      </w:r>
      <w:r>
        <w:rPr>
          <w:rFonts w:ascii="宋体" w:hAnsi="宋体"/>
          <w:bCs/>
          <w:color w:val="auto"/>
          <w:kern w:val="0"/>
          <w:sz w:val="24"/>
          <w:szCs w:val="24"/>
          <w:highlight w:val="none"/>
        </w:rPr>
        <w:t>、执行费、拍卖费等</w:t>
      </w:r>
      <w:r>
        <w:rPr>
          <w:rFonts w:hint="eastAsia" w:ascii="宋体" w:hAnsi="宋体"/>
          <w:bCs/>
          <w:color w:val="auto"/>
          <w:kern w:val="0"/>
          <w:sz w:val="24"/>
          <w:szCs w:val="24"/>
          <w:highlight w:val="none"/>
        </w:rPr>
        <w:t>。</w:t>
      </w:r>
    </w:p>
    <w:p>
      <w:pPr>
        <w:spacing w:before="156" w:beforeLines="50" w:after="156" w:afterLines="50" w:line="360" w:lineRule="auto"/>
        <w:outlineLvl w:val="0"/>
        <w:rPr>
          <w:rFonts w:ascii="宋体" w:hAnsi="宋体"/>
          <w:b/>
          <w:color w:val="auto"/>
          <w:sz w:val="24"/>
          <w:highlight w:val="none"/>
        </w:rPr>
      </w:pPr>
      <w:r>
        <w:rPr>
          <w:rFonts w:hint="eastAsia" w:ascii="宋体" w:hAnsi="宋体"/>
          <w:b/>
          <w:color w:val="auto"/>
          <w:sz w:val="24"/>
          <w:highlight w:val="none"/>
        </w:rPr>
        <w:t>十二、争议的解决</w:t>
      </w:r>
    </w:p>
    <w:p>
      <w:pPr>
        <w:spacing w:before="156" w:beforeLines="50" w:after="156" w:afterLines="50" w:line="360" w:lineRule="auto"/>
        <w:ind w:left="120" w:firstLine="480" w:firstLineChars="200"/>
        <w:rPr>
          <w:rFonts w:ascii="宋体" w:hAnsi="宋体"/>
          <w:color w:val="auto"/>
          <w:sz w:val="24"/>
          <w:highlight w:val="none"/>
        </w:rPr>
      </w:pPr>
      <w:r>
        <w:rPr>
          <w:rFonts w:hint="eastAsia" w:ascii="宋体" w:hAnsi="宋体"/>
          <w:color w:val="auto"/>
          <w:sz w:val="24"/>
          <w:highlight w:val="none"/>
        </w:rPr>
        <w:t>本合同发生争议时，甲乙双方应及时协商解决，也可由当地建设行政主管部门调解，协商或调解不成时，双方同意向</w:t>
      </w:r>
      <w:r>
        <w:rPr>
          <w:rFonts w:hint="eastAsia" w:ascii="宋体" w:hAnsi="宋体"/>
          <w:color w:val="auto"/>
          <w:sz w:val="24"/>
          <w:highlight w:val="none"/>
          <w:u w:val="single"/>
        </w:rPr>
        <w:t>工程所在地人民法院</w:t>
      </w:r>
      <w:r>
        <w:rPr>
          <w:rFonts w:hint="eastAsia" w:ascii="宋体" w:hAnsi="宋体"/>
          <w:color w:val="auto"/>
          <w:sz w:val="24"/>
          <w:highlight w:val="none"/>
        </w:rPr>
        <w:t>起诉。</w:t>
      </w:r>
    </w:p>
    <w:p>
      <w:pPr>
        <w:spacing w:before="156" w:beforeLines="50" w:after="156" w:afterLines="50" w:line="360" w:lineRule="auto"/>
        <w:outlineLvl w:val="0"/>
        <w:rPr>
          <w:rFonts w:ascii="宋体" w:hAnsi="宋体"/>
          <w:b/>
          <w:color w:val="auto"/>
          <w:sz w:val="24"/>
          <w:highlight w:val="none"/>
        </w:rPr>
      </w:pPr>
      <w:r>
        <w:rPr>
          <w:rFonts w:hint="eastAsia" w:ascii="宋体" w:hAnsi="宋体"/>
          <w:b/>
          <w:color w:val="auto"/>
          <w:sz w:val="24"/>
          <w:highlight w:val="none"/>
        </w:rPr>
        <w:t>十三、合同的组成文件及解释顺序</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下列文件是本协议的组成部分，应作为协议书的有效内容予以遵守和执行。</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(1）合同实施期间双方签订的补充协议；</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(2）本合同条款及其附件；</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(3）中标通知书；</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(4）招标文件（包括补充、修改、澄清文件、答疑纪要等）；</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(5）标准规范及有关技术文件、图纸；</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(6）法律、法规及相关管理规定；</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(7）投标文件及其附件；</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(8）经双方认可的来往传真、电报、会议纪要等。</w:t>
      </w:r>
    </w:p>
    <w:p>
      <w:pPr>
        <w:spacing w:before="156" w:beforeLines="50" w:after="156" w:afterLines="50" w:line="360" w:lineRule="auto"/>
        <w:ind w:firstLine="480" w:firstLineChars="200"/>
        <w:rPr>
          <w:rFonts w:ascii="宋体" w:hAnsi="宋体"/>
          <w:b/>
          <w:color w:val="auto"/>
          <w:sz w:val="24"/>
          <w:highlight w:val="none"/>
        </w:rPr>
      </w:pPr>
      <w:r>
        <w:rPr>
          <w:rFonts w:hint="eastAsia" w:ascii="宋体" w:hAnsi="宋体"/>
          <w:color w:val="auto"/>
          <w:sz w:val="24"/>
          <w:szCs w:val="24"/>
          <w:highlight w:val="none"/>
        </w:rPr>
        <w:t>上述文件互相补充和解释，如有不明确或不一致之处，以上述约定次序在先者为准。</w:t>
      </w:r>
    </w:p>
    <w:p>
      <w:pPr>
        <w:spacing w:before="156" w:beforeLines="50" w:after="156" w:afterLines="50" w:line="360" w:lineRule="auto"/>
        <w:outlineLvl w:val="0"/>
        <w:rPr>
          <w:rFonts w:ascii="宋体" w:hAnsi="宋体"/>
          <w:b/>
          <w:color w:val="auto"/>
          <w:sz w:val="24"/>
          <w:highlight w:val="none"/>
        </w:rPr>
      </w:pPr>
      <w:r>
        <w:rPr>
          <w:rFonts w:hint="eastAsia" w:ascii="宋体" w:hAnsi="宋体"/>
          <w:b/>
          <w:color w:val="auto"/>
          <w:sz w:val="24"/>
          <w:highlight w:val="none"/>
        </w:rPr>
        <w:t>十四、其他</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一）甲、乙方确定，双方于本合同约定的文书送达地址真实有效，该地址的适用范围包括非诉阶段、仲裁阶段和诉讼阶段的一审、二审、再审和执行程序。一旦纠纷进入上述诉讼程序，人民法院、仲裁机构即可按约定的文书送达地址以直接送达、邮寄送达方式送达各类法律文书，双方依照合同约定承担有效送达的法律后果。如一方需变更文书送达地址，应在变更后</w:t>
      </w:r>
      <w:r>
        <w:rPr>
          <w:rFonts w:ascii="宋体" w:hAnsi="宋体"/>
          <w:color w:val="auto"/>
          <w:sz w:val="24"/>
          <w:highlight w:val="none"/>
        </w:rPr>
        <w:t>7个工作日内书面通知</w:t>
      </w:r>
      <w:r>
        <w:rPr>
          <w:rFonts w:hint="eastAsia" w:ascii="宋体" w:hAnsi="宋体"/>
          <w:color w:val="auto"/>
          <w:sz w:val="24"/>
          <w:highlight w:val="none"/>
        </w:rPr>
        <w:t>另一方，如未按约定方式告知另一方的，原文书送达地址仍为有效送达地址。</w:t>
      </w:r>
      <w:r>
        <w:rPr>
          <w:rFonts w:ascii="宋体" w:hAnsi="宋体"/>
          <w:color w:val="auto"/>
          <w:sz w:val="24"/>
          <w:highlight w:val="none"/>
        </w:rPr>
        <w:t xml:space="preserve">  </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（二）本合同如有未尽事宜，双方可另行签订补充协议。</w:t>
      </w:r>
    </w:p>
    <w:p>
      <w:pPr>
        <w:spacing w:before="156" w:beforeLines="50" w:after="156"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（三）本合同正本</w:t>
      </w:r>
      <w:r>
        <w:rPr>
          <w:rFonts w:hint="eastAsia" w:ascii="宋体" w:hAnsi="宋体"/>
          <w:color w:val="auto"/>
          <w:sz w:val="24"/>
          <w:highlight w:val="none"/>
          <w:u w:val="single"/>
        </w:rPr>
        <w:t xml:space="preserve"> 贰 </w:t>
      </w:r>
      <w:r>
        <w:rPr>
          <w:rFonts w:hint="eastAsia" w:ascii="宋体" w:hAnsi="宋体"/>
          <w:color w:val="auto"/>
          <w:sz w:val="24"/>
          <w:highlight w:val="none"/>
        </w:rPr>
        <w:t>份，双方各执</w:t>
      </w:r>
      <w:r>
        <w:rPr>
          <w:rFonts w:hint="eastAsia" w:ascii="宋体" w:hAnsi="宋体"/>
          <w:color w:val="auto"/>
          <w:sz w:val="24"/>
          <w:highlight w:val="none"/>
          <w:u w:val="single"/>
        </w:rPr>
        <w:t xml:space="preserve"> 壹 </w:t>
      </w:r>
      <w:r>
        <w:rPr>
          <w:rFonts w:hint="eastAsia" w:ascii="宋体" w:hAnsi="宋体"/>
          <w:color w:val="auto"/>
          <w:sz w:val="24"/>
          <w:highlight w:val="none"/>
        </w:rPr>
        <w:t>份；副本</w:t>
      </w:r>
      <w:r>
        <w:rPr>
          <w:rFonts w:hint="eastAsia" w:ascii="宋体" w:hAnsi="宋体"/>
          <w:color w:val="auto"/>
          <w:sz w:val="24"/>
          <w:highlight w:val="none"/>
          <w:u w:val="single"/>
        </w:rPr>
        <w:t xml:space="preserve"> 陆 </w:t>
      </w:r>
      <w:r>
        <w:rPr>
          <w:rFonts w:hint="eastAsia" w:ascii="宋体" w:hAnsi="宋体"/>
          <w:color w:val="auto"/>
          <w:sz w:val="24"/>
          <w:highlight w:val="none"/>
        </w:rPr>
        <w:t>份，甲方执</w:t>
      </w:r>
      <w:r>
        <w:rPr>
          <w:rFonts w:hint="eastAsia" w:ascii="宋体" w:hAnsi="宋体"/>
          <w:color w:val="auto"/>
          <w:sz w:val="24"/>
          <w:highlight w:val="none"/>
          <w:u w:val="single"/>
        </w:rPr>
        <w:t xml:space="preserve"> 叁 </w:t>
      </w:r>
      <w:r>
        <w:rPr>
          <w:rFonts w:hint="eastAsia" w:ascii="宋体" w:hAnsi="宋体"/>
          <w:color w:val="auto"/>
          <w:sz w:val="24"/>
          <w:highlight w:val="none"/>
        </w:rPr>
        <w:t>份，乙方执</w:t>
      </w:r>
      <w:r>
        <w:rPr>
          <w:rFonts w:hint="eastAsia" w:ascii="宋体" w:hAnsi="宋体"/>
          <w:color w:val="auto"/>
          <w:sz w:val="24"/>
          <w:highlight w:val="none"/>
          <w:u w:val="single"/>
        </w:rPr>
        <w:t xml:space="preserve"> 叁 </w:t>
      </w:r>
      <w:r>
        <w:rPr>
          <w:rFonts w:hint="eastAsia" w:ascii="宋体" w:hAnsi="宋体"/>
          <w:color w:val="auto"/>
          <w:sz w:val="24"/>
          <w:highlight w:val="none"/>
        </w:rPr>
        <w:t>份。合同正副本具同等法律效力。自双方签字盖章之日起生效，双方履行完规定的全部义务后，本合同即行终止。</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附件：1、南沙区建设工程项目廉洁责任合同</w:t>
      </w: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2、中标通知书</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3、履约担保</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4、招标答疑</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5、拟投入本项目人员一览表</w:t>
      </w: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6、工程量清单</w:t>
      </w:r>
    </w:p>
    <w:p>
      <w:pPr>
        <w:pStyle w:val="2"/>
        <w:rPr>
          <w:color w:val="auto"/>
          <w:highlight w:val="none"/>
        </w:rPr>
      </w:pPr>
    </w:p>
    <w:p>
      <w:pPr>
        <w:rPr>
          <w:color w:val="auto"/>
          <w:highlight w:val="none"/>
        </w:rPr>
      </w:pPr>
      <w:r>
        <w:rPr>
          <w:color w:val="auto"/>
          <w:highlight w:val="none"/>
        </w:rPr>
        <w:br w:type="page"/>
      </w:r>
      <w:r>
        <w:rPr>
          <w:rFonts w:hint="eastAsia"/>
          <w:color w:val="auto"/>
          <w:highlight w:val="none"/>
        </w:rPr>
        <w:t>（此页以下无正文内容。）</w:t>
      </w:r>
    </w:p>
    <w:p>
      <w:pPr>
        <w:rPr>
          <w:color w:val="auto"/>
          <w:highlight w:val="none"/>
        </w:rPr>
      </w:pPr>
    </w:p>
    <w:p>
      <w:pPr>
        <w:pStyle w:val="2"/>
        <w:rPr>
          <w:color w:val="auto"/>
          <w:highlight w:val="none"/>
        </w:rPr>
      </w:pPr>
    </w:p>
    <w:tbl>
      <w:tblPr>
        <w:tblStyle w:val="9"/>
        <w:tblW w:w="8567" w:type="dxa"/>
        <w:tblInd w:w="-139" w:type="dxa"/>
        <w:tblLayout w:type="fixed"/>
        <w:tblCellMar>
          <w:top w:w="0" w:type="dxa"/>
          <w:left w:w="108" w:type="dxa"/>
          <w:bottom w:w="0" w:type="dxa"/>
          <w:right w:w="108" w:type="dxa"/>
        </w:tblCellMar>
      </w:tblPr>
      <w:tblGrid>
        <w:gridCol w:w="4233"/>
        <w:gridCol w:w="4334"/>
      </w:tblGrid>
      <w:tr>
        <w:trPr>
          <w:trHeight w:val="654" w:hRule="atLeast"/>
        </w:trPr>
        <w:tc>
          <w:tcPr>
            <w:tcW w:w="4233" w:type="dxa"/>
            <w:vAlign w:val="center"/>
          </w:tcPr>
          <w:p>
            <w:pPr>
              <w:rPr>
                <w:rFonts w:ascii="Calibri" w:hAnsi="宋体"/>
                <w:color w:val="auto"/>
                <w:sz w:val="24"/>
                <w:szCs w:val="24"/>
                <w:highlight w:val="none"/>
              </w:rPr>
            </w:pPr>
            <w:r>
              <w:rPr>
                <w:rFonts w:hint="eastAsia" w:ascii="Calibri" w:hAnsi="宋体"/>
                <w:color w:val="auto"/>
                <w:sz w:val="24"/>
                <w:szCs w:val="24"/>
                <w:highlight w:val="none"/>
              </w:rPr>
              <w:t>委托方（业主）：（盖章）</w:t>
            </w:r>
          </w:p>
        </w:tc>
        <w:tc>
          <w:tcPr>
            <w:tcW w:w="4334" w:type="dxa"/>
            <w:vAlign w:val="center"/>
          </w:tcPr>
          <w:p>
            <w:pPr>
              <w:rPr>
                <w:rFonts w:ascii="Calibri" w:hAnsi="宋体"/>
                <w:color w:val="auto"/>
                <w:sz w:val="24"/>
                <w:szCs w:val="24"/>
                <w:highlight w:val="none"/>
              </w:rPr>
            </w:pPr>
            <w:r>
              <w:rPr>
                <w:rFonts w:hint="eastAsia" w:ascii="Calibri" w:hAnsi="宋体"/>
                <w:color w:val="auto"/>
                <w:sz w:val="24"/>
                <w:szCs w:val="24"/>
                <w:highlight w:val="none"/>
              </w:rPr>
              <w:t xml:space="preserve">委托方（项目管理单位）：（盖章） </w:t>
            </w:r>
          </w:p>
        </w:tc>
      </w:tr>
      <w:tr>
        <w:tblPrEx>
          <w:tblCellMar>
            <w:top w:w="0" w:type="dxa"/>
            <w:left w:w="108" w:type="dxa"/>
            <w:bottom w:w="0" w:type="dxa"/>
            <w:right w:w="108" w:type="dxa"/>
          </w:tblCellMar>
        </w:tblPrEx>
        <w:tc>
          <w:tcPr>
            <w:tcW w:w="4233" w:type="dxa"/>
          </w:tcPr>
          <w:p>
            <w:pPr>
              <w:rPr>
                <w:rFonts w:ascii="Calibri" w:hAnsi="宋体"/>
                <w:color w:val="auto"/>
                <w:sz w:val="24"/>
                <w:szCs w:val="24"/>
                <w:highlight w:val="none"/>
              </w:rPr>
            </w:pPr>
            <w:r>
              <w:rPr>
                <w:rFonts w:hint="eastAsia" w:ascii="Calibri" w:hAnsi="宋体"/>
                <w:color w:val="auto"/>
                <w:sz w:val="24"/>
                <w:szCs w:val="24"/>
                <w:highlight w:val="none"/>
              </w:rPr>
              <w:t>广州南沙期金产业园投资有限公司</w:t>
            </w:r>
          </w:p>
          <w:p>
            <w:pPr>
              <w:rPr>
                <w:rFonts w:ascii="Calibri" w:hAnsi="宋体"/>
                <w:color w:val="auto"/>
                <w:sz w:val="24"/>
                <w:szCs w:val="24"/>
                <w:highlight w:val="none"/>
              </w:rPr>
            </w:pPr>
            <w:r>
              <w:rPr>
                <w:rFonts w:hint="eastAsia" w:ascii="Calibri" w:hAnsi="宋体"/>
                <w:color w:val="auto"/>
                <w:sz w:val="24"/>
                <w:szCs w:val="24"/>
                <w:highlight w:val="none"/>
              </w:rPr>
              <w:t>文书送达地址：</w:t>
            </w:r>
          </w:p>
          <w:p>
            <w:pPr>
              <w:rPr>
                <w:rFonts w:ascii="Calibri" w:hAnsi="宋体"/>
                <w:color w:val="auto"/>
                <w:sz w:val="24"/>
                <w:szCs w:val="24"/>
                <w:highlight w:val="none"/>
              </w:rPr>
            </w:pPr>
            <w:r>
              <w:rPr>
                <w:rFonts w:ascii="Calibri" w:hAnsi="宋体"/>
                <w:color w:val="auto"/>
                <w:sz w:val="24"/>
                <w:szCs w:val="24"/>
                <w:highlight w:val="none"/>
              </w:rPr>
              <w:t xml:space="preserve"> </w:t>
            </w:r>
          </w:p>
          <w:p>
            <w:pPr>
              <w:rPr>
                <w:rFonts w:ascii="Calibri" w:hAnsi="宋体"/>
                <w:color w:val="auto"/>
                <w:sz w:val="24"/>
                <w:szCs w:val="24"/>
                <w:highlight w:val="none"/>
              </w:rPr>
            </w:pPr>
            <w:r>
              <w:rPr>
                <w:rFonts w:hint="eastAsia" w:ascii="Calibri" w:hAnsi="宋体"/>
                <w:color w:val="auto"/>
                <w:sz w:val="24"/>
                <w:szCs w:val="24"/>
                <w:highlight w:val="none"/>
              </w:rPr>
              <w:t>法定代表人</w:t>
            </w:r>
            <w:r>
              <w:rPr>
                <w:rFonts w:ascii="Calibri" w:hAnsi="宋体"/>
                <w:color w:val="auto"/>
                <w:sz w:val="24"/>
                <w:szCs w:val="24"/>
                <w:highlight w:val="none"/>
              </w:rPr>
              <w:t>/</w:t>
            </w:r>
            <w:r>
              <w:rPr>
                <w:rFonts w:hint="eastAsia" w:ascii="Calibri" w:hAnsi="宋体"/>
                <w:color w:val="auto"/>
                <w:sz w:val="24"/>
                <w:szCs w:val="24"/>
                <w:highlight w:val="none"/>
              </w:rPr>
              <w:t>委托代理人：</w:t>
            </w:r>
          </w:p>
          <w:p>
            <w:pPr>
              <w:rPr>
                <w:rFonts w:ascii="Calibri" w:hAnsi="宋体"/>
                <w:color w:val="auto"/>
                <w:sz w:val="24"/>
                <w:szCs w:val="24"/>
                <w:highlight w:val="none"/>
              </w:rPr>
            </w:pPr>
            <w:r>
              <w:rPr>
                <w:rFonts w:hint="eastAsia" w:ascii="Calibri" w:hAnsi="宋体"/>
                <w:color w:val="auto"/>
                <w:sz w:val="24"/>
                <w:szCs w:val="24"/>
                <w:highlight w:val="none"/>
              </w:rPr>
              <w:t>（签字或盖章）</w:t>
            </w:r>
          </w:p>
        </w:tc>
        <w:tc>
          <w:tcPr>
            <w:tcW w:w="4334" w:type="dxa"/>
          </w:tcPr>
          <w:p>
            <w:pPr>
              <w:rPr>
                <w:rFonts w:ascii="Calibri" w:hAnsi="宋体"/>
                <w:color w:val="auto"/>
                <w:sz w:val="24"/>
                <w:szCs w:val="24"/>
                <w:highlight w:val="none"/>
              </w:rPr>
            </w:pPr>
            <w:r>
              <w:rPr>
                <w:rFonts w:hint="eastAsia" w:ascii="Calibri" w:hAnsi="宋体"/>
                <w:color w:val="auto"/>
                <w:sz w:val="24"/>
                <w:szCs w:val="24"/>
                <w:highlight w:val="none"/>
              </w:rPr>
              <w:t>广州南投房地产开发有限公司</w:t>
            </w:r>
          </w:p>
          <w:p>
            <w:pPr>
              <w:rPr>
                <w:rFonts w:ascii="Calibri" w:hAnsi="宋体"/>
                <w:color w:val="auto"/>
                <w:sz w:val="24"/>
                <w:szCs w:val="24"/>
                <w:highlight w:val="none"/>
              </w:rPr>
            </w:pPr>
            <w:r>
              <w:rPr>
                <w:rFonts w:hint="eastAsia" w:ascii="Calibri" w:hAnsi="宋体"/>
                <w:color w:val="auto"/>
                <w:sz w:val="24"/>
                <w:szCs w:val="24"/>
                <w:highlight w:val="none"/>
              </w:rPr>
              <w:t>文书送达地址：</w:t>
            </w:r>
          </w:p>
          <w:p>
            <w:pPr>
              <w:rPr>
                <w:rFonts w:ascii="Calibri" w:hAnsi="宋体"/>
                <w:color w:val="auto"/>
                <w:sz w:val="24"/>
                <w:szCs w:val="24"/>
                <w:highlight w:val="none"/>
              </w:rPr>
            </w:pPr>
            <w:r>
              <w:rPr>
                <w:rFonts w:ascii="Calibri" w:hAnsi="宋体"/>
                <w:color w:val="auto"/>
                <w:sz w:val="24"/>
                <w:szCs w:val="24"/>
                <w:highlight w:val="none"/>
              </w:rPr>
              <w:t xml:space="preserve"> </w:t>
            </w:r>
          </w:p>
          <w:p>
            <w:pPr>
              <w:rPr>
                <w:rFonts w:ascii="Calibri" w:hAnsi="宋体"/>
                <w:color w:val="auto"/>
                <w:sz w:val="24"/>
                <w:szCs w:val="24"/>
                <w:highlight w:val="none"/>
              </w:rPr>
            </w:pPr>
            <w:r>
              <w:rPr>
                <w:rFonts w:hint="eastAsia" w:ascii="Calibri" w:hAnsi="宋体"/>
                <w:color w:val="auto"/>
                <w:sz w:val="24"/>
                <w:szCs w:val="24"/>
                <w:highlight w:val="none"/>
              </w:rPr>
              <w:t>法定代表人</w:t>
            </w:r>
            <w:r>
              <w:rPr>
                <w:rFonts w:ascii="Calibri" w:hAnsi="宋体"/>
                <w:color w:val="auto"/>
                <w:sz w:val="24"/>
                <w:szCs w:val="24"/>
                <w:highlight w:val="none"/>
              </w:rPr>
              <w:t>/</w:t>
            </w:r>
            <w:r>
              <w:rPr>
                <w:rFonts w:hint="eastAsia" w:ascii="Calibri" w:hAnsi="宋体"/>
                <w:color w:val="auto"/>
                <w:sz w:val="24"/>
                <w:szCs w:val="24"/>
                <w:highlight w:val="none"/>
              </w:rPr>
              <w:t>委托代理人：</w:t>
            </w:r>
          </w:p>
          <w:p>
            <w:pPr>
              <w:rPr>
                <w:rFonts w:ascii="Calibri" w:hAnsi="宋体"/>
                <w:color w:val="auto"/>
                <w:sz w:val="24"/>
                <w:szCs w:val="24"/>
                <w:highlight w:val="none"/>
              </w:rPr>
            </w:pPr>
            <w:r>
              <w:rPr>
                <w:rFonts w:hint="eastAsia" w:ascii="Calibri" w:hAnsi="宋体"/>
                <w:color w:val="auto"/>
                <w:sz w:val="24"/>
                <w:szCs w:val="24"/>
                <w:highlight w:val="none"/>
              </w:rPr>
              <w:t>（签字或盖章）</w:t>
            </w:r>
          </w:p>
        </w:tc>
      </w:tr>
      <w:tr>
        <w:tblPrEx>
          <w:tblCellMar>
            <w:top w:w="0" w:type="dxa"/>
            <w:left w:w="108" w:type="dxa"/>
            <w:bottom w:w="0" w:type="dxa"/>
            <w:right w:w="108" w:type="dxa"/>
          </w:tblCellMar>
        </w:tblPrEx>
        <w:trPr>
          <w:trHeight w:val="2084" w:hRule="atLeast"/>
        </w:trPr>
        <w:tc>
          <w:tcPr>
            <w:tcW w:w="4233" w:type="dxa"/>
          </w:tcPr>
          <w:p>
            <w:pPr>
              <w:rPr>
                <w:rFonts w:ascii="Calibri" w:hAnsi="Calibri"/>
                <w:color w:val="auto"/>
                <w:sz w:val="24"/>
                <w:szCs w:val="24"/>
                <w:highlight w:val="none"/>
              </w:rPr>
            </w:pPr>
          </w:p>
          <w:p>
            <w:pPr>
              <w:rPr>
                <w:rFonts w:ascii="Calibri" w:hAnsi="Calibri"/>
                <w:color w:val="auto"/>
                <w:sz w:val="24"/>
                <w:szCs w:val="24"/>
                <w:highlight w:val="none"/>
              </w:rPr>
            </w:pPr>
            <w:r>
              <w:rPr>
                <w:rFonts w:hint="eastAsia" w:ascii="Calibri" w:hAnsi="宋体"/>
                <w:color w:val="auto"/>
                <w:sz w:val="24"/>
                <w:szCs w:val="24"/>
                <w:highlight w:val="none"/>
              </w:rPr>
              <w:t>联系人：</w:t>
            </w:r>
            <w:r>
              <w:rPr>
                <w:rFonts w:ascii="Calibri" w:hAnsi="Calibri"/>
                <w:color w:val="auto"/>
                <w:sz w:val="24"/>
                <w:szCs w:val="24"/>
                <w:highlight w:val="none"/>
              </w:rPr>
              <w:t xml:space="preserve"> </w:t>
            </w:r>
          </w:p>
          <w:p>
            <w:pPr>
              <w:rPr>
                <w:rFonts w:ascii="Calibri" w:hAnsi="Calibri"/>
                <w:color w:val="auto"/>
                <w:sz w:val="24"/>
                <w:szCs w:val="24"/>
                <w:highlight w:val="none"/>
              </w:rPr>
            </w:pPr>
          </w:p>
          <w:p>
            <w:pPr>
              <w:rPr>
                <w:rFonts w:ascii="Calibri" w:hAnsi="Calibri"/>
                <w:color w:val="auto"/>
                <w:sz w:val="24"/>
                <w:szCs w:val="24"/>
                <w:highlight w:val="none"/>
              </w:rPr>
            </w:pPr>
            <w:r>
              <w:rPr>
                <w:rFonts w:hint="eastAsia" w:ascii="Calibri" w:hAnsi="宋体"/>
                <w:color w:val="auto"/>
                <w:sz w:val="24"/>
                <w:szCs w:val="24"/>
                <w:highlight w:val="none"/>
              </w:rPr>
              <w:t>电话：</w:t>
            </w:r>
            <w:r>
              <w:rPr>
                <w:rFonts w:hint="eastAsia" w:ascii="Calibri" w:hAnsi="Calibri"/>
                <w:color w:val="auto"/>
                <w:sz w:val="24"/>
                <w:szCs w:val="24"/>
                <w:highlight w:val="none"/>
              </w:rPr>
              <w:t xml:space="preserve"> </w:t>
            </w:r>
          </w:p>
          <w:p>
            <w:pPr>
              <w:rPr>
                <w:rFonts w:ascii="Calibri" w:hAnsi="Calibri"/>
                <w:color w:val="auto"/>
                <w:sz w:val="24"/>
                <w:szCs w:val="24"/>
                <w:highlight w:val="none"/>
              </w:rPr>
            </w:pPr>
          </w:p>
          <w:p>
            <w:pPr>
              <w:rPr>
                <w:rFonts w:ascii="Calibri" w:hAnsi="Calibri"/>
                <w:color w:val="auto"/>
                <w:sz w:val="24"/>
                <w:szCs w:val="24"/>
                <w:highlight w:val="none"/>
              </w:rPr>
            </w:pPr>
            <w:r>
              <w:rPr>
                <w:rFonts w:hint="eastAsia" w:ascii="Calibri" w:hAnsi="宋体"/>
                <w:color w:val="auto"/>
                <w:sz w:val="24"/>
                <w:szCs w:val="24"/>
                <w:highlight w:val="none"/>
              </w:rPr>
              <w:t>传真：</w:t>
            </w:r>
            <w:r>
              <w:rPr>
                <w:rFonts w:hint="eastAsia" w:ascii="Calibri" w:hAnsi="Calibri"/>
                <w:color w:val="auto"/>
                <w:sz w:val="24"/>
                <w:szCs w:val="24"/>
                <w:highlight w:val="none"/>
              </w:rPr>
              <w:t xml:space="preserve"> </w:t>
            </w:r>
          </w:p>
        </w:tc>
        <w:tc>
          <w:tcPr>
            <w:tcW w:w="4334" w:type="dxa"/>
          </w:tcPr>
          <w:p>
            <w:pPr>
              <w:ind w:left="315" w:leftChars="150"/>
              <w:rPr>
                <w:rFonts w:ascii="Calibri" w:hAnsi="Calibri"/>
                <w:b/>
                <w:bCs/>
                <w:color w:val="auto"/>
                <w:sz w:val="24"/>
                <w:szCs w:val="24"/>
                <w:highlight w:val="none"/>
              </w:rPr>
            </w:pPr>
          </w:p>
          <w:p>
            <w:pPr>
              <w:rPr>
                <w:rFonts w:ascii="Calibri" w:hAnsi="Calibri"/>
                <w:color w:val="auto"/>
                <w:sz w:val="24"/>
                <w:szCs w:val="24"/>
                <w:highlight w:val="none"/>
              </w:rPr>
            </w:pPr>
            <w:r>
              <w:rPr>
                <w:rFonts w:hint="eastAsia" w:ascii="Calibri" w:hAnsi="宋体"/>
                <w:color w:val="auto"/>
                <w:sz w:val="24"/>
                <w:szCs w:val="24"/>
                <w:highlight w:val="none"/>
              </w:rPr>
              <w:t>联系人：</w:t>
            </w:r>
            <w:r>
              <w:rPr>
                <w:rFonts w:ascii="Calibri" w:hAnsi="Calibri"/>
                <w:color w:val="auto"/>
                <w:sz w:val="24"/>
                <w:szCs w:val="24"/>
                <w:highlight w:val="none"/>
              </w:rPr>
              <w:t xml:space="preserve">          </w:t>
            </w:r>
          </w:p>
          <w:p>
            <w:pPr>
              <w:ind w:left="315" w:leftChars="150"/>
              <w:rPr>
                <w:rFonts w:ascii="Calibri" w:hAnsi="Calibri"/>
                <w:b/>
                <w:bCs/>
                <w:color w:val="auto"/>
                <w:sz w:val="24"/>
                <w:szCs w:val="24"/>
                <w:highlight w:val="none"/>
              </w:rPr>
            </w:pPr>
          </w:p>
          <w:p>
            <w:pPr>
              <w:rPr>
                <w:rFonts w:ascii="宋体" w:hAnsi="宋体" w:cs="宋体"/>
                <w:b/>
                <w:bCs/>
                <w:color w:val="auto"/>
                <w:sz w:val="24"/>
                <w:szCs w:val="24"/>
                <w:highlight w:val="none"/>
              </w:rPr>
            </w:pPr>
            <w:r>
              <w:rPr>
                <w:rFonts w:hint="eastAsia" w:ascii="宋体" w:hAnsi="宋体" w:cs="宋体"/>
                <w:color w:val="auto"/>
                <w:sz w:val="24"/>
                <w:szCs w:val="24"/>
                <w:highlight w:val="none"/>
              </w:rPr>
              <w:t xml:space="preserve">电话：              </w:t>
            </w: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t xml:space="preserve">传真：         </w:t>
            </w:r>
          </w:p>
          <w:p>
            <w:pPr>
              <w:ind w:left="315" w:leftChars="150"/>
              <w:rPr>
                <w:rFonts w:ascii="Calibri" w:hAnsi="Calibri"/>
                <w:color w:val="auto"/>
                <w:sz w:val="24"/>
                <w:szCs w:val="24"/>
                <w:highlight w:val="none"/>
              </w:rPr>
            </w:pPr>
            <w:r>
              <w:rPr>
                <w:rFonts w:hint="eastAsia" w:ascii="宋体" w:hAnsi="宋体" w:cs="宋体"/>
                <w:color w:val="auto"/>
                <w:sz w:val="24"/>
                <w:szCs w:val="24"/>
                <w:highlight w:val="none"/>
              </w:rPr>
              <w:t xml:space="preserve">    </w:t>
            </w:r>
          </w:p>
        </w:tc>
      </w:tr>
    </w:tbl>
    <w:p>
      <w:pPr>
        <w:adjustRightInd w:val="0"/>
        <w:snapToGrid w:val="0"/>
        <w:spacing w:line="480" w:lineRule="auto"/>
        <w:rPr>
          <w:rFonts w:ascii="Calibri" w:hAnsi="宋体"/>
          <w:color w:val="auto"/>
          <w:sz w:val="24"/>
          <w:szCs w:val="24"/>
          <w:highlight w:val="none"/>
        </w:rPr>
      </w:pPr>
    </w:p>
    <w:tbl>
      <w:tblPr>
        <w:tblStyle w:val="9"/>
        <w:tblW w:w="4233" w:type="dxa"/>
        <w:tblInd w:w="-139" w:type="dxa"/>
        <w:tblLayout w:type="fixed"/>
        <w:tblCellMar>
          <w:top w:w="0" w:type="dxa"/>
          <w:left w:w="108" w:type="dxa"/>
          <w:bottom w:w="0" w:type="dxa"/>
          <w:right w:w="108" w:type="dxa"/>
        </w:tblCellMar>
      </w:tblPr>
      <w:tblGrid>
        <w:gridCol w:w="4233"/>
      </w:tblGrid>
      <w:tr>
        <w:tblPrEx>
          <w:tblCellMar>
            <w:top w:w="0" w:type="dxa"/>
            <w:left w:w="108" w:type="dxa"/>
            <w:bottom w:w="0" w:type="dxa"/>
            <w:right w:w="108" w:type="dxa"/>
          </w:tblCellMar>
        </w:tblPrEx>
        <w:trPr>
          <w:trHeight w:val="654" w:hRule="atLeast"/>
        </w:trPr>
        <w:tc>
          <w:tcPr>
            <w:tcW w:w="4233" w:type="dxa"/>
            <w:vAlign w:val="center"/>
          </w:tcPr>
          <w:p>
            <w:pPr>
              <w:rPr>
                <w:rFonts w:ascii="Calibri" w:hAnsi="宋体"/>
                <w:color w:val="auto"/>
                <w:sz w:val="24"/>
                <w:szCs w:val="24"/>
                <w:highlight w:val="none"/>
              </w:rPr>
            </w:pPr>
            <w:r>
              <w:rPr>
                <w:rFonts w:hint="eastAsia" w:ascii="Calibri" w:hAnsi="宋体"/>
                <w:color w:val="auto"/>
                <w:sz w:val="24"/>
                <w:szCs w:val="24"/>
                <w:highlight w:val="none"/>
              </w:rPr>
              <w:t>受托方：（盖章）</w:t>
            </w:r>
          </w:p>
        </w:tc>
      </w:tr>
      <w:tr>
        <w:tblPrEx>
          <w:tblCellMar>
            <w:top w:w="0" w:type="dxa"/>
            <w:left w:w="108" w:type="dxa"/>
            <w:bottom w:w="0" w:type="dxa"/>
            <w:right w:w="108" w:type="dxa"/>
          </w:tblCellMar>
        </w:tblPrEx>
        <w:tc>
          <w:tcPr>
            <w:tcW w:w="4233" w:type="dxa"/>
          </w:tcPr>
          <w:p>
            <w:pPr>
              <w:rPr>
                <w:color w:val="auto"/>
                <w:sz w:val="24"/>
                <w:szCs w:val="24"/>
                <w:highlight w:val="none"/>
              </w:rPr>
            </w:pPr>
          </w:p>
          <w:p>
            <w:pPr>
              <w:rPr>
                <w:rFonts w:ascii="Calibri" w:hAnsi="宋体"/>
                <w:color w:val="auto"/>
                <w:sz w:val="24"/>
                <w:szCs w:val="24"/>
                <w:highlight w:val="none"/>
              </w:rPr>
            </w:pPr>
            <w:r>
              <w:rPr>
                <w:rFonts w:hint="eastAsia" w:ascii="Calibri" w:hAnsi="宋体"/>
                <w:color w:val="auto"/>
                <w:sz w:val="24"/>
                <w:szCs w:val="24"/>
                <w:highlight w:val="none"/>
              </w:rPr>
              <w:t>文书送达地址：</w:t>
            </w:r>
          </w:p>
          <w:p>
            <w:pPr>
              <w:rPr>
                <w:rFonts w:ascii="Calibri" w:hAnsi="Calibri"/>
                <w:color w:val="auto"/>
                <w:sz w:val="24"/>
                <w:szCs w:val="24"/>
                <w:highlight w:val="none"/>
              </w:rPr>
            </w:pPr>
            <w:r>
              <w:rPr>
                <w:rFonts w:ascii="Calibri" w:hAnsi="Calibri"/>
                <w:color w:val="auto"/>
                <w:sz w:val="24"/>
                <w:szCs w:val="24"/>
                <w:highlight w:val="none"/>
              </w:rPr>
              <w:t xml:space="preserve"> </w:t>
            </w:r>
          </w:p>
          <w:p>
            <w:pPr>
              <w:rPr>
                <w:rFonts w:ascii="Calibri" w:hAnsi="Calibri"/>
                <w:color w:val="auto"/>
                <w:sz w:val="24"/>
                <w:szCs w:val="24"/>
                <w:highlight w:val="none"/>
              </w:rPr>
            </w:pPr>
            <w:r>
              <w:rPr>
                <w:rFonts w:hint="eastAsia" w:ascii="Calibri" w:hAnsi="宋体"/>
                <w:color w:val="auto"/>
                <w:sz w:val="24"/>
                <w:szCs w:val="24"/>
                <w:highlight w:val="none"/>
              </w:rPr>
              <w:t>法定代表人</w:t>
            </w:r>
            <w:r>
              <w:rPr>
                <w:rFonts w:ascii="Calibri" w:hAnsi="Calibri"/>
                <w:color w:val="auto"/>
                <w:sz w:val="24"/>
                <w:szCs w:val="24"/>
                <w:highlight w:val="none"/>
              </w:rPr>
              <w:t>/</w:t>
            </w:r>
            <w:r>
              <w:rPr>
                <w:rFonts w:hint="eastAsia" w:ascii="Calibri" w:hAnsi="宋体"/>
                <w:color w:val="auto"/>
                <w:sz w:val="24"/>
                <w:szCs w:val="24"/>
                <w:highlight w:val="none"/>
              </w:rPr>
              <w:t>委托代理人：</w:t>
            </w:r>
          </w:p>
          <w:p>
            <w:pPr>
              <w:rPr>
                <w:rFonts w:ascii="Calibri" w:hAnsi="Calibri"/>
                <w:color w:val="auto"/>
                <w:sz w:val="24"/>
                <w:szCs w:val="24"/>
                <w:highlight w:val="none"/>
              </w:rPr>
            </w:pPr>
            <w:r>
              <w:rPr>
                <w:rFonts w:hint="eastAsia" w:ascii="Calibri" w:hAnsi="宋体"/>
                <w:color w:val="auto"/>
                <w:sz w:val="24"/>
                <w:szCs w:val="24"/>
                <w:highlight w:val="none"/>
              </w:rPr>
              <w:t>（签字或盖章）</w:t>
            </w:r>
          </w:p>
        </w:tc>
      </w:tr>
      <w:tr>
        <w:tblPrEx>
          <w:tblCellMar>
            <w:top w:w="0" w:type="dxa"/>
            <w:left w:w="108" w:type="dxa"/>
            <w:bottom w:w="0" w:type="dxa"/>
            <w:right w:w="108" w:type="dxa"/>
          </w:tblCellMar>
        </w:tblPrEx>
        <w:trPr>
          <w:trHeight w:val="2084" w:hRule="atLeast"/>
        </w:trPr>
        <w:tc>
          <w:tcPr>
            <w:tcW w:w="4233" w:type="dxa"/>
          </w:tcPr>
          <w:p>
            <w:pPr>
              <w:rPr>
                <w:rFonts w:ascii="Calibri" w:hAnsi="Calibri"/>
                <w:color w:val="auto"/>
                <w:sz w:val="24"/>
                <w:szCs w:val="24"/>
                <w:highlight w:val="none"/>
              </w:rPr>
            </w:pPr>
          </w:p>
          <w:p>
            <w:pPr>
              <w:rPr>
                <w:rFonts w:ascii="Calibri" w:hAnsi="Calibri"/>
                <w:color w:val="auto"/>
                <w:sz w:val="24"/>
                <w:szCs w:val="24"/>
                <w:highlight w:val="none"/>
              </w:rPr>
            </w:pPr>
            <w:r>
              <w:rPr>
                <w:rFonts w:hint="eastAsia" w:ascii="Calibri" w:hAnsi="宋体"/>
                <w:color w:val="auto"/>
                <w:sz w:val="24"/>
                <w:szCs w:val="24"/>
                <w:highlight w:val="none"/>
              </w:rPr>
              <w:t>联系人：</w:t>
            </w:r>
            <w:r>
              <w:rPr>
                <w:rFonts w:ascii="Calibri" w:hAnsi="Calibri"/>
                <w:color w:val="auto"/>
                <w:sz w:val="24"/>
                <w:szCs w:val="24"/>
                <w:highlight w:val="none"/>
              </w:rPr>
              <w:t xml:space="preserve"> </w:t>
            </w:r>
          </w:p>
          <w:p>
            <w:pPr>
              <w:rPr>
                <w:rFonts w:ascii="Calibri" w:hAnsi="Calibri"/>
                <w:color w:val="auto"/>
                <w:sz w:val="24"/>
                <w:szCs w:val="24"/>
                <w:highlight w:val="none"/>
              </w:rPr>
            </w:pPr>
          </w:p>
          <w:p>
            <w:pPr>
              <w:rPr>
                <w:rFonts w:ascii="Calibri" w:hAnsi="Calibri"/>
                <w:color w:val="auto"/>
                <w:sz w:val="24"/>
                <w:szCs w:val="24"/>
                <w:highlight w:val="none"/>
              </w:rPr>
            </w:pPr>
            <w:r>
              <w:rPr>
                <w:rFonts w:hint="eastAsia" w:ascii="Calibri" w:hAnsi="宋体"/>
                <w:color w:val="auto"/>
                <w:sz w:val="24"/>
                <w:szCs w:val="24"/>
                <w:highlight w:val="none"/>
              </w:rPr>
              <w:t>电话：</w:t>
            </w:r>
            <w:r>
              <w:rPr>
                <w:rFonts w:hint="eastAsia" w:ascii="Calibri" w:hAnsi="Calibri"/>
                <w:color w:val="auto"/>
                <w:sz w:val="24"/>
                <w:szCs w:val="24"/>
                <w:highlight w:val="none"/>
              </w:rPr>
              <w:t xml:space="preserve"> </w:t>
            </w:r>
          </w:p>
          <w:p>
            <w:pPr>
              <w:rPr>
                <w:rFonts w:ascii="Calibri" w:hAnsi="Calibri"/>
                <w:color w:val="auto"/>
                <w:sz w:val="24"/>
                <w:szCs w:val="24"/>
                <w:highlight w:val="none"/>
              </w:rPr>
            </w:pPr>
          </w:p>
          <w:p>
            <w:pPr>
              <w:rPr>
                <w:rFonts w:ascii="Calibri" w:hAnsi="Calibri"/>
                <w:color w:val="auto"/>
                <w:sz w:val="24"/>
                <w:szCs w:val="24"/>
                <w:highlight w:val="none"/>
              </w:rPr>
            </w:pPr>
            <w:r>
              <w:rPr>
                <w:rFonts w:hint="eastAsia" w:ascii="Calibri" w:hAnsi="宋体"/>
                <w:color w:val="auto"/>
                <w:sz w:val="24"/>
                <w:szCs w:val="24"/>
                <w:highlight w:val="none"/>
              </w:rPr>
              <w:t>传真：</w:t>
            </w:r>
            <w:r>
              <w:rPr>
                <w:rFonts w:hint="eastAsia" w:ascii="Calibri" w:hAnsi="Calibri"/>
                <w:color w:val="auto"/>
                <w:sz w:val="24"/>
                <w:szCs w:val="24"/>
                <w:highlight w:val="none"/>
              </w:rPr>
              <w:t xml:space="preserve"> </w:t>
            </w:r>
          </w:p>
        </w:tc>
      </w:tr>
      <w:tr>
        <w:tblPrEx>
          <w:tblCellMar>
            <w:top w:w="0" w:type="dxa"/>
            <w:left w:w="108" w:type="dxa"/>
            <w:bottom w:w="0" w:type="dxa"/>
            <w:right w:w="108" w:type="dxa"/>
          </w:tblCellMar>
        </w:tblPrEx>
        <w:trPr>
          <w:trHeight w:val="2084" w:hRule="atLeast"/>
        </w:trPr>
        <w:tc>
          <w:tcPr>
            <w:tcW w:w="4233" w:type="dxa"/>
          </w:tcPr>
          <w:p>
            <w:pPr>
              <w:rPr>
                <w:rFonts w:ascii="Calibri" w:hAnsi="Calibri"/>
                <w:color w:val="auto"/>
                <w:sz w:val="24"/>
                <w:szCs w:val="24"/>
                <w:highlight w:val="none"/>
              </w:rPr>
            </w:pPr>
          </w:p>
          <w:p>
            <w:pPr>
              <w:pStyle w:val="2"/>
              <w:rPr>
                <w:color w:val="auto"/>
                <w:sz w:val="24"/>
                <w:szCs w:val="24"/>
                <w:highlight w:val="none"/>
              </w:rPr>
            </w:pPr>
          </w:p>
          <w:p>
            <w:pPr>
              <w:rPr>
                <w:color w:val="auto"/>
                <w:sz w:val="24"/>
                <w:szCs w:val="24"/>
                <w:highlight w:val="none"/>
              </w:rPr>
            </w:pPr>
            <w:r>
              <w:rPr>
                <w:rFonts w:hint="eastAsia"/>
                <w:color w:val="auto"/>
                <w:sz w:val="24"/>
                <w:szCs w:val="24"/>
                <w:highlight w:val="none"/>
              </w:rPr>
              <w:t xml:space="preserve">合同签订日期： </w:t>
            </w:r>
            <w:r>
              <w:rPr>
                <w:color w:val="auto"/>
                <w:sz w:val="24"/>
                <w:szCs w:val="24"/>
                <w:highlight w:val="none"/>
              </w:rPr>
              <w:t xml:space="preserve">    </w:t>
            </w:r>
            <w:r>
              <w:rPr>
                <w:rFonts w:hint="eastAsia"/>
                <w:color w:val="auto"/>
                <w:sz w:val="24"/>
                <w:szCs w:val="24"/>
                <w:highlight w:val="none"/>
              </w:rPr>
              <w:t xml:space="preserve">年 </w:t>
            </w:r>
            <w:r>
              <w:rPr>
                <w:color w:val="auto"/>
                <w:sz w:val="24"/>
                <w:szCs w:val="24"/>
                <w:highlight w:val="none"/>
              </w:rPr>
              <w:t xml:space="preserve">  </w:t>
            </w:r>
            <w:r>
              <w:rPr>
                <w:rFonts w:hint="eastAsia"/>
                <w:color w:val="auto"/>
                <w:sz w:val="24"/>
                <w:szCs w:val="24"/>
                <w:highlight w:val="none"/>
              </w:rPr>
              <w:t xml:space="preserve">月 </w:t>
            </w:r>
            <w:r>
              <w:rPr>
                <w:color w:val="auto"/>
                <w:sz w:val="24"/>
                <w:szCs w:val="24"/>
                <w:highlight w:val="none"/>
              </w:rPr>
              <w:t xml:space="preserve">  </w:t>
            </w:r>
            <w:r>
              <w:rPr>
                <w:rFonts w:hint="eastAsia"/>
                <w:color w:val="auto"/>
                <w:sz w:val="24"/>
                <w:szCs w:val="24"/>
                <w:highlight w:val="none"/>
              </w:rPr>
              <w:t>日</w:t>
            </w:r>
          </w:p>
        </w:tc>
      </w:tr>
    </w:tbl>
    <w:p>
      <w:pPr>
        <w:outlineLvl w:val="0"/>
        <w:rPr>
          <w:rFonts w:ascii="宋体" w:hAnsi="宋体" w:cs="宋体"/>
          <w:color w:val="auto"/>
          <w:sz w:val="24"/>
          <w:highlight w:val="none"/>
        </w:rPr>
      </w:pPr>
      <w:r>
        <w:rPr>
          <w:rFonts w:ascii="Calibri" w:hAnsi="Calibri"/>
          <w:color w:val="auto"/>
          <w:sz w:val="28"/>
          <w:szCs w:val="28"/>
          <w:highlight w:val="none"/>
        </w:rPr>
        <w:br w:type="page"/>
      </w:r>
      <w:r>
        <w:rPr>
          <w:rFonts w:hint="eastAsia" w:ascii="宋体" w:hAnsi="宋体" w:cs="宋体"/>
          <w:color w:val="auto"/>
          <w:sz w:val="24"/>
          <w:highlight w:val="none"/>
        </w:rPr>
        <w:t xml:space="preserve">附件1：南沙区建设工程项目廉洁责任合同 </w:t>
      </w:r>
    </w:p>
    <w:p>
      <w:pPr>
        <w:spacing w:line="440" w:lineRule="exact"/>
        <w:rPr>
          <w:rFonts w:ascii="宋体" w:hAnsi="宋体" w:cs="宋体"/>
          <w:color w:val="auto"/>
          <w:sz w:val="24"/>
          <w:highlight w:val="none"/>
        </w:rPr>
      </w:pPr>
    </w:p>
    <w:p>
      <w:pPr>
        <w:spacing w:line="560" w:lineRule="exact"/>
        <w:jc w:val="center"/>
        <w:rPr>
          <w:rFonts w:eastAsia="方正小标宋简体"/>
          <w:bCs/>
          <w:color w:val="auto"/>
          <w:sz w:val="36"/>
          <w:szCs w:val="36"/>
          <w:highlight w:val="none"/>
        </w:rPr>
      </w:pPr>
      <w:r>
        <w:rPr>
          <w:rFonts w:eastAsia="方正小标宋简体"/>
          <w:bCs/>
          <w:color w:val="auto"/>
          <w:sz w:val="36"/>
          <w:szCs w:val="36"/>
          <w:highlight w:val="none"/>
        </w:rPr>
        <w:t>南沙区建设工程项目廉洁责任合同</w:t>
      </w:r>
    </w:p>
    <w:p>
      <w:pPr>
        <w:spacing w:line="560" w:lineRule="exact"/>
        <w:rPr>
          <w:rFonts w:eastAsia="仿宋_GB2312"/>
          <w:color w:val="auto"/>
          <w:sz w:val="24"/>
          <w:szCs w:val="24"/>
          <w:highlight w:val="none"/>
        </w:rPr>
      </w:pPr>
    </w:p>
    <w:p>
      <w:pPr>
        <w:spacing w:line="560" w:lineRule="exact"/>
        <w:rPr>
          <w:rFonts w:eastAsia="仿宋_GB2312"/>
          <w:color w:val="auto"/>
          <w:sz w:val="24"/>
          <w:szCs w:val="24"/>
          <w:highlight w:val="none"/>
          <w:u w:val="single"/>
        </w:rPr>
      </w:pPr>
      <w:r>
        <w:rPr>
          <w:rFonts w:eastAsia="仿宋_GB2312"/>
          <w:color w:val="auto"/>
          <w:sz w:val="24"/>
          <w:szCs w:val="24"/>
          <w:highlight w:val="none"/>
        </w:rPr>
        <w:t>发包人（委托人）：</w:t>
      </w:r>
      <w:r>
        <w:rPr>
          <w:rFonts w:hint="eastAsia" w:eastAsia="仿宋_GB2312"/>
          <w:color w:val="auto"/>
          <w:sz w:val="24"/>
          <w:szCs w:val="24"/>
          <w:highlight w:val="none"/>
          <w:u w:val="single"/>
        </w:rPr>
        <w:t xml:space="preserve"> 广州南沙期金产业园投资有限公司</w:t>
      </w:r>
    </w:p>
    <w:p>
      <w:pPr>
        <w:spacing w:line="560" w:lineRule="exact"/>
        <w:ind w:firstLine="2160" w:firstLineChars="900"/>
        <w:rPr>
          <w:rFonts w:eastAsia="仿宋_GB2312"/>
          <w:color w:val="auto"/>
          <w:sz w:val="24"/>
          <w:szCs w:val="24"/>
          <w:highlight w:val="none"/>
        </w:rPr>
      </w:pPr>
      <w:r>
        <w:rPr>
          <w:rFonts w:hint="eastAsia" w:eastAsia="仿宋_GB2312"/>
          <w:color w:val="auto"/>
          <w:sz w:val="24"/>
          <w:szCs w:val="24"/>
          <w:highlight w:val="none"/>
          <w:u w:val="single"/>
        </w:rPr>
        <w:t>广州南投房地产开发有限公司</w:t>
      </w:r>
      <w:r>
        <w:rPr>
          <w:rFonts w:eastAsia="仿宋_GB2312"/>
          <w:color w:val="auto"/>
          <w:sz w:val="24"/>
          <w:szCs w:val="24"/>
          <w:highlight w:val="none"/>
          <w:u w:val="single"/>
        </w:rPr>
        <w:t xml:space="preserve">     </w:t>
      </w:r>
      <w:r>
        <w:rPr>
          <w:rFonts w:eastAsia="仿宋_GB2312"/>
          <w:color w:val="auto"/>
          <w:sz w:val="24"/>
          <w:szCs w:val="24"/>
          <w:highlight w:val="none"/>
        </w:rPr>
        <w:t xml:space="preserve"> </w:t>
      </w:r>
    </w:p>
    <w:p>
      <w:pPr>
        <w:spacing w:line="560" w:lineRule="exact"/>
        <w:rPr>
          <w:rFonts w:eastAsia="仿宋_GB2312"/>
          <w:color w:val="auto"/>
          <w:sz w:val="24"/>
          <w:szCs w:val="24"/>
          <w:highlight w:val="none"/>
          <w:u w:val="single"/>
        </w:rPr>
      </w:pPr>
      <w:r>
        <w:rPr>
          <w:rFonts w:eastAsia="仿宋_GB2312"/>
          <w:color w:val="auto"/>
          <w:sz w:val="24"/>
          <w:szCs w:val="24"/>
          <w:highlight w:val="none"/>
        </w:rPr>
        <w:t>承包人（受托人）：</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p>
    <w:p>
      <w:pPr>
        <w:spacing w:line="560" w:lineRule="exact"/>
        <w:rPr>
          <w:rFonts w:eastAsia="仿宋_GB2312"/>
          <w:color w:val="auto"/>
          <w:sz w:val="24"/>
          <w:szCs w:val="24"/>
          <w:highlight w:val="none"/>
          <w:u w:val="single"/>
        </w:rPr>
      </w:pPr>
      <w:r>
        <w:rPr>
          <w:rFonts w:eastAsia="仿宋_GB2312"/>
          <w:color w:val="auto"/>
          <w:sz w:val="24"/>
          <w:szCs w:val="24"/>
          <w:highlight w:val="none"/>
        </w:rPr>
        <w:t>建设工程项目：</w:t>
      </w:r>
      <w:r>
        <w:rPr>
          <w:rFonts w:hint="eastAsia" w:eastAsia="仿宋_GB2312"/>
          <w:color w:val="auto"/>
          <w:sz w:val="24"/>
          <w:szCs w:val="24"/>
          <w:highlight w:val="none"/>
          <w:u w:val="single"/>
        </w:rPr>
        <w:t xml:space="preserve"> 南沙期货金融大数据产业园（横沥）项目基坑支护工程第三方检测、监测服务</w:t>
      </w:r>
      <w:r>
        <w:rPr>
          <w:rFonts w:eastAsia="仿宋_GB2312"/>
          <w:color w:val="auto"/>
          <w:sz w:val="24"/>
          <w:szCs w:val="24"/>
          <w:highlight w:val="none"/>
          <w:u w:val="single"/>
        </w:rPr>
        <w:t xml:space="preserve"> </w:t>
      </w:r>
    </w:p>
    <w:p>
      <w:pPr>
        <w:spacing w:line="560" w:lineRule="exact"/>
        <w:rPr>
          <w:rFonts w:eastAsia="仿宋_GB2312"/>
          <w:color w:val="auto"/>
          <w:sz w:val="24"/>
          <w:szCs w:val="24"/>
          <w:highlight w:val="none"/>
          <w:u w:val="single"/>
        </w:rPr>
      </w:pPr>
      <w:r>
        <w:rPr>
          <w:rFonts w:eastAsia="仿宋_GB2312"/>
          <w:color w:val="auto"/>
          <w:sz w:val="24"/>
          <w:szCs w:val="24"/>
          <w:highlight w:val="none"/>
        </w:rPr>
        <w:t>建设工程地点：</w:t>
      </w:r>
      <w:r>
        <w:rPr>
          <w:rFonts w:eastAsia="仿宋_GB2312"/>
          <w:color w:val="auto"/>
          <w:sz w:val="24"/>
          <w:szCs w:val="24"/>
          <w:highlight w:val="none"/>
          <w:u w:val="single"/>
        </w:rPr>
        <w:t>广州市南沙区</w:t>
      </w:r>
    </w:p>
    <w:p>
      <w:pPr>
        <w:spacing w:line="560" w:lineRule="exact"/>
        <w:ind w:firstLine="600" w:firstLineChars="250"/>
        <w:rPr>
          <w:rFonts w:eastAsia="仿宋_GB2312"/>
          <w:color w:val="auto"/>
          <w:sz w:val="24"/>
          <w:szCs w:val="24"/>
          <w:highlight w:val="none"/>
        </w:rPr>
      </w:pP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为贯彻落实国家、省、市有关廉洁规定，深化廉洁南沙自贸试验区建设，加强工程建设领域廉洁风险防控，构建亲清政商关系，营造风清气正的市场环境，根据《中华人民共和国反不正当竞争法》《中华人民共和国招标投标法》及其实施条例等法律法规及政策的规定，双方同意签订本合同。</w:t>
      </w:r>
    </w:p>
    <w:p>
      <w:pPr>
        <w:spacing w:line="560" w:lineRule="exact"/>
        <w:ind w:firstLine="482" w:firstLineChars="200"/>
        <w:rPr>
          <w:rFonts w:eastAsia="仿宋_GB2312"/>
          <w:b/>
          <w:color w:val="auto"/>
          <w:sz w:val="24"/>
          <w:szCs w:val="24"/>
          <w:highlight w:val="none"/>
        </w:rPr>
      </w:pPr>
      <w:r>
        <w:rPr>
          <w:rFonts w:eastAsia="仿宋_GB2312"/>
          <w:b/>
          <w:color w:val="auto"/>
          <w:sz w:val="24"/>
          <w:szCs w:val="24"/>
          <w:highlight w:val="none"/>
        </w:rPr>
        <w:t>第一条  本合同适用于南沙区政府财政资金和国有资金占控股或主导地位的公开招标类建设工程项目，涵盖工程施工类及服务类合同。辖区范围内其他工程项目可参照执行。</w:t>
      </w:r>
    </w:p>
    <w:p>
      <w:pPr>
        <w:spacing w:line="560" w:lineRule="exact"/>
        <w:ind w:firstLine="482" w:firstLineChars="200"/>
        <w:rPr>
          <w:rFonts w:eastAsia="仿宋_GB2312"/>
          <w:b/>
          <w:color w:val="auto"/>
          <w:sz w:val="24"/>
          <w:szCs w:val="24"/>
          <w:highlight w:val="none"/>
        </w:rPr>
      </w:pPr>
      <w:r>
        <w:rPr>
          <w:rFonts w:eastAsia="仿宋_GB2312"/>
          <w:b/>
          <w:color w:val="auto"/>
          <w:sz w:val="24"/>
          <w:szCs w:val="24"/>
          <w:highlight w:val="none"/>
        </w:rPr>
        <w:t>第二条  发包人及其工作人员不得利用项目或职权为本人及亲属谋取不正当利益，包括下列行为：</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2.1  索取、接受或者以借为名占用承包人的财物，包括但不限于任何形式的礼品礼金、好处费、回扣、各种有价证券、购物卡及其他支付凭证、房产、车辆、贵重物品等；</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2.2  接受承包人宴请（工作餐除外）及旅游、健身、娱乐等活动安排；</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2.3  向承包人报销任何应由自身承担、支付的费用；</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2.4  向承包人推荐分包人，推销材料和设备，要求承包人购买指定的材料和设备；</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2.5  私自为建设工程安排施工队伍，从事与建设工程有关的各种有偿中介服务；</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2.6  要求或者暗示承包人为本人或亲属的工作安排、职务晋升、经商办企业、出国出境、旅游、留学、探亲、定居等提供资助或便利；</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2.7  默许、纵容、授意亲属收受承包人财物，或从事与建设工程有关的材料和设备供应、工程分包、劳务等经济活动；</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2.8  其他利用项目或职权谋取不正当利益的行为。</w:t>
      </w:r>
    </w:p>
    <w:p>
      <w:pPr>
        <w:spacing w:line="560" w:lineRule="exact"/>
        <w:ind w:firstLine="482" w:firstLineChars="200"/>
        <w:rPr>
          <w:rFonts w:eastAsia="仿宋_GB2312"/>
          <w:b/>
          <w:color w:val="auto"/>
          <w:sz w:val="24"/>
          <w:szCs w:val="24"/>
          <w:highlight w:val="none"/>
        </w:rPr>
      </w:pPr>
      <w:r>
        <w:rPr>
          <w:rFonts w:eastAsia="仿宋_GB2312"/>
          <w:b/>
          <w:color w:val="auto"/>
          <w:sz w:val="24"/>
          <w:szCs w:val="24"/>
          <w:highlight w:val="none"/>
        </w:rPr>
        <w:t>第三条  承包人及其工作人员不得通过商业贿赂等不正当手段谋取利益，包括下列行为：</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3.1  同意或主动向发包人及其工作人员提供第二条约定的禁止性行为；</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3.2  向与建设工程相关的代建、施工、监理（项目管理）、勘察、设计、咨询等有关单位及其工作人员进行商业贿赂，包括但不限于任何形式的礼品礼金、有价证券、购物卡、回扣、佣金、咨询费、劳务费、赞助费、宣传费，以及支付旅游费用、报销各种消费凭证等。</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3.3  接受与建设工程相关的代建、施工、监理（项目管理）、勘察、设计、咨询等有关单位及其工作人员的商业贿赂。</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3.4  接受分包（工程分包、劳务分包等）单位、材料设备供应单位等单位及其工作人员的商业贿赂。</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3.5  其他通过不正当手段谋取利益的行为。</w:t>
      </w:r>
    </w:p>
    <w:p>
      <w:pPr>
        <w:spacing w:line="560" w:lineRule="exact"/>
        <w:ind w:firstLine="482" w:firstLineChars="200"/>
        <w:rPr>
          <w:rFonts w:eastAsia="仿宋_GB2312"/>
          <w:b/>
          <w:color w:val="auto"/>
          <w:sz w:val="24"/>
          <w:szCs w:val="24"/>
          <w:highlight w:val="none"/>
        </w:rPr>
      </w:pPr>
      <w:r>
        <w:rPr>
          <w:rFonts w:eastAsia="仿宋_GB2312"/>
          <w:b/>
          <w:color w:val="auto"/>
          <w:sz w:val="24"/>
          <w:szCs w:val="24"/>
          <w:highlight w:val="none"/>
        </w:rPr>
        <w:t>第四条  发包人、承包人及双方工作人员不得违规干预或插手建设工程招投标活动，禁止串通投标（围标）等不正当竞争行为。</w:t>
      </w:r>
    </w:p>
    <w:p>
      <w:pPr>
        <w:spacing w:line="560" w:lineRule="exact"/>
        <w:ind w:firstLine="482" w:firstLineChars="200"/>
        <w:rPr>
          <w:rFonts w:eastAsia="仿宋_GB2312"/>
          <w:b/>
          <w:color w:val="auto"/>
          <w:sz w:val="24"/>
          <w:szCs w:val="24"/>
          <w:highlight w:val="none"/>
        </w:rPr>
      </w:pPr>
      <w:r>
        <w:rPr>
          <w:rFonts w:eastAsia="仿宋_GB2312"/>
          <w:b/>
          <w:color w:val="auto"/>
          <w:sz w:val="24"/>
          <w:szCs w:val="24"/>
          <w:highlight w:val="none"/>
        </w:rPr>
        <w:t>第五条  廉洁风险防控机制</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发包人、承包人双方均有义务建立健全廉洁风险防控机制，排查、梳理建设工程业务流程及关键工作岗位涉及的廉洁风险点，有针对性地逐项制定防控措施，加强对单位工作人员的廉洁教育，预警在先、防范在前，风险定到岗、制度建到位、责任落到人。发现对方在业务活动中有违反廉洁规定的行为，应及时给予提醒和纠正。</w:t>
      </w:r>
    </w:p>
    <w:p>
      <w:pPr>
        <w:spacing w:line="560" w:lineRule="exact"/>
        <w:ind w:firstLine="482" w:firstLineChars="200"/>
        <w:rPr>
          <w:rFonts w:eastAsia="仿宋_GB2312"/>
          <w:b/>
          <w:color w:val="auto"/>
          <w:sz w:val="24"/>
          <w:szCs w:val="24"/>
          <w:highlight w:val="none"/>
        </w:rPr>
      </w:pPr>
      <w:r>
        <w:rPr>
          <w:rFonts w:eastAsia="仿宋_GB2312"/>
          <w:b/>
          <w:color w:val="auto"/>
          <w:sz w:val="24"/>
          <w:szCs w:val="24"/>
          <w:highlight w:val="none"/>
        </w:rPr>
        <w:t>第六条  廉洁违约责任</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6.1 发包人及其工作人员违反本合同第二条和第四条规定，相关责任人应受到相应的党纪政务（纪）处分，涉嫌犯罪的，移送司法机关依法处理；给承包人造成经济损失的，应承担相应的赔偿责任。</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6.2  承包人</w:t>
      </w:r>
      <w:r>
        <w:rPr>
          <w:rFonts w:eastAsia="仿宋_GB2312"/>
          <w:bCs/>
          <w:color w:val="auto"/>
          <w:sz w:val="24"/>
          <w:szCs w:val="24"/>
          <w:highlight w:val="none"/>
        </w:rPr>
        <w:t>及其工作人员</w:t>
      </w:r>
      <w:r>
        <w:rPr>
          <w:rFonts w:eastAsia="仿宋_GB2312"/>
          <w:color w:val="auto"/>
          <w:sz w:val="24"/>
          <w:szCs w:val="24"/>
          <w:highlight w:val="none"/>
        </w:rPr>
        <w:t>违反本合同第三条和第四条规定，经有关主管部门查证属实或者经纪检监察机关认定违纪、经司法机关依法确定构成违法犯罪的，承包人应按次向发包人支付廉洁违约金（施工类建设项目合同价款2%且不超过100万元人民币，服务类建设项目合同价款5%且不超过50万元人民币）；给发包人造成经济损失的，还应承担相应的赔偿责任。同时，发包人有权：（1）如承包人的行为严重影响合同的履行或者严重干扰市场公平竞争营商环境，可单方解除主合同；（2）将承包人的履约评价评为不合格，并拒绝其参与发包人负责实施项目的投标或摇珠；（3）将有关情况报相关主管部门记录，作为企业诚信评分考核，建议给予通报并向社会进行公示。</w:t>
      </w:r>
    </w:p>
    <w:p>
      <w:pPr>
        <w:spacing w:line="560" w:lineRule="exact"/>
        <w:ind w:firstLine="482" w:firstLineChars="200"/>
        <w:rPr>
          <w:rFonts w:eastAsia="仿宋_GB2312"/>
          <w:b/>
          <w:color w:val="auto"/>
          <w:sz w:val="24"/>
          <w:szCs w:val="24"/>
          <w:highlight w:val="none"/>
        </w:rPr>
      </w:pPr>
      <w:r>
        <w:rPr>
          <w:rFonts w:eastAsia="仿宋_GB2312"/>
          <w:b/>
          <w:color w:val="auto"/>
          <w:sz w:val="24"/>
          <w:szCs w:val="24"/>
          <w:highlight w:val="none"/>
        </w:rPr>
        <w:t>第七条  监督举报</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发包人、承包人均有监督举报的权利和义务，发现对方有违反本合同的行为，可向南沙区纪委监委举报。南沙区纪委监委将按照相关规定予以受理，鼓励实名举报，严查诬告陷害，对实名举报有功人员给予一定的现金奖励，对诬告陷害的依规依纪依法给予处理。</w:t>
      </w:r>
    </w:p>
    <w:p>
      <w:pPr>
        <w:spacing w:line="560" w:lineRule="exact"/>
        <w:ind w:firstLine="482" w:firstLineChars="200"/>
        <w:rPr>
          <w:rFonts w:eastAsia="仿宋_GB2312"/>
          <w:color w:val="auto"/>
          <w:sz w:val="24"/>
          <w:szCs w:val="24"/>
          <w:highlight w:val="none"/>
        </w:rPr>
      </w:pPr>
      <w:r>
        <w:rPr>
          <w:rFonts w:eastAsia="仿宋_GB2312"/>
          <w:b/>
          <w:bCs/>
          <w:color w:val="auto"/>
          <w:sz w:val="24"/>
          <w:szCs w:val="24"/>
          <w:highlight w:val="none"/>
        </w:rPr>
        <w:t>南沙区纪委监委举报方式</w:t>
      </w:r>
      <w:r>
        <w:rPr>
          <w:rFonts w:eastAsia="仿宋_GB2312"/>
          <w:color w:val="auto"/>
          <w:sz w:val="24"/>
          <w:szCs w:val="24"/>
          <w:highlight w:val="none"/>
        </w:rPr>
        <w:t>：</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来信举报：广州市南沙区凤凰大道一号南沙区纪委监委信访室，邮编511455；</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电话举报：020-84986949，020-12388；</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网络举报：</w:t>
      </w:r>
      <w:r>
        <w:rPr>
          <w:color w:val="auto"/>
          <w:highlight w:val="none"/>
        </w:rPr>
        <w:fldChar w:fldCharType="begin"/>
      </w:r>
      <w:r>
        <w:rPr>
          <w:color w:val="auto"/>
          <w:highlight w:val="none"/>
        </w:rPr>
        <w:instrText xml:space="preserve"> HYPERLINK "http://guangdong.12388.gov.cn；" </w:instrText>
      </w:r>
      <w:r>
        <w:rPr>
          <w:color w:val="auto"/>
          <w:highlight w:val="none"/>
        </w:rPr>
        <w:fldChar w:fldCharType="separate"/>
      </w:r>
      <w:r>
        <w:rPr>
          <w:rFonts w:eastAsia="仿宋_GB2312"/>
          <w:color w:val="auto"/>
          <w:sz w:val="24"/>
          <w:szCs w:val="24"/>
          <w:highlight w:val="none"/>
        </w:rPr>
        <w:t>http://guangdong.12388.gov.cn；</w:t>
      </w:r>
      <w:r>
        <w:rPr>
          <w:rFonts w:eastAsia="仿宋_GB2312"/>
          <w:color w:val="auto"/>
          <w:sz w:val="24"/>
          <w:szCs w:val="24"/>
          <w:highlight w:val="none"/>
        </w:rPr>
        <w:fldChar w:fldCharType="end"/>
      </w:r>
    </w:p>
    <w:p>
      <w:pPr>
        <w:spacing w:line="560" w:lineRule="exact"/>
        <w:ind w:firstLine="480" w:firstLineChars="200"/>
        <w:rPr>
          <w:rFonts w:eastAsia="仿宋_GB2312"/>
          <w:color w:val="auto"/>
          <w:sz w:val="24"/>
          <w:szCs w:val="24"/>
          <w:highlight w:val="none"/>
        </w:rPr>
      </w:pPr>
      <w:r>
        <w:rPr>
          <w:color w:val="auto"/>
          <w:sz w:val="24"/>
          <w:szCs w:val="24"/>
          <w:highlight w:val="none"/>
        </w:rPr>
        <w:drawing>
          <wp:anchor distT="0" distB="0" distL="114300" distR="114300" simplePos="0" relativeHeight="251661312" behindDoc="0" locked="0" layoutInCell="1" allowOverlap="1">
            <wp:simplePos x="0" y="0"/>
            <wp:positionH relativeFrom="column">
              <wp:posOffset>1579245</wp:posOffset>
            </wp:positionH>
            <wp:positionV relativeFrom="paragraph">
              <wp:posOffset>416560</wp:posOffset>
            </wp:positionV>
            <wp:extent cx="1511300" cy="1852295"/>
            <wp:effectExtent l="0" t="0" r="12700" b="14605"/>
            <wp:wrapTopAndBottom/>
            <wp:docPr id="1"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1" descr="1603424669(1)"/>
                    <pic:cNvPicPr>
                      <a:picLocks noChangeAspect="1"/>
                    </pic:cNvPicPr>
                  </pic:nvPicPr>
                  <pic:blipFill>
                    <a:blip r:embed="rId7"/>
                    <a:stretch>
                      <a:fillRect/>
                    </a:stretch>
                  </pic:blipFill>
                  <pic:spPr>
                    <a:xfrm>
                      <a:off x="0" y="0"/>
                      <a:ext cx="1511300" cy="1852295"/>
                    </a:xfrm>
                    <a:prstGeom prst="rect">
                      <a:avLst/>
                    </a:prstGeom>
                    <a:noFill/>
                    <a:ln>
                      <a:noFill/>
                    </a:ln>
                  </pic:spPr>
                </pic:pic>
              </a:graphicData>
            </a:graphic>
          </wp:anchor>
        </w:drawing>
      </w:r>
      <w:r>
        <w:rPr>
          <w:rFonts w:eastAsia="仿宋_GB2312"/>
          <w:color w:val="auto"/>
          <w:sz w:val="24"/>
          <w:szCs w:val="24"/>
          <w:highlight w:val="none"/>
        </w:rPr>
        <w:t>二维码举报：</w:t>
      </w:r>
    </w:p>
    <w:p>
      <w:pPr>
        <w:spacing w:line="560" w:lineRule="exact"/>
        <w:ind w:firstLine="482" w:firstLineChars="200"/>
        <w:rPr>
          <w:rFonts w:eastAsia="仿宋_GB2312"/>
          <w:b/>
          <w:color w:val="auto"/>
          <w:sz w:val="24"/>
          <w:szCs w:val="24"/>
          <w:highlight w:val="none"/>
        </w:rPr>
      </w:pPr>
      <w:r>
        <w:rPr>
          <w:rFonts w:eastAsia="仿宋_GB2312"/>
          <w:b/>
          <w:color w:val="auto"/>
          <w:sz w:val="24"/>
          <w:szCs w:val="24"/>
          <w:highlight w:val="none"/>
        </w:rPr>
        <w:t>第</w:t>
      </w:r>
      <w:r>
        <w:rPr>
          <w:rFonts w:hint="eastAsia" w:eastAsia="仿宋_GB2312"/>
          <w:b/>
          <w:color w:val="auto"/>
          <w:sz w:val="24"/>
          <w:szCs w:val="24"/>
          <w:highlight w:val="none"/>
        </w:rPr>
        <w:t>八</w:t>
      </w:r>
      <w:r>
        <w:rPr>
          <w:rFonts w:eastAsia="仿宋_GB2312"/>
          <w:b/>
          <w:color w:val="auto"/>
          <w:sz w:val="24"/>
          <w:szCs w:val="24"/>
          <w:highlight w:val="none"/>
        </w:rPr>
        <w:t>条  其他约定</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本合同作为双方所签署主合同的附件，与</w:t>
      </w:r>
      <w:r>
        <w:rPr>
          <w:rFonts w:hint="eastAsia" w:eastAsia="仿宋_GB2312"/>
          <w:color w:val="auto"/>
          <w:sz w:val="24"/>
          <w:szCs w:val="24"/>
          <w:highlight w:val="none"/>
        </w:rPr>
        <w:t>主合同</w:t>
      </w:r>
      <w:r>
        <w:rPr>
          <w:rFonts w:eastAsia="仿宋_GB2312"/>
          <w:color w:val="auto"/>
          <w:sz w:val="24"/>
          <w:szCs w:val="24"/>
          <w:highlight w:val="none"/>
        </w:rPr>
        <w:t>具有同等法律效力</w:t>
      </w:r>
      <w:r>
        <w:rPr>
          <w:rFonts w:hint="eastAsia" w:eastAsia="仿宋_GB2312"/>
          <w:color w:val="auto"/>
          <w:sz w:val="24"/>
          <w:szCs w:val="24"/>
          <w:highlight w:val="none"/>
        </w:rPr>
        <w:t>。对项目涉及的廉洁问题，不受项目竣工验收、工作人员离职或退休等原因影响，发包人、承包人仍应按合同约定承担相应的违约责任。</w:t>
      </w:r>
    </w:p>
    <w:p>
      <w:pPr>
        <w:spacing w:line="560" w:lineRule="exact"/>
        <w:ind w:firstLine="480" w:firstLineChars="200"/>
        <w:rPr>
          <w:rFonts w:eastAsia="仿宋_GB2312"/>
          <w:color w:val="auto"/>
          <w:sz w:val="24"/>
          <w:szCs w:val="24"/>
          <w:highlight w:val="none"/>
        </w:rPr>
      </w:pPr>
      <w:r>
        <w:rPr>
          <w:rFonts w:eastAsia="仿宋_GB2312"/>
          <w:color w:val="auto"/>
          <w:sz w:val="24"/>
          <w:szCs w:val="24"/>
          <w:highlight w:val="none"/>
        </w:rPr>
        <w:t>本合同</w:t>
      </w:r>
      <w:r>
        <w:rPr>
          <w:rFonts w:hint="eastAsia" w:eastAsia="仿宋_GB2312"/>
          <w:color w:val="auto"/>
          <w:sz w:val="24"/>
          <w:szCs w:val="24"/>
          <w:highlight w:val="none"/>
        </w:rPr>
        <w:t>份数按主合同执行，经各方签署后生效。</w:t>
      </w:r>
    </w:p>
    <w:p>
      <w:pPr>
        <w:rPr>
          <w:color w:val="auto"/>
          <w:sz w:val="24"/>
          <w:szCs w:val="24"/>
          <w:highlight w:val="none"/>
        </w:rPr>
      </w:pPr>
    </w:p>
    <w:p>
      <w:pPr>
        <w:rPr>
          <w:color w:val="auto"/>
          <w:highlight w:val="none"/>
        </w:rPr>
      </w:pPr>
    </w:p>
    <w:p>
      <w:pPr>
        <w:pStyle w:val="2"/>
        <w:rPr>
          <w:color w:val="auto"/>
          <w:highlight w:val="none"/>
        </w:rPr>
      </w:pPr>
    </w:p>
    <w:p>
      <w:pPr>
        <w:rPr>
          <w:color w:val="auto"/>
          <w:highlight w:val="none"/>
        </w:rPr>
      </w:pPr>
      <w:r>
        <w:rPr>
          <w:rFonts w:hint="eastAsia"/>
          <w:color w:val="auto"/>
          <w:highlight w:val="none"/>
        </w:rPr>
        <w:t>（此页以下无正文内容。）</w:t>
      </w: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r>
        <w:rPr>
          <w:rFonts w:hint="eastAsia"/>
          <w:color w:val="auto"/>
          <w:highlight w:val="none"/>
        </w:rPr>
        <w:t>（此页以下无正文内容。）</w:t>
      </w:r>
    </w:p>
    <w:p>
      <w:pPr>
        <w:pStyle w:val="2"/>
        <w:rPr>
          <w:color w:val="auto"/>
          <w:highlight w:val="none"/>
        </w:rPr>
      </w:pPr>
    </w:p>
    <w:tbl>
      <w:tblPr>
        <w:tblStyle w:val="9"/>
        <w:tblW w:w="0" w:type="auto"/>
        <w:tblInd w:w="0" w:type="dxa"/>
        <w:tblLayout w:type="fixed"/>
        <w:tblCellMar>
          <w:top w:w="0" w:type="dxa"/>
          <w:left w:w="108" w:type="dxa"/>
          <w:bottom w:w="0" w:type="dxa"/>
          <w:right w:w="108" w:type="dxa"/>
        </w:tblCellMar>
      </w:tblPr>
      <w:tblGrid>
        <w:gridCol w:w="4530"/>
        <w:gridCol w:w="4530"/>
      </w:tblGrid>
      <w:tr>
        <w:tblPrEx>
          <w:tblCellMar>
            <w:top w:w="0" w:type="dxa"/>
            <w:left w:w="108" w:type="dxa"/>
            <w:bottom w:w="0" w:type="dxa"/>
            <w:right w:w="108" w:type="dxa"/>
          </w:tblCellMar>
        </w:tblPrEx>
        <w:tc>
          <w:tcPr>
            <w:tcW w:w="4530" w:type="dxa"/>
          </w:tcPr>
          <w:p>
            <w:pPr>
              <w:spacing w:line="560" w:lineRule="exact"/>
              <w:rPr>
                <w:rFonts w:eastAsia="仿宋_GB2312"/>
                <w:color w:val="auto"/>
                <w:sz w:val="24"/>
                <w:szCs w:val="24"/>
                <w:highlight w:val="none"/>
              </w:rPr>
            </w:pPr>
            <w:r>
              <w:rPr>
                <w:rFonts w:eastAsia="仿宋_GB2312"/>
                <w:color w:val="auto"/>
                <w:sz w:val="24"/>
                <w:szCs w:val="24"/>
                <w:highlight w:val="none"/>
              </w:rPr>
              <w:t>发包人（公章）：</w:t>
            </w:r>
          </w:p>
          <w:p>
            <w:pPr>
              <w:spacing w:line="560" w:lineRule="exact"/>
              <w:rPr>
                <w:rFonts w:eastAsia="仿宋_GB2312"/>
                <w:color w:val="auto"/>
                <w:sz w:val="24"/>
                <w:szCs w:val="24"/>
                <w:highlight w:val="none"/>
              </w:rPr>
            </w:pPr>
            <w:r>
              <w:rPr>
                <w:rFonts w:hint="eastAsia" w:eastAsia="仿宋_GB2312"/>
                <w:color w:val="auto"/>
                <w:sz w:val="24"/>
                <w:szCs w:val="24"/>
                <w:highlight w:val="none"/>
              </w:rPr>
              <w:t>广州南沙期金产业园投资有限公司</w:t>
            </w:r>
          </w:p>
          <w:p>
            <w:pPr>
              <w:spacing w:line="560" w:lineRule="exact"/>
              <w:rPr>
                <w:rFonts w:eastAsia="仿宋_GB2312"/>
                <w:color w:val="auto"/>
                <w:sz w:val="24"/>
                <w:szCs w:val="24"/>
                <w:highlight w:val="none"/>
              </w:rPr>
            </w:pPr>
            <w:r>
              <w:rPr>
                <w:rFonts w:eastAsia="仿宋_GB2312"/>
                <w:color w:val="auto"/>
                <w:sz w:val="24"/>
                <w:szCs w:val="24"/>
                <w:highlight w:val="none"/>
              </w:rPr>
              <w:t>法定代表人/授权代理人</w:t>
            </w:r>
          </w:p>
          <w:p>
            <w:pPr>
              <w:spacing w:line="560" w:lineRule="exact"/>
              <w:rPr>
                <w:rFonts w:eastAsia="仿宋_GB2312"/>
                <w:color w:val="auto"/>
                <w:sz w:val="24"/>
                <w:szCs w:val="24"/>
                <w:highlight w:val="none"/>
              </w:rPr>
            </w:pPr>
            <w:r>
              <w:rPr>
                <w:rFonts w:eastAsia="仿宋_GB2312"/>
                <w:color w:val="auto"/>
                <w:sz w:val="24"/>
                <w:szCs w:val="24"/>
                <w:highlight w:val="none"/>
              </w:rPr>
              <w:t>（签字）：</w:t>
            </w:r>
          </w:p>
          <w:p>
            <w:pPr>
              <w:spacing w:line="560" w:lineRule="exact"/>
              <w:rPr>
                <w:rFonts w:eastAsia="仿宋_GB2312"/>
                <w:color w:val="auto"/>
                <w:sz w:val="24"/>
                <w:szCs w:val="24"/>
                <w:highlight w:val="none"/>
              </w:rPr>
            </w:pPr>
          </w:p>
          <w:p>
            <w:pPr>
              <w:spacing w:line="560" w:lineRule="exact"/>
              <w:rPr>
                <w:rFonts w:eastAsia="仿宋_GB2312"/>
                <w:color w:val="auto"/>
                <w:sz w:val="24"/>
                <w:szCs w:val="24"/>
                <w:highlight w:val="none"/>
              </w:rPr>
            </w:pPr>
            <w:r>
              <w:rPr>
                <w:rFonts w:eastAsia="仿宋_GB2312"/>
                <w:color w:val="auto"/>
                <w:sz w:val="24"/>
                <w:szCs w:val="24"/>
                <w:highlight w:val="none"/>
              </w:rPr>
              <w:t>或党委书记/纪委书记</w:t>
            </w:r>
          </w:p>
          <w:p>
            <w:pPr>
              <w:spacing w:line="560" w:lineRule="exact"/>
              <w:rPr>
                <w:rFonts w:eastAsia="仿宋_GB2312"/>
                <w:color w:val="auto"/>
                <w:sz w:val="24"/>
                <w:szCs w:val="24"/>
                <w:highlight w:val="none"/>
              </w:rPr>
            </w:pPr>
            <w:r>
              <w:rPr>
                <w:rFonts w:eastAsia="仿宋_GB2312"/>
                <w:color w:val="auto"/>
                <w:sz w:val="24"/>
                <w:szCs w:val="24"/>
                <w:highlight w:val="none"/>
              </w:rPr>
              <w:t>（签字）</w:t>
            </w:r>
          </w:p>
        </w:tc>
        <w:tc>
          <w:tcPr>
            <w:tcW w:w="4530" w:type="dxa"/>
          </w:tcPr>
          <w:p>
            <w:pPr>
              <w:spacing w:line="560" w:lineRule="exact"/>
              <w:rPr>
                <w:rFonts w:eastAsia="仿宋_GB2312"/>
                <w:color w:val="auto"/>
                <w:sz w:val="24"/>
                <w:szCs w:val="24"/>
                <w:highlight w:val="none"/>
              </w:rPr>
            </w:pPr>
            <w:r>
              <w:rPr>
                <w:rFonts w:hint="eastAsia" w:eastAsia="仿宋_GB2312"/>
                <w:color w:val="auto"/>
                <w:sz w:val="24"/>
                <w:szCs w:val="24"/>
                <w:highlight w:val="none"/>
              </w:rPr>
              <w:t>发</w:t>
            </w:r>
            <w:r>
              <w:rPr>
                <w:rFonts w:eastAsia="仿宋_GB2312"/>
                <w:color w:val="auto"/>
                <w:sz w:val="24"/>
                <w:szCs w:val="24"/>
                <w:highlight w:val="none"/>
              </w:rPr>
              <w:t>包人（公章）：</w:t>
            </w:r>
          </w:p>
          <w:p>
            <w:pPr>
              <w:spacing w:line="560" w:lineRule="exact"/>
              <w:rPr>
                <w:rFonts w:eastAsia="仿宋_GB2312"/>
                <w:color w:val="auto"/>
                <w:sz w:val="24"/>
                <w:szCs w:val="24"/>
                <w:highlight w:val="none"/>
              </w:rPr>
            </w:pPr>
            <w:r>
              <w:rPr>
                <w:rFonts w:hint="eastAsia" w:eastAsia="仿宋_GB2312"/>
                <w:color w:val="auto"/>
                <w:sz w:val="24"/>
                <w:szCs w:val="24"/>
                <w:highlight w:val="none"/>
              </w:rPr>
              <w:t>广州南投房地产开发有限公司</w:t>
            </w:r>
          </w:p>
          <w:p>
            <w:pPr>
              <w:spacing w:line="560" w:lineRule="exact"/>
              <w:rPr>
                <w:rFonts w:eastAsia="仿宋_GB2312"/>
                <w:color w:val="auto"/>
                <w:sz w:val="24"/>
                <w:szCs w:val="24"/>
                <w:highlight w:val="none"/>
              </w:rPr>
            </w:pPr>
            <w:r>
              <w:rPr>
                <w:rFonts w:eastAsia="仿宋_GB2312"/>
                <w:color w:val="auto"/>
                <w:sz w:val="24"/>
                <w:szCs w:val="24"/>
                <w:highlight w:val="none"/>
              </w:rPr>
              <w:t>法定代表人/授权代理人</w:t>
            </w:r>
          </w:p>
          <w:p>
            <w:pPr>
              <w:spacing w:line="560" w:lineRule="exact"/>
              <w:rPr>
                <w:rFonts w:eastAsia="仿宋_GB2312"/>
                <w:color w:val="auto"/>
                <w:sz w:val="24"/>
                <w:szCs w:val="24"/>
                <w:highlight w:val="none"/>
              </w:rPr>
            </w:pPr>
            <w:r>
              <w:rPr>
                <w:rFonts w:eastAsia="仿宋_GB2312"/>
                <w:color w:val="auto"/>
                <w:sz w:val="24"/>
                <w:szCs w:val="24"/>
                <w:highlight w:val="none"/>
              </w:rPr>
              <w:t>（签字）：</w:t>
            </w:r>
          </w:p>
          <w:p>
            <w:pPr>
              <w:spacing w:line="560" w:lineRule="exact"/>
              <w:rPr>
                <w:rFonts w:eastAsia="仿宋_GB2312"/>
                <w:color w:val="auto"/>
                <w:sz w:val="24"/>
                <w:szCs w:val="24"/>
                <w:highlight w:val="none"/>
              </w:rPr>
            </w:pPr>
          </w:p>
          <w:p>
            <w:pPr>
              <w:spacing w:line="560" w:lineRule="exact"/>
              <w:rPr>
                <w:rFonts w:eastAsia="仿宋_GB2312"/>
                <w:color w:val="auto"/>
                <w:sz w:val="24"/>
                <w:szCs w:val="24"/>
                <w:highlight w:val="none"/>
              </w:rPr>
            </w:pPr>
            <w:r>
              <w:rPr>
                <w:rFonts w:eastAsia="仿宋_GB2312"/>
                <w:color w:val="auto"/>
                <w:sz w:val="24"/>
                <w:szCs w:val="24"/>
                <w:highlight w:val="none"/>
              </w:rPr>
              <w:t>或党委书记/纪委书记</w:t>
            </w:r>
          </w:p>
          <w:p>
            <w:pPr>
              <w:spacing w:line="560" w:lineRule="exact"/>
              <w:rPr>
                <w:rFonts w:eastAsia="仿宋_GB2312"/>
                <w:color w:val="auto"/>
                <w:sz w:val="24"/>
                <w:szCs w:val="24"/>
                <w:highlight w:val="none"/>
              </w:rPr>
            </w:pPr>
            <w:r>
              <w:rPr>
                <w:rFonts w:eastAsia="仿宋_GB2312"/>
                <w:color w:val="auto"/>
                <w:sz w:val="24"/>
                <w:szCs w:val="24"/>
                <w:highlight w:val="none"/>
              </w:rPr>
              <w:t>（签字）</w:t>
            </w:r>
          </w:p>
        </w:tc>
      </w:tr>
    </w:tbl>
    <w:p>
      <w:pPr>
        <w:pStyle w:val="2"/>
        <w:rPr>
          <w:color w:val="auto"/>
          <w:highlight w:val="none"/>
        </w:rPr>
      </w:pPr>
    </w:p>
    <w:p>
      <w:pPr>
        <w:rPr>
          <w:color w:val="auto"/>
          <w:highlight w:val="none"/>
        </w:rPr>
      </w:pPr>
    </w:p>
    <w:p>
      <w:pPr>
        <w:spacing w:line="560" w:lineRule="exact"/>
        <w:rPr>
          <w:rFonts w:eastAsia="仿宋_GB2312"/>
          <w:color w:val="auto"/>
          <w:sz w:val="24"/>
          <w:szCs w:val="24"/>
          <w:highlight w:val="none"/>
        </w:rPr>
      </w:pPr>
      <w:r>
        <w:rPr>
          <w:rFonts w:hint="eastAsia" w:eastAsia="仿宋_GB2312"/>
          <w:color w:val="auto"/>
          <w:sz w:val="24"/>
          <w:szCs w:val="24"/>
          <w:highlight w:val="none"/>
        </w:rPr>
        <w:t>承</w:t>
      </w:r>
      <w:r>
        <w:rPr>
          <w:rFonts w:eastAsia="仿宋_GB2312"/>
          <w:color w:val="auto"/>
          <w:sz w:val="24"/>
          <w:szCs w:val="24"/>
          <w:highlight w:val="none"/>
        </w:rPr>
        <w:t>包人（公章）：</w:t>
      </w:r>
    </w:p>
    <w:p>
      <w:pPr>
        <w:spacing w:line="560" w:lineRule="exact"/>
        <w:rPr>
          <w:rFonts w:eastAsia="仿宋_GB2312"/>
          <w:color w:val="auto"/>
          <w:sz w:val="24"/>
          <w:szCs w:val="24"/>
          <w:highlight w:val="none"/>
        </w:rPr>
      </w:pPr>
    </w:p>
    <w:p>
      <w:pPr>
        <w:spacing w:line="560" w:lineRule="exact"/>
        <w:rPr>
          <w:rFonts w:eastAsia="仿宋_GB2312"/>
          <w:color w:val="auto"/>
          <w:sz w:val="24"/>
          <w:szCs w:val="24"/>
          <w:highlight w:val="none"/>
        </w:rPr>
      </w:pPr>
      <w:r>
        <w:rPr>
          <w:rFonts w:eastAsia="仿宋_GB2312"/>
          <w:color w:val="auto"/>
          <w:sz w:val="24"/>
          <w:szCs w:val="24"/>
          <w:highlight w:val="none"/>
        </w:rPr>
        <w:t>法定代表人/授权代理人</w:t>
      </w:r>
    </w:p>
    <w:p>
      <w:pPr>
        <w:spacing w:line="560" w:lineRule="exact"/>
        <w:rPr>
          <w:rFonts w:eastAsia="仿宋_GB2312"/>
          <w:color w:val="auto"/>
          <w:sz w:val="24"/>
          <w:szCs w:val="24"/>
          <w:highlight w:val="none"/>
        </w:rPr>
      </w:pPr>
      <w:r>
        <w:rPr>
          <w:rFonts w:eastAsia="仿宋_GB2312"/>
          <w:color w:val="auto"/>
          <w:sz w:val="24"/>
          <w:szCs w:val="24"/>
          <w:highlight w:val="none"/>
        </w:rPr>
        <w:t>（签字）：</w:t>
      </w:r>
    </w:p>
    <w:p>
      <w:pPr>
        <w:spacing w:line="560" w:lineRule="exact"/>
        <w:rPr>
          <w:rFonts w:eastAsia="仿宋_GB2312"/>
          <w:color w:val="auto"/>
          <w:sz w:val="24"/>
          <w:szCs w:val="24"/>
          <w:highlight w:val="none"/>
        </w:rPr>
      </w:pPr>
    </w:p>
    <w:p>
      <w:pPr>
        <w:spacing w:line="560" w:lineRule="exact"/>
        <w:rPr>
          <w:rFonts w:eastAsia="仿宋_GB2312"/>
          <w:color w:val="auto"/>
          <w:sz w:val="24"/>
          <w:szCs w:val="24"/>
          <w:highlight w:val="none"/>
        </w:rPr>
      </w:pPr>
      <w:r>
        <w:rPr>
          <w:rFonts w:eastAsia="仿宋_GB2312"/>
          <w:color w:val="auto"/>
          <w:sz w:val="24"/>
          <w:szCs w:val="24"/>
          <w:highlight w:val="none"/>
        </w:rPr>
        <w:t>或党委书记/纪委书记</w:t>
      </w:r>
    </w:p>
    <w:p>
      <w:pPr>
        <w:rPr>
          <w:rFonts w:ascii="Calibri" w:hAnsi="Calibri"/>
          <w:color w:val="auto"/>
          <w:sz w:val="28"/>
          <w:szCs w:val="28"/>
          <w:highlight w:val="none"/>
        </w:rPr>
      </w:pPr>
      <w:r>
        <w:rPr>
          <w:rFonts w:eastAsia="仿宋_GB2312"/>
          <w:color w:val="auto"/>
          <w:sz w:val="24"/>
          <w:szCs w:val="24"/>
          <w:highlight w:val="none"/>
        </w:rPr>
        <w:t>（签字）</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附件2、中标通知书</w:t>
      </w:r>
    </w:p>
    <w:p>
      <w:pPr>
        <w:rPr>
          <w:color w:val="auto"/>
          <w:highlight w:val="none"/>
        </w:rPr>
      </w:pPr>
    </w:p>
    <w:p>
      <w:pPr>
        <w:spacing w:before="50" w:after="50" w:line="360" w:lineRule="auto"/>
        <w:rPr>
          <w:rFonts w:ascii="Calibri" w:hAnsi="Calibri"/>
          <w:color w:val="auto"/>
          <w:sz w:val="28"/>
          <w:szCs w:val="28"/>
          <w:highlight w:val="none"/>
        </w:rPr>
      </w:pPr>
    </w:p>
    <w:p>
      <w:pPr>
        <w:rPr>
          <w:rFonts w:ascii="Calibri" w:hAnsi="Calibri"/>
          <w:color w:val="auto"/>
          <w:sz w:val="28"/>
          <w:szCs w:val="28"/>
          <w:highlight w:val="none"/>
        </w:rPr>
      </w:pPr>
      <w:r>
        <w:rPr>
          <w:rFonts w:hint="eastAsia" w:ascii="Calibri" w:hAnsi="Calibri"/>
          <w:color w:val="auto"/>
          <w:sz w:val="28"/>
          <w:szCs w:val="28"/>
          <w:highlight w:val="none"/>
        </w:rPr>
        <w:br w:type="page"/>
      </w:r>
    </w:p>
    <w:p>
      <w:pPr>
        <w:outlineLvl w:val="0"/>
        <w:rPr>
          <w:rFonts w:ascii="宋体" w:hAnsi="宋体" w:cs="宋体"/>
          <w:color w:val="auto"/>
          <w:sz w:val="24"/>
          <w:highlight w:val="none"/>
        </w:rPr>
      </w:pPr>
      <w:r>
        <w:rPr>
          <w:rFonts w:hint="eastAsia" w:ascii="宋体" w:hAnsi="宋体" w:cs="宋体"/>
          <w:color w:val="auto"/>
          <w:sz w:val="24"/>
          <w:highlight w:val="none"/>
        </w:rPr>
        <w:t>附件3、履约担保</w:t>
      </w:r>
    </w:p>
    <w:p>
      <w:pPr>
        <w:adjustRightInd w:val="0"/>
        <w:snapToGrid w:val="0"/>
        <w:spacing w:before="156" w:beforeLines="50" w:after="156" w:afterLines="50" w:line="360" w:lineRule="auto"/>
        <w:rPr>
          <w:rFonts w:ascii="Calibri" w:hAnsi="Calibri"/>
          <w:color w:val="auto"/>
          <w:sz w:val="28"/>
          <w:szCs w:val="28"/>
          <w:highlight w:val="none"/>
        </w:rPr>
      </w:pPr>
    </w:p>
    <w:p>
      <w:pPr>
        <w:adjustRightInd w:val="0"/>
        <w:snapToGrid w:val="0"/>
        <w:spacing w:before="156" w:beforeLines="50" w:after="156" w:afterLines="50" w:line="360" w:lineRule="auto"/>
        <w:rPr>
          <w:rFonts w:ascii="Calibri" w:hAnsi="Calibri"/>
          <w:color w:val="auto"/>
          <w:sz w:val="28"/>
          <w:szCs w:val="28"/>
          <w:highlight w:val="none"/>
        </w:rPr>
        <w:sectPr>
          <w:footerReference r:id="rId4" w:type="default"/>
          <w:pgSz w:w="11906" w:h="16838"/>
          <w:pgMar w:top="1440" w:right="1800" w:bottom="1440" w:left="1800" w:header="851" w:footer="992" w:gutter="0"/>
          <w:cols w:space="720" w:num="1"/>
          <w:docGrid w:type="lines" w:linePitch="312" w:charSpace="0"/>
        </w:sectPr>
      </w:pPr>
    </w:p>
    <w:p>
      <w:pPr>
        <w:adjustRightInd w:val="0"/>
        <w:snapToGrid w:val="0"/>
        <w:spacing w:before="156" w:beforeLines="50" w:after="156" w:afterLines="50" w:line="360" w:lineRule="auto"/>
        <w:ind w:left="960" w:hanging="960" w:hangingChars="400"/>
        <w:jc w:val="left"/>
        <w:outlineLvl w:val="0"/>
        <w:rPr>
          <w:rFonts w:ascii="Calibri" w:hAnsi="Calibri"/>
          <w:color w:val="auto"/>
          <w:sz w:val="28"/>
          <w:szCs w:val="28"/>
          <w:highlight w:val="none"/>
        </w:rPr>
      </w:pPr>
      <w:r>
        <w:rPr>
          <w:rFonts w:hint="eastAsia" w:ascii="宋体" w:hAnsi="宋体" w:cs="宋体"/>
          <w:color w:val="auto"/>
          <w:sz w:val="24"/>
          <w:highlight w:val="none"/>
        </w:rPr>
        <w:t>附件4、招标答疑</w:t>
      </w:r>
    </w:p>
    <w:p>
      <w:pPr>
        <w:rPr>
          <w:color w:val="auto"/>
          <w:highlight w:val="none"/>
        </w:rPr>
      </w:pPr>
    </w:p>
    <w:p>
      <w:pPr>
        <w:adjustRightInd w:val="0"/>
        <w:snapToGrid w:val="0"/>
        <w:spacing w:before="156" w:beforeLines="50" w:after="156" w:afterLines="50" w:line="360" w:lineRule="auto"/>
        <w:ind w:left="1120" w:hanging="1120" w:hangingChars="400"/>
        <w:rPr>
          <w:rFonts w:ascii="Calibri" w:hAnsi="Calibri"/>
          <w:color w:val="auto"/>
          <w:sz w:val="28"/>
          <w:szCs w:val="28"/>
          <w:highlight w:val="none"/>
        </w:rPr>
      </w:pPr>
    </w:p>
    <w:p>
      <w:pPr>
        <w:adjustRightInd w:val="0"/>
        <w:snapToGrid w:val="0"/>
        <w:spacing w:before="156" w:beforeLines="50" w:after="156" w:afterLines="50" w:line="360" w:lineRule="auto"/>
        <w:ind w:left="1120" w:hanging="1120" w:hangingChars="400"/>
        <w:jc w:val="left"/>
        <w:outlineLvl w:val="0"/>
        <w:rPr>
          <w:rFonts w:ascii="Calibri" w:hAnsi="Calibri"/>
          <w:color w:val="auto"/>
          <w:sz w:val="28"/>
          <w:szCs w:val="28"/>
          <w:highlight w:val="none"/>
        </w:rPr>
      </w:pPr>
      <w:r>
        <w:rPr>
          <w:rFonts w:ascii="Calibri" w:hAnsi="Calibri"/>
          <w:color w:val="auto"/>
          <w:sz w:val="28"/>
          <w:szCs w:val="28"/>
          <w:highlight w:val="none"/>
        </w:rPr>
        <w:br w:type="page"/>
      </w:r>
      <w:r>
        <w:rPr>
          <w:rFonts w:hint="eastAsia" w:ascii="宋体" w:hAnsi="宋体" w:cs="宋体"/>
          <w:color w:val="auto"/>
          <w:sz w:val="24"/>
          <w:highlight w:val="none"/>
        </w:rPr>
        <w:t>附件</w:t>
      </w:r>
      <w:r>
        <w:rPr>
          <w:rFonts w:ascii="宋体" w:hAnsi="宋体" w:cs="宋体"/>
          <w:color w:val="auto"/>
          <w:sz w:val="24"/>
          <w:highlight w:val="none"/>
        </w:rPr>
        <w:t>5</w:t>
      </w:r>
      <w:r>
        <w:rPr>
          <w:rFonts w:hint="eastAsia" w:ascii="宋体" w:hAnsi="宋体" w:cs="宋体"/>
          <w:color w:val="auto"/>
          <w:sz w:val="24"/>
          <w:highlight w:val="none"/>
        </w:rPr>
        <w:t>：拟投入本项目人员一览表</w:t>
      </w:r>
    </w:p>
    <w:p>
      <w:pPr>
        <w:rPr>
          <w:color w:val="auto"/>
          <w:highlight w:val="none"/>
        </w:rPr>
      </w:pPr>
    </w:p>
    <w:p>
      <w:pPr>
        <w:spacing w:before="120" w:after="120"/>
        <w:ind w:left="140"/>
        <w:rPr>
          <w:rFonts w:ascii="宋体" w:hAnsi="宋体"/>
          <w:color w:val="auto"/>
          <w:sz w:val="28"/>
          <w:szCs w:val="28"/>
          <w:highlight w:val="none"/>
        </w:rPr>
      </w:pPr>
    </w:p>
    <w:p>
      <w:pPr>
        <w:spacing w:before="120" w:after="120"/>
        <w:ind w:left="140"/>
        <w:rPr>
          <w:rFonts w:ascii="宋体" w:hAnsi="宋体"/>
          <w:color w:val="auto"/>
          <w:sz w:val="28"/>
          <w:szCs w:val="28"/>
          <w:highlight w:val="none"/>
        </w:rPr>
      </w:pPr>
    </w:p>
    <w:p>
      <w:pPr>
        <w:spacing w:before="120" w:after="120"/>
        <w:ind w:left="140"/>
        <w:rPr>
          <w:rFonts w:ascii="宋体" w:hAnsi="宋体"/>
          <w:color w:val="auto"/>
          <w:sz w:val="28"/>
          <w:szCs w:val="28"/>
          <w:highlight w:val="none"/>
        </w:rPr>
      </w:pPr>
    </w:p>
    <w:p>
      <w:pPr>
        <w:spacing w:before="120" w:after="120"/>
        <w:ind w:left="140"/>
        <w:rPr>
          <w:rFonts w:ascii="宋体" w:hAnsi="宋体"/>
          <w:color w:val="auto"/>
          <w:sz w:val="28"/>
          <w:szCs w:val="28"/>
          <w:highlight w:val="none"/>
        </w:rPr>
      </w:pPr>
    </w:p>
    <w:p>
      <w:pPr>
        <w:rPr>
          <w:rFonts w:ascii="Calibri" w:hAnsi="Calibri"/>
          <w:color w:val="auto"/>
          <w:sz w:val="28"/>
          <w:szCs w:val="28"/>
          <w:highlight w:val="none"/>
        </w:rPr>
      </w:pPr>
    </w:p>
    <w:p>
      <w:pPr>
        <w:rPr>
          <w:rFonts w:ascii="Calibri" w:hAnsi="Calibri"/>
          <w:color w:val="auto"/>
          <w:sz w:val="28"/>
          <w:szCs w:val="28"/>
          <w:highlight w:val="none"/>
        </w:rPr>
      </w:pPr>
      <w:r>
        <w:rPr>
          <w:rFonts w:hint="eastAsia" w:ascii="Calibri" w:hAnsi="Calibri"/>
          <w:color w:val="auto"/>
          <w:sz w:val="28"/>
          <w:szCs w:val="28"/>
          <w:highlight w:val="none"/>
        </w:rPr>
        <w:br w:type="page"/>
      </w:r>
    </w:p>
    <w:p>
      <w:pPr>
        <w:jc w:val="left"/>
        <w:outlineLvl w:val="0"/>
        <w:rPr>
          <w:color w:val="auto"/>
          <w:highlight w:val="none"/>
        </w:rPr>
      </w:pPr>
      <w:r>
        <w:rPr>
          <w:rFonts w:hint="eastAsia" w:ascii="宋体" w:hAnsi="宋体" w:cs="宋体"/>
          <w:color w:val="auto"/>
          <w:sz w:val="24"/>
          <w:highlight w:val="none"/>
        </w:rPr>
        <w:t>附件</w:t>
      </w:r>
      <w:r>
        <w:rPr>
          <w:rFonts w:ascii="宋体" w:hAnsi="宋体" w:cs="宋体"/>
          <w:color w:val="auto"/>
          <w:sz w:val="24"/>
          <w:highlight w:val="none"/>
        </w:rPr>
        <w:t>6</w:t>
      </w:r>
      <w:r>
        <w:rPr>
          <w:rFonts w:hint="eastAsia" w:ascii="宋体" w:hAnsi="宋体" w:cs="宋体"/>
          <w:color w:val="auto"/>
          <w:sz w:val="24"/>
          <w:highlight w:val="none"/>
        </w:rPr>
        <w:t>：工程量清单</w:t>
      </w: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1kc4y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LWRzj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46685"/>
              <wp:effectExtent l="0" t="0" r="0" b="0"/>
              <wp:wrapNone/>
              <wp:docPr id="2" name="文本框 52"/>
              <wp:cNvGraphicFramePr/>
              <a:graphic xmlns:a="http://schemas.openxmlformats.org/drawingml/2006/main">
                <a:graphicData uri="http://schemas.microsoft.com/office/word/2010/wordprocessingShape">
                  <wps:wsp>
                    <wps:cNvSpPr txBox="1"/>
                    <wps:spPr>
                      <a:xfrm>
                        <a:off x="0" y="0"/>
                        <a:ext cx="166370" cy="146685"/>
                      </a:xfrm>
                      <a:prstGeom prst="rect">
                        <a:avLst/>
                      </a:prstGeom>
                      <a:noFill/>
                      <a:ln w="6350">
                        <a:noFill/>
                      </a:ln>
                    </wps:spPr>
                    <wps:txbx>
                      <w:txbxContent>
                        <w:p>
                          <w:pPr>
                            <w:pStyle w:val="5"/>
                          </w:pPr>
                          <w:r>
                            <w:fldChar w:fldCharType="begin"/>
                          </w:r>
                          <w:r>
                            <w:instrText xml:space="preserve"> PAGE  \* MERGEFORMAT </w:instrText>
                          </w:r>
                          <w:r>
                            <w:fldChar w:fldCharType="separate"/>
                          </w:r>
                          <w:r>
                            <w:t>2</w:t>
                          </w:r>
                          <w:r>
                            <w:fldChar w:fldCharType="end"/>
                          </w:r>
                        </w:p>
                      </w:txbxContent>
                    </wps:txbx>
                    <wps:bodyPr lIns="0" tIns="0" rIns="0" bIns="0" upright="1"/>
                  </wps:wsp>
                </a:graphicData>
              </a:graphic>
            </wp:anchor>
          </w:drawing>
        </mc:Choice>
        <mc:Fallback>
          <w:pict>
            <v:shape id="文本框 52" o:spid="_x0000_s1026" o:spt="202" type="#_x0000_t202" style="position:absolute;left:0pt;margin-top:0pt;height:11.55pt;width:13.1pt;mso-position-horizontal:center;mso-position-horizontal-relative:margin;z-index:251660288;mso-width-relative:page;mso-height-relative:page;" filled="f" stroked="f" coordsize="21600,21600" o:gfxdata="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snn29IAAAADAQAADwAAAAAAAAABACAAAAAiAAAAZHJzL2Rvd25yZXYueG1sUEsB&#10;AhQAFAAAAAgAh07iQNeUORTCAQAAewMAAA4AAAAAAAAAAQAgAAAAIQEAAGRycy9lMm9Eb2MueG1s&#10;UEsFBgAAAAAGAAYAWQEAAFUFAAAAAA==&#10;">
              <v:fill on="f" focussize="0,0"/>
              <v:stroke on="f" weight="0.5pt"/>
              <v:imagedata o:title=""/>
              <o:lock v:ext="edit" aspectratio="f"/>
              <v:textbox inset="0mm,0mm,0mm,0mm">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mFPo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rK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xmFPo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C7BFD"/>
    <w:multiLevelType w:val="singleLevel"/>
    <w:tmpl w:val="DA3C7BFD"/>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OTEyZmNjZTRhYTYzNmMzYjMxOTBkOGNlY2IwMGMifQ=="/>
  </w:docVars>
  <w:rsids>
    <w:rsidRoot w:val="00862EDC"/>
    <w:rsid w:val="00001EB3"/>
    <w:rsid w:val="00037BB6"/>
    <w:rsid w:val="00057BFD"/>
    <w:rsid w:val="000A1AE6"/>
    <w:rsid w:val="000F4C71"/>
    <w:rsid w:val="00102BE1"/>
    <w:rsid w:val="00104B4D"/>
    <w:rsid w:val="0010775E"/>
    <w:rsid w:val="001314BC"/>
    <w:rsid w:val="001325E9"/>
    <w:rsid w:val="0016313E"/>
    <w:rsid w:val="00175AD4"/>
    <w:rsid w:val="00184341"/>
    <w:rsid w:val="001A6437"/>
    <w:rsid w:val="001A668A"/>
    <w:rsid w:val="001B4DCD"/>
    <w:rsid w:val="001C4AEA"/>
    <w:rsid w:val="001D59EF"/>
    <w:rsid w:val="001E58A2"/>
    <w:rsid w:val="00233E4E"/>
    <w:rsid w:val="00247038"/>
    <w:rsid w:val="00250392"/>
    <w:rsid w:val="00275046"/>
    <w:rsid w:val="002A6C28"/>
    <w:rsid w:val="002B0A95"/>
    <w:rsid w:val="002B763F"/>
    <w:rsid w:val="002C7A61"/>
    <w:rsid w:val="002E0CDD"/>
    <w:rsid w:val="003000DA"/>
    <w:rsid w:val="00313E2E"/>
    <w:rsid w:val="00321637"/>
    <w:rsid w:val="00344447"/>
    <w:rsid w:val="0035411D"/>
    <w:rsid w:val="00365102"/>
    <w:rsid w:val="003D29A1"/>
    <w:rsid w:val="003E42C3"/>
    <w:rsid w:val="003E5602"/>
    <w:rsid w:val="00431EFD"/>
    <w:rsid w:val="0043306F"/>
    <w:rsid w:val="004341EC"/>
    <w:rsid w:val="00434D45"/>
    <w:rsid w:val="004361AE"/>
    <w:rsid w:val="00447AB0"/>
    <w:rsid w:val="0045678D"/>
    <w:rsid w:val="00466367"/>
    <w:rsid w:val="00472E59"/>
    <w:rsid w:val="00490E42"/>
    <w:rsid w:val="00494610"/>
    <w:rsid w:val="004A21B6"/>
    <w:rsid w:val="004A68B5"/>
    <w:rsid w:val="004B443A"/>
    <w:rsid w:val="004C105F"/>
    <w:rsid w:val="004D3156"/>
    <w:rsid w:val="004E070D"/>
    <w:rsid w:val="004E3772"/>
    <w:rsid w:val="00506CC2"/>
    <w:rsid w:val="005300FD"/>
    <w:rsid w:val="0053665E"/>
    <w:rsid w:val="00562D8B"/>
    <w:rsid w:val="00567AE2"/>
    <w:rsid w:val="005830DC"/>
    <w:rsid w:val="00586259"/>
    <w:rsid w:val="00597386"/>
    <w:rsid w:val="005A328C"/>
    <w:rsid w:val="005A630A"/>
    <w:rsid w:val="005D5970"/>
    <w:rsid w:val="005E0C07"/>
    <w:rsid w:val="005E13D2"/>
    <w:rsid w:val="005E6B59"/>
    <w:rsid w:val="005F1D96"/>
    <w:rsid w:val="005F3884"/>
    <w:rsid w:val="00600603"/>
    <w:rsid w:val="00612CF1"/>
    <w:rsid w:val="00643AEA"/>
    <w:rsid w:val="00664CD5"/>
    <w:rsid w:val="006714F1"/>
    <w:rsid w:val="00671E66"/>
    <w:rsid w:val="00681852"/>
    <w:rsid w:val="006A74D1"/>
    <w:rsid w:val="006B7466"/>
    <w:rsid w:val="00737273"/>
    <w:rsid w:val="00744B2E"/>
    <w:rsid w:val="0076443A"/>
    <w:rsid w:val="007836DE"/>
    <w:rsid w:val="007A03CE"/>
    <w:rsid w:val="007C4363"/>
    <w:rsid w:val="007C7CC5"/>
    <w:rsid w:val="007D4F56"/>
    <w:rsid w:val="007E3564"/>
    <w:rsid w:val="007F46AE"/>
    <w:rsid w:val="00812364"/>
    <w:rsid w:val="008126F8"/>
    <w:rsid w:val="00854E6D"/>
    <w:rsid w:val="00860973"/>
    <w:rsid w:val="00862EDC"/>
    <w:rsid w:val="00876933"/>
    <w:rsid w:val="008A2FDA"/>
    <w:rsid w:val="008C54B4"/>
    <w:rsid w:val="008C6D10"/>
    <w:rsid w:val="008E6573"/>
    <w:rsid w:val="009222D2"/>
    <w:rsid w:val="009223F9"/>
    <w:rsid w:val="00927D13"/>
    <w:rsid w:val="009531F5"/>
    <w:rsid w:val="009679FD"/>
    <w:rsid w:val="00984BA2"/>
    <w:rsid w:val="009A11FC"/>
    <w:rsid w:val="009A16FA"/>
    <w:rsid w:val="009B0EEB"/>
    <w:rsid w:val="00A05A50"/>
    <w:rsid w:val="00A147B1"/>
    <w:rsid w:val="00A1729A"/>
    <w:rsid w:val="00A2321C"/>
    <w:rsid w:val="00A32D67"/>
    <w:rsid w:val="00A3766F"/>
    <w:rsid w:val="00A57B71"/>
    <w:rsid w:val="00A63A22"/>
    <w:rsid w:val="00AA030A"/>
    <w:rsid w:val="00AA1323"/>
    <w:rsid w:val="00AA592B"/>
    <w:rsid w:val="00AB50C3"/>
    <w:rsid w:val="00AD0349"/>
    <w:rsid w:val="00AD11F2"/>
    <w:rsid w:val="00AD64E0"/>
    <w:rsid w:val="00AD7142"/>
    <w:rsid w:val="00AF7655"/>
    <w:rsid w:val="00B07581"/>
    <w:rsid w:val="00B13F45"/>
    <w:rsid w:val="00B60DBA"/>
    <w:rsid w:val="00B64ABC"/>
    <w:rsid w:val="00B66986"/>
    <w:rsid w:val="00B7753A"/>
    <w:rsid w:val="00B82946"/>
    <w:rsid w:val="00BB6E4E"/>
    <w:rsid w:val="00BC598F"/>
    <w:rsid w:val="00BD3740"/>
    <w:rsid w:val="00BE4B48"/>
    <w:rsid w:val="00BF3938"/>
    <w:rsid w:val="00C11750"/>
    <w:rsid w:val="00C2751B"/>
    <w:rsid w:val="00C45BB6"/>
    <w:rsid w:val="00C56CCB"/>
    <w:rsid w:val="00C82E96"/>
    <w:rsid w:val="00C92F27"/>
    <w:rsid w:val="00CA757E"/>
    <w:rsid w:val="00CD6D9B"/>
    <w:rsid w:val="00CF2CB8"/>
    <w:rsid w:val="00CF71DF"/>
    <w:rsid w:val="00D02271"/>
    <w:rsid w:val="00D14481"/>
    <w:rsid w:val="00D159A7"/>
    <w:rsid w:val="00D241CA"/>
    <w:rsid w:val="00D3038F"/>
    <w:rsid w:val="00D308BA"/>
    <w:rsid w:val="00D46479"/>
    <w:rsid w:val="00D65CB1"/>
    <w:rsid w:val="00D66FAD"/>
    <w:rsid w:val="00D703FF"/>
    <w:rsid w:val="00D72202"/>
    <w:rsid w:val="00D856B1"/>
    <w:rsid w:val="00DA3FC6"/>
    <w:rsid w:val="00DC5C84"/>
    <w:rsid w:val="00DE6E51"/>
    <w:rsid w:val="00DE6FE1"/>
    <w:rsid w:val="00E05C30"/>
    <w:rsid w:val="00E23C8B"/>
    <w:rsid w:val="00E27C56"/>
    <w:rsid w:val="00E40629"/>
    <w:rsid w:val="00E41F0D"/>
    <w:rsid w:val="00E44A10"/>
    <w:rsid w:val="00E63263"/>
    <w:rsid w:val="00E65B64"/>
    <w:rsid w:val="00E72445"/>
    <w:rsid w:val="00E91E43"/>
    <w:rsid w:val="00EA7112"/>
    <w:rsid w:val="00EC19C0"/>
    <w:rsid w:val="00ED1E58"/>
    <w:rsid w:val="00EE527F"/>
    <w:rsid w:val="00F02635"/>
    <w:rsid w:val="00F0399A"/>
    <w:rsid w:val="00F04854"/>
    <w:rsid w:val="00F24CA6"/>
    <w:rsid w:val="00F43746"/>
    <w:rsid w:val="00F50DE8"/>
    <w:rsid w:val="00F55AC8"/>
    <w:rsid w:val="00F72A48"/>
    <w:rsid w:val="00F7315B"/>
    <w:rsid w:val="00FA216D"/>
    <w:rsid w:val="00FA3EBA"/>
    <w:rsid w:val="00FB16AC"/>
    <w:rsid w:val="00FB2222"/>
    <w:rsid w:val="00FB4547"/>
    <w:rsid w:val="0313335F"/>
    <w:rsid w:val="034F30E9"/>
    <w:rsid w:val="045F6B9B"/>
    <w:rsid w:val="05D43ADD"/>
    <w:rsid w:val="073E6F3C"/>
    <w:rsid w:val="08A642CF"/>
    <w:rsid w:val="0E9845E4"/>
    <w:rsid w:val="11A838D5"/>
    <w:rsid w:val="16B37005"/>
    <w:rsid w:val="16EE50D7"/>
    <w:rsid w:val="171001C9"/>
    <w:rsid w:val="1B7A7E3B"/>
    <w:rsid w:val="1D222AC3"/>
    <w:rsid w:val="1DE50234"/>
    <w:rsid w:val="20735EE7"/>
    <w:rsid w:val="2212725C"/>
    <w:rsid w:val="22C87F8C"/>
    <w:rsid w:val="230A78FB"/>
    <w:rsid w:val="242252D6"/>
    <w:rsid w:val="24C0158F"/>
    <w:rsid w:val="262E1F04"/>
    <w:rsid w:val="2634591B"/>
    <w:rsid w:val="267B19D0"/>
    <w:rsid w:val="26C003ED"/>
    <w:rsid w:val="280F413A"/>
    <w:rsid w:val="285F4D58"/>
    <w:rsid w:val="2A630670"/>
    <w:rsid w:val="2AA51541"/>
    <w:rsid w:val="2F0704FA"/>
    <w:rsid w:val="32215D1B"/>
    <w:rsid w:val="328F582C"/>
    <w:rsid w:val="33D329A2"/>
    <w:rsid w:val="343A3E43"/>
    <w:rsid w:val="34FB796B"/>
    <w:rsid w:val="35AD31AE"/>
    <w:rsid w:val="361956CA"/>
    <w:rsid w:val="37EEF845"/>
    <w:rsid w:val="38B51730"/>
    <w:rsid w:val="39EF1C9A"/>
    <w:rsid w:val="39EFE39A"/>
    <w:rsid w:val="3D422668"/>
    <w:rsid w:val="3EB75BA6"/>
    <w:rsid w:val="3F22109A"/>
    <w:rsid w:val="3F6F9AC6"/>
    <w:rsid w:val="3FFB05BC"/>
    <w:rsid w:val="40B612CF"/>
    <w:rsid w:val="420F3EB7"/>
    <w:rsid w:val="47CF40C9"/>
    <w:rsid w:val="4A9F196C"/>
    <w:rsid w:val="4B6840DD"/>
    <w:rsid w:val="4D427C05"/>
    <w:rsid w:val="4D86011A"/>
    <w:rsid w:val="4F4154B6"/>
    <w:rsid w:val="51402EA1"/>
    <w:rsid w:val="51B27F28"/>
    <w:rsid w:val="530E4643"/>
    <w:rsid w:val="5330262B"/>
    <w:rsid w:val="53E17700"/>
    <w:rsid w:val="56B008CF"/>
    <w:rsid w:val="5BBC1D65"/>
    <w:rsid w:val="5BF62C52"/>
    <w:rsid w:val="5DD50A81"/>
    <w:rsid w:val="5FBFFC41"/>
    <w:rsid w:val="61B331FF"/>
    <w:rsid w:val="62476D57"/>
    <w:rsid w:val="62631AFA"/>
    <w:rsid w:val="640D301B"/>
    <w:rsid w:val="693E5A9D"/>
    <w:rsid w:val="6B1D005F"/>
    <w:rsid w:val="6C995250"/>
    <w:rsid w:val="6D260D22"/>
    <w:rsid w:val="70134A62"/>
    <w:rsid w:val="701A49AE"/>
    <w:rsid w:val="70F6106D"/>
    <w:rsid w:val="75FC0045"/>
    <w:rsid w:val="76E71BEC"/>
    <w:rsid w:val="778E4093"/>
    <w:rsid w:val="779F0BB6"/>
    <w:rsid w:val="780F0D30"/>
    <w:rsid w:val="799E4670"/>
    <w:rsid w:val="79AF6E1C"/>
    <w:rsid w:val="7B3BD09D"/>
    <w:rsid w:val="7BEF417A"/>
    <w:rsid w:val="7C9563EB"/>
    <w:rsid w:val="7D7E0C09"/>
    <w:rsid w:val="7F1763BF"/>
    <w:rsid w:val="7F3AD10D"/>
    <w:rsid w:val="7F7EC171"/>
    <w:rsid w:val="7FFB6BE6"/>
    <w:rsid w:val="7FFFA195"/>
    <w:rsid w:val="87F9A8F7"/>
    <w:rsid w:val="9D6F4B1A"/>
    <w:rsid w:val="AD2E0172"/>
    <w:rsid w:val="BBCF0B73"/>
    <w:rsid w:val="DDE79E7D"/>
    <w:rsid w:val="DF7FF81A"/>
    <w:rsid w:val="E93F00A2"/>
    <w:rsid w:val="EFE842D3"/>
    <w:rsid w:val="EFFF610F"/>
    <w:rsid w:val="FA23C54D"/>
    <w:rsid w:val="FD75A044"/>
    <w:rsid w:val="FDF7F89A"/>
    <w:rsid w:val="FE7EAF84"/>
    <w:rsid w:val="FEAC34DF"/>
    <w:rsid w:val="FEFE0AA5"/>
    <w:rsid w:val="FFE5B0AD"/>
    <w:rsid w:val="FFFBFB18"/>
    <w:rsid w:val="FFFC760C"/>
    <w:rsid w:val="FFFF4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annotation text"/>
    <w:basedOn w:val="1"/>
    <w:link w:val="12"/>
    <w:unhideWhenUsed/>
    <w:qFormat/>
    <w:uiPriority w:val="99"/>
    <w:pPr>
      <w:jc w:val="left"/>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等线" w:hAnsi="等线" w:eastAsia="等线"/>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unhideWhenUsed/>
    <w:qFormat/>
    <w:uiPriority w:val="99"/>
    <w:rPr>
      <w:b/>
      <w:bCs/>
    </w:rPr>
  </w:style>
  <w:style w:type="paragraph" w:styleId="8">
    <w:name w:val="Body Text First Indent"/>
    <w:basedOn w:val="2"/>
    <w:qFormat/>
    <w:uiPriority w:val="0"/>
    <w:pPr>
      <w:spacing w:line="312" w:lineRule="auto"/>
      <w:ind w:firstLine="420"/>
    </w:pPr>
    <w:rPr>
      <w:szCs w:val="24"/>
    </w:rPr>
  </w:style>
  <w:style w:type="character" w:styleId="11">
    <w:name w:val="annotation reference"/>
    <w:unhideWhenUsed/>
    <w:qFormat/>
    <w:uiPriority w:val="99"/>
    <w:rPr>
      <w:sz w:val="21"/>
      <w:szCs w:val="21"/>
    </w:rPr>
  </w:style>
  <w:style w:type="character" w:customStyle="1" w:styleId="12">
    <w:name w:val="批注文字 字符"/>
    <w:link w:val="3"/>
    <w:semiHidden/>
    <w:qFormat/>
    <w:uiPriority w:val="99"/>
    <w:rPr>
      <w:rFonts w:ascii="Times New Roman" w:hAnsi="Times New Roman" w:eastAsia="宋体" w:cs="Times New Roman"/>
      <w:kern w:val="2"/>
      <w:sz w:val="21"/>
      <w:szCs w:val="22"/>
    </w:rPr>
  </w:style>
  <w:style w:type="character" w:customStyle="1" w:styleId="13">
    <w:name w:val="批注框文本 字符"/>
    <w:link w:val="4"/>
    <w:semiHidden/>
    <w:qFormat/>
    <w:uiPriority w:val="99"/>
    <w:rPr>
      <w:rFonts w:ascii="Times New Roman" w:hAnsi="Times New Roman" w:eastAsia="宋体" w:cs="Times New Roman"/>
      <w:kern w:val="2"/>
      <w:sz w:val="18"/>
      <w:szCs w:val="18"/>
    </w:rPr>
  </w:style>
  <w:style w:type="character" w:customStyle="1" w:styleId="14">
    <w:name w:val="页脚 字符1"/>
    <w:link w:val="5"/>
    <w:qFormat/>
    <w:uiPriority w:val="99"/>
    <w:rPr>
      <w:sz w:val="18"/>
      <w:szCs w:val="18"/>
    </w:rPr>
  </w:style>
  <w:style w:type="character" w:customStyle="1" w:styleId="15">
    <w:name w:val="页眉 字符"/>
    <w:link w:val="6"/>
    <w:qFormat/>
    <w:uiPriority w:val="99"/>
    <w:rPr>
      <w:rFonts w:ascii="Times New Roman" w:hAnsi="Times New Roman" w:eastAsia="宋体" w:cs="Times New Roman"/>
      <w:sz w:val="18"/>
      <w:szCs w:val="18"/>
    </w:rPr>
  </w:style>
  <w:style w:type="character" w:customStyle="1" w:styleId="16">
    <w:name w:val="批注主题 字符"/>
    <w:link w:val="7"/>
    <w:semiHidden/>
    <w:qFormat/>
    <w:uiPriority w:val="99"/>
    <w:rPr>
      <w:rFonts w:ascii="Times New Roman" w:hAnsi="Times New Roman" w:eastAsia="宋体" w:cs="Times New Roman"/>
      <w:b/>
      <w:bCs/>
      <w:kern w:val="2"/>
      <w:sz w:val="21"/>
      <w:szCs w:val="22"/>
    </w:rPr>
  </w:style>
  <w:style w:type="character" w:customStyle="1" w:styleId="17">
    <w:name w:val="页脚 字符"/>
    <w:semiHidden/>
    <w:qFormat/>
    <w:uiPriority w:val="99"/>
    <w:rPr>
      <w:rFonts w:ascii="Times New Roman" w:hAnsi="Times New Roman" w:eastAsia="宋体" w:cs="Times New Roman"/>
      <w:sz w:val="18"/>
      <w:szCs w:val="18"/>
    </w:rPr>
  </w:style>
  <w:style w:type="paragraph" w:customStyle="1" w:styleId="18">
    <w:name w:val="修订1"/>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1886</Words>
  <Characters>10752</Characters>
  <Lines>89</Lines>
  <Paragraphs>25</Paragraphs>
  <TotalTime>85</TotalTime>
  <ScaleCrop>false</ScaleCrop>
  <LinksUpToDate>false</LinksUpToDate>
  <CharactersWithSpaces>12613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2022-10-27T17:07:00Z</dcterms:created>
  <dc:creator>许奕</dc:creator>
  <cp:lastModifiedBy>WPS_1650870852</cp:lastModifiedBy>
  <cp:lastPrinted>2023-09-25T00:38:00Z</cp:lastPrinted>
  <dcterms:modified xsi:type="dcterms:W3CDTF">2023-10-09T07:43:38Z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8C3099A8DBF145D9B4B71770F7F60731_13</vt:lpwstr>
  </property>
</Properties>
</file>