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SF-2019-0205</w:t>
      </w:r>
    </w:p>
    <w:p>
      <w:pPr>
        <w:pStyle w:val="25"/>
        <w:spacing w:line="640" w:lineRule="exact"/>
        <w:ind w:firstLine="4160" w:firstLineChars="1300"/>
        <w:rPr>
          <w:rFonts w:ascii="仿宋" w:hAnsi="仿宋" w:eastAsia="仿宋" w:cs="仿宋"/>
          <w:color w:val="auto"/>
          <w:sz w:val="18"/>
          <w:szCs w:val="18"/>
          <w:highlight w:val="none"/>
          <w:u w:val="single"/>
        </w:rPr>
      </w:pPr>
      <w:r>
        <w:rPr>
          <w:rFonts w:hint="eastAsia" w:ascii="仿宋" w:hAnsi="仿宋" w:eastAsia="仿宋" w:cs="仿宋"/>
          <w:color w:val="auto"/>
          <w:sz w:val="32"/>
          <w:szCs w:val="32"/>
          <w:highlight w:val="none"/>
        </w:rPr>
        <w:t>项目编码：</w:t>
      </w:r>
      <w:r>
        <w:rPr>
          <w:rFonts w:hint="eastAsia" w:ascii="仿宋" w:hAnsi="仿宋" w:eastAsia="仿宋" w:cs="仿宋"/>
          <w:color w:val="auto"/>
          <w:sz w:val="18"/>
          <w:szCs w:val="18"/>
          <w:highlight w:val="none"/>
          <w:u w:val="single"/>
        </w:rPr>
        <w:t xml:space="preserve">                                   </w:t>
      </w:r>
    </w:p>
    <w:p>
      <w:pPr>
        <w:pStyle w:val="25"/>
        <w:spacing w:line="640" w:lineRule="exact"/>
        <w:ind w:firstLine="4160" w:firstLineChars="13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工程编码：</w:t>
      </w:r>
      <w:r>
        <w:rPr>
          <w:rFonts w:hint="eastAsia" w:ascii="仿宋" w:hAnsi="仿宋" w:eastAsia="仿宋" w:cs="仿宋"/>
          <w:color w:val="auto"/>
          <w:sz w:val="32"/>
          <w:szCs w:val="32"/>
          <w:highlight w:val="none"/>
          <w:u w:val="single"/>
        </w:rPr>
        <w:t xml:space="preserve">                    </w:t>
      </w:r>
    </w:p>
    <w:p>
      <w:pPr>
        <w:pStyle w:val="25"/>
        <w:spacing w:line="640" w:lineRule="exact"/>
        <w:ind w:firstLine="4160" w:firstLineChars="13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rPr>
        <w:t xml:space="preserve">                    </w:t>
      </w:r>
    </w:p>
    <w:p>
      <w:pPr>
        <w:pStyle w:val="25"/>
        <w:spacing w:line="640" w:lineRule="exact"/>
        <w:ind w:firstLine="5920" w:firstLineChars="1850"/>
        <w:rPr>
          <w:rFonts w:ascii="仿宋" w:hAnsi="仿宋" w:eastAsia="仿宋" w:cs="仿宋"/>
          <w:color w:val="auto"/>
          <w:sz w:val="32"/>
          <w:szCs w:val="32"/>
          <w:highlight w:val="none"/>
        </w:rPr>
      </w:pPr>
      <w:bookmarkStart w:id="253" w:name="_GoBack"/>
      <w:bookmarkEnd w:id="253"/>
    </w:p>
    <w:p>
      <w:pPr>
        <w:pStyle w:val="25"/>
        <w:spacing w:line="640" w:lineRule="exact"/>
        <w:ind w:firstLine="5920" w:firstLineChars="1850"/>
        <w:rPr>
          <w:rFonts w:ascii="仿宋" w:hAnsi="仿宋" w:eastAsia="仿宋" w:cs="仿宋"/>
          <w:color w:val="auto"/>
          <w:sz w:val="32"/>
          <w:szCs w:val="32"/>
          <w:highlight w:val="none"/>
        </w:rPr>
      </w:pPr>
    </w:p>
    <w:p>
      <w:pPr>
        <w:pStyle w:val="25"/>
        <w:spacing w:line="640" w:lineRule="exact"/>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广州市建设工程造价咨询合同</w:t>
      </w:r>
    </w:p>
    <w:p>
      <w:pPr>
        <w:pStyle w:val="25"/>
        <w:spacing w:line="640" w:lineRule="exact"/>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(概算审核）</w:t>
      </w:r>
    </w:p>
    <w:p>
      <w:pPr>
        <w:spacing w:line="640" w:lineRule="exact"/>
        <w:ind w:firstLine="2352" w:firstLineChars="735"/>
        <w:rPr>
          <w:rFonts w:ascii="仿宋" w:hAnsi="仿宋" w:eastAsia="仿宋" w:cs="仿宋"/>
          <w:color w:val="auto"/>
          <w:sz w:val="32"/>
          <w:szCs w:val="32"/>
          <w:highlight w:val="none"/>
        </w:rPr>
      </w:pPr>
    </w:p>
    <w:p>
      <w:pPr>
        <w:spacing w:line="640" w:lineRule="exact"/>
        <w:jc w:val="center"/>
        <w:rPr>
          <w:rFonts w:ascii="仿宋" w:hAnsi="仿宋" w:eastAsia="仿宋" w:cs="仿宋"/>
          <w:color w:val="auto"/>
          <w:sz w:val="32"/>
          <w:szCs w:val="32"/>
          <w:highlight w:val="none"/>
        </w:rPr>
      </w:pPr>
    </w:p>
    <w:p>
      <w:pPr>
        <w:spacing w:line="640" w:lineRule="exact"/>
        <w:jc w:val="center"/>
        <w:rPr>
          <w:rFonts w:ascii="仿宋" w:hAnsi="仿宋" w:eastAsia="仿宋" w:cs="仿宋"/>
          <w:color w:val="auto"/>
          <w:sz w:val="32"/>
          <w:szCs w:val="32"/>
          <w:highlight w:val="none"/>
        </w:rPr>
      </w:pPr>
    </w:p>
    <w:p>
      <w:pPr>
        <w:spacing w:line="640" w:lineRule="exact"/>
        <w:ind w:left="2247" w:leftChars="304" w:hanging="1609" w:hangingChars="503"/>
        <w:jc w:val="left"/>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工程名称：</w:t>
      </w:r>
      <w:r>
        <w:rPr>
          <w:rFonts w:hint="eastAsia" w:ascii="仿宋" w:hAnsi="仿宋" w:eastAsia="仿宋" w:cs="仿宋"/>
          <w:color w:val="auto"/>
          <w:sz w:val="32"/>
          <w:szCs w:val="32"/>
          <w:highlight w:val="none"/>
          <w:u w:val="single"/>
        </w:rPr>
        <w:t xml:space="preserve">                                              </w:t>
      </w:r>
    </w:p>
    <w:p>
      <w:pPr>
        <w:spacing w:line="6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工程地点：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pPr>
        <w:spacing w:line="6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甲方（委托人）：</w:t>
      </w:r>
      <w:r>
        <w:rPr>
          <w:rFonts w:hint="eastAsia" w:ascii="仿宋" w:hAnsi="仿宋" w:eastAsia="仿宋" w:cs="仿宋"/>
          <w:color w:val="auto"/>
          <w:sz w:val="32"/>
          <w:szCs w:val="32"/>
          <w:highlight w:val="none"/>
          <w:u w:val="single"/>
        </w:rPr>
        <w:t xml:space="preserve">   广州市天河区住房建设和园林局        </w:t>
      </w:r>
      <w:r>
        <w:rPr>
          <w:rFonts w:hint="eastAsia" w:ascii="仿宋" w:hAnsi="仿宋" w:eastAsia="仿宋" w:cs="仿宋"/>
          <w:color w:val="auto"/>
          <w:sz w:val="32"/>
          <w:szCs w:val="32"/>
          <w:highlight w:val="none"/>
        </w:rPr>
        <w:t xml:space="preserve">              </w:t>
      </w:r>
    </w:p>
    <w:p>
      <w:pPr>
        <w:spacing w:line="640" w:lineRule="exact"/>
        <w:ind w:firstLine="640" w:firstLineChars="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乙方（咨询人）：</w:t>
      </w:r>
      <w:r>
        <w:rPr>
          <w:rFonts w:hint="eastAsia" w:ascii="仿宋" w:hAnsi="仿宋" w:eastAsia="仿宋" w:cs="仿宋"/>
          <w:color w:val="auto"/>
          <w:sz w:val="32"/>
          <w:szCs w:val="32"/>
          <w:highlight w:val="none"/>
          <w:u w:val="single"/>
        </w:rPr>
        <w:t xml:space="preserve">                                       </w:t>
      </w:r>
    </w:p>
    <w:p>
      <w:pPr>
        <w:spacing w:line="640" w:lineRule="exact"/>
        <w:rPr>
          <w:rFonts w:ascii="仿宋" w:hAnsi="仿宋" w:eastAsia="仿宋" w:cs="仿宋"/>
          <w:color w:val="auto"/>
          <w:sz w:val="32"/>
          <w:szCs w:val="32"/>
          <w:highlight w:val="none"/>
        </w:rPr>
      </w:pPr>
    </w:p>
    <w:p>
      <w:pPr>
        <w:spacing w:line="640" w:lineRule="exact"/>
        <w:rPr>
          <w:rFonts w:ascii="仿宋" w:hAnsi="仿宋" w:eastAsia="仿宋" w:cs="仿宋"/>
          <w:color w:val="auto"/>
          <w:sz w:val="32"/>
          <w:szCs w:val="32"/>
          <w:highlight w:val="none"/>
        </w:rPr>
      </w:pPr>
    </w:p>
    <w:p>
      <w:pPr>
        <w:snapToGrid w:val="0"/>
        <w:spacing w:line="200" w:lineRule="atLeast"/>
        <w:jc w:val="center"/>
        <w:rPr>
          <w:rFonts w:ascii="仿宋" w:hAnsi="仿宋" w:eastAsia="仿宋" w:cs="仿宋"/>
          <w:b/>
          <w:bCs/>
          <w:color w:val="auto"/>
          <w:spacing w:val="40"/>
          <w:sz w:val="32"/>
          <w:szCs w:val="32"/>
          <w:highlight w:val="none"/>
        </w:rPr>
      </w:pPr>
      <w:r>
        <w:rPr>
          <w:rFonts w:hint="eastAsia" w:ascii="仿宋" w:hAnsi="仿宋" w:eastAsia="仿宋" w:cs="仿宋"/>
          <w:b/>
          <w:bCs/>
          <w:color w:val="auto"/>
          <w:spacing w:val="40"/>
          <w:sz w:val="32"/>
          <w:szCs w:val="32"/>
          <w:highlight w:val="none"/>
        </w:rPr>
        <w:t>广州市住房和城乡建设局</w:t>
      </w:r>
    </w:p>
    <w:p>
      <w:pPr>
        <w:snapToGrid w:val="0"/>
        <w:spacing w:line="200" w:lineRule="atLeast"/>
        <w:jc w:val="center"/>
        <w:rPr>
          <w:rFonts w:ascii="仿宋" w:hAnsi="仿宋" w:eastAsia="仿宋" w:cs="仿宋"/>
          <w:b/>
          <w:bCs/>
          <w:color w:val="auto"/>
          <w:spacing w:val="50"/>
          <w:sz w:val="32"/>
          <w:szCs w:val="32"/>
          <w:highlight w:val="none"/>
        </w:rPr>
      </w:pPr>
      <w:r>
        <w:rPr>
          <w:rFonts w:hint="eastAsia" w:ascii="仿宋" w:hAnsi="仿宋" w:eastAsia="仿宋" w:cs="仿宋"/>
          <w:b/>
          <w:bCs/>
          <w:color w:val="auto"/>
          <w:spacing w:val="50"/>
          <w:sz w:val="32"/>
          <w:szCs w:val="32"/>
          <w:highlight w:val="none"/>
        </w:rPr>
        <w:t xml:space="preserve">                          制定</w:t>
      </w:r>
    </w:p>
    <w:p>
      <w:pPr>
        <w:snapToGrid w:val="0"/>
        <w:spacing w:line="200" w:lineRule="atLeast"/>
        <w:jc w:val="center"/>
        <w:rPr>
          <w:rFonts w:ascii="仿宋" w:hAnsi="仿宋" w:eastAsia="仿宋" w:cs="仿宋"/>
          <w:b/>
          <w:bCs/>
          <w:color w:val="auto"/>
          <w:spacing w:val="50"/>
          <w:sz w:val="32"/>
          <w:szCs w:val="32"/>
          <w:highlight w:val="none"/>
        </w:rPr>
      </w:pPr>
      <w:r>
        <w:rPr>
          <w:rFonts w:hint="eastAsia" w:ascii="仿宋" w:hAnsi="仿宋" w:eastAsia="仿宋" w:cs="仿宋"/>
          <w:b/>
          <w:bCs/>
          <w:color w:val="auto"/>
          <w:spacing w:val="50"/>
          <w:sz w:val="32"/>
          <w:szCs w:val="32"/>
          <w:highlight w:val="none"/>
        </w:rPr>
        <w:t>广州市市场监督管理局</w:t>
      </w:r>
    </w:p>
    <w:p>
      <w:pPr>
        <w:tabs>
          <w:tab w:val="left" w:pos="3120"/>
        </w:tabs>
        <w:spacing w:line="360" w:lineRule="auto"/>
        <w:rPr>
          <w:rFonts w:ascii="仿宋" w:hAnsi="仿宋" w:eastAsia="仿宋" w:cs="仿宋"/>
          <w:color w:val="auto"/>
          <w:sz w:val="32"/>
          <w:szCs w:val="32"/>
          <w:highlight w:val="none"/>
        </w:rPr>
        <w:sectPr>
          <w:footerReference r:id="rId5" w:type="first"/>
          <w:headerReference r:id="rId3" w:type="default"/>
          <w:footerReference r:id="rId4" w:type="default"/>
          <w:pgSz w:w="11906" w:h="16838"/>
          <w:pgMar w:top="1440" w:right="1134" w:bottom="1440" w:left="1134" w:header="851" w:footer="992" w:gutter="0"/>
          <w:pgNumType w:start="1"/>
          <w:cols w:space="720" w:num="1"/>
          <w:titlePg/>
          <w:docGrid w:type="lines" w:linePitch="312" w:charSpace="0"/>
        </w:sectPr>
      </w:pPr>
    </w:p>
    <w:p>
      <w:pPr>
        <w:pStyle w:val="3"/>
        <w:jc w:val="center"/>
        <w:rPr>
          <w:rFonts w:ascii="仿宋" w:hAnsi="仿宋" w:eastAsia="仿宋" w:cs="仿宋"/>
          <w:b/>
          <w:bCs/>
          <w:color w:val="auto"/>
          <w:sz w:val="32"/>
          <w:szCs w:val="32"/>
          <w:highlight w:val="none"/>
        </w:rPr>
      </w:pPr>
      <w:bookmarkStart w:id="0" w:name="_Toc18327"/>
      <w:bookmarkStart w:id="1" w:name="_Toc29826"/>
      <w:r>
        <w:rPr>
          <w:rFonts w:hint="eastAsia" w:ascii="仿宋" w:hAnsi="仿宋" w:eastAsia="仿宋" w:cs="仿宋"/>
          <w:b/>
          <w:color w:val="auto"/>
          <w:kern w:val="2"/>
          <w:sz w:val="36"/>
          <w:szCs w:val="22"/>
          <w:highlight w:val="none"/>
        </w:rPr>
        <w:t>第一部分  协议书</w:t>
      </w:r>
      <w:bookmarkEnd w:id="0"/>
      <w:bookmarkEnd w:id="1"/>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甲方（委托人）：广州市天河区住房建设和园林局                              </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乙方（咨询人）：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pStyle w:val="25"/>
        <w:spacing w:line="360" w:lineRule="auto"/>
        <w:rPr>
          <w:rFonts w:ascii="仿宋" w:hAnsi="仿宋" w:eastAsia="仿宋" w:cs="仿宋"/>
          <w:color w:val="auto"/>
          <w:highlight w:val="none"/>
        </w:rPr>
      </w:pPr>
    </w:p>
    <w:p>
      <w:pPr>
        <w:pStyle w:val="27"/>
        <w:spacing w:line="360" w:lineRule="auto"/>
        <w:ind w:firstLine="480" w:firstLineChars="200"/>
        <w:jc w:val="left"/>
        <w:rPr>
          <w:rFonts w:ascii="仿宋" w:hAnsi="仿宋" w:eastAsia="仿宋" w:cs="仿宋"/>
          <w:color w:val="auto"/>
          <w:sz w:val="24"/>
          <w:szCs w:val="24"/>
          <w:highlight w:val="none"/>
        </w:rPr>
      </w:pPr>
      <w:bookmarkStart w:id="2" w:name="_Toc755"/>
      <w:r>
        <w:rPr>
          <w:rFonts w:hint="eastAsia" w:ascii="仿宋" w:hAnsi="仿宋" w:eastAsia="仿宋" w:cs="仿宋"/>
          <w:color w:val="auto"/>
          <w:sz w:val="24"/>
          <w:szCs w:val="24"/>
          <w:highlight w:val="none"/>
        </w:rPr>
        <w:t>根据《中华人民共和国民法典》及其他有关法律、法规的规定，遵循平等、自愿、公平和诚信的原则，经双方友好协商，现就甲方委托乙方（咨询人）为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工程提供建设工程造价咨询服务（概算审核）之事宜达成一致，订立本合同，以资共同遵守。</w:t>
      </w:r>
    </w:p>
    <w:p>
      <w:pPr>
        <w:pStyle w:val="4"/>
        <w:numPr>
          <w:ilvl w:val="0"/>
          <w:numId w:val="0"/>
        </w:numPr>
        <w:spacing w:line="360" w:lineRule="auto"/>
        <w:rPr>
          <w:rFonts w:ascii="仿宋" w:hAnsi="仿宋" w:eastAsia="仿宋" w:cs="仿宋"/>
          <w:b/>
          <w:color w:val="auto"/>
          <w:highlight w:val="none"/>
        </w:rPr>
      </w:pPr>
      <w:r>
        <w:rPr>
          <w:rFonts w:hint="eastAsia" w:ascii="仿宋" w:hAnsi="仿宋" w:eastAsia="仿宋" w:cs="仿宋"/>
          <w:b/>
          <w:color w:val="auto"/>
          <w:highlight w:val="none"/>
        </w:rPr>
        <w:t>一、工程概况</w:t>
      </w:r>
      <w:bookmarkEnd w:id="2"/>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highlight w:val="none"/>
        </w:rPr>
        <w:t>立项批文编号或广东省企业基本建设投资项目备案证备案项目编号：</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工程名称：</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工程地点：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32"/>
          <w:szCs w:val="32"/>
          <w:highlight w:val="none"/>
          <w:u w:val="single"/>
        </w:rPr>
        <w:t xml:space="preserve">                    </w:t>
      </w:r>
    </w:p>
    <w:p>
      <w:pPr>
        <w:pStyle w:val="33"/>
        <w:spacing w:line="360" w:lineRule="auto"/>
        <w:ind w:firstLine="480" w:firstLineChars="200"/>
        <w:jc w:val="left"/>
        <w:rPr>
          <w:rFonts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rPr>
        <w:t>工程规模：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投资金额：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p>
    <w:p>
      <w:pPr>
        <w:adjustRightInd w:val="0"/>
        <w:snapToGrid w:val="0"/>
        <w:spacing w:line="360" w:lineRule="auto"/>
        <w:ind w:firstLine="475" w:firstLineChars="198"/>
        <w:rPr>
          <w:rFonts w:ascii="仿宋" w:hAnsi="仿宋" w:eastAsia="仿宋" w:cs="仿宋"/>
          <w:color w:val="auto"/>
          <w:sz w:val="24"/>
          <w:highlight w:val="none"/>
        </w:rPr>
      </w:pPr>
      <w:r>
        <w:rPr>
          <w:rFonts w:hint="eastAsia" w:ascii="仿宋" w:hAnsi="仿宋" w:eastAsia="仿宋" w:cs="仿宋"/>
          <w:color w:val="auto"/>
          <w:sz w:val="24"/>
          <w:highlight w:val="none"/>
        </w:rPr>
        <w:t>资金来源：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32"/>
          <w:szCs w:val="32"/>
          <w:highlight w:val="none"/>
          <w:u w:val="single"/>
        </w:rPr>
        <w:t xml:space="preserve">            </w:t>
      </w:r>
    </w:p>
    <w:p>
      <w:pPr>
        <w:pStyle w:val="4"/>
        <w:numPr>
          <w:ilvl w:val="0"/>
          <w:numId w:val="2"/>
        </w:numPr>
        <w:spacing w:line="360" w:lineRule="auto"/>
        <w:rPr>
          <w:rFonts w:ascii="仿宋" w:hAnsi="仿宋" w:eastAsia="仿宋" w:cs="仿宋"/>
          <w:b/>
          <w:color w:val="auto"/>
          <w:highlight w:val="none"/>
        </w:rPr>
      </w:pPr>
      <w:bookmarkStart w:id="3" w:name="_Toc27463"/>
      <w:r>
        <w:rPr>
          <w:rFonts w:hint="eastAsia" w:ascii="仿宋" w:hAnsi="仿宋" w:eastAsia="仿宋" w:cs="仿宋"/>
          <w:b/>
          <w:color w:val="auto"/>
          <w:highlight w:val="none"/>
        </w:rPr>
        <w:t>双方职责</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1、根据概算评审工作的计划及要求，委托乙方进行概算评审，向乙方出具《概算评审委托书》，与乙方签订委托合同，办理咨询费支付手续；</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2、按要求将接收的工程项目初步设计及概算评审相关资料提供给乙方，参与配合现场踏勘、情况核实、对数和补充资料等工作事宜，对概算评审工作的质量及进度进行把控；</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3、协调、处理审核过程中的投诉、争议问题。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1、遵循客观、公正、独立原则，按照国家、省、市主管部门的有关规定开展审核工作；</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2、接受甲方的指导、协调、管理、监督，无合理理由不拒绝所委托的审核工作；</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3、进行现场踏勘、情况核实、取证，开展对数工作；</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4、及时向甲方报告审核工作中遇到的重大问题；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5、在规定时限内依据初步设计图纸，完成概算审核，出具《概算评审结果报告》，并对审核报告的真实性、准确性、合法性负责；</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6、向工程项目建设单位返还审核资料。</w:t>
      </w:r>
    </w:p>
    <w:p>
      <w:pPr>
        <w:pStyle w:val="4"/>
        <w:numPr>
          <w:ilvl w:val="0"/>
          <w:numId w:val="2"/>
        </w:numPr>
        <w:spacing w:line="360" w:lineRule="auto"/>
        <w:rPr>
          <w:rFonts w:ascii="仿宋" w:hAnsi="仿宋" w:eastAsia="仿宋" w:cs="仿宋"/>
          <w:b/>
          <w:color w:val="auto"/>
          <w:highlight w:val="none"/>
        </w:rPr>
      </w:pPr>
      <w:r>
        <w:rPr>
          <w:rFonts w:hint="eastAsia" w:ascii="仿宋" w:hAnsi="仿宋" w:eastAsia="仿宋" w:cs="仿宋"/>
          <w:b/>
          <w:color w:val="auto"/>
          <w:highlight w:val="none"/>
        </w:rPr>
        <w:t>服务范围及工作内容</w:t>
      </w:r>
      <w:bookmarkEnd w:id="3"/>
    </w:p>
    <w:p>
      <w:pPr>
        <w:spacing w:line="360" w:lineRule="auto"/>
        <w:ind w:firstLine="64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乙方的服务范围及工作内容：___________。</w:t>
      </w:r>
    </w:p>
    <w:p>
      <w:pPr>
        <w:adjustRightInd w:val="0"/>
        <w:snapToGrid w:val="0"/>
        <w:spacing w:line="360" w:lineRule="auto"/>
        <w:ind w:firstLine="475" w:firstLineChars="19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□全过程造价咨询服务包括 ：□ 决策阶段、□ 设计阶段、□ 发承包阶段、□ 实施阶段、□ 竣工阶段。</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工程估算的□ 编制/□ 审核。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工程概算的□编制/☑ 审核。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施工图预算的□ 编制/□  审核。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工程量清单、招标控制价的□编制/□ 审核。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工程结算的□ 编制/□ 审核。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其他造价咨询服务：</w:t>
      </w:r>
      <w:r>
        <w:rPr>
          <w:rFonts w:hint="eastAsia" w:ascii="仿宋" w:hAnsi="仿宋" w:eastAsia="仿宋" w:cs="仿宋"/>
          <w:color w:val="auto"/>
          <w:sz w:val="24"/>
          <w:szCs w:val="24"/>
          <w:highlight w:val="none"/>
          <w:u w:val="single"/>
        </w:rPr>
        <w:t>负责与工程项目建设单位开展对数等工作</w:t>
      </w:r>
      <w:r>
        <w:rPr>
          <w:rFonts w:hint="eastAsia" w:ascii="仿宋" w:hAnsi="仿宋" w:eastAsia="仿宋" w:cs="仿宋"/>
          <w:color w:val="auto"/>
          <w:sz w:val="24"/>
          <w:szCs w:val="24"/>
          <w:highlight w:val="none"/>
        </w:rPr>
        <w:t>。</w:t>
      </w:r>
    </w:p>
    <w:p>
      <w:pPr>
        <w:pStyle w:val="4"/>
        <w:numPr>
          <w:ilvl w:val="0"/>
          <w:numId w:val="2"/>
        </w:numPr>
        <w:spacing w:line="360" w:lineRule="auto"/>
        <w:rPr>
          <w:rFonts w:ascii="仿宋" w:hAnsi="仿宋" w:eastAsia="仿宋" w:cs="仿宋"/>
          <w:b/>
          <w:color w:val="auto"/>
          <w:highlight w:val="none"/>
        </w:rPr>
      </w:pPr>
      <w:bookmarkStart w:id="4" w:name="_Toc17479"/>
      <w:r>
        <w:rPr>
          <w:rFonts w:hint="eastAsia" w:ascii="仿宋" w:hAnsi="仿宋" w:eastAsia="仿宋" w:cs="仿宋"/>
          <w:b/>
          <w:color w:val="auto"/>
          <w:highlight w:val="none"/>
        </w:rPr>
        <w:t>服务期限</w:t>
      </w:r>
      <w:bookmarkEnd w:id="4"/>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□全过程造价咨询项目：</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本合同施工工期自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天;本项目的全过程造价咨询服务期自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工程估算的□ 编制/□审核。</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工程概算的□编制/☑ 审核。</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天。</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□施工图预算的□ 编制/□审核。</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adjustRightInd w:val="0"/>
        <w:snapToGrid w:val="0"/>
        <w:spacing w:line="360" w:lineRule="auto"/>
        <w:ind w:firstLine="530" w:firstLineChars="22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工程量清单、招标控制价的□编制/□审核。</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工程结算的□编制/□审核。</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□其他造价咨询服务项目：</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除全过程造价咨询服务外，委托多项造价咨询服务的，服务期自委托人下属单位天河区建设工程技术中心发出的《概算评审委托书》次日起算，在以下时限内完成概算审核工作：</w:t>
      </w:r>
    </w:p>
    <w:p>
      <w:pPr>
        <w:pStyle w:val="36"/>
        <w:spacing w:line="360" w:lineRule="auto"/>
        <w:ind w:firstLine="480"/>
        <w:contextualSpacing/>
        <w:rPr>
          <w:rFonts w:hint="eastAsia" w:ascii="宋体" w:hAnsi="宋体" w:cs="宋体"/>
          <w:color w:val="auto"/>
          <w:kern w:val="0"/>
          <w:sz w:val="24"/>
          <w:highlight w:val="none"/>
        </w:rPr>
      </w:pPr>
      <w:r>
        <w:rPr>
          <w:rFonts w:hint="eastAsia" w:ascii="仿宋" w:hAnsi="仿宋" w:eastAsia="仿宋" w:cs="仿宋"/>
          <w:color w:val="auto"/>
          <w:sz w:val="24"/>
          <w:szCs w:val="24"/>
          <w:highlight w:val="none"/>
        </w:rPr>
        <w:t>概算审核时限:</w:t>
      </w:r>
      <w:r>
        <w:rPr>
          <w:rFonts w:hint="eastAsia" w:ascii="仿宋" w:hAnsi="仿宋" w:eastAsia="仿宋" w:cs="仿宋"/>
          <w:color w:val="auto"/>
          <w:kern w:val="0"/>
          <w:sz w:val="24"/>
          <w:szCs w:val="24"/>
          <w:highlight w:val="none"/>
        </w:rPr>
        <w:t>本项目概算审核总用时不超过20个工作日；特急情况的工作期限由</w:t>
      </w:r>
      <w:r>
        <w:rPr>
          <w:rFonts w:hint="eastAsia" w:ascii="仿宋" w:hAnsi="仿宋" w:eastAsia="仿宋" w:cs="仿宋"/>
          <w:color w:val="auto"/>
          <w:kern w:val="0"/>
          <w:sz w:val="24"/>
          <w:szCs w:val="24"/>
          <w:highlight w:val="none"/>
          <w:lang w:val="en-US" w:eastAsia="zh-CN"/>
        </w:rPr>
        <w:t>委托</w:t>
      </w:r>
      <w:r>
        <w:rPr>
          <w:rFonts w:hint="eastAsia" w:ascii="仿宋" w:hAnsi="仿宋" w:eastAsia="仿宋" w:cs="仿宋"/>
          <w:color w:val="auto"/>
          <w:kern w:val="0"/>
          <w:sz w:val="24"/>
          <w:szCs w:val="24"/>
          <w:highlight w:val="none"/>
        </w:rPr>
        <w:t>人根据实际情况确定；对于委托人提出的疑问，咨询人应在24小时内给予答复。</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咨询人自初审完成后应发审核初稿电子版给委托人，并按委托人要求与相关单位对数。</w:t>
      </w:r>
    </w:p>
    <w:p>
      <w:pPr>
        <w:pStyle w:val="16"/>
        <w:spacing w:before="0" w:after="0" w:line="360" w:lineRule="auto"/>
        <w:jc w:val="left"/>
        <w:rPr>
          <w:rFonts w:ascii="仿宋" w:hAnsi="仿宋" w:eastAsia="仿宋" w:cs="仿宋"/>
          <w:b w:val="0"/>
          <w:color w:val="auto"/>
          <w:highlight w:val="none"/>
        </w:rPr>
      </w:pPr>
      <w:bookmarkStart w:id="5" w:name="_Toc8130"/>
      <w:r>
        <w:rPr>
          <w:rFonts w:hint="eastAsia" w:ascii="仿宋" w:hAnsi="仿宋" w:eastAsia="仿宋" w:cs="仿宋"/>
          <w:bCs w:val="0"/>
          <w:color w:val="auto"/>
          <w:sz w:val="28"/>
          <w:szCs w:val="28"/>
          <w:highlight w:val="none"/>
        </w:rPr>
        <w:t>五、 质量标准</w:t>
      </w:r>
      <w:bookmarkEnd w:id="5"/>
    </w:p>
    <w:p>
      <w:pPr>
        <w:pStyle w:val="15"/>
        <w:spacing w:before="62" w:beforeLines="20" w:beforeAutospacing="0" w:after="0" w:afterAutospacing="0" w:line="360" w:lineRule="auto"/>
        <w:ind w:firstLine="480" w:firstLineChars="200"/>
        <w:rPr>
          <w:rFonts w:ascii="仿宋" w:hAnsi="仿宋" w:eastAsia="仿宋" w:cs="仿宋"/>
          <w:color w:val="auto"/>
          <w:highlight w:val="none"/>
        </w:rPr>
      </w:pPr>
      <w:bookmarkStart w:id="6" w:name="12"/>
      <w:bookmarkEnd w:id="6"/>
      <w:bookmarkStart w:id="7" w:name="_Toc419045062"/>
      <w:bookmarkStart w:id="8" w:name="_Toc475975121"/>
      <w:bookmarkStart w:id="9" w:name="_Toc17550"/>
      <w:bookmarkStart w:id="10" w:name="_Toc24143"/>
      <w:r>
        <w:rPr>
          <w:rFonts w:hint="eastAsia" w:ascii="仿宋" w:hAnsi="仿宋" w:eastAsia="仿宋" w:cs="仿宋"/>
          <w:color w:val="auto"/>
          <w:highlight w:val="none"/>
        </w:rPr>
        <w:t>工程造价咨询成果文件应符合：</w:t>
      </w:r>
      <w:r>
        <w:rPr>
          <w:rFonts w:hint="eastAsia" w:ascii="仿宋" w:hAnsi="仿宋" w:eastAsia="仿宋" w:cs="仿宋"/>
          <w:color w:val="auto"/>
          <w:highlight w:val="none"/>
          <w:u w:val="single"/>
        </w:rPr>
        <w:t>《中华人民共和国建筑法》</w:t>
      </w:r>
      <w:r>
        <w:rPr>
          <w:rFonts w:hint="eastAsia" w:ascii="仿宋" w:hAnsi="仿宋" w:eastAsia="仿宋" w:cs="仿宋"/>
          <w:color w:val="auto"/>
          <w:kern w:val="2"/>
          <w:highlight w:val="none"/>
          <w:u w:val="single"/>
        </w:rPr>
        <w:t>、</w:t>
      </w:r>
      <w:r>
        <w:rPr>
          <w:rFonts w:hint="eastAsia" w:ascii="仿宋" w:hAnsi="仿宋" w:eastAsia="仿宋" w:cs="仿宋"/>
          <w:color w:val="auto"/>
          <w:highlight w:val="none"/>
          <w:u w:val="single"/>
        </w:rPr>
        <w:t>《广东省建设工程造价管理规定》、《建筑工程施工发包与承包计价管理办法》（住房和城乡建设部令第16号）、《广州市建筑工程全过程造价技术规程》及国家现行相关法律、行政法规、部门规章、规范性文件、行业规定及广东省、广州市有关规定要求和相应的标准、规范、技术文件。</w:t>
      </w:r>
    </w:p>
    <w:p>
      <w:pPr>
        <w:pStyle w:val="15"/>
        <w:spacing w:before="62" w:beforeLines="20" w:beforeAutospacing="0" w:after="0" w:afterAutospacing="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双方确认，前述国家、行业、省市现行有效的相关标准、规范应为本合同生效时现行有效的版本。本合同生效后，若前述版本发生重大变化，或者有新的法律、法规、规章、规范性文件以及技术标准实施的，咨询人应就推荐性的规定或标准向委托人提出遵守新标准的建议，对强制性的规定或标准应当遵照执行。</w:t>
      </w:r>
    </w:p>
    <w:p>
      <w:pPr>
        <w:pStyle w:val="16"/>
        <w:spacing w:before="0" w:after="0" w:line="360" w:lineRule="auto"/>
        <w:jc w:val="left"/>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六、酬金计取方式</w:t>
      </w:r>
      <w:bookmarkEnd w:id="7"/>
      <w:bookmarkEnd w:id="8"/>
      <w:bookmarkEnd w:id="9"/>
      <w:bookmarkEnd w:id="10"/>
    </w:p>
    <w:p>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1.正常工作酬金：</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□包干价为¥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本合同履行过程中固定不变。</w:t>
      </w:r>
    </w:p>
    <w:p>
      <w:pPr>
        <w:spacing w:line="360" w:lineRule="auto"/>
        <w:ind w:firstLine="480" w:firstLineChars="200"/>
        <w:rPr>
          <w:rFonts w:ascii="仿宋" w:hAnsi="仿宋" w:eastAsia="仿宋" w:cs="仿宋"/>
          <w:color w:val="auto"/>
          <w:sz w:val="24"/>
          <w:szCs w:val="24"/>
          <w:highlight w:val="none"/>
        </w:rPr>
      </w:pPr>
      <w:bookmarkStart w:id="11" w:name="_Toc419045058"/>
      <w:bookmarkStart w:id="12" w:name="_Toc12382"/>
      <w:bookmarkStart w:id="13" w:name="_Toc475975122"/>
      <w:bookmarkStart w:id="14" w:name="_Toc6509"/>
      <w:r>
        <w:rPr>
          <w:rFonts w:hint="eastAsia" w:ascii="仿宋" w:hAnsi="仿宋" w:eastAsia="仿宋" w:cs="仿宋"/>
          <w:color w:val="auto"/>
          <w:sz w:val="24"/>
          <w:szCs w:val="24"/>
          <w:highlight w:val="none"/>
        </w:rPr>
        <w:t xml:space="preserve">☑暂定价为中标价¥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），正常服务酬金结算价的计取方式为：以初步设计修改完善后的总投资送审价（不含征拆费）为计费基数，参照《广东省建设工程造价咨询服务收费项目和收费标准表》（粤价函 【2011】742号文）的标准计取概算审核费</w:t>
      </w:r>
      <w:r>
        <w:rPr>
          <w:rFonts w:hint="eastAsia" w:ascii="仿宋" w:hAnsi="仿宋" w:eastAsia="仿宋" w:cs="仿宋"/>
          <w:color w:val="auto"/>
          <w:sz w:val="24"/>
          <w:szCs w:val="24"/>
          <w:highlight w:val="none"/>
        </w:rPr>
        <w:t>*80%</w:t>
      </w:r>
      <w:r>
        <w:rPr>
          <w:rFonts w:hint="eastAsia" w:ascii="仿宋" w:hAnsi="仿宋" w:eastAsia="仿宋" w:cs="仿宋"/>
          <w:color w:val="auto"/>
          <w:sz w:val="24"/>
          <w:szCs w:val="24"/>
          <w:highlight w:val="none"/>
        </w:rPr>
        <w:t>，并乘以咨询人所报</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折扣率X%计算</w:t>
      </w:r>
      <w:r>
        <w:rPr>
          <w:rFonts w:hint="eastAsia" w:ascii="仿宋" w:hAnsi="仿宋" w:eastAsia="仿宋" w:cs="仿宋"/>
          <w:color w:val="auto"/>
          <w:sz w:val="24"/>
          <w:szCs w:val="24"/>
          <w:highlight w:val="none"/>
        </w:rPr>
        <w:t>。（酬金只保留小数点后二位，小数点后第三位及第三位数后做舍弃）</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☑其他：双方一致同意，按本条款约定的计算方法和费率，若正常服务酬金结算金额大于或等于正常工作酬金暂定价时，本合同正常工作酬金暂定价即为结算价（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）；正常服务酬金结算金额小于正常工作酬金暂定价时，按实际金额计算酬金。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2.附加工作酬金：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□除双方就附加工作酬金金额及计取方式另行协商一致并签订书面补充协议外，视为未产生附加工作酬金。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□其他： </w:t>
      </w:r>
      <w:r>
        <w:rPr>
          <w:rFonts w:hint="eastAsia" w:ascii="仿宋" w:hAnsi="仿宋" w:eastAsia="仿宋" w:cs="仿宋"/>
          <w:color w:val="auto"/>
          <w:sz w:val="24"/>
          <w:szCs w:val="24"/>
          <w:highlight w:val="none"/>
          <w:u w:val="single"/>
        </w:rPr>
        <w:t xml:space="preserve">                      /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3.合理化建议奖励：</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□除双方就合理化建议奖励金额及计取方式另行协商一致并签订书面补充协议外，视为未产生合理化建议奖励。</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□其他： </w:t>
      </w:r>
      <w:r>
        <w:rPr>
          <w:rFonts w:hint="eastAsia" w:ascii="仿宋" w:hAnsi="仿宋" w:eastAsia="仿宋" w:cs="仿宋"/>
          <w:color w:val="auto"/>
          <w:sz w:val="24"/>
          <w:szCs w:val="24"/>
          <w:highlight w:val="none"/>
          <w:u w:val="single"/>
        </w:rPr>
        <w:t xml:space="preserve">                      /                                                      </w:t>
      </w:r>
    </w:p>
    <w:p>
      <w:pPr>
        <w:pStyle w:val="16"/>
        <w:spacing w:before="0" w:after="0" w:line="360" w:lineRule="auto"/>
        <w:jc w:val="left"/>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七、合同文件的构成</w:t>
      </w:r>
      <w:bookmarkEnd w:id="11"/>
      <w:bookmarkEnd w:id="12"/>
      <w:bookmarkEnd w:id="13"/>
      <w:bookmarkStart w:id="15" w:name="_Toc462328260"/>
    </w:p>
    <w:bookmarkEnd w:id="14"/>
    <w:p>
      <w:pPr>
        <w:pStyle w:val="27"/>
        <w:spacing w:line="360" w:lineRule="auto"/>
        <w:ind w:firstLine="360" w:firstLineChars="15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合同文件的构成及其优先解释顺序与本合同第二部分《通用条款》第1.3款赋予的规定一致。</w:t>
      </w:r>
      <w:bookmarkEnd w:id="15"/>
    </w:p>
    <w:p>
      <w:pPr>
        <w:pStyle w:val="16"/>
        <w:spacing w:before="0" w:after="0" w:line="360" w:lineRule="auto"/>
        <w:jc w:val="left"/>
        <w:rPr>
          <w:rStyle w:val="29"/>
          <w:rFonts w:ascii="仿宋" w:hAnsi="仿宋" w:eastAsia="仿宋" w:cs="仿宋"/>
          <w:b w:val="0"/>
          <w:bCs w:val="0"/>
          <w:color w:val="auto"/>
          <w:sz w:val="24"/>
          <w:szCs w:val="24"/>
          <w:highlight w:val="none"/>
        </w:rPr>
      </w:pPr>
      <w:bookmarkStart w:id="16" w:name="_Toc419045057"/>
      <w:bookmarkStart w:id="17" w:name="_Toc17538"/>
      <w:bookmarkStart w:id="18" w:name="_Toc475975123"/>
      <w:bookmarkStart w:id="19" w:name="_Toc7815"/>
      <w:r>
        <w:rPr>
          <w:rFonts w:hint="eastAsia" w:ascii="仿宋" w:hAnsi="仿宋" w:eastAsia="仿宋" w:cs="仿宋"/>
          <w:bCs w:val="0"/>
          <w:color w:val="auto"/>
          <w:sz w:val="28"/>
          <w:szCs w:val="28"/>
          <w:highlight w:val="none"/>
        </w:rPr>
        <w:t>八、</w:t>
      </w:r>
      <w:bookmarkStart w:id="20" w:name="8"/>
      <w:bookmarkEnd w:id="20"/>
      <w:r>
        <w:rPr>
          <w:rFonts w:hint="eastAsia" w:ascii="仿宋" w:hAnsi="仿宋" w:eastAsia="仿宋" w:cs="仿宋"/>
          <w:bCs w:val="0"/>
          <w:color w:val="auto"/>
          <w:sz w:val="28"/>
          <w:szCs w:val="28"/>
          <w:highlight w:val="none"/>
        </w:rPr>
        <w:t>词语</w:t>
      </w:r>
      <w:bookmarkEnd w:id="16"/>
      <w:r>
        <w:rPr>
          <w:rFonts w:hint="eastAsia" w:ascii="仿宋" w:hAnsi="仿宋" w:eastAsia="仿宋" w:cs="仿宋"/>
          <w:bCs w:val="0"/>
          <w:color w:val="auto"/>
          <w:sz w:val="28"/>
          <w:szCs w:val="28"/>
          <w:highlight w:val="none"/>
        </w:rPr>
        <w:t>定义</w:t>
      </w:r>
      <w:bookmarkEnd w:id="17"/>
      <w:bookmarkEnd w:id="18"/>
      <w:bookmarkEnd w:id="19"/>
    </w:p>
    <w:p>
      <w:pPr>
        <w:spacing w:line="360" w:lineRule="auto"/>
        <w:ind w:firstLine="480" w:firstLineChars="200"/>
        <w:rPr>
          <w:rFonts w:ascii="仿宋" w:hAnsi="仿宋" w:eastAsia="仿宋" w:cs="仿宋"/>
          <w:color w:val="auto"/>
          <w:sz w:val="24"/>
          <w:szCs w:val="24"/>
          <w:highlight w:val="none"/>
        </w:rPr>
      </w:pPr>
      <w:bookmarkStart w:id="21" w:name="_Toc475975124"/>
      <w:bookmarkStart w:id="22" w:name="_Toc419045063"/>
      <w:bookmarkStart w:id="23" w:name="_Toc7398"/>
      <w:bookmarkStart w:id="24" w:name="_Toc16048"/>
      <w:r>
        <w:rPr>
          <w:rFonts w:hint="eastAsia" w:ascii="仿宋" w:hAnsi="仿宋" w:eastAsia="仿宋" w:cs="仿宋"/>
          <w:color w:val="auto"/>
          <w:sz w:val="24"/>
          <w:szCs w:val="24"/>
          <w:highlight w:val="none"/>
        </w:rPr>
        <w:t>协议书中相关词语的含义与本合同第二部分《通用条款》第1.1款赋予的定义与解释相同。</w:t>
      </w:r>
    </w:p>
    <w:p>
      <w:pPr>
        <w:pStyle w:val="16"/>
        <w:spacing w:before="0" w:after="0" w:line="360" w:lineRule="auto"/>
        <w:jc w:val="left"/>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九、合同订立</w:t>
      </w:r>
      <w:bookmarkEnd w:id="21"/>
      <w:bookmarkEnd w:id="22"/>
      <w:bookmarkEnd w:id="23"/>
      <w:bookmarkEnd w:id="24"/>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2.订立地点：广州市天河区。</w:t>
      </w:r>
    </w:p>
    <w:p>
      <w:pPr>
        <w:pStyle w:val="16"/>
        <w:spacing w:before="0" w:after="0" w:line="360" w:lineRule="auto"/>
        <w:jc w:val="left"/>
        <w:rPr>
          <w:rFonts w:ascii="仿宋" w:hAnsi="仿宋" w:eastAsia="仿宋" w:cs="仿宋"/>
          <w:bCs w:val="0"/>
          <w:color w:val="auto"/>
          <w:sz w:val="28"/>
          <w:szCs w:val="28"/>
          <w:highlight w:val="none"/>
        </w:rPr>
      </w:pPr>
      <w:bookmarkStart w:id="25" w:name="_Toc419045064"/>
      <w:bookmarkStart w:id="26" w:name="_Toc31233"/>
      <w:bookmarkStart w:id="27" w:name="_Toc24567"/>
      <w:bookmarkStart w:id="28" w:name="_Toc475975125"/>
      <w:r>
        <w:rPr>
          <w:rFonts w:hint="eastAsia" w:ascii="仿宋" w:hAnsi="仿宋" w:eastAsia="仿宋" w:cs="仿宋"/>
          <w:bCs w:val="0"/>
          <w:color w:val="auto"/>
          <w:sz w:val="28"/>
          <w:szCs w:val="28"/>
          <w:highlight w:val="none"/>
        </w:rPr>
        <w:t>十、合同生效</w:t>
      </w:r>
      <w:bookmarkEnd w:id="25"/>
      <w:bookmarkEnd w:id="26"/>
      <w:bookmarkEnd w:id="27"/>
      <w:bookmarkEnd w:id="28"/>
    </w:p>
    <w:p>
      <w:pPr>
        <w:pStyle w:val="16"/>
        <w:spacing w:before="0" w:after="0" w:line="360" w:lineRule="auto"/>
        <w:ind w:firstLine="480" w:firstLineChars="200"/>
        <w:jc w:val="left"/>
        <w:rPr>
          <w:rFonts w:ascii="仿宋" w:hAnsi="仿宋" w:eastAsia="仿宋" w:cs="仿宋"/>
          <w:b w:val="0"/>
          <w:bCs w:val="0"/>
          <w:color w:val="auto"/>
          <w:sz w:val="24"/>
          <w:szCs w:val="24"/>
          <w:highlight w:val="none"/>
        </w:rPr>
      </w:pPr>
      <w:bookmarkStart w:id="29" w:name="_Toc475975126"/>
      <w:bookmarkStart w:id="30" w:name="_Toc29133"/>
      <w:bookmarkStart w:id="31" w:name="_Toc5706"/>
      <w:bookmarkStart w:id="32" w:name="_Toc419045065"/>
      <w:r>
        <w:rPr>
          <w:rFonts w:hint="eastAsia" w:ascii="仿宋" w:hAnsi="仿宋" w:eastAsia="仿宋" w:cs="仿宋"/>
          <w:b w:val="0"/>
          <w:bCs w:val="0"/>
          <w:color w:val="auto"/>
          <w:sz w:val="24"/>
          <w:szCs w:val="24"/>
          <w:highlight w:val="none"/>
        </w:rPr>
        <w:t>本合同自双方法定代表人或委托代理人签名或加盖公章之日起生效，生效时间以在后一方签署的时间为据。如由委托代理人签署的，须提供授权委托书、主体身份证明材料、法定代表人身份证明书及法定代表人身份证复印件、委托代理人身份证明以及工作证明材料作为本合同的附件。</w:t>
      </w:r>
    </w:p>
    <w:p>
      <w:pPr>
        <w:pStyle w:val="16"/>
        <w:spacing w:before="0" w:after="0" w:line="360" w:lineRule="auto"/>
        <w:jc w:val="left"/>
        <w:rPr>
          <w:rFonts w:ascii="仿宋" w:hAnsi="仿宋" w:eastAsia="仿宋" w:cs="仿宋"/>
          <w:b w:val="0"/>
          <w:color w:val="auto"/>
          <w:sz w:val="24"/>
          <w:szCs w:val="24"/>
          <w:highlight w:val="none"/>
        </w:rPr>
      </w:pPr>
      <w:r>
        <w:rPr>
          <w:rFonts w:hint="eastAsia" w:ascii="仿宋" w:hAnsi="仿宋" w:eastAsia="仿宋" w:cs="仿宋"/>
          <w:bCs w:val="0"/>
          <w:color w:val="auto"/>
          <w:sz w:val="28"/>
          <w:szCs w:val="28"/>
          <w:highlight w:val="none"/>
        </w:rPr>
        <w:t>十一、合同份数</w:t>
      </w:r>
      <w:bookmarkEnd w:id="29"/>
      <w:bookmarkEnd w:id="30"/>
      <w:bookmarkEnd w:id="31"/>
      <w:bookmarkEnd w:id="32"/>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陆  </w:t>
      </w:r>
      <w:r>
        <w:rPr>
          <w:rFonts w:hint="eastAsia" w:ascii="仿宋" w:hAnsi="仿宋" w:eastAsia="仿宋" w:cs="仿宋"/>
          <w:color w:val="auto"/>
          <w:sz w:val="24"/>
          <w:szCs w:val="24"/>
          <w:highlight w:val="none"/>
        </w:rPr>
        <w:t>份，具有同等法律效力，其中委托人执</w:t>
      </w:r>
      <w:r>
        <w:rPr>
          <w:rFonts w:hint="eastAsia" w:ascii="仿宋" w:hAnsi="仿宋" w:eastAsia="仿宋" w:cs="仿宋"/>
          <w:color w:val="auto"/>
          <w:sz w:val="24"/>
          <w:szCs w:val="24"/>
          <w:highlight w:val="none"/>
          <w:u w:val="single"/>
        </w:rPr>
        <w:t xml:space="preserve">  肆  </w:t>
      </w:r>
      <w:r>
        <w:rPr>
          <w:rFonts w:hint="eastAsia" w:ascii="仿宋" w:hAnsi="仿宋" w:eastAsia="仿宋" w:cs="仿宋"/>
          <w:color w:val="auto"/>
          <w:sz w:val="24"/>
          <w:szCs w:val="24"/>
          <w:highlight w:val="none"/>
        </w:rPr>
        <w:t>份，咨询人执</w:t>
      </w:r>
      <w:r>
        <w:rPr>
          <w:rFonts w:hint="eastAsia" w:ascii="仿宋" w:hAnsi="仿宋" w:eastAsia="仿宋" w:cs="仿宋"/>
          <w:color w:val="auto"/>
          <w:sz w:val="24"/>
          <w:szCs w:val="24"/>
          <w:highlight w:val="none"/>
          <w:u w:val="single"/>
        </w:rPr>
        <w:t xml:space="preserve">  贰   </w:t>
      </w:r>
      <w:r>
        <w:rPr>
          <w:rFonts w:hint="eastAsia" w:ascii="仿宋" w:hAnsi="仿宋" w:eastAsia="仿宋" w:cs="仿宋"/>
          <w:color w:val="auto"/>
          <w:sz w:val="24"/>
          <w:szCs w:val="24"/>
          <w:highlight w:val="none"/>
        </w:rPr>
        <w:t>份。</w:t>
      </w:r>
    </w:p>
    <w:p>
      <w:pPr>
        <w:pStyle w:val="25"/>
        <w:spacing w:line="360" w:lineRule="auto"/>
        <w:rPr>
          <w:rFonts w:ascii="仿宋" w:hAnsi="仿宋" w:eastAsia="仿宋" w:cs="仿宋"/>
          <w:color w:val="auto"/>
          <w:highlight w:val="none"/>
        </w:rPr>
      </w:pPr>
      <w:r>
        <w:rPr>
          <w:rFonts w:hint="eastAsia" w:ascii="仿宋" w:hAnsi="仿宋" w:eastAsia="仿宋" w:cs="仿宋"/>
          <w:color w:val="auto"/>
          <w:highlight w:val="none"/>
        </w:rPr>
        <w:t>（以下部分无《广州市建设工程造价咨询合同(概算审核）》第一部分《协议书》正文内容）</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27"/>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（本页无《广州市建设工程造价咨询合同(概算审核）》第一部分《协议书》正文内容，为签章页）</w:t>
      </w:r>
    </w:p>
    <w:tbl>
      <w:tblPr>
        <w:tblStyle w:val="19"/>
        <w:tblW w:w="9588" w:type="dxa"/>
        <w:tblInd w:w="0" w:type="dxa"/>
        <w:tblLayout w:type="fixed"/>
        <w:tblCellMar>
          <w:top w:w="0" w:type="dxa"/>
          <w:left w:w="108" w:type="dxa"/>
          <w:bottom w:w="0" w:type="dxa"/>
          <w:right w:w="108" w:type="dxa"/>
        </w:tblCellMar>
      </w:tblPr>
      <w:tblGrid>
        <w:gridCol w:w="4733"/>
        <w:gridCol w:w="4855"/>
      </w:tblGrid>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bookmarkStart w:id="33" w:name="_Toc10875"/>
            <w:r>
              <w:rPr>
                <w:rFonts w:hint="eastAsia" w:ascii="仿宋" w:hAnsi="仿宋" w:eastAsia="仿宋" w:cs="仿宋"/>
                <w:color w:val="auto"/>
                <w:kern w:val="0"/>
                <w:sz w:val="24"/>
                <w:highlight w:val="none"/>
              </w:rPr>
              <w:t>甲方（盖章）：广州市天河区住房建设和园林局</w:t>
            </w:r>
          </w:p>
        </w:tc>
        <w:tc>
          <w:tcPr>
            <w:tcW w:w="4855"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乙方（盖章）：</w:t>
            </w:r>
          </w:p>
          <w:p>
            <w:pPr>
              <w:pStyle w:val="31"/>
              <w:spacing w:line="440" w:lineRule="exact"/>
              <w:rPr>
                <w:rFonts w:ascii="仿宋" w:hAnsi="仿宋" w:eastAsia="仿宋" w:cs="仿宋"/>
                <w:color w:val="auto"/>
                <w:kern w:val="0"/>
                <w:sz w:val="24"/>
                <w:highlight w:val="none"/>
              </w:rPr>
            </w:pPr>
          </w:p>
        </w:tc>
      </w:tr>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地址：广州市天河区黄埔大道中144号海景中心东塔四楼</w:t>
            </w:r>
          </w:p>
        </w:tc>
        <w:tc>
          <w:tcPr>
            <w:tcW w:w="4855"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tc>
      </w:tr>
      <w:tr>
        <w:tblPrEx>
          <w:tblCellMar>
            <w:top w:w="0" w:type="dxa"/>
            <w:left w:w="108" w:type="dxa"/>
            <w:bottom w:w="0" w:type="dxa"/>
            <w:right w:w="108" w:type="dxa"/>
          </w:tblCellMar>
        </w:tblPrEx>
        <w:trPr>
          <w:trHeight w:val="987" w:hRule="atLeast"/>
        </w:trPr>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法定代表人（签名或签章）：</w:t>
            </w:r>
          </w:p>
        </w:tc>
        <w:tc>
          <w:tcPr>
            <w:tcW w:w="4855"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法定代表人（签名或签章）：</w:t>
            </w:r>
          </w:p>
        </w:tc>
      </w:tr>
      <w:tr>
        <w:tblPrEx>
          <w:tblCellMar>
            <w:top w:w="0" w:type="dxa"/>
            <w:left w:w="108" w:type="dxa"/>
            <w:bottom w:w="0" w:type="dxa"/>
            <w:right w:w="108" w:type="dxa"/>
          </w:tblCellMar>
        </w:tblPrEx>
        <w:trPr>
          <w:trHeight w:val="1347" w:hRule="atLeast"/>
        </w:trPr>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联系人（签名）： </w:t>
            </w:r>
          </w:p>
        </w:tc>
        <w:tc>
          <w:tcPr>
            <w:tcW w:w="4855" w:type="dxa"/>
            <w:tcBorders>
              <w:tl2br w:val="nil"/>
              <w:tr2bl w:val="nil"/>
            </w:tcBorders>
          </w:tcPr>
          <w:p>
            <w:pPr>
              <w:tabs>
                <w:tab w:val="left" w:pos="4620"/>
              </w:tabs>
              <w:spacing w:line="440" w:lineRule="exact"/>
              <w:ind w:left="1200" w:hanging="1200" w:hangingChars="5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或委托代理人（签名）：</w:t>
            </w:r>
          </w:p>
        </w:tc>
      </w:tr>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    话：</w:t>
            </w:r>
          </w:p>
        </w:tc>
        <w:tc>
          <w:tcPr>
            <w:tcW w:w="4855"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    话：</w:t>
            </w:r>
          </w:p>
        </w:tc>
      </w:tr>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传    真：</w:t>
            </w:r>
          </w:p>
        </w:tc>
        <w:tc>
          <w:tcPr>
            <w:tcW w:w="4855" w:type="dxa"/>
            <w:tcBorders>
              <w:tl2br w:val="nil"/>
              <w:tr2bl w:val="nil"/>
            </w:tcBorders>
          </w:tcPr>
          <w:p>
            <w:pPr>
              <w:pStyle w:val="31"/>
              <w:spacing w:line="440" w:lineRule="exact"/>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传    真：</w:t>
            </w:r>
          </w:p>
        </w:tc>
      </w:tr>
      <w:tr>
        <w:tblPrEx>
          <w:tblCellMar>
            <w:top w:w="0" w:type="dxa"/>
            <w:left w:w="108" w:type="dxa"/>
            <w:bottom w:w="0" w:type="dxa"/>
            <w:right w:w="108" w:type="dxa"/>
          </w:tblCellMar>
        </w:tblPrEx>
        <w:tc>
          <w:tcPr>
            <w:tcW w:w="4733" w:type="dxa"/>
            <w:tcBorders>
              <w:bottom w:val="nil"/>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tc>
        <w:tc>
          <w:tcPr>
            <w:tcW w:w="4855" w:type="dxa"/>
            <w:tcBorders>
              <w:bottom w:val="nil"/>
              <w:tl2br w:val="nil"/>
              <w:tr2bl w:val="nil"/>
            </w:tcBorders>
          </w:tcPr>
          <w:p>
            <w:pPr>
              <w:spacing w:line="4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3" w:type="dxa"/>
            <w:tcBorders>
              <w:top w:val="nil"/>
              <w:left w:val="nil"/>
              <w:bottom w:val="nil"/>
              <w:right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银行账号：</w:t>
            </w:r>
          </w:p>
        </w:tc>
        <w:tc>
          <w:tcPr>
            <w:tcW w:w="4855" w:type="dxa"/>
            <w:tcBorders>
              <w:top w:val="nil"/>
              <w:left w:val="nil"/>
              <w:bottom w:val="nil"/>
              <w:right w:val="nil"/>
            </w:tcBorders>
          </w:tcPr>
          <w:p>
            <w:pPr>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银行账号：</w:t>
            </w:r>
          </w:p>
        </w:tc>
      </w:tr>
      <w:tr>
        <w:tblPrEx>
          <w:tblCellMar>
            <w:top w:w="0" w:type="dxa"/>
            <w:left w:w="108" w:type="dxa"/>
            <w:bottom w:w="0" w:type="dxa"/>
            <w:right w:w="108" w:type="dxa"/>
          </w:tblCellMar>
        </w:tblPrEx>
        <w:tc>
          <w:tcPr>
            <w:tcW w:w="4733" w:type="dxa"/>
            <w:tcBorders>
              <w:top w:val="nil"/>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p>
        </w:tc>
        <w:tc>
          <w:tcPr>
            <w:tcW w:w="4855" w:type="dxa"/>
            <w:tcBorders>
              <w:top w:val="nil"/>
              <w:tl2br w:val="nil"/>
              <w:tr2bl w:val="nil"/>
            </w:tcBorders>
          </w:tcPr>
          <w:p>
            <w:pPr>
              <w:spacing w:line="4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highlight w:val="none"/>
              </w:rPr>
              <w:t>邮政编码：</w:t>
            </w:r>
          </w:p>
        </w:tc>
      </w:tr>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电子邮箱：</w:t>
            </w:r>
          </w:p>
        </w:tc>
        <w:tc>
          <w:tcPr>
            <w:tcW w:w="4855" w:type="dxa"/>
            <w:tcBorders>
              <w:tl2br w:val="nil"/>
              <w:tr2bl w:val="nil"/>
            </w:tcBorders>
          </w:tcPr>
          <w:p>
            <w:pPr>
              <w:spacing w:line="4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highlight w:val="none"/>
              </w:rPr>
              <w:t>电子邮箱：</w:t>
            </w:r>
          </w:p>
        </w:tc>
      </w:tr>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p>
        </w:tc>
        <w:tc>
          <w:tcPr>
            <w:tcW w:w="4855" w:type="dxa"/>
            <w:tcBorders>
              <w:tl2br w:val="nil"/>
              <w:tr2bl w:val="nil"/>
            </w:tcBorders>
          </w:tcPr>
          <w:p>
            <w:pPr>
              <w:pStyle w:val="31"/>
              <w:spacing w:line="440" w:lineRule="exact"/>
              <w:rPr>
                <w:rFonts w:ascii="仿宋" w:hAnsi="仿宋" w:eastAsia="仿宋" w:cs="仿宋"/>
                <w:color w:val="auto"/>
                <w:kern w:val="0"/>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733" w:type="dxa"/>
            <w:tcBorders>
              <w:top w:val="nil"/>
              <w:left w:val="nil"/>
              <w:bottom w:val="nil"/>
              <w:right w:val="nil"/>
            </w:tcBorders>
          </w:tcPr>
          <w:p>
            <w:pPr>
              <w:pStyle w:val="31"/>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合同订立时间：2023  年   月    日</w:t>
            </w:r>
          </w:p>
        </w:tc>
        <w:tc>
          <w:tcPr>
            <w:tcW w:w="4855" w:type="dxa"/>
            <w:tcBorders>
              <w:top w:val="nil"/>
              <w:left w:val="nil"/>
              <w:bottom w:val="nil"/>
              <w:right w:val="nil"/>
            </w:tcBorders>
          </w:tcPr>
          <w:p>
            <w:pPr>
              <w:pStyle w:val="31"/>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合同订立时间：2023  年   月    日</w:t>
            </w:r>
          </w:p>
        </w:tc>
      </w:tr>
    </w:tbl>
    <w:p>
      <w:pPr>
        <w:tabs>
          <w:tab w:val="left" w:pos="525"/>
          <w:tab w:val="left" w:pos="1155"/>
        </w:tabs>
        <w:spacing w:line="360" w:lineRule="auto"/>
        <w:rPr>
          <w:rFonts w:ascii="仿宋" w:hAnsi="仿宋" w:eastAsia="仿宋" w:cs="仿宋"/>
          <w:color w:val="auto"/>
          <w:sz w:val="24"/>
          <w:szCs w:val="24"/>
          <w:highlight w:val="none"/>
        </w:rPr>
      </w:pPr>
    </w:p>
    <w:p>
      <w:pP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pPr>
        <w:pStyle w:val="3"/>
        <w:ind w:firstLine="3253" w:firstLineChars="900"/>
        <w:jc w:val="both"/>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通用条款</w:t>
      </w:r>
      <w:bookmarkEnd w:id="33"/>
    </w:p>
    <w:p>
      <w:pPr>
        <w:rPr>
          <w:rFonts w:ascii="仿宋" w:hAnsi="仿宋" w:eastAsia="仿宋" w:cs="仿宋"/>
          <w:color w:val="auto"/>
          <w:highlight w:val="none"/>
        </w:rPr>
      </w:pPr>
    </w:p>
    <w:p>
      <w:pPr>
        <w:pStyle w:val="5"/>
        <w:numPr>
          <w:ilvl w:val="0"/>
          <w:numId w:val="0"/>
        </w:numPr>
        <w:spacing w:line="360" w:lineRule="auto"/>
        <w:ind w:firstLine="482" w:firstLineChars="200"/>
        <w:rPr>
          <w:rFonts w:ascii="仿宋" w:hAnsi="仿宋" w:eastAsia="仿宋" w:cs="仿宋"/>
          <w:color w:val="auto"/>
          <w:sz w:val="24"/>
          <w:szCs w:val="24"/>
          <w:highlight w:val="none"/>
        </w:rPr>
      </w:pPr>
      <w:bookmarkStart w:id="34" w:name="_Toc2125"/>
      <w:r>
        <w:rPr>
          <w:rFonts w:hint="eastAsia" w:ascii="仿宋" w:hAnsi="仿宋" w:eastAsia="仿宋" w:cs="仿宋"/>
          <w:color w:val="auto"/>
          <w:sz w:val="24"/>
          <w:szCs w:val="24"/>
          <w:highlight w:val="none"/>
        </w:rPr>
        <w:t>1. 词语定义、语言、解释顺序与适用法律</w:t>
      </w:r>
    </w:p>
    <w:p>
      <w:pPr>
        <w:pStyle w:val="5"/>
        <w:numPr>
          <w:ilvl w:val="0"/>
          <w:numId w:val="0"/>
        </w:numPr>
        <w:spacing w:line="360" w:lineRule="auto"/>
        <w:ind w:firstLine="482" w:firstLineChars="200"/>
        <w:rPr>
          <w:rFonts w:ascii="仿宋" w:hAnsi="仿宋" w:eastAsia="仿宋" w:cs="仿宋"/>
          <w:color w:val="auto"/>
          <w:sz w:val="24"/>
          <w:szCs w:val="24"/>
          <w:highlight w:val="none"/>
        </w:rPr>
      </w:pPr>
      <w:bookmarkStart w:id="35" w:name="_Toc8184"/>
      <w:r>
        <w:rPr>
          <w:rFonts w:hint="eastAsia" w:ascii="仿宋" w:hAnsi="仿宋" w:eastAsia="仿宋" w:cs="仿宋"/>
          <w:color w:val="auto"/>
          <w:sz w:val="24"/>
          <w:szCs w:val="24"/>
          <w:highlight w:val="none"/>
        </w:rPr>
        <w:t>1.1词语定义</w:t>
      </w:r>
      <w:bookmarkEnd w:id="35"/>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组成本合同的全部文件中的下列名词和用语应具有本款所赋予的含义：</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1.1.1“工程”是指按照本合同约定实施造价咨询与其他服务的建设工程。    </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1.1.2“工程造价”是指工程项目建设过程中预计或实际支出的全部费用。</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1.1.3“委托人”是指本合同中委托造价咨询与其他服务的一方，及其合法的继承人或受让人。</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1.1.4“咨询人”是指本合同中提供造价咨询与其他服务的一方，及其合法的继承人。</w:t>
      </w:r>
    </w:p>
    <w:p>
      <w:pPr>
        <w:pStyle w:val="27"/>
        <w:spacing w:line="360" w:lineRule="auto"/>
        <w:ind w:firstLine="480" w:firstLineChars="200"/>
        <w:jc w:val="left"/>
        <w:rPr>
          <w:rFonts w:ascii="仿宋" w:hAnsi="仿宋" w:eastAsia="仿宋" w:cs="仿宋"/>
          <w:color w:val="auto"/>
          <w:sz w:val="24"/>
          <w:szCs w:val="24"/>
          <w:highlight w:val="none"/>
        </w:rPr>
      </w:pP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1.1.5“第三人”是指除委托人、咨询人以外与本咨询业务有关的当事人。</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1.1.6“正常工作”是指本合同订立时通用条款和专用条款中约定的咨询人的工作。</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1.1.7“附加工作”是指咨询人根据合同条件完成的正常工作以外的工作。包括合同期限延长、增加服务内容、增加服务范围、提高成果质量标准、要求赶工、非咨询人原因引起的重复或反复工作均为附加工作。</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1.1.8“项目咨询团队”是指咨询人指派负责履行本合同的团队，其团队成员为本合同的项目咨询人员。</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1.1.9“项目负责人”是指由咨询人的法定代表人书面授权，在授权范围内负责履行本合同、主持项目咨询团队工作的负责人。</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1.1.10“委托人代表”是指由委托人的法定代表人书面授权，在授权范围内行使委托人权利的人。</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★1.1.11“酬金”是指咨询人履行本合同义务，委托人按照本合同约定给付咨询人的金额。包括正常工作酬金、附加工作酬金和合理化建议奖励金额及费用。</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1.1.12“正常工作酬金”是指在协议书中载明的，咨询人完成正常工作，委托人应给付咨询人的酬金。</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★1.1.13“附加工作酬金”是指咨询人完成附加工作，委托人应给付咨询人的酬金。</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1.1.14“书面形式”是指合同书、信件和数据电文（包括电报、电传、传真、电子数据交换和电子邮件）等可以有形地表现所载内容的形式。</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1.1.15“不可抗力”是指委托人和咨询人在订立本合同时不可预见，在合同履行过程中不可避免并不能克服的自然灾害和社会性突发事件，如地震、海啸、瘟疫、水灾、骚乱、暴动、战争等。</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1.1.16“合理化建议奖励金额及费用”是指咨询人对咨询项目提出合理化建议或优化建议被采纳且为项目节约了投资的，委托人应付给咨询人一定比例的费用奖励。</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1.1.17“小时或天”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36" w:name="_Toc475975130"/>
      <w:bookmarkStart w:id="37" w:name="_Toc419045069"/>
      <w:bookmarkStart w:id="38" w:name="_Toc24586"/>
      <w:bookmarkStart w:id="39" w:name="_Toc11141"/>
      <w:r>
        <w:rPr>
          <w:rFonts w:hint="eastAsia" w:ascii="仿宋" w:hAnsi="仿宋" w:eastAsia="仿宋" w:cs="仿宋"/>
          <w:color w:val="auto"/>
          <w:kern w:val="0"/>
          <w:sz w:val="24"/>
          <w:szCs w:val="24"/>
          <w:highlight w:val="none"/>
        </w:rPr>
        <w:t>1.2语言</w:t>
      </w:r>
      <w:bookmarkEnd w:id="36"/>
      <w:bookmarkEnd w:id="37"/>
      <w:bookmarkEnd w:id="38"/>
      <w:bookmarkEnd w:id="39"/>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本合同使用中文书写、解释和说明。如专用条款约定使用两种及以上语言文字时，应以中文为准。</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40" w:name="_Toc20326"/>
      <w:bookmarkStart w:id="41" w:name="_Toc462045895"/>
      <w:bookmarkStart w:id="42" w:name="_Toc475975131"/>
      <w:bookmarkStart w:id="43" w:name="_Toc8036"/>
      <w:r>
        <w:rPr>
          <w:rFonts w:hint="eastAsia" w:ascii="仿宋" w:hAnsi="仿宋" w:eastAsia="仿宋" w:cs="仿宋"/>
          <w:color w:val="auto"/>
          <w:kern w:val="0"/>
          <w:sz w:val="24"/>
          <w:szCs w:val="24"/>
          <w:highlight w:val="none"/>
        </w:rPr>
        <w:t>1.3合同文件的组成及解释顺序</w:t>
      </w:r>
      <w:bookmarkEnd w:id="40"/>
      <w:bookmarkEnd w:id="41"/>
      <w:bookmarkEnd w:id="42"/>
      <w:bookmarkEnd w:id="43"/>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组成本合同的下列文件彼此应能相互解释、互为说明。除专用条款另有约定外，本合同文件的解释顺序如下：</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1.履行本合同的相关补充协议（含工程洽商记录、会议纪要、工程变更、现场签证、索赔和合同价款调整报告等修正文件）；</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2.协议书；</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3.中标通知书（适用于招标工程）或委托书（适用于非招标工程）；</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4.专用条款及附件；</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5.通用条款；</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6.投标函及投标函附录（适用于招标工程）或造价咨询服务建议书（适用于非招标工程）；</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7.专用条款约定的其他文件。</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w:t>
      </w:r>
    </w:p>
    <w:p>
      <w:pPr>
        <w:spacing w:line="360" w:lineRule="auto"/>
        <w:ind w:firstLine="46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在合同订立及履行过程中形成的与合同有关的文件均构成合同文件的组成部分。</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44" w:name="_Toc475975132"/>
      <w:bookmarkStart w:id="45" w:name="_Toc29834"/>
      <w:bookmarkStart w:id="46" w:name="_Toc419045071"/>
      <w:bookmarkStart w:id="47" w:name="_Toc5540"/>
      <w:r>
        <w:rPr>
          <w:rFonts w:hint="eastAsia" w:ascii="仿宋" w:hAnsi="仿宋" w:eastAsia="仿宋" w:cs="仿宋"/>
          <w:color w:val="auto"/>
          <w:kern w:val="0"/>
          <w:sz w:val="24"/>
          <w:szCs w:val="24"/>
          <w:highlight w:val="none"/>
        </w:rPr>
        <w:t>1.4适用法律</w:t>
      </w:r>
      <w:bookmarkEnd w:id="44"/>
      <w:bookmarkEnd w:id="45"/>
      <w:bookmarkEnd w:id="46"/>
      <w:bookmarkEnd w:id="47"/>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本合同适用中华人民共和国法律、行政法规、部门规章以及工程所在地的地方性法规、单行条例、地方政府规章和行政规范性文件。</w:t>
      </w:r>
    </w:p>
    <w:p>
      <w:pPr>
        <w:spacing w:line="360" w:lineRule="auto"/>
        <w:ind w:firstLine="480" w:firstLineChars="200"/>
        <w:rPr>
          <w:rStyle w:val="29"/>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合同当事人可以在专用条款中约定本合同适用的其他规范、规程、定额、技术标准等规范性文件。</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48" w:name="_Toc475975133"/>
      <w:bookmarkStart w:id="49" w:name="_Toc15614"/>
      <w:r>
        <w:rPr>
          <w:rFonts w:hint="eastAsia" w:ascii="仿宋" w:hAnsi="仿宋" w:eastAsia="仿宋" w:cs="仿宋"/>
          <w:color w:val="auto"/>
          <w:kern w:val="0"/>
          <w:sz w:val="24"/>
          <w:szCs w:val="24"/>
          <w:highlight w:val="none"/>
        </w:rPr>
        <w:t>2.委托人的义务</w:t>
      </w:r>
      <w:bookmarkEnd w:id="48"/>
      <w:bookmarkEnd w:id="49"/>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50" w:name="_Toc475975134"/>
      <w:bookmarkStart w:id="51" w:name="_Toc419045072"/>
      <w:bookmarkStart w:id="52" w:name="_Toc27021"/>
      <w:r>
        <w:rPr>
          <w:rFonts w:hint="eastAsia" w:ascii="仿宋" w:hAnsi="仿宋" w:eastAsia="仿宋" w:cs="仿宋"/>
          <w:color w:val="auto"/>
          <w:kern w:val="0"/>
          <w:sz w:val="24"/>
          <w:szCs w:val="24"/>
          <w:highlight w:val="none"/>
        </w:rPr>
        <w:t>★2.1提供资料</w:t>
      </w:r>
      <w:bookmarkEnd w:id="50"/>
      <w:bookmarkEnd w:id="51"/>
      <w:bookmarkEnd w:id="52"/>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在专用条款约定的时间内，参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14"/>
        <w:spacing w:before="60" w:line="360" w:lineRule="auto"/>
        <w:ind w:firstLine="480" w:firstLineChars="200"/>
        <w:jc w:val="left"/>
        <w:rPr>
          <w:rFonts w:ascii="仿宋" w:hAnsi="仿宋" w:eastAsia="仿宋" w:cs="仿宋"/>
          <w:b w:val="0"/>
          <w:color w:val="auto"/>
          <w:sz w:val="24"/>
          <w:szCs w:val="24"/>
          <w:highlight w:val="none"/>
        </w:rPr>
      </w:pPr>
      <w:bookmarkStart w:id="53" w:name="_Toc475975135"/>
      <w:bookmarkStart w:id="54" w:name="_Toc31031"/>
      <w:bookmarkStart w:id="55" w:name="_Toc419045073"/>
      <w:r>
        <w:rPr>
          <w:rFonts w:hint="eastAsia" w:ascii="仿宋" w:hAnsi="仿宋" w:eastAsia="仿宋" w:cs="仿宋"/>
          <w:b w:val="0"/>
          <w:color w:val="auto"/>
          <w:kern w:val="0"/>
          <w:sz w:val="24"/>
          <w:szCs w:val="24"/>
          <w:highlight w:val="none"/>
        </w:rPr>
        <w:t>★</w:t>
      </w:r>
      <w:r>
        <w:rPr>
          <w:rFonts w:hint="eastAsia" w:ascii="仿宋" w:hAnsi="仿宋" w:eastAsia="仿宋" w:cs="仿宋"/>
          <w:color w:val="auto"/>
          <w:kern w:val="0"/>
          <w:sz w:val="24"/>
          <w:szCs w:val="24"/>
          <w:highlight w:val="none"/>
        </w:rPr>
        <w:t>2.2提供工作条件</w:t>
      </w:r>
      <w:bookmarkEnd w:id="53"/>
      <w:bookmarkEnd w:id="54"/>
      <w:bookmarkEnd w:id="55"/>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委托人应为咨询人完成造价咨询提供必要的条件。</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2.2.1委托人需要咨询人派驻项目现场咨询人员的，除专用条款另有约定外，项目咨询人员有权无偿使用附录D中由委托人提供的房屋及设备。</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2.2.2委托人应负责与本工程造价咨询业务有关的所有外部关系的协调，为咨询人履行本合同提供必要的外部条件。</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56" w:name="_Toc419045074"/>
      <w:bookmarkStart w:id="57" w:name="_Toc21157"/>
      <w:bookmarkStart w:id="58" w:name="_Toc475975136"/>
      <w:r>
        <w:rPr>
          <w:rFonts w:hint="eastAsia" w:ascii="仿宋" w:hAnsi="仿宋" w:eastAsia="仿宋" w:cs="仿宋"/>
          <w:color w:val="auto"/>
          <w:kern w:val="0"/>
          <w:sz w:val="24"/>
          <w:szCs w:val="24"/>
          <w:highlight w:val="none"/>
        </w:rPr>
        <w:t>2.3合理工作时限</w:t>
      </w:r>
      <w:bookmarkEnd w:id="56"/>
      <w:bookmarkEnd w:id="57"/>
      <w:bookmarkEnd w:id="58"/>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委托人应当为咨询人完成其咨询工作，设定合理的工作时限。</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合理工作时限参考中国建设工程造价管理协会发布的 “建设工程造价咨询工期标准”（CECA/GC 10-2014）确定。工作时限从委托人按2.1条规定提供完整的资料后开始计算。</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59" w:name="_Toc475975137"/>
      <w:bookmarkStart w:id="60" w:name="_Toc5069"/>
      <w:bookmarkStart w:id="61" w:name="_Toc419045075"/>
      <w:r>
        <w:rPr>
          <w:rFonts w:hint="eastAsia" w:ascii="仿宋" w:hAnsi="仿宋" w:eastAsia="仿宋" w:cs="仿宋"/>
          <w:color w:val="auto"/>
          <w:kern w:val="0"/>
          <w:sz w:val="24"/>
          <w:szCs w:val="24"/>
          <w:highlight w:val="none"/>
        </w:rPr>
        <w:t>2.4委托人代表</w:t>
      </w:r>
      <w:bookmarkEnd w:id="59"/>
      <w:bookmarkEnd w:id="60"/>
      <w:bookmarkEnd w:id="61"/>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委托人应授权一名代表负责本合同的履行。委托人应在双方签订本合同7天内，将委托人代表的姓名和权限范围书面告知咨询人。委托人更换委托人代表时，应提前7天书面通知咨询人。</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62" w:name="_Toc475975138"/>
      <w:bookmarkStart w:id="63" w:name="_Toc29677"/>
      <w:bookmarkStart w:id="64" w:name="_Toc419045076"/>
      <w:r>
        <w:rPr>
          <w:rFonts w:hint="eastAsia" w:ascii="仿宋" w:hAnsi="仿宋" w:eastAsia="仿宋" w:cs="仿宋"/>
          <w:color w:val="auto"/>
          <w:kern w:val="0"/>
          <w:sz w:val="24"/>
          <w:szCs w:val="24"/>
          <w:highlight w:val="none"/>
        </w:rPr>
        <w:t>2.5答复</w:t>
      </w:r>
      <w:bookmarkEnd w:id="62"/>
      <w:bookmarkEnd w:id="63"/>
      <w:bookmarkEnd w:id="64"/>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委托人应当在专用条款约定的时间内就咨询人以书面形式提交并要求做出答复的事宜给予书面答复。</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65" w:name="_Toc419045077"/>
      <w:bookmarkStart w:id="66" w:name="_Toc475975139"/>
      <w:bookmarkStart w:id="67" w:name="_Toc1267"/>
      <w:r>
        <w:rPr>
          <w:rFonts w:hint="eastAsia" w:ascii="仿宋" w:hAnsi="仿宋" w:eastAsia="仿宋" w:cs="仿宋"/>
          <w:color w:val="auto"/>
          <w:kern w:val="0"/>
          <w:sz w:val="24"/>
          <w:szCs w:val="24"/>
          <w:highlight w:val="none"/>
        </w:rPr>
        <w:t>2.6支付</w:t>
      </w:r>
      <w:bookmarkEnd w:id="65"/>
      <w:bookmarkEnd w:id="66"/>
      <w:bookmarkEnd w:id="67"/>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委托人应当按照合同的约定，向咨询人支付酬金。</w:t>
      </w:r>
      <w:bookmarkStart w:id="68" w:name="_Toc419045078"/>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69" w:name="_Toc10533"/>
      <w:bookmarkStart w:id="70" w:name="_Toc475975140"/>
      <w:r>
        <w:rPr>
          <w:rFonts w:hint="eastAsia" w:ascii="仿宋" w:hAnsi="仿宋" w:eastAsia="仿宋" w:cs="仿宋"/>
          <w:color w:val="auto"/>
          <w:kern w:val="0"/>
          <w:sz w:val="24"/>
          <w:szCs w:val="24"/>
          <w:highlight w:val="none"/>
        </w:rPr>
        <w:t>3.咨询人的义务</w:t>
      </w:r>
      <w:bookmarkEnd w:id="68"/>
      <w:bookmarkEnd w:id="69"/>
      <w:bookmarkEnd w:id="70"/>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71" w:name="16"/>
      <w:bookmarkEnd w:id="71"/>
      <w:bookmarkStart w:id="72" w:name="_Toc475975141"/>
      <w:bookmarkStart w:id="73" w:name="_Toc13427"/>
      <w:bookmarkStart w:id="74" w:name="_Toc419045080"/>
      <w:r>
        <w:rPr>
          <w:rFonts w:hint="eastAsia" w:ascii="仿宋" w:hAnsi="仿宋" w:eastAsia="仿宋" w:cs="仿宋"/>
          <w:color w:val="auto"/>
          <w:kern w:val="0"/>
          <w:sz w:val="24"/>
          <w:szCs w:val="24"/>
          <w:highlight w:val="none"/>
        </w:rPr>
        <w:t>3.1 项目咨询团队及人员</w:t>
      </w:r>
      <w:bookmarkEnd w:id="72"/>
      <w:bookmarkEnd w:id="73"/>
      <w:bookmarkEnd w:id="74"/>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3.1.1项目咨询团队的主要人员应具有专用条款约定的资格条件，团队人员的数量应符合专用条款的约定。</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3.1.2项目负责人</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咨询人应以书面形式授权一名项目负责人负责履行本合同、主持项目咨询团队工作。采用招标程序签署本合同的，项目负责人应当与投标文件载明的一致。</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3.1.3在本合同履行过程中，咨询人员应保持相对稳定，以保证咨询工作正常进行。</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可根据工程进展和工作需要等情形调整项目咨询团队人员。咨询人更换项目负责人时，应提前7天向委托人书面报告，经委托人同意后方可更换。除专用条款另有约定外，咨询人更换项目咨询团队其他咨询人员，应提前3天向委托人书面报告，经委托人同意后以相当资格与能力的人员替换。</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3.1.4咨询人员有下列情形之一，委托人要求咨询人更换的，咨询人应当按照委托人要求立即更换：</w:t>
      </w:r>
    </w:p>
    <w:p>
      <w:pPr>
        <w:pStyle w:val="27"/>
        <w:spacing w:line="360" w:lineRule="auto"/>
        <w:ind w:firstLine="336"/>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（1）存在严重过失行为的；</w:t>
      </w:r>
    </w:p>
    <w:p>
      <w:pPr>
        <w:pStyle w:val="27"/>
        <w:spacing w:line="360" w:lineRule="auto"/>
        <w:ind w:firstLine="336"/>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（2）存在违法行为不能履行职责的；</w:t>
      </w:r>
    </w:p>
    <w:p>
      <w:pPr>
        <w:pStyle w:val="27"/>
        <w:spacing w:line="360" w:lineRule="auto"/>
        <w:ind w:firstLine="336"/>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（3）涉嫌犯罪的；</w:t>
      </w:r>
    </w:p>
    <w:p>
      <w:pPr>
        <w:pStyle w:val="27"/>
        <w:spacing w:line="360" w:lineRule="auto"/>
        <w:ind w:firstLine="336"/>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（4）不能胜任岗位职责的；</w:t>
      </w:r>
    </w:p>
    <w:p>
      <w:pPr>
        <w:pStyle w:val="27"/>
        <w:spacing w:line="360" w:lineRule="auto"/>
        <w:ind w:firstLine="336"/>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（5）严重违反职业道德的；</w:t>
      </w:r>
    </w:p>
    <w:p>
      <w:pPr>
        <w:pStyle w:val="27"/>
        <w:spacing w:line="360" w:lineRule="auto"/>
        <w:ind w:firstLine="336"/>
        <w:jc w:val="left"/>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（6）专用条款约定的其他情形。</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75" w:name="_Toc475975142"/>
      <w:bookmarkStart w:id="76" w:name="_Toc29130"/>
      <w:r>
        <w:rPr>
          <w:rFonts w:hint="eastAsia" w:ascii="仿宋" w:hAnsi="仿宋" w:eastAsia="仿宋" w:cs="仿宋"/>
          <w:color w:val="auto"/>
          <w:kern w:val="0"/>
          <w:sz w:val="24"/>
          <w:szCs w:val="24"/>
          <w:highlight w:val="none"/>
        </w:rPr>
        <w:t>3.2 咨询人的工作要求</w:t>
      </w:r>
      <w:bookmarkEnd w:id="75"/>
      <w:bookmarkEnd w:id="76"/>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3.2.1咨询人应当按照专用条款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3.2.2咨询人应当在专用条款约定的时间内，按照专用条款约定的份数、组成向委托人提交咨询成果文件。</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咨询人提供造价咨询服务以及出具工程造价咨询成果文件应符合国家、省、市相关标准。具体的执行标准、委托人要求的工程造价咨询成果文件质量标准高于以上标准的，可在专用条款中约定。</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3.2.3咨询人提交的工程造价咨询成果文件，除加盖咨询人单位公章外，还必须按要求加盖参加咨询工作人员的执业（从业）资格印章。</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3.2.4咨询人应在专用条款约定的时间内，对委托人以书面形式提出的建议或者异议给予书面答复。</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3.2.5咨询人从事工程造价咨询活动，应当遵循独立、客观、公正、诚实信用的原则，不得损害社会公共利益和他人的合法权益。</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3.2.6咨询人承诺按照法律规定及合同约定，完成合同范围内的建设工程造价咨询服务，不得分包、转包承接的造价咨询服务业务。</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77" w:name="_Toc475975143"/>
      <w:bookmarkStart w:id="78" w:name="_Toc1841"/>
      <w:bookmarkStart w:id="79" w:name="_Toc419045081"/>
      <w:r>
        <w:rPr>
          <w:rFonts w:hint="eastAsia" w:ascii="仿宋" w:hAnsi="仿宋" w:eastAsia="仿宋" w:cs="仿宋"/>
          <w:color w:val="auto"/>
          <w:kern w:val="0"/>
          <w:sz w:val="24"/>
          <w:szCs w:val="24"/>
          <w:highlight w:val="none"/>
        </w:rPr>
        <w:t>3.3咨询人的工作依据</w:t>
      </w:r>
      <w:bookmarkEnd w:id="77"/>
      <w:bookmarkEnd w:id="78"/>
      <w:bookmarkEnd w:id="79"/>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咨询人应在专用条款内与委托人协商明确履行本合同约定的咨询服务需要适用的技术标准、规范、定额等工作依据，但不得违反国家及工程所在地的强制性标准、规范。</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咨询人应自行配备本条所述的技术标准、规范、定额等相关资料。必须由委托人提供的资料，应在附录C中载明。需要委托人协助才能获得的资料，委托人应予以协助。</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80" w:name="_Toc23846"/>
      <w:bookmarkStart w:id="81" w:name="_Toc419045082"/>
      <w:bookmarkStart w:id="82" w:name="_Toc475975144"/>
      <w:r>
        <w:rPr>
          <w:rFonts w:hint="eastAsia" w:ascii="仿宋" w:hAnsi="仿宋" w:eastAsia="仿宋" w:cs="仿宋"/>
          <w:color w:val="auto"/>
          <w:kern w:val="0"/>
          <w:sz w:val="24"/>
          <w:szCs w:val="24"/>
          <w:highlight w:val="none"/>
        </w:rPr>
        <w:t>3.4使用委托人房屋及设备的返还</w:t>
      </w:r>
      <w:bookmarkEnd w:id="80"/>
      <w:bookmarkEnd w:id="81"/>
      <w:bookmarkEnd w:id="82"/>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项目咨询人员使用委托人提供的房屋及设备的，咨询人应妥善使用和保管，在本合同终止时将上述房屋及设备按专用条款约定的时间和方式返还委托人。</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83" w:name="19"/>
      <w:bookmarkEnd w:id="83"/>
      <w:bookmarkStart w:id="84" w:name="_Toc419045083"/>
      <w:bookmarkStart w:id="85" w:name="_Toc23930"/>
      <w:bookmarkStart w:id="86" w:name="_Toc475975145"/>
      <w:r>
        <w:rPr>
          <w:rFonts w:hint="eastAsia" w:ascii="仿宋" w:hAnsi="仿宋" w:eastAsia="仿宋" w:cs="仿宋"/>
          <w:color w:val="auto"/>
          <w:kern w:val="0"/>
          <w:sz w:val="24"/>
          <w:szCs w:val="24"/>
          <w:highlight w:val="none"/>
        </w:rPr>
        <w:t>4.违约责任</w:t>
      </w:r>
      <w:bookmarkEnd w:id="84"/>
      <w:bookmarkEnd w:id="85"/>
      <w:bookmarkEnd w:id="86"/>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87" w:name="_Toc18386"/>
      <w:bookmarkStart w:id="88" w:name="_Toc475975146"/>
      <w:r>
        <w:rPr>
          <w:rFonts w:hint="eastAsia" w:ascii="仿宋" w:hAnsi="仿宋" w:eastAsia="仿宋" w:cs="仿宋"/>
          <w:color w:val="auto"/>
          <w:kern w:val="0"/>
          <w:sz w:val="24"/>
          <w:szCs w:val="24"/>
          <w:highlight w:val="none"/>
        </w:rPr>
        <w:t>★4.1委托人的违约责任</w:t>
      </w:r>
      <w:bookmarkEnd w:id="87"/>
      <w:bookmarkEnd w:id="88"/>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4.1.1委托人不履行本合同义务或者履行义务不符合本合同约定的，应承担违约责任。双方应在专用条款中约定违约金的计算及支付方法。</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4.1.2委托人违反本合同约定造成咨询人损失的，委托人应当赔偿。双方可在专用条款中约定赔偿金额的确定及支付方法。</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4.1.3如果委托人在规定的支付期限内未支付建设工程造价咨询酬金，委托人应支付违约金。</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4.1.4因委托人原因导致合同解除，委托人应根据咨询人实际完成的工作量支付酬金。</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89" w:name="_Toc475975147"/>
      <w:bookmarkStart w:id="90" w:name="_Toc12540"/>
      <w:bookmarkStart w:id="91" w:name="_Toc419045084"/>
      <w:r>
        <w:rPr>
          <w:rFonts w:hint="eastAsia" w:ascii="仿宋" w:hAnsi="仿宋" w:eastAsia="仿宋" w:cs="仿宋"/>
          <w:color w:val="auto"/>
          <w:kern w:val="0"/>
          <w:sz w:val="24"/>
          <w:szCs w:val="24"/>
          <w:highlight w:val="none"/>
        </w:rPr>
        <w:t>★4.2咨询人的违约责任</w:t>
      </w:r>
      <w:bookmarkEnd w:id="89"/>
      <w:bookmarkEnd w:id="90"/>
      <w:bookmarkEnd w:id="91"/>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4.2.1咨询人不履行本合同义务或者履行义务不符合本合同约定的，应承担违约责任。双方可在专用条款中约定违约金的计算及支付方法。</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4.2.2因咨询人违反本合同约定给委托人造成损失的，咨询人应当赔偿。双方可在专用条款中约定赔偿金额的确定及支付方法。</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4.2.3如果咨询人不能按期提交成果文件的，咨询人应支付违约金。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4.2.4因咨询人原因导致合同解除，咨询人应支付违约金。</w:t>
      </w:r>
      <w:bookmarkStart w:id="92" w:name="_Toc475975148"/>
      <w:bookmarkStart w:id="93" w:name="_Toc419045086"/>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94" w:name="_Toc32345"/>
      <w:r>
        <w:rPr>
          <w:rFonts w:hint="eastAsia" w:ascii="仿宋" w:hAnsi="仿宋" w:eastAsia="仿宋" w:cs="仿宋"/>
          <w:color w:val="auto"/>
          <w:kern w:val="0"/>
          <w:sz w:val="24"/>
          <w:szCs w:val="24"/>
          <w:highlight w:val="none"/>
        </w:rPr>
        <w:t>5.支付</w:t>
      </w:r>
      <w:bookmarkEnd w:id="92"/>
      <w:bookmarkEnd w:id="93"/>
      <w:bookmarkEnd w:id="94"/>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95" w:name="_Toc419045087"/>
      <w:bookmarkStart w:id="96" w:name="_Toc475975149"/>
      <w:bookmarkStart w:id="97" w:name="_Toc14178"/>
      <w:r>
        <w:rPr>
          <w:rFonts w:hint="eastAsia" w:ascii="仿宋" w:hAnsi="仿宋" w:eastAsia="仿宋" w:cs="仿宋"/>
          <w:color w:val="auto"/>
          <w:kern w:val="0"/>
          <w:sz w:val="24"/>
          <w:szCs w:val="24"/>
          <w:highlight w:val="none"/>
        </w:rPr>
        <w:t>5.1支付货币</w:t>
      </w:r>
      <w:bookmarkEnd w:id="95"/>
      <w:bookmarkEnd w:id="96"/>
      <w:bookmarkEnd w:id="97"/>
    </w:p>
    <w:p>
      <w:pPr>
        <w:spacing w:line="360" w:lineRule="auto"/>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　　除专用条款另有约定外，酬金均以人民币支付。涉及外币支付的，所采用的货币种类和汇率等在专用条款中约定。</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98" w:name="_Toc13787"/>
      <w:bookmarkStart w:id="99" w:name="_Toc475975150"/>
      <w:r>
        <w:rPr>
          <w:rFonts w:hint="eastAsia" w:ascii="仿宋" w:hAnsi="仿宋" w:eastAsia="仿宋" w:cs="仿宋"/>
          <w:color w:val="auto"/>
          <w:kern w:val="0"/>
          <w:sz w:val="24"/>
          <w:szCs w:val="24"/>
          <w:highlight w:val="none"/>
        </w:rPr>
        <w:t>5.2支付申请</w:t>
      </w:r>
      <w:bookmarkEnd w:id="98"/>
      <w:bookmarkEnd w:id="99"/>
    </w:p>
    <w:p>
      <w:pPr>
        <w:spacing w:line="360" w:lineRule="auto"/>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　　咨询人应在本合同约定的每次应付款日期前，向委托人提交支付申请书，支付申请书的提交日期由双方在专用条款中约定。支付申请书应当说明当期应付款总额，并列出当期应支付的款项及其金额。</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100" w:name="_Toc22244"/>
      <w:bookmarkStart w:id="101" w:name="_Toc475975151"/>
      <w:r>
        <w:rPr>
          <w:rFonts w:hint="eastAsia" w:ascii="仿宋" w:hAnsi="仿宋" w:eastAsia="仿宋" w:cs="仿宋"/>
          <w:color w:val="auto"/>
          <w:kern w:val="0"/>
          <w:sz w:val="24"/>
          <w:szCs w:val="24"/>
          <w:highlight w:val="none"/>
        </w:rPr>
        <w:t>5.3 支付酬金</w:t>
      </w:r>
      <w:bookmarkEnd w:id="100"/>
      <w:bookmarkEnd w:id="101"/>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支付酬金包括正常工作酬金、附加工作酬金、合理化建议奖励金额及费用。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5.3.1正常工作酬金的支付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委托人应在合同生效后十五天内支付咨询服务预付款。</w:t>
      </w:r>
    </w:p>
    <w:p>
      <w:pPr>
        <w:spacing w:line="360" w:lineRule="auto"/>
        <w:ind w:firstLine="566" w:firstLineChars="23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估算、概算、预算或结算编制项目，在提交成果文件并履行合同约定后十五天内结清服务酬金。</w:t>
      </w:r>
    </w:p>
    <w:p>
      <w:pPr>
        <w:spacing w:line="360" w:lineRule="auto"/>
        <w:ind w:firstLine="566" w:firstLineChars="23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估算、概算、预算或结算审核项目，在定案并提交成果文件且履行合同约定后十五天内结清服务酬金。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招标控制价编制或审核项目，在中标通知书发出后十五天内结清服务酬金。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全过程造价咨询服务酬金</w:t>
      </w:r>
      <w:bookmarkStart w:id="102" w:name="_Toc468868606"/>
      <w:r>
        <w:rPr>
          <w:rFonts w:hint="eastAsia" w:ascii="仿宋" w:hAnsi="仿宋" w:eastAsia="仿宋" w:cs="仿宋"/>
          <w:color w:val="auto"/>
          <w:sz w:val="24"/>
          <w:szCs w:val="24"/>
          <w:highlight w:val="none"/>
        </w:rPr>
        <w:t>的支付方式按专用条款约定。</w:t>
      </w:r>
    </w:p>
    <w:bookmarkEnd w:id="102"/>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5.3.2 附加工作酬金的支付方式按专用条款约定。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5.3.3合理化建议奖励金额及费用的支付方式按专用条款约定。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5.3.4 双方约定的其他支付方式按专用条款约定。</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103" w:name="_Toc475975152"/>
      <w:bookmarkStart w:id="104" w:name="_Toc4833"/>
      <w:r>
        <w:rPr>
          <w:rFonts w:hint="eastAsia" w:ascii="仿宋" w:hAnsi="仿宋" w:eastAsia="仿宋" w:cs="仿宋"/>
          <w:color w:val="auto"/>
          <w:kern w:val="0"/>
          <w:sz w:val="24"/>
          <w:szCs w:val="24"/>
          <w:highlight w:val="none"/>
        </w:rPr>
        <w:t>5.4有异议部分的支付</w:t>
      </w:r>
      <w:bookmarkEnd w:id="103"/>
      <w:bookmarkEnd w:id="104"/>
    </w:p>
    <w:p>
      <w:pPr>
        <w:spacing w:line="360" w:lineRule="auto"/>
        <w:rPr>
          <w:rStyle w:val="29"/>
          <w:rFonts w:ascii="仿宋" w:hAnsi="仿宋" w:eastAsia="仿宋" w:cs="仿宋"/>
          <w:b w:val="0"/>
          <w:color w:val="auto"/>
          <w:kern w:val="2"/>
          <w:sz w:val="24"/>
          <w:szCs w:val="24"/>
          <w:highlight w:val="none"/>
        </w:rPr>
      </w:pPr>
      <w:r>
        <w:rPr>
          <w:rFonts w:hint="eastAsia" w:ascii="仿宋" w:hAnsi="仿宋" w:eastAsia="仿宋" w:cs="仿宋"/>
          <w:color w:val="auto"/>
          <w:sz w:val="24"/>
          <w:szCs w:val="24"/>
          <w:highlight w:val="none"/>
        </w:rPr>
        <w:t>　　委托人对咨询人提交的支付申请书有异议时，应当在收到咨询人提交的支付申请书后7天内，以书面形式向咨询人发出异议通知。无异议部分的款项应按期支付，有异议部分的款项按第7条约定办理。</w:t>
      </w:r>
      <w:bookmarkStart w:id="105" w:name="_Toc419045088"/>
      <w:bookmarkStart w:id="106" w:name="_Toc475975153"/>
    </w:p>
    <w:p>
      <w:pPr>
        <w:spacing w:line="360" w:lineRule="auto"/>
        <w:ind w:firstLine="482" w:firstLineChars="200"/>
        <w:rPr>
          <w:rStyle w:val="29"/>
          <w:rFonts w:ascii="仿宋" w:hAnsi="仿宋" w:eastAsia="仿宋" w:cs="仿宋"/>
          <w:bCs w:val="0"/>
          <w:color w:val="auto"/>
          <w:sz w:val="24"/>
          <w:szCs w:val="24"/>
          <w:highlight w:val="none"/>
        </w:rPr>
      </w:pPr>
      <w:bookmarkStart w:id="107" w:name="_Toc25679"/>
      <w:r>
        <w:rPr>
          <w:rStyle w:val="29"/>
          <w:rFonts w:hint="eastAsia" w:ascii="仿宋" w:hAnsi="仿宋" w:eastAsia="仿宋" w:cs="仿宋"/>
          <w:bCs w:val="0"/>
          <w:color w:val="auto"/>
          <w:sz w:val="24"/>
          <w:szCs w:val="24"/>
          <w:highlight w:val="none"/>
        </w:rPr>
        <w:t>6.合同变更、解除与终止</w:t>
      </w:r>
      <w:bookmarkEnd w:id="105"/>
      <w:bookmarkEnd w:id="106"/>
    </w:p>
    <w:bookmarkEnd w:id="107"/>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108" w:name="_Toc419045089"/>
      <w:bookmarkStart w:id="109" w:name="_Toc475975154"/>
      <w:bookmarkStart w:id="110" w:name="_Toc30662"/>
      <w:r>
        <w:rPr>
          <w:rFonts w:hint="eastAsia" w:ascii="仿宋" w:hAnsi="仿宋" w:eastAsia="仿宋" w:cs="仿宋"/>
          <w:color w:val="auto"/>
          <w:kern w:val="0"/>
          <w:sz w:val="24"/>
          <w:szCs w:val="24"/>
          <w:highlight w:val="none"/>
        </w:rPr>
        <w:t>★6.1合同变更</w:t>
      </w:r>
      <w:bookmarkEnd w:id="108"/>
      <w:bookmarkEnd w:id="109"/>
      <w:bookmarkEnd w:id="110"/>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6.1.1 任何一方以书面形式提出变更请求时，双方经协商一致后可进行变更。</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款中约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6.1.4 因工程规模、服务范围及工作内容的变化等导致咨询人的工作量增减时，服务酬金应作相应调整，调整方法由双方在专用条款中约定。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6.1.5 对全过程投资控制项目，委托人要求咨询人延长驻场服务期的，视为附加工作。</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6.1.6因委托人原因造成咨询人工作返工或者重复工作、咨询人按委托人提供的图纸完成计量工作后，委托人修改图纸的，经委托人同意，视为附加工作。</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111" w:name="_Toc475975155"/>
      <w:bookmarkStart w:id="112" w:name="_Toc419045090"/>
      <w:bookmarkStart w:id="113" w:name="_Toc7758"/>
      <w:r>
        <w:rPr>
          <w:rFonts w:hint="eastAsia" w:ascii="仿宋" w:hAnsi="仿宋" w:eastAsia="仿宋" w:cs="仿宋"/>
          <w:color w:val="auto"/>
          <w:kern w:val="0"/>
          <w:sz w:val="24"/>
          <w:szCs w:val="24"/>
          <w:highlight w:val="none"/>
        </w:rPr>
        <w:t>★6.2合同解除</w:t>
      </w:r>
      <w:bookmarkEnd w:id="111"/>
      <w:bookmarkEnd w:id="112"/>
      <w:bookmarkEnd w:id="113"/>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6.2.1 委托人与咨询人协商一致并达成书面协议后，可以解除合同。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6.2.2 有下列情形之一的，合同当事人一方或双方可以解除合同：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（1）咨询人将本合同约定的工程造价咨询服务工作全部或部分分包、转包给他人，委托人可以解除合同；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（2）咨询人提供的造价咨询服务不符合合同约定的要求，经委托人催告仍不能达到合同约定要求的，委托人可以解除合同；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（3）因不可抗力致使合同无法履行；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（4）因一方违约致使合同无法实际履行或实际履行已无必要。</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除上述情形外，双方可以根据委托的服务范围及工作内容，在专用条款中约定解除合同的其他条件。</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6.2.3合同解除后，委托人应按照合同约定向咨询人支付已完成部分的咨询服务酬金。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因不可抗力导致的合同解除，其损失的分担按照合理分担的原则由合同当事人在专用条款中自行约定。除不可抗力外因非咨询人原因导致的合同解除，其损失由委托人承担。因咨询人自身原因导致的合同解除，按照违约责任处理。</w:t>
      </w:r>
    </w:p>
    <w:p>
      <w:pPr>
        <w:spacing w:line="360" w:lineRule="auto"/>
        <w:ind w:firstLine="480" w:firstLineChars="200"/>
        <w:rPr>
          <w:rFonts w:ascii="仿宋" w:hAnsi="仿宋" w:eastAsia="仿宋" w:cs="仿宋"/>
          <w:smallCaps/>
          <w:color w:val="auto"/>
          <w:sz w:val="24"/>
          <w:szCs w:val="24"/>
          <w:highlight w:val="none"/>
        </w:rPr>
      </w:pPr>
      <w:r>
        <w:rPr>
          <w:rFonts w:hint="eastAsia" w:ascii="仿宋" w:hAnsi="仿宋" w:eastAsia="仿宋" w:cs="仿宋"/>
          <w:color w:val="auto"/>
          <w:sz w:val="24"/>
          <w:szCs w:val="24"/>
          <w:highlight w:val="none"/>
        </w:rPr>
        <w:t>6.2.4本合同解除后，本合同约定的有关结算、争议解决方式的条款仍然有效。</w:t>
      </w:r>
    </w:p>
    <w:p>
      <w:pPr>
        <w:spacing w:line="360" w:lineRule="auto"/>
        <w:ind w:firstLine="482" w:firstLineChars="200"/>
        <w:rPr>
          <w:rStyle w:val="30"/>
          <w:rFonts w:ascii="仿宋" w:hAnsi="仿宋" w:eastAsia="仿宋" w:cs="仿宋"/>
          <w:bCs w:val="0"/>
          <w:smallCaps/>
          <w:color w:val="auto"/>
          <w:sz w:val="24"/>
          <w:szCs w:val="24"/>
          <w:highlight w:val="none"/>
        </w:rPr>
      </w:pPr>
      <w:bookmarkStart w:id="114" w:name="_Toc475975156"/>
      <w:bookmarkStart w:id="115" w:name="_Toc24410"/>
      <w:r>
        <w:rPr>
          <w:rStyle w:val="30"/>
          <w:rFonts w:hint="eastAsia" w:ascii="仿宋" w:hAnsi="仿宋" w:eastAsia="仿宋" w:cs="仿宋"/>
          <w:bCs w:val="0"/>
          <w:smallCaps/>
          <w:color w:val="auto"/>
          <w:sz w:val="24"/>
          <w:szCs w:val="24"/>
          <w:highlight w:val="none"/>
        </w:rPr>
        <w:t>6.3 合同终止</w:t>
      </w:r>
      <w:bookmarkEnd w:id="114"/>
      <w:bookmarkEnd w:id="115"/>
    </w:p>
    <w:p>
      <w:pPr>
        <w:spacing w:line="360" w:lineRule="auto"/>
        <w:ind w:left="479" w:leftChars="228"/>
        <w:rPr>
          <w:rFonts w:ascii="仿宋" w:hAnsi="仿宋" w:eastAsia="仿宋" w:cs="仿宋"/>
          <w:color w:val="auto"/>
          <w:highlight w:val="none"/>
        </w:rPr>
      </w:pPr>
      <w:r>
        <w:rPr>
          <w:rFonts w:hint="eastAsia" w:ascii="仿宋" w:hAnsi="仿宋" w:eastAsia="仿宋" w:cs="仿宋"/>
          <w:smallCaps/>
          <w:color w:val="auto"/>
          <w:sz w:val="24"/>
          <w:szCs w:val="24"/>
          <w:highlight w:val="none"/>
        </w:rPr>
        <w:t>除合同解除外，以下条</w:t>
      </w:r>
      <w:r>
        <w:rPr>
          <w:rFonts w:hint="eastAsia" w:ascii="仿宋" w:hAnsi="仿宋" w:eastAsia="仿宋" w:cs="仿宋"/>
          <w:color w:val="auto"/>
          <w:sz w:val="24"/>
          <w:szCs w:val="24"/>
          <w:highlight w:val="none"/>
        </w:rPr>
        <w:t>件全部满足时，本合同终止：</w:t>
      </w:r>
    </w:p>
    <w:p>
      <w:pPr>
        <w:spacing w:line="360" w:lineRule="auto"/>
        <w:ind w:left="479" w:leftChars="228"/>
        <w:rPr>
          <w:rFonts w:ascii="仿宋" w:hAnsi="仿宋" w:eastAsia="仿宋" w:cs="仿宋"/>
          <w:color w:val="auto"/>
          <w:highlight w:val="none"/>
        </w:rPr>
      </w:pPr>
      <w:r>
        <w:rPr>
          <w:rFonts w:hint="eastAsia" w:ascii="仿宋" w:hAnsi="仿宋" w:eastAsia="仿宋" w:cs="仿宋"/>
          <w:color w:val="auto"/>
          <w:sz w:val="24"/>
          <w:szCs w:val="24"/>
          <w:highlight w:val="none"/>
        </w:rPr>
        <w:t>（1）咨询人完成本合同约定的全部工作；</w:t>
      </w:r>
    </w:p>
    <w:p>
      <w:pPr>
        <w:spacing w:line="360" w:lineRule="auto"/>
        <w:ind w:left="479" w:leftChars="22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（2）委托人与咨询人结清并支付酬金；</w:t>
      </w:r>
    </w:p>
    <w:p>
      <w:pPr>
        <w:spacing w:line="360" w:lineRule="auto"/>
        <w:ind w:left="479" w:leftChars="22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（3）咨询人将委托人提供的资料交还。</w:t>
      </w:r>
    </w:p>
    <w:p>
      <w:pPr>
        <w:spacing w:line="360" w:lineRule="auto"/>
        <w:ind w:firstLine="482" w:firstLineChars="200"/>
        <w:rPr>
          <w:rStyle w:val="29"/>
          <w:rFonts w:ascii="仿宋" w:hAnsi="仿宋" w:eastAsia="仿宋" w:cs="仿宋"/>
          <w:bCs w:val="0"/>
          <w:color w:val="auto"/>
          <w:sz w:val="24"/>
          <w:szCs w:val="24"/>
          <w:highlight w:val="none"/>
        </w:rPr>
      </w:pPr>
      <w:bookmarkStart w:id="116" w:name="_Toc475975157"/>
      <w:bookmarkStart w:id="117" w:name="_Toc419045091"/>
      <w:bookmarkStart w:id="118" w:name="_Toc14334"/>
      <w:r>
        <w:rPr>
          <w:rStyle w:val="29"/>
          <w:rFonts w:hint="eastAsia" w:ascii="仿宋" w:hAnsi="仿宋" w:eastAsia="仿宋" w:cs="仿宋"/>
          <w:bCs w:val="0"/>
          <w:color w:val="auto"/>
          <w:sz w:val="24"/>
          <w:szCs w:val="24"/>
          <w:highlight w:val="none"/>
        </w:rPr>
        <w:t>7.争议解决</w:t>
      </w:r>
      <w:bookmarkEnd w:id="116"/>
      <w:bookmarkEnd w:id="117"/>
    </w:p>
    <w:bookmarkEnd w:id="118"/>
    <w:p>
      <w:pPr>
        <w:pStyle w:val="27"/>
        <w:spacing w:line="360" w:lineRule="auto"/>
        <w:ind w:firstLine="482" w:firstLineChars="200"/>
        <w:jc w:val="left"/>
        <w:rPr>
          <w:rFonts w:ascii="仿宋" w:hAnsi="仿宋" w:eastAsia="仿宋" w:cs="仿宋"/>
          <w:b/>
          <w:color w:val="auto"/>
          <w:sz w:val="24"/>
          <w:szCs w:val="24"/>
          <w:highlight w:val="none"/>
        </w:rPr>
      </w:pPr>
      <w:bookmarkStart w:id="119" w:name="_Toc419045092"/>
      <w:bookmarkStart w:id="120" w:name="_Toc475975158"/>
      <w:bookmarkStart w:id="121" w:name="_Toc28074"/>
      <w:r>
        <w:rPr>
          <w:rStyle w:val="30"/>
          <w:rFonts w:hint="eastAsia" w:ascii="仿宋" w:hAnsi="仿宋" w:eastAsia="仿宋" w:cs="仿宋"/>
          <w:bCs w:val="0"/>
          <w:smallCaps/>
          <w:color w:val="auto"/>
          <w:sz w:val="24"/>
          <w:szCs w:val="24"/>
          <w:highlight w:val="none"/>
        </w:rPr>
        <w:t>7.1协商</w:t>
      </w:r>
      <w:bookmarkEnd w:id="119"/>
      <w:bookmarkEnd w:id="120"/>
      <w:bookmarkEnd w:id="121"/>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双方应本着诚实信用的原则协商解决本合同履行过程中发生的争议。</w:t>
      </w:r>
      <w:bookmarkStart w:id="122" w:name="37"/>
      <w:bookmarkEnd w:id="122"/>
    </w:p>
    <w:p>
      <w:pPr>
        <w:pStyle w:val="27"/>
        <w:spacing w:line="360" w:lineRule="auto"/>
        <w:ind w:firstLine="482" w:firstLineChars="200"/>
        <w:jc w:val="left"/>
        <w:rPr>
          <w:rFonts w:ascii="仿宋" w:hAnsi="仿宋" w:eastAsia="仿宋" w:cs="仿宋"/>
          <w:b/>
          <w:color w:val="auto"/>
          <w:sz w:val="24"/>
          <w:szCs w:val="24"/>
          <w:highlight w:val="none"/>
        </w:rPr>
      </w:pPr>
      <w:bookmarkStart w:id="123" w:name="_Toc475975159"/>
      <w:bookmarkStart w:id="124" w:name="_Toc5390"/>
      <w:bookmarkStart w:id="125" w:name="_Toc419045093"/>
      <w:r>
        <w:rPr>
          <w:rStyle w:val="30"/>
          <w:rFonts w:hint="eastAsia" w:ascii="仿宋" w:hAnsi="仿宋" w:eastAsia="仿宋" w:cs="仿宋"/>
          <w:bCs w:val="0"/>
          <w:smallCaps/>
          <w:color w:val="auto"/>
          <w:sz w:val="24"/>
          <w:szCs w:val="24"/>
          <w:highlight w:val="none"/>
        </w:rPr>
        <w:t>7.2调解</w:t>
      </w:r>
      <w:bookmarkEnd w:id="123"/>
      <w:bookmarkEnd w:id="124"/>
      <w:bookmarkEnd w:id="125"/>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如果双方不能在14天内或双方商定的其他时间内解决本合同争议，可以将其提交给专用条款约定的或事后达成协议的调解人进行调解。</w:t>
      </w:r>
    </w:p>
    <w:p>
      <w:pPr>
        <w:spacing w:line="360" w:lineRule="auto"/>
        <w:ind w:firstLine="482" w:firstLineChars="200"/>
        <w:rPr>
          <w:rFonts w:ascii="仿宋" w:hAnsi="仿宋" w:eastAsia="仿宋" w:cs="仿宋"/>
          <w:color w:val="auto"/>
          <w:highlight w:val="none"/>
        </w:rPr>
      </w:pPr>
      <w:bookmarkStart w:id="126" w:name="38"/>
      <w:bookmarkEnd w:id="126"/>
      <w:bookmarkStart w:id="127" w:name="_Toc28698"/>
      <w:bookmarkStart w:id="128" w:name="_Toc419045094"/>
      <w:bookmarkStart w:id="129" w:name="_Toc475975160"/>
      <w:r>
        <w:rPr>
          <w:rStyle w:val="30"/>
          <w:rFonts w:hint="eastAsia" w:ascii="仿宋" w:hAnsi="仿宋" w:eastAsia="仿宋" w:cs="仿宋"/>
          <w:bCs w:val="0"/>
          <w:smallCaps/>
          <w:color w:val="auto"/>
          <w:sz w:val="24"/>
          <w:szCs w:val="24"/>
          <w:highlight w:val="none"/>
        </w:rPr>
        <w:t>7.3仲裁或诉讼</w:t>
      </w:r>
      <w:bookmarkEnd w:id="127"/>
      <w:bookmarkEnd w:id="128"/>
      <w:bookmarkEnd w:id="129"/>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双方均有权不经调解直接向专用条款约定的有管辖权的人民法院提起诉讼。</w:t>
      </w:r>
    </w:p>
    <w:p>
      <w:pPr>
        <w:spacing w:line="360" w:lineRule="auto"/>
        <w:ind w:firstLine="482" w:firstLineChars="200"/>
        <w:rPr>
          <w:rStyle w:val="29"/>
          <w:rFonts w:ascii="仿宋" w:hAnsi="仿宋" w:eastAsia="仿宋" w:cs="仿宋"/>
          <w:bCs w:val="0"/>
          <w:color w:val="auto"/>
          <w:sz w:val="24"/>
          <w:szCs w:val="24"/>
          <w:highlight w:val="none"/>
        </w:rPr>
      </w:pPr>
      <w:bookmarkStart w:id="130" w:name="_Toc419045095"/>
      <w:bookmarkStart w:id="131" w:name="_Toc475975161"/>
      <w:bookmarkStart w:id="132" w:name="_Toc11261"/>
      <w:r>
        <w:rPr>
          <w:rStyle w:val="29"/>
          <w:rFonts w:hint="eastAsia" w:ascii="仿宋" w:hAnsi="仿宋" w:eastAsia="仿宋" w:cs="仿宋"/>
          <w:bCs w:val="0"/>
          <w:color w:val="auto"/>
          <w:sz w:val="24"/>
          <w:szCs w:val="24"/>
          <w:highlight w:val="none"/>
        </w:rPr>
        <w:t>8.其他</w:t>
      </w:r>
      <w:bookmarkEnd w:id="130"/>
      <w:bookmarkEnd w:id="131"/>
    </w:p>
    <w:bookmarkEnd w:id="132"/>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33" w:name="39"/>
      <w:bookmarkEnd w:id="133"/>
      <w:bookmarkStart w:id="134" w:name="_Toc475975162"/>
      <w:bookmarkStart w:id="135" w:name="_Toc419045096"/>
      <w:bookmarkStart w:id="136" w:name="_Toc3887"/>
      <w:r>
        <w:rPr>
          <w:rFonts w:hint="eastAsia" w:ascii="仿宋" w:hAnsi="仿宋" w:eastAsia="仿宋" w:cs="仿宋"/>
          <w:bCs w:val="0"/>
          <w:smallCaps/>
          <w:color w:val="auto"/>
          <w:sz w:val="24"/>
          <w:szCs w:val="24"/>
          <w:highlight w:val="none"/>
        </w:rPr>
        <w:t>8.1</w:t>
      </w:r>
      <w:r>
        <w:rPr>
          <w:rFonts w:hint="eastAsia" w:ascii="仿宋" w:hAnsi="仿宋" w:eastAsia="仿宋" w:cs="仿宋"/>
          <w:bCs w:val="0"/>
          <w:color w:val="auto"/>
          <w:sz w:val="24"/>
          <w:szCs w:val="24"/>
          <w:highlight w:val="none"/>
        </w:rPr>
        <w:t>考察及相关费用</w:t>
      </w:r>
      <w:bookmarkEnd w:id="134"/>
      <w:bookmarkEnd w:id="135"/>
      <w:bookmarkEnd w:id="136"/>
    </w:p>
    <w:p>
      <w:pPr>
        <w:spacing w:line="360" w:lineRule="auto"/>
        <w:ind w:firstLine="480" w:firstLineChars="200"/>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除专用条款另有约定外，咨询人经委托人同意进行考察发生的费用由委托人审核后另行支付。差旅费及相关费用的承担由双方在专用条款中约定。</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137" w:name="_Toc26424"/>
      <w:bookmarkStart w:id="138" w:name="_Toc475975163"/>
      <w:r>
        <w:rPr>
          <w:rFonts w:hint="eastAsia" w:ascii="仿宋" w:hAnsi="仿宋" w:eastAsia="仿宋" w:cs="仿宋"/>
          <w:bCs w:val="0"/>
          <w:color w:val="auto"/>
          <w:sz w:val="24"/>
          <w:szCs w:val="24"/>
          <w:highlight w:val="none"/>
        </w:rPr>
        <w:t>8.2奖励</w:t>
      </w:r>
      <w:bookmarkEnd w:id="137"/>
      <w:bookmarkEnd w:id="138"/>
    </w:p>
    <w:p>
      <w:pPr>
        <w:spacing w:line="360" w:lineRule="auto"/>
        <w:ind w:firstLine="480" w:firstLineChars="200"/>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对于咨询人在服务过程中提出合理化建议，使委托人获得效益的，双方在专用条款中约定奖励金额的确定方法。奖励金额在合理化建议被采纳后，与最近一期的正常工作酬金同期支付。</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39" w:name="_Toc18358"/>
      <w:bookmarkStart w:id="140" w:name="_Toc475975164"/>
      <w:r>
        <w:rPr>
          <w:rFonts w:hint="eastAsia" w:ascii="仿宋" w:hAnsi="仿宋" w:eastAsia="仿宋" w:cs="仿宋"/>
          <w:bCs w:val="0"/>
          <w:color w:val="auto"/>
          <w:sz w:val="24"/>
          <w:szCs w:val="24"/>
          <w:highlight w:val="none"/>
        </w:rPr>
        <w:t>8.3保密</w:t>
      </w:r>
      <w:bookmarkEnd w:id="139"/>
      <w:bookmarkEnd w:id="140"/>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在本合同履行期间或专用条款约定的期限内，双方不得泄露对方申明的保密资料，亦不得泄露与实施工程有关的第三人所提供的保密资料。保密事项在专用条款中约定。</w:t>
      </w:r>
    </w:p>
    <w:p>
      <w:pPr>
        <w:spacing w:line="360" w:lineRule="auto"/>
        <w:ind w:firstLine="482" w:firstLineChars="200"/>
        <w:rPr>
          <w:rFonts w:ascii="仿宋" w:hAnsi="仿宋" w:eastAsia="仿宋" w:cs="仿宋"/>
          <w:color w:val="auto"/>
          <w:sz w:val="24"/>
          <w:szCs w:val="24"/>
          <w:highlight w:val="none"/>
        </w:rPr>
      </w:pPr>
      <w:bookmarkStart w:id="141" w:name="_Toc419045097"/>
      <w:bookmarkStart w:id="142" w:name="_Toc25628"/>
      <w:bookmarkStart w:id="143" w:name="_Toc475975165"/>
      <w:r>
        <w:rPr>
          <w:rStyle w:val="30"/>
          <w:rFonts w:hint="eastAsia" w:ascii="仿宋" w:hAnsi="仿宋" w:eastAsia="仿宋" w:cs="仿宋"/>
          <w:color w:val="auto"/>
          <w:sz w:val="24"/>
          <w:szCs w:val="24"/>
          <w:highlight w:val="none"/>
        </w:rPr>
        <w:t>8.4</w:t>
      </w:r>
      <w:bookmarkEnd w:id="141"/>
      <w:r>
        <w:rPr>
          <w:rStyle w:val="30"/>
          <w:rFonts w:hint="eastAsia" w:ascii="仿宋" w:hAnsi="仿宋" w:eastAsia="仿宋" w:cs="仿宋"/>
          <w:color w:val="auto"/>
          <w:sz w:val="24"/>
          <w:szCs w:val="24"/>
          <w:highlight w:val="none"/>
        </w:rPr>
        <w:t>联络</w:t>
      </w:r>
      <w:bookmarkEnd w:id="142"/>
      <w:bookmarkEnd w:id="143"/>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8.4.1与合同有关的通知、指示、要求、决定等，均应采用书面形式，并应在专用条款约定的期限内送达接收人和送达地点。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8.4.2委托人和咨询人应在专用条款中约定各自的送达接收人、送达地点、电子邮箱。任何一方指定的接收人或送达地点或电子邮箱发生变动的，应提前3天以书面形式通知对方。</w:t>
      </w:r>
    </w:p>
    <w:p>
      <w:pPr>
        <w:tabs>
          <w:tab w:val="left" w:pos="5085"/>
        </w:tabs>
        <w:spacing w:line="360" w:lineRule="auto"/>
        <w:ind w:firstLine="480" w:firstLineChars="200"/>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8.4.3委托人和咨询人应当及时签收另一方送达至送达地点和指定接收人的往来函件。</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44" w:name="_Toc475975166"/>
      <w:bookmarkStart w:id="145" w:name="_Toc11831"/>
      <w:r>
        <w:rPr>
          <w:rFonts w:hint="eastAsia" w:ascii="仿宋" w:hAnsi="仿宋" w:eastAsia="仿宋" w:cs="仿宋"/>
          <w:bCs w:val="0"/>
          <w:color w:val="auto"/>
          <w:sz w:val="24"/>
          <w:szCs w:val="24"/>
          <w:highlight w:val="none"/>
        </w:rPr>
        <w:t>8.5知识产权</w:t>
      </w:r>
      <w:bookmarkEnd w:id="144"/>
      <w:bookmarkEnd w:id="145"/>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合同涉及的知识产权的归属由双方在专用条款另行约定。</w:t>
      </w:r>
    </w:p>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9"/>
        <w:ind w:left="0" w:left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附录A 服务范围及工作内容、酬金一览表</w:t>
      </w:r>
    </w:p>
    <w:bookmarkEnd w:id="34"/>
    <w:tbl>
      <w:tblPr>
        <w:tblStyle w:val="20"/>
        <w:tblW w:w="10273"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331"/>
        <w:gridCol w:w="1504"/>
        <w:gridCol w:w="1374"/>
        <w:gridCol w:w="2072"/>
        <w:gridCol w:w="166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vAlign w:val="center"/>
          </w:tcPr>
          <w:p>
            <w:pPr>
              <w:pStyle w:val="15"/>
              <w:widowControl w:val="0"/>
              <w:spacing w:line="360" w:lineRule="auto"/>
              <w:jc w:val="center"/>
              <w:rPr>
                <w:rFonts w:ascii="仿宋" w:hAnsi="仿宋" w:eastAsia="仿宋" w:cs="仿宋"/>
                <w:b/>
                <w:bCs/>
                <w:color w:val="auto"/>
                <w:sz w:val="36"/>
                <w:szCs w:val="36"/>
                <w:highlight w:val="none"/>
              </w:rPr>
            </w:pPr>
            <w:bookmarkStart w:id="146" w:name="_Toc10034"/>
            <w:bookmarkStart w:id="147" w:name="_Toc10627432"/>
            <w:r>
              <w:rPr>
                <w:rFonts w:hint="eastAsia" w:ascii="仿宋" w:hAnsi="仿宋" w:eastAsia="仿宋" w:cs="仿宋"/>
                <w:color w:val="auto"/>
                <w:highlight w:val="none"/>
              </w:rPr>
              <w:t>服务阶段</w:t>
            </w:r>
          </w:p>
        </w:tc>
        <w:tc>
          <w:tcPr>
            <w:tcW w:w="2835" w:type="dxa"/>
            <w:gridSpan w:val="2"/>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服务范围及工作内容</w:t>
            </w:r>
          </w:p>
        </w:tc>
        <w:tc>
          <w:tcPr>
            <w:tcW w:w="5114" w:type="dxa"/>
            <w:gridSpan w:val="3"/>
          </w:tcPr>
          <w:p>
            <w:pPr>
              <w:jc w:val="center"/>
              <w:rPr>
                <w:rFonts w:ascii="仿宋" w:hAnsi="仿宋" w:eastAsia="仿宋" w:cs="仿宋"/>
                <w:b/>
                <w:bCs/>
                <w:color w:val="auto"/>
                <w:sz w:val="36"/>
                <w:szCs w:val="36"/>
                <w:highlight w:val="none"/>
              </w:rPr>
            </w:pPr>
            <w:r>
              <w:rPr>
                <w:rFonts w:hint="eastAsia" w:ascii="仿宋" w:hAnsi="仿宋" w:eastAsia="仿宋" w:cs="仿宋"/>
                <w:color w:val="auto"/>
                <w:highlight w:val="none"/>
              </w:rPr>
              <w:t>酬金</w:t>
            </w:r>
          </w:p>
        </w:tc>
        <w:tc>
          <w:tcPr>
            <w:tcW w:w="1010" w:type="dxa"/>
          </w:tcPr>
          <w:p>
            <w:pPr>
              <w:jc w:val="center"/>
              <w:rPr>
                <w:rFonts w:ascii="仿宋" w:hAnsi="仿宋" w:eastAsia="仿宋" w:cs="仿宋"/>
                <w:b/>
                <w:bCs/>
                <w:color w:val="auto"/>
                <w:sz w:val="36"/>
                <w:szCs w:val="36"/>
                <w:highlight w:val="none"/>
              </w:rPr>
            </w:pPr>
            <w:r>
              <w:rPr>
                <w:rFonts w:hint="eastAsia" w:ascii="仿宋" w:hAnsi="仿宋" w:eastAsia="仿宋" w:cs="仿宋"/>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vAlign w:val="center"/>
          </w:tcPr>
          <w:p>
            <w:pPr>
              <w:pStyle w:val="15"/>
              <w:widowControl w:val="0"/>
              <w:spacing w:line="360" w:lineRule="auto"/>
              <w:rPr>
                <w:rFonts w:ascii="仿宋" w:hAnsi="仿宋" w:eastAsia="仿宋" w:cs="仿宋"/>
                <w:color w:val="auto"/>
                <w:highlight w:val="none"/>
              </w:rPr>
            </w:pPr>
            <w:r>
              <w:rPr>
                <w:rFonts w:hint="eastAsia" w:ascii="仿宋" w:hAnsi="仿宋" w:eastAsia="仿宋" w:cs="仿宋"/>
                <w:color w:val="auto"/>
                <w:highlight w:val="none"/>
              </w:rPr>
              <w:t>服务范围</w:t>
            </w:r>
          </w:p>
        </w:tc>
        <w:tc>
          <w:tcPr>
            <w:tcW w:w="1504" w:type="dxa"/>
            <w:vAlign w:val="center"/>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工作内容</w:t>
            </w:r>
          </w:p>
        </w:tc>
        <w:tc>
          <w:tcPr>
            <w:tcW w:w="1374"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收费基数</w:t>
            </w:r>
          </w:p>
        </w:tc>
        <w:tc>
          <w:tcPr>
            <w:tcW w:w="2072"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收费标准（比例）</w:t>
            </w:r>
          </w:p>
        </w:tc>
        <w:tc>
          <w:tcPr>
            <w:tcW w:w="1668" w:type="dxa"/>
          </w:tcPr>
          <w:p>
            <w:pPr>
              <w:pStyle w:val="15"/>
              <w:widowControl w:val="0"/>
              <w:spacing w:line="360" w:lineRule="auto"/>
              <w:jc w:val="both"/>
              <w:rPr>
                <w:rFonts w:ascii="仿宋" w:hAnsi="仿宋" w:eastAsia="仿宋" w:cs="仿宋"/>
                <w:color w:val="auto"/>
                <w:highlight w:val="none"/>
              </w:rPr>
            </w:pPr>
            <w:r>
              <w:rPr>
                <w:rFonts w:hint="eastAsia" w:ascii="仿宋" w:hAnsi="仿宋" w:eastAsia="仿宋" w:cs="仿宋"/>
                <w:color w:val="auto"/>
                <w:highlight w:val="none"/>
              </w:rPr>
              <w:t>酬金数额（单位：万元）</w:t>
            </w:r>
          </w:p>
        </w:tc>
        <w:tc>
          <w:tcPr>
            <w:tcW w:w="1010" w:type="dxa"/>
          </w:tcPr>
          <w:p>
            <w:pPr>
              <w:pStyle w:val="15"/>
              <w:widowControl w:val="0"/>
              <w:spacing w:line="360" w:lineRule="auto"/>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决策阶段</w:t>
            </w:r>
          </w:p>
        </w:tc>
        <w:tc>
          <w:tcPr>
            <w:tcW w:w="1331"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投资估算</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经济评价</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设计阶段</w:t>
            </w: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设计概算</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ind w:left="632" w:hanging="632" w:hangingChars="300"/>
              <w:rPr>
                <w:rFonts w:ascii="仿宋" w:hAnsi="仿宋" w:eastAsia="仿宋" w:cs="仿宋"/>
                <w:b/>
                <w:bCs/>
                <w:color w:val="auto"/>
                <w:highlight w:val="none"/>
              </w:rPr>
            </w:pPr>
            <w:r>
              <w:rPr>
                <w:rFonts w:hint="eastAsia" w:ascii="仿宋" w:hAnsi="仿宋" w:eastAsia="仿宋" w:cs="仿宋"/>
                <w:b/>
                <w:bCs/>
                <w:color w:val="auto"/>
                <w:highlight w:val="none"/>
              </w:rPr>
              <w:t>项目总投资万元</w:t>
            </w:r>
          </w:p>
        </w:tc>
        <w:tc>
          <w:tcPr>
            <w:tcW w:w="2072" w:type="dxa"/>
          </w:tcPr>
          <w:p>
            <w:pPr>
              <w:rPr>
                <w:rFonts w:ascii="仿宋" w:hAnsi="仿宋" w:eastAsia="仿宋" w:cs="仿宋"/>
                <w:b/>
                <w:bCs/>
                <w:color w:val="auto"/>
                <w:highlight w:val="none"/>
              </w:rPr>
            </w:pPr>
            <w:r>
              <w:rPr>
                <w:rFonts w:hint="eastAsia" w:ascii="仿宋" w:hAnsi="仿宋" w:eastAsia="仿宋" w:cs="仿宋"/>
                <w:b/>
                <w:bCs/>
                <w:color w:val="auto"/>
                <w:highlight w:val="none"/>
              </w:rPr>
              <w:t>参照《广东省建设工程造价咨询服务收费计算表（广东省物价局（粤价函）【2011】742文）》收费标准规定*80.00%，并乘以咨询人所报</w:t>
            </w:r>
            <w:r>
              <w:rPr>
                <w:rFonts w:hint="eastAsia" w:ascii="仿宋" w:hAnsi="仿宋" w:eastAsia="仿宋" w:cs="仿宋"/>
                <w:b/>
                <w:bCs/>
                <w:color w:val="auto"/>
                <w:highlight w:val="none"/>
                <w:lang w:val="en-US" w:eastAsia="zh-CN"/>
              </w:rPr>
              <w:t>投标</w:t>
            </w:r>
            <w:r>
              <w:rPr>
                <w:rFonts w:hint="eastAsia" w:ascii="仿宋" w:hAnsi="仿宋" w:eastAsia="仿宋" w:cs="仿宋"/>
                <w:b/>
                <w:bCs/>
                <w:color w:val="auto"/>
                <w:highlight w:val="none"/>
              </w:rPr>
              <w:t>折扣率X%计算</w:t>
            </w:r>
          </w:p>
        </w:tc>
        <w:tc>
          <w:tcPr>
            <w:tcW w:w="1668" w:type="dxa"/>
          </w:tcPr>
          <w:p>
            <w:pPr>
              <w:rPr>
                <w:rFonts w:ascii="仿宋" w:hAnsi="仿宋" w:eastAsia="仿宋" w:cs="仿宋"/>
                <w:b/>
                <w:bCs/>
                <w:color w:val="auto"/>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施工图预算</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发承包阶段</w:t>
            </w: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工程量清单</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最高投标限价</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投标报价分析</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清标报告</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实施阶段</w:t>
            </w: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资金使用计划</w:t>
            </w:r>
          </w:p>
        </w:tc>
        <w:tc>
          <w:tcPr>
            <w:tcW w:w="1504" w:type="dxa"/>
          </w:tcPr>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工程计量与工程款审核</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合同价款调整</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工程变更、索赔、签证</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工程实施阶段造价控制</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竣工阶段</w:t>
            </w: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竣工结算</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竣工决算</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其他服务</w:t>
            </w: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工程造价鉴定</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bl>
    <w:p>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注：1.附录A中服务范围及工作内容未涉及的可在“其他”项中列明。</w:t>
      </w:r>
    </w:p>
    <w:p>
      <w:pPr>
        <w:numPr>
          <w:ilvl w:val="0"/>
          <w:numId w:val="3"/>
        </w:num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实行全过程造价咨询的工程，服务范围及工作内容按上表，酬金及计取方式为：______________________________。</w:t>
      </w: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rPr>
          <w:rFonts w:ascii="仿宋" w:hAnsi="仿宋" w:eastAsia="仿宋" w:cs="仿宋"/>
          <w:color w:val="auto"/>
          <w:sz w:val="24"/>
          <w:szCs w:val="24"/>
          <w:highlight w:val="none"/>
        </w:rPr>
      </w:pPr>
      <w:bookmarkStart w:id="148" w:name="_Toc475975202"/>
      <w:bookmarkStart w:id="149" w:name="_Toc419045127"/>
      <w:bookmarkStart w:id="150" w:name="_Toc18381"/>
      <w:r>
        <w:rPr>
          <w:rFonts w:hint="eastAsia" w:ascii="仿宋" w:hAnsi="仿宋" w:eastAsia="仿宋" w:cs="仿宋"/>
          <w:color w:val="auto"/>
          <w:sz w:val="24"/>
          <w:szCs w:val="24"/>
          <w:highlight w:val="none"/>
        </w:rPr>
        <w:br w:type="page"/>
      </w:r>
    </w:p>
    <w:p>
      <w:pPr>
        <w:pStyle w:val="9"/>
        <w:ind w:left="0" w:left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附录B 咨询人提交成果文件一览表</w:t>
      </w:r>
      <w:bookmarkEnd w:id="148"/>
      <w:bookmarkEnd w:id="149"/>
      <w:bookmarkEnd w:id="150"/>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1565"/>
        <w:gridCol w:w="1565"/>
        <w:gridCol w:w="1578"/>
        <w:gridCol w:w="1566"/>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服务阶段</w:t>
            </w:r>
          </w:p>
        </w:tc>
        <w:tc>
          <w:tcPr>
            <w:tcW w:w="1565"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成果文件名称</w:t>
            </w:r>
          </w:p>
        </w:tc>
        <w:tc>
          <w:tcPr>
            <w:tcW w:w="1565"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成果文件组成</w:t>
            </w:r>
          </w:p>
        </w:tc>
        <w:tc>
          <w:tcPr>
            <w:tcW w:w="1578"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提交时间</w:t>
            </w:r>
          </w:p>
        </w:tc>
        <w:tc>
          <w:tcPr>
            <w:tcW w:w="1566"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份数</w:t>
            </w:r>
          </w:p>
        </w:tc>
        <w:tc>
          <w:tcPr>
            <w:tcW w:w="2014"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vAlign w:val="center"/>
          </w:tcPr>
          <w:p>
            <w:pPr>
              <w:pStyle w:val="15"/>
              <w:widowControl w:val="0"/>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决策阶段</w:t>
            </w:r>
          </w:p>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vAlign w:val="center"/>
          </w:tcPr>
          <w:p>
            <w:pPr>
              <w:pStyle w:val="15"/>
              <w:widowControl w:val="0"/>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设计阶段</w:t>
            </w:r>
          </w:p>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概算审核</w:t>
            </w:r>
          </w:p>
        </w:tc>
        <w:tc>
          <w:tcPr>
            <w:tcW w:w="1565" w:type="dxa"/>
          </w:tcPr>
          <w:p>
            <w:pPr>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概算审核报告</w:t>
            </w:r>
          </w:p>
        </w:tc>
        <w:tc>
          <w:tcPr>
            <w:tcW w:w="1578" w:type="dxa"/>
          </w:tcPr>
          <w:p>
            <w:pPr>
              <w:spacing w:line="360" w:lineRule="auto"/>
              <w:jc w:val="left"/>
              <w:rPr>
                <w:rFonts w:ascii="仿宋" w:hAnsi="仿宋" w:eastAsia="仿宋" w:cs="仿宋"/>
                <w:b/>
                <w:bCs/>
                <w:color w:val="auto"/>
                <w:highlight w:val="none"/>
              </w:rPr>
            </w:pPr>
          </w:p>
        </w:tc>
        <w:tc>
          <w:tcPr>
            <w:tcW w:w="1566" w:type="dxa"/>
          </w:tcPr>
          <w:p>
            <w:pPr>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7</w:t>
            </w:r>
          </w:p>
        </w:tc>
        <w:tc>
          <w:tcPr>
            <w:tcW w:w="2014" w:type="dxa"/>
          </w:tcPr>
          <w:p>
            <w:pPr>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《建设工程造价咨询成果文件质量标准》（CECA/GC7-2012）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vAlign w:val="center"/>
          </w:tcPr>
          <w:p>
            <w:pPr>
              <w:pStyle w:val="15"/>
              <w:widowControl w:val="0"/>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发承包阶段</w:t>
            </w:r>
          </w:p>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66" w:type="dxa"/>
            <w:vMerge w:val="restart"/>
            <w:vAlign w:val="center"/>
          </w:tcPr>
          <w:p>
            <w:pPr>
              <w:pStyle w:val="15"/>
              <w:widowControl w:val="0"/>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实施阶段</w:t>
            </w:r>
          </w:p>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vAlign w:val="center"/>
          </w:tcPr>
          <w:p>
            <w:pPr>
              <w:pStyle w:val="15"/>
              <w:spacing w:line="360" w:lineRule="auto"/>
              <w:jc w:val="center"/>
              <w:rPr>
                <w:rFonts w:ascii="仿宋" w:hAnsi="仿宋" w:eastAsia="仿宋" w:cs="仿宋"/>
                <w:b/>
                <w:bCs/>
                <w:color w:val="auto"/>
                <w:sz w:val="36"/>
                <w:szCs w:val="36"/>
                <w:highlight w:val="none"/>
              </w:rPr>
            </w:pPr>
            <w:r>
              <w:rPr>
                <w:rFonts w:hint="eastAsia" w:ascii="仿宋" w:hAnsi="仿宋" w:eastAsia="仿宋" w:cs="仿宋"/>
                <w:bCs/>
                <w:color w:val="auto"/>
                <w:highlight w:val="none"/>
              </w:rPr>
              <w:t>竣工阶段</w:t>
            </w: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其他服务</w:t>
            </w: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bl>
    <w:p>
      <w:pPr>
        <w:pStyle w:val="9"/>
        <w:ind w:left="0" w:leftChars="0"/>
        <w:jc w:val="center"/>
        <w:rPr>
          <w:rFonts w:ascii="仿宋" w:hAnsi="仿宋" w:eastAsia="仿宋" w:cs="仿宋"/>
          <w:color w:val="auto"/>
          <w:sz w:val="24"/>
          <w:szCs w:val="24"/>
          <w:highlight w:val="none"/>
        </w:rPr>
      </w:pPr>
      <w:bookmarkStart w:id="151" w:name="_Toc419045128"/>
      <w:bookmarkStart w:id="152" w:name="_Toc475975203"/>
      <w:bookmarkStart w:id="153" w:name="_Toc15314"/>
      <w:r>
        <w:rPr>
          <w:rFonts w:hint="eastAsia" w:ascii="仿宋" w:hAnsi="仿宋" w:eastAsia="仿宋" w:cs="仿宋"/>
          <w:color w:val="auto"/>
          <w:sz w:val="24"/>
          <w:szCs w:val="24"/>
          <w:highlight w:val="none"/>
        </w:rPr>
        <w:t>附录C　委托人提供资料一览表</w:t>
      </w:r>
      <w:bookmarkEnd w:id="151"/>
      <w:bookmarkEnd w:id="152"/>
      <w:r>
        <w:rPr>
          <w:rFonts w:hint="eastAsia" w:ascii="仿宋" w:hAnsi="仿宋" w:eastAsia="仿宋" w:cs="仿宋"/>
          <w:color w:val="auto"/>
          <w:sz w:val="24"/>
          <w:szCs w:val="24"/>
          <w:highlight w:val="none"/>
        </w:rPr>
        <w:t>（参照）</w:t>
      </w:r>
      <w:bookmarkEnd w:id="153"/>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工程概算编制（审核）需委托人提供的资料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559"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名称</w:t>
            </w:r>
          </w:p>
        </w:tc>
        <w:tc>
          <w:tcPr>
            <w:tcW w:w="837"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份数</w:t>
            </w:r>
          </w:p>
        </w:tc>
        <w:tc>
          <w:tcPr>
            <w:tcW w:w="1338"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提供时间</w:t>
            </w:r>
          </w:p>
        </w:tc>
        <w:tc>
          <w:tcPr>
            <w:tcW w:w="2207"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559" w:type="dxa"/>
          </w:tcPr>
          <w:p>
            <w:pPr>
              <w:numPr>
                <w:ilvl w:val="1"/>
                <w:numId w:val="4"/>
              </w:numPr>
              <w:tabs>
                <w:tab w:val="left" w:pos="448"/>
              </w:tabs>
              <w:spacing w:before="100" w:beforeAutospacing="1" w:after="156" w:afterLines="50"/>
              <w:ind w:left="165" w:firstLine="375"/>
              <w:jc w:val="left"/>
              <w:rPr>
                <w:rFonts w:ascii="仿宋" w:hAnsi="仿宋" w:eastAsia="仿宋" w:cs="仿宋"/>
                <w:color w:val="auto"/>
                <w:highlight w:val="none"/>
              </w:rPr>
            </w:pPr>
            <w:r>
              <w:rPr>
                <w:rFonts w:hint="eastAsia" w:ascii="仿宋" w:hAnsi="仿宋" w:eastAsia="仿宋" w:cs="仿宋"/>
                <w:color w:val="auto"/>
                <w:highlight w:val="none"/>
              </w:rPr>
              <w:t>工程初步设计图纸、主要材料设备清单等设计文件；</w:t>
            </w:r>
          </w:p>
        </w:tc>
        <w:tc>
          <w:tcPr>
            <w:tcW w:w="83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1</w:t>
            </w:r>
          </w:p>
        </w:tc>
        <w:tc>
          <w:tcPr>
            <w:tcW w:w="1338" w:type="dxa"/>
            <w:vAlign w:val="center"/>
          </w:tcPr>
          <w:p>
            <w:pPr>
              <w:rPr>
                <w:rFonts w:ascii="仿宋" w:hAnsi="仿宋" w:eastAsia="仿宋" w:cs="仿宋"/>
                <w:color w:val="auto"/>
                <w:highlight w:val="none"/>
              </w:rPr>
            </w:pPr>
            <w:r>
              <w:rPr>
                <w:rFonts w:hint="eastAsia" w:ascii="仿宋" w:hAnsi="仿宋" w:eastAsia="仿宋" w:cs="仿宋"/>
                <w:color w:val="auto"/>
                <w:highlight w:val="none"/>
              </w:rPr>
              <w:t>按实际需要提供</w:t>
            </w:r>
          </w:p>
        </w:tc>
        <w:tc>
          <w:tcPr>
            <w:tcW w:w="220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4"/>
              </w:numPr>
              <w:tabs>
                <w:tab w:val="left" w:pos="448"/>
              </w:tabs>
              <w:spacing w:before="100" w:beforeAutospacing="1" w:after="156" w:afterLines="50"/>
              <w:ind w:left="165" w:firstLine="375"/>
              <w:jc w:val="left"/>
              <w:rPr>
                <w:rFonts w:ascii="仿宋" w:hAnsi="仿宋" w:eastAsia="仿宋" w:cs="仿宋"/>
                <w:color w:val="auto"/>
                <w:highlight w:val="none"/>
              </w:rPr>
            </w:pPr>
            <w:r>
              <w:rPr>
                <w:rFonts w:hint="eastAsia" w:ascii="仿宋" w:hAnsi="仿宋" w:eastAsia="仿宋" w:cs="仿宋"/>
                <w:color w:val="auto"/>
                <w:highlight w:val="none"/>
              </w:rPr>
              <w:t>设计单位编制的工程概算书（审核时）；</w:t>
            </w:r>
          </w:p>
        </w:tc>
        <w:tc>
          <w:tcPr>
            <w:tcW w:w="83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1</w:t>
            </w:r>
          </w:p>
        </w:tc>
        <w:tc>
          <w:tcPr>
            <w:tcW w:w="1338" w:type="dxa"/>
            <w:vAlign w:val="center"/>
          </w:tcPr>
          <w:p>
            <w:pPr>
              <w:rPr>
                <w:rFonts w:ascii="仿宋" w:hAnsi="仿宋" w:eastAsia="仿宋" w:cs="仿宋"/>
                <w:color w:val="auto"/>
                <w:highlight w:val="none"/>
              </w:rPr>
            </w:pPr>
            <w:r>
              <w:rPr>
                <w:rFonts w:hint="eastAsia" w:ascii="仿宋" w:hAnsi="仿宋" w:eastAsia="仿宋" w:cs="仿宋"/>
                <w:color w:val="auto"/>
                <w:highlight w:val="none"/>
              </w:rPr>
              <w:t>按实际需要提供</w:t>
            </w:r>
          </w:p>
        </w:tc>
        <w:tc>
          <w:tcPr>
            <w:tcW w:w="220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4"/>
              </w:numPr>
              <w:tabs>
                <w:tab w:val="left" w:pos="448"/>
              </w:tabs>
              <w:spacing w:before="100" w:beforeAutospacing="1" w:after="156" w:afterLines="50"/>
              <w:ind w:left="165" w:firstLine="375"/>
              <w:jc w:val="left"/>
              <w:rPr>
                <w:rFonts w:ascii="仿宋" w:hAnsi="仿宋" w:eastAsia="仿宋" w:cs="仿宋"/>
                <w:color w:val="auto"/>
                <w:highlight w:val="none"/>
              </w:rPr>
            </w:pPr>
            <w:r>
              <w:rPr>
                <w:rFonts w:hint="eastAsia" w:ascii="仿宋" w:hAnsi="仿宋" w:eastAsia="仿宋" w:cs="仿宋"/>
                <w:color w:val="auto"/>
                <w:highlight w:val="none"/>
              </w:rPr>
              <w:t>已经审批的可行性研究报告(附有工程投资估算书)；</w:t>
            </w:r>
          </w:p>
        </w:tc>
        <w:tc>
          <w:tcPr>
            <w:tcW w:w="83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1</w:t>
            </w:r>
          </w:p>
        </w:tc>
        <w:tc>
          <w:tcPr>
            <w:tcW w:w="1338" w:type="dxa"/>
            <w:vAlign w:val="center"/>
          </w:tcPr>
          <w:p>
            <w:pPr>
              <w:rPr>
                <w:rFonts w:ascii="仿宋" w:hAnsi="仿宋" w:eastAsia="仿宋" w:cs="仿宋"/>
                <w:color w:val="auto"/>
                <w:highlight w:val="none"/>
              </w:rPr>
            </w:pPr>
            <w:r>
              <w:rPr>
                <w:rFonts w:hint="eastAsia" w:ascii="仿宋" w:hAnsi="仿宋" w:eastAsia="仿宋" w:cs="仿宋"/>
                <w:color w:val="auto"/>
                <w:highlight w:val="none"/>
              </w:rPr>
              <w:t>按实际需要提供</w:t>
            </w:r>
          </w:p>
        </w:tc>
        <w:tc>
          <w:tcPr>
            <w:tcW w:w="2207"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4"/>
              </w:numPr>
              <w:tabs>
                <w:tab w:val="left" w:pos="448"/>
              </w:tabs>
              <w:spacing w:before="100" w:beforeAutospacing="1" w:after="156" w:afterLines="50"/>
              <w:ind w:left="165" w:firstLine="375"/>
              <w:jc w:val="left"/>
              <w:rPr>
                <w:rFonts w:ascii="仿宋" w:hAnsi="仿宋" w:eastAsia="仿宋" w:cs="仿宋"/>
                <w:color w:val="auto"/>
                <w:highlight w:val="none"/>
              </w:rPr>
            </w:pPr>
            <w:r>
              <w:rPr>
                <w:rFonts w:hint="eastAsia" w:ascii="仿宋" w:hAnsi="仿宋" w:eastAsia="仿宋" w:cs="仿宋"/>
                <w:color w:val="auto"/>
                <w:highlight w:val="none"/>
              </w:rPr>
              <w:t>工程地质勘察报告等其它有关技术资料及现场记录；</w:t>
            </w:r>
          </w:p>
        </w:tc>
        <w:tc>
          <w:tcPr>
            <w:tcW w:w="83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1</w:t>
            </w:r>
          </w:p>
        </w:tc>
        <w:tc>
          <w:tcPr>
            <w:tcW w:w="1338" w:type="dxa"/>
            <w:vAlign w:val="center"/>
          </w:tcPr>
          <w:p>
            <w:pPr>
              <w:rPr>
                <w:rFonts w:ascii="仿宋" w:hAnsi="仿宋" w:eastAsia="仿宋" w:cs="仿宋"/>
                <w:color w:val="auto"/>
                <w:highlight w:val="none"/>
              </w:rPr>
            </w:pPr>
            <w:r>
              <w:rPr>
                <w:rFonts w:hint="eastAsia" w:ascii="仿宋" w:hAnsi="仿宋" w:eastAsia="仿宋" w:cs="仿宋"/>
                <w:color w:val="auto"/>
                <w:highlight w:val="none"/>
              </w:rPr>
              <w:t>按实际需要提供</w:t>
            </w:r>
          </w:p>
        </w:tc>
        <w:tc>
          <w:tcPr>
            <w:tcW w:w="2207"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4"/>
              </w:numPr>
              <w:tabs>
                <w:tab w:val="left" w:pos="448"/>
              </w:tabs>
              <w:spacing w:before="100" w:beforeAutospacing="1" w:after="156" w:afterLines="50"/>
              <w:ind w:left="165" w:firstLine="375"/>
              <w:jc w:val="left"/>
              <w:rPr>
                <w:rFonts w:ascii="仿宋" w:hAnsi="仿宋" w:eastAsia="仿宋" w:cs="仿宋"/>
                <w:color w:val="auto"/>
                <w:highlight w:val="none"/>
              </w:rPr>
            </w:pPr>
            <w:r>
              <w:rPr>
                <w:rFonts w:hint="eastAsia" w:ascii="仿宋" w:hAnsi="仿宋" w:eastAsia="仿宋" w:cs="仿宋"/>
                <w:color w:val="auto"/>
                <w:highlight w:val="none"/>
              </w:rPr>
              <w:t>其他相关资料</w:t>
            </w:r>
          </w:p>
        </w:tc>
        <w:tc>
          <w:tcPr>
            <w:tcW w:w="83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1</w:t>
            </w:r>
          </w:p>
        </w:tc>
        <w:tc>
          <w:tcPr>
            <w:tcW w:w="1338" w:type="dxa"/>
            <w:vAlign w:val="center"/>
          </w:tcPr>
          <w:p>
            <w:pPr>
              <w:rPr>
                <w:rFonts w:ascii="仿宋" w:hAnsi="仿宋" w:eastAsia="仿宋" w:cs="仿宋"/>
                <w:color w:val="auto"/>
                <w:highlight w:val="none"/>
              </w:rPr>
            </w:pPr>
            <w:r>
              <w:rPr>
                <w:rFonts w:hint="eastAsia" w:ascii="仿宋" w:hAnsi="仿宋" w:eastAsia="仿宋" w:cs="仿宋"/>
                <w:color w:val="auto"/>
                <w:highlight w:val="none"/>
              </w:rPr>
              <w:t>按实际需要提供</w:t>
            </w:r>
          </w:p>
        </w:tc>
        <w:tc>
          <w:tcPr>
            <w:tcW w:w="2207" w:type="dxa"/>
            <w:vAlign w:val="center"/>
          </w:tcPr>
          <w:p>
            <w:pPr>
              <w:rPr>
                <w:rFonts w:ascii="仿宋" w:hAnsi="仿宋" w:eastAsia="仿宋" w:cs="仿宋"/>
                <w:color w:val="auto"/>
                <w:highlight w:val="none"/>
              </w:rPr>
            </w:pPr>
          </w:p>
        </w:tc>
      </w:tr>
    </w:tbl>
    <w:p>
      <w:pPr>
        <w:rPr>
          <w:rFonts w:ascii="仿宋" w:hAnsi="仿宋" w:eastAsia="仿宋" w:cs="仿宋"/>
          <w:color w:val="auto"/>
          <w:highlight w:val="none"/>
        </w:rPr>
      </w:pP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工程预算、招标控制价编制（审核）需委托人提供的资料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559"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名称</w:t>
            </w:r>
          </w:p>
        </w:tc>
        <w:tc>
          <w:tcPr>
            <w:tcW w:w="837"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份数</w:t>
            </w:r>
          </w:p>
        </w:tc>
        <w:tc>
          <w:tcPr>
            <w:tcW w:w="1338"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提供时间</w:t>
            </w:r>
          </w:p>
        </w:tc>
        <w:tc>
          <w:tcPr>
            <w:tcW w:w="2207"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5"/>
              </w:numPr>
              <w:tabs>
                <w:tab w:val="left" w:pos="165"/>
              </w:tabs>
              <w:spacing w:before="100" w:beforeAutospacing="1" w:after="156" w:afterLines="50"/>
              <w:ind w:left="165" w:firstLine="375"/>
              <w:rPr>
                <w:rFonts w:ascii="仿宋" w:hAnsi="仿宋" w:eastAsia="仿宋" w:cs="仿宋"/>
                <w:color w:val="auto"/>
                <w:highlight w:val="none"/>
              </w:rPr>
            </w:pPr>
            <w:r>
              <w:rPr>
                <w:rFonts w:hint="eastAsia" w:ascii="仿宋" w:hAnsi="仿宋" w:eastAsia="仿宋" w:cs="仿宋"/>
                <w:color w:val="auto"/>
                <w:highlight w:val="none"/>
              </w:rPr>
              <w:t>工程设计施工图纸、主要材料设备清单等设计文件；</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220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5"/>
              </w:numPr>
              <w:tabs>
                <w:tab w:val="left" w:pos="165"/>
              </w:tabs>
              <w:spacing w:before="100" w:beforeAutospacing="1" w:after="156" w:afterLines="50"/>
              <w:ind w:left="165" w:firstLine="375"/>
              <w:rPr>
                <w:rFonts w:ascii="仿宋" w:hAnsi="仿宋" w:eastAsia="仿宋" w:cs="仿宋"/>
                <w:color w:val="auto"/>
                <w:highlight w:val="none"/>
              </w:rPr>
            </w:pPr>
            <w:r>
              <w:rPr>
                <w:rFonts w:hint="eastAsia" w:ascii="仿宋" w:hAnsi="仿宋" w:eastAsia="仿宋" w:cs="仿宋"/>
                <w:color w:val="auto"/>
                <w:highlight w:val="none"/>
              </w:rPr>
              <w:t>建设单位编制的工程预算书；（审核时）</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220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5"/>
              </w:numPr>
              <w:tabs>
                <w:tab w:val="left" w:pos="165"/>
              </w:tabs>
              <w:spacing w:before="100" w:beforeAutospacing="1" w:after="156" w:afterLines="50"/>
              <w:ind w:left="165" w:firstLine="375"/>
              <w:rPr>
                <w:rFonts w:ascii="仿宋" w:hAnsi="仿宋" w:eastAsia="仿宋" w:cs="仿宋"/>
                <w:color w:val="auto"/>
                <w:highlight w:val="none"/>
              </w:rPr>
            </w:pPr>
            <w:r>
              <w:rPr>
                <w:rFonts w:hint="eastAsia" w:ascii="仿宋" w:hAnsi="仿宋" w:eastAsia="仿宋" w:cs="仿宋"/>
                <w:color w:val="auto"/>
                <w:highlight w:val="none"/>
              </w:rPr>
              <w:t>已审批的工程概算书；</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2207"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5"/>
              </w:numPr>
              <w:tabs>
                <w:tab w:val="left" w:pos="165"/>
              </w:tabs>
              <w:spacing w:before="100" w:beforeAutospacing="1" w:after="156" w:afterLines="50"/>
              <w:ind w:left="165" w:firstLine="375"/>
              <w:rPr>
                <w:rFonts w:ascii="仿宋" w:hAnsi="仿宋" w:eastAsia="仿宋" w:cs="仿宋"/>
                <w:color w:val="auto"/>
                <w:highlight w:val="none"/>
              </w:rPr>
            </w:pPr>
            <w:r>
              <w:rPr>
                <w:rFonts w:hint="eastAsia" w:ascii="仿宋" w:hAnsi="仿宋" w:eastAsia="仿宋" w:cs="仿宋"/>
                <w:color w:val="auto"/>
                <w:highlight w:val="none"/>
              </w:rPr>
              <w:t>工程地质勘察报告等其它有关技术资料及现场记录；</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2207"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5"/>
              </w:numPr>
              <w:tabs>
                <w:tab w:val="left" w:pos="165"/>
              </w:tabs>
              <w:spacing w:before="100" w:beforeAutospacing="1" w:after="156" w:afterLines="50"/>
              <w:ind w:left="165" w:firstLine="375"/>
              <w:rPr>
                <w:rFonts w:ascii="仿宋" w:hAnsi="仿宋" w:eastAsia="仿宋" w:cs="仿宋"/>
                <w:color w:val="auto"/>
                <w:highlight w:val="none"/>
              </w:rPr>
            </w:pPr>
            <w:r>
              <w:rPr>
                <w:rFonts w:hint="eastAsia" w:ascii="仿宋" w:hAnsi="仿宋" w:eastAsia="仿宋" w:cs="仿宋"/>
                <w:color w:val="auto"/>
                <w:highlight w:val="none"/>
              </w:rPr>
              <w:t>其他相关资料</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2207" w:type="dxa"/>
            <w:vAlign w:val="center"/>
          </w:tcPr>
          <w:p>
            <w:pPr>
              <w:rPr>
                <w:rFonts w:ascii="仿宋" w:hAnsi="仿宋" w:eastAsia="仿宋" w:cs="仿宋"/>
                <w:color w:val="auto"/>
                <w:highlight w:val="none"/>
              </w:rPr>
            </w:pPr>
          </w:p>
        </w:tc>
      </w:tr>
    </w:tbl>
    <w:p>
      <w:pPr>
        <w:ind w:firstLine="420" w:firstLineChars="200"/>
        <w:rPr>
          <w:rFonts w:ascii="仿宋" w:hAnsi="仿宋" w:eastAsia="仿宋" w:cs="仿宋"/>
          <w:color w:val="auto"/>
          <w:highlight w:val="none"/>
        </w:rPr>
      </w:pP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结算审核需委托人提供的资料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5"/>
        <w:gridCol w:w="837"/>
        <w:gridCol w:w="133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015"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名称</w:t>
            </w:r>
          </w:p>
        </w:tc>
        <w:tc>
          <w:tcPr>
            <w:tcW w:w="837"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份数</w:t>
            </w:r>
          </w:p>
        </w:tc>
        <w:tc>
          <w:tcPr>
            <w:tcW w:w="1338"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提供时间</w:t>
            </w:r>
          </w:p>
        </w:tc>
        <w:tc>
          <w:tcPr>
            <w:tcW w:w="1781"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建设工程开工报告；</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招投标文件（包括招标书、答疑文件、投标书、评标报告、 中标通知书、暂估价表等）；</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工程施工合同（包括补充合同、施工协议等）；</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工程竣工图纸；</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工程结算书；</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工程量计算书、钢筋抽料表；</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图纸会审记录；</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设备采购合同（清单）及设备安装合同；</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甲方供货合同及清单（如有）；</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施工组织设计；</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隐蔽工程记录；</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设计变更通知书；</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工程洽商记录；</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工程质量验收报告；</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索赔资料及确认单；</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其他资料。</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bl>
    <w:p>
      <w:pPr>
        <w:rPr>
          <w:rFonts w:ascii="仿宋" w:hAnsi="仿宋" w:eastAsia="仿宋" w:cs="仿宋"/>
          <w:color w:val="auto"/>
          <w:sz w:val="24"/>
          <w:szCs w:val="24"/>
          <w:highlight w:val="none"/>
        </w:rPr>
      </w:pPr>
      <w:bookmarkStart w:id="154" w:name="_Toc12549"/>
      <w:r>
        <w:rPr>
          <w:rFonts w:hint="eastAsia" w:ascii="仿宋" w:hAnsi="仿宋" w:eastAsia="仿宋" w:cs="仿宋"/>
          <w:color w:val="auto"/>
          <w:sz w:val="24"/>
          <w:szCs w:val="24"/>
          <w:highlight w:val="none"/>
        </w:rPr>
        <w:br w:type="page"/>
      </w:r>
    </w:p>
    <w:p>
      <w:pPr>
        <w:pStyle w:val="3"/>
        <w:spacing w:before="0" w:after="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附录D 委托人提供房屋及设备一览表</w:t>
      </w:r>
      <w:bookmarkEnd w:id="154"/>
    </w:p>
    <w:tbl>
      <w:tblPr>
        <w:tblStyle w:val="19"/>
        <w:tblpPr w:leftFromText="180" w:rightFromText="180" w:vertAnchor="text" w:horzAnchor="page" w:tblpX="1692"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969"/>
        <w:gridCol w:w="2587"/>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名称</w:t>
            </w:r>
          </w:p>
        </w:tc>
        <w:tc>
          <w:tcPr>
            <w:tcW w:w="969"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数量</w:t>
            </w:r>
          </w:p>
        </w:tc>
        <w:tc>
          <w:tcPr>
            <w:tcW w:w="2587"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面积、型号及规格</w:t>
            </w:r>
          </w:p>
        </w:tc>
        <w:tc>
          <w:tcPr>
            <w:tcW w:w="2007"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p>
        </w:tc>
        <w:tc>
          <w:tcPr>
            <w:tcW w:w="2587" w:type="dxa"/>
          </w:tcPr>
          <w:p>
            <w:pPr>
              <w:spacing w:line="360" w:lineRule="auto"/>
              <w:rPr>
                <w:rFonts w:ascii="仿宋" w:hAnsi="仿宋" w:eastAsia="仿宋" w:cs="仿宋"/>
                <w:color w:val="auto"/>
                <w:highlight w:val="none"/>
              </w:rPr>
            </w:pP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pStyle w:val="15"/>
              <w:widowControl w:val="0"/>
              <w:spacing w:line="360" w:lineRule="auto"/>
              <w:jc w:val="both"/>
              <w:rPr>
                <w:rFonts w:ascii="仿宋" w:hAnsi="仿宋" w:eastAsia="仿宋" w:cs="仿宋"/>
                <w:color w:val="auto"/>
                <w:highlight w:val="none"/>
              </w:rPr>
            </w:pPr>
          </w:p>
        </w:tc>
        <w:tc>
          <w:tcPr>
            <w:tcW w:w="950"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pStyle w:val="15"/>
              <w:widowControl w:val="0"/>
              <w:spacing w:line="360" w:lineRule="auto"/>
              <w:jc w:val="both"/>
              <w:rPr>
                <w:rFonts w:ascii="仿宋" w:hAnsi="仿宋" w:eastAsia="仿宋" w:cs="仿宋"/>
                <w:color w:val="auto"/>
                <w:highlight w:val="none"/>
              </w:rPr>
            </w:pPr>
          </w:p>
        </w:tc>
        <w:tc>
          <w:tcPr>
            <w:tcW w:w="950"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pStyle w:val="15"/>
              <w:widowControl w:val="0"/>
              <w:spacing w:line="360" w:lineRule="auto"/>
              <w:jc w:val="both"/>
              <w:rPr>
                <w:rFonts w:ascii="仿宋" w:hAnsi="仿宋" w:eastAsia="仿宋" w:cs="仿宋"/>
                <w:color w:val="auto"/>
                <w:highlight w:val="none"/>
              </w:rPr>
            </w:pPr>
          </w:p>
        </w:tc>
        <w:tc>
          <w:tcPr>
            <w:tcW w:w="950"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pStyle w:val="15"/>
              <w:widowControl w:val="0"/>
              <w:spacing w:line="360" w:lineRule="auto"/>
              <w:jc w:val="both"/>
              <w:rPr>
                <w:rFonts w:ascii="仿宋" w:hAnsi="仿宋" w:eastAsia="仿宋" w:cs="仿宋"/>
                <w:color w:val="auto"/>
                <w:highlight w:val="none"/>
              </w:rPr>
            </w:pPr>
          </w:p>
        </w:tc>
        <w:tc>
          <w:tcPr>
            <w:tcW w:w="950"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bl>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pPr>
        <w:pStyle w:val="3"/>
        <w:tabs>
          <w:tab w:val="left" w:pos="420"/>
        </w:tabs>
        <w:jc w:val="center"/>
        <w:rPr>
          <w:rFonts w:ascii="仿宋" w:hAnsi="仿宋" w:eastAsia="仿宋" w:cs="仿宋"/>
          <w:b/>
          <w:bCs/>
          <w:color w:val="auto"/>
          <w:sz w:val="32"/>
          <w:szCs w:val="32"/>
          <w:highlight w:val="none"/>
        </w:rPr>
      </w:pPr>
      <w:r>
        <w:rPr>
          <w:rFonts w:hint="eastAsia" w:ascii="仿宋" w:hAnsi="仿宋" w:eastAsia="仿宋" w:cs="仿宋"/>
          <w:b/>
          <w:bCs/>
          <w:color w:val="auto"/>
          <w:sz w:val="36"/>
          <w:szCs w:val="36"/>
          <w:highlight w:val="none"/>
        </w:rPr>
        <w:t>第三部分  专用条款</w:t>
      </w:r>
      <w:bookmarkEnd w:id="146"/>
      <w:bookmarkEnd w:id="147"/>
    </w:p>
    <w:p>
      <w:pPr>
        <w:pStyle w:val="16"/>
        <w:spacing w:before="0" w:after="0" w:line="360" w:lineRule="auto"/>
        <w:ind w:firstLine="482" w:firstLineChars="200"/>
        <w:jc w:val="left"/>
        <w:rPr>
          <w:rFonts w:ascii="仿宋" w:hAnsi="仿宋" w:eastAsia="仿宋" w:cs="仿宋"/>
          <w:bCs w:val="0"/>
          <w:color w:val="auto"/>
          <w:sz w:val="24"/>
          <w:szCs w:val="24"/>
          <w:highlight w:val="none"/>
        </w:rPr>
      </w:pPr>
      <w:bookmarkStart w:id="155" w:name="_Toc10627433"/>
      <w:bookmarkStart w:id="156" w:name="_Toc22216"/>
      <w:r>
        <w:rPr>
          <w:rFonts w:hint="eastAsia" w:ascii="仿宋" w:hAnsi="仿宋" w:eastAsia="仿宋" w:cs="仿宋"/>
          <w:color w:val="auto"/>
          <w:sz w:val="24"/>
          <w:szCs w:val="24"/>
          <w:highlight w:val="none"/>
        </w:rPr>
        <w:t>1. 词语定义、语言、解释顺序与适用法律</w:t>
      </w:r>
      <w:bookmarkEnd w:id="155"/>
      <w:bookmarkEnd w:id="156"/>
    </w:p>
    <w:p>
      <w:pPr>
        <w:pStyle w:val="16"/>
        <w:spacing w:before="0" w:after="0" w:line="360" w:lineRule="auto"/>
        <w:ind w:firstLine="482" w:firstLineChars="200"/>
        <w:jc w:val="left"/>
        <w:rPr>
          <w:rFonts w:ascii="仿宋" w:hAnsi="仿宋" w:eastAsia="仿宋" w:cs="仿宋"/>
          <w:bCs w:val="0"/>
          <w:color w:val="auto"/>
          <w:sz w:val="24"/>
          <w:szCs w:val="24"/>
          <w:highlight w:val="none"/>
        </w:rPr>
      </w:pPr>
      <w:bookmarkStart w:id="157" w:name="_Toc22303"/>
      <w:bookmarkStart w:id="158" w:name="_Toc10627434"/>
      <w:r>
        <w:rPr>
          <w:rFonts w:hint="eastAsia" w:ascii="仿宋" w:hAnsi="仿宋" w:eastAsia="仿宋" w:cs="仿宋"/>
          <w:color w:val="auto"/>
          <w:sz w:val="24"/>
          <w:szCs w:val="24"/>
          <w:highlight w:val="none"/>
        </w:rPr>
        <w:t>1.2语言</w:t>
      </w:r>
      <w:bookmarkEnd w:id="157"/>
      <w:bookmarkEnd w:id="158"/>
    </w:p>
    <w:p>
      <w:pPr>
        <w:spacing w:line="360" w:lineRule="auto"/>
        <w:ind w:firstLine="468"/>
        <w:rPr>
          <w:rStyle w:val="30"/>
          <w:rFonts w:ascii="仿宋" w:hAnsi="仿宋" w:eastAsia="仿宋" w:cs="仿宋"/>
          <w:b w:val="0"/>
          <w:color w:val="auto"/>
          <w:sz w:val="24"/>
          <w:szCs w:val="24"/>
          <w:highlight w:val="none"/>
        </w:rPr>
      </w:pPr>
      <w:bookmarkStart w:id="159" w:name="_Toc419045102"/>
      <w:bookmarkStart w:id="160" w:name="_Toc475975170"/>
      <w:bookmarkStart w:id="161" w:name="_Toc19652"/>
      <w:r>
        <w:rPr>
          <w:rFonts w:hint="eastAsia" w:ascii="仿宋" w:hAnsi="仿宋" w:eastAsia="仿宋" w:cs="仿宋"/>
          <w:color w:val="auto"/>
          <w:sz w:val="24"/>
          <w:szCs w:val="24"/>
          <w:highlight w:val="none"/>
        </w:rPr>
        <w:t>本合同文件除使用中文外，还可用</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68"/>
        <w:rPr>
          <w:rStyle w:val="30"/>
          <w:rFonts w:ascii="仿宋" w:hAnsi="仿宋" w:eastAsia="仿宋" w:cs="仿宋"/>
          <w:bCs w:val="0"/>
          <w:color w:val="auto"/>
          <w:sz w:val="24"/>
          <w:szCs w:val="24"/>
          <w:highlight w:val="none"/>
        </w:rPr>
      </w:pPr>
      <w:r>
        <w:rPr>
          <w:rStyle w:val="30"/>
          <w:rFonts w:hint="eastAsia" w:ascii="仿宋" w:hAnsi="仿宋" w:eastAsia="仿宋" w:cs="仿宋"/>
          <w:bCs w:val="0"/>
          <w:color w:val="auto"/>
          <w:sz w:val="24"/>
          <w:szCs w:val="24"/>
          <w:highlight w:val="none"/>
        </w:rPr>
        <w:t>1.4适用法律</w:t>
      </w:r>
      <w:bookmarkEnd w:id="159"/>
      <w:bookmarkEnd w:id="160"/>
    </w:p>
    <w:bookmarkEnd w:id="161"/>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_本合同适用的其他规范性文件包括:</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32"/>
          <w:szCs w:val="32"/>
          <w:highlight w:val="none"/>
        </w:rPr>
        <w:t>。</w:t>
      </w:r>
    </w:p>
    <w:p>
      <w:pPr>
        <w:pStyle w:val="16"/>
        <w:spacing w:before="0" w:after="0" w:line="360" w:lineRule="auto"/>
        <w:ind w:firstLine="482" w:firstLineChars="200"/>
        <w:jc w:val="left"/>
        <w:rPr>
          <w:rFonts w:ascii="仿宋" w:hAnsi="仿宋" w:eastAsia="仿宋" w:cs="仿宋"/>
          <w:bCs w:val="0"/>
          <w:color w:val="auto"/>
          <w:sz w:val="24"/>
          <w:szCs w:val="24"/>
          <w:highlight w:val="none"/>
        </w:rPr>
      </w:pPr>
      <w:bookmarkStart w:id="162" w:name="_Toc475975171"/>
      <w:bookmarkStart w:id="163" w:name="_Toc419045103"/>
      <w:bookmarkStart w:id="164" w:name="_Toc23566"/>
      <w:r>
        <w:rPr>
          <w:rFonts w:hint="eastAsia" w:ascii="仿宋" w:hAnsi="仿宋" w:eastAsia="仿宋" w:cs="仿宋"/>
          <w:bCs w:val="0"/>
          <w:color w:val="auto"/>
          <w:sz w:val="24"/>
          <w:szCs w:val="24"/>
          <w:highlight w:val="none"/>
        </w:rPr>
        <w:t>2.委托人的义务</w:t>
      </w:r>
      <w:bookmarkEnd w:id="162"/>
      <w:bookmarkEnd w:id="163"/>
      <w:bookmarkEnd w:id="164"/>
    </w:p>
    <w:p>
      <w:pPr>
        <w:spacing w:line="360" w:lineRule="auto"/>
        <w:ind w:firstLine="468"/>
        <w:rPr>
          <w:rStyle w:val="30"/>
          <w:rFonts w:ascii="仿宋" w:hAnsi="仿宋" w:eastAsia="仿宋" w:cs="仿宋"/>
          <w:bCs w:val="0"/>
          <w:color w:val="auto"/>
          <w:sz w:val="24"/>
          <w:szCs w:val="24"/>
          <w:highlight w:val="none"/>
        </w:rPr>
      </w:pPr>
      <w:bookmarkStart w:id="165" w:name="_Toc419045104"/>
      <w:bookmarkStart w:id="166" w:name="_Toc475975172"/>
      <w:bookmarkStart w:id="167" w:name="_Toc8432"/>
      <w:r>
        <w:rPr>
          <w:rStyle w:val="30"/>
          <w:rFonts w:hint="eastAsia" w:ascii="仿宋" w:hAnsi="仿宋" w:eastAsia="仿宋" w:cs="仿宋"/>
          <w:bCs w:val="0"/>
          <w:color w:val="auto"/>
          <w:sz w:val="24"/>
          <w:szCs w:val="24"/>
          <w:highlight w:val="none"/>
        </w:rPr>
        <w:t>2.1本合同第二部分《通用条款》第2.1款中附录C委托人提供资料一览表（参照）不适用，代之以下列目录提供资料</w:t>
      </w:r>
      <w:bookmarkEnd w:id="165"/>
      <w:bookmarkEnd w:id="166"/>
    </w:p>
    <w:bookmarkEnd w:id="167"/>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（1）委托人应自本合同生效之日起3个工作日向咨询人提供完成工程概算审核所需材料，具体如下：</w:t>
      </w:r>
    </w:p>
    <w:tbl>
      <w:tblPr>
        <w:tblStyle w:val="19"/>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6"/>
        <w:gridCol w:w="4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476" w:type="dxa"/>
            <w:vAlign w:val="center"/>
          </w:tcPr>
          <w:p>
            <w:pPr>
              <w:pStyle w:val="15"/>
              <w:widowControl w:val="0"/>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名称</w:t>
            </w:r>
          </w:p>
        </w:tc>
        <w:tc>
          <w:tcPr>
            <w:tcW w:w="4007" w:type="dxa"/>
            <w:vAlign w:val="center"/>
          </w:tcPr>
          <w:p>
            <w:pPr>
              <w:pStyle w:val="15"/>
              <w:widowControl w:val="0"/>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提交形式及份数要求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工程初步设计图纸、主要材料设备清单等设计文件；</w:t>
            </w:r>
          </w:p>
        </w:tc>
        <w:tc>
          <w:tcPr>
            <w:tcW w:w="4007"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工程概算编制书</w:t>
            </w:r>
          </w:p>
        </w:tc>
        <w:tc>
          <w:tcPr>
            <w:tcW w:w="4007"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已经审批的可行性研究报告或项目建议书(附有工程投资估算书)；</w:t>
            </w:r>
          </w:p>
        </w:tc>
        <w:tc>
          <w:tcPr>
            <w:tcW w:w="4007"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工程地质勘察报告等其它有关技术资料及现场记录；</w:t>
            </w:r>
          </w:p>
        </w:tc>
        <w:tc>
          <w:tcPr>
            <w:tcW w:w="4007"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前期已签订的涉及工程建设其他费的相关服务合同；</w:t>
            </w:r>
          </w:p>
        </w:tc>
        <w:tc>
          <w:tcPr>
            <w:tcW w:w="4007" w:type="dxa"/>
            <w:vAlign w:val="center"/>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其他相关资料：</w:t>
            </w:r>
          </w:p>
        </w:tc>
        <w:tc>
          <w:tcPr>
            <w:tcW w:w="4007"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bl>
    <w:p>
      <w:pPr>
        <w:spacing w:line="360" w:lineRule="auto"/>
        <w:ind w:firstLine="482" w:firstLineChars="200"/>
        <w:rPr>
          <w:rStyle w:val="30"/>
          <w:rFonts w:ascii="仿宋" w:hAnsi="仿宋" w:eastAsia="仿宋" w:cs="仿宋"/>
          <w:bCs w:val="0"/>
          <w:color w:val="auto"/>
          <w:sz w:val="24"/>
          <w:szCs w:val="24"/>
          <w:highlight w:val="none"/>
        </w:rPr>
      </w:pPr>
      <w:bookmarkStart w:id="168" w:name="_Toc475975173"/>
      <w:bookmarkStart w:id="169" w:name="_Toc419045105"/>
      <w:bookmarkStart w:id="170" w:name="_Toc28597"/>
      <w:r>
        <w:rPr>
          <w:rStyle w:val="30"/>
          <w:rFonts w:hint="eastAsia" w:ascii="仿宋" w:hAnsi="仿宋" w:eastAsia="仿宋" w:cs="仿宋"/>
          <w:bCs w:val="0"/>
          <w:color w:val="auto"/>
          <w:sz w:val="24"/>
          <w:szCs w:val="24"/>
          <w:highlight w:val="none"/>
        </w:rPr>
        <w:t>2.2本合同第二部分《通用条款》第2.2.1款中附录D委托人提供房屋及设备一览表不适用，代之以下列目录提供工作条件</w:t>
      </w:r>
      <w:bookmarkEnd w:id="168"/>
      <w:bookmarkEnd w:id="169"/>
    </w:p>
    <w:bookmarkEnd w:id="170"/>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2.2.1提供房屋及设备：</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☑本合同第二部分《通用条款》第2.2.1款不适用，委托人无需向咨询人提供房屋及设备。</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□委托人按照《委托人提供房屋及设备一览表》向咨询人提供房屋及设备，由咨询人□无偿使用□有偿使用（使用费计取标准：</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委托人提供房屋及设备一览表</w:t>
      </w:r>
    </w:p>
    <w:tbl>
      <w:tblPr>
        <w:tblStyle w:val="19"/>
        <w:tblpPr w:leftFromText="180" w:rightFromText="180" w:vertAnchor="text" w:horzAnchor="page" w:tblpX="1832" w:tblpY="34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969"/>
        <w:gridCol w:w="2587"/>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名称</w:t>
            </w:r>
          </w:p>
        </w:tc>
        <w:tc>
          <w:tcPr>
            <w:tcW w:w="969"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数量</w:t>
            </w:r>
          </w:p>
        </w:tc>
        <w:tc>
          <w:tcPr>
            <w:tcW w:w="2587"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面积、型号及规格</w:t>
            </w:r>
          </w:p>
        </w:tc>
        <w:tc>
          <w:tcPr>
            <w:tcW w:w="2007"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p>
        </w:tc>
        <w:tc>
          <w:tcPr>
            <w:tcW w:w="2587" w:type="dxa"/>
          </w:tcPr>
          <w:p>
            <w:pPr>
              <w:spacing w:line="360" w:lineRule="auto"/>
              <w:rPr>
                <w:rFonts w:ascii="仿宋" w:hAnsi="仿宋" w:eastAsia="仿宋" w:cs="仿宋"/>
                <w:color w:val="auto"/>
                <w:highlight w:val="none"/>
              </w:rPr>
            </w:pP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bl>
    <w:p>
      <w:pPr>
        <w:spacing w:line="360" w:lineRule="auto"/>
        <w:rPr>
          <w:rFonts w:ascii="仿宋" w:hAnsi="仿宋" w:eastAsia="仿宋" w:cs="仿宋"/>
          <w:color w:val="auto"/>
          <w:sz w:val="24"/>
          <w:szCs w:val="24"/>
          <w:highlight w:val="none"/>
        </w:rPr>
      </w:pP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p>
      <w:pPr>
        <w:spacing w:line="360" w:lineRule="auto"/>
        <w:ind w:firstLine="482" w:firstLineChars="200"/>
        <w:rPr>
          <w:rFonts w:ascii="仿宋" w:hAnsi="仿宋" w:eastAsia="仿宋" w:cs="仿宋"/>
          <w:b/>
          <w:bCs/>
          <w:color w:val="auto"/>
          <w:sz w:val="24"/>
          <w:szCs w:val="24"/>
          <w:highlight w:val="none"/>
        </w:rPr>
      </w:pPr>
    </w:p>
    <w:p>
      <w:pPr>
        <w:spacing w:line="360" w:lineRule="auto"/>
        <w:ind w:firstLine="482" w:firstLineChars="200"/>
        <w:rPr>
          <w:rFonts w:ascii="仿宋" w:hAnsi="仿宋" w:eastAsia="仿宋" w:cs="仿宋"/>
          <w:b/>
          <w:bCs/>
          <w:color w:val="auto"/>
          <w:sz w:val="24"/>
          <w:szCs w:val="24"/>
          <w:highlight w:val="none"/>
        </w:rPr>
      </w:pPr>
    </w:p>
    <w:p>
      <w:pPr>
        <w:spacing w:line="360" w:lineRule="auto"/>
        <w:ind w:firstLine="482" w:firstLineChars="200"/>
        <w:rPr>
          <w:rFonts w:ascii="仿宋" w:hAnsi="仿宋" w:eastAsia="仿宋" w:cs="仿宋"/>
          <w:b/>
          <w:bCs/>
          <w:color w:val="auto"/>
          <w:sz w:val="24"/>
          <w:szCs w:val="24"/>
          <w:highlight w:val="none"/>
        </w:rPr>
      </w:pPr>
    </w:p>
    <w:p>
      <w:pPr>
        <w:spacing w:line="360" w:lineRule="auto"/>
        <w:ind w:firstLine="482" w:firstLineChars="20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2.3咨询期限</w:t>
      </w:r>
      <w:r>
        <w:rPr>
          <w:rFonts w:hint="eastAsia" w:ascii="仿宋" w:hAnsi="仿宋" w:eastAsia="仿宋" w:cs="仿宋"/>
          <w:color w:val="auto"/>
          <w:sz w:val="24"/>
          <w:szCs w:val="24"/>
          <w:highlight w:val="none"/>
        </w:rPr>
        <w:t>：按本合同第一部分《协议书》第四条约定的服务期限执行。</w:t>
      </w:r>
    </w:p>
    <w:p>
      <w:pPr>
        <w:spacing w:line="360" w:lineRule="auto"/>
        <w:ind w:firstLine="482" w:firstLineChars="200"/>
        <w:rPr>
          <w:rFonts w:ascii="仿宋" w:hAnsi="仿宋" w:eastAsia="仿宋" w:cs="仿宋"/>
          <w:b/>
          <w:color w:val="auto"/>
          <w:sz w:val="24"/>
          <w:szCs w:val="24"/>
          <w:highlight w:val="none"/>
        </w:rPr>
      </w:pPr>
      <w:bookmarkStart w:id="171" w:name="_Toc419045106"/>
      <w:bookmarkStart w:id="172" w:name="_Toc2582"/>
      <w:bookmarkStart w:id="173" w:name="_Toc475975174"/>
      <w:r>
        <w:rPr>
          <w:rStyle w:val="30"/>
          <w:rFonts w:hint="eastAsia" w:ascii="仿宋" w:hAnsi="仿宋" w:eastAsia="仿宋" w:cs="仿宋"/>
          <w:bCs w:val="0"/>
          <w:color w:val="auto"/>
          <w:sz w:val="24"/>
          <w:szCs w:val="24"/>
          <w:highlight w:val="none"/>
        </w:rPr>
        <w:t>2.4委托人代表</w:t>
      </w:r>
      <w:bookmarkEnd w:id="171"/>
      <w:bookmarkEnd w:id="172"/>
      <w:bookmarkEnd w:id="173"/>
    </w:p>
    <w:p>
      <w:pPr>
        <w:spacing w:line="360" w:lineRule="auto"/>
        <w:ind w:firstLine="480" w:firstLineChars="200"/>
        <w:rPr>
          <w:rFonts w:ascii="仿宋" w:hAnsi="仿宋" w:eastAsia="仿宋" w:cs="仿宋"/>
          <w:color w:val="auto"/>
          <w:sz w:val="32"/>
          <w:szCs w:val="32"/>
          <w:highlight w:val="none"/>
          <w:u w:val="single"/>
        </w:rPr>
      </w:pPr>
      <w:r>
        <w:rPr>
          <w:rFonts w:hint="eastAsia" w:ascii="仿宋" w:hAnsi="仿宋" w:eastAsia="仿宋" w:cs="仿宋"/>
          <w:color w:val="auto"/>
          <w:sz w:val="24"/>
          <w:szCs w:val="24"/>
          <w:highlight w:val="none"/>
        </w:rPr>
        <w:t>甲方代表为：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），其权限范围</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u w:val="single"/>
        </w:rPr>
        <w:t>组织开展造价咨询工作，跟踪概算审核审核进度，督促咨询单位按时按质按量完成概算审核工作，组织协调审核乙方提交的概算审核争议问题。</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74" w:name="_Toc475975175"/>
      <w:bookmarkStart w:id="175" w:name="_Toc18967"/>
      <w:r>
        <w:rPr>
          <w:rFonts w:hint="eastAsia" w:ascii="仿宋" w:hAnsi="仿宋" w:eastAsia="仿宋" w:cs="仿宋"/>
          <w:bCs w:val="0"/>
          <w:color w:val="auto"/>
          <w:sz w:val="24"/>
          <w:szCs w:val="24"/>
          <w:highlight w:val="none"/>
        </w:rPr>
        <w:t>2.5答复</w:t>
      </w:r>
      <w:bookmarkEnd w:id="174"/>
      <w:bookmarkEnd w:id="175"/>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委托人同意对咨询人书面提交并要求做出决定的事宜给予书面答复。</w:t>
      </w:r>
    </w:p>
    <w:p>
      <w:pPr>
        <w:pStyle w:val="16"/>
        <w:spacing w:before="0" w:after="0" w:line="360" w:lineRule="auto"/>
        <w:ind w:firstLine="482" w:firstLineChars="200"/>
        <w:jc w:val="left"/>
        <w:rPr>
          <w:rFonts w:ascii="仿宋" w:hAnsi="仿宋" w:eastAsia="仿宋" w:cs="仿宋"/>
          <w:bCs w:val="0"/>
          <w:color w:val="auto"/>
          <w:sz w:val="24"/>
          <w:szCs w:val="24"/>
          <w:highlight w:val="none"/>
        </w:rPr>
      </w:pPr>
      <w:bookmarkStart w:id="176" w:name="_Toc419045107"/>
      <w:bookmarkStart w:id="177" w:name="_Toc475975176"/>
      <w:bookmarkStart w:id="178" w:name="_Toc13081"/>
      <w:r>
        <w:rPr>
          <w:rFonts w:hint="eastAsia" w:ascii="仿宋" w:hAnsi="仿宋" w:eastAsia="仿宋" w:cs="仿宋"/>
          <w:bCs w:val="0"/>
          <w:color w:val="auto"/>
          <w:sz w:val="24"/>
          <w:szCs w:val="24"/>
          <w:highlight w:val="none"/>
        </w:rPr>
        <w:t>3.咨询人的义务</w:t>
      </w:r>
      <w:bookmarkEnd w:id="176"/>
      <w:bookmarkEnd w:id="177"/>
      <w:bookmarkEnd w:id="178"/>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79" w:name="_Toc419045109"/>
      <w:bookmarkStart w:id="180" w:name="_Toc475975177"/>
      <w:bookmarkStart w:id="181" w:name="_Toc14766"/>
      <w:r>
        <w:rPr>
          <w:rFonts w:hint="eastAsia" w:ascii="仿宋" w:hAnsi="仿宋" w:eastAsia="仿宋" w:cs="仿宋"/>
          <w:bCs w:val="0"/>
          <w:color w:val="auto"/>
          <w:sz w:val="24"/>
          <w:szCs w:val="24"/>
          <w:highlight w:val="none"/>
        </w:rPr>
        <w:t>3.1项目咨询团队及人员</w:t>
      </w:r>
      <w:bookmarkEnd w:id="179"/>
      <w:bookmarkEnd w:id="180"/>
      <w:bookmarkEnd w:id="181"/>
    </w:p>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3.1.1项目咨询团队的主 要人员应持有中华人民共和国造价工程师注册执业证书和执业印章，团队人员的数量为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32"/>
          <w:szCs w:val="32"/>
          <w:highlight w:val="none"/>
        </w:rPr>
        <w:t>。</w:t>
      </w:r>
    </w:p>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3.1.2项目负责人为：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），项目负责人为履行本合同的权限为：</w:t>
      </w:r>
      <w:r>
        <w:rPr>
          <w:rFonts w:hint="eastAsia" w:ascii="仿宋" w:hAnsi="仿宋" w:eastAsia="仿宋" w:cs="仿宋"/>
          <w:color w:val="auto"/>
          <w:sz w:val="24"/>
          <w:szCs w:val="24"/>
          <w:highlight w:val="none"/>
          <w:u w:val="single"/>
        </w:rPr>
        <w:t>统筹、协调项目造价咨询工作，协调解决造价技术相关问题</w:t>
      </w:r>
      <w:r>
        <w:rPr>
          <w:rFonts w:hint="eastAsia" w:ascii="仿宋" w:hAnsi="仿宋" w:eastAsia="仿宋" w:cs="仿宋"/>
          <w:color w:val="auto"/>
          <w:sz w:val="32"/>
          <w:szCs w:val="32"/>
          <w:highlight w:val="none"/>
        </w:rPr>
        <w:t>。</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3.1.3项目负责人职责：组织项目咨询团队按要求开展造价咨询工作，参加项目会议，对工程造价咨询成果文件复核并签字。</w:t>
      </w:r>
    </w:p>
    <w:p>
      <w:pPr>
        <w:rPr>
          <w:rFonts w:ascii="仿宋" w:hAnsi="仿宋" w:eastAsia="仿宋" w:cs="仿宋"/>
          <w:color w:val="auto"/>
          <w:highlight w:val="none"/>
        </w:rPr>
      </w:pPr>
      <w:r>
        <w:rPr>
          <w:rFonts w:hint="eastAsia" w:ascii="仿宋" w:hAnsi="仿宋" w:eastAsia="仿宋" w:cs="仿宋"/>
          <w:color w:val="auto"/>
          <w:highlight w:val="none"/>
        </w:rPr>
        <w:br w:type="page"/>
      </w:r>
    </w:p>
    <w:p>
      <w:pPr>
        <w:pStyle w:val="25"/>
        <w:spacing w:line="360" w:lineRule="auto"/>
        <w:jc w:val="center"/>
        <w:rPr>
          <w:rFonts w:ascii="仿宋" w:hAnsi="仿宋" w:eastAsia="仿宋" w:cs="仿宋"/>
          <w:color w:val="auto"/>
          <w:kern w:val="2"/>
          <w:highlight w:val="none"/>
        </w:rPr>
      </w:pPr>
      <w:r>
        <w:rPr>
          <w:rFonts w:hint="eastAsia" w:ascii="仿宋" w:hAnsi="仿宋" w:eastAsia="仿宋" w:cs="仿宋"/>
          <w:color w:val="auto"/>
          <w:kern w:val="2"/>
          <w:highlight w:val="none"/>
        </w:rPr>
        <w:t>拟投入人员一览表</w:t>
      </w:r>
    </w:p>
    <w:tbl>
      <w:tblPr>
        <w:tblStyle w:val="19"/>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211"/>
        <w:gridCol w:w="2075"/>
        <w:gridCol w:w="38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80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专业分工</w:t>
            </w:r>
          </w:p>
        </w:tc>
        <w:tc>
          <w:tcPr>
            <w:tcW w:w="61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5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959"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职称/注册执业资格</w:t>
            </w:r>
          </w:p>
        </w:tc>
        <w:tc>
          <w:tcPr>
            <w:tcW w:w="56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61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05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959"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56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61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05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959"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56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61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05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959"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56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61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05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959"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56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vAlign w:val="center"/>
          </w:tcPr>
          <w:p>
            <w:pPr>
              <w:spacing w:line="360" w:lineRule="auto"/>
              <w:jc w:val="center"/>
              <w:rPr>
                <w:rFonts w:ascii="仿宋" w:hAnsi="仿宋" w:eastAsia="仿宋" w:cs="仿宋"/>
                <w:color w:val="auto"/>
                <w:sz w:val="24"/>
                <w:szCs w:val="24"/>
                <w:highlight w:val="none"/>
              </w:rPr>
            </w:pPr>
          </w:p>
        </w:tc>
        <w:tc>
          <w:tcPr>
            <w:tcW w:w="616" w:type="pct"/>
            <w:vAlign w:val="center"/>
          </w:tcPr>
          <w:p>
            <w:pPr>
              <w:spacing w:line="360" w:lineRule="auto"/>
              <w:jc w:val="center"/>
              <w:rPr>
                <w:rFonts w:ascii="仿宋" w:hAnsi="仿宋" w:eastAsia="仿宋" w:cs="仿宋"/>
                <w:color w:val="auto"/>
                <w:sz w:val="24"/>
                <w:szCs w:val="24"/>
                <w:highlight w:val="none"/>
              </w:rPr>
            </w:pPr>
          </w:p>
        </w:tc>
        <w:tc>
          <w:tcPr>
            <w:tcW w:w="1056" w:type="pct"/>
            <w:vAlign w:val="center"/>
          </w:tcPr>
          <w:p>
            <w:pPr>
              <w:spacing w:line="360" w:lineRule="auto"/>
              <w:jc w:val="center"/>
              <w:rPr>
                <w:rFonts w:ascii="仿宋" w:hAnsi="仿宋" w:eastAsia="仿宋" w:cs="仿宋"/>
                <w:color w:val="auto"/>
                <w:sz w:val="24"/>
                <w:szCs w:val="24"/>
                <w:highlight w:val="none"/>
              </w:rPr>
            </w:pPr>
          </w:p>
        </w:tc>
        <w:tc>
          <w:tcPr>
            <w:tcW w:w="1959" w:type="pct"/>
            <w:vAlign w:val="center"/>
          </w:tcPr>
          <w:p>
            <w:pPr>
              <w:spacing w:line="360" w:lineRule="auto"/>
              <w:jc w:val="center"/>
              <w:rPr>
                <w:rFonts w:ascii="仿宋" w:hAnsi="仿宋" w:eastAsia="仿宋" w:cs="仿宋"/>
                <w:color w:val="auto"/>
                <w:sz w:val="24"/>
                <w:szCs w:val="24"/>
                <w:highlight w:val="none"/>
              </w:rPr>
            </w:pPr>
          </w:p>
        </w:tc>
        <w:tc>
          <w:tcPr>
            <w:tcW w:w="563" w:type="pct"/>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vAlign w:val="center"/>
          </w:tcPr>
          <w:p>
            <w:pPr>
              <w:spacing w:line="360" w:lineRule="auto"/>
              <w:jc w:val="center"/>
              <w:rPr>
                <w:rFonts w:ascii="仿宋" w:hAnsi="仿宋" w:eastAsia="仿宋" w:cs="仿宋"/>
                <w:color w:val="auto"/>
                <w:sz w:val="24"/>
                <w:szCs w:val="24"/>
                <w:highlight w:val="none"/>
              </w:rPr>
            </w:pPr>
          </w:p>
        </w:tc>
        <w:tc>
          <w:tcPr>
            <w:tcW w:w="616" w:type="pct"/>
            <w:vAlign w:val="center"/>
          </w:tcPr>
          <w:p>
            <w:pPr>
              <w:spacing w:line="360" w:lineRule="auto"/>
              <w:jc w:val="center"/>
              <w:rPr>
                <w:rFonts w:ascii="仿宋" w:hAnsi="仿宋" w:eastAsia="仿宋" w:cs="仿宋"/>
                <w:color w:val="auto"/>
                <w:sz w:val="24"/>
                <w:szCs w:val="24"/>
                <w:highlight w:val="none"/>
              </w:rPr>
            </w:pPr>
          </w:p>
        </w:tc>
        <w:tc>
          <w:tcPr>
            <w:tcW w:w="1056" w:type="pct"/>
            <w:vAlign w:val="center"/>
          </w:tcPr>
          <w:p>
            <w:pPr>
              <w:spacing w:line="360" w:lineRule="auto"/>
              <w:jc w:val="center"/>
              <w:rPr>
                <w:rFonts w:ascii="仿宋" w:hAnsi="仿宋" w:eastAsia="仿宋" w:cs="仿宋"/>
                <w:color w:val="auto"/>
                <w:sz w:val="24"/>
                <w:szCs w:val="24"/>
                <w:highlight w:val="none"/>
              </w:rPr>
            </w:pPr>
          </w:p>
        </w:tc>
        <w:tc>
          <w:tcPr>
            <w:tcW w:w="1959" w:type="pct"/>
            <w:vAlign w:val="center"/>
          </w:tcPr>
          <w:p>
            <w:pPr>
              <w:spacing w:line="360" w:lineRule="auto"/>
              <w:jc w:val="center"/>
              <w:rPr>
                <w:rFonts w:ascii="仿宋" w:hAnsi="仿宋" w:eastAsia="仿宋" w:cs="仿宋"/>
                <w:color w:val="auto"/>
                <w:sz w:val="24"/>
                <w:szCs w:val="24"/>
                <w:highlight w:val="none"/>
              </w:rPr>
            </w:pPr>
          </w:p>
        </w:tc>
        <w:tc>
          <w:tcPr>
            <w:tcW w:w="563" w:type="pct"/>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vAlign w:val="center"/>
          </w:tcPr>
          <w:p>
            <w:pPr>
              <w:spacing w:line="360" w:lineRule="auto"/>
              <w:jc w:val="center"/>
              <w:rPr>
                <w:rFonts w:ascii="仿宋" w:hAnsi="仿宋" w:eastAsia="仿宋" w:cs="仿宋"/>
                <w:color w:val="auto"/>
                <w:sz w:val="24"/>
                <w:szCs w:val="24"/>
                <w:highlight w:val="none"/>
              </w:rPr>
            </w:pPr>
          </w:p>
        </w:tc>
        <w:tc>
          <w:tcPr>
            <w:tcW w:w="616" w:type="pct"/>
            <w:vAlign w:val="center"/>
          </w:tcPr>
          <w:p>
            <w:pPr>
              <w:spacing w:line="360" w:lineRule="auto"/>
              <w:jc w:val="center"/>
              <w:rPr>
                <w:rFonts w:ascii="仿宋" w:hAnsi="仿宋" w:eastAsia="仿宋" w:cs="仿宋"/>
                <w:color w:val="auto"/>
                <w:sz w:val="24"/>
                <w:szCs w:val="24"/>
                <w:highlight w:val="none"/>
              </w:rPr>
            </w:pPr>
          </w:p>
        </w:tc>
        <w:tc>
          <w:tcPr>
            <w:tcW w:w="1056" w:type="pct"/>
            <w:vAlign w:val="center"/>
          </w:tcPr>
          <w:p>
            <w:pPr>
              <w:spacing w:line="360" w:lineRule="auto"/>
              <w:jc w:val="center"/>
              <w:rPr>
                <w:rFonts w:ascii="仿宋" w:hAnsi="仿宋" w:eastAsia="仿宋" w:cs="仿宋"/>
                <w:color w:val="auto"/>
                <w:sz w:val="24"/>
                <w:szCs w:val="24"/>
                <w:highlight w:val="none"/>
              </w:rPr>
            </w:pPr>
          </w:p>
        </w:tc>
        <w:tc>
          <w:tcPr>
            <w:tcW w:w="1959" w:type="pct"/>
            <w:vAlign w:val="center"/>
          </w:tcPr>
          <w:p>
            <w:pPr>
              <w:spacing w:line="360" w:lineRule="auto"/>
              <w:jc w:val="center"/>
              <w:rPr>
                <w:rFonts w:ascii="仿宋" w:hAnsi="仿宋" w:eastAsia="仿宋" w:cs="仿宋"/>
                <w:color w:val="auto"/>
                <w:sz w:val="24"/>
                <w:szCs w:val="24"/>
                <w:highlight w:val="none"/>
              </w:rPr>
            </w:pPr>
          </w:p>
        </w:tc>
        <w:tc>
          <w:tcPr>
            <w:tcW w:w="563" w:type="pct"/>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vAlign w:val="center"/>
          </w:tcPr>
          <w:p>
            <w:pPr>
              <w:spacing w:line="360" w:lineRule="auto"/>
              <w:jc w:val="center"/>
              <w:rPr>
                <w:rFonts w:ascii="仿宋" w:hAnsi="仿宋" w:eastAsia="仿宋" w:cs="仿宋"/>
                <w:color w:val="auto"/>
                <w:sz w:val="24"/>
                <w:szCs w:val="24"/>
                <w:highlight w:val="none"/>
              </w:rPr>
            </w:pPr>
          </w:p>
        </w:tc>
        <w:tc>
          <w:tcPr>
            <w:tcW w:w="616" w:type="pct"/>
            <w:vAlign w:val="center"/>
          </w:tcPr>
          <w:p>
            <w:pPr>
              <w:spacing w:line="360" w:lineRule="auto"/>
              <w:jc w:val="center"/>
              <w:rPr>
                <w:rFonts w:ascii="仿宋" w:hAnsi="仿宋" w:eastAsia="仿宋" w:cs="仿宋"/>
                <w:color w:val="auto"/>
                <w:sz w:val="24"/>
                <w:szCs w:val="24"/>
                <w:highlight w:val="none"/>
              </w:rPr>
            </w:pPr>
          </w:p>
        </w:tc>
        <w:tc>
          <w:tcPr>
            <w:tcW w:w="1056" w:type="pct"/>
            <w:vAlign w:val="center"/>
          </w:tcPr>
          <w:p>
            <w:pPr>
              <w:spacing w:line="360" w:lineRule="auto"/>
              <w:jc w:val="center"/>
              <w:rPr>
                <w:rFonts w:ascii="仿宋" w:hAnsi="仿宋" w:eastAsia="仿宋" w:cs="仿宋"/>
                <w:color w:val="auto"/>
                <w:sz w:val="24"/>
                <w:szCs w:val="24"/>
                <w:highlight w:val="none"/>
              </w:rPr>
            </w:pPr>
          </w:p>
        </w:tc>
        <w:tc>
          <w:tcPr>
            <w:tcW w:w="1959" w:type="pct"/>
            <w:vAlign w:val="center"/>
          </w:tcPr>
          <w:p>
            <w:pPr>
              <w:spacing w:line="360" w:lineRule="auto"/>
              <w:jc w:val="center"/>
              <w:rPr>
                <w:rFonts w:ascii="仿宋" w:hAnsi="仿宋" w:eastAsia="仿宋" w:cs="仿宋"/>
                <w:color w:val="auto"/>
                <w:sz w:val="24"/>
                <w:szCs w:val="24"/>
                <w:highlight w:val="none"/>
              </w:rPr>
            </w:pPr>
          </w:p>
        </w:tc>
        <w:tc>
          <w:tcPr>
            <w:tcW w:w="563" w:type="pct"/>
            <w:vAlign w:val="center"/>
          </w:tcPr>
          <w:p>
            <w:pPr>
              <w:spacing w:line="360" w:lineRule="auto"/>
              <w:jc w:val="center"/>
              <w:rPr>
                <w:rFonts w:ascii="仿宋" w:hAnsi="仿宋" w:eastAsia="仿宋" w:cs="仿宋"/>
                <w:color w:val="auto"/>
                <w:sz w:val="24"/>
                <w:szCs w:val="24"/>
                <w:highlight w:val="none"/>
              </w:rPr>
            </w:pPr>
          </w:p>
        </w:tc>
      </w:tr>
    </w:tbl>
    <w:p>
      <w:pPr>
        <w:pStyle w:val="25"/>
        <w:spacing w:line="360" w:lineRule="auto"/>
        <w:jc w:val="both"/>
        <w:rPr>
          <w:rFonts w:ascii="仿宋" w:hAnsi="仿宋" w:eastAsia="仿宋" w:cs="仿宋"/>
          <w:color w:val="auto"/>
          <w:highlight w:val="none"/>
        </w:rPr>
      </w:pPr>
    </w:p>
    <w:p>
      <w:pPr>
        <w:pStyle w:val="27"/>
        <w:spacing w:line="360" w:lineRule="auto"/>
        <w:ind w:firstLine="480" w:firstLineChars="200"/>
        <w:jc w:val="left"/>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3.1.3咨询人更换项目咨询团队其他咨询人员的约定：适用本合同第二部分《通用条款》第3.1.3款的约定</w:t>
      </w:r>
      <w:r>
        <w:rPr>
          <w:rFonts w:hint="eastAsia" w:ascii="仿宋" w:hAnsi="仿宋" w:eastAsia="仿宋" w:cs="仿宋"/>
          <w:color w:val="auto"/>
          <w:sz w:val="32"/>
          <w:szCs w:val="32"/>
          <w:highlight w:val="none"/>
        </w:rPr>
        <w:t>。</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3.1.4委托人要求更换咨询人员的情形还包括：</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（6）其他情形：</w:t>
      </w:r>
    </w:p>
    <w:p>
      <w:pPr>
        <w:pStyle w:val="27"/>
        <w:spacing w:line="360" w:lineRule="auto"/>
        <w:ind w:left="479" w:leftChars="228" w:firstLine="240" w:firstLineChars="100"/>
        <w:jc w:val="left"/>
        <w:rPr>
          <w:rFonts w:ascii="仿宋" w:hAnsi="仿宋" w:eastAsia="仿宋" w:cs="仿宋"/>
          <w:color w:val="auto"/>
          <w:kern w:val="28"/>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8"/>
          <w:sz w:val="24"/>
          <w:szCs w:val="24"/>
          <w:highlight w:val="none"/>
        </w:rPr>
        <w:t>违反本合同约定的保密义务的。</w:t>
      </w:r>
    </w:p>
    <w:p>
      <w:pPr>
        <w:pStyle w:val="27"/>
        <w:spacing w:line="360" w:lineRule="auto"/>
        <w:ind w:left="479" w:leftChars="228" w:firstLine="240" w:firstLineChars="100"/>
        <w:jc w:val="left"/>
        <w:rPr>
          <w:rFonts w:ascii="仿宋" w:hAnsi="仿宋" w:eastAsia="仿宋" w:cs="仿宋"/>
          <w:color w:val="auto"/>
          <w:kern w:val="28"/>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8"/>
          <w:sz w:val="24"/>
          <w:szCs w:val="24"/>
          <w:highlight w:val="none"/>
        </w:rPr>
        <w:t>违反本合同约定的廉洁义务的。</w:t>
      </w:r>
    </w:p>
    <w:p>
      <w:pPr>
        <w:pStyle w:val="27"/>
        <w:spacing w:line="360" w:lineRule="auto"/>
        <w:ind w:firstLine="720" w:firstLineChars="300"/>
        <w:jc w:val="left"/>
        <w:rPr>
          <w:rFonts w:ascii="仿宋" w:hAnsi="仿宋" w:eastAsia="仿宋" w:cs="仿宋"/>
          <w:color w:val="auto"/>
          <w:kern w:val="28"/>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8"/>
          <w:sz w:val="24"/>
          <w:szCs w:val="24"/>
          <w:highlight w:val="none"/>
        </w:rPr>
        <w:t>与第三人恶意串通，损害委托人利益的。</w:t>
      </w:r>
    </w:p>
    <w:p>
      <w:pPr>
        <w:pStyle w:val="27"/>
        <w:spacing w:line="360" w:lineRule="auto"/>
        <w:ind w:firstLine="720" w:firstLineChars="300"/>
        <w:jc w:val="left"/>
        <w:rPr>
          <w:rFonts w:ascii="仿宋" w:hAnsi="仿宋" w:eastAsia="仿宋" w:cs="仿宋"/>
          <w:color w:val="auto"/>
          <w:kern w:val="28"/>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8"/>
          <w:sz w:val="24"/>
          <w:szCs w:val="24"/>
          <w:highlight w:val="none"/>
        </w:rPr>
        <w:t>委托人认为咨询团队安排的咨询人未能按时保质量提交成果的。</w:t>
      </w:r>
    </w:p>
    <w:p>
      <w:pPr>
        <w:pStyle w:val="27"/>
        <w:spacing w:line="360" w:lineRule="auto"/>
        <w:ind w:firstLine="480" w:firstLineChars="200"/>
        <w:jc w:val="left"/>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3.1.5咨询人未按本合同3.1.3条约定擅自更换咨询团队人员，或者未按3.1.4条约定更换咨询人员的，委托人有权要求咨询人继续履行合同，咨询人须按照本合同总金额30%的标准向委托人支付违约金，并且赔偿委托人因此产生的全部损失，委托人也有权单方解除本合同，要求咨询人返还已收取的全部合同费用，要求咨询人按照本合同总金额30%的标准向委托人支付违约金，以及赔偿委托人的全部损失。</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82" w:name="_Toc419045110"/>
      <w:bookmarkStart w:id="183" w:name="_Toc475975178"/>
      <w:bookmarkStart w:id="184" w:name="_Toc27411"/>
      <w:r>
        <w:rPr>
          <w:rFonts w:hint="eastAsia" w:ascii="仿宋" w:hAnsi="仿宋" w:eastAsia="仿宋" w:cs="仿宋"/>
          <w:bCs w:val="0"/>
          <w:color w:val="auto"/>
          <w:sz w:val="24"/>
          <w:szCs w:val="24"/>
          <w:highlight w:val="none"/>
        </w:rPr>
        <w:t>3.2咨询人的工作要求</w:t>
      </w:r>
      <w:bookmarkEnd w:id="182"/>
      <w:bookmarkEnd w:id="183"/>
      <w:bookmarkEnd w:id="184"/>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kern w:val="28"/>
          <w:sz w:val="24"/>
          <w:szCs w:val="24"/>
          <w:highlight w:val="none"/>
        </w:rPr>
        <w:t>3.2.1咨询人向委托人提供有关资料的时间</w:t>
      </w:r>
      <w:r>
        <w:rPr>
          <w:rFonts w:hint="eastAsia" w:ascii="仿宋" w:hAnsi="仿宋" w:eastAsia="仿宋" w:cs="仿宋"/>
          <w:color w:val="auto"/>
          <w:sz w:val="24"/>
          <w:szCs w:val="24"/>
          <w:highlight w:val="none"/>
        </w:rPr>
        <w:t>：自本合同生效之日起3个日历天内。咨询人向委托人提供的资料包括：</w:t>
      </w:r>
    </w:p>
    <w:p>
      <w:pPr>
        <w:numPr>
          <w:ilvl w:val="0"/>
          <w:numId w:val="7"/>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咨询人的工程造价咨询资质证书；</w:t>
      </w:r>
    </w:p>
    <w:p>
      <w:pPr>
        <w:numPr>
          <w:ilvl w:val="0"/>
          <w:numId w:val="7"/>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承担本合同业务的团队人员名单及执业（从业）资格证书；</w:t>
      </w:r>
    </w:p>
    <w:p>
      <w:pPr>
        <w:numPr>
          <w:ilvl w:val="0"/>
          <w:numId w:val="7"/>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咨询工作大纲；</w:t>
      </w:r>
    </w:p>
    <w:p>
      <w:pPr>
        <w:numPr>
          <w:ilvl w:val="0"/>
          <w:numId w:val="7"/>
        </w:num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u w:val="single"/>
        </w:rPr>
        <w:t xml:space="preserve">其他：             </w:t>
      </w:r>
    </w:p>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3.2.2咨询人向委托人提供咨询成果文件的名称、组成、时间、份数</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（1）咨询成果文件的名称及组成：</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☑《工程概算审核报告》；</w:t>
      </w:r>
    </w:p>
    <w:p>
      <w:pPr>
        <w:pStyle w:val="18"/>
        <w:spacing w:line="360" w:lineRule="auto"/>
        <w:ind w:left="0" w:leftChars="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□《工程预算审核报告》；</w:t>
      </w:r>
    </w:p>
    <w:p>
      <w:pPr>
        <w:pStyle w:val="18"/>
        <w:spacing w:line="360" w:lineRule="auto"/>
        <w:ind w:left="0" w:leftChars="0" w:firstLine="480"/>
        <w:rPr>
          <w:rFonts w:ascii="仿宋" w:hAnsi="仿宋" w:eastAsia="仿宋" w:cs="仿宋"/>
          <w:color w:val="auto"/>
          <w:highlight w:val="none"/>
        </w:rPr>
      </w:pPr>
      <w:r>
        <w:rPr>
          <w:rFonts w:hint="eastAsia" w:ascii="仿宋" w:hAnsi="仿宋" w:eastAsia="仿宋" w:cs="仿宋"/>
          <w:color w:val="auto"/>
          <w:sz w:val="24"/>
          <w:szCs w:val="24"/>
          <w:highlight w:val="none"/>
        </w:rPr>
        <w:t>□《节约造价合理化建议报告》；</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（2）提供时间：</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□自本合同生效之日起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日前。</w:t>
      </w:r>
    </w:p>
    <w:p>
      <w:pPr>
        <w:pStyle w:val="27"/>
        <w:spacing w:line="360" w:lineRule="auto"/>
        <w:ind w:firstLine="480" w:firstLineChars="200"/>
        <w:jc w:val="left"/>
        <w:rPr>
          <w:rFonts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 xml:space="preserve">□概算审核报告提交：咨询人应自委托人正式受理的次个日历天起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个日历天内提交咨询成果文件完成初审；自初审完成之日起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个日历天内完成对数确认并出具工程概算审核报告；</w:t>
      </w:r>
    </w:p>
    <w:p>
      <w:pPr>
        <w:pStyle w:val="18"/>
        <w:spacing w:line="360" w:lineRule="auto"/>
        <w:ind w:left="0" w:leftChars="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（3）提供份数：☑纸质版一式</w:t>
      </w:r>
      <w:r>
        <w:rPr>
          <w:rFonts w:hint="eastAsia" w:ascii="仿宋" w:hAnsi="仿宋" w:eastAsia="仿宋" w:cs="仿宋"/>
          <w:color w:val="auto"/>
          <w:sz w:val="24"/>
          <w:szCs w:val="24"/>
          <w:highlight w:val="none"/>
        </w:rPr>
        <w:t>七份</w:t>
      </w:r>
      <w:r>
        <w:rPr>
          <w:rFonts w:hint="eastAsia" w:ascii="仿宋" w:hAnsi="仿宋" w:eastAsia="仿宋" w:cs="仿宋"/>
          <w:color w:val="auto"/>
          <w:sz w:val="24"/>
          <w:szCs w:val="24"/>
          <w:highlight w:val="none"/>
        </w:rPr>
        <w:t>，☑附电子文档一份（</w:t>
      </w: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刻盘形式；☑其他：</w:t>
      </w:r>
      <w:r>
        <w:rPr>
          <w:rFonts w:hint="eastAsia" w:ascii="仿宋" w:hAnsi="仿宋" w:eastAsia="仿宋" w:cs="仿宋"/>
          <w:color w:val="auto"/>
          <w:sz w:val="24"/>
          <w:szCs w:val="24"/>
          <w:highlight w:val="none"/>
          <w:u w:val="single"/>
        </w:rPr>
        <w:t xml:space="preserve">盖章扫描件及可编辑电子件 </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□《广东省建设工程造价管理规定（2021修订）》第二十八条规定的质量标准。</w:t>
      </w:r>
    </w:p>
    <w:p>
      <w:pPr>
        <w:pStyle w:val="15"/>
        <w:spacing w:before="62" w:beforeLines="20" w:beforeAutospacing="0" w:after="0" w:afterAutospacing="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□其他：</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pPr>
        <w:pStyle w:val="15"/>
        <w:spacing w:before="62" w:beforeLines="20" w:beforeAutospacing="0" w:after="0" w:afterAutospacing="0" w:line="360" w:lineRule="auto"/>
        <w:ind w:firstLine="480" w:firstLineChars="200"/>
        <w:rPr>
          <w:rFonts w:ascii="仿宋" w:hAnsi="仿宋" w:eastAsia="仿宋" w:cs="仿宋"/>
          <w:color w:val="auto"/>
          <w:highlight w:val="none"/>
        </w:rPr>
      </w:pPr>
      <w:r>
        <w:rPr>
          <w:rFonts w:hint="eastAsia" w:ascii="仿宋" w:hAnsi="仿宋" w:eastAsia="仿宋" w:cs="仿宋"/>
          <w:color w:val="auto"/>
          <w:kern w:val="2"/>
          <w:highlight w:val="none"/>
        </w:rPr>
        <w:t>3.2.3咨询人提交的工程造价咨询成果文件，除加盖咨询人单位公章、工程造价咨询企业执业印章外，还必须按要求加盖参加咨询工作人员的执业（从业）资格印章。</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3.2.4咨询人应在收到委托人以书面形式提出的建议或者异议之日起3日内给予书面答复。</w:t>
      </w:r>
    </w:p>
    <w:p>
      <w:pPr>
        <w:spacing w:line="360" w:lineRule="auto"/>
        <w:ind w:firstLine="482" w:firstLineChars="200"/>
        <w:rPr>
          <w:rFonts w:ascii="仿宋" w:hAnsi="仿宋" w:eastAsia="仿宋" w:cs="仿宋"/>
          <w:color w:val="auto"/>
          <w:sz w:val="24"/>
          <w:highlight w:val="none"/>
        </w:rPr>
      </w:pPr>
      <w:bookmarkStart w:id="185" w:name="_Toc10666"/>
      <w:bookmarkStart w:id="186" w:name="_Toc419045111"/>
      <w:bookmarkStart w:id="187" w:name="_Toc475975179"/>
      <w:r>
        <w:rPr>
          <w:rFonts w:hint="eastAsia" w:ascii="仿宋" w:hAnsi="仿宋" w:eastAsia="仿宋" w:cs="仿宋"/>
          <w:b/>
          <w:bCs/>
          <w:color w:val="auto"/>
          <w:sz w:val="24"/>
          <w:szCs w:val="24"/>
          <w:highlight w:val="none"/>
        </w:rPr>
        <w:t>双方一致同意，</w:t>
      </w:r>
      <w:r>
        <w:rPr>
          <w:rFonts w:hint="eastAsia" w:ascii="仿宋" w:hAnsi="仿宋" w:eastAsia="仿宋" w:cs="仿宋"/>
          <w:b/>
          <w:bCs/>
          <w:color w:val="auto"/>
          <w:sz w:val="24"/>
          <w:highlight w:val="none"/>
        </w:rPr>
        <w:t>增加以下内容作为第3.2.7款至第3.2.13款：</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3.2.7咨询人应确保其是依法设立并合法存续的法人，并具有合法资格为委托人提供本合同项下造价咨询服务，拥有完全的权利或授权签署和履行本合同，且签署和履行本合同未侵害任何第三方的合法权益。</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3.2.8咨询人收到委托人依照本合同第三部分《专用条款》第2.1款提交的</w:t>
      </w:r>
      <w:r>
        <w:rPr>
          <w:rFonts w:hint="eastAsia" w:ascii="仿宋" w:hAnsi="仿宋" w:eastAsia="仿宋" w:cs="仿宋"/>
          <w:color w:val="auto"/>
          <w:highlight w:val="none"/>
        </w:rPr>
        <w:t>与咨询业务有关资料</w:t>
      </w:r>
      <w:r>
        <w:rPr>
          <w:rFonts w:hint="eastAsia" w:ascii="仿宋" w:hAnsi="仿宋" w:eastAsia="仿宋" w:cs="仿宋"/>
          <w:color w:val="auto"/>
          <w:kern w:val="2"/>
          <w:szCs w:val="21"/>
          <w:highlight w:val="none"/>
        </w:rPr>
        <w:t>后，如认为委托人提供的</w:t>
      </w:r>
      <w:r>
        <w:rPr>
          <w:rFonts w:hint="eastAsia" w:ascii="仿宋" w:hAnsi="仿宋" w:eastAsia="仿宋" w:cs="仿宋"/>
          <w:color w:val="auto"/>
          <w:highlight w:val="none"/>
        </w:rPr>
        <w:t>资</w:t>
      </w:r>
      <w:r>
        <w:rPr>
          <w:rFonts w:hint="eastAsia" w:ascii="仿宋" w:hAnsi="仿宋" w:eastAsia="仿宋" w:cs="仿宋"/>
          <w:color w:val="auto"/>
          <w:kern w:val="2"/>
          <w:szCs w:val="21"/>
          <w:highlight w:val="none"/>
        </w:rPr>
        <w:t>料不完整、不明确的，应自收到</w:t>
      </w:r>
      <w:r>
        <w:rPr>
          <w:rFonts w:hint="eastAsia" w:ascii="仿宋" w:hAnsi="仿宋" w:eastAsia="仿宋" w:cs="仿宋"/>
          <w:color w:val="auto"/>
          <w:highlight w:val="none"/>
        </w:rPr>
        <w:t>资</w:t>
      </w:r>
      <w:r>
        <w:rPr>
          <w:rFonts w:hint="eastAsia" w:ascii="仿宋" w:hAnsi="仿宋" w:eastAsia="仿宋" w:cs="仿宋"/>
          <w:color w:val="auto"/>
          <w:kern w:val="2"/>
          <w:szCs w:val="21"/>
          <w:highlight w:val="none"/>
        </w:rPr>
        <w:t>料之日起【3】个日历天内通过书面形式要求委托人补充或作出说明。若咨询人逾期向委托人提出补充、说明要求的，视为委托人提交的资料完整、明确。如咨询人在提供造价咨询服务过程中发现委托人提供的资料不完整且有可能影响审核结果时，应及时向委托人书面通报。</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3.2.9咨询人对其提交的咨询成果文件的合法性、真实性、准确性负责。 如委托人对咨询成果文件的部分或全部内容存在疑问的，咨询人应及时释疑。</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3.2.10咨询人应在造价咨询工作中，结合本项目使用功能特点对设计图纸提出合理化建议，使工程项目经济更合理，节约工程造价，出具相应建议报告。</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3.2.11咨询人须负责与工程项目建设单位开展对数等工作；配合概算阶段的概算备案，同时出具相应的书面报告。</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3.2.12咨询人应保证项目咨询团队拟投入人员的稳定性。如因乙方原因确须变更乙方项目咨询团队拟投入人员的，乙方应提前7日书面告知甲方。经甲方书面同意后，乙方方可变更服务人员，且变更人员的业务能力、资质水平不得低于被更换人员。</w:t>
      </w:r>
    </w:p>
    <w:p>
      <w:pPr>
        <w:pStyle w:val="8"/>
        <w:spacing w:line="360" w:lineRule="auto"/>
        <w:ind w:firstLine="480" w:firstLineChars="200"/>
        <w:jc w:val="both"/>
        <w:rPr>
          <w:rFonts w:ascii="仿宋" w:hAnsi="仿宋" w:eastAsia="仿宋" w:cs="仿宋"/>
          <w:color w:val="auto"/>
          <w:sz w:val="24"/>
          <w:highlight w:val="none"/>
        </w:rPr>
      </w:pPr>
      <w:r>
        <w:rPr>
          <w:rFonts w:hint="eastAsia" w:ascii="仿宋" w:hAnsi="仿宋" w:eastAsia="仿宋" w:cs="仿宋"/>
          <w:color w:val="auto"/>
          <w:sz w:val="24"/>
          <w:highlight w:val="none"/>
        </w:rPr>
        <w:t>3.2.13未经委托人事先书面同意，咨询人不得</w:t>
      </w:r>
      <w:r>
        <w:rPr>
          <w:rFonts w:hint="eastAsia" w:ascii="仿宋" w:hAnsi="仿宋" w:eastAsia="仿宋" w:cs="仿宋"/>
          <w:color w:val="auto"/>
          <w:sz w:val="24"/>
          <w:szCs w:val="24"/>
          <w:highlight w:val="none"/>
        </w:rPr>
        <w:t>擅自分包、转包本合同项下造价咨询服务业务</w:t>
      </w:r>
      <w:r>
        <w:rPr>
          <w:rFonts w:hint="eastAsia" w:ascii="仿宋" w:hAnsi="仿宋" w:eastAsia="仿宋" w:cs="仿宋"/>
          <w:color w:val="auto"/>
          <w:sz w:val="24"/>
          <w:highlight w:val="none"/>
        </w:rPr>
        <w:t>给第三人。</w:t>
      </w:r>
    </w:p>
    <w:p>
      <w:pPr>
        <w:pStyle w:val="14"/>
        <w:spacing w:before="60" w:line="360" w:lineRule="auto"/>
        <w:ind w:firstLine="482" w:firstLineChars="200"/>
        <w:jc w:val="left"/>
        <w:rPr>
          <w:rFonts w:ascii="仿宋" w:hAnsi="仿宋" w:eastAsia="仿宋" w:cs="仿宋"/>
          <w:b w:val="0"/>
          <w:color w:val="auto"/>
          <w:sz w:val="24"/>
          <w:szCs w:val="24"/>
          <w:highlight w:val="none"/>
        </w:rPr>
      </w:pPr>
      <w:r>
        <w:rPr>
          <w:rFonts w:hint="eastAsia" w:ascii="仿宋" w:hAnsi="仿宋" w:eastAsia="仿宋" w:cs="仿宋"/>
          <w:bCs w:val="0"/>
          <w:color w:val="auto"/>
          <w:sz w:val="24"/>
          <w:szCs w:val="24"/>
          <w:highlight w:val="none"/>
        </w:rPr>
        <w:t>3.3咨询人的工作依据</w:t>
      </w:r>
      <w:bookmarkEnd w:id="185"/>
      <w:bookmarkEnd w:id="186"/>
      <w:bookmarkEnd w:id="187"/>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经双方协商，本合同约定的造价咨询服务适用的技术标准、规范、定额等工作依据为：</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bookmarkStart w:id="188" w:name="_Toc20222"/>
      <w:bookmarkStart w:id="189" w:name="_Toc475975180"/>
      <w:bookmarkStart w:id="190" w:name="_Toc419045112"/>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《中华人民共和国民法典》；</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《中华人民共和国建筑法》；</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《中华人民共和国招标投标法》；</w:t>
      </w:r>
    </w:p>
    <w:p>
      <w:pPr>
        <w:pStyle w:val="15"/>
        <w:spacing w:before="62" w:beforeLines="20" w:beforeAutospacing="0" w:afterAutospacing="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《中华人民共和国招标投标法实施条例》；</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《建筑工程施工发包与承包计价管理办法》；</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《建筑工程施工发包与承包违法行为认定查处管理办法》；</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《广东省建设工程造价管理规定》；</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广东省、广州市建设工程造价管理的有关文件规定。</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国家及省、市建设工程计价办法。</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u w:val="singl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其他：</w:t>
      </w:r>
      <w:r>
        <w:rPr>
          <w:rFonts w:hint="eastAsia" w:ascii="仿宋" w:hAnsi="仿宋" w:eastAsia="仿宋" w:cs="仿宋"/>
          <w:color w:val="auto"/>
          <w:kern w:val="2"/>
          <w:szCs w:val="21"/>
          <w:highlight w:val="none"/>
          <w:u w:val="single"/>
        </w:rPr>
        <w:t xml:space="preserve">                                        </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双方确认，咨询人完成本工程造价咨询工作所应遵守的</w:t>
      </w:r>
      <w:r>
        <w:rPr>
          <w:rFonts w:hint="eastAsia" w:ascii="仿宋" w:hAnsi="仿宋" w:eastAsia="仿宋" w:cs="仿宋"/>
          <w:color w:val="auto"/>
          <w:highlight w:val="none"/>
        </w:rPr>
        <w:t>工作依据</w:t>
      </w:r>
      <w:r>
        <w:rPr>
          <w:rFonts w:hint="eastAsia" w:ascii="仿宋" w:hAnsi="仿宋" w:eastAsia="仿宋" w:cs="仿宋"/>
          <w:color w:val="auto"/>
          <w:kern w:val="2"/>
          <w:szCs w:val="21"/>
          <w:highlight w:val="none"/>
        </w:rPr>
        <w:t>，应为本合同生效时现行有效的版本。本合同生效后，若前述版本发生重大变化，或者有新的法律、法规、规章、规范性文件以及技术标准实施的，咨询人应就推荐性的规定或标准向委托人提出遵守新标准的建议，对强制性的规定或标准应当遵照执行。</w:t>
      </w:r>
    </w:p>
    <w:p>
      <w:pPr>
        <w:pStyle w:val="14"/>
        <w:spacing w:before="60" w:line="360" w:lineRule="auto"/>
        <w:ind w:firstLine="482" w:firstLineChars="200"/>
        <w:jc w:val="left"/>
        <w:rPr>
          <w:rFonts w:ascii="仿宋" w:hAnsi="仿宋" w:eastAsia="仿宋" w:cs="仿宋"/>
          <w:b w:val="0"/>
          <w:color w:val="auto"/>
          <w:highlight w:val="none"/>
        </w:rPr>
      </w:pPr>
      <w:r>
        <w:rPr>
          <w:rFonts w:hint="eastAsia" w:ascii="仿宋" w:hAnsi="仿宋" w:eastAsia="仿宋" w:cs="仿宋"/>
          <w:bCs w:val="0"/>
          <w:color w:val="auto"/>
          <w:sz w:val="24"/>
          <w:szCs w:val="24"/>
          <w:highlight w:val="none"/>
        </w:rPr>
        <w:t>3.4使用委托人房屋及设备的返还</w:t>
      </w:r>
      <w:bookmarkEnd w:id="188"/>
      <w:bookmarkEnd w:id="189"/>
      <w:bookmarkEnd w:id="190"/>
    </w:p>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☑本合同第二部分《通用条款》第3.4款不适用，委托人无需向咨询人提供房屋及设备</w:t>
      </w:r>
      <w:r>
        <w:rPr>
          <w:rFonts w:hint="eastAsia" w:ascii="仿宋" w:hAnsi="仿宋" w:eastAsia="仿宋" w:cs="仿宋"/>
          <w:color w:val="auto"/>
          <w:sz w:val="32"/>
          <w:szCs w:val="32"/>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□咨询人应在本合同终止后【 】天内移交委托人提供的房屋及设备，移交的方式为</w:t>
      </w: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16"/>
        <w:spacing w:before="0" w:after="0" w:line="360" w:lineRule="auto"/>
        <w:ind w:firstLine="482" w:firstLineChars="200"/>
        <w:jc w:val="left"/>
        <w:rPr>
          <w:rFonts w:ascii="仿宋" w:hAnsi="仿宋" w:eastAsia="仿宋" w:cs="仿宋"/>
          <w:bCs w:val="0"/>
          <w:color w:val="auto"/>
          <w:sz w:val="24"/>
          <w:szCs w:val="24"/>
          <w:highlight w:val="none"/>
        </w:rPr>
      </w:pPr>
      <w:bookmarkStart w:id="191" w:name="_Toc419045113"/>
      <w:bookmarkStart w:id="192" w:name="_Toc28520"/>
      <w:bookmarkStart w:id="193" w:name="_Toc475975181"/>
      <w:r>
        <w:rPr>
          <w:rFonts w:hint="eastAsia" w:ascii="仿宋" w:hAnsi="仿宋" w:eastAsia="仿宋" w:cs="仿宋"/>
          <w:bCs w:val="0"/>
          <w:color w:val="auto"/>
          <w:sz w:val="24"/>
          <w:szCs w:val="24"/>
          <w:highlight w:val="none"/>
        </w:rPr>
        <w:t>4. 违约责任</w:t>
      </w:r>
      <w:bookmarkEnd w:id="191"/>
      <w:bookmarkEnd w:id="192"/>
      <w:bookmarkEnd w:id="193"/>
    </w:p>
    <w:p>
      <w:pPr>
        <w:pStyle w:val="14"/>
        <w:spacing w:before="60" w:line="360" w:lineRule="auto"/>
        <w:ind w:firstLine="355" w:firstLineChars="148"/>
        <w:jc w:val="left"/>
        <w:rPr>
          <w:rFonts w:ascii="仿宋" w:hAnsi="仿宋" w:eastAsia="仿宋" w:cs="仿宋"/>
          <w:b w:val="0"/>
          <w:color w:val="auto"/>
          <w:sz w:val="24"/>
          <w:szCs w:val="24"/>
          <w:highlight w:val="none"/>
        </w:rPr>
      </w:pPr>
      <w:bookmarkStart w:id="194" w:name="_Toc475975182"/>
      <w:bookmarkStart w:id="195" w:name="_Toc492"/>
      <w:r>
        <w:rPr>
          <w:rFonts w:hint="eastAsia" w:ascii="仿宋" w:hAnsi="仿宋" w:eastAsia="仿宋" w:cs="仿宋"/>
          <w:b w:val="0"/>
          <w:color w:val="auto"/>
          <w:kern w:val="0"/>
          <w:sz w:val="24"/>
          <w:szCs w:val="24"/>
          <w:highlight w:val="none"/>
        </w:rPr>
        <w:t>★</w:t>
      </w:r>
      <w:r>
        <w:rPr>
          <w:rStyle w:val="30"/>
          <w:rFonts w:hint="eastAsia" w:ascii="仿宋" w:hAnsi="仿宋" w:eastAsia="仿宋" w:cs="仿宋"/>
          <w:b/>
          <w:bCs/>
          <w:color w:val="auto"/>
          <w:sz w:val="24"/>
          <w:szCs w:val="24"/>
          <w:highlight w:val="none"/>
        </w:rPr>
        <w:t>4.1委托人的违约责任</w:t>
      </w:r>
      <w:bookmarkEnd w:id="194"/>
      <w:bookmarkEnd w:id="195"/>
    </w:p>
    <w:p>
      <w:pPr>
        <w:pStyle w:val="14"/>
        <w:spacing w:before="60" w:line="360" w:lineRule="auto"/>
        <w:ind w:firstLine="236" w:firstLineChars="98"/>
        <w:jc w:val="left"/>
        <w:rPr>
          <w:rFonts w:ascii="仿宋" w:hAnsi="仿宋" w:eastAsia="仿宋" w:cs="仿宋"/>
          <w:b w:val="0"/>
          <w:bCs w:val="0"/>
          <w:color w:val="auto"/>
          <w:kern w:val="2"/>
          <w:sz w:val="24"/>
          <w:szCs w:val="24"/>
          <w:highlight w:val="none"/>
        </w:rPr>
      </w:pPr>
      <w:bookmarkStart w:id="196" w:name="_Toc16456"/>
      <w:bookmarkStart w:id="197" w:name="_Toc475975183"/>
      <w:bookmarkStart w:id="198" w:name="_Toc419045114"/>
      <w:r>
        <w:rPr>
          <w:rFonts w:hint="eastAsia" w:ascii="仿宋" w:hAnsi="仿宋" w:eastAsia="仿宋" w:cs="仿宋"/>
          <w:color w:val="auto"/>
          <w:kern w:val="2"/>
          <w:sz w:val="24"/>
          <w:szCs w:val="24"/>
          <w:highlight w:val="none"/>
        </w:rPr>
        <w:t>双方一致同意，本合同第二部分《通用条款》第4.1款不适用，代之以：</w:t>
      </w:r>
    </w:p>
    <w:p>
      <w:pPr>
        <w:pStyle w:val="15"/>
        <w:spacing w:before="62" w:beforeLines="20" w:beforeAutospacing="0" w:after="0" w:afterAutospacing="0" w:line="360" w:lineRule="auto"/>
        <w:ind w:firstLine="480" w:firstLineChars="200"/>
        <w:rPr>
          <w:rFonts w:ascii="仿宋" w:hAnsi="仿宋" w:eastAsia="仿宋" w:cs="仿宋"/>
          <w:color w:val="auto"/>
          <w:kern w:val="2"/>
          <w:highlight w:val="none"/>
        </w:rPr>
      </w:pPr>
      <w:r>
        <w:rPr>
          <w:rFonts w:hint="eastAsia" w:ascii="仿宋" w:hAnsi="仿宋" w:eastAsia="仿宋" w:cs="仿宋"/>
          <w:color w:val="auto"/>
          <w:kern w:val="2"/>
          <w:highlight w:val="none"/>
        </w:rPr>
        <w:t>4.1.1除财政拨款延迟、咨询人自身原因或不可抗力原因外，如委托人（甲方）逾期办理财政支付手续向咨询人支付酬金的，每逾期一日，委托人（甲方）应以应付未付款项总额为基数，按全国银行间同业拆借中心公布的同期贷款市场报价利率（LPR）标准向咨询人支付逾期付款滞纳金。</w:t>
      </w:r>
    </w:p>
    <w:p>
      <w:pPr>
        <w:pStyle w:val="14"/>
        <w:spacing w:before="60" w:line="360" w:lineRule="auto"/>
        <w:ind w:firstLine="480" w:firstLineChars="200"/>
        <w:jc w:val="left"/>
        <w:rPr>
          <w:rFonts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4.1.2因委托人原因导致本合同解除，如咨询人尚未开展造价咨询服务工作的，委托人无需支付任何费用。如咨询人已经开展造价咨询服务工作的，委托人按咨询人实际完成的工作量支付服务酬金。</w:t>
      </w:r>
    </w:p>
    <w:p>
      <w:pPr>
        <w:pStyle w:val="14"/>
        <w:spacing w:before="60" w:line="360" w:lineRule="auto"/>
        <w:jc w:val="left"/>
        <w:rPr>
          <w:rFonts w:ascii="仿宋" w:hAnsi="仿宋" w:eastAsia="仿宋" w:cs="仿宋"/>
          <w:b w:val="0"/>
          <w:color w:val="auto"/>
          <w:sz w:val="24"/>
          <w:szCs w:val="24"/>
          <w:highlight w:val="none"/>
        </w:rPr>
      </w:pPr>
      <w:r>
        <w:rPr>
          <w:rFonts w:hint="eastAsia" w:ascii="仿宋" w:hAnsi="仿宋" w:eastAsia="仿宋" w:cs="仿宋"/>
          <w:b w:val="0"/>
          <w:color w:val="auto"/>
          <w:kern w:val="0"/>
          <w:sz w:val="24"/>
          <w:szCs w:val="24"/>
          <w:highlight w:val="none"/>
        </w:rPr>
        <w:t>★</w:t>
      </w:r>
      <w:r>
        <w:rPr>
          <w:rFonts w:hint="eastAsia" w:ascii="仿宋" w:hAnsi="仿宋" w:eastAsia="仿宋" w:cs="仿宋"/>
          <w:bCs w:val="0"/>
          <w:color w:val="auto"/>
          <w:sz w:val="24"/>
          <w:szCs w:val="24"/>
          <w:highlight w:val="none"/>
        </w:rPr>
        <w:t>4.2咨询人的违约责任</w:t>
      </w:r>
      <w:bookmarkEnd w:id="196"/>
      <w:bookmarkEnd w:id="197"/>
    </w:p>
    <w:bookmarkEnd w:id="198"/>
    <w:p>
      <w:pPr>
        <w:pStyle w:val="14"/>
        <w:spacing w:before="60" w:line="360" w:lineRule="auto"/>
        <w:ind w:firstLine="236" w:firstLineChars="98"/>
        <w:jc w:val="left"/>
        <w:rPr>
          <w:rFonts w:ascii="仿宋" w:hAnsi="仿宋" w:eastAsia="仿宋" w:cs="仿宋"/>
          <w:color w:val="auto"/>
          <w:kern w:val="2"/>
          <w:sz w:val="24"/>
          <w:szCs w:val="24"/>
          <w:highlight w:val="none"/>
        </w:rPr>
      </w:pPr>
      <w:bookmarkStart w:id="199" w:name="_Toc28652"/>
      <w:bookmarkStart w:id="200" w:name="_Toc419045115"/>
      <w:bookmarkStart w:id="201" w:name="_Toc475975184"/>
      <w:r>
        <w:rPr>
          <w:rFonts w:hint="eastAsia" w:ascii="仿宋" w:hAnsi="仿宋" w:eastAsia="仿宋" w:cs="仿宋"/>
          <w:color w:val="auto"/>
          <w:kern w:val="2"/>
          <w:sz w:val="24"/>
          <w:szCs w:val="24"/>
          <w:highlight w:val="none"/>
        </w:rPr>
        <w:t>双方一致同意，本合同第二部分《通用条款》第4.2款不适用，代之以：</w:t>
      </w:r>
    </w:p>
    <w:p>
      <w:pPr>
        <w:pStyle w:val="15"/>
        <w:spacing w:before="62" w:beforeLines="20" w:beforeAutospacing="0" w:after="0" w:afterAutospacing="0" w:line="360" w:lineRule="auto"/>
        <w:ind w:firstLine="480" w:firstLineChars="200"/>
        <w:rPr>
          <w:rFonts w:ascii="仿宋" w:hAnsi="仿宋" w:eastAsia="仿宋" w:cs="仿宋"/>
          <w:color w:val="auto"/>
          <w:kern w:val="2"/>
          <w:highlight w:val="none"/>
        </w:rPr>
      </w:pPr>
      <w:r>
        <w:rPr>
          <w:rFonts w:hint="eastAsia" w:ascii="仿宋" w:hAnsi="仿宋" w:eastAsia="仿宋" w:cs="仿宋"/>
          <w:color w:val="auto"/>
          <w:kern w:val="2"/>
          <w:highlight w:val="none"/>
        </w:rPr>
        <w:t>4.2.1本合同一经签订，咨询人应全面履行本合同约定，不得擅自变更、终止本合同，否则，委托人有权要求咨询人返还已收取的全部合同费用，咨询人应当按照本合同总金额30%的标准向委托人支付违约金，以及赔偿委托人的全部损失。除本条另有约定外，咨询人违反本合同或其附属、补充条款约定给委托人造成损失的，应当承担违约责任，咨询人应按□本合同酬金总金额</w:t>
      </w:r>
      <w:r>
        <w:rPr>
          <w:rFonts w:hint="eastAsia" w:ascii="仿宋" w:hAnsi="仿宋" w:eastAsia="仿宋" w:cs="仿宋"/>
          <w:color w:val="auto"/>
          <w:highlight w:val="none"/>
        </w:rPr>
        <w:t>☑正常服务酬金（□包干价☑暂定价）</w:t>
      </w:r>
      <w:r>
        <w:rPr>
          <w:rFonts w:hint="eastAsia" w:ascii="仿宋" w:hAnsi="仿宋" w:eastAsia="仿宋" w:cs="仿宋"/>
          <w:color w:val="auto"/>
          <w:kern w:val="2"/>
          <w:highlight w:val="none"/>
        </w:rPr>
        <w:t>□其他：</w:t>
      </w:r>
      <w:r>
        <w:rPr>
          <w:rFonts w:hint="eastAsia" w:ascii="仿宋" w:hAnsi="仿宋" w:eastAsia="仿宋" w:cs="仿宋"/>
          <w:color w:val="auto"/>
          <w:kern w:val="2"/>
          <w:highlight w:val="none"/>
          <w:u w:val="single"/>
        </w:rPr>
        <w:t xml:space="preserve">    /      </w:t>
      </w:r>
      <w:r>
        <w:rPr>
          <w:rFonts w:hint="eastAsia" w:ascii="仿宋" w:hAnsi="仿宋" w:eastAsia="仿宋" w:cs="仿宋"/>
          <w:color w:val="auto"/>
          <w:kern w:val="2"/>
          <w:highlight w:val="none"/>
        </w:rPr>
        <w:t>的</w:t>
      </w:r>
      <w:r>
        <w:rPr>
          <w:rFonts w:hint="eastAsia" w:ascii="仿宋" w:hAnsi="仿宋" w:eastAsia="仿宋" w:cs="仿宋"/>
          <w:color w:val="auto"/>
          <w:kern w:val="2"/>
          <w:highlight w:val="none"/>
          <w:u w:val="single"/>
        </w:rPr>
        <w:t xml:space="preserve">  20  </w:t>
      </w:r>
      <w:r>
        <w:rPr>
          <w:rFonts w:hint="eastAsia" w:ascii="仿宋" w:hAnsi="仿宋" w:eastAsia="仿宋" w:cs="仿宋"/>
          <w:color w:val="auto"/>
          <w:kern w:val="2"/>
          <w:highlight w:val="none"/>
        </w:rPr>
        <w:t>%向委托人支付违约金，且委托人</w:t>
      </w:r>
      <w:bookmarkStart w:id="202" w:name="_Hlk143718587"/>
      <w:r>
        <w:rPr>
          <w:rFonts w:hint="eastAsia" w:ascii="仿宋" w:hAnsi="仿宋" w:eastAsia="仿宋" w:cs="仿宋"/>
          <w:color w:val="auto"/>
          <w:kern w:val="2"/>
          <w:highlight w:val="none"/>
        </w:rPr>
        <w:t>有权单方解除本合同，要求咨询人返还已收取的全部合同费用，以及赔偿委托人的全部损失</w:t>
      </w:r>
      <w:bookmarkEnd w:id="202"/>
      <w:r>
        <w:rPr>
          <w:rFonts w:hint="eastAsia" w:ascii="仿宋" w:hAnsi="仿宋" w:eastAsia="仿宋" w:cs="仿宋"/>
          <w:color w:val="auto"/>
          <w:kern w:val="2"/>
          <w:highlight w:val="none"/>
        </w:rPr>
        <w:t>。</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4.2.2如咨询人未在本合同约定的咨询期限内完成咨询工作并交付咨询成果文件的，每逾期一日，咨询人应当按照</w:t>
      </w:r>
      <w:r>
        <w:rPr>
          <w:rFonts w:hint="eastAsia" w:ascii="仿宋" w:hAnsi="仿宋" w:eastAsia="仿宋" w:cs="仿宋"/>
          <w:color w:val="auto"/>
          <w:highlight w:val="none"/>
        </w:rPr>
        <w:t>□</w:t>
      </w:r>
      <w:r>
        <w:rPr>
          <w:rFonts w:hint="eastAsia" w:ascii="仿宋" w:hAnsi="仿宋" w:eastAsia="仿宋" w:cs="仿宋"/>
          <w:color w:val="auto"/>
          <w:sz w:val="24"/>
          <w:szCs w:val="24"/>
          <w:highlight w:val="none"/>
        </w:rPr>
        <w:t>本合同酬金总金额☑正常服务酬金（□包干价☑暂定价）□其他：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的</w:t>
      </w:r>
      <w:r>
        <w:rPr>
          <w:rFonts w:hint="eastAsia" w:ascii="仿宋" w:hAnsi="仿宋" w:eastAsia="仿宋" w:cs="仿宋"/>
          <w:color w:val="auto"/>
          <w:sz w:val="24"/>
          <w:szCs w:val="24"/>
          <w:highlight w:val="none"/>
        </w:rPr>
        <w:t>2‰向委托人支付逾期交付违约金直至交付当日。逾期达到15日及以上的，委托人有权单方面解除本合同，要求咨询人返还已收取的全部合同费用，赔偿委托人的全部损失，以及要求咨询人应按□本合同酬金总金额☑正常服务酬金（□包干价☑暂定价）□其他：</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20  </w:t>
      </w:r>
      <w:r>
        <w:rPr>
          <w:rFonts w:hint="eastAsia" w:ascii="仿宋" w:hAnsi="仿宋" w:eastAsia="仿宋" w:cs="仿宋"/>
          <w:color w:val="auto"/>
          <w:sz w:val="24"/>
          <w:szCs w:val="24"/>
          <w:highlight w:val="none"/>
        </w:rPr>
        <w:t>%向委托人支付违约金。</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4.2.3如咨询人提交的咨询成果文件不符合本合同要求的，委托人有权拒收并要求咨询人重新交付；由此导致咨询人逾期提交咨询成果文件的，咨询人应按照本合同第三部分《专用条款》第4.2.2款承担违约责任。</w:t>
      </w:r>
    </w:p>
    <w:p>
      <w:pPr>
        <w:pStyle w:val="25"/>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kern w:val="2"/>
          <w:highlight w:val="none"/>
        </w:rPr>
        <w:t>4.2.4如咨询人在造价咨询工作中，经委托人检查发现咨询人的造价咨询工作存在问题的，可发出口头整改要求，咨询人未能采取有效措施完成整改的，委托人有权书面要求咨询人限期完成整改。经委托人书面要求限期整改的，每发生一次，咨询人应按1000元/次的标准向委托人支付违约金。</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4.2.5咨询人对其提供的咨询成果文件的合法性、真实性、准确性负责。如因咨询人提供的造价咨询服务或其编制的咨询成果文件侵犯他人合法权益而引起纠纷的，由咨询人自行处理并承担全部法律责任；由此给委托人造成损失的，咨询人应承担全面赔偿责任，咨询人承担的赔偿费用（包括但不限于委托人被第三方起诉而支出的律师费、委托人被法院判决承担的诉讼费、向第三方支付的赔偿金以及委托人要求咨询人向委托人赔偿损失所产生的律师费、诉讼费、担保费、保全费、评估费等）委托人有权从需支付给咨询人的服务酬金中扣除，且委托人有权单方解除本合同，要求咨询人返还已收取的全部费用，且咨询人应当按照本合同总金额30％的标准向委托人支付违约金，以及赔偿委托人的全部损失。</w:t>
      </w:r>
    </w:p>
    <w:p>
      <w:pPr>
        <w:pStyle w:val="18"/>
        <w:spacing w:line="360" w:lineRule="auto"/>
        <w:ind w:left="0" w:leftChars="0" w:firstLine="480"/>
        <w:rPr>
          <w:rFonts w:ascii="仿宋" w:hAnsi="仿宋" w:eastAsia="仿宋" w:cs="仿宋"/>
          <w:color w:val="auto"/>
          <w:highlight w:val="none"/>
        </w:rPr>
      </w:pPr>
      <w:r>
        <w:rPr>
          <w:rFonts w:hint="eastAsia" w:ascii="仿宋" w:hAnsi="仿宋" w:eastAsia="仿宋" w:cs="仿宋"/>
          <w:color w:val="auto"/>
          <w:sz w:val="24"/>
          <w:szCs w:val="24"/>
          <w:highlight w:val="none"/>
        </w:rPr>
        <w:t>4.2.6咨询人对其提供的咨询成果文件应符合审计部门等相关部门的审查规定，咨询人应配合委托人与相关部门进行对数。如因咨询人提供的造价咨询服务或其编制的咨询成果文件违反审计部门等相关部门的审查规定，由此引起委托人被相关部门追究责任，给委托人造成损失的，咨询人应承担全面赔偿责任，委托人有权单方解除本合同，要求咨询人返还已收取的全部费用，且咨询人应当按照本合同总金额30％的标准向委托人支付违约金，以及赔偿委托人的全部损失。</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4.2.7如咨询人擅自分包、转包本合同项下造价咨询服务业务的，委托人有权单方面解除本合同，咨询人应按□本合同酬金总金额☑正常服务酬金（□包干价☑暂定价）□其他：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的20%向委托人（甲方）支付违约金，且委托人有权要求咨询人返还已收取的全部费用，以及赔偿委托人的全部损失。</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4.2.8如咨询人提供的造价咨询服务不符合本合同约定的要求，经委托人催告后咨询人拒不整改或经整改后仍不能达到要求的，委托人有权单方面解除本合同，要求咨询人返还已收取的全部费用，赔偿委托人的全部损失，且咨询人应按□本合同酬金总金额☑正常服务酬金（□包干价☑暂定价）□其他：</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的20%向委托人（甲方）支付违约金。</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4.2.9 如咨询人违反保密义务的，委托人有权单方面解除本合同，要求咨询人返还已收取的全部费用，赔偿委托人的全部损失，且咨询人应按□本合同酬金总金额☑正常服务酬金（□包干价☑暂定价）□其他：</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的20%向委托人（甲方）支付违约金。</w:t>
      </w:r>
    </w:p>
    <w:p>
      <w:p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4.2.10如咨询人(包括咨询人关联企业)或其工作人员违反廉洁义务的，委托人有权单方面解除本合同，要求咨询人返还已收取的全部费用，赔偿委托人的全部损失，且咨询人应按□本合同酬金总金额☑正常服务酬金（□包干价☑暂定价）□其他：</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的20 %向委托人（甲方）支付违约金。</w:t>
      </w:r>
    </w:p>
    <w:p>
      <w:p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4.2.11上述各项，委托人行使单方解除权的，自解除合同的书面通知到达咨询人时，本合同解除。如咨询人支付的违约金不足以弥补委托人经济损失的，咨询人须全额补足赔偿委托人因此遭受的全部经济损失。委托人的经济损失包括但不限于委托人遭受的直接经济损失，委托人为追究咨询人违约责任，或为维护自身合法权益而支付的诉讼费、律师费、诉讼担保费、保全费、执行费、公证费、鉴定费、交通费、差旅费等。</w:t>
      </w:r>
    </w:p>
    <w:p>
      <w:pPr>
        <w:pStyle w:val="16"/>
        <w:spacing w:before="0" w:after="0" w:line="360" w:lineRule="auto"/>
        <w:ind w:firstLine="482" w:firstLineChars="200"/>
        <w:jc w:val="left"/>
        <w:rPr>
          <w:rFonts w:ascii="仿宋" w:hAnsi="仿宋" w:eastAsia="仿宋" w:cs="仿宋"/>
          <w:b w:val="0"/>
          <w:color w:val="auto"/>
          <w:sz w:val="24"/>
          <w:szCs w:val="24"/>
          <w:highlight w:val="none"/>
        </w:rPr>
      </w:pPr>
      <w:r>
        <w:rPr>
          <w:rFonts w:hint="eastAsia" w:ascii="仿宋" w:hAnsi="仿宋" w:eastAsia="仿宋" w:cs="仿宋"/>
          <w:bCs w:val="0"/>
          <w:color w:val="auto"/>
          <w:sz w:val="24"/>
          <w:szCs w:val="24"/>
          <w:highlight w:val="none"/>
        </w:rPr>
        <w:t>5. 支付</w:t>
      </w:r>
      <w:bookmarkEnd w:id="199"/>
      <w:bookmarkEnd w:id="200"/>
      <w:bookmarkEnd w:id="201"/>
    </w:p>
    <w:p>
      <w:pPr>
        <w:spacing w:line="360" w:lineRule="auto"/>
        <w:ind w:firstLine="482" w:firstLineChars="200"/>
        <w:rPr>
          <w:rStyle w:val="30"/>
          <w:rFonts w:ascii="仿宋" w:hAnsi="仿宋" w:eastAsia="仿宋" w:cs="仿宋"/>
          <w:bCs w:val="0"/>
          <w:color w:val="auto"/>
          <w:sz w:val="24"/>
          <w:szCs w:val="24"/>
          <w:highlight w:val="none"/>
        </w:rPr>
      </w:pPr>
      <w:bookmarkStart w:id="203" w:name="_Toc419045116"/>
      <w:bookmarkStart w:id="204" w:name="_Toc475975185"/>
      <w:bookmarkStart w:id="205" w:name="_Toc31626"/>
      <w:r>
        <w:rPr>
          <w:rStyle w:val="30"/>
          <w:rFonts w:hint="eastAsia" w:ascii="仿宋" w:hAnsi="仿宋" w:eastAsia="仿宋" w:cs="仿宋"/>
          <w:bCs w:val="0"/>
          <w:color w:val="auto"/>
          <w:sz w:val="24"/>
          <w:szCs w:val="24"/>
          <w:highlight w:val="none"/>
        </w:rPr>
        <w:t>5.1支付货币</w:t>
      </w:r>
      <w:bookmarkEnd w:id="203"/>
      <w:bookmarkEnd w:id="204"/>
    </w:p>
    <w:bookmarkEnd w:id="205"/>
    <w:p>
      <w:pPr>
        <w:spacing w:line="360" w:lineRule="auto"/>
        <w:ind w:firstLine="480" w:firstLineChars="200"/>
        <w:rPr>
          <w:rFonts w:ascii="仿宋" w:hAnsi="仿宋" w:eastAsia="仿宋" w:cs="仿宋"/>
          <w:color w:val="auto"/>
          <w:sz w:val="24"/>
          <w:szCs w:val="24"/>
          <w:highlight w:val="none"/>
        </w:rPr>
      </w:pPr>
      <w:bookmarkStart w:id="206" w:name="_Toc475975186"/>
      <w:bookmarkStart w:id="207" w:name="_Toc419045117"/>
      <w:bookmarkStart w:id="208" w:name="_Toc14590"/>
      <w:r>
        <w:rPr>
          <w:rFonts w:hint="eastAsia" w:ascii="仿宋" w:hAnsi="仿宋" w:eastAsia="仿宋" w:cs="仿宋"/>
          <w:color w:val="auto"/>
          <w:sz w:val="24"/>
          <w:szCs w:val="24"/>
          <w:highlight w:val="none"/>
        </w:rPr>
        <w:t>币种为：</w:t>
      </w:r>
      <w:r>
        <w:rPr>
          <w:rFonts w:hint="eastAsia" w:ascii="仿宋" w:hAnsi="仿宋" w:eastAsia="仿宋" w:cs="仿宋"/>
          <w:color w:val="auto"/>
          <w:sz w:val="24"/>
          <w:szCs w:val="24"/>
          <w:highlight w:val="none"/>
          <w:u w:val="single"/>
        </w:rPr>
        <w:t xml:space="preserve">   人民币    </w:t>
      </w:r>
      <w:r>
        <w:rPr>
          <w:rFonts w:hint="eastAsia" w:ascii="仿宋" w:hAnsi="仿宋" w:eastAsia="仿宋" w:cs="仿宋"/>
          <w:color w:val="auto"/>
          <w:sz w:val="24"/>
          <w:szCs w:val="24"/>
          <w:highlight w:val="none"/>
        </w:rPr>
        <w:t>，汇率为：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，其他约定：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2" w:firstLineChars="200"/>
        <w:rPr>
          <w:rStyle w:val="30"/>
          <w:rFonts w:ascii="仿宋" w:hAnsi="仿宋" w:eastAsia="仿宋" w:cs="仿宋"/>
          <w:bCs w:val="0"/>
          <w:color w:val="auto"/>
          <w:sz w:val="24"/>
          <w:szCs w:val="24"/>
          <w:highlight w:val="none"/>
        </w:rPr>
      </w:pPr>
      <w:r>
        <w:rPr>
          <w:rStyle w:val="30"/>
          <w:rFonts w:hint="eastAsia" w:ascii="仿宋" w:hAnsi="仿宋" w:eastAsia="仿宋" w:cs="仿宋"/>
          <w:bCs w:val="0"/>
          <w:color w:val="auto"/>
          <w:sz w:val="24"/>
          <w:szCs w:val="24"/>
          <w:highlight w:val="none"/>
        </w:rPr>
        <w:t>5.2 支付申请</w:t>
      </w:r>
      <w:bookmarkEnd w:id="206"/>
      <w:bookmarkEnd w:id="207"/>
    </w:p>
    <w:bookmarkEnd w:id="208"/>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bookmarkStart w:id="209" w:name="_Toc475975187"/>
      <w:bookmarkStart w:id="210" w:name="_Toc419045118"/>
      <w:r>
        <w:rPr>
          <w:rFonts w:hint="eastAsia" w:ascii="仿宋" w:hAnsi="仿宋" w:eastAsia="仿宋" w:cs="仿宋"/>
          <w:color w:val="auto"/>
          <w:kern w:val="2"/>
          <w:sz w:val="24"/>
          <w:szCs w:val="24"/>
          <w:highlight w:val="none"/>
        </w:rPr>
        <w:t>双方一致同意，本合同第二部分《通用条款》第5.2款不适用，代之以：</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咨询人应在委托人（甲方）每期办理财政支付手续15个工作日前提供与当期应付款项等额的合法有效的增值税普通发票及支付申请书给委托人（甲方），以便委托人（甲方）办理财政支付手续。支付申请书应当说明当期应付款总额，并列出当期应支付的款项及其金额。</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委托人（甲方）指定开具发票的基本信息如下：</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highlight w:val="none"/>
          <w:u w:val="single"/>
        </w:rPr>
        <w:t xml:space="preserve"> 广州市天河区住房建设和园林局                               </w:t>
      </w:r>
      <w:r>
        <w:rPr>
          <w:rFonts w:hint="eastAsia" w:ascii="仿宋" w:hAnsi="仿宋" w:eastAsia="仿宋" w:cs="仿宋"/>
          <w:color w:val="auto"/>
          <w:sz w:val="24"/>
          <w:szCs w:val="24"/>
          <w:highlight w:val="none"/>
        </w:rPr>
        <w:t xml:space="preserve">                                    </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rPr>
        <w:t xml:space="preserve">                                </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highlight w:val="none"/>
          <w:u w:val="single"/>
        </w:rPr>
        <w:t xml:space="preserve"> 广州市天河区黄埔大道中144号海景中心东塔四楼                         </w:t>
      </w:r>
      <w:r>
        <w:rPr>
          <w:rFonts w:hint="eastAsia" w:ascii="仿宋" w:hAnsi="仿宋" w:eastAsia="仿宋" w:cs="仿宋"/>
          <w:color w:val="auto"/>
          <w:sz w:val="24"/>
          <w:szCs w:val="24"/>
          <w:highlight w:val="none"/>
        </w:rPr>
        <w:t xml:space="preserve">                                 </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rPr>
        <w:t xml:space="preserve">                                </w:t>
      </w:r>
    </w:p>
    <w:p>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货物或应税劳务、服务名称：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rPr>
          <w:rStyle w:val="30"/>
          <w:rFonts w:ascii="仿宋" w:hAnsi="仿宋" w:eastAsia="仿宋" w:cs="仿宋"/>
          <w:b w:val="0"/>
          <w:color w:val="auto"/>
          <w:sz w:val="24"/>
          <w:szCs w:val="24"/>
          <w:highlight w:val="none"/>
        </w:rPr>
      </w:pPr>
      <w:r>
        <w:rPr>
          <w:rStyle w:val="30"/>
          <w:rFonts w:hint="eastAsia" w:ascii="仿宋" w:hAnsi="仿宋" w:eastAsia="仿宋" w:cs="仿宋"/>
          <w:b w:val="0"/>
          <w:color w:val="auto"/>
          <w:sz w:val="24"/>
          <w:szCs w:val="24"/>
          <w:highlight w:val="none"/>
        </w:rPr>
        <w:t>5.3支付酬金</w:t>
      </w:r>
      <w:bookmarkEnd w:id="209"/>
      <w:bookmarkEnd w:id="210"/>
    </w:p>
    <w:p>
      <w:pPr>
        <w:spacing w:line="360" w:lineRule="auto"/>
        <w:ind w:firstLine="482" w:firstLineChars="200"/>
        <w:rPr>
          <w:rStyle w:val="30"/>
          <w:rFonts w:ascii="仿宋" w:hAnsi="仿宋" w:eastAsia="仿宋" w:cs="仿宋"/>
          <w:bCs w:val="0"/>
          <w:color w:val="auto"/>
          <w:sz w:val="24"/>
          <w:szCs w:val="24"/>
          <w:highlight w:val="none"/>
        </w:rPr>
      </w:pPr>
      <w:bookmarkStart w:id="211" w:name="_Toc4072"/>
      <w:r>
        <w:rPr>
          <w:rStyle w:val="30"/>
          <w:rFonts w:hint="eastAsia" w:ascii="仿宋" w:hAnsi="仿宋" w:eastAsia="仿宋" w:cs="仿宋"/>
          <w:bCs w:val="0"/>
          <w:color w:val="auto"/>
          <w:sz w:val="24"/>
          <w:szCs w:val="24"/>
          <w:highlight w:val="none"/>
        </w:rPr>
        <w:t>5.3 支付</w:t>
      </w:r>
    </w:p>
    <w:bookmarkEnd w:id="211"/>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5.3.1正常工作酬金的支付：</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bookmarkStart w:id="212" w:name="_Toc468868643"/>
      <w:bookmarkStart w:id="213" w:name="_Toc462328328"/>
      <w:bookmarkStart w:id="214" w:name="_Toc468869900"/>
      <w:bookmarkStart w:id="215" w:name="_Toc468807953"/>
      <w:bookmarkStart w:id="216" w:name="_Toc419045119"/>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本合同第二部分《通用条款》第5.3.1款不适用，代之以下列（1）、（2）执行。</w:t>
      </w:r>
    </w:p>
    <w:p>
      <w:pPr>
        <w:pStyle w:val="14"/>
        <w:spacing w:before="60" w:line="360" w:lineRule="auto"/>
        <w:ind w:firstLine="475"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（1）预付款支付约定按以下勾选执行：</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不支付预付款。</w:t>
      </w:r>
    </w:p>
    <w:p>
      <w:pPr>
        <w:pStyle w:val="14"/>
        <w:spacing w:before="60" w:line="360" w:lineRule="auto"/>
        <w:ind w:firstLine="477" w:firstLineChars="198"/>
        <w:jc w:val="left"/>
        <w:rPr>
          <w:rFonts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有支付预付款：自本合同生效且收到咨询人提交的与本期应付费用等额的增值税发票之日起10个工作日内，委托人（甲方）办理支付手续，向咨询人支付合同暂定金额的30%作为预付款，即￥</w:t>
      </w:r>
      <w:r>
        <w:rPr>
          <w:rFonts w:hint="eastAsia" w:ascii="仿宋" w:hAnsi="仿宋" w:eastAsia="仿宋" w:cs="仿宋"/>
          <w:b w:val="0"/>
          <w:bCs w:val="0"/>
          <w:color w:val="auto"/>
          <w:kern w:val="2"/>
          <w:sz w:val="24"/>
          <w:szCs w:val="24"/>
          <w:highlight w:val="none"/>
          <w:u w:val="single"/>
        </w:rPr>
        <w:t xml:space="preserve">        </w:t>
      </w:r>
      <w:r>
        <w:rPr>
          <w:rFonts w:hint="eastAsia" w:ascii="仿宋" w:hAnsi="仿宋" w:eastAsia="仿宋" w:cs="仿宋"/>
          <w:b w:val="0"/>
          <w:bCs w:val="0"/>
          <w:color w:val="auto"/>
          <w:kern w:val="2"/>
          <w:sz w:val="24"/>
          <w:szCs w:val="24"/>
          <w:highlight w:val="none"/>
        </w:rPr>
        <w:t>（人民币大写：         ），本合同履行过程中，无论各种原因导致本合同终止或解除的，咨询人需自本合同终止或解除之日起（10）日内无条件全额退还已收取的该预付款</w:t>
      </w:r>
      <w:r>
        <w:rPr>
          <w:rFonts w:hint="eastAsia" w:ascii="仿宋" w:hAnsi="仿宋" w:eastAsia="仿宋" w:cs="仿宋"/>
          <w:b w:val="0"/>
          <w:bCs w:val="0"/>
          <w:color w:val="auto"/>
          <w:sz w:val="24"/>
          <w:szCs w:val="24"/>
          <w:highlight w:val="none"/>
        </w:rPr>
        <w:t>；</w:t>
      </w:r>
    </w:p>
    <w:p>
      <w:pPr>
        <w:pStyle w:val="14"/>
        <w:spacing w:before="60" w:line="360" w:lineRule="auto"/>
        <w:ind w:firstLine="475"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（2）进度款支付约定按以下勾选执行：</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不支付进度款。</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有支付进度款：概算审核完成并取得概算批复之日起十五日内，咨询人以书面形式向委托人（甲方）提交正常服务酬金进度款报告,进度款金额按本合同正常服务酬金暂定价的30%计算，委托人（甲方）办理财政支付手续，通过银行转账或支票方式向咨询人支付。</w:t>
      </w:r>
    </w:p>
    <w:p>
      <w:pPr>
        <w:pStyle w:val="14"/>
        <w:spacing w:before="60" w:line="360" w:lineRule="auto"/>
        <w:ind w:firstLine="480" w:firstLineChars="200"/>
        <w:jc w:val="left"/>
        <w:rPr>
          <w:rFonts w:ascii="仿宋" w:hAnsi="仿宋" w:eastAsia="仿宋" w:cs="仿宋"/>
          <w:color w:val="auto"/>
          <w:highlight w:val="none"/>
        </w:rPr>
      </w:pPr>
      <w:r>
        <w:rPr>
          <w:rFonts w:hint="eastAsia" w:ascii="仿宋" w:hAnsi="仿宋" w:eastAsia="仿宋" w:cs="仿宋"/>
          <w:b w:val="0"/>
          <w:bCs w:val="0"/>
          <w:color w:val="auto"/>
          <w:kern w:val="2"/>
          <w:sz w:val="24"/>
          <w:szCs w:val="24"/>
          <w:highlight w:val="none"/>
        </w:rPr>
        <w:t>（3）咨询人依约提交咨询成果文件并履行本合同项下全部义务内容之日起十五个工作日内，咨询人以书面形式向委托人（甲方）提交正常服务酬金请款报告，委托人（甲方）办理财政支付手续，通过银行转账或支票方式向咨询人支付正常工作酬金全款：</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自本工程概算审核完成并经双方签收审核报告（或甲方委托的天河区建设工程技术中心出具概算评审结果报告）之日起15个工作日内，咨询人以书面形式向委托人（甲方）提交正常服务酬金请款申请及正规发票，委托人（甲方）办理财政支付手续，通过银行转账或支票方式向咨询人一次性支付正常工作酬金。</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清标完成并取得清标报告之日起15个工作日内，咨询人以书面形式向委托人（甲方）提交正常服务酬金请款报告，委托人（甲方）办理财政支付手续，通过银行转账或支票方式向咨询人一次性支付正常工作酬金尾款。</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5.3.2附加工作酬金的支付方式：</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☑除双方就附加工作酬金金额及计取方式另行协商一致并签订书面补充协议外，视为未产生附加工作酬金，委托人（甲方）无须支付。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bookmarkEnd w:id="212"/>
    <w:bookmarkEnd w:id="213"/>
    <w:bookmarkEnd w:id="214"/>
    <w:bookmarkEnd w:id="215"/>
    <w:p>
      <w:pPr>
        <w:spacing w:line="360" w:lineRule="auto"/>
        <w:ind w:firstLine="480" w:firstLineChars="200"/>
        <w:rPr>
          <w:rFonts w:ascii="仿宋" w:hAnsi="仿宋" w:eastAsia="仿宋" w:cs="仿宋"/>
          <w:color w:val="auto"/>
          <w:sz w:val="24"/>
          <w:szCs w:val="24"/>
          <w:highlight w:val="none"/>
        </w:rPr>
      </w:pPr>
      <w:bookmarkStart w:id="217" w:name="_Toc462328329"/>
      <w:bookmarkStart w:id="218" w:name="_Toc468807954"/>
      <w:bookmarkStart w:id="219" w:name="_Toc468869901"/>
      <w:bookmarkStart w:id="220" w:name="_Toc468868644"/>
      <w:r>
        <w:rPr>
          <w:rFonts w:hint="eastAsia" w:ascii="仿宋" w:hAnsi="仿宋" w:eastAsia="仿宋" w:cs="仿宋"/>
          <w:color w:val="auto"/>
          <w:sz w:val="24"/>
          <w:szCs w:val="24"/>
          <w:highlight w:val="none"/>
        </w:rPr>
        <w:t>5.3.3 合理化建议奖励金额及费用的支付方式：</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□除双方就合理化建议奖励金额及计取方式另行协商一致并签订书面补充协议外，视为未产生合理化建议奖励，委托人（甲方）无须支付。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bookmarkEnd w:id="217"/>
    <w:bookmarkEnd w:id="218"/>
    <w:bookmarkEnd w:id="219"/>
    <w:bookmarkEnd w:id="220"/>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5.3.4 双方约定的其他支付方式：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2" w:firstLineChars="200"/>
        <w:rPr>
          <w:rFonts w:ascii="仿宋" w:hAnsi="仿宋" w:eastAsia="仿宋" w:cs="仿宋"/>
          <w:b/>
          <w:bCs/>
          <w:color w:val="auto"/>
          <w:sz w:val="24"/>
          <w:highlight w:val="none"/>
        </w:rPr>
      </w:pPr>
      <w:bookmarkStart w:id="221" w:name="_Toc475975188"/>
      <w:bookmarkStart w:id="222" w:name="_Toc3273"/>
      <w:r>
        <w:rPr>
          <w:rFonts w:hint="eastAsia" w:ascii="仿宋" w:hAnsi="仿宋" w:eastAsia="仿宋" w:cs="仿宋"/>
          <w:b/>
          <w:bCs/>
          <w:color w:val="auto"/>
          <w:sz w:val="24"/>
          <w:szCs w:val="24"/>
          <w:highlight w:val="none"/>
        </w:rPr>
        <w:t>双方一致同意，</w:t>
      </w:r>
      <w:r>
        <w:rPr>
          <w:rFonts w:hint="eastAsia" w:ascii="仿宋" w:hAnsi="仿宋" w:eastAsia="仿宋" w:cs="仿宋"/>
          <w:b/>
          <w:bCs/>
          <w:color w:val="auto"/>
          <w:sz w:val="24"/>
          <w:highlight w:val="none"/>
        </w:rPr>
        <w:t>增加以下内容作为第5.3.5款至第5.3.6款：</w:t>
      </w:r>
    </w:p>
    <w:p>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5.3.5咨询人确认以下银行账户为其指定的唯一的收款账户。如咨询人需更改银行账户信息的，须在委托人（甲方）办理财政支付手续3日前以书面的方式通知</w:t>
      </w:r>
      <w:r>
        <w:rPr>
          <w:rFonts w:hint="eastAsia" w:ascii="仿宋" w:hAnsi="仿宋" w:eastAsia="仿宋" w:cs="仿宋"/>
          <w:color w:val="auto"/>
          <w:sz w:val="24"/>
          <w:szCs w:val="24"/>
          <w:highlight w:val="none"/>
        </w:rPr>
        <w:t>委托人（甲方）</w:t>
      </w:r>
      <w:r>
        <w:rPr>
          <w:rFonts w:hint="eastAsia" w:ascii="仿宋" w:hAnsi="仿宋" w:eastAsia="仿宋" w:cs="仿宋"/>
          <w:color w:val="auto"/>
          <w:sz w:val="24"/>
          <w:highlight w:val="none"/>
        </w:rPr>
        <w:t>，否则</w:t>
      </w:r>
      <w:r>
        <w:rPr>
          <w:rFonts w:hint="eastAsia" w:ascii="仿宋" w:hAnsi="仿宋" w:eastAsia="仿宋" w:cs="仿宋"/>
          <w:color w:val="auto"/>
          <w:sz w:val="24"/>
          <w:szCs w:val="24"/>
          <w:highlight w:val="none"/>
        </w:rPr>
        <w:t>委托人（甲方）</w:t>
      </w:r>
      <w:r>
        <w:rPr>
          <w:rFonts w:hint="eastAsia" w:ascii="仿宋" w:hAnsi="仿宋" w:eastAsia="仿宋" w:cs="仿宋"/>
          <w:color w:val="auto"/>
          <w:sz w:val="24"/>
          <w:highlight w:val="none"/>
        </w:rPr>
        <w:t>向以下账户支付款项到账后，视为已履行付款义务，咨询人自行承担怠于通知的不利后果。</w:t>
      </w:r>
    </w:p>
    <w:p>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咨询人指定的唯一收款银行账户信息如下： </w:t>
      </w:r>
    </w:p>
    <w:p>
      <w:pPr>
        <w:widowControl/>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开户名称：</w:t>
      </w:r>
      <w:r>
        <w:rPr>
          <w:rFonts w:hint="eastAsia" w:ascii="仿宋" w:hAnsi="仿宋" w:eastAsia="仿宋" w:cs="仿宋"/>
          <w:color w:val="auto"/>
          <w:sz w:val="24"/>
          <w:highlight w:val="none"/>
          <w:u w:val="single"/>
        </w:rPr>
        <w:t xml:space="preserve">                           </w:t>
      </w:r>
    </w:p>
    <w:p>
      <w:pPr>
        <w:widowControl/>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银行账号：</w:t>
      </w:r>
      <w:r>
        <w:rPr>
          <w:rFonts w:hint="eastAsia" w:ascii="仿宋" w:hAnsi="仿宋" w:eastAsia="仿宋" w:cs="仿宋"/>
          <w:color w:val="auto"/>
          <w:sz w:val="24"/>
          <w:highlight w:val="none"/>
          <w:u w:val="single"/>
        </w:rPr>
        <w:t xml:space="preserve">                           </w:t>
      </w:r>
    </w:p>
    <w:p>
      <w:pPr>
        <w:widowControl/>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5.3.6鉴于委托人（甲方）使用的是财政资金，委托人（甲方）在本合同约定的付款时间内办理财政支付手续的（不含政府财政支付部门审核的时间），视为委托人（甲方）已按约支付。由于财政拨款不到位（含项目建设单位二次分配或调剂预算不到位）、咨询人未及时提供合法有效的发票或</w:t>
      </w:r>
      <w:r>
        <w:rPr>
          <w:rFonts w:hint="eastAsia" w:ascii="仿宋" w:hAnsi="仿宋" w:eastAsia="仿宋" w:cs="仿宋"/>
          <w:color w:val="auto"/>
          <w:sz w:val="24"/>
          <w:szCs w:val="24"/>
          <w:highlight w:val="none"/>
        </w:rPr>
        <w:t>支付申请书</w:t>
      </w:r>
      <w:r>
        <w:rPr>
          <w:rFonts w:hint="eastAsia" w:ascii="仿宋" w:hAnsi="仿宋" w:eastAsia="仿宋" w:cs="仿宋"/>
          <w:color w:val="auto"/>
          <w:sz w:val="24"/>
          <w:highlight w:val="none"/>
        </w:rPr>
        <w:t>或不可抗力原因导致咨询人收款延误的，</w:t>
      </w:r>
      <w:r>
        <w:rPr>
          <w:rFonts w:hint="eastAsia" w:ascii="仿宋" w:hAnsi="仿宋" w:eastAsia="仿宋" w:cs="仿宋"/>
          <w:color w:val="auto"/>
          <w:sz w:val="24"/>
          <w:szCs w:val="24"/>
          <w:highlight w:val="none"/>
        </w:rPr>
        <w:t>委托人（甲方）</w:t>
      </w:r>
      <w:r>
        <w:rPr>
          <w:rFonts w:hint="eastAsia" w:ascii="仿宋" w:hAnsi="仿宋" w:eastAsia="仿宋" w:cs="仿宋"/>
          <w:color w:val="auto"/>
          <w:sz w:val="24"/>
          <w:highlight w:val="none"/>
        </w:rPr>
        <w:t>不承担迟延付款的责任，并且此情况不能成为咨询人中止或拒绝履行本合同项下义务的理由。</w:t>
      </w:r>
    </w:p>
    <w:p>
      <w:pPr>
        <w:pStyle w:val="16"/>
        <w:spacing w:before="0" w:after="0" w:line="360" w:lineRule="auto"/>
        <w:ind w:firstLine="482" w:firstLineChars="200"/>
        <w:jc w:val="left"/>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6. 合同变更、解除与终止</w:t>
      </w:r>
      <w:bookmarkEnd w:id="216"/>
      <w:bookmarkEnd w:id="221"/>
      <w:bookmarkEnd w:id="222"/>
    </w:p>
    <w:p>
      <w:pPr>
        <w:spacing w:line="360" w:lineRule="auto"/>
        <w:ind w:firstLine="482" w:firstLineChars="200"/>
        <w:rPr>
          <w:rFonts w:ascii="仿宋" w:hAnsi="仿宋" w:eastAsia="仿宋" w:cs="仿宋"/>
          <w:color w:val="auto"/>
          <w:highlight w:val="none"/>
        </w:rPr>
      </w:pPr>
      <w:bookmarkStart w:id="223" w:name="_Toc475975189"/>
      <w:bookmarkStart w:id="224" w:name="_Toc419045120"/>
      <w:bookmarkStart w:id="225" w:name="_Toc17141"/>
      <w:r>
        <w:rPr>
          <w:rStyle w:val="30"/>
          <w:rFonts w:hint="eastAsia" w:ascii="仿宋" w:hAnsi="仿宋" w:eastAsia="仿宋" w:cs="仿宋"/>
          <w:bCs w:val="0"/>
          <w:color w:val="auto"/>
          <w:sz w:val="24"/>
          <w:szCs w:val="24"/>
          <w:highlight w:val="none"/>
        </w:rPr>
        <w:t>6.1合同变更</w:t>
      </w:r>
      <w:bookmarkEnd w:id="223"/>
      <w:bookmarkEnd w:id="224"/>
      <w:bookmarkEnd w:id="225"/>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6.1.2 除不可抗力外，因非咨询人原因导致本合同履行期限延长、内容增加时，附加工作酬金按下列方法确定：</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6.1.4因工程规模、服务范围及内容的变化等导致咨询人的工作量增减时，服务酬金的调整方法：</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6.1.5 延长驻场服务期时，驻场人员、时间及服务酬金的调整方法：</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6.1.6发生工作返工和重复工作时，工作安排及服务酬金的调整方法：</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226" w:name="_Toc475975190"/>
      <w:bookmarkStart w:id="227" w:name="_Toc17654"/>
      <w:r>
        <w:rPr>
          <w:rFonts w:hint="eastAsia" w:ascii="仿宋" w:hAnsi="仿宋" w:eastAsia="仿宋" w:cs="仿宋"/>
          <w:bCs w:val="0"/>
          <w:color w:val="auto"/>
          <w:sz w:val="24"/>
          <w:szCs w:val="24"/>
          <w:highlight w:val="none"/>
        </w:rPr>
        <w:t>6.2合同解除</w:t>
      </w:r>
      <w:bookmarkEnd w:id="226"/>
      <w:bookmarkEnd w:id="227"/>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6.2.2双方约定解除合同的条件还包括：</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（1）本合同的继续履行将损害国家利益或社会公共利益的，双方可协商解除本合同。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（2）因法律、法规、规章、行政规范性文件或国家、地方政策发生重大变化的，双方可协商解除本合同。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6.2.4因不可抗力导致的合同解除，双方约定损失的分担如下：</w:t>
      </w:r>
    </w:p>
    <w:p>
      <w:pPr>
        <w:spacing w:line="360" w:lineRule="auto"/>
        <w:ind w:firstLine="480"/>
        <w:rPr>
          <w:rFonts w:ascii="仿宋" w:hAnsi="仿宋" w:eastAsia="仿宋" w:cs="仿宋"/>
          <w:color w:val="auto"/>
          <w:sz w:val="24"/>
          <w:szCs w:val="24"/>
          <w:highlight w:val="none"/>
        </w:rPr>
      </w:pPr>
      <w:bookmarkStart w:id="228" w:name="_Toc4242"/>
      <w:bookmarkStart w:id="229" w:name="_Toc419045121"/>
      <w:bookmarkStart w:id="230" w:name="_Toc475975191"/>
      <w:r>
        <w:rPr>
          <w:rFonts w:hint="eastAsia" w:ascii="仿宋" w:hAnsi="仿宋" w:eastAsia="仿宋" w:cs="仿宋"/>
          <w:color w:val="auto"/>
          <w:sz w:val="24"/>
          <w:szCs w:val="24"/>
          <w:highlight w:val="none"/>
        </w:rPr>
        <w:t>（1）因“不可抗力”而未能全部或部分履行本合同时，发生不可抗力一方应自不可抗力发生之时起24小时内将事故书面通知另一方，并应在7日内向另一方出具当地有关政府机构出具的官方证明文件以证明不可抗力的存在。在此情况下，发生不可抗力的一方仍然有责任采取必要的措施履行合同。如任何一方怠于通知导致另一方遭受的损失扩大的，怠于通知方应承担另一方因此所遭受的一切损失。</w:t>
      </w:r>
    </w:p>
    <w:p>
      <w:p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应通过友好协商尽快解决本合同的执行问题。如任何一方确因不可抗力导致无法全部或部分履行本合同的，在寻求另外一方的书面谅解确认或取得不可抗力证明后，允许延期履行、修订合同或不再履行，并根据具体情况，免除全部或部分违约责任。</w:t>
      </w:r>
    </w:p>
    <w:p>
      <w:pPr>
        <w:pStyle w:val="16"/>
        <w:spacing w:before="0" w:after="0" w:line="360" w:lineRule="auto"/>
        <w:ind w:firstLine="482" w:firstLineChars="200"/>
        <w:jc w:val="left"/>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7. 争议解决</w:t>
      </w:r>
      <w:bookmarkEnd w:id="228"/>
      <w:bookmarkEnd w:id="229"/>
      <w:bookmarkEnd w:id="230"/>
    </w:p>
    <w:p>
      <w:pPr>
        <w:spacing w:line="360" w:lineRule="auto"/>
        <w:ind w:firstLine="482" w:firstLineChars="200"/>
        <w:rPr>
          <w:rFonts w:ascii="仿宋" w:hAnsi="仿宋" w:eastAsia="仿宋" w:cs="仿宋"/>
          <w:color w:val="auto"/>
          <w:highlight w:val="none"/>
        </w:rPr>
      </w:pPr>
      <w:bookmarkStart w:id="231" w:name="_Toc15189"/>
      <w:bookmarkStart w:id="232" w:name="_Toc475975192"/>
      <w:bookmarkStart w:id="233" w:name="_Toc419045122"/>
      <w:r>
        <w:rPr>
          <w:rStyle w:val="30"/>
          <w:rFonts w:hint="eastAsia" w:ascii="仿宋" w:hAnsi="仿宋" w:eastAsia="仿宋" w:cs="仿宋"/>
          <w:bCs w:val="0"/>
          <w:color w:val="auto"/>
          <w:sz w:val="24"/>
          <w:szCs w:val="24"/>
          <w:highlight w:val="none"/>
        </w:rPr>
        <w:t>7.1调解</w:t>
      </w:r>
      <w:bookmarkEnd w:id="231"/>
      <w:bookmarkEnd w:id="232"/>
      <w:bookmarkEnd w:id="233"/>
    </w:p>
    <w:p>
      <w:pPr>
        <w:spacing w:line="360" w:lineRule="auto"/>
        <w:ind w:firstLine="480" w:firstLineChars="200"/>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如果双方不能在7日内解决本合同争议，可以提交工程所在地建设行政主管部门进行调解。</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234" w:name="_Toc475975193"/>
      <w:bookmarkStart w:id="235" w:name="_Toc19192"/>
      <w:r>
        <w:rPr>
          <w:rFonts w:hint="eastAsia" w:ascii="仿宋" w:hAnsi="仿宋" w:eastAsia="仿宋" w:cs="仿宋"/>
          <w:bCs w:val="0"/>
          <w:color w:val="auto"/>
          <w:sz w:val="24"/>
          <w:szCs w:val="24"/>
          <w:highlight w:val="none"/>
        </w:rPr>
        <w:t>7.2仲裁或诉讼</w:t>
      </w:r>
      <w:bookmarkEnd w:id="234"/>
      <w:bookmarkEnd w:id="235"/>
    </w:p>
    <w:p>
      <w:pPr>
        <w:spacing w:line="360" w:lineRule="auto"/>
        <w:ind w:firstLine="480"/>
        <w:rPr>
          <w:rFonts w:ascii="仿宋" w:hAnsi="仿宋" w:eastAsia="仿宋" w:cs="仿宋"/>
          <w:color w:val="auto"/>
          <w:highlight w:val="none"/>
        </w:rPr>
      </w:pPr>
      <w:r>
        <w:rPr>
          <w:rFonts w:hint="eastAsia" w:ascii="仿宋" w:hAnsi="仿宋" w:eastAsia="仿宋" w:cs="仿宋"/>
          <w:color w:val="auto"/>
          <w:sz w:val="24"/>
          <w:szCs w:val="24"/>
          <w:highlight w:val="none"/>
        </w:rPr>
        <w:t>合同争议的最终解决方式为下列第（2）种方式：</w:t>
      </w:r>
    </w:p>
    <w:p>
      <w:p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（1）提请中国广州仲裁委员会。</w:t>
      </w:r>
    </w:p>
    <w:p>
      <w:p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（2）向广州市天河区人民法院提起诉讼。因咨询人违约，委托人为维权所产生的全部费用（包括但不限于诉讼费、律师费、调查取证费、担保费、保全费、评估费）均由咨询人承担。</w:t>
      </w:r>
    </w:p>
    <w:p>
      <w:pPr>
        <w:spacing w:line="360" w:lineRule="auto"/>
        <w:ind w:firstLine="480"/>
        <w:rPr>
          <w:rFonts w:ascii="仿宋" w:hAnsi="仿宋" w:eastAsia="仿宋" w:cs="仿宋"/>
          <w:color w:val="auto"/>
          <w:sz w:val="24"/>
          <w:szCs w:val="24"/>
          <w:highlight w:val="none"/>
        </w:rPr>
      </w:pPr>
    </w:p>
    <w:p>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bCs/>
          <w:color w:val="auto"/>
          <w:sz w:val="24"/>
          <w:szCs w:val="24"/>
          <w:highlight w:val="none"/>
        </w:rPr>
        <w:t>双方一致同意，</w:t>
      </w:r>
      <w:r>
        <w:rPr>
          <w:rFonts w:hint="eastAsia" w:ascii="仿宋" w:hAnsi="仿宋" w:eastAsia="仿宋" w:cs="仿宋"/>
          <w:b/>
          <w:bCs/>
          <w:color w:val="auto"/>
          <w:sz w:val="24"/>
          <w:highlight w:val="none"/>
        </w:rPr>
        <w:t>增加以下内容作为第7.4款至第7.5款：</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7.4在仲裁/诉讼期间，除有争议部分的事项外，合同其他部分仍应继续履行。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7.5本合同的订立、执行和解释及争议的解决均应适用中华人民共和国法律。</w:t>
      </w:r>
    </w:p>
    <w:p>
      <w:pPr>
        <w:spacing w:line="360" w:lineRule="auto"/>
        <w:ind w:firstLine="482" w:firstLineChars="200"/>
        <w:rPr>
          <w:rStyle w:val="30"/>
          <w:rFonts w:ascii="仿宋" w:hAnsi="仿宋" w:eastAsia="仿宋" w:cs="仿宋"/>
          <w:bCs w:val="0"/>
          <w:color w:val="auto"/>
          <w:sz w:val="24"/>
          <w:szCs w:val="24"/>
          <w:highlight w:val="none"/>
        </w:rPr>
      </w:pPr>
      <w:bookmarkStart w:id="236" w:name="_Toc419045123"/>
      <w:bookmarkStart w:id="237" w:name="_Toc475975194"/>
      <w:bookmarkStart w:id="238" w:name="_Toc569"/>
      <w:r>
        <w:rPr>
          <w:rStyle w:val="29"/>
          <w:rFonts w:hint="eastAsia" w:ascii="仿宋" w:hAnsi="仿宋" w:eastAsia="仿宋" w:cs="仿宋"/>
          <w:bCs w:val="0"/>
          <w:color w:val="auto"/>
          <w:sz w:val="24"/>
          <w:szCs w:val="24"/>
          <w:highlight w:val="none"/>
        </w:rPr>
        <w:t>8. 其他</w:t>
      </w:r>
      <w:bookmarkEnd w:id="236"/>
      <w:bookmarkEnd w:id="237"/>
      <w:bookmarkEnd w:id="238"/>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239" w:name="_Toc475975195"/>
      <w:bookmarkStart w:id="240" w:name="_Toc10281"/>
      <w:r>
        <w:rPr>
          <w:rFonts w:hint="eastAsia" w:ascii="仿宋" w:hAnsi="仿宋" w:eastAsia="仿宋" w:cs="仿宋"/>
          <w:bCs w:val="0"/>
          <w:color w:val="auto"/>
          <w:sz w:val="24"/>
          <w:szCs w:val="24"/>
          <w:highlight w:val="none"/>
        </w:rPr>
        <w:t>8.1考察及相关费用</w:t>
      </w:r>
      <w:bookmarkEnd w:id="239"/>
      <w:bookmarkEnd w:id="240"/>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咨询人经委托人同意进行考察发生的费用由</w:t>
      </w:r>
      <w:r>
        <w:rPr>
          <w:rFonts w:hint="eastAsia" w:ascii="仿宋" w:hAnsi="仿宋" w:eastAsia="仿宋" w:cs="仿宋"/>
          <w:color w:val="auto"/>
          <w:sz w:val="24"/>
          <w:szCs w:val="24"/>
          <w:highlight w:val="none"/>
          <w:u w:val="single"/>
        </w:rPr>
        <w:t>___咨询人____</w:t>
      </w:r>
      <w:r>
        <w:rPr>
          <w:rFonts w:hint="eastAsia" w:ascii="仿宋" w:hAnsi="仿宋" w:eastAsia="仿宋" w:cs="仿宋"/>
          <w:color w:val="auto"/>
          <w:sz w:val="24"/>
          <w:szCs w:val="24"/>
          <w:highlight w:val="none"/>
        </w:rPr>
        <w:t>支付，已包含在正常服务酬金中。</w:t>
      </w:r>
    </w:p>
    <w:p>
      <w:pPr>
        <w:spacing w:line="360" w:lineRule="auto"/>
        <w:ind w:left="420" w:lef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差旅费及相关费用的支付：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 xml:space="preserve"> □其他：</w:t>
      </w:r>
      <w:r>
        <w:rPr>
          <w:rFonts w:hint="eastAsia" w:ascii="仿宋" w:hAnsi="仿宋" w:eastAsia="仿宋" w:cs="仿宋"/>
          <w:color w:val="auto"/>
          <w:sz w:val="24"/>
          <w:szCs w:val="24"/>
          <w:highlight w:val="none"/>
          <w:u w:val="single"/>
        </w:rPr>
        <w:t xml:space="preserve">                                      </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241" w:name="_Toc6320"/>
      <w:bookmarkStart w:id="242" w:name="_Toc475975196"/>
      <w:r>
        <w:rPr>
          <w:rFonts w:hint="eastAsia" w:ascii="仿宋" w:hAnsi="仿宋" w:eastAsia="仿宋" w:cs="仿宋"/>
          <w:bCs w:val="0"/>
          <w:color w:val="auto"/>
          <w:sz w:val="24"/>
          <w:szCs w:val="24"/>
          <w:highlight w:val="none"/>
        </w:rPr>
        <w:t>8.2奖励</w:t>
      </w:r>
      <w:bookmarkEnd w:id="241"/>
      <w:bookmarkEnd w:id="242"/>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合理化建议的奖励金额按下列方法确定：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243" w:name="_Toc4035"/>
      <w:bookmarkStart w:id="244" w:name="_Toc475975197"/>
      <w:r>
        <w:rPr>
          <w:rFonts w:hint="eastAsia" w:ascii="仿宋" w:hAnsi="仿宋" w:eastAsia="仿宋" w:cs="仿宋"/>
          <w:bCs w:val="0"/>
          <w:color w:val="auto"/>
          <w:sz w:val="24"/>
          <w:szCs w:val="24"/>
          <w:highlight w:val="none"/>
        </w:rPr>
        <w:t>8.3保密</w:t>
      </w:r>
      <w:bookmarkEnd w:id="243"/>
      <w:bookmarkEnd w:id="244"/>
    </w:p>
    <w:p>
      <w:pPr>
        <w:tabs>
          <w:tab w:val="left" w:pos="0"/>
        </w:tabs>
        <w:spacing w:line="360" w:lineRule="auto"/>
        <w:ind w:left="-19" w:leftChars="-59" w:hanging="105" w:hangingChars="4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双方一致同意，本合同第二部分《通用条款》第8.3款不适用，代之以：</w:t>
      </w:r>
    </w:p>
    <w:p>
      <w:pPr>
        <w:tabs>
          <w:tab w:val="left" w:pos="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8.3.1双方对其在本合同订立和履行过程中所知悉的、对方的商业秘密、工作秘密、技术信息、经营信息等包括本合同的签订和履行均有保密义务。本合同履行完成或在履行的过程中，未经委托人事先书面同意，咨询人不得向任何第三方披露、透露、泄露包括本条约定保密信息在内的有关本合同项下的任何信息。如发生以上情况，咨询人应当按照本合同总金额30％的标准向委托人支付违约金，以及赔偿委托人的全部损失。若本合同未履行完毕的，委托人有权单方面解除本合同，要求咨询人返还已收取的全部费用，且咨询人应当按照本合同总金额30％的标准向委托人支付违约金，以及赔偿委托人的全部损失。</w:t>
      </w:r>
    </w:p>
    <w:p>
      <w:pPr>
        <w:tabs>
          <w:tab w:val="left" w:pos="0"/>
        </w:tabs>
        <w:spacing w:line="360" w:lineRule="auto"/>
        <w:ind w:left="115" w:leftChars="55" w:firstLine="372" w:firstLineChars="15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8.3.2除履行本合同义务内容所需外，未经委托人事先书面同意，咨询人不得擅自使用、复制对方的商标、标志、商业信息、技术及其他资料。</w:t>
      </w:r>
    </w:p>
    <w:p>
      <w:pPr>
        <w:tabs>
          <w:tab w:val="left" w:pos="0"/>
        </w:tabs>
        <w:spacing w:line="360" w:lineRule="auto"/>
        <w:ind w:left="115" w:leftChars="55" w:firstLine="372" w:firstLineChars="15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8.3.3本保密条款长期有效，无论出现本合同变更、终止或解除等情形，均不影响本条款的效力。</w:t>
      </w:r>
    </w:p>
    <w:p>
      <w:pPr>
        <w:spacing w:line="360" w:lineRule="auto"/>
        <w:ind w:firstLine="482" w:firstLineChars="200"/>
        <w:rPr>
          <w:rFonts w:ascii="仿宋" w:hAnsi="仿宋" w:eastAsia="仿宋" w:cs="仿宋"/>
          <w:b/>
          <w:color w:val="auto"/>
          <w:kern w:val="28"/>
          <w:sz w:val="24"/>
          <w:szCs w:val="24"/>
          <w:highlight w:val="none"/>
        </w:rPr>
      </w:pPr>
      <w:bookmarkStart w:id="245" w:name="_Toc475975198"/>
      <w:bookmarkStart w:id="246" w:name="_Toc16771"/>
      <w:r>
        <w:rPr>
          <w:rStyle w:val="30"/>
          <w:rFonts w:hint="eastAsia" w:ascii="仿宋" w:hAnsi="仿宋" w:eastAsia="仿宋" w:cs="仿宋"/>
          <w:bCs w:val="0"/>
          <w:color w:val="auto"/>
          <w:sz w:val="24"/>
          <w:szCs w:val="24"/>
          <w:highlight w:val="none"/>
        </w:rPr>
        <w:t>8.4联络</w:t>
      </w:r>
      <w:bookmarkEnd w:id="245"/>
      <w:bookmarkEnd w:id="246"/>
    </w:p>
    <w:p>
      <w:pPr>
        <w:spacing w:line="360" w:lineRule="auto"/>
        <w:ind w:firstLine="480" w:firstLineChars="200"/>
        <w:rPr>
          <w:rFonts w:ascii="仿宋" w:hAnsi="仿宋" w:eastAsia="仿宋" w:cs="仿宋"/>
          <w:color w:val="auto"/>
          <w:sz w:val="24"/>
          <w:szCs w:val="24"/>
          <w:highlight w:val="none"/>
        </w:rPr>
      </w:pPr>
      <w:bookmarkStart w:id="247" w:name="_Toc419045124"/>
      <w:bookmarkStart w:id="248" w:name="_Toc475975199"/>
      <w:bookmarkStart w:id="249" w:name="_Toc21641"/>
      <w:r>
        <w:rPr>
          <w:rFonts w:hint="eastAsia" w:ascii="仿宋" w:hAnsi="仿宋" w:eastAsia="仿宋" w:cs="仿宋"/>
          <w:color w:val="auto"/>
          <w:sz w:val="24"/>
          <w:szCs w:val="24"/>
          <w:highlight w:val="none"/>
        </w:rPr>
        <w:t>8.4.1任何一方与合同有关的通知、指示、要求、决定等，均应在3日内送达对方指定的接收人和送达地点。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8.4.2甲方指定的送达接收人：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），送达地点：</w:t>
      </w:r>
      <w:r>
        <w:rPr>
          <w:rFonts w:hint="eastAsia" w:ascii="仿宋" w:hAnsi="仿宋" w:eastAsia="仿宋" w:cs="仿宋"/>
          <w:color w:val="auto"/>
          <w:sz w:val="24"/>
          <w:szCs w:val="24"/>
          <w:highlight w:val="none"/>
          <w:u w:val="single"/>
        </w:rPr>
        <w:t xml:space="preserve">广州市天河区黄埔大道中144号海景中心东塔四楼  </w:t>
      </w: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thjszx_2021@126.com</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乙方指定的送达接收人：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），送达地点：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一致同意，双方确认本条款所记载的送达地点为其送达地址，如一方地址、送达接收人、联系方式、电子邮箱有变更的，应在变更后三日内书面通知对方，否则，双方的文件、资料等一经发至前述地址，即视为送达。</w:t>
      </w:r>
    </w:p>
    <w:p>
      <w:pPr>
        <w:spacing w:line="360" w:lineRule="auto"/>
        <w:ind w:firstLine="482" w:firstLineChars="200"/>
        <w:rPr>
          <w:rStyle w:val="30"/>
          <w:rFonts w:ascii="仿宋" w:hAnsi="仿宋" w:eastAsia="仿宋" w:cs="仿宋"/>
          <w:b w:val="0"/>
          <w:color w:val="auto"/>
          <w:sz w:val="24"/>
          <w:szCs w:val="24"/>
          <w:highlight w:val="none"/>
        </w:rPr>
      </w:pPr>
      <w:r>
        <w:rPr>
          <w:rStyle w:val="30"/>
          <w:rFonts w:hint="eastAsia" w:ascii="仿宋" w:hAnsi="仿宋" w:eastAsia="仿宋" w:cs="仿宋"/>
          <w:bCs w:val="0"/>
          <w:color w:val="auto"/>
          <w:sz w:val="24"/>
          <w:szCs w:val="24"/>
          <w:highlight w:val="none"/>
        </w:rPr>
        <w:t>8.5知识产权</w:t>
      </w:r>
      <w:bookmarkEnd w:id="247"/>
      <w:bookmarkEnd w:id="248"/>
    </w:p>
    <w:bookmarkEnd w:id="249"/>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委托人提供给咨询人的图纸、委托人为实施工程自行编制或委托编制的技术规范以及反映委托人要求的或其他类似性质文件的著作权属于委托人。</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咨询人为履行本合同约定而编制的咨询成果文件，其著作权属于☑委托人□咨询人□委托人和咨询人共同享有。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双方将履行本合同形成的咨询成果文件用于企业宣传、申报奖项以及接受上级主管部门的检查须遵守以下约定</w:t>
      </w:r>
      <w:bookmarkStart w:id="250" w:name="_Toc419045125"/>
      <w:r>
        <w:rPr>
          <w:rFonts w:hint="eastAsia" w:ascii="仿宋" w:hAnsi="仿宋" w:eastAsia="仿宋" w:cs="仿宋"/>
          <w:color w:val="auto"/>
          <w:sz w:val="24"/>
          <w:szCs w:val="24"/>
          <w:highlight w:val="none"/>
        </w:rPr>
        <w:t>：如咨询人需将履行本合同形成的咨询成果文件用于企业宣传、申报奖项或接受上级主管部门的检查的，应事先征得委托人的书面同意，否则，咨询人应当按照本合同总金额30％的标准向委托人支付违约金，以及赔偿委托人的全部损失。</w:t>
      </w:r>
      <w:bookmarkEnd w:id="250"/>
    </w:p>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bookmarkStart w:id="251" w:name="_Toc6941"/>
      <w:bookmarkStart w:id="252" w:name="_Toc10627457"/>
      <w:r>
        <w:rPr>
          <w:rFonts w:hint="eastAsia" w:ascii="仿宋" w:hAnsi="仿宋" w:eastAsia="仿宋" w:cs="仿宋"/>
          <w:b/>
          <w:color w:val="auto"/>
          <w:sz w:val="24"/>
          <w:szCs w:val="24"/>
          <w:highlight w:val="none"/>
        </w:rPr>
        <w:t>9. 补充条款</w:t>
      </w:r>
      <w:bookmarkEnd w:id="251"/>
      <w:bookmarkEnd w:id="252"/>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 本合同未尽事宜，双方另行协商并签订书面补充协议予以确定，补充协议作为本合同的有机组成部分，与本合同具有同等法律效力。如补充协议就同一事项或内容与本合同约定有冲突的，除双方另有约定外，按形成时间在后的补充协议约定执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在执行本合同的过程中，所有经双方签署确认的文件（包括但不限于会议纪要、补充协议、往来信函、传真等）即成为本合同的有机组成部分，与本合同具有同等法律效力，其生效日期为双方法定代表人或委托代理人签名或加盖公章确认的日期。前述文件与本合同内容应认为是互为补充和解释，但如就同一事项（内容）约定存在矛盾之外，除双方另有约定外，以形成时间在后的文件为准。</w:t>
      </w:r>
    </w:p>
    <w:p>
      <w:pPr>
        <w:pStyle w:val="18"/>
        <w:spacing w:line="360" w:lineRule="auto"/>
        <w:ind w:left="0" w:leftChars="0" w:firstLine="480"/>
        <w:rPr>
          <w:rFonts w:ascii="仿宋" w:hAnsi="仿宋" w:eastAsia="仿宋" w:cs="仿宋"/>
          <w:color w:val="auto"/>
          <w:highlight w:val="none"/>
        </w:rPr>
      </w:pPr>
      <w:r>
        <w:rPr>
          <w:rFonts w:hint="eastAsia" w:ascii="仿宋" w:hAnsi="仿宋" w:eastAsia="仿宋" w:cs="仿宋"/>
          <w:color w:val="auto"/>
          <w:sz w:val="24"/>
          <w:szCs w:val="24"/>
          <w:highlight w:val="none"/>
        </w:rPr>
        <w:t>9.3《廉政合同》作为本合同附件，是本合同不可或缺的重要组成部分，与本合同具有同等法律效力。</w:t>
      </w:r>
    </w:p>
    <w:p>
      <w:pPr>
        <w:widowControl/>
        <w:spacing w:line="360" w:lineRule="auto"/>
        <w:jc w:val="left"/>
        <w:rPr>
          <w:rFonts w:ascii="仿宋" w:hAnsi="仿宋" w:eastAsia="仿宋" w:cs="仿宋"/>
          <w:color w:val="auto"/>
          <w:sz w:val="32"/>
          <w:szCs w:val="32"/>
          <w:highlight w:val="none"/>
        </w:rPr>
        <w:sectPr>
          <w:footerReference r:id="rId7" w:type="first"/>
          <w:footerReference r:id="rId6" w:type="default"/>
          <w:pgSz w:w="11906" w:h="16838"/>
          <w:pgMar w:top="1440" w:right="1134" w:bottom="1440" w:left="1134" w:header="851" w:footer="992" w:gutter="0"/>
          <w:pgNumType w:start="1"/>
          <w:cols w:space="720" w:num="1"/>
          <w:titlePg/>
          <w:docGrid w:type="lines" w:linePitch="312" w:charSpace="0"/>
        </w:sectPr>
      </w:pPr>
      <w:r>
        <w:rPr>
          <w:rFonts w:hint="eastAsia" w:ascii="仿宋" w:hAnsi="仿宋" w:eastAsia="仿宋" w:cs="仿宋"/>
          <w:color w:val="auto"/>
          <w:sz w:val="24"/>
          <w:szCs w:val="24"/>
          <w:highlight w:val="none"/>
        </w:rPr>
        <w:t>（以下部分无第三部分《专用条款》正文内容）</w:t>
      </w:r>
    </w:p>
    <w:p>
      <w:pPr>
        <w:spacing w:line="360" w:lineRule="auto"/>
        <w:jc w:val="left"/>
        <w:rPr>
          <w:rFonts w:ascii="仿宋" w:hAnsi="仿宋" w:eastAsia="仿宋" w:cs="仿宋"/>
          <w:color w:val="auto"/>
          <w:sz w:val="24"/>
          <w:highlight w:val="none"/>
          <w:u w:val="single"/>
        </w:rPr>
      </w:pPr>
      <w:r>
        <w:rPr>
          <w:rFonts w:hint="eastAsia" w:ascii="仿宋" w:hAnsi="仿宋" w:eastAsia="仿宋" w:cs="仿宋"/>
          <w:b/>
          <w:color w:val="auto"/>
          <w:sz w:val="32"/>
          <w:szCs w:val="32"/>
          <w:highlight w:val="none"/>
        </w:rPr>
        <w:t>附件：</w:t>
      </w:r>
    </w:p>
    <w:p>
      <w:pPr>
        <w:spacing w:line="360" w:lineRule="auto"/>
        <w:ind w:firstLine="723" w:firstLineChars="200"/>
        <w:jc w:val="center"/>
        <w:rPr>
          <w:rFonts w:ascii="仿宋" w:hAnsi="仿宋" w:eastAsia="仿宋" w:cs="仿宋"/>
          <w:b/>
          <w:color w:val="auto"/>
          <w:sz w:val="32"/>
          <w:szCs w:val="32"/>
          <w:highlight w:val="none"/>
        </w:rPr>
      </w:pPr>
      <w:r>
        <w:rPr>
          <w:rFonts w:hint="eastAsia" w:ascii="仿宋" w:hAnsi="仿宋" w:eastAsia="仿宋" w:cs="仿宋"/>
          <w:b/>
          <w:bCs/>
          <w:color w:val="auto"/>
          <w:kern w:val="0"/>
          <w:sz w:val="36"/>
          <w:szCs w:val="36"/>
          <w:highlight w:val="none"/>
        </w:rPr>
        <w:t>廉 政 合 同</w:t>
      </w:r>
    </w:p>
    <w:p>
      <w:pPr>
        <w:spacing w:line="360" w:lineRule="auto"/>
        <w:rPr>
          <w:rFonts w:ascii="仿宋" w:hAnsi="仿宋" w:eastAsia="仿宋" w:cs="仿宋"/>
          <w:color w:val="auto"/>
          <w:sz w:val="24"/>
          <w:highlight w:val="none"/>
        </w:rPr>
      </w:pP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甲方（委托人）：广州市天河区住房建设和园林局                                  </w:t>
      </w: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乙方（咨询人）：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根据国家、省工程建设和廉政建设的有关规定，为做好工程项目的廉政建设，保证工程质量与施工安全，提高建设资金的有效使用和投资效益，委托人与咨询人就加强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工程的廉政建设相关事宜达成一致，订立本合同，以资共同遵守。</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双方权利和义务</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  严格遵守国家有关法律法规的规定。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  严格执行一切合同文件，自觉按合同办事。</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  双方的业务活动坚持公平、公开、公正和诚信的原则（法律认定的商业秘密和合同文件另有规定除外），不得损害国家和集体利益，不得违反工程建设管理规章制度。</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  建立健全廉政制度，开展廉政教育，设立廉政告示牌，公布举报电话，监督并认真查处违法违纪行为。</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  发现对方在业务活动中有违反廉政建设规定的行为，应及时给予提醒和纠正。</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  发现对方严重违反合同的行为，有向其上级部门举报、建议给予处理并要求告知处理结果的权利。</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委托人义务</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  委托人及其工作人员不得索要或接受咨询人的礼金、有价证券和贵重物品，不得在咨询人报销任何应由委托人或工作人员个人支付的费用等。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  委托人及其工作人员不得参加咨询人安排的宴请（工作餐除外）和娱乐活动；不得接受咨询人提供的通讯工具、交通工具和高档办公用品等。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  委托人及其工作人员不得要求或者接受咨询人为其住房装修、婚丧嫁娶活动、配偶子女的工作安排以及出国出境、旅游等提供方便等。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  委托人及其工作人员及其配偶、子女不得从事与委托人有关的工程材料设备供应、工程分包、劳务等经济活动。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  委托人及其工作人员不得以任何理由向咨询人推荐分包单位或推销材料，不得要求咨询人购买合同约定外的材料和设备。</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  委托人及其工作人员要秉公办事，不准营私舞弊，不准利用职权从事各种个人有偿中介活动和安排个人施工队伍。</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  咨询人义务</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咨询人不得以任何理由向委托人及其工作人员（含监理人/工程师、造价人/工程师等）行贿或馈赠礼金、回扣、红包、购物卡、有价证券、贵重礼品和好处费、感谢费等。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  咨询人不得以任何名义为委托人及其工作人员（含监理人/工程师、造价人/工程师等）报销应由委托人或工作人员个人支付的任何费用。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  咨询人不得以任何理由安排委托人及其工作人员（含监理人/工程师、造价人/工程师等）提供高消费宴请（工作餐除外）及娱乐活动。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  咨询人不得为委托人或其工作人员（含监理人/工程师、造价人/工程师等）购置或提供通讯工具、交通工具或高档办公用品等。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3.5不准接受或暗示为委托人及委托人工作人员（含监理人/工程师、造价人/工程师等）装修住房、婚丧嫁娶、配偶子女的工作安排以及境内外旅游等提供方便；</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3.6不准以谋取非正当利益为目的，擅自与委托人工作人员（含监理人/工程师、造价人/工程师等）就本合同业务问题进行私下商谈或者达成利益默契；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3.7如发现委托人或委托人工作人员（含监理人/工程师、造价人/工程师等）有违反廉洁规定的，应及时向委托人举报。</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  违约责任</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  委托人及其工作人员违反本合同第1条和第2条规定，应依据有关规定给予廉政建设规定的处分；涉嫌犯罪的，移交司法机关追究刑事责任。</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  咨询人及其工作人员违反本合同第1条和第3条规定，应依据有关规定给予廉政建设规定的处分；给委托人造成经济损失的，应予赔偿；情节严重的，由委托人将相关材料移送行业主管部门，由行业主管部门根据情况给予咨询人一至三年内不得进入工程建设市场的处罚。涉嫌犯罪的，移交司法机关追究刑事责任。除此之外，咨询人还应按照《广州市建设工程造价咨询合同》（合同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）的约定承担违约责任。</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  双方约定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本合同由双方或其上级部门负责监督执行，并由双方或其上级部门相互约请对本合同执行情况进行检查。</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  合同生效</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本合同有效期：从合同签订之日起，长期有效。</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  合同法律效力</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本合同作为《广州市建设工程造价咨询合同》（合同编号：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）的附件，与该合同具有同等的法律效力。</w:t>
      </w:r>
    </w:p>
    <w:p>
      <w:pPr>
        <w:pStyle w:val="17"/>
        <w:spacing w:line="360" w:lineRule="auto"/>
        <w:ind w:firstLine="480" w:firstLineChars="200"/>
        <w:jc w:val="both"/>
        <w:rPr>
          <w:rFonts w:ascii="仿宋" w:hAnsi="仿宋" w:eastAsia="仿宋" w:cs="仿宋"/>
          <w:color w:val="auto"/>
          <w:sz w:val="24"/>
          <w:highlight w:val="none"/>
        </w:rPr>
      </w:pPr>
    </w:p>
    <w:p>
      <w:pPr>
        <w:pStyle w:val="17"/>
        <w:spacing w:line="360" w:lineRule="auto"/>
        <w:ind w:firstLine="480" w:firstLineChars="200"/>
        <w:jc w:val="both"/>
        <w:rPr>
          <w:rFonts w:ascii="仿宋" w:hAnsi="仿宋" w:eastAsia="仿宋" w:cs="仿宋"/>
          <w:color w:val="auto"/>
          <w:sz w:val="24"/>
          <w:highlight w:val="none"/>
        </w:rPr>
      </w:pPr>
    </w:p>
    <w:p>
      <w:pPr>
        <w:pStyle w:val="17"/>
        <w:spacing w:line="360" w:lineRule="auto"/>
        <w:ind w:firstLine="0" w:firstLineChars="0"/>
        <w:jc w:val="both"/>
        <w:rPr>
          <w:rFonts w:ascii="仿宋" w:hAnsi="仿宋" w:eastAsia="仿宋" w:cs="仿宋"/>
          <w:color w:val="auto"/>
          <w:sz w:val="24"/>
          <w:highlight w:val="none"/>
        </w:rPr>
      </w:pPr>
      <w:r>
        <w:rPr>
          <w:rFonts w:hint="eastAsia" w:ascii="仿宋" w:hAnsi="仿宋" w:eastAsia="仿宋" w:cs="仿宋"/>
          <w:color w:val="auto"/>
          <w:sz w:val="24"/>
          <w:highlight w:val="none"/>
        </w:rPr>
        <w:t>（以下无《廉政合同》正文内容，为签章页）</w:t>
      </w:r>
    </w:p>
    <w:p>
      <w:pPr>
        <w:pStyle w:val="17"/>
        <w:spacing w:line="360" w:lineRule="auto"/>
        <w:ind w:firstLine="0" w:firstLineChars="0"/>
        <w:jc w:val="both"/>
        <w:rPr>
          <w:rFonts w:ascii="仿宋" w:hAnsi="仿宋" w:eastAsia="仿宋" w:cs="仿宋"/>
          <w:color w:val="auto"/>
          <w:sz w:val="24"/>
          <w:highlight w:val="none"/>
        </w:rPr>
      </w:pPr>
    </w:p>
    <w:p>
      <w:pPr>
        <w:pStyle w:val="17"/>
        <w:spacing w:line="360" w:lineRule="auto"/>
        <w:ind w:firstLine="0" w:firstLineChars="0"/>
        <w:jc w:val="both"/>
        <w:rPr>
          <w:rFonts w:ascii="仿宋" w:hAnsi="仿宋" w:eastAsia="仿宋" w:cs="仿宋"/>
          <w:color w:val="auto"/>
          <w:sz w:val="24"/>
          <w:highlight w:val="none"/>
        </w:rPr>
      </w:pPr>
    </w:p>
    <w:tbl>
      <w:tblPr>
        <w:tblStyle w:val="19"/>
        <w:tblW w:w="8522" w:type="dxa"/>
        <w:tblInd w:w="0" w:type="dxa"/>
        <w:tblLayout w:type="fixed"/>
        <w:tblCellMar>
          <w:top w:w="0" w:type="dxa"/>
          <w:left w:w="108" w:type="dxa"/>
          <w:bottom w:w="0" w:type="dxa"/>
          <w:right w:w="108" w:type="dxa"/>
        </w:tblCellMar>
      </w:tblPr>
      <w:tblGrid>
        <w:gridCol w:w="4412"/>
        <w:gridCol w:w="4110"/>
      </w:tblGrid>
      <w:tr>
        <w:tblPrEx>
          <w:tblCellMar>
            <w:top w:w="0" w:type="dxa"/>
            <w:left w:w="108" w:type="dxa"/>
            <w:bottom w:w="0" w:type="dxa"/>
            <w:right w:w="108" w:type="dxa"/>
          </w:tblCellMar>
        </w:tblPrEx>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甲方：（盖章）广州市天河区住房建设和园林局</w:t>
            </w: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sz w:val="24"/>
                <w:szCs w:val="21"/>
                <w:highlight w:val="none"/>
              </w:rPr>
              <w:t>乙方：</w:t>
            </w:r>
            <w:r>
              <w:rPr>
                <w:rFonts w:hint="eastAsia" w:ascii="仿宋" w:hAnsi="仿宋" w:eastAsia="仿宋" w:cs="仿宋"/>
                <w:color w:val="auto"/>
                <w:kern w:val="0"/>
                <w:sz w:val="24"/>
                <w:szCs w:val="21"/>
                <w:highlight w:val="none"/>
              </w:rPr>
              <w:t>（盖章）</w:t>
            </w:r>
          </w:p>
        </w:tc>
      </w:tr>
      <w:tr>
        <w:tblPrEx>
          <w:tblCellMar>
            <w:top w:w="0" w:type="dxa"/>
            <w:left w:w="108" w:type="dxa"/>
            <w:bottom w:w="0" w:type="dxa"/>
            <w:right w:w="108" w:type="dxa"/>
          </w:tblCellMar>
        </w:tblPrEx>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r>
      <w:tr>
        <w:tblPrEx>
          <w:tblCellMar>
            <w:top w:w="0" w:type="dxa"/>
            <w:left w:w="108" w:type="dxa"/>
            <w:bottom w:w="0" w:type="dxa"/>
            <w:right w:w="108" w:type="dxa"/>
          </w:tblCellMar>
        </w:tblPrEx>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地址：广州市天河区黄埔大道中144号海景中心东塔四楼</w:t>
            </w:r>
          </w:p>
        </w:tc>
        <w:tc>
          <w:tcPr>
            <w:tcW w:w="4110" w:type="dxa"/>
            <w:tcBorders>
              <w:tl2br w:val="nil"/>
              <w:tr2bl w:val="nil"/>
            </w:tcBorders>
          </w:tcPr>
          <w:p>
            <w:pPr>
              <w:pStyle w:val="31"/>
              <w:spacing w:line="440" w:lineRule="exact"/>
              <w:ind w:left="720" w:hanging="720" w:hangingChars="300"/>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地址：</w:t>
            </w:r>
          </w:p>
        </w:tc>
      </w:tr>
      <w:tr>
        <w:tblPrEx>
          <w:tblCellMar>
            <w:top w:w="0" w:type="dxa"/>
            <w:left w:w="108" w:type="dxa"/>
            <w:bottom w:w="0" w:type="dxa"/>
            <w:right w:w="108" w:type="dxa"/>
          </w:tblCellMar>
        </w:tblPrEx>
        <w:trPr>
          <w:trHeight w:val="799" w:hRule="atLeast"/>
        </w:trPr>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法定代表人（签名或签章）：</w:t>
            </w: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法定代表人（签名或签章）：</w:t>
            </w:r>
          </w:p>
        </w:tc>
      </w:tr>
      <w:tr>
        <w:tblPrEx>
          <w:tblCellMar>
            <w:top w:w="0" w:type="dxa"/>
            <w:left w:w="108" w:type="dxa"/>
            <w:bottom w:w="0" w:type="dxa"/>
            <w:right w:w="108" w:type="dxa"/>
          </w:tblCellMar>
        </w:tblPrEx>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 xml:space="preserve">  </w:t>
            </w: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r>
      <w:tr>
        <w:tblPrEx>
          <w:tblCellMar>
            <w:top w:w="0" w:type="dxa"/>
            <w:left w:w="108" w:type="dxa"/>
            <w:bottom w:w="0" w:type="dxa"/>
            <w:right w:w="108" w:type="dxa"/>
          </w:tblCellMar>
        </w:tblPrEx>
        <w:trPr>
          <w:trHeight w:val="1112" w:hRule="atLeast"/>
        </w:trPr>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 xml:space="preserve">联系人（签名）： </w:t>
            </w:r>
          </w:p>
        </w:tc>
        <w:tc>
          <w:tcPr>
            <w:tcW w:w="4110" w:type="dxa"/>
            <w:tcBorders>
              <w:tl2br w:val="nil"/>
              <w:tr2bl w:val="nil"/>
            </w:tcBorders>
          </w:tcPr>
          <w:p>
            <w:pPr>
              <w:tabs>
                <w:tab w:val="left" w:pos="4620"/>
              </w:tabs>
              <w:spacing w:line="440" w:lineRule="exact"/>
              <w:ind w:left="1200" w:hanging="1200" w:hangingChars="5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或委托代理人（签名）：</w:t>
            </w:r>
          </w:p>
        </w:tc>
      </w:tr>
      <w:tr>
        <w:tblPrEx>
          <w:tblCellMar>
            <w:top w:w="0" w:type="dxa"/>
            <w:left w:w="108" w:type="dxa"/>
            <w:bottom w:w="0" w:type="dxa"/>
            <w:right w:w="108" w:type="dxa"/>
          </w:tblCellMar>
        </w:tblPrEx>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r>
      <w:tr>
        <w:tblPrEx>
          <w:tblCellMar>
            <w:top w:w="0" w:type="dxa"/>
            <w:left w:w="108" w:type="dxa"/>
            <w:bottom w:w="0" w:type="dxa"/>
            <w:right w:w="108" w:type="dxa"/>
          </w:tblCellMar>
        </w:tblPrEx>
        <w:trPr>
          <w:trHeight w:val="546" w:hRule="atLeast"/>
        </w:trPr>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 xml:space="preserve">合同订立时间：2023 年 </w:t>
            </w:r>
            <w:r>
              <w:rPr>
                <w:rFonts w:hint="eastAsia" w:ascii="仿宋" w:hAnsi="仿宋" w:eastAsia="仿宋" w:cs="仿宋"/>
                <w:color w:val="auto"/>
                <w:kern w:val="0"/>
                <w:sz w:val="24"/>
                <w:szCs w:val="21"/>
                <w:highlight w:val="none"/>
                <w:u w:val="single"/>
              </w:rPr>
              <w:t xml:space="preserve">  </w:t>
            </w:r>
            <w:r>
              <w:rPr>
                <w:rFonts w:hint="eastAsia" w:ascii="仿宋" w:hAnsi="仿宋" w:eastAsia="仿宋" w:cs="仿宋"/>
                <w:color w:val="auto"/>
                <w:kern w:val="0"/>
                <w:sz w:val="24"/>
                <w:szCs w:val="21"/>
                <w:highlight w:val="none"/>
              </w:rPr>
              <w:t>月</w:t>
            </w:r>
            <w:r>
              <w:rPr>
                <w:rFonts w:hint="eastAsia" w:ascii="仿宋" w:hAnsi="仿宋" w:eastAsia="仿宋" w:cs="仿宋"/>
                <w:color w:val="auto"/>
                <w:kern w:val="0"/>
                <w:sz w:val="24"/>
                <w:szCs w:val="21"/>
                <w:highlight w:val="none"/>
                <w:u w:val="single"/>
              </w:rPr>
              <w:t xml:space="preserve">   </w:t>
            </w:r>
            <w:r>
              <w:rPr>
                <w:rFonts w:hint="eastAsia" w:ascii="仿宋" w:hAnsi="仿宋" w:eastAsia="仿宋" w:cs="仿宋"/>
                <w:color w:val="auto"/>
                <w:kern w:val="0"/>
                <w:sz w:val="24"/>
                <w:szCs w:val="21"/>
                <w:highlight w:val="none"/>
              </w:rPr>
              <w:t xml:space="preserve"> 日</w:t>
            </w: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 xml:space="preserve">合同订立时间：2023 年 </w:t>
            </w:r>
            <w:r>
              <w:rPr>
                <w:rFonts w:hint="eastAsia" w:ascii="仿宋" w:hAnsi="仿宋" w:eastAsia="仿宋" w:cs="仿宋"/>
                <w:color w:val="auto"/>
                <w:kern w:val="0"/>
                <w:sz w:val="24"/>
                <w:szCs w:val="21"/>
                <w:highlight w:val="none"/>
                <w:u w:val="single"/>
              </w:rPr>
              <w:t xml:space="preserve">  </w:t>
            </w:r>
            <w:r>
              <w:rPr>
                <w:rFonts w:hint="eastAsia" w:ascii="仿宋" w:hAnsi="仿宋" w:eastAsia="仿宋" w:cs="仿宋"/>
                <w:color w:val="auto"/>
                <w:kern w:val="0"/>
                <w:sz w:val="24"/>
                <w:szCs w:val="21"/>
                <w:highlight w:val="none"/>
              </w:rPr>
              <w:t>月</w:t>
            </w:r>
            <w:r>
              <w:rPr>
                <w:rFonts w:hint="eastAsia" w:ascii="仿宋" w:hAnsi="仿宋" w:eastAsia="仿宋" w:cs="仿宋"/>
                <w:color w:val="auto"/>
                <w:kern w:val="0"/>
                <w:sz w:val="24"/>
                <w:szCs w:val="21"/>
                <w:highlight w:val="none"/>
                <w:u w:val="single"/>
              </w:rPr>
              <w:t xml:space="preserve">   </w:t>
            </w:r>
            <w:r>
              <w:rPr>
                <w:rFonts w:hint="eastAsia" w:ascii="仿宋" w:hAnsi="仿宋" w:eastAsia="仿宋" w:cs="仿宋"/>
                <w:color w:val="auto"/>
                <w:kern w:val="0"/>
                <w:sz w:val="24"/>
                <w:szCs w:val="21"/>
                <w:highlight w:val="none"/>
              </w:rPr>
              <w:t xml:space="preserve"> 日</w:t>
            </w:r>
          </w:p>
        </w:tc>
      </w:tr>
      <w:tr>
        <w:tblPrEx>
          <w:tblCellMar>
            <w:top w:w="0" w:type="dxa"/>
            <w:left w:w="108" w:type="dxa"/>
            <w:bottom w:w="0" w:type="dxa"/>
            <w:right w:w="108" w:type="dxa"/>
          </w:tblCellMar>
        </w:tblPrEx>
        <w:trPr>
          <w:trHeight w:val="546" w:hRule="atLeast"/>
        </w:trPr>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c>
          <w:tcPr>
            <w:tcW w:w="4110" w:type="dxa"/>
            <w:tcBorders>
              <w:tl2br w:val="nil"/>
              <w:tr2bl w:val="nil"/>
            </w:tcBorders>
          </w:tcPr>
          <w:p>
            <w:pPr>
              <w:spacing w:before="120" w:beforeLines="50" w:after="120" w:afterLines="50" w:line="360" w:lineRule="auto"/>
              <w:rPr>
                <w:rFonts w:ascii="仿宋" w:hAnsi="仿宋" w:eastAsia="仿宋" w:cs="仿宋"/>
                <w:color w:val="auto"/>
                <w:kern w:val="0"/>
                <w:sz w:val="24"/>
                <w:highlight w:val="none"/>
              </w:rPr>
            </w:pPr>
          </w:p>
        </w:tc>
      </w:tr>
    </w:tbl>
    <w:p>
      <w:pPr>
        <w:rPr>
          <w:rFonts w:ascii="仿宋" w:hAnsi="仿宋" w:eastAsia="仿宋" w:cs="仿宋"/>
          <w:color w:val="auto"/>
          <w:kern w:val="0"/>
          <w:sz w:val="24"/>
          <w:highlight w:val="none"/>
        </w:rPr>
      </w:pPr>
    </w:p>
    <w:p>
      <w:pPr>
        <w:spacing w:line="560" w:lineRule="exact"/>
        <w:rPr>
          <w:rFonts w:ascii="仿宋" w:hAnsi="仿宋" w:eastAsia="仿宋" w:cs="仿宋"/>
          <w:color w:val="auto"/>
          <w:sz w:val="26"/>
          <w:szCs w:val="26"/>
          <w:highlight w:val="none"/>
        </w:rPr>
      </w:pPr>
    </w:p>
    <w:sectPr>
      <w:footerReference r:id="rId8"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Fonts w:cs="Times New Roman"/>
      </w:rPr>
    </w:pPr>
    <w:r>
      <w:fldChar w:fldCharType="begin"/>
    </w:r>
    <w:r>
      <w:rPr>
        <w:rStyle w:val="22"/>
      </w:rPr>
      <w:instrText xml:space="preserve">PAGE  </w:instrText>
    </w:r>
    <w:r>
      <w:fldChar w:fldCharType="separate"/>
    </w:r>
    <w:r>
      <w:rPr>
        <w:rStyle w:val="22"/>
      </w:rPr>
      <w:t>6</w:t>
    </w:r>
    <w:r>
      <w:fldChar w:fldCharType="end"/>
    </w:r>
  </w:p>
  <w:p>
    <w:pPr>
      <w:pStyle w:val="11"/>
      <w:jc w:val="center"/>
      <w:rPr>
        <w:rFonts w:cs="Times New Roman"/>
      </w:rPr>
    </w:pPr>
  </w:p>
  <w:p>
    <w:pPr>
      <w:pStyle w:val="11"/>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cs="Times New Roman"/>
      </w:rPr>
    </w:pPr>
    <w:r>
      <w:fldChar w:fldCharType="begin"/>
    </w:r>
    <w:r>
      <w:instrText xml:space="preserve"> PAGE   \* MERGEFORMAT </w:instrText>
    </w:r>
    <w:r>
      <w:fldChar w:fldCharType="separate"/>
    </w:r>
    <w:r>
      <w:rPr>
        <w:lang w:val="zh-CN"/>
      </w:rPr>
      <w:t>1</w:t>
    </w:r>
    <w:r>
      <w:fldChar w:fldCharType="end"/>
    </w:r>
  </w:p>
  <w:p>
    <w:pPr>
      <w:pStyle w:val="11"/>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Fonts w:cs="Times New Roman"/>
      </w:rPr>
    </w:pPr>
    <w:r>
      <w:fldChar w:fldCharType="begin"/>
    </w:r>
    <w:r>
      <w:rPr>
        <w:rStyle w:val="22"/>
      </w:rPr>
      <w:instrText xml:space="preserve">PAGE  </w:instrText>
    </w:r>
    <w:r>
      <w:fldChar w:fldCharType="separate"/>
    </w:r>
    <w:r>
      <w:rPr>
        <w:rStyle w:val="22"/>
      </w:rPr>
      <w:t>23</w:t>
    </w:r>
    <w:r>
      <w:fldChar w:fldCharType="end"/>
    </w:r>
  </w:p>
  <w:p>
    <w:pPr>
      <w:pStyle w:val="11"/>
      <w:jc w:val="center"/>
      <w:rPr>
        <w:rFonts w:cs="Times New Roman"/>
      </w:rPr>
    </w:pPr>
  </w:p>
  <w:p>
    <w:pPr>
      <w:pStyle w:val="1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t>1</w:t>
    </w:r>
  </w:p>
  <w:p>
    <w:pPr>
      <w:pStyle w:val="11"/>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Fonts w:cs="Times New Roman"/>
      </w:rPr>
    </w:pPr>
    <w:r>
      <w:fldChar w:fldCharType="begin"/>
    </w:r>
    <w:r>
      <w:rPr>
        <w:rStyle w:val="22"/>
      </w:rPr>
      <w:instrText xml:space="preserve">PAGE  </w:instrText>
    </w:r>
    <w:r>
      <w:fldChar w:fldCharType="separate"/>
    </w:r>
    <w:r>
      <w:rPr>
        <w:rStyle w:val="22"/>
      </w:rPr>
      <w:t>23</w:t>
    </w:r>
    <w:r>
      <w:fldChar w:fldCharType="end"/>
    </w:r>
  </w:p>
  <w:p>
    <w:pPr>
      <w:pStyle w:val="11"/>
      <w:jc w:val="center"/>
      <w:rPr>
        <w:rFonts w:cs="Times New Roman"/>
      </w:rPr>
    </w:pPr>
  </w:p>
  <w:p>
    <w:pPr>
      <w:pStyle w:val="11"/>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1F2AD"/>
    <w:multiLevelType w:val="singleLevel"/>
    <w:tmpl w:val="E1F1F2AD"/>
    <w:lvl w:ilvl="0" w:tentative="0">
      <w:start w:val="2"/>
      <w:numFmt w:val="chineseCounting"/>
      <w:suff w:val="nothing"/>
      <w:lvlText w:val="%1、"/>
      <w:lvlJc w:val="left"/>
      <w:rPr>
        <w:rFonts w:hint="eastAsia"/>
      </w:rPr>
    </w:lvl>
  </w:abstractNum>
  <w:abstractNum w:abstractNumId="1">
    <w:nsid w:val="EAFF3DF4"/>
    <w:multiLevelType w:val="singleLevel"/>
    <w:tmpl w:val="EAFF3DF4"/>
    <w:lvl w:ilvl="0" w:tentative="0">
      <w:start w:val="2"/>
      <w:numFmt w:val="decimal"/>
      <w:lvlText w:val="%1."/>
      <w:lvlJc w:val="left"/>
      <w:pPr>
        <w:tabs>
          <w:tab w:val="left" w:pos="312"/>
        </w:tabs>
      </w:pPr>
    </w:lvl>
  </w:abstractNum>
  <w:abstractNum w:abstractNumId="2">
    <w:nsid w:val="FF81406A"/>
    <w:multiLevelType w:val="singleLevel"/>
    <w:tmpl w:val="FF81406A"/>
    <w:lvl w:ilvl="0" w:tentative="0">
      <w:start w:val="1"/>
      <w:numFmt w:val="decimal"/>
      <w:suff w:val="nothing"/>
      <w:lvlText w:val="（%1）"/>
      <w:lvlJc w:val="left"/>
    </w:lvl>
  </w:abstractNum>
  <w:abstractNum w:abstractNumId="3">
    <w:nsid w:val="15A21564"/>
    <w:multiLevelType w:val="multilevel"/>
    <w:tmpl w:val="15A21564"/>
    <w:lvl w:ilvl="0" w:tentative="0">
      <w:start w:val="1"/>
      <w:numFmt w:val="decimal"/>
      <w:lvlText w:val="（%1）"/>
      <w:lvlJc w:val="left"/>
      <w:pPr>
        <w:tabs>
          <w:tab w:val="left" w:pos="860"/>
        </w:tabs>
        <w:ind w:left="860" w:hanging="720"/>
      </w:pPr>
      <w:rPr>
        <w:rFonts w:hint="default" w:cs="Times New Roman"/>
      </w:rPr>
    </w:lvl>
    <w:lvl w:ilvl="1" w:tentative="0">
      <w:start w:val="1"/>
      <w:numFmt w:val="decimal"/>
      <w:lvlText w:val="（%2）"/>
      <w:lvlJc w:val="center"/>
      <w:pPr>
        <w:tabs>
          <w:tab w:val="left" w:pos="420"/>
        </w:tabs>
        <w:ind w:left="420" w:hanging="420"/>
      </w:pPr>
      <w:rPr>
        <w:rFonts w:hint="eastAsia" w:cs="Times New Roman"/>
      </w:rPr>
    </w:lvl>
    <w:lvl w:ilvl="2" w:tentative="0">
      <w:start w:val="1"/>
      <w:numFmt w:val="decimal"/>
      <w:lvlText w:val="（%3）"/>
      <w:lvlJc w:val="left"/>
      <w:pPr>
        <w:tabs>
          <w:tab w:val="left" w:pos="1700"/>
        </w:tabs>
        <w:ind w:left="1700" w:hanging="720"/>
      </w:pPr>
      <w:rPr>
        <w:rFonts w:hint="default" w:cs="Times New Roman"/>
      </w:rPr>
    </w:lvl>
    <w:lvl w:ilvl="3" w:tentative="0">
      <w:start w:val="1"/>
      <w:numFmt w:val="decimal"/>
      <w:lvlText w:val="%4."/>
      <w:lvlJc w:val="left"/>
      <w:pPr>
        <w:tabs>
          <w:tab w:val="left" w:pos="1820"/>
        </w:tabs>
        <w:ind w:left="1820" w:hanging="420"/>
      </w:pPr>
      <w:rPr>
        <w:rFonts w:cs="Times New Roman"/>
      </w:rPr>
    </w:lvl>
    <w:lvl w:ilvl="4" w:tentative="0">
      <w:start w:val="1"/>
      <w:numFmt w:val="lowerLetter"/>
      <w:lvlText w:val="%5)"/>
      <w:lvlJc w:val="left"/>
      <w:pPr>
        <w:tabs>
          <w:tab w:val="left" w:pos="2240"/>
        </w:tabs>
        <w:ind w:left="2240" w:hanging="420"/>
      </w:pPr>
      <w:rPr>
        <w:rFonts w:cs="Times New Roman"/>
      </w:rPr>
    </w:lvl>
    <w:lvl w:ilvl="5" w:tentative="0">
      <w:start w:val="1"/>
      <w:numFmt w:val="lowerRoman"/>
      <w:lvlText w:val="%6."/>
      <w:lvlJc w:val="right"/>
      <w:pPr>
        <w:tabs>
          <w:tab w:val="left" w:pos="2660"/>
        </w:tabs>
        <w:ind w:left="2660" w:hanging="420"/>
      </w:pPr>
      <w:rPr>
        <w:rFonts w:cs="Times New Roman"/>
      </w:rPr>
    </w:lvl>
    <w:lvl w:ilvl="6" w:tentative="0">
      <w:start w:val="1"/>
      <w:numFmt w:val="decimal"/>
      <w:lvlText w:val="%7."/>
      <w:lvlJc w:val="left"/>
      <w:pPr>
        <w:tabs>
          <w:tab w:val="left" w:pos="3080"/>
        </w:tabs>
        <w:ind w:left="3080" w:hanging="420"/>
      </w:pPr>
      <w:rPr>
        <w:rFonts w:cs="Times New Roman"/>
      </w:rPr>
    </w:lvl>
    <w:lvl w:ilvl="7" w:tentative="0">
      <w:start w:val="1"/>
      <w:numFmt w:val="lowerLetter"/>
      <w:lvlText w:val="%8)"/>
      <w:lvlJc w:val="left"/>
      <w:pPr>
        <w:tabs>
          <w:tab w:val="left" w:pos="3500"/>
        </w:tabs>
        <w:ind w:left="3500" w:hanging="420"/>
      </w:pPr>
      <w:rPr>
        <w:rFonts w:cs="Times New Roman"/>
      </w:rPr>
    </w:lvl>
    <w:lvl w:ilvl="8" w:tentative="0">
      <w:start w:val="1"/>
      <w:numFmt w:val="lowerRoman"/>
      <w:lvlText w:val="%9."/>
      <w:lvlJc w:val="right"/>
      <w:pPr>
        <w:tabs>
          <w:tab w:val="left" w:pos="3920"/>
        </w:tabs>
        <w:ind w:left="3920" w:hanging="420"/>
      </w:pPr>
      <w:rPr>
        <w:rFonts w:cs="Times New Roman"/>
      </w:rPr>
    </w:lvl>
  </w:abstractNum>
  <w:abstractNum w:abstractNumId="4">
    <w:nsid w:val="3D9122D1"/>
    <w:multiLevelType w:val="multilevel"/>
    <w:tmpl w:val="3D9122D1"/>
    <w:lvl w:ilvl="0" w:tentative="0">
      <w:start w:val="1"/>
      <w:numFmt w:val="decimal"/>
      <w:lvlText w:val="（%1）"/>
      <w:lvlJc w:val="left"/>
      <w:pPr>
        <w:tabs>
          <w:tab w:val="left" w:pos="860"/>
        </w:tabs>
        <w:ind w:left="860" w:hanging="720"/>
      </w:pPr>
      <w:rPr>
        <w:rFonts w:hint="default" w:cs="Times New Roman"/>
      </w:rPr>
    </w:lvl>
    <w:lvl w:ilvl="1" w:tentative="0">
      <w:start w:val="1"/>
      <w:numFmt w:val="decimal"/>
      <w:lvlText w:val="（%2）"/>
      <w:lvlJc w:val="center"/>
      <w:pPr>
        <w:tabs>
          <w:tab w:val="left" w:pos="960"/>
        </w:tabs>
        <w:ind w:left="960" w:hanging="420"/>
      </w:pPr>
      <w:rPr>
        <w:rFonts w:hint="eastAsia" w:cs="Times New Roman"/>
      </w:rPr>
    </w:lvl>
    <w:lvl w:ilvl="2" w:tentative="0">
      <w:start w:val="1"/>
      <w:numFmt w:val="decimal"/>
      <w:lvlText w:val="（%3）"/>
      <w:lvlJc w:val="left"/>
      <w:pPr>
        <w:tabs>
          <w:tab w:val="left" w:pos="1700"/>
        </w:tabs>
        <w:ind w:left="1700" w:hanging="720"/>
      </w:pPr>
      <w:rPr>
        <w:rFonts w:hint="default" w:cs="Times New Roman"/>
      </w:rPr>
    </w:lvl>
    <w:lvl w:ilvl="3" w:tentative="0">
      <w:start w:val="1"/>
      <w:numFmt w:val="decimal"/>
      <w:lvlText w:val="%4."/>
      <w:lvlJc w:val="left"/>
      <w:pPr>
        <w:tabs>
          <w:tab w:val="left" w:pos="1820"/>
        </w:tabs>
        <w:ind w:left="1820" w:hanging="420"/>
      </w:pPr>
      <w:rPr>
        <w:rFonts w:cs="Times New Roman"/>
      </w:rPr>
    </w:lvl>
    <w:lvl w:ilvl="4" w:tentative="0">
      <w:start w:val="1"/>
      <w:numFmt w:val="lowerLetter"/>
      <w:lvlText w:val="%5)"/>
      <w:lvlJc w:val="left"/>
      <w:pPr>
        <w:tabs>
          <w:tab w:val="left" w:pos="2240"/>
        </w:tabs>
        <w:ind w:left="2240" w:hanging="420"/>
      </w:pPr>
      <w:rPr>
        <w:rFonts w:cs="Times New Roman"/>
      </w:rPr>
    </w:lvl>
    <w:lvl w:ilvl="5" w:tentative="0">
      <w:start w:val="1"/>
      <w:numFmt w:val="lowerRoman"/>
      <w:lvlText w:val="%6."/>
      <w:lvlJc w:val="right"/>
      <w:pPr>
        <w:tabs>
          <w:tab w:val="left" w:pos="2660"/>
        </w:tabs>
        <w:ind w:left="2660" w:hanging="420"/>
      </w:pPr>
      <w:rPr>
        <w:rFonts w:cs="Times New Roman"/>
      </w:rPr>
    </w:lvl>
    <w:lvl w:ilvl="6" w:tentative="0">
      <w:start w:val="1"/>
      <w:numFmt w:val="decimal"/>
      <w:lvlText w:val="%7."/>
      <w:lvlJc w:val="left"/>
      <w:pPr>
        <w:tabs>
          <w:tab w:val="left" w:pos="3080"/>
        </w:tabs>
        <w:ind w:left="3080" w:hanging="420"/>
      </w:pPr>
      <w:rPr>
        <w:rFonts w:cs="Times New Roman"/>
      </w:rPr>
    </w:lvl>
    <w:lvl w:ilvl="7" w:tentative="0">
      <w:start w:val="1"/>
      <w:numFmt w:val="lowerLetter"/>
      <w:lvlText w:val="%8)"/>
      <w:lvlJc w:val="left"/>
      <w:pPr>
        <w:tabs>
          <w:tab w:val="left" w:pos="3500"/>
        </w:tabs>
        <w:ind w:left="3500" w:hanging="420"/>
      </w:pPr>
      <w:rPr>
        <w:rFonts w:cs="Times New Roman"/>
      </w:rPr>
    </w:lvl>
    <w:lvl w:ilvl="8" w:tentative="0">
      <w:start w:val="1"/>
      <w:numFmt w:val="lowerRoman"/>
      <w:lvlText w:val="%9."/>
      <w:lvlJc w:val="right"/>
      <w:pPr>
        <w:tabs>
          <w:tab w:val="left" w:pos="3920"/>
        </w:tabs>
        <w:ind w:left="3920" w:hanging="420"/>
      </w:pPr>
      <w:rPr>
        <w:rFonts w:cs="Times New Roman"/>
      </w:rPr>
    </w:lvl>
  </w:abstractNum>
  <w:abstractNum w:abstractNumId="5">
    <w:nsid w:val="40862515"/>
    <w:multiLevelType w:val="multilevel"/>
    <w:tmpl w:val="40862515"/>
    <w:lvl w:ilvl="0" w:tentative="0">
      <w:start w:val="1"/>
      <w:numFmt w:val="decimal"/>
      <w:lvlText w:val="（%1）"/>
      <w:lvlJc w:val="left"/>
      <w:pPr>
        <w:tabs>
          <w:tab w:val="left" w:pos="860"/>
        </w:tabs>
        <w:ind w:left="860" w:hanging="720"/>
      </w:pPr>
      <w:rPr>
        <w:rFonts w:hint="default" w:cs="Times New Roman"/>
      </w:rPr>
    </w:lvl>
    <w:lvl w:ilvl="1" w:tentative="0">
      <w:start w:val="1"/>
      <w:numFmt w:val="decimal"/>
      <w:lvlText w:val="（%2）"/>
      <w:lvlJc w:val="center"/>
      <w:pPr>
        <w:tabs>
          <w:tab w:val="left" w:pos="420"/>
        </w:tabs>
        <w:ind w:left="420" w:hanging="420"/>
      </w:pPr>
      <w:rPr>
        <w:rFonts w:hint="eastAsia" w:cs="Times New Roman"/>
      </w:rPr>
    </w:lvl>
    <w:lvl w:ilvl="2" w:tentative="0">
      <w:start w:val="1"/>
      <w:numFmt w:val="decimal"/>
      <w:lvlText w:val="（%3）"/>
      <w:lvlJc w:val="left"/>
      <w:pPr>
        <w:tabs>
          <w:tab w:val="left" w:pos="1700"/>
        </w:tabs>
        <w:ind w:left="1700" w:hanging="720"/>
      </w:pPr>
      <w:rPr>
        <w:rFonts w:hint="default" w:cs="Times New Roman"/>
      </w:rPr>
    </w:lvl>
    <w:lvl w:ilvl="3" w:tentative="0">
      <w:start w:val="1"/>
      <w:numFmt w:val="decimal"/>
      <w:lvlText w:val="%4."/>
      <w:lvlJc w:val="left"/>
      <w:pPr>
        <w:tabs>
          <w:tab w:val="left" w:pos="1820"/>
        </w:tabs>
        <w:ind w:left="1820" w:hanging="420"/>
      </w:pPr>
      <w:rPr>
        <w:rFonts w:cs="Times New Roman"/>
      </w:rPr>
    </w:lvl>
    <w:lvl w:ilvl="4" w:tentative="0">
      <w:start w:val="1"/>
      <w:numFmt w:val="lowerLetter"/>
      <w:lvlText w:val="%5)"/>
      <w:lvlJc w:val="left"/>
      <w:pPr>
        <w:tabs>
          <w:tab w:val="left" w:pos="2240"/>
        </w:tabs>
        <w:ind w:left="2240" w:hanging="420"/>
      </w:pPr>
      <w:rPr>
        <w:rFonts w:cs="Times New Roman"/>
      </w:rPr>
    </w:lvl>
    <w:lvl w:ilvl="5" w:tentative="0">
      <w:start w:val="1"/>
      <w:numFmt w:val="lowerRoman"/>
      <w:lvlText w:val="%6."/>
      <w:lvlJc w:val="right"/>
      <w:pPr>
        <w:tabs>
          <w:tab w:val="left" w:pos="2660"/>
        </w:tabs>
        <w:ind w:left="2660" w:hanging="420"/>
      </w:pPr>
      <w:rPr>
        <w:rFonts w:cs="Times New Roman"/>
      </w:rPr>
    </w:lvl>
    <w:lvl w:ilvl="6" w:tentative="0">
      <w:start w:val="1"/>
      <w:numFmt w:val="decimal"/>
      <w:lvlText w:val="%7."/>
      <w:lvlJc w:val="left"/>
      <w:pPr>
        <w:tabs>
          <w:tab w:val="left" w:pos="3080"/>
        </w:tabs>
        <w:ind w:left="3080" w:hanging="420"/>
      </w:pPr>
      <w:rPr>
        <w:rFonts w:cs="Times New Roman"/>
      </w:rPr>
    </w:lvl>
    <w:lvl w:ilvl="7" w:tentative="0">
      <w:start w:val="1"/>
      <w:numFmt w:val="lowerLetter"/>
      <w:lvlText w:val="%8)"/>
      <w:lvlJc w:val="left"/>
      <w:pPr>
        <w:tabs>
          <w:tab w:val="left" w:pos="3500"/>
        </w:tabs>
        <w:ind w:left="3500" w:hanging="420"/>
      </w:pPr>
      <w:rPr>
        <w:rFonts w:cs="Times New Roman"/>
      </w:rPr>
    </w:lvl>
    <w:lvl w:ilvl="8" w:tentative="0">
      <w:start w:val="1"/>
      <w:numFmt w:val="lowerRoman"/>
      <w:lvlText w:val="%9."/>
      <w:lvlJc w:val="right"/>
      <w:pPr>
        <w:tabs>
          <w:tab w:val="left" w:pos="3920"/>
        </w:tabs>
        <w:ind w:left="3920" w:hanging="420"/>
      </w:pPr>
      <w:rPr>
        <w:rFonts w:cs="Times New Roman"/>
      </w:rPr>
    </w:lvl>
  </w:abstractNum>
  <w:abstractNum w:abstractNumId="6">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87"/>
        </w:tabs>
        <w:ind w:left="1287"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iZjY1ZjA0NTU2OTZkMTgxOTZlZTJiNDg1YjQ2MDUifQ=="/>
  </w:docVars>
  <w:rsids>
    <w:rsidRoot w:val="7BC64749"/>
    <w:rsid w:val="000A2B29"/>
    <w:rsid w:val="000D2E73"/>
    <w:rsid w:val="00133F41"/>
    <w:rsid w:val="00213B16"/>
    <w:rsid w:val="0023197D"/>
    <w:rsid w:val="003A59BB"/>
    <w:rsid w:val="003E7E9F"/>
    <w:rsid w:val="003F0D31"/>
    <w:rsid w:val="00461A2D"/>
    <w:rsid w:val="00483267"/>
    <w:rsid w:val="00587FAC"/>
    <w:rsid w:val="005E0370"/>
    <w:rsid w:val="00603641"/>
    <w:rsid w:val="006360D1"/>
    <w:rsid w:val="006805AD"/>
    <w:rsid w:val="006D28E5"/>
    <w:rsid w:val="00726C71"/>
    <w:rsid w:val="00730F58"/>
    <w:rsid w:val="00746AE7"/>
    <w:rsid w:val="008642D2"/>
    <w:rsid w:val="008A737B"/>
    <w:rsid w:val="008D33EB"/>
    <w:rsid w:val="0091168D"/>
    <w:rsid w:val="00982908"/>
    <w:rsid w:val="00A11985"/>
    <w:rsid w:val="00A13120"/>
    <w:rsid w:val="00A91665"/>
    <w:rsid w:val="00AB4603"/>
    <w:rsid w:val="00B62FFA"/>
    <w:rsid w:val="00B74F2F"/>
    <w:rsid w:val="00B836AB"/>
    <w:rsid w:val="00BB06C3"/>
    <w:rsid w:val="00C357B0"/>
    <w:rsid w:val="00C51E19"/>
    <w:rsid w:val="00C610D6"/>
    <w:rsid w:val="00C81394"/>
    <w:rsid w:val="00CC287C"/>
    <w:rsid w:val="00CE68F0"/>
    <w:rsid w:val="00D22894"/>
    <w:rsid w:val="00D73907"/>
    <w:rsid w:val="00D770DB"/>
    <w:rsid w:val="00DF70AD"/>
    <w:rsid w:val="00E739B1"/>
    <w:rsid w:val="00EB4662"/>
    <w:rsid w:val="00ED799C"/>
    <w:rsid w:val="00F000EC"/>
    <w:rsid w:val="00F776A3"/>
    <w:rsid w:val="00FB3E87"/>
    <w:rsid w:val="00FC64D6"/>
    <w:rsid w:val="00FD7F61"/>
    <w:rsid w:val="01113DFC"/>
    <w:rsid w:val="012B4CB3"/>
    <w:rsid w:val="01E02241"/>
    <w:rsid w:val="01F856CB"/>
    <w:rsid w:val="026A68EF"/>
    <w:rsid w:val="02836000"/>
    <w:rsid w:val="02E842FB"/>
    <w:rsid w:val="03A53061"/>
    <w:rsid w:val="03DA7D9C"/>
    <w:rsid w:val="03E662B8"/>
    <w:rsid w:val="040E7C7D"/>
    <w:rsid w:val="044C30DB"/>
    <w:rsid w:val="04931074"/>
    <w:rsid w:val="04F54549"/>
    <w:rsid w:val="05240C70"/>
    <w:rsid w:val="059F7688"/>
    <w:rsid w:val="05E37DFA"/>
    <w:rsid w:val="06056E0E"/>
    <w:rsid w:val="060B68AE"/>
    <w:rsid w:val="06652584"/>
    <w:rsid w:val="069626C0"/>
    <w:rsid w:val="06C344A9"/>
    <w:rsid w:val="07317DAC"/>
    <w:rsid w:val="07672E32"/>
    <w:rsid w:val="07822821"/>
    <w:rsid w:val="07D91564"/>
    <w:rsid w:val="07F84F6D"/>
    <w:rsid w:val="083F21AC"/>
    <w:rsid w:val="086263B7"/>
    <w:rsid w:val="097E5022"/>
    <w:rsid w:val="099A7CF6"/>
    <w:rsid w:val="09D738D5"/>
    <w:rsid w:val="0A6C54AB"/>
    <w:rsid w:val="0A6E0F98"/>
    <w:rsid w:val="0A9A1761"/>
    <w:rsid w:val="0B1B037F"/>
    <w:rsid w:val="0B2E6161"/>
    <w:rsid w:val="0B5C443F"/>
    <w:rsid w:val="0B5F56D3"/>
    <w:rsid w:val="0B7F35F5"/>
    <w:rsid w:val="0BA1435B"/>
    <w:rsid w:val="0BA7684E"/>
    <w:rsid w:val="0BBC2E75"/>
    <w:rsid w:val="0BDE4480"/>
    <w:rsid w:val="0C321AB7"/>
    <w:rsid w:val="0C3748C6"/>
    <w:rsid w:val="0D6E1A82"/>
    <w:rsid w:val="0DD4258A"/>
    <w:rsid w:val="0E273544"/>
    <w:rsid w:val="0E464D10"/>
    <w:rsid w:val="0E4C55E0"/>
    <w:rsid w:val="0EB50614"/>
    <w:rsid w:val="0ED85BBB"/>
    <w:rsid w:val="0EF21A7F"/>
    <w:rsid w:val="0F235DA6"/>
    <w:rsid w:val="0F4A5F26"/>
    <w:rsid w:val="0F686A6A"/>
    <w:rsid w:val="0F7963EB"/>
    <w:rsid w:val="0F991C1D"/>
    <w:rsid w:val="10047223"/>
    <w:rsid w:val="100B65C3"/>
    <w:rsid w:val="101E2C72"/>
    <w:rsid w:val="103B7874"/>
    <w:rsid w:val="117B0DC9"/>
    <w:rsid w:val="11A5087B"/>
    <w:rsid w:val="11D52D64"/>
    <w:rsid w:val="11E32559"/>
    <w:rsid w:val="123A4CD0"/>
    <w:rsid w:val="128B3251"/>
    <w:rsid w:val="12A50824"/>
    <w:rsid w:val="12A53A4D"/>
    <w:rsid w:val="12C55AE3"/>
    <w:rsid w:val="13595D8E"/>
    <w:rsid w:val="136A2598"/>
    <w:rsid w:val="13EF12DA"/>
    <w:rsid w:val="140757B8"/>
    <w:rsid w:val="14083A58"/>
    <w:rsid w:val="141C7D0F"/>
    <w:rsid w:val="14433D5E"/>
    <w:rsid w:val="14590608"/>
    <w:rsid w:val="145B4370"/>
    <w:rsid w:val="14622C2D"/>
    <w:rsid w:val="14864365"/>
    <w:rsid w:val="156D5F4F"/>
    <w:rsid w:val="159070DF"/>
    <w:rsid w:val="1606277F"/>
    <w:rsid w:val="16483A8C"/>
    <w:rsid w:val="16541E4F"/>
    <w:rsid w:val="16CD0165"/>
    <w:rsid w:val="16FA5F9B"/>
    <w:rsid w:val="17346822"/>
    <w:rsid w:val="173A6D03"/>
    <w:rsid w:val="17650255"/>
    <w:rsid w:val="17651B1F"/>
    <w:rsid w:val="185416D7"/>
    <w:rsid w:val="18886EAC"/>
    <w:rsid w:val="18A04E31"/>
    <w:rsid w:val="18A71A5F"/>
    <w:rsid w:val="18B56464"/>
    <w:rsid w:val="18C31452"/>
    <w:rsid w:val="19012FBA"/>
    <w:rsid w:val="19505AA5"/>
    <w:rsid w:val="195F7967"/>
    <w:rsid w:val="197548F3"/>
    <w:rsid w:val="199A7FE8"/>
    <w:rsid w:val="19A338CF"/>
    <w:rsid w:val="19B36B33"/>
    <w:rsid w:val="1A1D21A7"/>
    <w:rsid w:val="1A4D0769"/>
    <w:rsid w:val="1A6C1BBA"/>
    <w:rsid w:val="1A772F89"/>
    <w:rsid w:val="1AA841F2"/>
    <w:rsid w:val="1ACF5060"/>
    <w:rsid w:val="1AE547A3"/>
    <w:rsid w:val="1B202F3A"/>
    <w:rsid w:val="1B3E7AE6"/>
    <w:rsid w:val="1B4C6DED"/>
    <w:rsid w:val="1B5F63C4"/>
    <w:rsid w:val="1B9D2D51"/>
    <w:rsid w:val="1BBD1953"/>
    <w:rsid w:val="1BF00CC3"/>
    <w:rsid w:val="1C135627"/>
    <w:rsid w:val="1C843F04"/>
    <w:rsid w:val="1CE86826"/>
    <w:rsid w:val="1CFE432D"/>
    <w:rsid w:val="1D3D0A7B"/>
    <w:rsid w:val="1D4B5C7F"/>
    <w:rsid w:val="1D517D39"/>
    <w:rsid w:val="1D582E7C"/>
    <w:rsid w:val="1E4664CC"/>
    <w:rsid w:val="1E550D40"/>
    <w:rsid w:val="1E7C4C98"/>
    <w:rsid w:val="1E9A03AC"/>
    <w:rsid w:val="1E9C1504"/>
    <w:rsid w:val="1ED52400"/>
    <w:rsid w:val="1F1B5E97"/>
    <w:rsid w:val="1F5552AB"/>
    <w:rsid w:val="1FAB61D9"/>
    <w:rsid w:val="201B2445"/>
    <w:rsid w:val="21284E8D"/>
    <w:rsid w:val="221E443F"/>
    <w:rsid w:val="224E71E2"/>
    <w:rsid w:val="224F60D9"/>
    <w:rsid w:val="227E3AA4"/>
    <w:rsid w:val="22D65ECE"/>
    <w:rsid w:val="22EB7F0A"/>
    <w:rsid w:val="2337559D"/>
    <w:rsid w:val="23B37723"/>
    <w:rsid w:val="23B61074"/>
    <w:rsid w:val="24561BC9"/>
    <w:rsid w:val="246F4B05"/>
    <w:rsid w:val="2487432D"/>
    <w:rsid w:val="24D30A54"/>
    <w:rsid w:val="250730EE"/>
    <w:rsid w:val="25603438"/>
    <w:rsid w:val="25906020"/>
    <w:rsid w:val="25BA2EF7"/>
    <w:rsid w:val="2612270E"/>
    <w:rsid w:val="2681754F"/>
    <w:rsid w:val="26AC7261"/>
    <w:rsid w:val="28183E61"/>
    <w:rsid w:val="281B28D5"/>
    <w:rsid w:val="28A15E61"/>
    <w:rsid w:val="28A56BAE"/>
    <w:rsid w:val="28CC298C"/>
    <w:rsid w:val="29B657F1"/>
    <w:rsid w:val="29DF4E41"/>
    <w:rsid w:val="2A3D0B4D"/>
    <w:rsid w:val="2A6F4280"/>
    <w:rsid w:val="2A796838"/>
    <w:rsid w:val="2AD636A4"/>
    <w:rsid w:val="2B097D25"/>
    <w:rsid w:val="2B1971F4"/>
    <w:rsid w:val="2C42032C"/>
    <w:rsid w:val="2CC5698D"/>
    <w:rsid w:val="2CC63DB3"/>
    <w:rsid w:val="2CF24B0D"/>
    <w:rsid w:val="2D641E53"/>
    <w:rsid w:val="2E02695B"/>
    <w:rsid w:val="2E20461D"/>
    <w:rsid w:val="2E5161D8"/>
    <w:rsid w:val="2ED211A8"/>
    <w:rsid w:val="2FDE35CE"/>
    <w:rsid w:val="306A6ED8"/>
    <w:rsid w:val="30DB713D"/>
    <w:rsid w:val="30DC354D"/>
    <w:rsid w:val="30E63F6D"/>
    <w:rsid w:val="30F97EE6"/>
    <w:rsid w:val="31490093"/>
    <w:rsid w:val="318F26FC"/>
    <w:rsid w:val="31C82475"/>
    <w:rsid w:val="3335402A"/>
    <w:rsid w:val="33835F12"/>
    <w:rsid w:val="33A45521"/>
    <w:rsid w:val="342A021E"/>
    <w:rsid w:val="34567C35"/>
    <w:rsid w:val="34810689"/>
    <w:rsid w:val="35340BBD"/>
    <w:rsid w:val="35F23C67"/>
    <w:rsid w:val="364211AB"/>
    <w:rsid w:val="367F4D3A"/>
    <w:rsid w:val="369617F4"/>
    <w:rsid w:val="36DD5186"/>
    <w:rsid w:val="36F76BEF"/>
    <w:rsid w:val="37431CEA"/>
    <w:rsid w:val="37495343"/>
    <w:rsid w:val="37697BFE"/>
    <w:rsid w:val="376F32F4"/>
    <w:rsid w:val="37D674C1"/>
    <w:rsid w:val="37D93679"/>
    <w:rsid w:val="37F26D43"/>
    <w:rsid w:val="38321FE3"/>
    <w:rsid w:val="38682718"/>
    <w:rsid w:val="390C02DA"/>
    <w:rsid w:val="39101AD9"/>
    <w:rsid w:val="39931E29"/>
    <w:rsid w:val="3ABE76FF"/>
    <w:rsid w:val="3AEE2345"/>
    <w:rsid w:val="3B384257"/>
    <w:rsid w:val="3B4268ED"/>
    <w:rsid w:val="3BEB6587"/>
    <w:rsid w:val="3C4F6D14"/>
    <w:rsid w:val="3DF47FE2"/>
    <w:rsid w:val="3DF668D6"/>
    <w:rsid w:val="3E081535"/>
    <w:rsid w:val="3E7A1E90"/>
    <w:rsid w:val="3F470313"/>
    <w:rsid w:val="3F5339F7"/>
    <w:rsid w:val="40EF1D9D"/>
    <w:rsid w:val="40F203B9"/>
    <w:rsid w:val="415558EA"/>
    <w:rsid w:val="41854671"/>
    <w:rsid w:val="418A0B0E"/>
    <w:rsid w:val="41ED2582"/>
    <w:rsid w:val="41FE4772"/>
    <w:rsid w:val="42020675"/>
    <w:rsid w:val="42353773"/>
    <w:rsid w:val="424F7941"/>
    <w:rsid w:val="42CE6C72"/>
    <w:rsid w:val="42EA0B70"/>
    <w:rsid w:val="433A4466"/>
    <w:rsid w:val="434C24B2"/>
    <w:rsid w:val="43AF2A39"/>
    <w:rsid w:val="43CD1396"/>
    <w:rsid w:val="43FB2C37"/>
    <w:rsid w:val="4414148E"/>
    <w:rsid w:val="449520CB"/>
    <w:rsid w:val="44D31777"/>
    <w:rsid w:val="451E0440"/>
    <w:rsid w:val="456B1629"/>
    <w:rsid w:val="45D80375"/>
    <w:rsid w:val="461C034A"/>
    <w:rsid w:val="467334FD"/>
    <w:rsid w:val="46A06FE4"/>
    <w:rsid w:val="46D109F4"/>
    <w:rsid w:val="47AD28C0"/>
    <w:rsid w:val="47F96E72"/>
    <w:rsid w:val="482346BA"/>
    <w:rsid w:val="48444833"/>
    <w:rsid w:val="489E1C09"/>
    <w:rsid w:val="48BF7FB8"/>
    <w:rsid w:val="4A3B54FF"/>
    <w:rsid w:val="4A623FE2"/>
    <w:rsid w:val="4AF61B05"/>
    <w:rsid w:val="4B924189"/>
    <w:rsid w:val="4BD5459F"/>
    <w:rsid w:val="4BDA5B1A"/>
    <w:rsid w:val="4BE61BFA"/>
    <w:rsid w:val="4BEF6C4A"/>
    <w:rsid w:val="4C340816"/>
    <w:rsid w:val="4C9F6130"/>
    <w:rsid w:val="4CD6689C"/>
    <w:rsid w:val="4CEC7075"/>
    <w:rsid w:val="4CEF7E4D"/>
    <w:rsid w:val="4D00227E"/>
    <w:rsid w:val="4D8F62DC"/>
    <w:rsid w:val="4DB030CD"/>
    <w:rsid w:val="4DDB1FE5"/>
    <w:rsid w:val="4E214095"/>
    <w:rsid w:val="4E3B0143"/>
    <w:rsid w:val="4EA12869"/>
    <w:rsid w:val="4F8D4A5F"/>
    <w:rsid w:val="4FA82B31"/>
    <w:rsid w:val="4FD73961"/>
    <w:rsid w:val="4FDD6193"/>
    <w:rsid w:val="50560D4B"/>
    <w:rsid w:val="505C47F2"/>
    <w:rsid w:val="506336FA"/>
    <w:rsid w:val="508F18E3"/>
    <w:rsid w:val="51206F51"/>
    <w:rsid w:val="51282E91"/>
    <w:rsid w:val="518C7B13"/>
    <w:rsid w:val="51C9322B"/>
    <w:rsid w:val="522D39BA"/>
    <w:rsid w:val="52307D92"/>
    <w:rsid w:val="52564C3D"/>
    <w:rsid w:val="533315D0"/>
    <w:rsid w:val="5338152E"/>
    <w:rsid w:val="53454DE4"/>
    <w:rsid w:val="534E4DF4"/>
    <w:rsid w:val="536814F8"/>
    <w:rsid w:val="537109DC"/>
    <w:rsid w:val="539353B2"/>
    <w:rsid w:val="54244390"/>
    <w:rsid w:val="543C7004"/>
    <w:rsid w:val="544C4F08"/>
    <w:rsid w:val="54A47630"/>
    <w:rsid w:val="54AE40ED"/>
    <w:rsid w:val="54B235F1"/>
    <w:rsid w:val="54EA563D"/>
    <w:rsid w:val="55690D0D"/>
    <w:rsid w:val="557F72D2"/>
    <w:rsid w:val="55CC37C5"/>
    <w:rsid w:val="566A6E35"/>
    <w:rsid w:val="56BD520E"/>
    <w:rsid w:val="57042435"/>
    <w:rsid w:val="5724179A"/>
    <w:rsid w:val="578A2B3A"/>
    <w:rsid w:val="579E47C9"/>
    <w:rsid w:val="57AD6E5A"/>
    <w:rsid w:val="58CE5AB7"/>
    <w:rsid w:val="590427C9"/>
    <w:rsid w:val="59D76E70"/>
    <w:rsid w:val="59EE13E9"/>
    <w:rsid w:val="5A780B39"/>
    <w:rsid w:val="5A8146C7"/>
    <w:rsid w:val="5A9900AB"/>
    <w:rsid w:val="5ABB01DD"/>
    <w:rsid w:val="5AC073D8"/>
    <w:rsid w:val="5B062BFB"/>
    <w:rsid w:val="5B0C411D"/>
    <w:rsid w:val="5B612FFA"/>
    <w:rsid w:val="5B8C0019"/>
    <w:rsid w:val="5B962AC8"/>
    <w:rsid w:val="5BC57281"/>
    <w:rsid w:val="5BFC120D"/>
    <w:rsid w:val="5C5E35F9"/>
    <w:rsid w:val="5C963273"/>
    <w:rsid w:val="5CED3EB9"/>
    <w:rsid w:val="5CFF3C7A"/>
    <w:rsid w:val="5D4A7F9B"/>
    <w:rsid w:val="5D4D07EF"/>
    <w:rsid w:val="5D7A5993"/>
    <w:rsid w:val="5DA8420C"/>
    <w:rsid w:val="5DC56628"/>
    <w:rsid w:val="5DCF4A33"/>
    <w:rsid w:val="5E0E5217"/>
    <w:rsid w:val="5E361042"/>
    <w:rsid w:val="5E7C57FA"/>
    <w:rsid w:val="5E923F72"/>
    <w:rsid w:val="5E992225"/>
    <w:rsid w:val="5ED41D7B"/>
    <w:rsid w:val="5EFB1B2D"/>
    <w:rsid w:val="607E303D"/>
    <w:rsid w:val="608E0FDC"/>
    <w:rsid w:val="60E9197D"/>
    <w:rsid w:val="61005095"/>
    <w:rsid w:val="620E0B88"/>
    <w:rsid w:val="622C59E4"/>
    <w:rsid w:val="627A76F5"/>
    <w:rsid w:val="62D17261"/>
    <w:rsid w:val="639E66BD"/>
    <w:rsid w:val="63B01641"/>
    <w:rsid w:val="63F01F7E"/>
    <w:rsid w:val="642F1EB0"/>
    <w:rsid w:val="646808C1"/>
    <w:rsid w:val="648740E0"/>
    <w:rsid w:val="64A11955"/>
    <w:rsid w:val="64DB1E1B"/>
    <w:rsid w:val="650A2B04"/>
    <w:rsid w:val="653050A1"/>
    <w:rsid w:val="6549125C"/>
    <w:rsid w:val="656C2F32"/>
    <w:rsid w:val="65987573"/>
    <w:rsid w:val="65FB11A6"/>
    <w:rsid w:val="65FB79D3"/>
    <w:rsid w:val="662C367A"/>
    <w:rsid w:val="667B259F"/>
    <w:rsid w:val="66942F04"/>
    <w:rsid w:val="66C845E1"/>
    <w:rsid w:val="66E74B45"/>
    <w:rsid w:val="673D196D"/>
    <w:rsid w:val="680B0C1D"/>
    <w:rsid w:val="68301322"/>
    <w:rsid w:val="68915902"/>
    <w:rsid w:val="68C07818"/>
    <w:rsid w:val="68CC2A90"/>
    <w:rsid w:val="68D95BC3"/>
    <w:rsid w:val="68F077D5"/>
    <w:rsid w:val="69B6568D"/>
    <w:rsid w:val="6A5A7228"/>
    <w:rsid w:val="6A7B7F2F"/>
    <w:rsid w:val="6A841200"/>
    <w:rsid w:val="6AB87F51"/>
    <w:rsid w:val="6B2B246D"/>
    <w:rsid w:val="6C20186E"/>
    <w:rsid w:val="6C3F65A7"/>
    <w:rsid w:val="6CD32922"/>
    <w:rsid w:val="6D07471D"/>
    <w:rsid w:val="6D34026D"/>
    <w:rsid w:val="6DE472EB"/>
    <w:rsid w:val="6DF37162"/>
    <w:rsid w:val="6E3C545B"/>
    <w:rsid w:val="6E5B5D49"/>
    <w:rsid w:val="6EFC1C2C"/>
    <w:rsid w:val="701400D0"/>
    <w:rsid w:val="70687AF1"/>
    <w:rsid w:val="70B41D75"/>
    <w:rsid w:val="714402C1"/>
    <w:rsid w:val="71615C45"/>
    <w:rsid w:val="72487C9F"/>
    <w:rsid w:val="72720E84"/>
    <w:rsid w:val="72910E8F"/>
    <w:rsid w:val="72CB230D"/>
    <w:rsid w:val="73093ECE"/>
    <w:rsid w:val="732B1218"/>
    <w:rsid w:val="736340B7"/>
    <w:rsid w:val="73662157"/>
    <w:rsid w:val="73994D45"/>
    <w:rsid w:val="73AA26AC"/>
    <w:rsid w:val="7426138F"/>
    <w:rsid w:val="745A24B3"/>
    <w:rsid w:val="746513EC"/>
    <w:rsid w:val="747F58E7"/>
    <w:rsid w:val="74B45058"/>
    <w:rsid w:val="74E65054"/>
    <w:rsid w:val="759A5F7F"/>
    <w:rsid w:val="7619724D"/>
    <w:rsid w:val="76582DFD"/>
    <w:rsid w:val="76664E57"/>
    <w:rsid w:val="766F142E"/>
    <w:rsid w:val="767C66EB"/>
    <w:rsid w:val="76F50D6F"/>
    <w:rsid w:val="76F61765"/>
    <w:rsid w:val="77116EAE"/>
    <w:rsid w:val="7747473A"/>
    <w:rsid w:val="77867F17"/>
    <w:rsid w:val="779455FA"/>
    <w:rsid w:val="77A441B8"/>
    <w:rsid w:val="780E5F3D"/>
    <w:rsid w:val="78A86013"/>
    <w:rsid w:val="78AE7C12"/>
    <w:rsid w:val="794C6970"/>
    <w:rsid w:val="79B11D94"/>
    <w:rsid w:val="79B15330"/>
    <w:rsid w:val="79D21F42"/>
    <w:rsid w:val="7A011F08"/>
    <w:rsid w:val="7A2A3D65"/>
    <w:rsid w:val="7A9035F4"/>
    <w:rsid w:val="7ABA39B2"/>
    <w:rsid w:val="7BC64749"/>
    <w:rsid w:val="7C0332CF"/>
    <w:rsid w:val="7C46035A"/>
    <w:rsid w:val="7C546D1E"/>
    <w:rsid w:val="7D457ABC"/>
    <w:rsid w:val="7D500E2D"/>
    <w:rsid w:val="7D5326D0"/>
    <w:rsid w:val="7D9D4F7C"/>
    <w:rsid w:val="7DE42909"/>
    <w:rsid w:val="7E5E56B5"/>
    <w:rsid w:val="7EC804C1"/>
    <w:rsid w:val="7F4B047C"/>
    <w:rsid w:val="7F714AEA"/>
    <w:rsid w:val="7FD45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qFormat/>
    <w:uiPriority w:val="99"/>
    <w:pPr>
      <w:keepNext/>
      <w:keepLines/>
      <w:widowControl/>
      <w:spacing w:before="340" w:after="330"/>
      <w:jc w:val="left"/>
      <w:outlineLvl w:val="0"/>
    </w:pPr>
    <w:rPr>
      <w:rFonts w:ascii="宋体" w:cs="宋体"/>
      <w:kern w:val="0"/>
      <w:sz w:val="28"/>
      <w:szCs w:val="28"/>
    </w:rPr>
  </w:style>
  <w:style w:type="paragraph" w:styleId="4">
    <w:name w:val="heading 2"/>
    <w:basedOn w:val="1"/>
    <w:next w:val="1"/>
    <w:qFormat/>
    <w:uiPriority w:val="99"/>
    <w:pPr>
      <w:numPr>
        <w:ilvl w:val="1"/>
        <w:numId w:val="1"/>
      </w:numPr>
      <w:spacing w:before="260"/>
      <w:jc w:val="left"/>
      <w:outlineLvl w:val="1"/>
    </w:pPr>
    <w:rPr>
      <w:rFonts w:ascii="宋体" w:hAnsi="Arial" w:cs="宋体"/>
      <w:kern w:val="0"/>
      <w:sz w:val="28"/>
      <w:szCs w:val="28"/>
    </w:rPr>
  </w:style>
  <w:style w:type="paragraph" w:styleId="5">
    <w:name w:val="heading 3"/>
    <w:basedOn w:val="1"/>
    <w:next w:val="1"/>
    <w:qFormat/>
    <w:uiPriority w:val="99"/>
    <w:pPr>
      <w:keepNext/>
      <w:keepLines/>
      <w:widowControl/>
      <w:numPr>
        <w:ilvl w:val="2"/>
        <w:numId w:val="1"/>
      </w:numPr>
      <w:spacing w:before="260" w:after="260" w:line="416" w:lineRule="auto"/>
      <w:jc w:val="left"/>
      <w:outlineLvl w:val="2"/>
    </w:pPr>
    <w:rPr>
      <w:rFonts w:cs="Times New Roman"/>
      <w:b/>
      <w:bCs/>
      <w:kern w:val="0"/>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宋体"/>
      <w:b/>
      <w:sz w:val="28"/>
      <w:szCs w:val="20"/>
    </w:rPr>
  </w:style>
  <w:style w:type="paragraph" w:styleId="6">
    <w:name w:val="annotation text"/>
    <w:basedOn w:val="1"/>
    <w:next w:val="7"/>
    <w:qFormat/>
    <w:uiPriority w:val="0"/>
    <w:pPr>
      <w:jc w:val="left"/>
    </w:pPr>
  </w:style>
  <w:style w:type="paragraph" w:styleId="7">
    <w:name w:val="Balloon Text"/>
    <w:basedOn w:val="1"/>
    <w:unhideWhenUsed/>
    <w:qFormat/>
    <w:uiPriority w:val="99"/>
    <w:rPr>
      <w:rFonts w:ascii="Calibri" w:hAnsi="Calibri" w:cs="Times New Roman"/>
      <w:sz w:val="18"/>
      <w:szCs w:val="18"/>
    </w:rPr>
  </w:style>
  <w:style w:type="paragraph" w:styleId="8">
    <w:name w:val="Body Text"/>
    <w:basedOn w:val="1"/>
    <w:next w:val="9"/>
    <w:qFormat/>
    <w:uiPriority w:val="0"/>
    <w:pPr>
      <w:jc w:val="center"/>
    </w:pPr>
    <w:rPr>
      <w:sz w:val="7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spacing w:after="100" w:line="276" w:lineRule="auto"/>
      <w:ind w:left="440"/>
      <w:jc w:val="left"/>
    </w:pPr>
    <w:rPr>
      <w:kern w:val="0"/>
      <w:sz w:val="22"/>
      <w:szCs w:val="22"/>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639"/>
      </w:tabs>
      <w:spacing w:line="360" w:lineRule="auto"/>
      <w:ind w:left="424" w:leftChars="202" w:right="170" w:rightChars="81"/>
      <w:jc w:val="center"/>
    </w:pPr>
    <w:rPr>
      <w:rFonts w:ascii="仿宋" w:hAnsi="仿宋" w:eastAsia="仿宋" w:cs="仿宋"/>
      <w:spacing w:val="80"/>
      <w:sz w:val="24"/>
      <w:szCs w:val="24"/>
    </w:rPr>
  </w:style>
  <w:style w:type="paragraph" w:styleId="14">
    <w:name w:val="Subtitle"/>
    <w:basedOn w:val="1"/>
    <w:next w:val="1"/>
    <w:link w:val="30"/>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15">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29"/>
    <w:qFormat/>
    <w:uiPriority w:val="99"/>
    <w:pPr>
      <w:widowControl/>
      <w:spacing w:before="60" w:after="60"/>
      <w:jc w:val="center"/>
      <w:outlineLvl w:val="0"/>
    </w:pPr>
    <w:rPr>
      <w:rFonts w:ascii="Cambria" w:hAnsi="Cambria" w:cs="Cambria"/>
      <w:b/>
      <w:bCs/>
      <w:kern w:val="0"/>
      <w:sz w:val="32"/>
      <w:szCs w:val="32"/>
    </w:rPr>
  </w:style>
  <w:style w:type="paragraph" w:styleId="17">
    <w:name w:val="Body Text First Indent"/>
    <w:basedOn w:val="8"/>
    <w:unhideWhenUsed/>
    <w:qFormat/>
    <w:uiPriority w:val="0"/>
    <w:pPr>
      <w:ind w:firstLine="420" w:firstLineChars="100"/>
    </w:pPr>
    <w:rPr>
      <w:kern w:val="0"/>
      <w:sz w:val="20"/>
    </w:r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99"/>
  </w:style>
  <w:style w:type="character" w:styleId="23">
    <w:name w:val="Emphasis"/>
    <w:basedOn w:val="21"/>
    <w:qFormat/>
    <w:uiPriority w:val="0"/>
    <w:rPr>
      <w:i/>
    </w:rPr>
  </w:style>
  <w:style w:type="character" w:styleId="24">
    <w:name w:val="annotation reference"/>
    <w:basedOn w:val="21"/>
    <w:qFormat/>
    <w:uiPriority w:val="0"/>
    <w:rPr>
      <w:sz w:val="21"/>
      <w:szCs w:val="21"/>
    </w:rPr>
  </w:style>
  <w:style w:type="paragraph" w:customStyle="1" w:styleId="2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_Style 4"/>
    <w:basedOn w:val="3"/>
    <w:next w:val="1"/>
    <w:qFormat/>
    <w:uiPriority w:val="99"/>
    <w:pPr>
      <w:widowControl w:val="0"/>
      <w:spacing w:line="576" w:lineRule="auto"/>
      <w:jc w:val="both"/>
      <w:outlineLvl w:val="9"/>
    </w:pPr>
    <w:rPr>
      <w:rFonts w:ascii="Calibri" w:hAnsi="Calibri" w:cs="Calibri"/>
      <w:b/>
      <w:bCs/>
      <w:kern w:val="44"/>
      <w:sz w:val="44"/>
      <w:szCs w:val="44"/>
    </w:rPr>
  </w:style>
  <w:style w:type="paragraph" w:customStyle="1" w:styleId="27">
    <w:name w:val="p0"/>
    <w:basedOn w:val="1"/>
    <w:qFormat/>
    <w:uiPriority w:val="99"/>
    <w:pPr>
      <w:widowControl/>
    </w:pPr>
    <w:rPr>
      <w:rFonts w:cs="Times New Roman"/>
      <w:kern w:val="0"/>
    </w:rPr>
  </w:style>
  <w:style w:type="character" w:customStyle="1" w:styleId="28">
    <w:name w:val="15"/>
    <w:qFormat/>
    <w:uiPriority w:val="99"/>
    <w:rPr>
      <w:rFonts w:ascii="Times New Roman" w:hAnsi="Times New Roman" w:cs="Times New Roman"/>
      <w:color w:val="auto"/>
      <w:u w:val="none"/>
    </w:rPr>
  </w:style>
  <w:style w:type="character" w:customStyle="1" w:styleId="29">
    <w:name w:val="标题 字符"/>
    <w:link w:val="16"/>
    <w:qFormat/>
    <w:locked/>
    <w:uiPriority w:val="99"/>
    <w:rPr>
      <w:rFonts w:ascii="Cambria" w:hAnsi="Cambria" w:cs="Cambria"/>
      <w:b/>
      <w:bCs/>
      <w:kern w:val="0"/>
      <w:sz w:val="32"/>
      <w:szCs w:val="32"/>
    </w:rPr>
  </w:style>
  <w:style w:type="character" w:customStyle="1" w:styleId="30">
    <w:name w:val="副标题 字符"/>
    <w:link w:val="14"/>
    <w:qFormat/>
    <w:locked/>
    <w:uiPriority w:val="99"/>
    <w:rPr>
      <w:rFonts w:ascii="Calibri Light" w:hAnsi="Calibri Light" w:cs="Calibri Light"/>
      <w:b/>
      <w:bCs/>
      <w:kern w:val="28"/>
      <w:sz w:val="32"/>
      <w:szCs w:val="32"/>
    </w:rPr>
  </w:style>
  <w:style w:type="paragraph" w:customStyle="1" w:styleId="3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修订1"/>
    <w:hidden/>
    <w:semiHidden/>
    <w:qFormat/>
    <w:uiPriority w:val="99"/>
    <w:rPr>
      <w:rFonts w:ascii="Times New Roman" w:hAnsi="Times New Roman" w:eastAsia="宋体" w:cs="Calibri"/>
      <w:kern w:val="2"/>
      <w:sz w:val="21"/>
      <w:szCs w:val="21"/>
      <w:lang w:val="en-US" w:eastAsia="zh-CN" w:bidi="ar-SA"/>
    </w:rPr>
  </w:style>
  <w:style w:type="paragraph" w:customStyle="1" w:styleId="33">
    <w:name w:val="Body text|1"/>
    <w:basedOn w:val="1"/>
    <w:qFormat/>
    <w:uiPriority w:val="0"/>
    <w:pPr>
      <w:spacing w:line="389" w:lineRule="auto"/>
      <w:ind w:firstLine="400"/>
    </w:pPr>
    <w:rPr>
      <w:rFonts w:ascii="宋体" w:hAnsi="宋体" w:cs="宋体"/>
      <w:sz w:val="30"/>
      <w:szCs w:val="30"/>
      <w:lang w:val="zh-TW" w:eastAsia="zh-TW" w:bidi="zh-TW"/>
    </w:rPr>
  </w:style>
  <w:style w:type="character" w:customStyle="1" w:styleId="34">
    <w:name w:val="副标题 Char"/>
    <w:qFormat/>
    <w:locked/>
    <w:uiPriority w:val="99"/>
    <w:rPr>
      <w:rFonts w:ascii="Calibri Light" w:hAnsi="Calibri Light" w:cs="Calibri Light"/>
      <w:b/>
      <w:bCs/>
      <w:kern w:val="28"/>
      <w:sz w:val="32"/>
      <w:szCs w:val="32"/>
    </w:rPr>
  </w:style>
  <w:style w:type="paragraph" w:customStyle="1" w:styleId="35">
    <w:name w:val="修订2"/>
    <w:hidden/>
    <w:unhideWhenUsed/>
    <w:qFormat/>
    <w:uiPriority w:val="99"/>
    <w:rPr>
      <w:rFonts w:ascii="Times New Roman" w:hAnsi="Times New Roman" w:eastAsia="宋体" w:cs="Calibri"/>
      <w:kern w:val="2"/>
      <w:sz w:val="21"/>
      <w:szCs w:val="21"/>
      <w:lang w:val="en-US" w:eastAsia="zh-CN" w:bidi="ar-SA"/>
    </w:rPr>
  </w:style>
  <w:style w:type="paragraph" w:styleId="36">
    <w:name w:val="List Paragraph"/>
    <w:basedOn w:val="1"/>
    <w:qFormat/>
    <w:uiPriority w:val="0"/>
    <w:pPr>
      <w:ind w:firstLine="420" w:firstLineChars="200"/>
    </w:pPr>
  </w:style>
  <w:style w:type="paragraph" w:customStyle="1" w:styleId="37">
    <w:name w:val="Revision"/>
    <w:hidden/>
    <w:unhideWhenUsed/>
    <w:qFormat/>
    <w:uiPriority w:val="99"/>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19925</Words>
  <Characters>20942</Characters>
  <Lines>41</Lines>
  <Paragraphs>49</Paragraphs>
  <TotalTime>38</TotalTime>
  <ScaleCrop>false</ScaleCrop>
  <LinksUpToDate>false</LinksUpToDate>
  <CharactersWithSpaces>23791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2022-07-21T06:24:00Z</dcterms:created>
  <dc:creator>001☆</dc:creator>
  <cp:lastModifiedBy>cp</cp:lastModifiedBy>
  <cp:lastPrinted>2022-09-06T11:05:00Z</cp:lastPrinted>
  <dcterms:modified xsi:type="dcterms:W3CDTF">2023-10-07T08:21:18Z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12A1E45B49784A2882867B213C757168_13</vt:lpwstr>
  </property>
</Properties>
</file>