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Arial" w:hAnsi="Arial" w:cs="Arial"/>
          <w:color w:val="auto"/>
          <w:szCs w:val="21"/>
          <w:highlight w:val="none"/>
        </w:rPr>
      </w:pPr>
    </w:p>
    <w:p>
      <w:pPr>
        <w:spacing w:line="360" w:lineRule="auto"/>
        <w:ind w:left="359" w:leftChars="171"/>
        <w:jc w:val="left"/>
        <w:rPr>
          <w:rFonts w:ascii="Arial" w:hAnsi="Arial" w:cs="Arial"/>
          <w:b/>
          <w:bCs/>
          <w:color w:val="auto"/>
          <w:spacing w:val="40"/>
          <w:sz w:val="44"/>
          <w:szCs w:val="44"/>
          <w:highlight w:val="none"/>
        </w:rPr>
      </w:pPr>
    </w:p>
    <w:p>
      <w:pPr>
        <w:spacing w:line="360" w:lineRule="auto"/>
        <w:rPr>
          <w:rFonts w:ascii="Arial" w:hAnsi="Arial" w:cs="Arial"/>
          <w:b/>
          <w:bCs/>
          <w:color w:val="auto"/>
          <w:spacing w:val="40"/>
          <w:sz w:val="44"/>
          <w:szCs w:val="44"/>
          <w:highlight w:val="none"/>
        </w:rPr>
      </w:pPr>
    </w:p>
    <w:p>
      <w:pPr>
        <w:spacing w:line="360" w:lineRule="auto"/>
        <w:ind w:left="359" w:leftChars="171"/>
        <w:jc w:val="center"/>
        <w:rPr>
          <w:rFonts w:hint="eastAsia" w:ascii="Arial" w:hAnsi="Arial" w:eastAsia="宋体" w:cs="Arial"/>
          <w:b/>
          <w:bCs/>
          <w:color w:val="auto"/>
          <w:spacing w:val="40"/>
          <w:sz w:val="44"/>
          <w:szCs w:val="44"/>
          <w:highlight w:val="none"/>
          <w:lang w:eastAsia="zh-CN"/>
        </w:rPr>
      </w:pPr>
      <w:r>
        <w:rPr>
          <w:rFonts w:hint="eastAsia" w:ascii="Arial" w:hAnsi="Arial" w:cs="Arial"/>
          <w:b/>
          <w:bCs/>
          <w:color w:val="auto"/>
          <w:spacing w:val="40"/>
          <w:sz w:val="44"/>
          <w:szCs w:val="44"/>
          <w:highlight w:val="none"/>
          <w:lang w:eastAsia="zh-CN"/>
        </w:rPr>
        <w:t>槎神大道（鸦岗大道-凤凰大道）土建二标施工专业承包</w:t>
      </w:r>
    </w:p>
    <w:p>
      <w:pPr>
        <w:spacing w:line="360" w:lineRule="auto"/>
        <w:jc w:val="center"/>
        <w:rPr>
          <w:rFonts w:ascii="Arial" w:hAnsi="Arial" w:cs="Arial"/>
          <w:color w:val="auto"/>
          <w:sz w:val="36"/>
          <w:highlight w:val="none"/>
          <w:u w:val="single"/>
        </w:rPr>
      </w:pPr>
    </w:p>
    <w:p>
      <w:pPr>
        <w:spacing w:line="360" w:lineRule="auto"/>
        <w:jc w:val="center"/>
        <w:rPr>
          <w:rFonts w:ascii="Arial" w:hAnsi="Arial" w:cs="Arial"/>
          <w:b/>
          <w:bCs/>
          <w:color w:val="auto"/>
          <w:spacing w:val="26"/>
          <w:sz w:val="110"/>
          <w:szCs w:val="110"/>
          <w:highlight w:val="none"/>
        </w:rPr>
      </w:pPr>
    </w:p>
    <w:p>
      <w:pPr>
        <w:spacing w:line="360" w:lineRule="auto"/>
        <w:jc w:val="center"/>
        <w:rPr>
          <w:rFonts w:ascii="Arial" w:hAnsi="Arial" w:cs="Arial"/>
          <w:b/>
          <w:bCs/>
          <w:color w:val="auto"/>
          <w:spacing w:val="26"/>
          <w:sz w:val="110"/>
          <w:szCs w:val="110"/>
          <w:highlight w:val="none"/>
        </w:rPr>
      </w:pPr>
    </w:p>
    <w:p>
      <w:pPr>
        <w:spacing w:line="360" w:lineRule="auto"/>
        <w:jc w:val="center"/>
        <w:rPr>
          <w:rFonts w:ascii="Arial" w:hAnsi="Arial" w:cs="Arial"/>
          <w:b/>
          <w:bCs/>
          <w:color w:val="auto"/>
          <w:spacing w:val="26"/>
          <w:sz w:val="110"/>
          <w:szCs w:val="110"/>
          <w:highlight w:val="none"/>
        </w:rPr>
      </w:pPr>
      <w:r>
        <w:rPr>
          <w:rFonts w:ascii="Arial" w:hAnsi="Arial" w:cs="Arial"/>
          <w:b/>
          <w:bCs/>
          <w:color w:val="auto"/>
          <w:spacing w:val="26"/>
          <w:sz w:val="110"/>
          <w:szCs w:val="110"/>
          <w:highlight w:val="none"/>
        </w:rPr>
        <w:t>招标文件</w:t>
      </w:r>
    </w:p>
    <w:p>
      <w:pPr>
        <w:spacing w:line="360" w:lineRule="auto"/>
        <w:jc w:val="center"/>
        <w:rPr>
          <w:rFonts w:ascii="Arial" w:hAnsi="Arial" w:cs="Arial"/>
          <w:color w:val="auto"/>
          <w:sz w:val="32"/>
          <w:highlight w:val="none"/>
        </w:rPr>
      </w:pPr>
    </w:p>
    <w:p>
      <w:pPr>
        <w:spacing w:line="360" w:lineRule="auto"/>
        <w:ind w:firstLine="2560" w:firstLineChars="800"/>
        <w:rPr>
          <w:rFonts w:ascii="Arial" w:hAnsi="Arial" w:cs="Arial"/>
          <w:color w:val="auto"/>
          <w:sz w:val="32"/>
          <w:highlight w:val="none"/>
        </w:rPr>
      </w:pPr>
    </w:p>
    <w:p>
      <w:pPr>
        <w:spacing w:line="360" w:lineRule="auto"/>
        <w:rPr>
          <w:rFonts w:ascii="Arial" w:hAnsi="Arial" w:cs="Arial"/>
          <w:color w:val="auto"/>
          <w:sz w:val="52"/>
          <w:highlight w:val="none"/>
        </w:rPr>
      </w:pPr>
    </w:p>
    <w:p>
      <w:pPr>
        <w:spacing w:line="360" w:lineRule="auto"/>
        <w:rPr>
          <w:rFonts w:ascii="Arial" w:hAnsi="Arial" w:cs="Arial"/>
          <w:color w:val="auto"/>
          <w:sz w:val="52"/>
          <w:highlight w:val="none"/>
        </w:rPr>
      </w:pPr>
    </w:p>
    <w:p>
      <w:pPr>
        <w:spacing w:line="360" w:lineRule="auto"/>
        <w:ind w:firstLine="900" w:firstLineChars="300"/>
        <w:rPr>
          <w:rFonts w:hint="eastAsia" w:ascii="Arial" w:hAnsi="Arial" w:eastAsia="宋体" w:cs="Arial"/>
          <w:color w:val="auto"/>
          <w:sz w:val="30"/>
          <w:szCs w:val="30"/>
          <w:highlight w:val="none"/>
          <w:u w:val="none"/>
          <w:lang w:eastAsia="zh-CN"/>
        </w:rPr>
      </w:pPr>
      <w:r>
        <w:rPr>
          <w:rFonts w:ascii="Arial" w:hAnsi="Arial" w:cs="Arial"/>
          <w:color w:val="auto"/>
          <w:sz w:val="30"/>
          <w:szCs w:val="30"/>
          <w:highlight w:val="none"/>
          <w:u w:val="none"/>
        </w:rPr>
        <w:t>招  标 单 位：</w:t>
      </w:r>
      <w:r>
        <w:rPr>
          <w:rFonts w:hint="eastAsia" w:ascii="Arial" w:hAnsi="Arial" w:cs="Arial"/>
          <w:color w:val="auto"/>
          <w:sz w:val="30"/>
          <w:szCs w:val="30"/>
          <w:highlight w:val="none"/>
          <w:u w:val="none"/>
          <w:lang w:eastAsia="zh-CN"/>
        </w:rPr>
        <w:t>广州市广园市政建设有限公司</w:t>
      </w:r>
    </w:p>
    <w:p>
      <w:pPr>
        <w:spacing w:line="360" w:lineRule="auto"/>
        <w:ind w:firstLine="945"/>
        <w:rPr>
          <w:rFonts w:ascii="Arial" w:hAnsi="Arial" w:cs="Arial"/>
          <w:color w:val="auto"/>
          <w:sz w:val="30"/>
          <w:szCs w:val="30"/>
          <w:highlight w:val="none"/>
          <w:u w:val="none"/>
        </w:rPr>
      </w:pPr>
      <w:r>
        <w:rPr>
          <w:rFonts w:ascii="Arial" w:hAnsi="Arial" w:cs="Arial"/>
          <w:color w:val="auto"/>
          <w:sz w:val="30"/>
          <w:szCs w:val="30"/>
          <w:highlight w:val="none"/>
          <w:u w:val="none"/>
        </w:rPr>
        <w:t>招标代理单位：</w:t>
      </w:r>
      <w:r>
        <w:rPr>
          <w:rFonts w:hint="eastAsia" w:ascii="Arial" w:hAnsi="Arial" w:cs="Arial"/>
          <w:color w:val="auto"/>
          <w:sz w:val="30"/>
          <w:szCs w:val="30"/>
          <w:highlight w:val="none"/>
          <w:u w:val="none"/>
        </w:rPr>
        <w:t xml:space="preserve"> </w:t>
      </w:r>
      <w:r>
        <w:rPr>
          <w:rFonts w:hint="eastAsia" w:ascii="Arial" w:hAnsi="Arial" w:cs="Arial"/>
          <w:color w:val="auto"/>
          <w:sz w:val="30"/>
          <w:szCs w:val="30"/>
          <w:highlight w:val="none"/>
          <w:u w:val="none"/>
          <w:lang w:eastAsia="zh-CN"/>
        </w:rPr>
        <w:t>广州市广园工程技术咨询有限公司</w:t>
      </w:r>
      <w:r>
        <w:rPr>
          <w:rFonts w:hint="eastAsia" w:ascii="Arial" w:hAnsi="Arial" w:cs="Arial"/>
          <w:color w:val="auto"/>
          <w:sz w:val="30"/>
          <w:szCs w:val="30"/>
          <w:highlight w:val="none"/>
          <w:u w:val="none"/>
        </w:rPr>
        <w:t xml:space="preserve">  </w:t>
      </w:r>
    </w:p>
    <w:p>
      <w:pPr>
        <w:spacing w:line="360" w:lineRule="auto"/>
        <w:ind w:firstLine="945"/>
        <w:rPr>
          <w:rFonts w:ascii="Arial" w:hAnsi="Arial" w:cs="Arial"/>
          <w:color w:val="auto"/>
          <w:sz w:val="32"/>
          <w:highlight w:val="none"/>
          <w:u w:val="none"/>
        </w:rPr>
      </w:pPr>
      <w:r>
        <w:rPr>
          <w:rFonts w:ascii="Arial" w:hAnsi="Arial" w:cs="Arial"/>
          <w:color w:val="auto"/>
          <w:sz w:val="32"/>
          <w:highlight w:val="none"/>
          <w:u w:val="none"/>
        </w:rPr>
        <w:t>日        期：</w:t>
      </w:r>
      <w:r>
        <w:rPr>
          <w:rFonts w:hint="eastAsia" w:ascii="Arial" w:hAnsi="Arial" w:cs="Arial"/>
          <w:color w:val="auto"/>
          <w:sz w:val="32"/>
          <w:highlight w:val="none"/>
          <w:u w:val="none"/>
          <w:lang w:val="en-US" w:eastAsia="zh-CN"/>
        </w:rPr>
        <w:t>2023</w:t>
      </w:r>
      <w:r>
        <w:rPr>
          <w:rFonts w:ascii="Arial" w:hAnsi="Arial" w:cs="Arial"/>
          <w:color w:val="auto"/>
          <w:sz w:val="32"/>
          <w:highlight w:val="none"/>
          <w:u w:val="none"/>
        </w:rPr>
        <w:t xml:space="preserve"> 年</w:t>
      </w:r>
      <w:r>
        <w:rPr>
          <w:rFonts w:hint="eastAsia" w:ascii="Arial" w:hAnsi="Arial" w:cs="Arial"/>
          <w:color w:val="auto"/>
          <w:sz w:val="32"/>
          <w:highlight w:val="none"/>
          <w:u w:val="none"/>
          <w:lang w:val="en-US" w:eastAsia="zh-CN"/>
        </w:rPr>
        <w:t>10</w:t>
      </w:r>
      <w:r>
        <w:rPr>
          <w:rFonts w:ascii="Arial" w:hAnsi="Arial" w:cs="Arial"/>
          <w:color w:val="auto"/>
          <w:sz w:val="32"/>
          <w:highlight w:val="none"/>
          <w:u w:val="none"/>
        </w:rPr>
        <w:t>月</w:t>
      </w:r>
    </w:p>
    <w:p>
      <w:pPr>
        <w:jc w:val="center"/>
        <w:rPr>
          <w:rFonts w:ascii="Arial" w:hAnsi="Arial" w:cs="Arial"/>
          <w:b/>
          <w:caps/>
          <w:color w:val="auto"/>
          <w:kern w:val="0"/>
          <w:highlight w:val="none"/>
        </w:rPr>
      </w:pPr>
      <w:r>
        <w:rPr>
          <w:rStyle w:val="64"/>
          <w:rFonts w:ascii="Arial" w:hAnsi="Arial" w:cs="Arial"/>
          <w:b/>
          <w:bCs/>
          <w:color w:val="auto"/>
          <w:highlight w:val="none"/>
        </w:rPr>
        <w:br w:type="page"/>
      </w:r>
      <w:r>
        <w:rPr>
          <w:rStyle w:val="64"/>
          <w:rFonts w:ascii="Arial" w:hAnsi="Arial" w:cs="Arial"/>
          <w:b/>
          <w:bCs/>
          <w:color w:val="auto"/>
          <w:sz w:val="28"/>
          <w:szCs w:val="28"/>
          <w:highlight w:val="none"/>
        </w:rPr>
        <w:t>目录</w:t>
      </w:r>
    </w:p>
    <w:p>
      <w:pPr>
        <w:pStyle w:val="40"/>
        <w:rPr>
          <w:rFonts w:ascii="Arial" w:hAnsi="Arial" w:cs="Arial"/>
          <w:caps w:val="0"/>
          <w:color w:val="auto"/>
          <w:kern w:val="2"/>
          <w:sz w:val="21"/>
          <w:szCs w:val="22"/>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"_Toc101266278" </w:instrText>
      </w:r>
      <w:r>
        <w:rPr>
          <w:color w:val="auto"/>
          <w:highlight w:val="none"/>
        </w:rPr>
        <w:fldChar w:fldCharType="separate"/>
      </w:r>
      <w:r>
        <w:rPr>
          <w:rStyle w:val="64"/>
          <w:rFonts w:ascii="Arial" w:hAnsi="Arial" w:cs="Arial"/>
          <w:color w:val="auto"/>
          <w:highlight w:val="none"/>
        </w:rPr>
        <w:t>第一章  投标须知</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_Toc101266278 \h </w:instrText>
      </w:r>
      <w:r>
        <w:rPr>
          <w:rFonts w:ascii="Arial" w:hAnsi="Arial" w:cs="Arial"/>
          <w:color w:val="auto"/>
          <w:highlight w:val="none"/>
        </w:rPr>
        <w:fldChar w:fldCharType="separate"/>
      </w:r>
      <w:r>
        <w:rPr>
          <w:rFonts w:ascii="Arial" w:hAnsi="Arial" w:cs="Arial"/>
          <w:color w:val="auto"/>
          <w:highlight w:val="none"/>
        </w:rPr>
        <w:t>3</w:t>
      </w:r>
      <w:r>
        <w:rPr>
          <w:rFonts w:ascii="Arial" w:hAnsi="Arial" w:cs="Arial"/>
          <w:color w:val="auto"/>
          <w:highlight w:val="none"/>
        </w:rPr>
        <w:fldChar w:fldCharType="end"/>
      </w:r>
      <w:r>
        <w:rPr>
          <w:rFonts w:ascii="Arial" w:hAnsi="Arial" w:cs="Arial"/>
          <w:color w:val="auto"/>
          <w:highlight w:val="none"/>
        </w:rPr>
        <w:fldChar w:fldCharType="end"/>
      </w:r>
    </w:p>
    <w:p>
      <w:pPr>
        <w:pStyle w:val="47"/>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"_Toc101266279" </w:instrText>
      </w:r>
      <w:r>
        <w:rPr>
          <w:color w:val="auto"/>
          <w:highlight w:val="none"/>
        </w:rPr>
        <w:fldChar w:fldCharType="separate"/>
      </w:r>
      <w:r>
        <w:rPr>
          <w:rStyle w:val="64"/>
          <w:rFonts w:ascii="Arial" w:hAnsi="Arial" w:cs="Arial"/>
          <w:color w:val="auto"/>
          <w:highlight w:val="none"/>
        </w:rPr>
        <w:t>一、投标须知前附表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_Toc101266279 \h </w:instrText>
      </w:r>
      <w:r>
        <w:rPr>
          <w:rFonts w:ascii="Arial" w:hAnsi="Arial" w:cs="Arial"/>
          <w:color w:val="auto"/>
          <w:highlight w:val="none"/>
        </w:rPr>
        <w:fldChar w:fldCharType="separate"/>
      </w:r>
      <w:r>
        <w:rPr>
          <w:rFonts w:ascii="Arial" w:hAnsi="Arial" w:cs="Arial"/>
          <w:color w:val="auto"/>
          <w:highlight w:val="none"/>
        </w:rPr>
        <w:t>3</w:t>
      </w:r>
      <w:r>
        <w:rPr>
          <w:rFonts w:ascii="Arial" w:hAnsi="Arial" w:cs="Arial"/>
          <w:color w:val="auto"/>
          <w:highlight w:val="none"/>
        </w:rPr>
        <w:fldChar w:fldCharType="end"/>
      </w:r>
      <w:r>
        <w:rPr>
          <w:rFonts w:ascii="Arial" w:hAnsi="Arial" w:cs="Arial"/>
          <w:color w:val="auto"/>
          <w:highlight w:val="none"/>
        </w:rPr>
        <w:fldChar w:fldCharType="end"/>
      </w:r>
    </w:p>
    <w:p>
      <w:pPr>
        <w:pStyle w:val="47"/>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"_Toc101266280" </w:instrText>
      </w:r>
      <w:r>
        <w:rPr>
          <w:color w:val="auto"/>
          <w:highlight w:val="none"/>
        </w:rPr>
        <w:fldChar w:fldCharType="separate"/>
      </w:r>
      <w:r>
        <w:rPr>
          <w:rStyle w:val="64"/>
          <w:rFonts w:ascii="Arial" w:hAnsi="Arial" w:cs="Arial"/>
          <w:color w:val="auto"/>
          <w:highlight w:val="none"/>
        </w:rPr>
        <w:t>二、投标须知修改表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_Toc101266280 \h </w:instrText>
      </w:r>
      <w:r>
        <w:rPr>
          <w:rFonts w:ascii="Arial" w:hAnsi="Arial" w:cs="Arial"/>
          <w:color w:val="auto"/>
          <w:highlight w:val="none"/>
        </w:rPr>
        <w:fldChar w:fldCharType="separate"/>
      </w:r>
      <w:r>
        <w:rPr>
          <w:rFonts w:ascii="Arial" w:hAnsi="Arial" w:cs="Arial"/>
          <w:color w:val="auto"/>
          <w:highlight w:val="none"/>
        </w:rPr>
        <w:t>7</w:t>
      </w:r>
      <w:r>
        <w:rPr>
          <w:rFonts w:ascii="Arial" w:hAnsi="Arial" w:cs="Arial"/>
          <w:color w:val="auto"/>
          <w:highlight w:val="none"/>
        </w:rPr>
        <w:fldChar w:fldCharType="end"/>
      </w:r>
      <w:r>
        <w:rPr>
          <w:rFonts w:ascii="Arial" w:hAnsi="Arial" w:cs="Arial"/>
          <w:color w:val="auto"/>
          <w:highlight w:val="none"/>
        </w:rPr>
        <w:fldChar w:fldCharType="end"/>
      </w:r>
    </w:p>
    <w:p>
      <w:pPr>
        <w:pStyle w:val="47"/>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"_Toc101266281" </w:instrText>
      </w:r>
      <w:r>
        <w:rPr>
          <w:color w:val="auto"/>
          <w:highlight w:val="none"/>
        </w:rPr>
        <w:fldChar w:fldCharType="separate"/>
      </w:r>
      <w:r>
        <w:rPr>
          <w:rStyle w:val="64"/>
          <w:rFonts w:ascii="Arial" w:hAnsi="Arial" w:cs="Arial"/>
          <w:color w:val="auto"/>
          <w:highlight w:val="none"/>
        </w:rPr>
        <w:t>三、投标须知通用条款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_Toc101266281 \h </w:instrText>
      </w:r>
      <w:r>
        <w:rPr>
          <w:rFonts w:ascii="Arial" w:hAnsi="Arial" w:cs="Arial"/>
          <w:color w:val="auto"/>
          <w:highlight w:val="none"/>
        </w:rPr>
        <w:fldChar w:fldCharType="separate"/>
      </w:r>
      <w:r>
        <w:rPr>
          <w:rFonts w:ascii="Arial" w:hAnsi="Arial" w:cs="Arial"/>
          <w:color w:val="auto"/>
          <w:highlight w:val="none"/>
        </w:rPr>
        <w:t>19</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"_Toc101266282" </w:instrText>
      </w:r>
      <w:r>
        <w:rPr>
          <w:color w:val="auto"/>
          <w:highlight w:val="none"/>
        </w:rPr>
        <w:fldChar w:fldCharType="separate"/>
      </w:r>
      <w:r>
        <w:rPr>
          <w:rStyle w:val="64"/>
          <w:rFonts w:ascii="Arial" w:hAnsi="Arial" w:cs="Arial"/>
          <w:color w:val="auto"/>
          <w:highlight w:val="none"/>
        </w:rPr>
        <w:t>（一）总则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_Toc101266282 \h </w:instrText>
      </w:r>
      <w:r>
        <w:rPr>
          <w:rFonts w:ascii="Arial" w:hAnsi="Arial" w:cs="Arial"/>
          <w:color w:val="auto"/>
          <w:highlight w:val="none"/>
        </w:rPr>
        <w:fldChar w:fldCharType="separate"/>
      </w:r>
      <w:r>
        <w:rPr>
          <w:rFonts w:ascii="Arial" w:hAnsi="Arial" w:cs="Arial"/>
          <w:color w:val="auto"/>
          <w:highlight w:val="none"/>
        </w:rPr>
        <w:t>19</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"_Toc101266283" </w:instrText>
      </w:r>
      <w:r>
        <w:rPr>
          <w:color w:val="auto"/>
          <w:highlight w:val="none"/>
        </w:rPr>
        <w:fldChar w:fldCharType="separate"/>
      </w:r>
      <w:r>
        <w:rPr>
          <w:rStyle w:val="64"/>
          <w:rFonts w:ascii="Arial" w:hAnsi="Arial" w:cs="Arial"/>
          <w:color w:val="auto"/>
          <w:highlight w:val="none"/>
        </w:rPr>
        <w:t>（二）招标文件</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_Toc101266283 \h </w:instrText>
      </w:r>
      <w:r>
        <w:rPr>
          <w:rFonts w:ascii="Arial" w:hAnsi="Arial" w:cs="Arial"/>
          <w:color w:val="auto"/>
          <w:highlight w:val="none"/>
        </w:rPr>
        <w:fldChar w:fldCharType="separate"/>
      </w:r>
      <w:r>
        <w:rPr>
          <w:rFonts w:ascii="Arial" w:hAnsi="Arial" w:cs="Arial"/>
          <w:color w:val="auto"/>
          <w:highlight w:val="none"/>
        </w:rPr>
        <w:t>20</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"_Toc101266284" </w:instrText>
      </w:r>
      <w:r>
        <w:rPr>
          <w:color w:val="auto"/>
          <w:highlight w:val="none"/>
        </w:rPr>
        <w:fldChar w:fldCharType="separate"/>
      </w:r>
      <w:r>
        <w:rPr>
          <w:rStyle w:val="64"/>
          <w:rFonts w:ascii="Arial" w:hAnsi="Arial" w:cs="Arial"/>
          <w:color w:val="auto"/>
          <w:highlight w:val="none"/>
        </w:rPr>
        <w:t>（三）投标文件的编制</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_Toc101266284 \h </w:instrText>
      </w:r>
      <w:r>
        <w:rPr>
          <w:rFonts w:ascii="Arial" w:hAnsi="Arial" w:cs="Arial"/>
          <w:color w:val="auto"/>
          <w:highlight w:val="none"/>
        </w:rPr>
        <w:fldChar w:fldCharType="separate"/>
      </w:r>
      <w:r>
        <w:rPr>
          <w:rFonts w:ascii="Arial" w:hAnsi="Arial" w:cs="Arial"/>
          <w:color w:val="auto"/>
          <w:highlight w:val="none"/>
        </w:rPr>
        <w:t>21</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"_Toc101266285" </w:instrText>
      </w:r>
      <w:r>
        <w:rPr>
          <w:color w:val="auto"/>
          <w:highlight w:val="none"/>
        </w:rPr>
        <w:fldChar w:fldCharType="separate"/>
      </w:r>
      <w:r>
        <w:rPr>
          <w:rStyle w:val="64"/>
          <w:rFonts w:ascii="Arial" w:hAnsi="Arial" w:cs="Arial"/>
          <w:color w:val="auto"/>
          <w:highlight w:val="none"/>
        </w:rPr>
        <w:t>（四）投标文件的提交</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_Toc101266285 \h </w:instrText>
      </w:r>
      <w:r>
        <w:rPr>
          <w:rFonts w:ascii="Arial" w:hAnsi="Arial" w:cs="Arial"/>
          <w:color w:val="auto"/>
          <w:highlight w:val="none"/>
        </w:rPr>
        <w:fldChar w:fldCharType="separate"/>
      </w:r>
      <w:r>
        <w:rPr>
          <w:rFonts w:ascii="Arial" w:hAnsi="Arial" w:cs="Arial"/>
          <w:color w:val="auto"/>
          <w:highlight w:val="none"/>
        </w:rPr>
        <w:t>28</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"_Toc101266286" </w:instrText>
      </w:r>
      <w:r>
        <w:rPr>
          <w:color w:val="auto"/>
          <w:highlight w:val="none"/>
        </w:rPr>
        <w:fldChar w:fldCharType="separate"/>
      </w:r>
      <w:r>
        <w:rPr>
          <w:rStyle w:val="64"/>
          <w:rFonts w:ascii="Arial" w:hAnsi="Arial" w:cs="Arial"/>
          <w:color w:val="auto"/>
          <w:highlight w:val="none"/>
        </w:rPr>
        <w:t>（五）开标、评标、定标及合同签定</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_Toc101266286 \h </w:instrText>
      </w:r>
      <w:r>
        <w:rPr>
          <w:rFonts w:ascii="Arial" w:hAnsi="Arial" w:cs="Arial"/>
          <w:color w:val="auto"/>
          <w:highlight w:val="none"/>
        </w:rPr>
        <w:fldChar w:fldCharType="separate"/>
      </w:r>
      <w:r>
        <w:rPr>
          <w:rFonts w:ascii="Arial" w:hAnsi="Arial" w:cs="Arial"/>
          <w:color w:val="auto"/>
          <w:highlight w:val="none"/>
        </w:rPr>
        <w:t>29</w:t>
      </w:r>
      <w:r>
        <w:rPr>
          <w:rFonts w:ascii="Arial" w:hAnsi="Arial" w:cs="Arial"/>
          <w:color w:val="auto"/>
          <w:highlight w:val="none"/>
        </w:rPr>
        <w:fldChar w:fldCharType="end"/>
      </w:r>
      <w:r>
        <w:rPr>
          <w:rFonts w:ascii="Arial" w:hAnsi="Arial" w:cs="Arial"/>
          <w:color w:val="auto"/>
          <w:highlight w:val="none"/>
        </w:rPr>
        <w:fldChar w:fldCharType="end"/>
      </w:r>
    </w:p>
    <w:p>
      <w:pPr>
        <w:pStyle w:val="40"/>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"_Toc101266287" </w:instrText>
      </w:r>
      <w:r>
        <w:rPr>
          <w:color w:val="auto"/>
          <w:highlight w:val="none"/>
        </w:rPr>
        <w:fldChar w:fldCharType="separate"/>
      </w:r>
      <w:r>
        <w:rPr>
          <w:rStyle w:val="64"/>
          <w:rFonts w:ascii="Arial" w:hAnsi="Arial" w:cs="Arial"/>
          <w:color w:val="auto"/>
          <w:highlight w:val="none"/>
        </w:rPr>
        <w:t>第二章  开标、评标及定标办法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_Toc101266287 \h </w:instrText>
      </w:r>
      <w:r>
        <w:rPr>
          <w:rFonts w:ascii="Arial" w:hAnsi="Arial" w:cs="Arial"/>
          <w:color w:val="auto"/>
          <w:highlight w:val="none"/>
        </w:rPr>
        <w:fldChar w:fldCharType="separate"/>
      </w:r>
      <w:r>
        <w:rPr>
          <w:rFonts w:ascii="Arial" w:hAnsi="Arial" w:cs="Arial"/>
          <w:color w:val="auto"/>
          <w:highlight w:val="none"/>
        </w:rPr>
        <w:t>32</w:t>
      </w:r>
      <w:r>
        <w:rPr>
          <w:rFonts w:ascii="Arial" w:hAnsi="Arial" w:cs="Arial"/>
          <w:color w:val="auto"/>
          <w:highlight w:val="none"/>
        </w:rPr>
        <w:fldChar w:fldCharType="end"/>
      </w:r>
      <w:r>
        <w:rPr>
          <w:rFonts w:ascii="Arial" w:hAnsi="Arial" w:cs="Arial"/>
          <w:color w:val="auto"/>
          <w:highlight w:val="none"/>
        </w:rPr>
        <w:fldChar w:fldCharType="end"/>
      </w:r>
    </w:p>
    <w:p>
      <w:pPr>
        <w:pStyle w:val="47"/>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"_Toc101266288" </w:instrText>
      </w:r>
      <w:r>
        <w:rPr>
          <w:color w:val="auto"/>
          <w:highlight w:val="none"/>
        </w:rPr>
        <w:fldChar w:fldCharType="separate"/>
      </w:r>
      <w:r>
        <w:rPr>
          <w:rStyle w:val="64"/>
          <w:rFonts w:ascii="Arial" w:hAnsi="Arial" w:cs="Arial"/>
          <w:color w:val="auto"/>
          <w:highlight w:val="none"/>
        </w:rPr>
        <w:t>一、开标、评标及定标办法修改表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_Toc101266288 \h </w:instrText>
      </w:r>
      <w:r>
        <w:rPr>
          <w:rFonts w:ascii="Arial" w:hAnsi="Arial" w:cs="Arial"/>
          <w:color w:val="auto"/>
          <w:highlight w:val="none"/>
        </w:rPr>
        <w:fldChar w:fldCharType="separate"/>
      </w:r>
      <w:r>
        <w:rPr>
          <w:rFonts w:ascii="Arial" w:hAnsi="Arial" w:cs="Arial"/>
          <w:color w:val="auto"/>
          <w:highlight w:val="none"/>
        </w:rPr>
        <w:t>32</w:t>
      </w:r>
      <w:r>
        <w:rPr>
          <w:rFonts w:ascii="Arial" w:hAnsi="Arial" w:cs="Arial"/>
          <w:color w:val="auto"/>
          <w:highlight w:val="none"/>
        </w:rPr>
        <w:fldChar w:fldCharType="end"/>
      </w:r>
      <w:r>
        <w:rPr>
          <w:rFonts w:ascii="Arial" w:hAnsi="Arial" w:cs="Arial"/>
          <w:color w:val="auto"/>
          <w:highlight w:val="none"/>
        </w:rPr>
        <w:fldChar w:fldCharType="end"/>
      </w:r>
    </w:p>
    <w:p>
      <w:pPr>
        <w:pStyle w:val="47"/>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"_Toc101266289" </w:instrText>
      </w:r>
      <w:r>
        <w:rPr>
          <w:color w:val="auto"/>
          <w:highlight w:val="none"/>
        </w:rPr>
        <w:fldChar w:fldCharType="separate"/>
      </w:r>
      <w:r>
        <w:rPr>
          <w:rStyle w:val="64"/>
          <w:rFonts w:ascii="Arial" w:hAnsi="Arial" w:cs="Arial"/>
          <w:color w:val="auto"/>
          <w:highlight w:val="none"/>
        </w:rPr>
        <w:t>二、开标、评标及定标办法通用条款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_Toc101266289 \h </w:instrText>
      </w:r>
      <w:r>
        <w:rPr>
          <w:rFonts w:ascii="Arial" w:hAnsi="Arial" w:cs="Arial"/>
          <w:color w:val="auto"/>
          <w:highlight w:val="none"/>
        </w:rPr>
        <w:fldChar w:fldCharType="separate"/>
      </w:r>
      <w:r>
        <w:rPr>
          <w:rFonts w:ascii="Arial" w:hAnsi="Arial" w:cs="Arial"/>
          <w:color w:val="auto"/>
          <w:highlight w:val="none"/>
        </w:rPr>
        <w:t>40</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"_Toc101266290" </w:instrText>
      </w:r>
      <w:r>
        <w:rPr>
          <w:color w:val="auto"/>
          <w:highlight w:val="none"/>
        </w:rPr>
        <w:fldChar w:fldCharType="separate"/>
      </w:r>
      <w:r>
        <w:rPr>
          <w:rStyle w:val="64"/>
          <w:rFonts w:ascii="Arial" w:hAnsi="Arial" w:cs="Arial"/>
          <w:color w:val="auto"/>
          <w:highlight w:val="none"/>
        </w:rPr>
        <w:t>（一）总则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_Toc101266290 \h </w:instrText>
      </w:r>
      <w:r>
        <w:rPr>
          <w:rFonts w:ascii="Arial" w:hAnsi="Arial" w:cs="Arial"/>
          <w:color w:val="auto"/>
          <w:highlight w:val="none"/>
        </w:rPr>
        <w:fldChar w:fldCharType="separate"/>
      </w:r>
      <w:r>
        <w:rPr>
          <w:rFonts w:ascii="Arial" w:hAnsi="Arial" w:cs="Arial"/>
          <w:color w:val="auto"/>
          <w:highlight w:val="none"/>
        </w:rPr>
        <w:t>40</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"_Toc101266291" </w:instrText>
      </w:r>
      <w:r>
        <w:rPr>
          <w:color w:val="auto"/>
          <w:highlight w:val="none"/>
        </w:rPr>
        <w:fldChar w:fldCharType="separate"/>
      </w:r>
      <w:r>
        <w:rPr>
          <w:rStyle w:val="64"/>
          <w:rFonts w:ascii="Arial" w:hAnsi="Arial" w:cs="Arial"/>
          <w:color w:val="auto"/>
          <w:highlight w:val="none"/>
        </w:rPr>
        <w:t>（二）开标评标办法程序和细则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_Toc101266291 \h </w:instrText>
      </w:r>
      <w:r>
        <w:rPr>
          <w:rFonts w:ascii="Arial" w:hAnsi="Arial" w:cs="Arial"/>
          <w:color w:val="auto"/>
          <w:highlight w:val="none"/>
        </w:rPr>
        <w:fldChar w:fldCharType="separate"/>
      </w:r>
      <w:r>
        <w:rPr>
          <w:rFonts w:ascii="Arial" w:hAnsi="Arial" w:cs="Arial"/>
          <w:color w:val="auto"/>
          <w:highlight w:val="none"/>
        </w:rPr>
        <w:t>42</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"_Toc101266292" </w:instrText>
      </w:r>
      <w:r>
        <w:rPr>
          <w:color w:val="auto"/>
          <w:highlight w:val="none"/>
        </w:rPr>
        <w:fldChar w:fldCharType="separate"/>
      </w:r>
      <w:r>
        <w:rPr>
          <w:rStyle w:val="64"/>
          <w:rFonts w:ascii="Arial" w:hAnsi="Arial" w:cs="Arial"/>
          <w:color w:val="auto"/>
          <w:highlight w:val="none"/>
        </w:rPr>
        <w:t>可选办法一（适合综合评分法一，技术标与经济标先后分别开启）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_Toc101266292 \h </w:instrText>
      </w:r>
      <w:r>
        <w:rPr>
          <w:rFonts w:ascii="Arial" w:hAnsi="Arial" w:cs="Arial"/>
          <w:color w:val="auto"/>
          <w:highlight w:val="none"/>
        </w:rPr>
        <w:fldChar w:fldCharType="separate"/>
      </w:r>
      <w:r>
        <w:rPr>
          <w:rFonts w:ascii="Arial" w:hAnsi="Arial" w:cs="Arial"/>
          <w:color w:val="auto"/>
          <w:highlight w:val="none"/>
        </w:rPr>
        <w:t>42</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"_Toc101266293" </w:instrText>
      </w:r>
      <w:r>
        <w:rPr>
          <w:color w:val="auto"/>
          <w:highlight w:val="none"/>
        </w:rPr>
        <w:fldChar w:fldCharType="separate"/>
      </w:r>
      <w:r>
        <w:rPr>
          <w:rStyle w:val="64"/>
          <w:rFonts w:ascii="Arial" w:hAnsi="Arial" w:cs="Arial"/>
          <w:color w:val="auto"/>
          <w:highlight w:val="none"/>
        </w:rPr>
        <w:t>可选办法二（适合综合评分法一，技术标与经济标同时开启）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_Toc101266293 \h </w:instrText>
      </w:r>
      <w:r>
        <w:rPr>
          <w:rFonts w:ascii="Arial" w:hAnsi="Arial" w:cs="Arial"/>
          <w:color w:val="auto"/>
          <w:highlight w:val="none"/>
        </w:rPr>
        <w:fldChar w:fldCharType="separate"/>
      </w:r>
      <w:r>
        <w:rPr>
          <w:rFonts w:ascii="Arial" w:hAnsi="Arial" w:cs="Arial"/>
          <w:color w:val="auto"/>
          <w:highlight w:val="none"/>
        </w:rPr>
        <w:t>47</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"_Toc101266294" </w:instrText>
      </w:r>
      <w:r>
        <w:rPr>
          <w:color w:val="auto"/>
          <w:highlight w:val="none"/>
        </w:rPr>
        <w:fldChar w:fldCharType="separate"/>
      </w:r>
      <w:r>
        <w:rPr>
          <w:rStyle w:val="64"/>
          <w:rFonts w:ascii="Arial" w:hAnsi="Arial" w:cs="Arial"/>
          <w:color w:val="auto"/>
          <w:highlight w:val="none"/>
        </w:rPr>
        <w:t>可选办法三（适合综合评分法二，技术标与经济标先后分别开启）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_Toc101266294 \h </w:instrText>
      </w:r>
      <w:r>
        <w:rPr>
          <w:rFonts w:ascii="Arial" w:hAnsi="Arial" w:cs="Arial"/>
          <w:color w:val="auto"/>
          <w:highlight w:val="none"/>
        </w:rPr>
        <w:fldChar w:fldCharType="separate"/>
      </w:r>
      <w:r>
        <w:rPr>
          <w:rFonts w:ascii="Arial" w:hAnsi="Arial" w:cs="Arial"/>
          <w:color w:val="auto"/>
          <w:highlight w:val="none"/>
        </w:rPr>
        <w:t>51</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"_Toc101266295" </w:instrText>
      </w:r>
      <w:r>
        <w:rPr>
          <w:color w:val="auto"/>
          <w:highlight w:val="none"/>
        </w:rPr>
        <w:fldChar w:fldCharType="separate"/>
      </w:r>
      <w:r>
        <w:rPr>
          <w:rStyle w:val="64"/>
          <w:rFonts w:ascii="Arial" w:hAnsi="Arial" w:cs="Arial"/>
          <w:color w:val="auto"/>
          <w:highlight w:val="none"/>
        </w:rPr>
        <w:t>可选办法四（适合综合评分法二，技术标与经济标同时开启）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_Toc101266295 \h </w:instrText>
      </w:r>
      <w:r>
        <w:rPr>
          <w:rFonts w:ascii="Arial" w:hAnsi="Arial" w:cs="Arial"/>
          <w:color w:val="auto"/>
          <w:highlight w:val="none"/>
        </w:rPr>
        <w:fldChar w:fldCharType="separate"/>
      </w:r>
      <w:r>
        <w:rPr>
          <w:rFonts w:ascii="Arial" w:hAnsi="Arial" w:cs="Arial"/>
          <w:color w:val="auto"/>
          <w:highlight w:val="none"/>
        </w:rPr>
        <w:t>55</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"_Toc101266296" </w:instrText>
      </w:r>
      <w:r>
        <w:rPr>
          <w:color w:val="auto"/>
          <w:highlight w:val="none"/>
        </w:rPr>
        <w:fldChar w:fldCharType="separate"/>
      </w:r>
      <w:r>
        <w:rPr>
          <w:rStyle w:val="64"/>
          <w:rFonts w:ascii="Arial" w:hAnsi="Arial" w:cs="Arial"/>
          <w:color w:val="auto"/>
          <w:highlight w:val="none"/>
        </w:rPr>
        <w:t>可选办法五（适合综合评分法三，技术标与经济标先后分别开启）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_Toc101266296 \h </w:instrText>
      </w:r>
      <w:r>
        <w:rPr>
          <w:rFonts w:ascii="Arial" w:hAnsi="Arial" w:cs="Arial"/>
          <w:color w:val="auto"/>
          <w:highlight w:val="none"/>
        </w:rPr>
        <w:fldChar w:fldCharType="separate"/>
      </w:r>
      <w:r>
        <w:rPr>
          <w:rFonts w:ascii="Arial" w:hAnsi="Arial" w:cs="Arial"/>
          <w:color w:val="auto"/>
          <w:highlight w:val="none"/>
        </w:rPr>
        <w:t>60</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"_Toc101266297" </w:instrText>
      </w:r>
      <w:r>
        <w:rPr>
          <w:color w:val="auto"/>
          <w:highlight w:val="none"/>
        </w:rPr>
        <w:fldChar w:fldCharType="separate"/>
      </w:r>
      <w:r>
        <w:rPr>
          <w:rStyle w:val="64"/>
          <w:rFonts w:ascii="Arial" w:hAnsi="Arial" w:cs="Arial"/>
          <w:color w:val="auto"/>
          <w:highlight w:val="none"/>
        </w:rPr>
        <w:t>可选办法六（适合综合评分法三，技术标与经济标同时开启）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_Toc101266297 \h </w:instrText>
      </w:r>
      <w:r>
        <w:rPr>
          <w:rFonts w:ascii="Arial" w:hAnsi="Arial" w:cs="Arial"/>
          <w:color w:val="auto"/>
          <w:highlight w:val="none"/>
        </w:rPr>
        <w:fldChar w:fldCharType="separate"/>
      </w:r>
      <w:r>
        <w:rPr>
          <w:rFonts w:ascii="Arial" w:hAnsi="Arial" w:cs="Arial"/>
          <w:color w:val="auto"/>
          <w:highlight w:val="none"/>
        </w:rPr>
        <w:t>65</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"_Toc101266298" </w:instrText>
      </w:r>
      <w:r>
        <w:rPr>
          <w:color w:val="auto"/>
          <w:highlight w:val="none"/>
        </w:rPr>
        <w:fldChar w:fldCharType="separate"/>
      </w:r>
      <w:r>
        <w:rPr>
          <w:rStyle w:val="64"/>
          <w:rFonts w:ascii="Arial" w:hAnsi="Arial" w:cs="Arial"/>
          <w:color w:val="auto"/>
          <w:highlight w:val="none"/>
        </w:rPr>
        <w:t>可选办法七（适合综合评分法四，技术标与经济标同时开启）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_Toc101266298 \h </w:instrText>
      </w:r>
      <w:r>
        <w:rPr>
          <w:rFonts w:ascii="Arial" w:hAnsi="Arial" w:cs="Arial"/>
          <w:color w:val="auto"/>
          <w:highlight w:val="none"/>
        </w:rPr>
        <w:fldChar w:fldCharType="separate"/>
      </w:r>
      <w:r>
        <w:rPr>
          <w:rFonts w:ascii="Arial" w:hAnsi="Arial" w:cs="Arial"/>
          <w:color w:val="auto"/>
          <w:highlight w:val="none"/>
        </w:rPr>
        <w:t>69</w:t>
      </w:r>
      <w:r>
        <w:rPr>
          <w:rFonts w:ascii="Arial" w:hAnsi="Arial" w:cs="Arial"/>
          <w:color w:val="auto"/>
          <w:highlight w:val="none"/>
        </w:rPr>
        <w:fldChar w:fldCharType="end"/>
      </w:r>
      <w:r>
        <w:rPr>
          <w:rFonts w:ascii="Arial" w:hAnsi="Arial" w:cs="Arial"/>
          <w:color w:val="auto"/>
          <w:highlight w:val="none"/>
        </w:rPr>
        <w:fldChar w:fldCharType="end"/>
      </w:r>
    </w:p>
    <w:p>
      <w:pPr>
        <w:pStyle w:val="30"/>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"_Toc101266299" </w:instrText>
      </w:r>
      <w:r>
        <w:rPr>
          <w:color w:val="auto"/>
          <w:highlight w:val="none"/>
        </w:rPr>
        <w:fldChar w:fldCharType="separate"/>
      </w:r>
      <w:r>
        <w:rPr>
          <w:rStyle w:val="64"/>
          <w:rFonts w:ascii="Arial" w:hAnsi="Arial" w:cs="Arial"/>
          <w:color w:val="auto"/>
          <w:highlight w:val="none"/>
        </w:rPr>
        <w:t>可选办法八（适合经评审的最低投标价法，技术标与经济标同时开启）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_Toc101266299 \h </w:instrText>
      </w:r>
      <w:r>
        <w:rPr>
          <w:rFonts w:ascii="Arial" w:hAnsi="Arial" w:cs="Arial"/>
          <w:color w:val="auto"/>
          <w:highlight w:val="none"/>
        </w:rPr>
        <w:fldChar w:fldCharType="separate"/>
      </w:r>
      <w:r>
        <w:rPr>
          <w:rFonts w:ascii="Arial" w:hAnsi="Arial" w:cs="Arial"/>
          <w:color w:val="auto"/>
          <w:highlight w:val="none"/>
        </w:rPr>
        <w:t>74</w:t>
      </w:r>
      <w:r>
        <w:rPr>
          <w:rFonts w:ascii="Arial" w:hAnsi="Arial" w:cs="Arial"/>
          <w:color w:val="auto"/>
          <w:highlight w:val="none"/>
        </w:rPr>
        <w:fldChar w:fldCharType="end"/>
      </w:r>
      <w:r>
        <w:rPr>
          <w:rFonts w:ascii="Arial" w:hAnsi="Arial" w:cs="Arial"/>
          <w:color w:val="auto"/>
          <w:highlight w:val="none"/>
        </w:rPr>
        <w:fldChar w:fldCharType="end"/>
      </w:r>
    </w:p>
    <w:p>
      <w:pPr>
        <w:pStyle w:val="40"/>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"_Toc101266300" </w:instrText>
      </w:r>
      <w:r>
        <w:rPr>
          <w:color w:val="auto"/>
          <w:highlight w:val="none"/>
        </w:rPr>
        <w:fldChar w:fldCharType="separate"/>
      </w:r>
      <w:r>
        <w:rPr>
          <w:rStyle w:val="64"/>
          <w:rFonts w:ascii="Arial" w:hAnsi="Arial" w:cs="Arial"/>
          <w:color w:val="auto"/>
          <w:highlight w:val="none"/>
        </w:rPr>
        <w:t>第三章  合同条款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_Toc101266300 \h </w:instrText>
      </w:r>
      <w:r>
        <w:rPr>
          <w:rFonts w:ascii="Arial" w:hAnsi="Arial" w:cs="Arial"/>
          <w:color w:val="auto"/>
          <w:highlight w:val="none"/>
        </w:rPr>
        <w:fldChar w:fldCharType="separate"/>
      </w:r>
      <w:r>
        <w:rPr>
          <w:rFonts w:ascii="Arial" w:hAnsi="Arial" w:cs="Arial"/>
          <w:color w:val="auto"/>
          <w:highlight w:val="none"/>
        </w:rPr>
        <w:t>91</w:t>
      </w:r>
      <w:r>
        <w:rPr>
          <w:rFonts w:ascii="Arial" w:hAnsi="Arial" w:cs="Arial"/>
          <w:color w:val="auto"/>
          <w:highlight w:val="none"/>
        </w:rPr>
        <w:fldChar w:fldCharType="end"/>
      </w:r>
      <w:r>
        <w:rPr>
          <w:rFonts w:ascii="Arial" w:hAnsi="Arial" w:cs="Arial"/>
          <w:color w:val="auto"/>
          <w:highlight w:val="none"/>
        </w:rPr>
        <w:fldChar w:fldCharType="end"/>
      </w:r>
    </w:p>
    <w:p>
      <w:pPr>
        <w:pStyle w:val="40"/>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"_Toc101266301" </w:instrText>
      </w:r>
      <w:r>
        <w:rPr>
          <w:color w:val="auto"/>
          <w:highlight w:val="none"/>
        </w:rPr>
        <w:fldChar w:fldCharType="separate"/>
      </w:r>
      <w:r>
        <w:rPr>
          <w:rStyle w:val="64"/>
          <w:rFonts w:ascii="Arial" w:hAnsi="Arial" w:cs="Arial"/>
          <w:color w:val="auto"/>
          <w:highlight w:val="none"/>
        </w:rPr>
        <w:t>第四章  投标文件格式</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_Toc101266301 \h </w:instrText>
      </w:r>
      <w:r>
        <w:rPr>
          <w:rFonts w:ascii="Arial" w:hAnsi="Arial" w:cs="Arial"/>
          <w:color w:val="auto"/>
          <w:highlight w:val="none"/>
        </w:rPr>
        <w:fldChar w:fldCharType="separate"/>
      </w:r>
      <w:r>
        <w:rPr>
          <w:rFonts w:ascii="Arial" w:hAnsi="Arial" w:cs="Arial"/>
          <w:color w:val="auto"/>
          <w:highlight w:val="none"/>
        </w:rPr>
        <w:t>92</w:t>
      </w:r>
      <w:r>
        <w:rPr>
          <w:rFonts w:ascii="Arial" w:hAnsi="Arial" w:cs="Arial"/>
          <w:color w:val="auto"/>
          <w:highlight w:val="none"/>
        </w:rPr>
        <w:fldChar w:fldCharType="end"/>
      </w:r>
      <w:r>
        <w:rPr>
          <w:rFonts w:ascii="Arial" w:hAnsi="Arial" w:cs="Arial"/>
          <w:color w:val="auto"/>
          <w:highlight w:val="none"/>
        </w:rPr>
        <w:fldChar w:fldCharType="end"/>
      </w:r>
    </w:p>
    <w:p>
      <w:pPr>
        <w:pStyle w:val="40"/>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"_Toc101266308" </w:instrText>
      </w:r>
      <w:r>
        <w:rPr>
          <w:color w:val="auto"/>
          <w:highlight w:val="none"/>
        </w:rPr>
        <w:fldChar w:fldCharType="separate"/>
      </w:r>
      <w:r>
        <w:rPr>
          <w:rStyle w:val="64"/>
          <w:rFonts w:ascii="Arial" w:hAnsi="Arial" w:cs="Arial"/>
          <w:color w:val="auto"/>
          <w:highlight w:val="none"/>
        </w:rPr>
        <w:t>第五章  技术条件（工程建设标准）</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_Toc101266308 \h </w:instrText>
      </w:r>
      <w:r>
        <w:rPr>
          <w:rFonts w:ascii="Arial" w:hAnsi="Arial" w:cs="Arial"/>
          <w:color w:val="auto"/>
          <w:highlight w:val="none"/>
        </w:rPr>
        <w:fldChar w:fldCharType="separate"/>
      </w:r>
      <w:r>
        <w:rPr>
          <w:rFonts w:ascii="Arial" w:hAnsi="Arial" w:cs="Arial"/>
          <w:color w:val="auto"/>
          <w:highlight w:val="none"/>
        </w:rPr>
        <w:t>102</w:t>
      </w:r>
      <w:r>
        <w:rPr>
          <w:rFonts w:ascii="Arial" w:hAnsi="Arial" w:cs="Arial"/>
          <w:color w:val="auto"/>
          <w:highlight w:val="none"/>
        </w:rPr>
        <w:fldChar w:fldCharType="end"/>
      </w:r>
      <w:r>
        <w:rPr>
          <w:rFonts w:ascii="Arial" w:hAnsi="Arial" w:cs="Arial"/>
          <w:color w:val="auto"/>
          <w:highlight w:val="none"/>
        </w:rPr>
        <w:fldChar w:fldCharType="end"/>
      </w:r>
    </w:p>
    <w:p>
      <w:pPr>
        <w:pStyle w:val="40"/>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"_Toc101266309" </w:instrText>
      </w:r>
      <w:r>
        <w:rPr>
          <w:color w:val="auto"/>
          <w:highlight w:val="none"/>
        </w:rPr>
        <w:fldChar w:fldCharType="separate"/>
      </w:r>
      <w:r>
        <w:rPr>
          <w:rStyle w:val="64"/>
          <w:rFonts w:ascii="Arial" w:hAnsi="Arial" w:cs="Arial"/>
          <w:color w:val="auto"/>
          <w:highlight w:val="none"/>
        </w:rPr>
        <w:t>第六章  图纸及勘察资料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_Toc101266309 \h </w:instrText>
      </w:r>
      <w:r>
        <w:rPr>
          <w:rFonts w:ascii="Arial" w:hAnsi="Arial" w:cs="Arial"/>
          <w:color w:val="auto"/>
          <w:highlight w:val="none"/>
        </w:rPr>
        <w:fldChar w:fldCharType="separate"/>
      </w:r>
      <w:r>
        <w:rPr>
          <w:rFonts w:ascii="Arial" w:hAnsi="Arial" w:cs="Arial"/>
          <w:color w:val="auto"/>
          <w:highlight w:val="none"/>
        </w:rPr>
        <w:t>103</w:t>
      </w:r>
      <w:r>
        <w:rPr>
          <w:rFonts w:ascii="Arial" w:hAnsi="Arial" w:cs="Arial"/>
          <w:color w:val="auto"/>
          <w:highlight w:val="none"/>
        </w:rPr>
        <w:fldChar w:fldCharType="end"/>
      </w:r>
      <w:r>
        <w:rPr>
          <w:rFonts w:ascii="Arial" w:hAnsi="Arial" w:cs="Arial"/>
          <w:color w:val="auto"/>
          <w:highlight w:val="none"/>
        </w:rPr>
        <w:fldChar w:fldCharType="end"/>
      </w:r>
    </w:p>
    <w:p>
      <w:pPr>
        <w:pStyle w:val="40"/>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"_Toc101266310" </w:instrText>
      </w:r>
      <w:r>
        <w:rPr>
          <w:color w:val="auto"/>
          <w:highlight w:val="none"/>
        </w:rPr>
        <w:fldChar w:fldCharType="separate"/>
      </w:r>
      <w:r>
        <w:rPr>
          <w:rStyle w:val="64"/>
          <w:rFonts w:ascii="Arial" w:hAnsi="Arial" w:cs="Arial"/>
          <w:color w:val="auto"/>
          <w:highlight w:val="none"/>
        </w:rPr>
        <w:t>第七章  工程量清单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_Toc101266310 \h </w:instrText>
      </w:r>
      <w:r>
        <w:rPr>
          <w:rFonts w:ascii="Arial" w:hAnsi="Arial" w:cs="Arial"/>
          <w:color w:val="auto"/>
          <w:highlight w:val="none"/>
        </w:rPr>
        <w:fldChar w:fldCharType="separate"/>
      </w:r>
      <w:r>
        <w:rPr>
          <w:rFonts w:ascii="Arial" w:hAnsi="Arial" w:cs="Arial"/>
          <w:color w:val="auto"/>
          <w:highlight w:val="none"/>
        </w:rPr>
        <w:t>104</w:t>
      </w:r>
      <w:r>
        <w:rPr>
          <w:rFonts w:ascii="Arial" w:hAnsi="Arial" w:cs="Arial"/>
          <w:color w:val="auto"/>
          <w:highlight w:val="none"/>
        </w:rPr>
        <w:fldChar w:fldCharType="end"/>
      </w:r>
      <w:r>
        <w:rPr>
          <w:rFonts w:ascii="Arial" w:hAnsi="Arial" w:cs="Arial"/>
          <w:color w:val="auto"/>
          <w:highlight w:val="none"/>
        </w:rPr>
        <w:fldChar w:fldCharType="end"/>
      </w:r>
    </w:p>
    <w:p>
      <w:pPr>
        <w:pStyle w:val="40"/>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"_Toc101266311" </w:instrText>
      </w:r>
      <w:r>
        <w:rPr>
          <w:color w:val="auto"/>
          <w:highlight w:val="none"/>
        </w:rPr>
        <w:fldChar w:fldCharType="separate"/>
      </w:r>
      <w:r>
        <w:rPr>
          <w:rStyle w:val="64"/>
          <w:rFonts w:ascii="Arial" w:hAnsi="Arial" w:cs="Arial"/>
          <w:color w:val="auto"/>
          <w:highlight w:val="none"/>
        </w:rPr>
        <w:t>第八章  最高投标限价</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_Toc101266311 \h </w:instrText>
      </w:r>
      <w:r>
        <w:rPr>
          <w:rFonts w:ascii="Arial" w:hAnsi="Arial" w:cs="Arial"/>
          <w:color w:val="auto"/>
          <w:highlight w:val="none"/>
        </w:rPr>
        <w:fldChar w:fldCharType="separate"/>
      </w:r>
      <w:r>
        <w:rPr>
          <w:rFonts w:ascii="Arial" w:hAnsi="Arial" w:cs="Arial"/>
          <w:color w:val="auto"/>
          <w:highlight w:val="none"/>
        </w:rPr>
        <w:t>105</w:t>
      </w:r>
      <w:r>
        <w:rPr>
          <w:rFonts w:ascii="Arial" w:hAnsi="Arial" w:cs="Arial"/>
          <w:color w:val="auto"/>
          <w:highlight w:val="none"/>
        </w:rPr>
        <w:fldChar w:fldCharType="end"/>
      </w:r>
      <w:r>
        <w:rPr>
          <w:rFonts w:ascii="Arial" w:hAnsi="Arial" w:cs="Arial"/>
          <w:color w:val="auto"/>
          <w:highlight w:val="none"/>
        </w:rPr>
        <w:fldChar w:fldCharType="end"/>
      </w:r>
    </w:p>
    <w:p>
      <w:pPr>
        <w:pStyle w:val="2"/>
        <w:rPr>
          <w:rFonts w:cs="Arial"/>
          <w:color w:val="auto"/>
          <w:highlight w:val="none"/>
        </w:rPr>
      </w:pPr>
      <w:r>
        <w:rPr>
          <w:rFonts w:cs="Arial"/>
          <w:color w:val="auto"/>
          <w:highlight w:val="none"/>
        </w:rPr>
        <w:fldChar w:fldCharType="end"/>
      </w:r>
      <w:bookmarkStart w:id="0" w:name="_Toc2272545"/>
      <w:bookmarkStart w:id="1" w:name="_Toc101266278"/>
      <w:r>
        <w:rPr>
          <w:rFonts w:cs="Arial"/>
          <w:color w:val="auto"/>
          <w:highlight w:val="none"/>
        </w:rPr>
        <w:t>第一章  投标须知</w:t>
      </w:r>
      <w:bookmarkEnd w:id="0"/>
      <w:bookmarkEnd w:id="1"/>
    </w:p>
    <w:p>
      <w:pPr>
        <w:pStyle w:val="5"/>
        <w:rPr>
          <w:rFonts w:cs="Arial"/>
          <w:color w:val="auto"/>
          <w:highlight w:val="none"/>
        </w:rPr>
      </w:pPr>
      <w:bookmarkStart w:id="2" w:name="_Toc2272546"/>
      <w:bookmarkStart w:id="3" w:name="_Toc101266279"/>
      <w:r>
        <w:rPr>
          <w:rFonts w:cs="Arial"/>
          <w:color w:val="auto"/>
          <w:highlight w:val="none"/>
        </w:rPr>
        <w:t>一、投标须知前附表</w:t>
      </w:r>
      <w:bookmarkEnd w:id="2"/>
      <w:bookmarkEnd w:id="3"/>
    </w:p>
    <w:p>
      <w:pPr>
        <w:pStyle w:val="6"/>
        <w:spacing w:line="360" w:lineRule="auto"/>
        <w:ind w:firstLine="0"/>
        <w:rPr>
          <w:rFonts w:ascii="Arial" w:hAnsi="Arial" w:cs="Arial"/>
          <w:b/>
          <w:color w:val="auto"/>
          <w:sz w:val="24"/>
          <w:szCs w:val="24"/>
          <w:highlight w:val="none"/>
        </w:rPr>
      </w:pPr>
      <w:r>
        <w:rPr>
          <w:rFonts w:ascii="Arial" w:hAnsi="Arial" w:cs="Arial"/>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r>
              <w:rPr>
                <w:rFonts w:ascii="Arial" w:hAnsi="Arial" w:cs="Arial"/>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33"/>
              <w:ind w:firstLine="458"/>
              <w:jc w:val="center"/>
              <w:rPr>
                <w:rFonts w:ascii="Arial" w:hAnsi="Arial" w:cs="Arial"/>
                <w:color w:val="auto"/>
                <w:szCs w:val="21"/>
                <w:highlight w:val="none"/>
              </w:rPr>
            </w:pPr>
            <w:r>
              <w:rPr>
                <w:rFonts w:ascii="Arial" w:hAnsi="Arial" w:cs="Arial"/>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招标人（即发包人）：</w:t>
            </w:r>
            <w:r>
              <w:rPr>
                <w:rFonts w:hint="eastAsia" w:ascii="Arial" w:hAnsi="Arial" w:cs="Arial"/>
                <w:color w:val="auto"/>
                <w:szCs w:val="21"/>
                <w:highlight w:val="none"/>
                <w:u w:val="single"/>
                <w:lang w:eastAsia="zh-CN"/>
              </w:rPr>
              <w:t>广州市广园市政建设有限公司</w:t>
            </w:r>
            <w:r>
              <w:rPr>
                <w:rFonts w:ascii="Arial" w:hAnsi="Arial" w:cs="Arial"/>
                <w:color w:val="auto"/>
                <w:szCs w:val="21"/>
                <w:highlight w:val="none"/>
                <w:u w:val="single"/>
              </w:rPr>
              <w:t xml:space="preserve"> </w:t>
            </w:r>
          </w:p>
          <w:p>
            <w:pPr>
              <w:rPr>
                <w:rFonts w:ascii="Arial" w:hAnsi="Arial" w:cs="Arial"/>
                <w:color w:val="auto"/>
                <w:szCs w:val="21"/>
                <w:highlight w:val="none"/>
              </w:rPr>
            </w:pPr>
            <w:r>
              <w:rPr>
                <w:rFonts w:ascii="Arial" w:hAnsi="Arial" w:cs="Arial"/>
                <w:color w:val="auto"/>
                <w:szCs w:val="21"/>
                <w:highlight w:val="none"/>
              </w:rPr>
              <w:t>招标代理：</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eastAsia="zh-CN"/>
              </w:rPr>
              <w:t>广州市广园工程技术咨询有限公司</w:t>
            </w:r>
            <w:r>
              <w:rPr>
                <w:rFonts w:ascii="Arial" w:hAnsi="Arial" w:cs="Arial"/>
                <w:color w:val="auto"/>
                <w:szCs w:val="21"/>
                <w:highlight w:val="none"/>
                <w:u w:val="single"/>
              </w:rPr>
              <w:t xml:space="preserve">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设计单位：</w:t>
            </w:r>
            <w:r>
              <w:rPr>
                <w:rFonts w:hint="eastAsia" w:ascii="宋体" w:hAnsi="宋体" w:eastAsia="宋体" w:cs="宋体"/>
                <w:color w:val="auto"/>
                <w:szCs w:val="21"/>
                <w:highlight w:val="none"/>
                <w:u w:val="single"/>
              </w:rPr>
              <w:t xml:space="preserve"> 中都工程设计有限公司</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监理单位：广州市市政工程监理有限公司</w:t>
            </w:r>
          </w:p>
          <w:p>
            <w:pPr>
              <w:rPr>
                <w:rFonts w:ascii="Arial" w:hAnsi="Arial" w:cs="Arial"/>
                <w:color w:val="auto"/>
                <w:szCs w:val="21"/>
                <w:highlight w:val="none"/>
              </w:rPr>
            </w:pPr>
            <w:r>
              <w:rPr>
                <w:rFonts w:hint="eastAsia" w:ascii="宋体" w:hAnsi="宋体" w:eastAsia="宋体" w:cs="宋体"/>
                <w:color w:val="auto"/>
                <w:szCs w:val="21"/>
                <w:highlight w:val="none"/>
              </w:rPr>
              <w:t>检测机构：</w:t>
            </w:r>
            <w:r>
              <w:rPr>
                <w:rFonts w:hint="eastAsia" w:ascii="宋体" w:hAnsi="宋体" w:eastAsia="宋体" w:cs="宋体"/>
                <w:color w:val="auto"/>
                <w:szCs w:val="21"/>
                <w:highlight w:val="none"/>
                <w:u w:val="single"/>
              </w:rPr>
              <w:t xml:space="preserve">广州市市政工程设计研究总院有限公司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lang w:eastAsia="zh-CN"/>
              </w:rPr>
              <w:t>槎神大道（鸦岗大道-凤凰大道）土建二标施工专业承包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Arial" w:hAnsi="Arial" w:eastAsia="宋体" w:cs="Arial"/>
                <w:color w:val="auto"/>
                <w:szCs w:val="21"/>
                <w:highlight w:val="none"/>
                <w:u w:val="single"/>
                <w:lang w:eastAsia="zh-CN"/>
              </w:rPr>
            </w:pPr>
            <w:r>
              <w:rPr>
                <w:rFonts w:ascii="Arial" w:hAnsi="Arial" w:cs="Arial"/>
                <w:color w:val="auto"/>
                <w:szCs w:val="21"/>
                <w:highlight w:val="none"/>
                <w:u w:val="single"/>
              </w:rPr>
              <w:t>广州市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宋体" w:hAnsi="宋体" w:eastAsia="宋体" w:cs="宋体"/>
                <w:color w:val="auto"/>
                <w:szCs w:val="21"/>
                <w:highlight w:val="none"/>
                <w:u w:val="single"/>
              </w:rPr>
              <w:t>包工、包料、包设备、包工期、包质量、包安全、包文明施工包验收、包保修。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Arial" w:hAnsi="Arial" w:eastAsia="宋体" w:cs="Arial"/>
                <w:color w:val="auto"/>
                <w:szCs w:val="21"/>
                <w:highlight w:val="none"/>
                <w:u w:val="single"/>
                <w:lang w:eastAsia="zh-CN"/>
              </w:rPr>
            </w:pPr>
            <w:r>
              <w:rPr>
                <w:rFonts w:hint="eastAsia" w:ascii="Arial" w:hAnsi="Arial" w:cs="Arial"/>
                <w:color w:val="auto"/>
                <w:szCs w:val="21"/>
                <w:highlight w:val="none"/>
                <w:u w:val="single"/>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0" w:firstLineChars="0"/>
              <w:rPr>
                <w:rFonts w:ascii="Arial" w:hAnsi="Arial" w:cs="Arial"/>
                <w:color w:val="auto"/>
                <w:szCs w:val="21"/>
                <w:highlight w:val="none"/>
              </w:rPr>
            </w:pPr>
            <w:r>
              <w:rPr>
                <w:rFonts w:hint="eastAsia" w:ascii="Arial" w:hAnsi="Arial" w:cs="Arial"/>
                <w:color w:val="auto"/>
                <w:szCs w:val="21"/>
                <w:highlight w:val="none"/>
              </w:rPr>
              <w:t>开工日期具体以经批复的开工文件为准，暂定总工期</w:t>
            </w:r>
            <w:r>
              <w:rPr>
                <w:rFonts w:hint="eastAsia" w:ascii="Arial" w:hAnsi="Arial" w:cs="Arial"/>
                <w:color w:val="auto"/>
                <w:szCs w:val="21"/>
                <w:highlight w:val="none"/>
                <w:lang w:val="en-US" w:eastAsia="zh-CN"/>
              </w:rPr>
              <w:t>365</w:t>
            </w:r>
            <w:r>
              <w:rPr>
                <w:rFonts w:hint="eastAsia" w:ascii="Arial" w:hAnsi="Arial" w:cs="Arial"/>
                <w:color w:val="auto"/>
                <w:szCs w:val="21"/>
                <w:highlight w:val="none"/>
              </w:rPr>
              <w:t>日历天</w:t>
            </w:r>
            <w:r>
              <w:rPr>
                <w:rFonts w:hint="eastAsia" w:ascii="Arial" w:hAnsi="Arial" w:cs="Arial"/>
                <w:color w:val="auto"/>
                <w:szCs w:val="21"/>
                <w:highlight w:val="none"/>
                <w:lang w:eastAsia="zh-CN"/>
              </w:rPr>
              <w:t>，地铁桥桩要求进场以后2024年1月</w:t>
            </w:r>
            <w:r>
              <w:rPr>
                <w:rFonts w:hint="eastAsia" w:ascii="Arial" w:hAnsi="Arial" w:cs="Arial"/>
                <w:color w:val="auto"/>
                <w:szCs w:val="21"/>
                <w:highlight w:val="none"/>
                <w:lang w:val="en-US" w:eastAsia="zh-CN"/>
              </w:rPr>
              <w:t>底</w:t>
            </w:r>
            <w:r>
              <w:rPr>
                <w:rFonts w:hint="eastAsia" w:ascii="Arial" w:hAnsi="Arial" w:cs="Arial"/>
                <w:color w:val="auto"/>
                <w:szCs w:val="21"/>
                <w:highlight w:val="none"/>
                <w:lang w:eastAsia="zh-CN"/>
              </w:rPr>
              <w:t>前完成，剩余工作2024年年底前完成。</w:t>
            </w:r>
            <w:r>
              <w:rPr>
                <w:rFonts w:ascii="Arial" w:hAnsi="Arial" w:cs="Arial"/>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 xml:space="preserve"> 90</w:t>
            </w:r>
            <w:r>
              <w:rPr>
                <w:rFonts w:ascii="Arial" w:hAnsi="Arial" w:cs="Arial"/>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0" w:firstLineChars="0"/>
              <w:rPr>
                <w:rFonts w:hint="default" w:ascii="Arial" w:hAnsi="Arial" w:cs="Arial"/>
                <w:color w:val="auto"/>
                <w:highlight w:val="none"/>
                <w:lang w:val="en-US"/>
              </w:rPr>
            </w:pPr>
            <w:r>
              <w:rPr>
                <w:rFonts w:hint="eastAsia" w:ascii="宋体" w:hAnsi="宋体" w:cs="宋体"/>
                <w:color w:val="auto"/>
                <w:szCs w:val="21"/>
                <w:highlight w:val="none"/>
                <w:u w:val="single"/>
                <w:lang w:val="en-US" w:eastAsia="zh-CN"/>
              </w:rPr>
              <w:t>本项目不收取投标保证金，所有关于保证金内容不适用本项目。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rPr>
                <w:rFonts w:ascii="Arial" w:hAnsi="Arial" w:cs="Arial"/>
                <w:color w:val="auto"/>
                <w:szCs w:val="21"/>
                <w:highlight w:val="none"/>
              </w:rPr>
            </w:pPr>
            <w:r>
              <w:rPr>
                <w:rFonts w:ascii="Arial" w:hAnsi="Arial" w:cs="Arial"/>
                <w:color w:val="auto"/>
                <w:szCs w:val="21"/>
                <w:highlight w:val="none"/>
              </w:rPr>
              <w:t xml:space="preserve">招标人不集中组织，由投标人自行踏勘。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疑问提交时间：投标人在递交投标文件截止时间18天前提出；</w:t>
            </w:r>
          </w:p>
          <w:p>
            <w:pPr>
              <w:rPr>
                <w:rFonts w:ascii="Arial" w:hAnsi="Arial" w:cs="Arial"/>
                <w:color w:val="auto"/>
                <w:szCs w:val="21"/>
                <w:highlight w:val="none"/>
              </w:rPr>
            </w:pPr>
            <w:r>
              <w:rPr>
                <w:rFonts w:hint="eastAsia" w:ascii="Arial" w:hAnsi="Arial" w:cs="Arial"/>
                <w:color w:val="auto"/>
                <w:szCs w:val="21"/>
                <w:highlight w:val="none"/>
              </w:rPr>
              <w:t>形式：投标人的疑问通过</w:t>
            </w:r>
            <w:r>
              <w:rPr>
                <w:rFonts w:hint="eastAsia" w:ascii="宋体" w:hAnsi="宋体" w:eastAsia="宋体" w:cs="宋体"/>
                <w:bCs/>
                <w:color w:val="auto"/>
                <w:szCs w:val="21"/>
                <w:highlight w:val="none"/>
                <w:u w:val="single"/>
              </w:rPr>
              <w:t>广州交易集团有限公司（广州公共资源交易中心）</w:t>
            </w:r>
            <w:r>
              <w:rPr>
                <w:rFonts w:hint="eastAsia" w:ascii="Arial" w:hAnsi="Arial" w:cs="Arial"/>
                <w:color w:val="auto"/>
                <w:szCs w:val="21"/>
                <w:highlight w:val="none"/>
              </w:rPr>
              <w:t>网站提交。</w:t>
            </w:r>
          </w:p>
          <w:p>
            <w:pPr>
              <w:wordWrap w:val="0"/>
              <w:rPr>
                <w:rFonts w:ascii="Arial" w:hAnsi="Arial" w:cs="Arial"/>
                <w:color w:val="auto"/>
                <w:szCs w:val="21"/>
                <w:highlight w:val="none"/>
              </w:rPr>
            </w:pPr>
            <w:r>
              <w:rPr>
                <w:rFonts w:hint="eastAsia" w:ascii="Arial" w:hAnsi="Arial" w:cs="Arial"/>
                <w:color w:val="auto"/>
                <w:szCs w:val="21"/>
                <w:highlight w:val="none"/>
              </w:rPr>
              <w:t>具体要求：按照交易平台关于全流程电子化项目的相关指南进行操作，详见：【房建市政】【交易系统】【投标人】全流程电子化交易系统操作手册（http://www.gzggzy.cn/cms/wz/view/index/layout3/index.jsp?siteId=1&amp;infoId=486799&amp;channelId=942&amp;tdsourcetag=s_pcqq_aiomsg）。</w:t>
            </w:r>
          </w:p>
          <w:p>
            <w:pPr>
              <w:rPr>
                <w:rFonts w:ascii="Arial" w:hAnsi="Arial" w:cs="Arial"/>
                <w:color w:val="auto"/>
                <w:szCs w:val="21"/>
                <w:highlight w:val="none"/>
              </w:rPr>
            </w:pPr>
            <w:r>
              <w:rPr>
                <w:rFonts w:hint="eastAsia" w:ascii="Arial" w:hAnsi="Arial" w:cs="Arial"/>
                <w:color w:val="auto"/>
                <w:szCs w:val="21"/>
                <w:highlight w:val="none"/>
              </w:rPr>
              <w:t>进入到提问区域的密码为123456，提问一律不得署名。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trike/>
                <w:color w:val="auto"/>
                <w:szCs w:val="21"/>
                <w:highlight w:val="none"/>
              </w:rPr>
            </w:pP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（技术标和经济标同时开标）</w:t>
            </w:r>
          </w:p>
          <w:p>
            <w:pPr>
              <w:rPr>
                <w:rFonts w:ascii="Arial" w:hAnsi="Arial" w:cs="Arial"/>
                <w:color w:val="auto"/>
                <w:szCs w:val="21"/>
                <w:highlight w:val="none"/>
                <w:u w:val="single"/>
              </w:rPr>
            </w:pPr>
            <w:r>
              <w:rPr>
                <w:rFonts w:ascii="Arial" w:hAnsi="Arial" w:cs="Arial"/>
                <w:color w:val="auto"/>
                <w:szCs w:val="21"/>
                <w:highlight w:val="none"/>
              </w:rPr>
              <w:t>1、开标开始时间：</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w:t>
            </w:r>
            <w:r>
              <w:rPr>
                <w:rFonts w:ascii="Arial" w:hAnsi="Arial" w:cs="Arial"/>
                <w:color w:val="auto"/>
                <w:szCs w:val="21"/>
                <w:highlight w:val="none"/>
                <w:u w:val="single"/>
              </w:rPr>
              <w:t xml:space="preserve">   </w:t>
            </w:r>
            <w:r>
              <w:rPr>
                <w:rFonts w:ascii="Arial" w:hAnsi="Arial" w:cs="Arial"/>
                <w:color w:val="auto"/>
                <w:szCs w:val="21"/>
                <w:highlight w:val="none"/>
              </w:rPr>
              <w:t>分（与投标截止时间为同一时间），地点：</w:t>
            </w:r>
            <w:r>
              <w:rPr>
                <w:rFonts w:hint="eastAsia" w:ascii="宋体" w:hAnsi="宋体" w:eastAsia="宋体" w:cs="宋体"/>
                <w:bCs/>
                <w:color w:val="auto"/>
                <w:szCs w:val="21"/>
                <w:highlight w:val="none"/>
                <w:u w:val="single"/>
              </w:rPr>
              <w:t>广州交易集团有限公司（广州公共资源交易中心）</w:t>
            </w:r>
          </w:p>
          <w:p>
            <w:pPr>
              <w:wordWrap w:val="0"/>
              <w:rPr>
                <w:rFonts w:ascii="Arial" w:hAnsi="Arial" w:cs="Arial"/>
                <w:color w:val="auto"/>
                <w:szCs w:val="21"/>
                <w:highlight w:val="none"/>
              </w:rPr>
            </w:pPr>
            <w:r>
              <w:rPr>
                <w:rFonts w:ascii="Arial" w:hAnsi="Arial" w:cs="Arial"/>
                <w:color w:val="auto"/>
                <w:szCs w:val="21"/>
                <w:highlight w:val="none"/>
              </w:rPr>
              <w:t>注：</w:t>
            </w:r>
            <w:r>
              <w:rPr>
                <w:rFonts w:hint="eastAsia" w:ascii="Arial" w:hAnsi="Arial" w:cs="Arial"/>
                <w:color w:val="auto"/>
                <w:szCs w:val="21"/>
                <w:highlight w:val="none"/>
                <w:lang w:val="en-US" w:eastAsia="zh-CN"/>
              </w:rPr>
              <w:t>①投标人也可选择参加在线开标，具体按照交易平台相关指南进行操作。详见：</w:t>
            </w:r>
            <w:r>
              <w:rPr>
                <w:rFonts w:hint="eastAsia" w:ascii="Arial" w:hAnsi="Arial" w:cs="Arial"/>
                <w:color w:val="auto"/>
                <w:szCs w:val="21"/>
                <w:highlight w:val="none"/>
              </w:rPr>
              <w:t>【房建市政】【交易系统】【投标人】全流程电子化交易系统操作手册（http://www.gzggzy.cn/cms/wz/view/index/layout3/index.jsp?siteId=1&amp;infoId=486799&amp;channelId=942&amp;tdsourcetag=s_pcqq_aiomsg）</w:t>
            </w:r>
            <w:r>
              <w:rPr>
                <w:rFonts w:hint="eastAsia" w:ascii="Arial" w:hAnsi="Arial" w:cs="Arial"/>
                <w:color w:val="auto"/>
                <w:szCs w:val="21"/>
                <w:highlight w:val="none"/>
                <w:lang w:val="en-US" w:eastAsia="zh-CN"/>
              </w:rPr>
              <w:t>。</w:t>
            </w:r>
          </w:p>
          <w:p>
            <w:pP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②</w:t>
            </w:r>
            <w:r>
              <w:rPr>
                <w:rFonts w:ascii="Arial" w:hAnsi="Arial" w:cs="Arial"/>
                <w:color w:val="auto"/>
                <w:szCs w:val="21"/>
                <w:highlight w:val="none"/>
              </w:rPr>
              <w:t>投标文件解密问题。投标人只用执行一次解密，招标人执行解密次数根据招标文件开标次数确定。</w:t>
            </w:r>
          </w:p>
          <w:p>
            <w:pPr>
              <w:rPr>
                <w:rFonts w:ascii="Arial" w:hAnsi="Arial" w:cs="Arial"/>
                <w:color w:val="auto"/>
                <w:highlight w:val="none"/>
              </w:rPr>
            </w:pPr>
            <w:r>
              <w:rPr>
                <w:rFonts w:ascii="Arial" w:hAnsi="Arial" w:cs="Arial"/>
                <w:color w:val="auto"/>
                <w:szCs w:val="21"/>
                <w:highlight w:val="none"/>
              </w:rPr>
              <w:t>2、递交投标文件备用光盘时间：</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w:t>
            </w:r>
            <w:r>
              <w:rPr>
                <w:rFonts w:ascii="Arial" w:hAnsi="Arial" w:cs="Arial"/>
                <w:color w:val="auto"/>
                <w:szCs w:val="21"/>
                <w:highlight w:val="none"/>
                <w:u w:val="single"/>
              </w:rPr>
              <w:t xml:space="preserve">   </w:t>
            </w:r>
            <w:r>
              <w:rPr>
                <w:rFonts w:ascii="Arial" w:hAnsi="Arial" w:cs="Arial"/>
                <w:color w:val="auto"/>
                <w:szCs w:val="21"/>
                <w:highlight w:val="none"/>
              </w:rPr>
              <w:t>分至</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w:t>
            </w:r>
            <w:r>
              <w:rPr>
                <w:rFonts w:ascii="Arial" w:hAnsi="Arial" w:cs="Arial"/>
                <w:color w:val="auto"/>
                <w:szCs w:val="21"/>
                <w:highlight w:val="none"/>
                <w:u w:val="single"/>
              </w:rPr>
              <w:t xml:space="preserve">   </w:t>
            </w:r>
            <w:r>
              <w:rPr>
                <w:rFonts w:ascii="Arial" w:hAnsi="Arial" w:cs="Arial"/>
                <w:color w:val="auto"/>
                <w:szCs w:val="21"/>
                <w:highlight w:val="none"/>
              </w:rPr>
              <w:t>分；递交地点：</w:t>
            </w:r>
            <w:r>
              <w:rPr>
                <w:rFonts w:ascii="Arial" w:hAnsi="Arial" w:cs="Arial"/>
                <w:color w:val="auto"/>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highlight w:val="none"/>
              </w:rPr>
              <w:t>。(建议安排在投标文件截止时间前15分钟至投标文件截止时间）</w:t>
            </w:r>
          </w:p>
          <w:p>
            <w:pPr>
              <w:rPr>
                <w:rFonts w:ascii="Arial" w:hAnsi="Arial" w:cs="Arial"/>
                <w:color w:val="auto"/>
                <w:szCs w:val="21"/>
                <w:highlight w:val="none"/>
              </w:rPr>
            </w:pPr>
            <w:r>
              <w:rPr>
                <w:rFonts w:ascii="Arial" w:hAnsi="Arial" w:cs="Arial"/>
                <w:color w:val="auto"/>
                <w:szCs w:val="21"/>
                <w:highlight w:val="none"/>
              </w:rPr>
              <w:t>3、本项目不设置项目负责人签到。</w:t>
            </w:r>
          </w:p>
          <w:p>
            <w:pPr>
              <w:rPr>
                <w:rFonts w:ascii="Arial" w:hAnsi="Arial" w:cs="Arial"/>
                <w:color w:val="auto"/>
                <w:szCs w:val="21"/>
                <w:highlight w:val="none"/>
              </w:rPr>
            </w:pPr>
            <w:r>
              <w:rPr>
                <w:rFonts w:ascii="Arial" w:hAnsi="Arial" w:cs="Arial"/>
                <w:color w:val="auto"/>
                <w:highlight w:val="none"/>
              </w:rPr>
              <w:t>上述时间及地点是否有改变，请密切留意</w:t>
            </w:r>
            <w:r>
              <w:rPr>
                <w:rFonts w:hint="eastAsia" w:ascii="Arial" w:hAnsi="Arial" w:cs="Arial"/>
                <w:color w:val="auto"/>
                <w:highlight w:val="none"/>
                <w:lang w:val="en-US" w:eastAsia="zh-CN"/>
              </w:rPr>
              <w:t>补充公告和</w:t>
            </w:r>
            <w:r>
              <w:rPr>
                <w:rFonts w:ascii="Arial" w:hAnsi="Arial" w:cs="Arial"/>
                <w:color w:val="auto"/>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4"/>
              <w:ind w:firstLine="0"/>
              <w:rPr>
                <w:rFonts w:hint="eastAsia" w:ascii="Arial" w:hAnsi="Arial" w:cs="Arial"/>
                <w:color w:val="auto"/>
                <w:szCs w:val="21"/>
                <w:highlight w:val="none"/>
              </w:rPr>
            </w:pPr>
            <w:r>
              <w:rPr>
                <w:rFonts w:hint="eastAsia" w:ascii="Arial" w:hAnsi="Arial" w:cs="Arial"/>
                <w:color w:val="auto"/>
                <w:szCs w:val="21"/>
                <w:highlight w:val="none"/>
              </w:rPr>
              <w:t>方式一：选取方法七（综合评分法四，技术标与经济标同时开启）；</w:t>
            </w:r>
            <w:bookmarkStart w:id="79" w:name="_GoBack"/>
            <w:bookmarkEnd w:id="79"/>
          </w:p>
          <w:p>
            <w:pPr>
              <w:pStyle w:val="4"/>
              <w:ind w:firstLine="0"/>
              <w:rPr>
                <w:rFonts w:ascii="Arial" w:hAnsi="Arial" w:cs="Arial"/>
                <w:color w:val="auto"/>
                <w:szCs w:val="21"/>
                <w:highlight w:val="none"/>
              </w:rPr>
            </w:pPr>
            <w:r>
              <w:rPr>
                <w:rFonts w:hint="eastAsia" w:ascii="Arial" w:hAnsi="Arial" w:cs="Arial"/>
                <w:color w:val="auto"/>
                <w:szCs w:val="21"/>
                <w:highlight w:val="none"/>
              </w:rPr>
              <w:t>投标人总得分=技术得分（满分</w:t>
            </w:r>
            <w:r>
              <w:rPr>
                <w:rFonts w:hint="eastAsia" w:ascii="Arial" w:hAnsi="Arial" w:cs="Arial"/>
                <w:color w:val="auto"/>
                <w:szCs w:val="21"/>
                <w:highlight w:val="none"/>
                <w:lang w:val="en-US" w:eastAsia="zh-CN"/>
              </w:rPr>
              <w:t>100</w:t>
            </w:r>
            <w:r>
              <w:rPr>
                <w:rFonts w:hint="eastAsia" w:ascii="Arial" w:hAnsi="Arial" w:cs="Arial"/>
                <w:color w:val="auto"/>
                <w:szCs w:val="21"/>
                <w:highlight w:val="none"/>
              </w:rPr>
              <w:t>分）×</w:t>
            </w:r>
            <w:r>
              <w:rPr>
                <w:rFonts w:hint="eastAsia" w:ascii="Arial" w:hAnsi="Arial" w:cs="Arial"/>
                <w:color w:val="auto"/>
                <w:szCs w:val="21"/>
                <w:highlight w:val="none"/>
                <w:lang w:val="en-US" w:eastAsia="zh-CN"/>
              </w:rPr>
              <w:t>技术得分权重（20%）</w:t>
            </w:r>
            <w:r>
              <w:rPr>
                <w:rFonts w:hint="eastAsia" w:ascii="Arial" w:hAnsi="Arial" w:cs="Arial"/>
                <w:color w:val="auto"/>
                <w:szCs w:val="21"/>
                <w:highlight w:val="none"/>
              </w:rPr>
              <w:t>＋经济得分（满分100分）×经济得分权重（80%）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highlight w:val="none"/>
              </w:rPr>
            </w:pPr>
            <w:r>
              <w:rPr>
                <w:rFonts w:ascii="Arial" w:hAnsi="Arial" w:cs="Arial"/>
                <w:color w:val="auto"/>
                <w:highlight w:val="none"/>
              </w:rPr>
              <w:t>中标人提供的履约保证金为中标价款的10%。银行保函或担保保证。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最高投标限价</w:t>
            </w:r>
            <w:r>
              <w:rPr>
                <w:rFonts w:hint="eastAsia" w:ascii="Arial" w:hAnsi="Arial" w:cs="Arial"/>
                <w:color w:val="auto"/>
                <w:sz w:val="21"/>
                <w:szCs w:val="21"/>
                <w:highlight w:val="none"/>
                <w:u w:val="single"/>
                <w:lang w:val="en-US" w:eastAsia="zh-CN" w:bidi="ar"/>
              </w:rPr>
              <w:t>91018098.20</w:t>
            </w:r>
            <w:r>
              <w:rPr>
                <w:rFonts w:hint="eastAsia" w:ascii="Arial" w:hAnsi="Arial" w:cs="Arial"/>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ind w:left="0" w:leftChars="0" w:hanging="10" w:firstLineChars="0"/>
              <w:rPr>
                <w:rFonts w:ascii="Arial" w:hAnsi="Arial" w:cs="Arial"/>
                <w:color w:val="auto"/>
                <w:szCs w:val="21"/>
                <w:highlight w:val="none"/>
              </w:rPr>
            </w:pPr>
            <w:r>
              <w:rPr>
                <w:rFonts w:ascii="Arial" w:hAnsi="Arial" w:cs="Arial"/>
                <w:color w:val="auto"/>
                <w:szCs w:val="21"/>
                <w:highlight w:val="none"/>
              </w:rPr>
              <w:t>本项目绿色施工安全防护措施费为</w:t>
            </w:r>
            <w:r>
              <w:rPr>
                <w:rFonts w:hint="eastAsia" w:ascii="Arial" w:hAnsi="Arial" w:cs="Arial"/>
                <w:color w:val="auto"/>
                <w:szCs w:val="21"/>
                <w:highlight w:val="none"/>
                <w:u w:val="single"/>
                <w:lang w:eastAsia="zh-CN"/>
              </w:rPr>
              <w:t xml:space="preserve"> 4961871.20</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rPr>
              <w:t>元，暂列金额为</w:t>
            </w:r>
            <w:r>
              <w:rPr>
                <w:rFonts w:hint="eastAsia" w:ascii="Arial" w:hAnsi="Arial" w:cs="Arial"/>
                <w:color w:val="auto"/>
                <w:sz w:val="21"/>
                <w:szCs w:val="21"/>
                <w:highlight w:val="none"/>
                <w:u w:val="single"/>
                <w:lang w:eastAsia="zh-CN" w:bidi="ar"/>
              </w:rPr>
              <w:t xml:space="preserve"> 3000212.54</w:t>
            </w:r>
            <w:r>
              <w:rPr>
                <w:rFonts w:hint="eastAsia" w:ascii="Arial" w:hAnsi="Arial" w:cs="Arial"/>
                <w:color w:val="auto"/>
                <w:sz w:val="21"/>
                <w:szCs w:val="21"/>
                <w:highlight w:val="none"/>
                <w:u w:val="single"/>
                <w:lang w:val="en-US" w:eastAsia="zh-CN" w:bidi="ar"/>
              </w:rPr>
              <w:t xml:space="preserve"> </w:t>
            </w:r>
            <w:r>
              <w:rPr>
                <w:rFonts w:ascii="Arial" w:hAnsi="Arial" w:cs="Arial"/>
                <w:color w:val="auto"/>
                <w:szCs w:val="21"/>
                <w:highlight w:val="none"/>
              </w:rPr>
              <w:t>元</w:t>
            </w:r>
            <w:r>
              <w:rPr>
                <w:rFonts w:hint="eastAsia" w:ascii="Arial" w:hAnsi="Arial" w:cs="Arial"/>
                <w:color w:val="auto"/>
                <w:szCs w:val="21"/>
                <w:highlight w:val="none"/>
                <w:lang w:eastAsia="zh-CN"/>
              </w:rPr>
              <w:t>，</w:t>
            </w:r>
            <w:r>
              <w:rPr>
                <w:rFonts w:hint="eastAsia" w:ascii="宋体" w:hAnsi="宋体" w:eastAsia="宋体" w:cs="宋体"/>
                <w:color w:val="auto"/>
                <w:szCs w:val="21"/>
                <w:highlight w:val="none"/>
              </w:rPr>
              <w:t>暂估价为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w:t>
            </w:r>
            <w:r>
              <w:rPr>
                <w:rFonts w:ascii="Arial" w:hAnsi="Arial" w:cs="Arial"/>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4"/>
              <w:ind w:firstLine="0"/>
              <w:rPr>
                <w:rFonts w:ascii="Arial" w:hAnsi="Arial" w:cs="Arial"/>
                <w:color w:val="auto"/>
                <w:szCs w:val="21"/>
                <w:highlight w:val="none"/>
              </w:rPr>
            </w:pPr>
            <w:r>
              <w:rPr>
                <w:rFonts w:ascii="Arial" w:hAnsi="Arial" w:cs="Arial"/>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工程成本警戒价为</w:t>
            </w:r>
            <w:r>
              <w:rPr>
                <w:rFonts w:hint="eastAsia" w:ascii="Arial" w:hAnsi="Arial" w:cs="Arial"/>
                <w:color w:val="auto"/>
                <w:szCs w:val="21"/>
                <w:highlight w:val="none"/>
                <w:u w:val="single"/>
                <w:lang w:val="en-US" w:eastAsia="zh-CN"/>
              </w:rPr>
              <w:t xml:space="preserve"> 72814478.56 </w:t>
            </w:r>
            <w:r>
              <w:rPr>
                <w:rFonts w:ascii="Arial" w:hAnsi="Arial" w:cs="Arial"/>
                <w:color w:val="auto"/>
                <w:szCs w:val="21"/>
                <w:highlight w:val="none"/>
              </w:rPr>
              <w:t>元</w:t>
            </w:r>
            <w:r>
              <w:rPr>
                <w:rFonts w:ascii="Arial" w:hAnsi="Arial" w:cs="Arial"/>
                <w:color w:val="auto"/>
                <w:szCs w:val="21"/>
                <w:highlight w:val="none"/>
                <w:u w:val="single"/>
              </w:rPr>
              <w:t>（最高投标限价的</w:t>
            </w:r>
            <w:r>
              <w:rPr>
                <w:rFonts w:hint="eastAsia" w:ascii="Arial" w:hAnsi="Arial" w:cs="Arial"/>
                <w:color w:val="auto"/>
                <w:szCs w:val="21"/>
                <w:highlight w:val="none"/>
                <w:u w:val="single"/>
                <w:lang w:val="en-US" w:eastAsia="zh-CN"/>
              </w:rPr>
              <w:t>80</w:t>
            </w:r>
            <w:r>
              <w:rPr>
                <w:rFonts w:ascii="Arial" w:hAnsi="Arial" w:cs="Arial"/>
                <w:color w:val="auto"/>
                <w:szCs w:val="21"/>
                <w:highlight w:val="none"/>
                <w:u w:val="single"/>
              </w:rPr>
              <w:t>%）</w:t>
            </w:r>
            <w:r>
              <w:rPr>
                <w:rFonts w:ascii="Arial" w:hAnsi="Arial" w:cs="Arial"/>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r>
              <w:rPr>
                <w:rFonts w:ascii="Arial" w:hAnsi="Arial" w:cs="Arial"/>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 xml:space="preserve">按合同条款相关约定调整。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kern w:val="0"/>
                <w:szCs w:val="21"/>
                <w:highlight w:val="none"/>
                <w:lang w:val="zh-CN"/>
              </w:rPr>
            </w:pPr>
            <w:r>
              <w:rPr>
                <w:rFonts w:ascii="Arial" w:hAnsi="Arial" w:cs="Arial"/>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kern w:val="0"/>
                <w:szCs w:val="21"/>
                <w:highlight w:val="none"/>
                <w:lang w:val="zh-CN"/>
              </w:rPr>
            </w:pPr>
            <w:r>
              <w:rPr>
                <w:rFonts w:ascii="Arial" w:hAnsi="Arial" w:cs="Arial"/>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kern w:val="0"/>
                <w:szCs w:val="21"/>
                <w:highlight w:val="none"/>
                <w:lang w:val="zh-CN"/>
              </w:rPr>
            </w:pPr>
            <w:r>
              <w:rPr>
                <w:rFonts w:ascii="Arial" w:hAnsi="Arial" w:cs="Arial"/>
                <w:color w:val="auto"/>
                <w:kern w:val="0"/>
                <w:szCs w:val="21"/>
                <w:highlight w:val="none"/>
                <w:lang w:val="zh-CN"/>
              </w:rPr>
              <w:sym w:font="Wingdings 2" w:char="0052"/>
            </w:r>
            <w:r>
              <w:rPr>
                <w:rFonts w:ascii="Arial" w:hAnsi="Arial" w:cs="Arial"/>
                <w:color w:val="auto"/>
                <w:kern w:val="0"/>
                <w:szCs w:val="21"/>
                <w:highlight w:val="none"/>
                <w:lang w:val="zh-CN"/>
              </w:rPr>
              <w:t>不允许；</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□允许：分包内容要要求：</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 xml:space="preserve">        分包金额要求：</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 xml:space="preserve">        对分包人的资质要求：</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1、按照交易平台关于全流程电子化项目的相关指南进行操作。详见：</w:t>
            </w:r>
            <w:r>
              <w:rPr>
                <w:rFonts w:hint="eastAsia" w:ascii="Arial" w:hAnsi="Arial" w:cs="Arial"/>
                <w:color w:val="auto"/>
                <w:szCs w:val="24"/>
                <w:highlight w:val="none"/>
                <w:u w:val="single"/>
              </w:rPr>
              <w:t>【房建市政】【交易系统】【投标人】全流程电子化交易系统操作手册</w:t>
            </w:r>
            <w:r>
              <w:rPr>
                <w:rFonts w:ascii="Arial" w:hAnsi="Arial" w:cs="Arial"/>
                <w:color w:val="auto"/>
                <w:szCs w:val="21"/>
                <w:highlight w:val="none"/>
              </w:rPr>
              <w:t xml:space="preserve">。  </w:t>
            </w:r>
          </w:p>
          <w:p>
            <w:pPr>
              <w:rPr>
                <w:rFonts w:ascii="Arial" w:hAnsi="Arial" w:cs="Arial"/>
                <w:color w:val="auto"/>
                <w:szCs w:val="21"/>
                <w:highlight w:val="none"/>
              </w:rPr>
            </w:pPr>
            <w:r>
              <w:rPr>
                <w:rFonts w:ascii="Arial" w:hAnsi="Arial" w:cs="Arial"/>
                <w:color w:val="auto"/>
                <w:szCs w:val="21"/>
                <w:highlight w:val="none"/>
              </w:rPr>
              <w:t>2、提交投标文件光盘备用</w:t>
            </w:r>
          </w:p>
          <w:p>
            <w:pPr>
              <w:rPr>
                <w:rFonts w:ascii="Arial" w:hAnsi="Arial" w:cs="Arial"/>
                <w:color w:val="auto"/>
                <w:szCs w:val="21"/>
                <w:highlight w:val="none"/>
              </w:rPr>
            </w:pPr>
            <w:r>
              <w:rPr>
                <w:rFonts w:ascii="Arial" w:hAnsi="Arial" w:cs="Arial"/>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Arial" w:hAnsi="Arial" w:cs="Arial"/>
                <w:color w:val="auto"/>
                <w:szCs w:val="21"/>
                <w:highlight w:val="none"/>
              </w:rPr>
            </w:pPr>
            <w:r>
              <w:rPr>
                <w:rFonts w:ascii="Arial" w:hAnsi="Arial" w:cs="Arial"/>
                <w:color w:val="auto"/>
                <w:szCs w:val="21"/>
                <w:highlight w:val="none"/>
              </w:rPr>
              <w:t xml:space="preserve"> 3、补救方案</w:t>
            </w:r>
          </w:p>
          <w:p>
            <w:pPr>
              <w:rPr>
                <w:rFonts w:ascii="Arial" w:hAnsi="Arial" w:cs="Arial"/>
                <w:color w:val="auto"/>
                <w:szCs w:val="21"/>
                <w:highlight w:val="none"/>
              </w:rPr>
            </w:pPr>
            <w:r>
              <w:rPr>
                <w:rFonts w:ascii="Arial" w:hAnsi="Arial" w:cs="Arial"/>
                <w:color w:val="auto"/>
                <w:szCs w:val="21"/>
                <w:highlight w:val="none"/>
              </w:rPr>
              <w:t>（1）投标文件解密失败的补救方案：</w:t>
            </w:r>
          </w:p>
          <w:p>
            <w:pPr>
              <w:rPr>
                <w:rFonts w:ascii="Arial" w:hAnsi="Arial" w:cs="Arial"/>
                <w:color w:val="auto"/>
                <w:szCs w:val="21"/>
                <w:highlight w:val="none"/>
              </w:rPr>
            </w:pPr>
            <w:r>
              <w:rPr>
                <w:rFonts w:ascii="Arial" w:hAnsi="Arial" w:cs="Arial"/>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Arial" w:hAnsi="Arial" w:cs="Arial"/>
                <w:color w:val="auto"/>
                <w:szCs w:val="21"/>
                <w:highlight w:val="none"/>
              </w:rPr>
            </w:pPr>
            <w:r>
              <w:rPr>
                <w:rFonts w:ascii="Arial" w:hAnsi="Arial" w:cs="Arial"/>
                <w:color w:val="auto"/>
                <w:szCs w:val="21"/>
                <w:highlight w:val="none"/>
              </w:rPr>
              <w:t>（2）评标时突发情况的补救方案</w:t>
            </w:r>
          </w:p>
          <w:p>
            <w:pPr>
              <w:rPr>
                <w:rFonts w:ascii="Arial" w:hAnsi="Arial" w:cs="Arial"/>
                <w:color w:val="auto"/>
                <w:szCs w:val="21"/>
                <w:highlight w:val="none"/>
              </w:rPr>
            </w:pPr>
            <w:r>
              <w:rPr>
                <w:rFonts w:ascii="Arial" w:hAnsi="Arial" w:cs="Arial"/>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Arial" w:hAnsi="Arial" w:cs="Arial"/>
                <w:color w:val="auto"/>
                <w:szCs w:val="21"/>
                <w:highlight w:val="none"/>
              </w:rPr>
            </w:pPr>
            <w:r>
              <w:rPr>
                <w:rFonts w:ascii="Arial" w:hAnsi="Arial" w:cs="Arial"/>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color w:val="auto"/>
                <w:highlight w:val="none"/>
                <w:lang w:val="en-US" w:eastAsia="zh-CN"/>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shd w:val="clear" w:color="auto" w:fill="FFFFFF"/>
              <w:adjustRightInd w:val="0"/>
              <w:spacing w:line="48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中标后，中标单位在领取中标通知书时须提交与网上上传电子投标文件完全一致的纸质投标文件（一式三份，加盖公章）给招标单位 。</w:t>
            </w:r>
          </w:p>
        </w:tc>
      </w:tr>
    </w:tbl>
    <w:p>
      <w:pPr>
        <w:pStyle w:val="5"/>
        <w:rPr>
          <w:rFonts w:cs="Arial"/>
          <w:color w:val="auto"/>
          <w:highlight w:val="none"/>
        </w:rPr>
      </w:pPr>
      <w:r>
        <w:rPr>
          <w:rFonts w:cs="Arial"/>
          <w:color w:val="auto"/>
          <w:highlight w:val="none"/>
        </w:rPr>
        <w:br w:type="page"/>
      </w:r>
      <w:bookmarkStart w:id="4" w:name="_Toc2272547"/>
      <w:bookmarkStart w:id="5" w:name="_Toc101266280"/>
      <w:r>
        <w:rPr>
          <w:rFonts w:cs="Arial"/>
          <w:color w:val="auto"/>
          <w:highlight w:val="none"/>
        </w:rPr>
        <w:t>二、投标须知修改表</w:t>
      </w:r>
      <w:bookmarkEnd w:id="4"/>
      <w:bookmarkEnd w:id="5"/>
    </w:p>
    <w:p>
      <w:pPr>
        <w:pStyle w:val="4"/>
        <w:spacing w:line="360" w:lineRule="auto"/>
        <w:rPr>
          <w:rFonts w:ascii="Arial" w:hAnsi="Arial" w:cs="Arial"/>
          <w:b/>
          <w:color w:val="auto"/>
          <w:szCs w:val="21"/>
          <w:highlight w:val="none"/>
        </w:rPr>
      </w:pPr>
      <w:r>
        <w:rPr>
          <w:rFonts w:ascii="Arial" w:hAnsi="Arial" w:cs="Arial"/>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Arial" w:hAnsi="Arial" w:cs="Arial"/>
          <w:b/>
          <w:color w:val="auto"/>
          <w:szCs w:val="21"/>
          <w:highlight w:val="none"/>
        </w:rPr>
        <w:t>http://zfcj.gz.gov.cn/</w:t>
      </w:r>
      <w:r>
        <w:rPr>
          <w:rFonts w:ascii="Arial" w:hAnsi="Arial" w:cs="Arial"/>
          <w:b/>
          <w:color w:val="auto"/>
          <w:szCs w:val="21"/>
          <w:highlight w:val="none"/>
        </w:rPr>
        <w:t>）下载查阅。</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条款号：2.5    修改类型：增加</w:t>
      </w:r>
    </w:p>
    <w:p>
      <w:pPr>
        <w:pBdr>
          <w:bottom w:val="single" w:color="auto" w:sz="6" w:space="1"/>
        </w:pBd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2.5 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5620"/>
        </w:tabs>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条款号：5.1                     修改类型：修改</w:t>
      </w:r>
    </w:p>
    <w:p>
      <w:pPr>
        <w:tabs>
          <w:tab w:val="left" w:pos="5620"/>
        </w:tabs>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原文：5</w:t>
      </w:r>
      <w:r>
        <w:rPr>
          <w:rFonts w:ascii="Arial" w:hAnsi="Arial" w:cs="Arial"/>
          <w:color w:val="auto"/>
          <w:szCs w:val="21"/>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Arial" w:hAnsi="Arial" w:cs="Arial"/>
          <w:color w:val="auto"/>
          <w:szCs w:val="21"/>
          <w:highlight w:val="none"/>
          <w:u w:val="single"/>
        </w:rPr>
      </w:pPr>
      <w:r>
        <w:rPr>
          <w:rFonts w:ascii="Arial" w:hAnsi="Arial" w:cs="Arial"/>
          <w:b/>
          <w:color w:val="auto"/>
          <w:szCs w:val="21"/>
          <w:highlight w:val="none"/>
        </w:rPr>
        <w:t>现文：</w:t>
      </w:r>
      <w:r>
        <w:rPr>
          <w:rFonts w:ascii="Arial" w:hAnsi="Arial" w:cs="Arial"/>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Arial" w:hAnsi="Arial" w:cs="Arial"/>
          <w:color w:val="auto"/>
          <w:szCs w:val="21"/>
          <w:highlight w:val="none"/>
          <w:u w:val="single"/>
        </w:rPr>
        <w:t>投标人不进行踏勘的，视为已孰知现场条件，自行承担相关风险。</w:t>
      </w:r>
      <w:r>
        <w:rPr>
          <w:rFonts w:ascii="Arial" w:hAnsi="Arial" w:cs="Arial"/>
          <w:color w:val="auto"/>
          <w:szCs w:val="21"/>
          <w:highlight w:val="none"/>
        </w:rPr>
        <w:t>一旦中标，这种考察即被认为其结果已在中标文件中得到充分反映。考察现场的费用由投标人自己承担。</w:t>
      </w:r>
    </w:p>
    <w:p>
      <w:pPr>
        <w:spacing w:line="360" w:lineRule="auto"/>
        <w:ind w:firstLine="413" w:firstLineChars="196"/>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条款号：6.2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修改类型：增加</w:t>
      </w:r>
    </w:p>
    <w:p>
      <w:pPr>
        <w:pStyle w:val="4"/>
        <w:pBdr>
          <w:bottom w:val="single" w:color="auto" w:sz="6" w:space="1"/>
        </w:pBdr>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现文：6.2</w:t>
      </w:r>
      <w:r>
        <w:rPr>
          <w:rFonts w:hint="eastAsia" w:ascii="宋体" w:hAnsi="宋体" w:eastAsia="宋体" w:cs="宋体"/>
          <w:color w:val="auto"/>
          <w:sz w:val="21"/>
          <w:szCs w:val="21"/>
          <w:highlight w:val="none"/>
        </w:rPr>
        <w:t>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hint="eastAsia" w:ascii="Arial" w:hAnsi="Arial" w:cs="Arial"/>
          <w:b/>
          <w:color w:val="auto"/>
          <w:szCs w:val="21"/>
          <w:highlight w:val="none"/>
          <w:lang w:val="en-US" w:eastAsia="zh-CN"/>
        </w:rPr>
        <w:t>7</w:t>
      </w:r>
      <w:r>
        <w:rPr>
          <w:rFonts w:ascii="Arial" w:hAnsi="Arial" w:cs="Arial"/>
          <w:b/>
          <w:color w:val="auto"/>
          <w:szCs w:val="21"/>
          <w:highlight w:val="none"/>
        </w:rPr>
        <w:t xml:space="preserve">.1           </w:t>
      </w:r>
      <w:r>
        <w:rPr>
          <w:rFonts w:hint="eastAsia" w:ascii="Arial" w:hAnsi="Arial" w:cs="Arial"/>
          <w:b/>
          <w:color w:val="auto"/>
          <w:szCs w:val="21"/>
          <w:highlight w:val="none"/>
          <w:lang w:val="en-US" w:eastAsia="zh-CN"/>
        </w:rPr>
        <w:t xml:space="preserve">           </w:t>
      </w:r>
      <w:r>
        <w:rPr>
          <w:rFonts w:ascii="Arial" w:hAnsi="Arial" w:cs="Arial"/>
          <w:b/>
          <w:color w:val="auto"/>
          <w:szCs w:val="21"/>
          <w:highlight w:val="none"/>
        </w:rPr>
        <w:t>修改类型：修改</w:t>
      </w:r>
    </w:p>
    <w:p>
      <w:pPr>
        <w:tabs>
          <w:tab w:val="left" w:pos="5620"/>
        </w:tabs>
        <w:spacing w:line="360" w:lineRule="auto"/>
        <w:ind w:firstLine="472" w:firstLineChars="224"/>
        <w:rPr>
          <w:rFonts w:hint="default" w:ascii="Arial" w:hAnsi="Arial" w:eastAsia="宋体" w:cs="Arial"/>
          <w:b w:val="0"/>
          <w:bCs w:val="0"/>
          <w:color w:val="auto"/>
          <w:sz w:val="21"/>
          <w:szCs w:val="21"/>
          <w:highlight w:val="none"/>
        </w:rPr>
      </w:pPr>
      <w:r>
        <w:rPr>
          <w:rFonts w:hint="eastAsia" w:ascii="宋体" w:hAnsi="宋体" w:cs="宋体"/>
          <w:b/>
          <w:bCs/>
          <w:color w:val="auto"/>
          <w:sz w:val="21"/>
          <w:szCs w:val="21"/>
          <w:highlight w:val="none"/>
          <w:lang w:val="en-US" w:eastAsia="zh-CN"/>
        </w:rPr>
        <w:t>原</w:t>
      </w:r>
      <w:r>
        <w:rPr>
          <w:rFonts w:hint="eastAsia" w:ascii="宋体" w:hAnsi="宋体" w:eastAsia="宋体" w:cs="宋体"/>
          <w:b/>
          <w:bCs/>
          <w:color w:val="auto"/>
          <w:sz w:val="21"/>
          <w:szCs w:val="21"/>
          <w:highlight w:val="none"/>
        </w:rPr>
        <w:t>文：</w:t>
      </w:r>
      <w:r>
        <w:rPr>
          <w:rFonts w:hint="default" w:ascii="Arial" w:hAnsi="Arial" w:eastAsia="宋体" w:cs="Arial"/>
          <w:b w:val="0"/>
          <w:bCs w:val="0"/>
          <w:color w:val="auto"/>
          <w:sz w:val="21"/>
          <w:szCs w:val="21"/>
          <w:highlight w:val="none"/>
        </w:rPr>
        <w:t>7.1本招标文件包括下列文件，以及所有按本须知第8条发出的招标答疑会会议纪要和按本须知第9条发出的澄清或修改：</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第一章  投标须知</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第二章  开标、评标及定标办法</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第三章  合同条款</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第四章  投标文件格式</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第五章  技术条件（工程建设标准）（另册）</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第六章  图纸及勘察资料（另册）</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第七章  招标工程量清单（另册）</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第八章  最高投标限价</w:t>
      </w:r>
    </w:p>
    <w:p>
      <w:pPr>
        <w:tabs>
          <w:tab w:val="left" w:pos="5620"/>
        </w:tabs>
        <w:spacing w:line="360" w:lineRule="auto"/>
        <w:ind w:firstLine="472" w:firstLineChars="224"/>
        <w:rPr>
          <w:rFonts w:hint="default" w:ascii="Arial" w:hAnsi="Arial" w:cs="Arial"/>
          <w:b w:val="0"/>
          <w:bCs w:val="0"/>
          <w:color w:val="auto"/>
          <w:szCs w:val="21"/>
          <w:highlight w:val="none"/>
        </w:rPr>
      </w:pPr>
      <w:r>
        <w:rPr>
          <w:rFonts w:hint="eastAsia" w:ascii="宋体" w:hAnsi="Courier New" w:cs="Times New Roman"/>
          <w:b/>
          <w:bCs/>
          <w:color w:val="auto"/>
          <w:szCs w:val="20"/>
          <w:highlight w:val="none"/>
        </w:rPr>
        <w:t>现文：</w:t>
      </w:r>
      <w:r>
        <w:rPr>
          <w:rFonts w:hint="default" w:ascii="Arial" w:hAnsi="Arial" w:cs="Arial"/>
          <w:b w:val="0"/>
          <w:bCs w:val="0"/>
          <w:color w:val="auto"/>
          <w:szCs w:val="21"/>
          <w:highlight w:val="none"/>
        </w:rPr>
        <w:t>7.1本招标文件包括下列文件，以及所有按本须知第8条发出的招标答疑会会议纪要和按本须知第9条发出的澄清或修改：</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第一章  投标须知</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第二章  开标、评标及定标办法</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第三章  合同条款</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第四章  投标文件格式</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第五章  技术条件（工程建设标准）（另册）</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第六章  图纸及勘察资料（另册）</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第七章  招标工程量清单（另册）</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第八章  最高投标限价</w:t>
      </w:r>
    </w:p>
    <w:p>
      <w:pPr>
        <w:pBdr>
          <w:bottom w:val="single" w:color="auto" w:sz="4" w:space="0"/>
        </w:pBdr>
        <w:tabs>
          <w:tab w:val="left" w:pos="5620"/>
        </w:tabs>
        <w:spacing w:line="360" w:lineRule="auto"/>
        <w:ind w:firstLine="472" w:firstLineChars="224"/>
        <w:rPr>
          <w:rFonts w:ascii="Arial" w:hAnsi="Arial" w:cs="Arial"/>
          <w:b/>
          <w:bCs/>
          <w:color w:val="auto"/>
          <w:szCs w:val="21"/>
          <w:highlight w:val="none"/>
        </w:rPr>
      </w:pPr>
      <w:r>
        <w:rPr>
          <w:rFonts w:hint="default" w:ascii="Arial" w:hAnsi="Arial" w:cs="Arial"/>
          <w:b/>
          <w:bCs/>
          <w:color w:val="auto"/>
          <w:szCs w:val="21"/>
          <w:highlight w:val="none"/>
        </w:rPr>
        <w:t>注：招标人应在技术条件（工程建设标准）中明确施工现场建筑垃圾源头减量的具体要求和建筑垃圾综合利用产品的使用要求。</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 8.1           修改类型：修改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8.1 投标人若对招标文件（包括招标图纸）中有疑问，可以书面形式通过</w:t>
      </w:r>
      <w:r>
        <w:rPr>
          <w:rFonts w:ascii="Arial" w:hAnsi="Arial" w:cs="Arial"/>
          <w:color w:val="auto"/>
          <w:szCs w:val="21"/>
          <w:highlight w:val="none"/>
          <w:u w:val="single"/>
        </w:rPr>
        <w:t xml:space="preserve">        </w:t>
      </w:r>
      <w:r>
        <w:rPr>
          <w:rFonts w:ascii="Arial" w:hAnsi="Arial" w:cs="Arial"/>
          <w:color w:val="auto"/>
          <w:szCs w:val="21"/>
          <w:highlight w:val="none"/>
        </w:rPr>
        <w:t>交易平台提交给招标人或招标代理人，提交形式见本须知前附表第16项。</w:t>
      </w:r>
    </w:p>
    <w:p>
      <w:pPr>
        <w:pBdr>
          <w:bottom w:val="single" w:color="auto" w:sz="6" w:space="1"/>
        </w:pBdr>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hint="eastAsia" w:ascii="宋体" w:hAnsi="宋体" w:eastAsia="宋体" w:cs="宋体"/>
          <w:color w:val="auto"/>
          <w:szCs w:val="21"/>
          <w:highlight w:val="none"/>
          <w:u w:val="none"/>
        </w:rPr>
        <w:t>8.1 招标答疑采用网上答疑方式进行。投标人若对招标文件（包括招标图纸、清单、最高投标限价）有疑问的，可在规定的时间内通过</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u w:val="none"/>
        </w:rPr>
        <w:t>网站凭密码进入提问区域将问题提交给招标人或招标代理人，提交问题时一律不得署名。提交形式见本须知前附表第16项。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 8.2           修改类型：修改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highlight w:val="none"/>
        </w:rPr>
        <w:t>8.2招标答疑会会议纪要将在提交投标文件截止时间15日前在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 xml:space="preserve"> “项目答疑纪要”专区公开发布。答疑纪要一经在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发布，视作已发放给所有投标人。</w:t>
      </w:r>
    </w:p>
    <w:p>
      <w:pPr>
        <w:pBdr>
          <w:bottom w:val="single" w:color="auto" w:sz="6" w:space="1"/>
        </w:pBdr>
        <w:spacing w:line="360" w:lineRule="auto"/>
        <w:ind w:firstLine="527" w:firstLineChars="25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highlight w:val="none"/>
        </w:rPr>
        <w:t>8.2招标答疑会会议纪要将在提交投标文件截止时间15日前在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 xml:space="preserve"> “项目答疑纪要”专区公开发布。答疑纪要一经在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rPr>
        <w:t>交易平台</w:t>
      </w:r>
      <w:r>
        <w:rPr>
          <w:rFonts w:ascii="Arial" w:hAnsi="Arial" w:cs="Arial"/>
          <w:color w:val="auto"/>
          <w:highlight w:val="none"/>
        </w:rPr>
        <w:t>发布，视作已发放给所有投标人。</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条款号：8.4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8.4若</w:t>
      </w:r>
      <w:r>
        <w:rPr>
          <w:rFonts w:hint="eastAsia" w:ascii="宋体" w:hAnsi="宋体" w:eastAsia="宋体" w:cs="宋体"/>
          <w:color w:val="auto"/>
          <w:szCs w:val="21"/>
          <w:highlight w:val="none"/>
          <w:u w:val="single"/>
        </w:rPr>
        <w:t>招标答疑纪要</w:t>
      </w:r>
      <w:r>
        <w:rPr>
          <w:rFonts w:hint="eastAsia" w:ascii="宋体" w:hAnsi="宋体" w:eastAsia="宋体" w:cs="宋体"/>
          <w:color w:val="auto"/>
          <w:szCs w:val="21"/>
          <w:highlight w:val="none"/>
        </w:rPr>
        <w:t>与招标文件有矛盾时，以</w:t>
      </w:r>
      <w:r>
        <w:rPr>
          <w:rFonts w:hint="eastAsia" w:ascii="宋体" w:hAnsi="宋体" w:eastAsia="宋体" w:cs="宋体"/>
          <w:color w:val="auto"/>
          <w:szCs w:val="21"/>
          <w:highlight w:val="none"/>
          <w:u w:val="single"/>
        </w:rPr>
        <w:t>广州公共资源交易中心交易平台</w:t>
      </w:r>
      <w:r>
        <w:rPr>
          <w:rFonts w:hint="eastAsia" w:ascii="宋体" w:hAnsi="宋体" w:eastAsia="宋体" w:cs="宋体"/>
          <w:color w:val="auto"/>
          <w:szCs w:val="21"/>
          <w:highlight w:val="none"/>
        </w:rPr>
        <w:t>最后发布的答疑纪要为准。</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条款号：9.2           修改类型：修改</w:t>
      </w:r>
    </w:p>
    <w:p>
      <w:pPr>
        <w:spacing w:line="480" w:lineRule="auto"/>
        <w:ind w:firstLine="472" w:firstLineChars="224"/>
        <w:rPr>
          <w:rFonts w:ascii="Arial" w:hAnsi="Arial" w:cs="Arial"/>
          <w:b/>
          <w:color w:val="auto"/>
          <w:sz w:val="18"/>
          <w:szCs w:val="21"/>
          <w:highlight w:val="none"/>
        </w:rPr>
      </w:pPr>
      <w:r>
        <w:rPr>
          <w:rFonts w:ascii="Arial" w:hAnsi="Arial" w:cs="Arial"/>
          <w:b/>
          <w:color w:val="auto"/>
          <w:szCs w:val="21"/>
          <w:highlight w:val="none"/>
        </w:rPr>
        <w:t>原文：</w:t>
      </w:r>
      <w:r>
        <w:rPr>
          <w:rFonts w:ascii="Arial" w:hAnsi="Arial" w:cs="Arial"/>
          <w:color w:val="auto"/>
          <w:highlight w:val="none"/>
        </w:rPr>
        <w:t>9.2招标文件的澄清或修改将在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“项目答疑纪要”专区公开发布。答疑纪要一经在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发布，视作已发放给所有投标人，以</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上网发布时间作为送达时间。</w:t>
      </w:r>
    </w:p>
    <w:p>
      <w:pPr>
        <w:spacing w:line="440" w:lineRule="exact"/>
        <w:ind w:firstLine="472" w:firstLineChars="224"/>
        <w:rPr>
          <w:rFonts w:ascii="Arial" w:hAnsi="Arial" w:cs="Arial"/>
          <w:bCs/>
          <w:color w:val="auto"/>
          <w:sz w:val="24"/>
          <w:highlight w:val="none"/>
          <w:u w:val="single"/>
        </w:rPr>
      </w:pPr>
      <w:r>
        <w:rPr>
          <w:rFonts w:ascii="Arial" w:hAnsi="Arial" w:cs="Arial"/>
          <w:b/>
          <w:color w:val="auto"/>
          <w:szCs w:val="21"/>
          <w:highlight w:val="none"/>
        </w:rPr>
        <w:t>现文：</w:t>
      </w:r>
      <w:r>
        <w:rPr>
          <w:rFonts w:ascii="Arial" w:hAnsi="Arial" w:cs="Arial"/>
          <w:color w:val="auto"/>
          <w:highlight w:val="none"/>
        </w:rPr>
        <w:t>9.2招标文件的澄清或修改将在</w:t>
      </w:r>
      <w:r>
        <w:rPr>
          <w:rFonts w:ascii="Arial" w:hAnsi="Arial" w:cs="Arial"/>
          <w:color w:val="auto"/>
          <w:szCs w:val="24"/>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“项目答疑纪要”专区公开发布。答疑纪要一经在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发布，视作已发放给所有投标人，以</w:t>
      </w:r>
      <w:r>
        <w:rPr>
          <w:rFonts w:ascii="Arial" w:hAnsi="Arial" w:cs="Arial"/>
          <w:color w:val="auto"/>
          <w:szCs w:val="24"/>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上网发布时间作为送达时间。</w:t>
      </w:r>
    </w:p>
    <w:p>
      <w:pPr>
        <w:pBdr>
          <w:bottom w:val="single" w:color="auto" w:sz="6" w:space="1"/>
        </w:pBdr>
        <w:spacing w:line="440" w:lineRule="exact"/>
        <w:rPr>
          <w:rFonts w:ascii="Arial" w:hAnsi="Arial" w:cs="Arial"/>
          <w:bCs/>
          <w:color w:val="auto"/>
          <w:sz w:val="24"/>
          <w:highlight w:val="none"/>
          <w:u w:val="single"/>
        </w:rPr>
      </w:pP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9.4             </w:t>
      </w:r>
      <w:r>
        <w:rPr>
          <w:rFonts w:ascii="Arial" w:hAnsi="Arial" w:cs="Arial"/>
          <w:b/>
          <w:color w:val="auto"/>
          <w:szCs w:val="21"/>
          <w:highlight w:val="none"/>
        </w:rPr>
        <w:t>修改类型：修改</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9.4招标文件的澄清或修改均</w:t>
      </w:r>
      <w:r>
        <w:rPr>
          <w:rFonts w:ascii="Arial" w:hAnsi="Arial" w:cs="Arial"/>
          <w:color w:val="auto"/>
          <w:szCs w:val="21"/>
          <w:highlight w:val="none"/>
          <w:u w:val="single"/>
        </w:rPr>
        <w:t>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网站“网上答疑”专区公开发布。</w:t>
      </w:r>
      <w:r>
        <w:rPr>
          <w:rFonts w:ascii="Arial" w:hAnsi="Arial" w:cs="Arial"/>
          <w:color w:val="auto"/>
          <w:szCs w:val="21"/>
          <w:highlight w:val="none"/>
        </w:rPr>
        <w:t>当招标文件的澄清、修改、补充等在同一内容的表述不一致时，以最后发出的文件为准。</w:t>
      </w:r>
    </w:p>
    <w:p>
      <w:pPr>
        <w:spacing w:line="440" w:lineRule="exact"/>
        <w:ind w:firstLine="472" w:firstLineChars="224"/>
        <w:rPr>
          <w:rFonts w:ascii="Arial" w:hAnsi="Arial" w:cs="Arial"/>
          <w:b/>
          <w:color w:val="auto"/>
          <w:highlight w:val="none"/>
        </w:rPr>
      </w:pPr>
      <w:r>
        <w:rPr>
          <w:rFonts w:ascii="Arial" w:hAnsi="Arial" w:cs="Arial"/>
          <w:b/>
          <w:color w:val="auto"/>
          <w:highlight w:val="none"/>
        </w:rPr>
        <w:t>条款号：11.2.2            修改类型：修改</w:t>
      </w:r>
    </w:p>
    <w:p>
      <w:pPr>
        <w:spacing w:line="440" w:lineRule="exact"/>
        <w:ind w:firstLine="422" w:firstLineChars="200"/>
        <w:rPr>
          <w:rFonts w:ascii="Arial" w:hAnsi="Arial" w:cs="Arial"/>
          <w:bCs/>
          <w:color w:val="auto"/>
          <w:highlight w:val="none"/>
        </w:rPr>
      </w:pPr>
      <w:r>
        <w:rPr>
          <w:rFonts w:ascii="Arial" w:hAnsi="Arial" w:cs="Arial"/>
          <w:b/>
          <w:color w:val="auto"/>
          <w:highlight w:val="none"/>
        </w:rPr>
        <w:t>原文：</w:t>
      </w:r>
      <w:r>
        <w:rPr>
          <w:rFonts w:ascii="Arial" w:hAnsi="Arial" w:cs="Arial"/>
          <w:bCs/>
          <w:color w:val="auto"/>
          <w:highlight w:val="none"/>
        </w:rPr>
        <w:t>资格审查文件：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 xml:space="preserve">（1）投标人声明； </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（2）法定代表人证明书、法定代表人签字或盖章的本投标文件授权委托证明书；</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（3）企业营业执照（取自平台内上传件）；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（4）企业资质证书（取自平台内上传件）；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（5）建筑施工企业安全生产许可证（取自平台内上传件）；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（6）项目负责人（按网上投标登记时选择拟投标的项目负责人）</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（7）专职安全员（按网上投标登记时选择拟投标的专职安全员）</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（8）拟委托技术负责人的相关证书、资料（具体要求由招标人明确）</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 xml:space="preserve">（9）拟委派项目负责人的建造师注册证书或小型项目负责人相关证明（取自平台内上传件）； </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（12）用于资格审查的业绩（设置业绩要求时选择此项，投标人须提供类似工程业绩的项目名称及项目编号，具体格式由招标人自定）；</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Arial" w:hAnsi="Arial" w:cs="Arial"/>
          <w:color w:val="auto"/>
          <w:highlight w:val="none"/>
        </w:rPr>
      </w:pPr>
      <w:r>
        <w:rPr>
          <w:rFonts w:ascii="Arial" w:hAnsi="Arial" w:cs="Arial"/>
          <w:bCs/>
          <w:color w:val="auto"/>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2" w:firstLineChars="200"/>
        <w:rPr>
          <w:rFonts w:ascii="Arial" w:hAnsi="Arial" w:cs="Arial"/>
          <w:bCs/>
          <w:color w:val="auto"/>
          <w:highlight w:val="none"/>
        </w:rPr>
      </w:pPr>
      <w:r>
        <w:rPr>
          <w:rFonts w:ascii="Arial" w:hAnsi="Arial" w:cs="Arial"/>
          <w:b/>
          <w:color w:val="auto"/>
          <w:highlight w:val="none"/>
        </w:rPr>
        <w:t>现文：</w:t>
      </w:r>
      <w:r>
        <w:rPr>
          <w:rFonts w:ascii="Arial" w:hAnsi="Arial" w:cs="Arial"/>
          <w:bCs/>
          <w:color w:val="auto"/>
          <w:highlight w:val="none"/>
        </w:rPr>
        <w:t>资格审查文件：</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（1）投标人声明</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（2）法定代表人证明书、法定代表人签字或盖章的本投标文件授权委托证明书</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（3）企业营业执照</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（4）企业资质证书</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（5）建筑施工企业安全生产许可证</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（6）项目负责人（按网上投标登记时选择拟投标的项目负责人）</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（7）专职安全员（按网上投标登记时选择拟投标的专职安全员）</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（8）拟委托技术负责人的相关证书、资料（</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（9）</w:t>
      </w:r>
      <w:r>
        <w:rPr>
          <w:rFonts w:ascii="Arial" w:hAnsi="Arial" w:cs="Arial"/>
          <w:bCs/>
          <w:color w:val="auto"/>
          <w:highlight w:val="none"/>
          <w:u w:val="single"/>
        </w:rPr>
        <w:t>拟委派项目负责人的建造师注册证书</w:t>
      </w:r>
      <w:r>
        <w:rPr>
          <w:rFonts w:ascii="Arial" w:hAnsi="Arial" w:cs="Arial"/>
          <w:bCs/>
          <w:color w:val="auto"/>
          <w:highlight w:val="none"/>
        </w:rPr>
        <w:t>（</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ascii="Arial" w:hAnsi="Arial" w:cs="Arial"/>
          <w:bCs/>
          <w:color w:val="auto"/>
          <w:highlight w:val="none"/>
        </w:rPr>
        <w:t xml:space="preserve">）； </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（10）项目负责人安全</w:t>
      </w:r>
      <w:r>
        <w:rPr>
          <w:rFonts w:hint="eastAsia" w:ascii="Arial" w:hAnsi="Arial" w:cs="Arial"/>
          <w:bCs/>
          <w:color w:val="auto"/>
          <w:highlight w:val="none"/>
          <w:lang w:val="en-US" w:eastAsia="zh-CN"/>
        </w:rPr>
        <w:t>生产</w:t>
      </w:r>
      <w:r>
        <w:rPr>
          <w:rFonts w:ascii="Arial" w:hAnsi="Arial" w:cs="Arial"/>
          <w:bCs/>
          <w:color w:val="auto"/>
          <w:highlight w:val="none"/>
        </w:rPr>
        <w:t>合格证明或在有效期内的安全考核合格证书（B类）或建筑施工企业项目负责人安全生产考核合格证书（</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（11）专职安全员须具有在有效期内的安全考核合格证书（C类）或建筑施工企业专职安全生产管理人员安全生产考核合格证书</w:t>
      </w:r>
      <w:r>
        <w:rPr>
          <w:rFonts w:hint="eastAsia" w:ascii="Arial" w:hAnsi="Arial" w:cs="Arial"/>
          <w:bCs/>
          <w:color w:val="auto"/>
          <w:highlight w:val="none"/>
          <w:lang w:eastAsia="zh-CN"/>
        </w:rPr>
        <w:t>（</w:t>
      </w:r>
      <w:r>
        <w:rPr>
          <w:rFonts w:hint="eastAsia" w:ascii="Arial" w:hAnsi="Arial" w:cs="Arial"/>
          <w:bCs/>
          <w:color w:val="auto"/>
          <w:highlight w:val="none"/>
          <w:lang w:val="en-US" w:eastAsia="zh-CN"/>
        </w:rPr>
        <w:t>C3类）</w:t>
      </w:r>
      <w:r>
        <w:rPr>
          <w:rFonts w:ascii="Arial" w:hAnsi="Arial" w:cs="Arial"/>
          <w:bCs/>
          <w:color w:val="auto"/>
          <w:highlight w:val="none"/>
        </w:rPr>
        <w:t>（</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（12）</w:t>
      </w:r>
      <w:r>
        <w:rPr>
          <w:rFonts w:hint="eastAsia" w:ascii="宋体" w:hAnsi="宋体" w:eastAsia="宋体" w:cs="宋体"/>
          <w:bCs/>
          <w:color w:val="auto"/>
          <w:szCs w:val="21"/>
          <w:highlight w:val="none"/>
          <w:u w:val="singl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hint="eastAsia" w:ascii="宋体" w:hAnsi="宋体" w:eastAsia="宋体" w:cs="宋体"/>
          <w:bCs/>
          <w:color w:val="auto"/>
          <w:szCs w:val="21"/>
          <w:highlight w:val="none"/>
          <w:u w:val="single"/>
        </w:rPr>
        <w:t>（13）本项目不接受联合体单位投标；</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w:t>
      </w:r>
      <w:r>
        <w:rPr>
          <w:rFonts w:hint="eastAsia" w:ascii="Arial" w:hAnsi="Arial" w:cs="Arial"/>
          <w:bCs/>
          <w:color w:val="auto"/>
          <w:highlight w:val="none"/>
          <w:lang w:val="en-US" w:eastAsia="zh-CN"/>
        </w:rPr>
        <w:t>14</w:t>
      </w:r>
      <w:r>
        <w:rPr>
          <w:rFonts w:hint="eastAsia" w:ascii="Arial" w:hAnsi="Arial" w:cs="Arial"/>
          <w:bCs/>
          <w:color w:val="auto"/>
          <w:highlight w:val="none"/>
        </w:rPr>
        <w:t>）投标人声明中签字的项目负责人和技术负责人与本项目拟派的项目负责人和技术负责人一致。</w:t>
      </w:r>
    </w:p>
    <w:p>
      <w:pPr>
        <w:pBdr>
          <w:top w:val="single" w:color="auto" w:sz="4" w:space="0"/>
        </w:pBdr>
        <w:spacing w:line="440" w:lineRule="exact"/>
        <w:ind w:firstLine="472" w:firstLineChars="224"/>
        <w:rPr>
          <w:rFonts w:ascii="Arial" w:hAnsi="Arial" w:cs="Arial"/>
          <w:b/>
          <w:color w:val="auto"/>
          <w:highlight w:val="none"/>
        </w:rPr>
      </w:pPr>
      <w:r>
        <w:rPr>
          <w:rFonts w:hint="eastAsia" w:ascii="Arial" w:hAnsi="Arial" w:cs="Arial"/>
          <w:b/>
          <w:color w:val="auto"/>
          <w:highlight w:val="none"/>
        </w:rPr>
        <w:t>条款号：11.2.3</w:t>
      </w:r>
      <w:r>
        <w:rPr>
          <w:rFonts w:ascii="Arial" w:hAnsi="Arial" w:cs="Arial"/>
          <w:b/>
          <w:color w:val="auto"/>
          <w:highlight w:val="none"/>
        </w:rPr>
        <w:t xml:space="preserve"> </w:t>
      </w:r>
      <w:r>
        <w:rPr>
          <w:rFonts w:hint="eastAsia" w:ascii="Arial" w:hAnsi="Arial" w:cs="Arial"/>
          <w:b/>
          <w:color w:val="auto"/>
          <w:highlight w:val="none"/>
          <w:lang w:val="en-US" w:eastAsia="zh-CN"/>
        </w:rPr>
        <w:t>-11.2.8</w:t>
      </w:r>
      <w:r>
        <w:rPr>
          <w:rFonts w:ascii="Arial" w:hAnsi="Arial" w:cs="Arial"/>
          <w:b/>
          <w:color w:val="auto"/>
          <w:highlight w:val="none"/>
        </w:rPr>
        <w:t xml:space="preserve">           </w:t>
      </w:r>
      <w:r>
        <w:rPr>
          <w:rFonts w:hint="eastAsia" w:ascii="Arial" w:hAnsi="Arial" w:cs="Arial"/>
          <w:b/>
          <w:color w:val="auto"/>
          <w:highlight w:val="none"/>
        </w:rPr>
        <w:t>修改类型：修改</w:t>
      </w:r>
    </w:p>
    <w:p>
      <w:pPr>
        <w:spacing w:line="360" w:lineRule="auto"/>
        <w:ind w:firstLine="422" w:firstLineChars="200"/>
        <w:rPr>
          <w:rFonts w:ascii="Arial" w:hAnsi="Arial" w:cs="Arial"/>
          <w:color w:val="auto"/>
          <w:highlight w:val="none"/>
        </w:rPr>
      </w:pPr>
      <w:r>
        <w:rPr>
          <w:rFonts w:hint="eastAsia" w:ascii="Arial" w:hAnsi="Arial" w:cs="Arial"/>
          <w:b/>
          <w:color w:val="auto"/>
          <w:highlight w:val="none"/>
        </w:rPr>
        <w:t>原文：</w:t>
      </w:r>
      <w:r>
        <w:rPr>
          <w:rFonts w:hint="eastAsia" w:ascii="Arial" w:hAnsi="Arial" w:cs="Arial"/>
          <w:color w:val="auto"/>
          <w:highlight w:val="none"/>
        </w:rPr>
        <w:t>11.2.3项目管理机构配备。</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（1）投标人应列出该项目工程的施工组织机构构成和画出机构框架图及其负责人；</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（3）其他辅助说明资料。</w:t>
      </w:r>
    </w:p>
    <w:p>
      <w:pPr>
        <w:spacing w:line="460" w:lineRule="exact"/>
        <w:ind w:firstLine="422" w:firstLineChars="200"/>
        <w:rPr>
          <w:rFonts w:hint="eastAsia" w:ascii="Arial" w:hAnsi="Arial" w:cs="Arial"/>
          <w:color w:val="auto"/>
          <w:highlight w:val="none"/>
        </w:rPr>
      </w:pPr>
      <w:r>
        <w:rPr>
          <w:rFonts w:hint="eastAsia" w:ascii="宋体" w:hAnsi="宋体" w:cs="宋体"/>
          <w:b/>
          <w:bCs w:val="0"/>
          <w:color w:val="auto"/>
          <w:szCs w:val="21"/>
          <w:highlight w:val="none"/>
          <w:lang w:val="en-US" w:eastAsia="zh-CN"/>
        </w:rPr>
        <w:t>现文：</w:t>
      </w:r>
      <w:r>
        <w:rPr>
          <w:rFonts w:hint="eastAsia" w:ascii="Arial" w:hAnsi="Arial" w:cs="Arial"/>
          <w:color w:val="auto"/>
          <w:highlight w:val="none"/>
        </w:rPr>
        <w:t>11.2.3项目管理机构配备。</w:t>
      </w:r>
    </w:p>
    <w:p>
      <w:pPr>
        <w:spacing w:line="4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（1）投标人应列出该项目工程的施工组织机构构成和画出机构框架图及其负责人；</w:t>
      </w:r>
    </w:p>
    <w:p>
      <w:pPr>
        <w:spacing w:line="4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（2）投标人应详细列出该施工组织机构中主要成员的名单、简历资料、职务职称和在本项目中拟担任的职务等资料，并附上有关证明材料扫描件；</w:t>
      </w:r>
    </w:p>
    <w:p>
      <w:pPr>
        <w:spacing w:line="4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（3）其他辅助说明资料。</w:t>
      </w:r>
    </w:p>
    <w:p>
      <w:pP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11.2.4</w:t>
      </w:r>
      <w:r>
        <w:rPr>
          <w:rFonts w:hint="eastAsia" w:ascii="宋体" w:hAnsi="宋体" w:eastAsia="宋体" w:cs="宋体"/>
          <w:bCs/>
          <w:color w:val="auto"/>
          <w:szCs w:val="21"/>
          <w:highlight w:val="none"/>
          <w:u w:val="single"/>
        </w:rPr>
        <w:t>按照招标文件要求填写的《投标文件编制人员名单》</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详见附件三</w:t>
      </w:r>
      <w:r>
        <w:rPr>
          <w:rFonts w:hint="eastAsia" w:ascii="宋体" w:hAnsi="宋体" w:cs="宋体"/>
          <w:bCs/>
          <w:color w:val="auto"/>
          <w:szCs w:val="21"/>
          <w:highlight w:val="none"/>
          <w:u w:val="single"/>
          <w:lang w:eastAsia="zh-CN"/>
        </w:rPr>
        <w:t>）</w:t>
      </w:r>
      <w:r>
        <w:rPr>
          <w:rFonts w:hint="eastAsia" w:ascii="宋体" w:hAnsi="宋体" w:eastAsia="宋体" w:cs="宋体"/>
          <w:bCs/>
          <w:color w:val="auto"/>
          <w:szCs w:val="21"/>
          <w:highlight w:val="none"/>
        </w:rPr>
        <w:t>。</w:t>
      </w:r>
    </w:p>
    <w:p>
      <w:pPr>
        <w:pBdr>
          <w:bottom w:val="single" w:color="auto" w:sz="4" w:space="0"/>
        </w:pBdr>
        <w:spacing w:line="360" w:lineRule="auto"/>
        <w:ind w:firstLine="210" w:firstLineChars="1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承诺书（必须按照招标文件中提供的承诺书格式进行承诺，详见附件四）。</w:t>
      </w:r>
    </w:p>
    <w:p>
      <w:pPr>
        <w:pBdr>
          <w:bottom w:val="single" w:color="auto" w:sz="4" w:space="0"/>
        </w:pBdr>
        <w:spacing w:line="360" w:lineRule="auto"/>
        <w:ind w:firstLine="210" w:firstLineChars="1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响应招标文件所附施工组织设计（详见附件</w:t>
      </w:r>
      <w:r>
        <w:rPr>
          <w:rFonts w:hint="eastAsia" w:ascii="宋体" w:hAnsi="宋体" w:cs="宋体"/>
          <w:bCs/>
          <w:color w:val="auto"/>
          <w:szCs w:val="21"/>
          <w:highlight w:val="none"/>
          <w:u w:val="single"/>
          <w:lang w:val="en-US" w:eastAsia="zh-CN"/>
        </w:rPr>
        <w:t>八</w:t>
      </w:r>
      <w:r>
        <w:rPr>
          <w:rFonts w:hint="eastAsia" w:ascii="宋体" w:hAnsi="宋体" w:eastAsia="宋体" w:cs="宋体"/>
          <w:bCs/>
          <w:color w:val="auto"/>
          <w:szCs w:val="21"/>
          <w:highlight w:val="none"/>
          <w:u w:val="single"/>
        </w:rPr>
        <w:t>）。</w:t>
      </w:r>
    </w:p>
    <w:p>
      <w:pPr>
        <w:pBdr>
          <w:bottom w:val="single" w:color="auto" w:sz="4" w:space="0"/>
        </w:pBd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rPr>
        <w:t>按照招标文件要求填写的《中小企业声明函》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详见附件十</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lang w:eastAsia="zh-CN"/>
        </w:rPr>
        <w:t>。</w:t>
      </w:r>
    </w:p>
    <w:p>
      <w:pPr>
        <w:pBdr>
          <w:bottom w:val="single" w:color="auto" w:sz="4" w:space="0"/>
        </w:pBdr>
        <w:spacing w:line="360" w:lineRule="auto"/>
        <w:ind w:firstLine="210" w:firstLineChars="1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11.2.8</w:t>
      </w:r>
      <w:r>
        <w:rPr>
          <w:rFonts w:hint="eastAsia" w:ascii="宋体" w:hAnsi="宋体" w:eastAsia="宋体" w:cs="宋体"/>
          <w:bCs/>
          <w:color w:val="auto"/>
          <w:szCs w:val="21"/>
          <w:highlight w:val="none"/>
          <w:u w:val="single"/>
        </w:rPr>
        <w:t>投标人认为应提交其他的资料。</w:t>
      </w:r>
    </w:p>
    <w:p>
      <w:pPr>
        <w:pBdr>
          <w:bottom w:val="single" w:color="auto" w:sz="6" w:space="1"/>
        </w:pBdr>
        <w:spacing w:line="440" w:lineRule="exact"/>
        <w:ind w:firstLine="472" w:firstLineChars="224"/>
        <w:rPr>
          <w:rFonts w:ascii="Arial" w:hAnsi="Arial" w:cs="Arial"/>
          <w:b/>
          <w:color w:val="auto"/>
          <w:highlight w:val="none"/>
        </w:rPr>
      </w:pPr>
    </w:p>
    <w:p>
      <w:pPr>
        <w:pBdr>
          <w:bottom w:val="single" w:color="auto" w:sz="6" w:space="1"/>
        </w:pBdr>
        <w:snapToGrid/>
        <w:spacing w:line="440" w:lineRule="exact"/>
        <w:ind w:firstLine="472" w:firstLineChars="224"/>
        <w:rPr>
          <w:rFonts w:ascii="Arial" w:hAnsi="Arial" w:cs="Arial"/>
          <w:b/>
          <w:color w:val="auto"/>
          <w:highlight w:val="none"/>
        </w:rPr>
      </w:pPr>
      <w:r>
        <w:rPr>
          <w:rFonts w:ascii="Arial" w:hAnsi="Arial" w:cs="Arial"/>
          <w:b/>
          <w:color w:val="auto"/>
          <w:highlight w:val="none"/>
        </w:rPr>
        <w:t>条款号：11.3            修改类型：修改</w:t>
      </w:r>
    </w:p>
    <w:p>
      <w:pPr>
        <w:pBdr>
          <w:bottom w:val="single" w:color="auto" w:sz="6" w:space="1"/>
        </w:pBdr>
        <w:snapToGrid/>
        <w:spacing w:line="440" w:lineRule="exact"/>
        <w:ind w:firstLine="472" w:firstLineChars="224"/>
        <w:rPr>
          <w:rFonts w:ascii="Arial" w:hAnsi="Arial" w:cs="Arial"/>
          <w:color w:val="auto"/>
          <w:highlight w:val="none"/>
        </w:rPr>
      </w:pPr>
      <w:r>
        <w:rPr>
          <w:rFonts w:ascii="Arial" w:hAnsi="Arial" w:cs="Arial"/>
          <w:b/>
          <w:color w:val="auto"/>
          <w:highlight w:val="none"/>
        </w:rPr>
        <w:t>原文：</w:t>
      </w:r>
      <w:r>
        <w:rPr>
          <w:rFonts w:ascii="Arial" w:hAnsi="Arial" w:cs="Arial"/>
          <w:color w:val="auto"/>
          <w:highlight w:val="none"/>
        </w:rPr>
        <w:t>11.3 经济部分投标文件主要包括下列内容：</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11.3.1 经济投标文件(按招标文件的要求填写)。</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（1）投标总价封面、扉页；</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（2）总说明</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（3）工程项目投标报价汇总表；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（4）单项工程投标报价汇总表；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（5）单位工程投标报价汇总表；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（6）分部分项工程清单与计价表；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（7）单价措施项目清单与计价表；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（8）总价措施项目清单与计价表；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（9）综合单价分析表；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（10）其他项目清单与计价汇总表；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（11）暂列金额明细表；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（12）材料（工程设备）暂估价明细表；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（13）专业工程暂估价明细表；</w:t>
      </w:r>
    </w:p>
    <w:p>
      <w:pPr>
        <w:pStyle w:val="31"/>
        <w:snapToGrid w:val="0"/>
        <w:spacing w:line="360" w:lineRule="auto"/>
        <w:ind w:firstLine="420" w:firstLineChars="200"/>
        <w:rPr>
          <w:rFonts w:ascii="Arial" w:hAnsi="Arial" w:cs="Arial"/>
          <w:color w:val="auto"/>
          <w:highlight w:val="none"/>
        </w:rPr>
      </w:pPr>
      <w:r>
        <w:rPr>
          <w:rFonts w:ascii="Arial" w:hAnsi="Arial" w:cs="Arial"/>
          <w:color w:val="auto"/>
          <w:highlight w:val="none"/>
        </w:rPr>
        <w:t>（14）计日工表；</w:t>
      </w:r>
    </w:p>
    <w:p>
      <w:pPr>
        <w:pStyle w:val="31"/>
        <w:snapToGrid w:val="0"/>
        <w:spacing w:line="360" w:lineRule="auto"/>
        <w:ind w:firstLine="420" w:firstLineChars="200"/>
        <w:rPr>
          <w:rFonts w:ascii="Arial" w:hAnsi="Arial" w:cs="Arial"/>
          <w:color w:val="auto"/>
          <w:highlight w:val="none"/>
        </w:rPr>
      </w:pPr>
      <w:r>
        <w:rPr>
          <w:rFonts w:ascii="Arial" w:hAnsi="Arial" w:cs="Arial"/>
          <w:color w:val="auto"/>
          <w:highlight w:val="none"/>
        </w:rPr>
        <w:t>（15）总承包服务计价表；</w:t>
      </w:r>
    </w:p>
    <w:p>
      <w:pPr>
        <w:pStyle w:val="31"/>
        <w:snapToGrid w:val="0"/>
        <w:spacing w:line="360" w:lineRule="auto"/>
        <w:ind w:firstLine="420" w:firstLineChars="200"/>
        <w:rPr>
          <w:rFonts w:ascii="Arial" w:hAnsi="Arial" w:cs="Arial"/>
          <w:color w:val="auto"/>
          <w:highlight w:val="none"/>
        </w:rPr>
      </w:pPr>
      <w:r>
        <w:rPr>
          <w:rFonts w:ascii="Arial" w:hAnsi="Arial" w:cs="Arial"/>
          <w:color w:val="auto"/>
          <w:highlight w:val="none"/>
        </w:rPr>
        <w:t>（16）规费和税金项目计价表；</w:t>
      </w:r>
    </w:p>
    <w:p>
      <w:pPr>
        <w:pStyle w:val="31"/>
        <w:snapToGrid w:val="0"/>
        <w:spacing w:line="360" w:lineRule="auto"/>
        <w:ind w:firstLine="420" w:firstLineChars="200"/>
        <w:rPr>
          <w:rFonts w:ascii="Arial" w:hAnsi="Arial" w:cs="Arial"/>
          <w:color w:val="auto"/>
          <w:highlight w:val="none"/>
        </w:rPr>
      </w:pPr>
      <w:r>
        <w:rPr>
          <w:rFonts w:ascii="Arial" w:hAnsi="Arial" w:cs="Arial"/>
          <w:color w:val="auto"/>
          <w:highlight w:val="none"/>
        </w:rPr>
        <w:t xml:space="preserve"> （17）人工、主要材料和设备一览表</w:t>
      </w:r>
    </w:p>
    <w:p>
      <w:pPr>
        <w:pStyle w:val="31"/>
        <w:snapToGrid w:val="0"/>
        <w:spacing w:line="360" w:lineRule="auto"/>
        <w:ind w:firstLine="420" w:firstLineChars="200"/>
        <w:rPr>
          <w:rFonts w:ascii="Arial" w:hAnsi="Arial" w:cs="Arial"/>
          <w:color w:val="auto"/>
          <w:highlight w:val="none"/>
        </w:rPr>
      </w:pPr>
      <w:r>
        <w:rPr>
          <w:rFonts w:ascii="Arial" w:hAnsi="Arial" w:cs="Arial"/>
          <w:color w:val="auto"/>
          <w:highlight w:val="none"/>
        </w:rPr>
        <w:t>11.3.3按照招标文件要求填写的《参与编制经济标投标文件人员名单》。</w:t>
      </w:r>
    </w:p>
    <w:p>
      <w:pPr>
        <w:pStyle w:val="31"/>
        <w:snapToGrid w:val="0"/>
        <w:spacing w:line="360" w:lineRule="auto"/>
        <w:ind w:firstLine="420" w:firstLineChars="200"/>
        <w:rPr>
          <w:rFonts w:ascii="Arial" w:hAnsi="Arial" w:cs="Arial"/>
          <w:color w:val="auto"/>
          <w:highlight w:val="none"/>
        </w:rPr>
      </w:pPr>
      <w:r>
        <w:rPr>
          <w:rFonts w:ascii="Arial" w:hAnsi="Arial" w:cs="Arial"/>
          <w:color w:val="auto"/>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napToGrid w:val="0"/>
        <w:spacing w:line="360" w:lineRule="auto"/>
        <w:ind w:firstLine="472" w:firstLineChars="224"/>
        <w:rPr>
          <w:rFonts w:ascii="Arial" w:hAnsi="Arial" w:cs="Arial"/>
          <w:color w:val="auto"/>
          <w:highlight w:val="none"/>
        </w:rPr>
      </w:pPr>
      <w:r>
        <w:rPr>
          <w:rFonts w:ascii="Arial" w:hAnsi="Arial" w:cs="Arial"/>
          <w:b/>
          <w:color w:val="auto"/>
          <w:highlight w:val="none"/>
        </w:rPr>
        <w:t>现文：</w:t>
      </w:r>
      <w:r>
        <w:rPr>
          <w:rFonts w:ascii="Arial" w:hAnsi="Arial" w:cs="Arial"/>
          <w:color w:val="auto"/>
          <w:highlight w:val="none"/>
        </w:rPr>
        <w:t>11.3 经济部分投标文件主要包括下列内容：</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11.3.1 广州建设工程施工招标投标书(按招标文件附件</w:t>
      </w:r>
      <w:r>
        <w:rPr>
          <w:rFonts w:hint="eastAsia" w:ascii="Arial" w:hAnsi="Arial" w:cs="Arial"/>
          <w:color w:val="auto"/>
          <w:highlight w:val="none"/>
        </w:rPr>
        <w:t>二</w:t>
      </w:r>
      <w:r>
        <w:rPr>
          <w:rFonts w:ascii="Arial" w:hAnsi="Arial" w:cs="Arial"/>
          <w:color w:val="auto"/>
          <w:highlight w:val="none"/>
        </w:rPr>
        <w:t>的要求填写)。</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highlight w:val="none"/>
        </w:rPr>
        <w:t>的投标文件管理软件自动生成）</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11.3.3 按照招标文件要求填写的《参与编制经济标投标文件人员名单》。</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11.3.4 《对投标文件编制的承诺》(按招标文件附件</w:t>
      </w:r>
      <w:r>
        <w:rPr>
          <w:rFonts w:hint="eastAsia" w:ascii="Arial" w:hAnsi="Arial" w:cs="Arial"/>
          <w:color w:val="auto"/>
          <w:highlight w:val="none"/>
        </w:rPr>
        <w:t>四</w:t>
      </w:r>
      <w:r>
        <w:rPr>
          <w:rFonts w:ascii="Arial" w:hAnsi="Arial" w:cs="Arial"/>
          <w:color w:val="auto"/>
          <w:highlight w:val="none"/>
        </w:rPr>
        <w:t>的要求填写)。</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11.3.5 若投标人的投标报价低于工程成本警戒价的，投标人还须提供详细的施工组织设计、单价、措施性费用、单价分析表、主要材料价格表、投标人成本分析供评标委员会评审。</w:t>
      </w:r>
    </w:p>
    <w:p>
      <w:pPr>
        <w:snapToGrid w:val="0"/>
        <w:spacing w:line="360" w:lineRule="auto"/>
        <w:ind w:firstLine="495" w:firstLineChars="224"/>
        <w:rPr>
          <w:rFonts w:ascii="Arial" w:hAnsi="Arial" w:cs="Arial"/>
          <w:b/>
          <w:color w:val="auto"/>
          <w:sz w:val="22"/>
          <w:highlight w:val="none"/>
        </w:rPr>
      </w:pPr>
      <w:r>
        <w:rPr>
          <w:rFonts w:ascii="Arial" w:hAnsi="Arial" w:cs="Arial"/>
          <w:b/>
          <w:color w:val="auto"/>
          <w:sz w:val="22"/>
          <w:highlight w:val="none"/>
        </w:rPr>
        <w:t>条款号：12.2、12.3          修改类型：修改</w:t>
      </w:r>
    </w:p>
    <w:p>
      <w:pPr>
        <w:snapToGrid w:val="0"/>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snapToGrid w:val="0"/>
        <w:spacing w:line="360" w:lineRule="auto"/>
        <w:ind w:firstLine="470" w:firstLineChars="224"/>
        <w:rPr>
          <w:rFonts w:ascii="Arial" w:hAnsi="Arial" w:cs="Arial"/>
          <w:color w:val="auto"/>
          <w:highlight w:val="none"/>
        </w:rPr>
      </w:pPr>
      <w:r>
        <w:rPr>
          <w:rFonts w:ascii="Arial" w:hAnsi="Arial" w:cs="Arial"/>
          <w:color w:val="auto"/>
          <w:highlight w:val="none"/>
        </w:rPr>
        <w:t>12.3 投标文件应按照交易平台关于全流程电子化项目的相关指南进行编制，详见：</w:t>
      </w:r>
      <w:r>
        <w:rPr>
          <w:rFonts w:ascii="Arial" w:hAnsi="Arial" w:cs="Arial"/>
          <w:color w:val="auto"/>
          <w:highlight w:val="none"/>
          <w:u w:val="single"/>
        </w:rPr>
        <w:t xml:space="preserve">            </w:t>
      </w:r>
      <w:r>
        <w:rPr>
          <w:rFonts w:ascii="Arial" w:hAnsi="Arial" w:cs="Arial"/>
          <w:color w:val="auto"/>
          <w:highlight w:val="none"/>
        </w:rPr>
        <w:t>。</w:t>
      </w:r>
    </w:p>
    <w:p>
      <w:pPr>
        <w:pBdr>
          <w:bottom w:val="single" w:color="auto" w:sz="6" w:space="1"/>
        </w:pBdr>
        <w:snapToGrid w:val="0"/>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网站</w:t>
      </w:r>
      <w:r>
        <w:rPr>
          <w:rFonts w:ascii="Arial" w:hAnsi="Arial" w:cs="Arial"/>
          <w:color w:val="auto"/>
          <w:szCs w:val="21"/>
          <w:highlight w:val="none"/>
        </w:rPr>
        <w:t xml:space="preserve"> 。</w:t>
      </w:r>
    </w:p>
    <w:p>
      <w:pPr>
        <w:pBdr>
          <w:bottom w:val="single" w:color="auto" w:sz="6" w:space="1"/>
        </w:pBdr>
        <w:snapToGrid w:val="0"/>
        <w:spacing w:line="360" w:lineRule="auto"/>
        <w:ind w:firstLine="470" w:firstLineChars="224"/>
        <w:rPr>
          <w:rFonts w:ascii="Arial" w:hAnsi="Arial" w:cs="Arial"/>
          <w:color w:val="auto"/>
          <w:sz w:val="22"/>
          <w:highlight w:val="none"/>
        </w:rPr>
      </w:pPr>
      <w:r>
        <w:rPr>
          <w:rFonts w:ascii="Arial" w:hAnsi="Arial" w:cs="Arial"/>
          <w:color w:val="auto"/>
          <w:szCs w:val="21"/>
          <w:highlight w:val="none"/>
        </w:rPr>
        <w:t>12.3</w:t>
      </w:r>
      <w:r>
        <w:rPr>
          <w:rFonts w:ascii="Arial" w:hAnsi="Arial" w:cs="Arial"/>
          <w:color w:val="auto"/>
          <w:sz w:val="24"/>
          <w:highlight w:val="none"/>
        </w:rPr>
        <w:t xml:space="preserve"> </w:t>
      </w:r>
      <w:r>
        <w:rPr>
          <w:rFonts w:ascii="Arial" w:hAnsi="Arial" w:cs="Arial"/>
          <w:bCs/>
          <w:color w:val="auto"/>
          <w:szCs w:val="21"/>
          <w:highlight w:val="none"/>
        </w:rPr>
        <w:t>投标文件应按</w:t>
      </w:r>
      <w:r>
        <w:rPr>
          <w:rFonts w:ascii="Arial" w:hAnsi="Arial" w:cs="Arial"/>
          <w:color w:val="auto"/>
          <w:szCs w:val="21"/>
          <w:highlight w:val="none"/>
        </w:rPr>
        <w:t>照交易平台关于全流程电子化项目的相关指南进行编制，详见：</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网站</w:t>
      </w:r>
      <w:r>
        <w:rPr>
          <w:rFonts w:ascii="Arial" w:hAnsi="Arial" w:cs="Arial"/>
          <w:color w:val="auto"/>
          <w:szCs w:val="21"/>
          <w:highlight w:val="none"/>
        </w:rPr>
        <w:t>。</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条款号：13.1          修改类型：修改</w:t>
      </w:r>
    </w:p>
    <w:p>
      <w:pPr>
        <w:spacing w:line="440" w:lineRule="exact"/>
        <w:ind w:firstLine="472" w:firstLineChars="224"/>
        <w:rPr>
          <w:rFonts w:ascii="Arial" w:hAnsi="Arial" w:cs="Arial"/>
          <w:color w:val="auto"/>
          <w:sz w:val="18"/>
          <w:highlight w:val="none"/>
        </w:rPr>
      </w:pPr>
      <w:r>
        <w:rPr>
          <w:rFonts w:ascii="Arial" w:hAnsi="Arial" w:cs="Arial"/>
          <w:b/>
          <w:color w:val="auto"/>
          <w:highlight w:val="none"/>
        </w:rPr>
        <w:t>原文：</w:t>
      </w:r>
      <w:r>
        <w:rPr>
          <w:rFonts w:ascii="Arial" w:hAnsi="Arial" w:cs="Arial"/>
          <w:color w:val="auto"/>
          <w:highlight w:val="none"/>
        </w:rPr>
        <w:t>13.1 本工程的投标报价采用投标须知前附表第12项所规定的方式。投标报价（含单价及总价）精确到“分”。</w:t>
      </w:r>
    </w:p>
    <w:p>
      <w:pPr>
        <w:pBdr>
          <w:bottom w:val="single" w:color="auto" w:sz="6" w:space="1"/>
        </w:pBdr>
        <w:spacing w:line="440" w:lineRule="exact"/>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highlight w:val="none"/>
        </w:rPr>
        <w:t>13.1 本工程的投标报价采用投标须知前附表第12项所规定的方式。</w:t>
      </w:r>
      <w:r>
        <w:rPr>
          <w:rFonts w:ascii="Arial" w:hAnsi="Arial" w:cs="Arial"/>
          <w:color w:val="auto"/>
          <w:szCs w:val="21"/>
          <w:highlight w:val="none"/>
          <w:u w:val="single"/>
        </w:rPr>
        <w:t>投标文件中的大写金额和小写金额不一致的，以大写金额为准，</w:t>
      </w:r>
      <w:r>
        <w:rPr>
          <w:rFonts w:ascii="Arial" w:hAnsi="Arial" w:cs="Arial"/>
          <w:color w:val="auto"/>
          <w:highlight w:val="none"/>
        </w:rPr>
        <w:t>投标报价（含单价及总价）精确到“分”。</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 xml:space="preserve">条款号： </w:t>
      </w:r>
      <w:r>
        <w:rPr>
          <w:rFonts w:ascii="Arial" w:hAnsi="Arial" w:cs="Arial"/>
          <w:color w:val="auto"/>
          <w:szCs w:val="21"/>
          <w:highlight w:val="none"/>
        </w:rPr>
        <w:t>13.3</w:t>
      </w:r>
      <w:r>
        <w:rPr>
          <w:rFonts w:ascii="Arial" w:hAnsi="Arial" w:cs="Arial"/>
          <w:b/>
          <w:color w:val="auto"/>
          <w:szCs w:val="21"/>
          <w:highlight w:val="none"/>
        </w:rPr>
        <w:t xml:space="preserve">            修改类型：修改</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13.3</w:t>
      </w:r>
      <w:r>
        <w:rPr>
          <w:rFonts w:ascii="Arial" w:hAnsi="Arial" w:cs="Arial"/>
          <w:bCs/>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460" w:lineRule="exact"/>
        <w:ind w:firstLine="413" w:firstLineChars="196"/>
        <w:rPr>
          <w:rFonts w:ascii="Arial" w:hAnsi="Arial" w:cs="Arial"/>
          <w:color w:val="auto"/>
          <w:szCs w:val="21"/>
          <w:highlight w:val="none"/>
        </w:rPr>
      </w:pPr>
      <w:r>
        <w:rPr>
          <w:rFonts w:ascii="Arial" w:hAnsi="Arial" w:cs="Arial"/>
          <w:b/>
          <w:color w:val="auto"/>
          <w:szCs w:val="21"/>
          <w:highlight w:val="none"/>
        </w:rPr>
        <w:t>现文：</w:t>
      </w:r>
      <w:r>
        <w:rPr>
          <w:rFonts w:hint="eastAsia" w:ascii="宋体" w:hAnsi="宋体" w:eastAsia="宋体" w:cs="宋体"/>
          <w:bCs/>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bCs/>
          <w:color w:val="auto"/>
          <w:szCs w:val="21"/>
          <w:highlight w:val="none"/>
          <w:u w:val="single"/>
        </w:rPr>
        <w:t>提供的招标图纸（包括有关于本项目招标的相关资料）及</w:t>
      </w:r>
      <w:r>
        <w:rPr>
          <w:rFonts w:hint="eastAsia" w:ascii="宋体" w:hAnsi="宋体" w:eastAsia="宋体" w:cs="宋体"/>
          <w:bCs/>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eastAsia="宋体" w:cs="宋体"/>
          <w:bCs/>
          <w:color w:val="auto"/>
          <w:szCs w:val="21"/>
          <w:highlight w:val="none"/>
          <w:u w:val="single"/>
        </w:rPr>
        <w:t>费率</w:t>
      </w:r>
      <w:r>
        <w:rPr>
          <w:rFonts w:hint="eastAsia" w:ascii="宋体" w:hAnsi="宋体" w:eastAsia="宋体" w:cs="宋体"/>
          <w:bCs/>
          <w:color w:val="auto"/>
          <w:szCs w:val="21"/>
          <w:highlight w:val="none"/>
        </w:rPr>
        <w:t>、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 xml:space="preserve">条款号： </w:t>
      </w:r>
      <w:r>
        <w:rPr>
          <w:rFonts w:ascii="Arial" w:hAnsi="Arial" w:cs="Arial"/>
          <w:color w:val="auto"/>
          <w:szCs w:val="21"/>
          <w:highlight w:val="none"/>
        </w:rPr>
        <w:t>13.4</w:t>
      </w:r>
      <w:r>
        <w:rPr>
          <w:rFonts w:ascii="Arial" w:hAnsi="Arial" w:cs="Arial"/>
          <w:b/>
          <w:color w:val="auto"/>
          <w:szCs w:val="21"/>
          <w:highlight w:val="none"/>
        </w:rPr>
        <w:t xml:space="preserve">            修改类型：修改</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原文：13.4</w:t>
      </w:r>
      <w:r>
        <w:rPr>
          <w:rFonts w:ascii="Arial" w:hAnsi="Arial" w:cs="Arial"/>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440" w:lineRule="exact"/>
        <w:ind w:firstLine="527" w:firstLineChars="250"/>
        <w:rPr>
          <w:rFonts w:ascii="Arial" w:hAnsi="Arial" w:cs="Arial"/>
          <w:color w:val="auto"/>
          <w:szCs w:val="21"/>
          <w:highlight w:val="none"/>
        </w:rPr>
      </w:pPr>
      <w:r>
        <w:rPr>
          <w:rFonts w:ascii="Arial" w:hAnsi="Arial" w:cs="Arial"/>
          <w:b/>
          <w:color w:val="auto"/>
          <w:szCs w:val="21"/>
          <w:highlight w:val="none"/>
        </w:rPr>
        <w:t>现文：13.4</w:t>
      </w:r>
      <w:r>
        <w:rPr>
          <w:rFonts w:hint="eastAsia" w:ascii="Arial" w:hAnsi="Arial" w:cs="Arial"/>
          <w:color w:val="auto"/>
          <w:szCs w:val="21"/>
          <w:highlight w:val="none"/>
          <w:u w:val="single"/>
        </w:rPr>
        <w:t>该约定内容按本招标文件第七章《工程量清单》相关要求及本工程施工合同专用条款约定执行。</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13.5</w:t>
      </w:r>
      <w:r>
        <w:rPr>
          <w:rFonts w:ascii="Arial" w:hAnsi="Arial" w:cs="Arial"/>
          <w:b/>
          <w:color w:val="auto"/>
          <w:szCs w:val="21"/>
          <w:highlight w:val="none"/>
        </w:rPr>
        <w:t xml:space="preserve">  </w:t>
      </w:r>
      <w:r>
        <w:rPr>
          <w:rFonts w:ascii="Arial" w:hAnsi="Arial" w:cs="Arial"/>
          <w:color w:val="auto"/>
          <w:szCs w:val="21"/>
          <w:highlight w:val="none"/>
        </w:rPr>
        <w:t>13.5.1</w:t>
      </w:r>
      <w:r>
        <w:rPr>
          <w:rFonts w:ascii="Arial" w:hAnsi="Arial" w:cs="Arial"/>
          <w:b/>
          <w:color w:val="auto"/>
          <w:szCs w:val="21"/>
          <w:highlight w:val="none"/>
        </w:rPr>
        <w:t xml:space="preserve">  </w:t>
      </w:r>
      <w:r>
        <w:rPr>
          <w:rFonts w:ascii="Arial" w:hAnsi="Arial" w:cs="Arial"/>
          <w:color w:val="auto"/>
          <w:szCs w:val="21"/>
          <w:highlight w:val="none"/>
        </w:rPr>
        <w:t>13.5.2</w:t>
      </w:r>
      <w:r>
        <w:rPr>
          <w:rFonts w:ascii="Arial" w:hAnsi="Arial" w:cs="Arial"/>
          <w:b/>
          <w:color w:val="auto"/>
          <w:szCs w:val="21"/>
          <w:highlight w:val="none"/>
        </w:rPr>
        <w:t xml:space="preserve">  </w:t>
      </w:r>
      <w:r>
        <w:rPr>
          <w:rFonts w:ascii="Arial" w:hAnsi="Arial" w:cs="Arial"/>
          <w:color w:val="auto"/>
          <w:szCs w:val="21"/>
          <w:highlight w:val="none"/>
        </w:rPr>
        <w:t>13.5.3</w:t>
      </w:r>
      <w:r>
        <w:rPr>
          <w:rFonts w:ascii="Arial" w:hAnsi="Arial" w:cs="Arial"/>
          <w:b/>
          <w:color w:val="auto"/>
          <w:szCs w:val="21"/>
          <w:highlight w:val="none"/>
        </w:rPr>
        <w:t xml:space="preserve">  </w:t>
      </w:r>
      <w:r>
        <w:rPr>
          <w:rFonts w:ascii="Arial" w:hAnsi="Arial" w:cs="Arial"/>
          <w:color w:val="auto"/>
          <w:szCs w:val="21"/>
          <w:highlight w:val="none"/>
        </w:rPr>
        <w:t>13.5.4</w:t>
      </w:r>
      <w:r>
        <w:rPr>
          <w:rFonts w:ascii="Arial" w:hAnsi="Arial" w:cs="Arial"/>
          <w:b/>
          <w:color w:val="auto"/>
          <w:szCs w:val="21"/>
          <w:highlight w:val="none"/>
        </w:rPr>
        <w:t xml:space="preserve">          修改类型：修改</w:t>
      </w:r>
    </w:p>
    <w:p>
      <w:pPr>
        <w:pStyle w:val="4"/>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13.5工程项目实施期间……，中标后双方协商约定。</w:t>
      </w:r>
    </w:p>
    <w:p>
      <w:pPr>
        <w:pStyle w:val="4"/>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13.5</w:t>
      </w:r>
      <w:r>
        <w:rPr>
          <w:rFonts w:ascii="Arial" w:hAnsi="Arial" w:cs="Arial"/>
          <w:color w:val="auto"/>
          <w:szCs w:val="21"/>
          <w:highlight w:val="none"/>
          <w:u w:val="single"/>
        </w:rPr>
        <w:t>变更结算方式按招标文件及施工合同相关规定执行。</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13.6</w:t>
      </w:r>
      <w:r>
        <w:rPr>
          <w:rFonts w:ascii="Arial" w:hAnsi="Arial" w:cs="Arial"/>
          <w:b/>
          <w:color w:val="auto"/>
          <w:szCs w:val="21"/>
          <w:highlight w:val="none"/>
        </w:rPr>
        <w:t xml:space="preserve">              修改类型：修改</w:t>
      </w:r>
    </w:p>
    <w:p>
      <w:pPr>
        <w:pStyle w:val="4"/>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13.6 暂列金额、暂估价</w:t>
      </w:r>
    </w:p>
    <w:p>
      <w:pPr>
        <w:pStyle w:val="4"/>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13.6</w:t>
      </w:r>
      <w:r>
        <w:rPr>
          <w:rFonts w:ascii="Arial" w:hAnsi="Arial" w:cs="Arial"/>
          <w:color w:val="auto"/>
          <w:szCs w:val="21"/>
          <w:highlight w:val="none"/>
          <w:u w:val="single"/>
        </w:rPr>
        <w:t>暂列金额、暂估价按施工合同相关规定执行。</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条款号：16.1-16.6            修改类型：修改</w:t>
      </w:r>
    </w:p>
    <w:p>
      <w:pPr>
        <w:widowControl/>
        <w:jc w:val="left"/>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kern w:val="0"/>
          <w:sz w:val="22"/>
          <w:highlight w:val="none"/>
        </w:rPr>
        <w:t>16.1投标人应按投标须知前附表第14项所述金额和时间递交投标保证金。招标人不得限定投标保证金只能以现金形式提交。投标保证金以现金或者支票形式提交的，必须由投标人的银行基本账户转出。</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16.2招标人可委托</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交易平台具体实施保证金的收取和退还工作。通过</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交易平台递交投标保证金的相关事宜，请自行咨询</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16.3</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交易平台代收投标保证金的，其缴纳情况以</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交易平台数据库记录的信息为准。</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16.4开标时投标人没有按要求提供投标保证金的，其投标文件将被否决。</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16.5中标候选人以外的投标人的投标保证金将尽快退还，最迟不超过中标通知书发出之日起五日内。</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16.6中标人和其他中标候选人的投标保证金，在书面合同订立之日起五日内予以退还。</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16.7如有下列情况之一的，招标人不予退还投标保证金：</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16.7.1因投标人原因造成投标文件未解密的；</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16.7.2投标人在投标有效期内撤回投标文件；</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16.7.3中标人未能在规定期限内按要求提交履约担保；</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16.7.4中标人未能在规定期限内签署合同协议。</w:t>
      </w:r>
    </w:p>
    <w:p>
      <w:pPr>
        <w:pStyle w:val="54"/>
        <w:pBdr>
          <w:bottom w:val="single" w:color="auto" w:sz="4" w:space="0"/>
        </w:pBdr>
        <w:ind w:left="0" w:leftChars="0" w:firstLine="0" w:firstLineChars="0"/>
        <w:rPr>
          <w:rFonts w:hint="eastAsia" w:ascii="宋体" w:hAnsi="宋体" w:eastAsia="宋体" w:cs="宋体"/>
          <w:b/>
          <w:bCs/>
          <w:color w:val="auto"/>
          <w:szCs w:val="24"/>
          <w:highlight w:val="none"/>
          <w:u w:val="single"/>
          <w:lang w:val="en-US" w:eastAsia="zh-CN"/>
        </w:rPr>
      </w:pPr>
      <w:r>
        <w:rPr>
          <w:rFonts w:hint="eastAsia" w:ascii="宋体" w:hAnsi="宋体" w:eastAsia="宋体" w:cs="宋体"/>
          <w:b/>
          <w:bCs/>
          <w:color w:val="auto"/>
          <w:szCs w:val="24"/>
          <w:highlight w:val="none"/>
        </w:rPr>
        <w:t>现文：</w:t>
      </w:r>
      <w:r>
        <w:rPr>
          <w:rFonts w:hint="eastAsia" w:ascii="宋体" w:hAnsi="宋体" w:eastAsia="宋体" w:cs="宋体"/>
          <w:color w:val="auto"/>
          <w:kern w:val="0"/>
          <w:sz w:val="22"/>
          <w:highlight w:val="none"/>
        </w:rPr>
        <w:t>16.1</w:t>
      </w:r>
      <w:r>
        <w:rPr>
          <w:rFonts w:hint="eastAsia" w:ascii="宋体" w:hAnsi="宋体" w:cs="宋体"/>
          <w:color w:val="auto"/>
          <w:kern w:val="0"/>
          <w:sz w:val="22"/>
          <w:highlight w:val="none"/>
          <w:u w:val="single"/>
          <w:lang w:val="en-US" w:eastAsia="zh-CN"/>
        </w:rPr>
        <w:t>本项目不收取投标保证金。</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17.1</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highlight w:val="none"/>
        </w:rPr>
        <w:t>原文：</w:t>
      </w:r>
      <w:r>
        <w:rPr>
          <w:rFonts w:ascii="Arial" w:hAnsi="Arial" w:cs="Arial"/>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pStyle w:val="4"/>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网站 </w:t>
      </w:r>
      <w:r>
        <w:rPr>
          <w:rFonts w:ascii="Arial" w:hAnsi="Arial" w:cs="Arial"/>
          <w:color w:val="auto"/>
          <w:szCs w:val="21"/>
          <w:highlight w:val="none"/>
        </w:rPr>
        <w:t xml:space="preserve"> </w:t>
      </w:r>
      <w:r>
        <w:rPr>
          <w:rFonts w:ascii="Arial" w:hAnsi="Arial" w:cs="Arial"/>
          <w:color w:val="auto"/>
          <w:szCs w:val="21"/>
          <w:highlight w:val="none"/>
          <w:u w:val="single"/>
        </w:rPr>
        <w:t>。</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18、19</w:t>
      </w:r>
      <w:r>
        <w:rPr>
          <w:rFonts w:ascii="Arial" w:hAnsi="Arial" w:cs="Arial"/>
          <w:b/>
          <w:color w:val="auto"/>
          <w:szCs w:val="21"/>
          <w:highlight w:val="none"/>
        </w:rPr>
        <w:t xml:space="preserve">          修改类型：修改</w:t>
      </w:r>
    </w:p>
    <w:p>
      <w:pPr>
        <w:pStyle w:val="4"/>
        <w:spacing w:after="0" w:line="360" w:lineRule="auto"/>
        <w:ind w:firstLine="422" w:firstLineChars="200"/>
        <w:rPr>
          <w:rFonts w:ascii="Arial" w:hAnsi="Arial" w:cs="Arial"/>
          <w:b/>
          <w:bCs/>
          <w:color w:val="auto"/>
          <w:szCs w:val="21"/>
          <w:highlight w:val="none"/>
        </w:rPr>
      </w:pPr>
      <w:r>
        <w:rPr>
          <w:rFonts w:ascii="Arial" w:hAnsi="Arial" w:cs="Arial"/>
          <w:b/>
          <w:color w:val="auto"/>
          <w:highlight w:val="none"/>
        </w:rPr>
        <w:t>原文：</w:t>
      </w:r>
      <w:r>
        <w:rPr>
          <w:rFonts w:ascii="Arial" w:hAnsi="Arial" w:cs="Arial"/>
          <w:b/>
          <w:bCs/>
          <w:color w:val="auto"/>
          <w:szCs w:val="21"/>
          <w:highlight w:val="none"/>
        </w:rPr>
        <w:t>18．</w:t>
      </w:r>
      <w:r>
        <w:rPr>
          <w:rFonts w:ascii="Arial" w:hAnsi="Arial" w:cs="Arial"/>
          <w:b/>
          <w:color w:val="auto"/>
          <w:szCs w:val="21"/>
          <w:highlight w:val="none"/>
        </w:rPr>
        <w:t>投标文件的密封和标记</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18.1递交的电子投标文件（不含备用光盘）必须进行加密。按照交易平台关于</w:t>
      </w:r>
      <w:r>
        <w:rPr>
          <w:rFonts w:ascii="Arial" w:hAnsi="Arial" w:cs="Arial"/>
          <w:color w:val="auto"/>
          <w:szCs w:val="21"/>
          <w:highlight w:val="none"/>
        </w:rPr>
        <w:t>全流程电子化项目的相关指南进行操作。详见：</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18.2 未按要求加密的投标文件，</w:t>
      </w:r>
      <w:r>
        <w:rPr>
          <w:rFonts w:ascii="Arial" w:hAnsi="Arial" w:cs="Arial"/>
          <w:color w:val="auto"/>
          <w:szCs w:val="21"/>
          <w:highlight w:val="none"/>
          <w:u w:val="single"/>
        </w:rPr>
        <w:t xml:space="preserve">        </w:t>
      </w:r>
      <w:r>
        <w:rPr>
          <w:rFonts w:ascii="Arial" w:hAnsi="Arial" w:cs="Arial"/>
          <w:color w:val="auto"/>
          <w:szCs w:val="21"/>
          <w:highlight w:val="none"/>
        </w:rPr>
        <w:t>交易平台</w:t>
      </w:r>
      <w:r>
        <w:rPr>
          <w:rFonts w:ascii="Arial" w:hAnsi="Arial" w:cs="Arial"/>
          <w:bCs/>
          <w:color w:val="auto"/>
          <w:szCs w:val="21"/>
          <w:highlight w:val="none"/>
        </w:rPr>
        <w:t>将予以拒收。</w:t>
      </w:r>
    </w:p>
    <w:p>
      <w:pPr>
        <w:spacing w:line="360" w:lineRule="auto"/>
        <w:ind w:firstLine="422" w:firstLineChars="200"/>
        <w:rPr>
          <w:rFonts w:ascii="Arial" w:hAnsi="Arial" w:cs="Arial"/>
          <w:b/>
          <w:bCs/>
          <w:color w:val="auto"/>
          <w:szCs w:val="21"/>
          <w:highlight w:val="none"/>
        </w:rPr>
      </w:pPr>
      <w:r>
        <w:rPr>
          <w:rFonts w:ascii="Arial" w:hAnsi="Arial" w:cs="Arial"/>
          <w:b/>
          <w:bCs/>
          <w:color w:val="auto"/>
          <w:szCs w:val="21"/>
          <w:highlight w:val="none"/>
        </w:rPr>
        <w:t>19．投标文件的递交和接收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19.1投标人通过</w:t>
      </w:r>
      <w:r>
        <w:rPr>
          <w:rFonts w:ascii="Arial" w:hAnsi="Arial" w:cs="Arial"/>
          <w:color w:val="auto"/>
          <w:szCs w:val="21"/>
          <w:highlight w:val="none"/>
          <w:u w:val="single"/>
        </w:rPr>
        <w:t xml:space="preserve">        </w:t>
      </w:r>
      <w:r>
        <w:rPr>
          <w:rFonts w:ascii="Arial" w:hAnsi="Arial" w:cs="Arial"/>
          <w:color w:val="auto"/>
          <w:szCs w:val="21"/>
          <w:highlight w:val="none"/>
        </w:rPr>
        <w:t>交易平台递交电子投标文件。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19.2投标人完成电子</w:t>
      </w:r>
      <w:r>
        <w:rPr>
          <w:rFonts w:ascii="Arial" w:hAnsi="Arial" w:cs="Arial"/>
          <w:color w:val="auto"/>
          <w:szCs w:val="21"/>
          <w:highlight w:val="none"/>
        </w:rPr>
        <w:t>投标文件</w:t>
      </w:r>
      <w:r>
        <w:rPr>
          <w:rFonts w:ascii="Arial" w:hAnsi="Arial" w:cs="Arial"/>
          <w:bCs/>
          <w:color w:val="auto"/>
          <w:szCs w:val="21"/>
          <w:highlight w:val="none"/>
        </w:rPr>
        <w:t>上传后，</w:t>
      </w:r>
      <w:r>
        <w:rPr>
          <w:rFonts w:ascii="Arial" w:hAnsi="Arial" w:cs="Arial"/>
          <w:color w:val="auto"/>
          <w:szCs w:val="21"/>
          <w:highlight w:val="none"/>
          <w:u w:val="single"/>
        </w:rPr>
        <w:t xml:space="preserve">        </w:t>
      </w:r>
      <w:r>
        <w:rPr>
          <w:rFonts w:ascii="Arial" w:hAnsi="Arial" w:cs="Arial"/>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Arial" w:hAnsi="Arial" w:cs="Arial"/>
          <w:color w:val="auto"/>
          <w:szCs w:val="21"/>
          <w:highlight w:val="none"/>
        </w:rPr>
      </w:pPr>
      <w:r>
        <w:rPr>
          <w:rFonts w:ascii="Arial" w:hAnsi="Arial" w:cs="Arial"/>
          <w:bCs/>
          <w:color w:val="auto"/>
          <w:szCs w:val="21"/>
          <w:highlight w:val="none"/>
        </w:rPr>
        <w:t>19.3逾期送达的电子投标文件，</w:t>
      </w:r>
      <w:r>
        <w:rPr>
          <w:rFonts w:ascii="Arial" w:hAnsi="Arial" w:cs="Arial"/>
          <w:color w:val="auto"/>
          <w:szCs w:val="21"/>
          <w:highlight w:val="none"/>
          <w:u w:val="single"/>
        </w:rPr>
        <w:t xml:space="preserve">        </w:t>
      </w:r>
      <w:r>
        <w:rPr>
          <w:rFonts w:ascii="Arial" w:hAnsi="Arial" w:cs="Arial"/>
          <w:color w:val="auto"/>
          <w:szCs w:val="21"/>
          <w:highlight w:val="none"/>
        </w:rPr>
        <w:t>交易平台将予以拒收。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19.4 投标截止前，招标人拒绝接收符合条件的投标文件，投标人可向招标投标监督机构投诉。</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19.5如技术标和经济标先后分别开启，</w:t>
      </w:r>
      <w:r>
        <w:rPr>
          <w:rFonts w:ascii="Arial" w:hAnsi="Arial" w:cs="Arial"/>
          <w:color w:val="auto"/>
          <w:szCs w:val="21"/>
          <w:highlight w:val="none"/>
          <w:u w:val="single"/>
        </w:rPr>
        <w:t xml:space="preserve">        </w:t>
      </w:r>
      <w:r>
        <w:rPr>
          <w:rFonts w:ascii="Arial" w:hAnsi="Arial" w:cs="Arial"/>
          <w:color w:val="auto"/>
          <w:szCs w:val="21"/>
          <w:highlight w:val="none"/>
        </w:rPr>
        <w:t>交易平台将按招标文件规定的时间分别开启技术标和经济标。</w:t>
      </w:r>
    </w:p>
    <w:p>
      <w:pPr>
        <w:spacing w:line="360" w:lineRule="auto"/>
        <w:ind w:firstLine="470" w:firstLineChars="224"/>
        <w:rPr>
          <w:rFonts w:ascii="Arial" w:hAnsi="Arial" w:cs="Arial"/>
          <w:b/>
          <w:color w:val="auto"/>
          <w:szCs w:val="21"/>
          <w:highlight w:val="none"/>
        </w:rPr>
      </w:pPr>
      <w:r>
        <w:rPr>
          <w:rFonts w:ascii="Arial" w:hAnsi="Arial" w:cs="Arial"/>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4"/>
        <w:spacing w:after="0" w:line="360" w:lineRule="auto"/>
        <w:ind w:firstLine="422" w:firstLineChars="200"/>
        <w:rPr>
          <w:rFonts w:ascii="Arial" w:hAnsi="Arial" w:cs="Arial"/>
          <w:b/>
          <w:bCs/>
          <w:color w:val="auto"/>
          <w:szCs w:val="21"/>
          <w:highlight w:val="none"/>
        </w:rPr>
      </w:pPr>
      <w:r>
        <w:rPr>
          <w:rFonts w:ascii="Arial" w:hAnsi="Arial" w:cs="Arial"/>
          <w:b/>
          <w:color w:val="auto"/>
          <w:szCs w:val="21"/>
          <w:highlight w:val="none"/>
        </w:rPr>
        <w:t>现文：</w:t>
      </w:r>
      <w:r>
        <w:rPr>
          <w:rFonts w:ascii="Arial" w:hAnsi="Arial" w:cs="Arial"/>
          <w:b/>
          <w:bCs/>
          <w:color w:val="auto"/>
          <w:szCs w:val="21"/>
          <w:highlight w:val="none"/>
        </w:rPr>
        <w:t>18．</w:t>
      </w:r>
      <w:r>
        <w:rPr>
          <w:rFonts w:ascii="Arial" w:hAnsi="Arial" w:cs="Arial"/>
          <w:b/>
          <w:color w:val="auto"/>
          <w:szCs w:val="21"/>
          <w:highlight w:val="none"/>
        </w:rPr>
        <w:t>投标文件的密封和标记</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18.1递交的电子投标文件（不含备用光盘）必须进行加密。按照交易平台关于</w:t>
      </w:r>
      <w:r>
        <w:rPr>
          <w:rFonts w:ascii="Arial" w:hAnsi="Arial" w:cs="Arial"/>
          <w:color w:val="auto"/>
          <w:szCs w:val="21"/>
          <w:highlight w:val="none"/>
        </w:rPr>
        <w:t>全流程电子化项目的相关指南进行操作。详见：</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心网站  </w:t>
      </w:r>
      <w:r>
        <w:rPr>
          <w:rFonts w:ascii="Arial" w:hAnsi="Arial" w:cs="Arial"/>
          <w:color w:val="auto"/>
          <w:szCs w:val="21"/>
          <w:highlight w:val="none"/>
        </w:rPr>
        <w:t xml:space="preserve"> 。</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18.2 未按要求加密的投标文件，</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rPr>
        <w:t>交易平台</w:t>
      </w:r>
      <w:r>
        <w:rPr>
          <w:rFonts w:ascii="Arial" w:hAnsi="Arial" w:cs="Arial"/>
          <w:bCs/>
          <w:color w:val="auto"/>
          <w:szCs w:val="21"/>
          <w:highlight w:val="none"/>
        </w:rPr>
        <w:t>将予以拒收。</w:t>
      </w:r>
    </w:p>
    <w:p>
      <w:pPr>
        <w:spacing w:line="360" w:lineRule="auto"/>
        <w:ind w:firstLine="422" w:firstLineChars="200"/>
        <w:rPr>
          <w:rFonts w:ascii="Arial" w:hAnsi="Arial" w:cs="Arial"/>
          <w:b/>
          <w:bCs/>
          <w:color w:val="auto"/>
          <w:szCs w:val="21"/>
          <w:highlight w:val="none"/>
        </w:rPr>
      </w:pPr>
      <w:r>
        <w:rPr>
          <w:rFonts w:ascii="Arial" w:hAnsi="Arial" w:cs="Arial"/>
          <w:b/>
          <w:bCs/>
          <w:color w:val="auto"/>
          <w:szCs w:val="21"/>
          <w:highlight w:val="none"/>
        </w:rPr>
        <w:t>19．投标文件的递交和接收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19.1投标人通过</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交易平台递交电子投标文件。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19.2投标人完成电子</w:t>
      </w:r>
      <w:r>
        <w:rPr>
          <w:rFonts w:ascii="Arial" w:hAnsi="Arial" w:cs="Arial"/>
          <w:color w:val="auto"/>
          <w:szCs w:val="21"/>
          <w:highlight w:val="none"/>
        </w:rPr>
        <w:t>投标文件</w:t>
      </w:r>
      <w:r>
        <w:rPr>
          <w:rFonts w:ascii="Arial" w:hAnsi="Arial" w:cs="Arial"/>
          <w:bCs/>
          <w:color w:val="auto"/>
          <w:szCs w:val="21"/>
          <w:highlight w:val="none"/>
        </w:rPr>
        <w:t>上传后，</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Arial" w:hAnsi="Arial" w:cs="Arial"/>
          <w:color w:val="auto"/>
          <w:szCs w:val="21"/>
          <w:highlight w:val="none"/>
        </w:rPr>
      </w:pPr>
      <w:r>
        <w:rPr>
          <w:rFonts w:ascii="Arial" w:hAnsi="Arial" w:cs="Arial"/>
          <w:bCs/>
          <w:color w:val="auto"/>
          <w:szCs w:val="21"/>
          <w:highlight w:val="none"/>
        </w:rPr>
        <w:t>19.3逾期送达的电子投标文件，</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交易平台将予以拒收。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19.4 投标截止前，招标人拒绝接收符合条件的投标文件，投标人可向招标投标监督机构投诉。</w:t>
      </w:r>
    </w:p>
    <w:p>
      <w:pPr>
        <w:pStyle w:val="4"/>
        <w:pBdr>
          <w:bottom w:val="single" w:color="auto" w:sz="6" w:space="1"/>
        </w:pBdr>
        <w:spacing w:after="0" w:line="360" w:lineRule="auto"/>
        <w:ind w:firstLineChars="200"/>
        <w:rPr>
          <w:rFonts w:ascii="Arial" w:hAnsi="Arial" w:cs="Arial"/>
          <w:color w:val="auto"/>
          <w:szCs w:val="21"/>
          <w:highlight w:val="none"/>
        </w:rPr>
      </w:pPr>
      <w:r>
        <w:rPr>
          <w:rFonts w:hint="eastAsia" w:ascii="Arial" w:hAnsi="Arial" w:cs="Arial"/>
          <w:color w:val="auto"/>
          <w:szCs w:val="21"/>
          <w:highlight w:val="none"/>
        </w:rPr>
        <w:t>19.5技术标和经济标同时开启，</w:t>
      </w:r>
      <w:r>
        <w:rPr>
          <w:rFonts w:hint="eastAsia" w:ascii="宋体" w:hAnsi="宋体" w:eastAsia="宋体" w:cs="宋体"/>
          <w:bCs/>
          <w:color w:val="auto"/>
          <w:szCs w:val="21"/>
          <w:highlight w:val="none"/>
          <w:u w:val="single"/>
        </w:rPr>
        <w:t>广州交易集团有限公司（广州公共资源交易中心）</w:t>
      </w:r>
      <w:r>
        <w:rPr>
          <w:rFonts w:hint="eastAsia" w:ascii="Arial" w:hAnsi="Arial" w:cs="Arial"/>
          <w:color w:val="auto"/>
          <w:szCs w:val="21"/>
          <w:highlight w:val="none"/>
        </w:rPr>
        <w:t>交易平台将按招标文件规定的时间同时开启技术标和经济标。</w:t>
      </w:r>
    </w:p>
    <w:p>
      <w:pPr>
        <w:adjustRightInd w:val="0"/>
        <w:spacing w:line="360" w:lineRule="auto"/>
        <w:ind w:firstLine="470" w:firstLineChars="223"/>
        <w:rPr>
          <w:rFonts w:ascii="Arial" w:hAnsi="Arial" w:cs="Arial"/>
          <w:b/>
          <w:color w:val="auto"/>
          <w:szCs w:val="21"/>
          <w:highlight w:val="none"/>
          <w:lang w:bidi="ar"/>
        </w:rPr>
      </w:pPr>
      <w:r>
        <w:rPr>
          <w:rFonts w:ascii="Arial" w:hAnsi="Arial" w:cs="Arial"/>
          <w:b/>
          <w:color w:val="auto"/>
          <w:szCs w:val="21"/>
          <w:highlight w:val="none"/>
          <w:lang w:bidi="ar"/>
        </w:rPr>
        <w:t>条款号：20.3             修改类型：修改</w:t>
      </w:r>
    </w:p>
    <w:p>
      <w:pPr>
        <w:adjustRightInd w:val="0"/>
        <w:spacing w:line="360" w:lineRule="auto"/>
        <w:ind w:firstLine="472" w:firstLineChars="224"/>
        <w:rPr>
          <w:rFonts w:ascii="Arial" w:hAnsi="Arial" w:cs="Arial"/>
          <w:b/>
          <w:color w:val="auto"/>
          <w:szCs w:val="21"/>
          <w:highlight w:val="none"/>
        </w:rPr>
      </w:pPr>
      <w:r>
        <w:rPr>
          <w:rFonts w:ascii="Arial" w:hAnsi="Arial" w:cs="Arial"/>
          <w:b/>
          <w:bCs/>
          <w:color w:val="auto"/>
          <w:szCs w:val="21"/>
          <w:highlight w:val="none"/>
        </w:rPr>
        <w:t>原文：</w:t>
      </w:r>
      <w:r>
        <w:rPr>
          <w:rFonts w:ascii="Arial" w:hAnsi="Arial" w:cs="Arial"/>
          <w:color w:val="auto"/>
          <w:szCs w:val="21"/>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527" w:firstLineChars="250"/>
        <w:rPr>
          <w:rFonts w:ascii="Arial" w:hAnsi="Arial" w:cs="Arial"/>
          <w:b/>
          <w:color w:val="auto"/>
          <w:szCs w:val="21"/>
          <w:highlight w:val="none"/>
        </w:rPr>
      </w:pPr>
      <w:r>
        <w:rPr>
          <w:rFonts w:ascii="Arial" w:hAnsi="Arial" w:cs="Arial"/>
          <w:b/>
          <w:bCs/>
          <w:color w:val="auto"/>
          <w:szCs w:val="21"/>
          <w:highlight w:val="none"/>
        </w:rPr>
        <w:t>现文：</w:t>
      </w:r>
      <w:r>
        <w:rPr>
          <w:rFonts w:ascii="Arial" w:hAnsi="Arial" w:cs="Arial"/>
          <w:color w:val="auto"/>
          <w:szCs w:val="21"/>
          <w:highlight w:val="none"/>
        </w:rPr>
        <w:t>20.3 到投标截止时间止，招标人收到的投标文件少于</w:t>
      </w:r>
      <w:r>
        <w:rPr>
          <w:rFonts w:ascii="Arial" w:hAnsi="Arial" w:cs="Arial"/>
          <w:color w:val="auto"/>
          <w:szCs w:val="21"/>
          <w:highlight w:val="none"/>
          <w:u w:val="single"/>
        </w:rPr>
        <w:t>3家</w:t>
      </w:r>
      <w:r>
        <w:rPr>
          <w:rFonts w:ascii="Arial" w:hAnsi="Arial" w:cs="Arial"/>
          <w:color w:val="auto"/>
          <w:szCs w:val="21"/>
          <w:highlight w:val="none"/>
        </w:rPr>
        <w:t>的，招标人将重新组织招标。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21.1</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highlight w:val="none"/>
        </w:rPr>
        <w:t>原文：</w:t>
      </w:r>
      <w:r>
        <w:rPr>
          <w:rFonts w:ascii="Arial" w:hAnsi="Arial" w:cs="Arial"/>
          <w:color w:val="auto"/>
          <w:szCs w:val="21"/>
          <w:highlight w:val="none"/>
        </w:rPr>
        <w:t>21.1 本须知前附表第17项规定的投标截止时间后送达的电子投标文件，</w:t>
      </w:r>
      <w:r>
        <w:rPr>
          <w:rFonts w:ascii="Arial" w:hAnsi="Arial" w:cs="Arial"/>
          <w:color w:val="auto"/>
          <w:szCs w:val="21"/>
          <w:highlight w:val="none"/>
          <w:u w:val="single"/>
        </w:rPr>
        <w:t xml:space="preserve">       </w:t>
      </w:r>
      <w:r>
        <w:rPr>
          <w:rFonts w:ascii="Arial" w:hAnsi="Arial" w:cs="Arial"/>
          <w:color w:val="auto"/>
          <w:szCs w:val="21"/>
          <w:highlight w:val="none"/>
        </w:rPr>
        <w:t>交易平台将予以拒收。</w:t>
      </w:r>
    </w:p>
    <w:p>
      <w:pPr>
        <w:pStyle w:val="4"/>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21.1 本须知前附表第17项规定的投标截止时间后送达的电子投标文件，</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rPr>
        <w:t xml:space="preserve"> 交易平台将予以拒收。</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27.1</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highlight w:val="none"/>
        </w:rPr>
        <w:t>原文：27.1</w:t>
      </w:r>
      <w:r>
        <w:rPr>
          <w:rFonts w:ascii="Arial" w:hAnsi="Arial" w:cs="Arial"/>
          <w:color w:val="auto"/>
          <w:szCs w:val="21"/>
          <w:highlight w:val="none"/>
        </w:rPr>
        <w:t>招标人将在</w:t>
      </w:r>
      <w:r>
        <w:rPr>
          <w:rFonts w:ascii="Arial" w:hAnsi="Arial" w:cs="Arial"/>
          <w:color w:val="auto"/>
          <w:szCs w:val="21"/>
          <w:highlight w:val="none"/>
          <w:u w:val="single"/>
        </w:rPr>
        <w:t xml:space="preserve">        </w:t>
      </w:r>
      <w:r>
        <w:rPr>
          <w:rFonts w:ascii="Arial" w:hAnsi="Arial" w:cs="Arial"/>
          <w:color w:val="auto"/>
          <w:szCs w:val="21"/>
          <w:highlight w:val="none"/>
        </w:rPr>
        <w:t>交易平台、广东省招标投标监管网和中国招标投标公共服务平台公示中标候选人，公示期为三天。</w:t>
      </w:r>
    </w:p>
    <w:p>
      <w:pPr>
        <w:pStyle w:val="4"/>
        <w:pBdr>
          <w:bottom w:val="single" w:color="auto" w:sz="6" w:space="1"/>
        </w:pBdr>
        <w:spacing w:after="0" w:line="360" w:lineRule="auto"/>
        <w:ind w:firstLine="422" w:firstLineChars="200"/>
        <w:rPr>
          <w:rFonts w:ascii="Arial" w:hAnsi="Arial" w:cs="Arial"/>
          <w:b/>
          <w:bCs/>
          <w:color w:val="auto"/>
          <w:szCs w:val="21"/>
          <w:highlight w:val="none"/>
        </w:rPr>
      </w:pPr>
      <w:r>
        <w:rPr>
          <w:rFonts w:ascii="Arial" w:hAnsi="Arial" w:cs="Arial"/>
          <w:b/>
          <w:color w:val="auto"/>
          <w:szCs w:val="21"/>
          <w:highlight w:val="none"/>
        </w:rPr>
        <w:t>现文：</w:t>
      </w:r>
      <w:r>
        <w:rPr>
          <w:rFonts w:ascii="Arial" w:hAnsi="Arial" w:cs="Arial"/>
          <w:b/>
          <w:color w:val="auto"/>
          <w:highlight w:val="none"/>
        </w:rPr>
        <w:t>27.1</w:t>
      </w:r>
      <w:r>
        <w:rPr>
          <w:rFonts w:ascii="Arial" w:hAnsi="Arial" w:cs="Arial"/>
          <w:color w:val="auto"/>
          <w:szCs w:val="21"/>
          <w:highlight w:val="none"/>
        </w:rPr>
        <w:t>招标人将在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交易平台、广东省招标投标监管网和中国招标投标公共服务平台公示中标候选人，公示期为三天。</w:t>
      </w:r>
      <w:r>
        <w:rPr>
          <w:rFonts w:hint="eastAsia" w:ascii="Arial" w:hAnsi="Arial" w:cs="Arial"/>
          <w:b/>
          <w:bCs/>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27.4</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 w:val="18"/>
          <w:szCs w:val="21"/>
          <w:highlight w:val="none"/>
        </w:rPr>
      </w:pPr>
      <w:r>
        <w:rPr>
          <w:rFonts w:ascii="Arial" w:hAnsi="Arial" w:cs="Arial"/>
          <w:b/>
          <w:color w:val="auto"/>
          <w:highlight w:val="none"/>
        </w:rPr>
        <w:t>原文：</w:t>
      </w:r>
      <w:r>
        <w:rPr>
          <w:rFonts w:ascii="Arial" w:hAnsi="Arial" w:cs="Arial"/>
          <w:color w:val="auto"/>
          <w:highlight w:val="none"/>
        </w:rPr>
        <w:t>27.4在产生中标候选人后，招标人将中标候选人的投标文件商务部分文件的所有内容（包括报价清单、人员、业绩、奖项等资料）在</w:t>
      </w:r>
      <w:r>
        <w:rPr>
          <w:rFonts w:ascii="Arial" w:hAnsi="Arial" w:cs="Arial"/>
          <w:color w:val="auto"/>
          <w:szCs w:val="24"/>
          <w:highlight w:val="none"/>
          <w:u w:val="single"/>
        </w:rPr>
        <w:t xml:space="preserve">        </w:t>
      </w:r>
      <w:r>
        <w:rPr>
          <w:rFonts w:ascii="Arial" w:hAnsi="Arial" w:cs="Arial"/>
          <w:color w:val="auto"/>
          <w:szCs w:val="24"/>
          <w:highlight w:val="none"/>
        </w:rPr>
        <w:t>交易平台和广东省招标投标监管网</w:t>
      </w:r>
      <w:r>
        <w:rPr>
          <w:rFonts w:ascii="Arial" w:hAnsi="Arial" w:cs="Arial"/>
          <w:color w:val="auto"/>
          <w:highlight w:val="none"/>
        </w:rPr>
        <w:t>公开。</w:t>
      </w:r>
    </w:p>
    <w:p>
      <w:pPr>
        <w:pStyle w:val="4"/>
        <w:pBdr>
          <w:bottom w:val="single" w:color="auto" w:sz="6" w:space="1"/>
        </w:pBdr>
        <w:spacing w:after="0" w:line="360" w:lineRule="auto"/>
        <w:ind w:firstLine="422" w:firstLineChars="200"/>
        <w:rPr>
          <w:rFonts w:ascii="Arial" w:hAnsi="Arial" w:cs="Arial"/>
          <w:color w:val="auto"/>
          <w:sz w:val="18"/>
          <w:szCs w:val="21"/>
          <w:highlight w:val="none"/>
        </w:rPr>
      </w:pPr>
      <w:r>
        <w:rPr>
          <w:rFonts w:ascii="Arial" w:hAnsi="Arial" w:cs="Arial"/>
          <w:b/>
          <w:color w:val="auto"/>
          <w:szCs w:val="21"/>
          <w:highlight w:val="none"/>
        </w:rPr>
        <w:t>现文：</w:t>
      </w:r>
      <w:r>
        <w:rPr>
          <w:rFonts w:ascii="Arial" w:hAnsi="Arial" w:cs="Arial"/>
          <w:color w:val="auto"/>
          <w:highlight w:val="none"/>
        </w:rPr>
        <w:t>27.4在产生中标候选人后，招标人将中标候选人的投标文件商务部分文件的所有内容（包括人员、业绩、奖项等资料）在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highlight w:val="none"/>
        </w:rPr>
        <w:t>交易平台和广东省招标投标监管网公开。</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条款号：28.4                       修改类型：修改</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28.4招标人支付工程款时，中标人应按规定开具发票。</w:t>
      </w:r>
    </w:p>
    <w:p>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28.4招标人支付工程款时，中标人应提供</w:t>
      </w:r>
      <w:r>
        <w:rPr>
          <w:rFonts w:hint="eastAsia" w:ascii="宋体" w:hAnsi="宋体" w:eastAsia="宋体" w:cs="宋体"/>
          <w:bCs/>
          <w:color w:val="auto"/>
          <w:szCs w:val="21"/>
          <w:highlight w:val="none"/>
          <w:u w:val="single"/>
        </w:rPr>
        <w:t>符合国家税务相关部门要求的</w:t>
      </w:r>
      <w:r>
        <w:rPr>
          <w:rFonts w:hint="eastAsia" w:ascii="宋体" w:hAnsi="宋体" w:eastAsia="宋体" w:cs="宋体"/>
          <w:bCs/>
          <w:color w:val="auto"/>
          <w:szCs w:val="21"/>
          <w:highlight w:val="none"/>
        </w:rPr>
        <w:t>发票。</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29    </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color w:val="auto"/>
          <w:highlight w:val="none"/>
        </w:rPr>
      </w:pPr>
      <w:r>
        <w:rPr>
          <w:rFonts w:ascii="Arial" w:hAnsi="Arial" w:cs="Arial"/>
          <w:b/>
          <w:color w:val="auto"/>
          <w:highlight w:val="none"/>
        </w:rPr>
        <w:t>原文：</w:t>
      </w:r>
      <w:r>
        <w:rPr>
          <w:rFonts w:ascii="Arial" w:hAnsi="Arial" w:cs="Arial"/>
          <w:color w:val="auto"/>
          <w:highlight w:val="none"/>
        </w:rPr>
        <w:t>29．履约担保</w:t>
      </w:r>
    </w:p>
    <w:p>
      <w:pPr>
        <w:spacing w:line="360" w:lineRule="auto"/>
        <w:ind w:firstLine="470" w:firstLineChars="224"/>
        <w:rPr>
          <w:rFonts w:ascii="Arial" w:hAnsi="Arial" w:cs="Arial"/>
          <w:color w:val="auto"/>
          <w:highlight w:val="none"/>
        </w:rPr>
      </w:pPr>
      <w:r>
        <w:rPr>
          <w:rFonts w:ascii="Arial" w:hAnsi="Arial" w:cs="Arial"/>
          <w:color w:val="auto"/>
          <w:highlight w:val="none"/>
        </w:rPr>
        <w:t>29.1 在收到中标通知书后的15日内，中标人应按本须知前附表第20项的规定向招标人提交履约担保。</w:t>
      </w:r>
    </w:p>
    <w:p>
      <w:pPr>
        <w:spacing w:line="360" w:lineRule="auto"/>
        <w:ind w:firstLine="470" w:firstLineChars="224"/>
        <w:rPr>
          <w:rFonts w:ascii="Arial" w:hAnsi="Arial" w:cs="Arial"/>
          <w:b/>
          <w:color w:val="auto"/>
          <w:sz w:val="18"/>
          <w:szCs w:val="21"/>
          <w:highlight w:val="none"/>
        </w:rPr>
      </w:pPr>
      <w:r>
        <w:rPr>
          <w:rFonts w:ascii="Arial" w:hAnsi="Arial" w:cs="Arial"/>
          <w:color w:val="auto"/>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4"/>
        <w:pBdr>
          <w:bottom w:val="single" w:color="auto" w:sz="6" w:space="1"/>
        </w:pBdr>
        <w:spacing w:after="0" w:line="360" w:lineRule="auto"/>
        <w:ind w:firstLine="422" w:firstLineChars="20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highlight w:val="none"/>
        </w:rPr>
        <w:t>29．履约担保</w:t>
      </w:r>
    </w:p>
    <w:p>
      <w:pPr>
        <w:pStyle w:val="4"/>
        <w:pBdr>
          <w:bottom w:val="single" w:color="auto" w:sz="6" w:space="1"/>
        </w:pBdr>
        <w:spacing w:after="0" w:line="360" w:lineRule="auto"/>
        <w:ind w:firstLineChars="200"/>
        <w:rPr>
          <w:rFonts w:ascii="Arial" w:hAnsi="Arial" w:cs="Arial"/>
          <w:color w:val="auto"/>
          <w:highlight w:val="none"/>
        </w:rPr>
      </w:pPr>
      <w:r>
        <w:rPr>
          <w:rFonts w:ascii="Arial" w:hAnsi="Arial" w:cs="Arial"/>
          <w:color w:val="auto"/>
          <w:highlight w:val="none"/>
        </w:rPr>
        <w:t>29.1在签订合同后</w:t>
      </w:r>
      <w:r>
        <w:rPr>
          <w:rFonts w:hint="eastAsia" w:ascii="Arial" w:hAnsi="Arial" w:cs="Arial"/>
          <w:color w:val="auto"/>
          <w:highlight w:val="none"/>
          <w:lang w:val="en-US" w:eastAsia="zh-CN"/>
        </w:rPr>
        <w:t>15</w:t>
      </w:r>
      <w:r>
        <w:rPr>
          <w:rFonts w:ascii="Arial" w:hAnsi="Arial" w:cs="Arial"/>
          <w:color w:val="auto"/>
          <w:highlight w:val="none"/>
        </w:rPr>
        <w:t>个工作日内，中标人应按本须知前附表第20项的规定向招标人提交履约担保；</w:t>
      </w:r>
    </w:p>
    <w:p>
      <w:pPr>
        <w:pStyle w:val="4"/>
        <w:pBdr>
          <w:bottom w:val="single" w:color="auto" w:sz="6" w:space="1"/>
        </w:pBdr>
        <w:spacing w:after="0" w:line="360" w:lineRule="auto"/>
        <w:ind w:firstLineChars="200"/>
        <w:rPr>
          <w:rFonts w:ascii="Arial" w:hAnsi="Arial" w:cs="Arial"/>
          <w:color w:val="auto"/>
          <w:sz w:val="18"/>
          <w:szCs w:val="21"/>
          <w:highlight w:val="none"/>
        </w:rPr>
      </w:pPr>
      <w:r>
        <w:rPr>
          <w:rFonts w:ascii="Arial" w:hAnsi="Arial" w:cs="Arial"/>
          <w:color w:val="auto"/>
          <w:highlight w:val="none"/>
        </w:rPr>
        <w:t>29.2</w:t>
      </w:r>
      <w:r>
        <w:rPr>
          <w:rFonts w:hint="eastAsia" w:ascii="宋体" w:hAnsi="宋体" w:eastAsia="宋体" w:cs="宋体"/>
          <w:color w:val="auto"/>
          <w:szCs w:val="21"/>
          <w:highlight w:val="none"/>
          <w:u w:val="single"/>
        </w:rPr>
        <w:t>在签订合同后的15日后，</w:t>
      </w:r>
      <w:r>
        <w:rPr>
          <w:rFonts w:hint="eastAsia" w:ascii="宋体" w:hAnsi="宋体" w:eastAsia="宋体" w:cs="宋体"/>
          <w:color w:val="auto"/>
          <w:szCs w:val="21"/>
          <w:highlight w:val="none"/>
        </w:rPr>
        <w:t>中标人未按上款的规定提交履约担保，招标人将解除中标通知书，且依法承担相应法律责任。原中标人有异议的，可以向人民法院起诉。</w:t>
      </w:r>
    </w:p>
    <w:p>
      <w:pPr>
        <w:spacing w:line="360" w:lineRule="auto"/>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30.1        修改类型：修改</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30.1在合同双方全权代表在合同协议书上签字，并分别加盖双方单位的公章后，合同正式生效。</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30.1合同自发包人、承包人双方法定代表人或委托代理人签字并加盖公章之日起生效。</w:t>
      </w:r>
    </w:p>
    <w:p>
      <w:pPr>
        <w:pBdr>
          <w:top w:val="single" w:color="auto" w:sz="4" w:space="0"/>
        </w:pBdr>
        <w:spacing w:line="360" w:lineRule="auto"/>
        <w:ind w:firstLine="424" w:firstLineChars="201"/>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条款号： 30.</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新增</w:t>
      </w:r>
    </w:p>
    <w:p>
      <w:pPr>
        <w:pBdr>
          <w:top w:val="none" w:color="auto" w:sz="0" w:space="0"/>
        </w:pBdr>
        <w:spacing w:line="360" w:lineRule="auto"/>
        <w:ind w:firstLine="424" w:firstLineChars="201"/>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现文：30.2</w:t>
      </w:r>
      <w:r>
        <w:rPr>
          <w:rFonts w:hint="eastAsia" w:ascii="宋体" w:hAnsi="宋体" w:eastAsia="宋体" w:cs="宋体"/>
          <w:b w:val="0"/>
          <w:bCs/>
          <w:color w:val="auto"/>
          <w:szCs w:val="21"/>
          <w:highlight w:val="none"/>
          <w:lang w:val="en-US" w:eastAsia="zh-CN"/>
        </w:rPr>
        <w:t>本次招标由总承包单位和中标单位签订双方合同。</w:t>
      </w:r>
    </w:p>
    <w:p>
      <w:pPr>
        <w:pBdr>
          <w:top w:val="single" w:color="auto" w:sz="4" w:space="0"/>
        </w:pBdr>
        <w:spacing w:line="360" w:lineRule="auto"/>
        <w:ind w:firstLine="424" w:firstLineChars="201"/>
        <w:rPr>
          <w:rFonts w:ascii="Arial" w:hAnsi="Arial" w:cs="Arial"/>
          <w:b/>
          <w:color w:val="auto"/>
          <w:szCs w:val="21"/>
          <w:highlight w:val="none"/>
        </w:rPr>
      </w:pPr>
      <w:r>
        <w:rPr>
          <w:rFonts w:ascii="Arial" w:hAnsi="Arial" w:cs="Arial"/>
          <w:b/>
          <w:color w:val="auto"/>
          <w:szCs w:val="21"/>
          <w:highlight w:val="none"/>
        </w:rPr>
        <w:t>条款号：31.1       修改类型：增加</w:t>
      </w:r>
    </w:p>
    <w:p>
      <w:pPr>
        <w:pBdr>
          <w:bottom w:val="single" w:color="auto" w:sz="6" w:space="1"/>
        </w:pBdr>
        <w:spacing w:line="360" w:lineRule="auto"/>
        <w:ind w:firstLine="527" w:firstLineChars="250"/>
        <w:rPr>
          <w:rFonts w:ascii="Arial" w:hAnsi="Arial" w:cs="Arial"/>
          <w:color w:val="auto"/>
          <w:szCs w:val="21"/>
          <w:highlight w:val="none"/>
          <w:u w:val="single"/>
        </w:rPr>
      </w:pPr>
      <w:r>
        <w:rPr>
          <w:rFonts w:ascii="Arial" w:hAnsi="Arial" w:cs="Arial"/>
          <w:b/>
          <w:color w:val="auto"/>
          <w:szCs w:val="21"/>
          <w:highlight w:val="none"/>
        </w:rPr>
        <w:t>现文：31.1</w:t>
      </w:r>
      <w:r>
        <w:rPr>
          <w:rFonts w:hint="eastAsia" w:ascii="宋体" w:hAnsi="宋体" w:eastAsia="宋体" w:cs="宋体"/>
          <w:color w:val="auto"/>
          <w:szCs w:val="21"/>
          <w:highlight w:val="none"/>
        </w:rPr>
        <w:t>中标人应向</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交纳公共资源交易服务费, 其费用包含在中标人投标报价中，招标人不另行支付。</w:t>
      </w:r>
    </w:p>
    <w:p>
      <w:pPr>
        <w:pBdr>
          <w:top w:val="none" w:color="auto" w:sz="0" w:space="0"/>
        </w:pBdr>
        <w:spacing w:line="360" w:lineRule="auto"/>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rPr>
        <w:t>条款号：3</w:t>
      </w:r>
      <w:r>
        <w:rPr>
          <w:rFonts w:hint="eastAsia" w:ascii="宋体" w:hAnsi="宋体" w:cs="宋体"/>
          <w:b w:val="0"/>
          <w:bCs/>
          <w:color w:val="auto"/>
          <w:szCs w:val="21"/>
          <w:highlight w:val="none"/>
          <w:lang w:val="en-US" w:eastAsia="zh-CN"/>
        </w:rPr>
        <w:t>2.3</w:t>
      </w:r>
      <w:r>
        <w:rPr>
          <w:rFonts w:hint="eastAsia" w:ascii="宋体" w:hAnsi="宋体" w:cs="宋体"/>
          <w:b w:val="0"/>
          <w:bCs/>
          <w:color w:val="auto"/>
          <w:szCs w:val="21"/>
          <w:highlight w:val="none"/>
        </w:rPr>
        <w:t xml:space="preserve">       修改类型：</w:t>
      </w:r>
      <w:r>
        <w:rPr>
          <w:rFonts w:hint="eastAsia" w:ascii="宋体" w:hAnsi="宋体" w:cs="宋体"/>
          <w:b w:val="0"/>
          <w:bCs/>
          <w:color w:val="auto"/>
          <w:szCs w:val="21"/>
          <w:highlight w:val="none"/>
          <w:lang w:val="en-US" w:eastAsia="zh-CN"/>
        </w:rPr>
        <w:t>修改</w:t>
      </w:r>
    </w:p>
    <w:p>
      <w:pPr>
        <w:spacing w:line="360" w:lineRule="auto"/>
        <w:ind w:firstLine="422" w:firstLineChars="200"/>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原文：</w:t>
      </w:r>
      <w:r>
        <w:rPr>
          <w:rFonts w:hint="eastAsia" w:ascii="宋体" w:hAnsi="宋体" w:cs="宋体"/>
          <w:b w:val="0"/>
          <w:bCs/>
          <w:color w:val="auto"/>
          <w:szCs w:val="21"/>
          <w:highlight w:val="none"/>
          <w:lang w:val="en-US" w:eastAsia="zh-CN"/>
        </w:rPr>
        <w:t>32.3投标人如在本项目中存在串通投标、弄虚作假、行贿情形的，中标无效，行政监督部门将对其违法行为进行政处罚并通报。该投标人将被招标人列入黑名单并限制其参与招标人后续项目的投标。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2" w:firstLineChars="200"/>
        <w:rPr>
          <w:rFonts w:hint="default" w:ascii="宋体" w:hAnsi="宋体" w:cs="宋体"/>
          <w:bCs/>
          <w:color w:val="auto"/>
          <w:szCs w:val="21"/>
          <w:highlight w:val="none"/>
          <w:lang w:val="en-US" w:eastAsia="zh-CN"/>
        </w:rPr>
      </w:pPr>
      <w:r>
        <w:rPr>
          <w:rFonts w:hint="eastAsia" w:ascii="宋体" w:hAnsi="宋体" w:cs="宋体"/>
          <w:b/>
          <w:bCs w:val="0"/>
          <w:color w:val="auto"/>
          <w:szCs w:val="21"/>
          <w:highlight w:val="none"/>
          <w:lang w:val="en-US" w:eastAsia="zh-CN"/>
        </w:rPr>
        <w:t>现文：</w:t>
      </w:r>
      <w:r>
        <w:rPr>
          <w:rFonts w:hint="eastAsia" w:ascii="宋体" w:hAnsi="宋体" w:cs="宋体"/>
          <w:b w:val="0"/>
          <w:bCs/>
          <w:color w:val="auto"/>
          <w:szCs w:val="21"/>
          <w:highlight w:val="none"/>
          <w:lang w:val="en-US" w:eastAsia="zh-CN"/>
        </w:rPr>
        <w:t>32.3投标人如在本项目中存在串通投标、弄虚作假骗取中标、行贿情形的，中标无效，行政监督部门将对其违法行为进行政处罚。该投标人将被招标人列入黑名单并限制其参与招标人后续项目的投标。</w:t>
      </w:r>
    </w:p>
    <w:p>
      <w:pPr>
        <w:pBdr>
          <w:top w:val="single" w:color="auto" w:sz="4" w:space="0"/>
        </w:pBdr>
        <w:spacing w:line="360" w:lineRule="auto"/>
        <w:ind w:firstLine="211" w:firstLineChars="100"/>
        <w:rPr>
          <w:rFonts w:hint="eastAsia" w:ascii="Arial" w:hAnsi="Arial" w:cs="Arial"/>
          <w:b/>
          <w:color w:val="auto"/>
          <w:szCs w:val="21"/>
          <w:highlight w:val="none"/>
          <w:lang w:val="en-US" w:eastAsia="zh-CN"/>
        </w:rPr>
      </w:pPr>
      <w:r>
        <w:rPr>
          <w:rFonts w:ascii="Arial" w:hAnsi="Arial" w:cs="Arial"/>
          <w:b/>
          <w:color w:val="auto"/>
          <w:szCs w:val="21"/>
          <w:highlight w:val="none"/>
        </w:rPr>
        <w:t>条款号：3</w:t>
      </w:r>
      <w:r>
        <w:rPr>
          <w:rFonts w:hint="eastAsia" w:ascii="Arial" w:hAnsi="Arial" w:cs="Arial"/>
          <w:b/>
          <w:color w:val="auto"/>
          <w:szCs w:val="21"/>
          <w:highlight w:val="none"/>
          <w:lang w:val="en-US" w:eastAsia="zh-CN"/>
        </w:rPr>
        <w:t xml:space="preserve">3  </w:t>
      </w:r>
      <w:r>
        <w:rPr>
          <w:rFonts w:ascii="Arial" w:hAnsi="Arial" w:cs="Arial"/>
          <w:b/>
          <w:color w:val="auto"/>
          <w:szCs w:val="21"/>
          <w:highlight w:val="none"/>
        </w:rPr>
        <w:t xml:space="preserve">       修改类型：</w:t>
      </w:r>
      <w:r>
        <w:rPr>
          <w:rFonts w:hint="eastAsia" w:ascii="Arial" w:hAnsi="Arial" w:cs="Arial"/>
          <w:b/>
          <w:color w:val="auto"/>
          <w:szCs w:val="21"/>
          <w:highlight w:val="none"/>
          <w:lang w:val="en-US" w:eastAsia="zh-CN"/>
        </w:rPr>
        <w:t>删除</w:t>
      </w:r>
    </w:p>
    <w:p>
      <w:pPr>
        <w:spacing w:line="360" w:lineRule="auto"/>
        <w:ind w:firstLine="422" w:firstLineChars="200"/>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原文</w:t>
      </w:r>
      <w:r>
        <w:rPr>
          <w:rFonts w:hint="eastAsia" w:ascii="宋体" w:hAnsi="宋体" w:cs="宋体"/>
          <w:b w:val="0"/>
          <w:bCs/>
          <w:color w:val="auto"/>
          <w:szCs w:val="21"/>
          <w:highlight w:val="none"/>
          <w:lang w:val="en-US" w:eastAsia="zh-CN"/>
        </w:rPr>
        <w:t>：33. 投标人信誉的要求</w:t>
      </w:r>
    </w:p>
    <w:p>
      <w:pPr>
        <w:spacing w:line="360" w:lineRule="auto"/>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存在下列情形之一的，招标人可以限制其投标（需在招标文件中明确评定方法）</w:t>
      </w:r>
    </w:p>
    <w:p>
      <w:pPr>
        <w:spacing w:line="360" w:lineRule="auto"/>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（1）被住房城乡建设行政主管部门在全国建筑市场监管一体化工作平台列入建筑市场主体“黑名单”；</w:t>
      </w:r>
    </w:p>
    <w:p>
      <w:pPr>
        <w:pBdr>
          <w:bottom w:val="single" w:color="auto" w:sz="4" w:space="0"/>
        </w:pBdr>
        <w:spacing w:line="360" w:lineRule="auto"/>
        <w:ind w:firstLine="420" w:firstLineChars="200"/>
        <w:rPr>
          <w:rFonts w:hint="eastAsia" w:ascii="宋体" w:hAnsi="宋体" w:cs="宋体"/>
          <w:bCs/>
          <w:color w:val="auto"/>
          <w:szCs w:val="21"/>
          <w:highlight w:val="none"/>
        </w:rPr>
      </w:pPr>
      <w:r>
        <w:rPr>
          <w:rFonts w:hint="eastAsia" w:ascii="宋体" w:hAnsi="宋体" w:cs="宋体"/>
          <w:b w:val="0"/>
          <w:bCs/>
          <w:color w:val="auto"/>
          <w:szCs w:val="21"/>
          <w:highlight w:val="none"/>
          <w:lang w:val="en-US" w:eastAsia="zh-CN"/>
        </w:rPr>
        <w:t>（2）被发改委、人力资源社会保障、质检总局等有关部门、单位在“信用中国”网站中列入联合惩戒失信黑名单。</w:t>
      </w:r>
    </w:p>
    <w:p>
      <w:pPr>
        <w:pStyle w:val="31"/>
        <w:pBdr>
          <w:bottom w:val="single" w:color="auto" w:sz="4" w:space="0"/>
        </w:pBdr>
        <w:rPr>
          <w:rFonts w:ascii="Arial" w:hAnsi="Arial" w:cs="Arial"/>
          <w:color w:val="auto"/>
          <w:highlight w:val="none"/>
        </w:rPr>
      </w:pPr>
    </w:p>
    <w:p>
      <w:pPr>
        <w:spacing w:line="360" w:lineRule="auto"/>
        <w:ind w:firstLine="211" w:firstLineChars="100"/>
        <w:rPr>
          <w:rFonts w:ascii="Arial" w:hAnsi="Arial" w:cs="Arial"/>
          <w:b/>
          <w:color w:val="auto"/>
          <w:szCs w:val="21"/>
          <w:highlight w:val="none"/>
        </w:rPr>
      </w:pPr>
      <w:r>
        <w:rPr>
          <w:rFonts w:ascii="Arial" w:hAnsi="Arial" w:cs="Arial"/>
          <w:b/>
          <w:color w:val="auto"/>
          <w:szCs w:val="21"/>
          <w:highlight w:val="none"/>
        </w:rPr>
        <w:t>注：以上修改，仅限于本范本中有可供选择条款的情形。</w:t>
      </w:r>
    </w:p>
    <w:p>
      <w:pPr>
        <w:spacing w:line="360" w:lineRule="auto"/>
        <w:rPr>
          <w:rFonts w:ascii="Arial" w:hAnsi="Arial" w:cs="Arial"/>
          <w:color w:val="auto"/>
          <w:highlight w:val="none"/>
        </w:rPr>
      </w:pPr>
      <w:r>
        <w:rPr>
          <w:rFonts w:ascii="Arial" w:hAnsi="Arial" w:cs="Arial"/>
          <w:b/>
          <w:color w:val="auto"/>
          <w:szCs w:val="21"/>
          <w:highlight w:val="none"/>
        </w:rPr>
        <w:t>（以下无正文）</w:t>
      </w:r>
    </w:p>
    <w:p>
      <w:pPr>
        <w:pStyle w:val="5"/>
        <w:rPr>
          <w:rFonts w:cs="Arial"/>
          <w:color w:val="auto"/>
          <w:highlight w:val="none"/>
        </w:rPr>
      </w:pPr>
      <w:r>
        <w:rPr>
          <w:rFonts w:cs="Arial"/>
          <w:color w:val="auto"/>
          <w:highlight w:val="none"/>
        </w:rPr>
        <w:br w:type="page"/>
      </w:r>
      <w:bookmarkStart w:id="6" w:name="_Toc2272548"/>
      <w:bookmarkStart w:id="7" w:name="_Toc101266281"/>
      <w:r>
        <w:rPr>
          <w:rFonts w:cs="Arial"/>
          <w:color w:val="auto"/>
          <w:highlight w:val="none"/>
        </w:rPr>
        <w:t>三、投标须知通用条款</w:t>
      </w:r>
      <w:bookmarkEnd w:id="6"/>
      <w:bookmarkEnd w:id="7"/>
    </w:p>
    <w:p>
      <w:pPr>
        <w:pStyle w:val="7"/>
        <w:spacing w:before="156" w:after="156"/>
        <w:rPr>
          <w:rFonts w:ascii="Arial" w:hAnsi="Arial" w:cs="Arial"/>
          <w:color w:val="auto"/>
          <w:highlight w:val="none"/>
        </w:rPr>
      </w:pPr>
      <w:bookmarkStart w:id="8" w:name="_Toc2272549"/>
      <w:bookmarkStart w:id="9" w:name="_Toc101266282"/>
      <w:r>
        <w:rPr>
          <w:rFonts w:ascii="Arial" w:hAnsi="Arial" w:cs="Arial"/>
          <w:color w:val="auto"/>
          <w:highlight w:val="none"/>
        </w:rPr>
        <w:t>（一）总则</w:t>
      </w:r>
      <w:bookmarkEnd w:id="8"/>
      <w:bookmarkEnd w:id="9"/>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1、定义</w:t>
      </w:r>
    </w:p>
    <w:p>
      <w:pPr>
        <w:pStyle w:val="4"/>
        <w:spacing w:after="0" w:line="360" w:lineRule="auto"/>
        <w:ind w:firstLine="480" w:firstLineChars="200"/>
        <w:rPr>
          <w:rFonts w:ascii="Arial" w:hAnsi="Arial" w:cs="Arial"/>
          <w:b/>
          <w:bCs/>
          <w:color w:val="auto"/>
          <w:sz w:val="24"/>
          <w:highlight w:val="none"/>
        </w:rPr>
      </w:pPr>
      <w:r>
        <w:rPr>
          <w:rFonts w:ascii="Arial" w:hAnsi="Arial" w:cs="Arial"/>
          <w:color w:val="auto"/>
          <w:sz w:val="24"/>
          <w:highlight w:val="none"/>
        </w:rPr>
        <w:t>本招标文件使用的下列词语具有如下规定的意义：</w:t>
      </w:r>
    </w:p>
    <w:p>
      <w:pPr>
        <w:pStyle w:val="4"/>
        <w:spacing w:after="0" w:line="360" w:lineRule="auto"/>
        <w:ind w:firstLine="480" w:firstLineChars="200"/>
        <w:rPr>
          <w:rFonts w:ascii="Arial" w:hAnsi="Arial" w:cs="Arial"/>
          <w:b/>
          <w:bCs/>
          <w:color w:val="auto"/>
          <w:sz w:val="24"/>
          <w:highlight w:val="none"/>
          <w:u w:val="single"/>
        </w:rPr>
      </w:pPr>
      <w:r>
        <w:rPr>
          <w:rFonts w:ascii="Arial" w:hAnsi="Arial" w:cs="Arial"/>
          <w:color w:val="auto"/>
          <w:sz w:val="24"/>
          <w:highlight w:val="none"/>
        </w:rPr>
        <w:t>（1）“招标人”（即发包人）、“项目建设管理单位”（或称“项目代建单位”）、“招标代理”、“设计单位”、“监理单位”均已在投标须知前附表中列明。</w:t>
      </w:r>
    </w:p>
    <w:p>
      <w:pPr>
        <w:pStyle w:val="4"/>
        <w:spacing w:after="0" w:line="360" w:lineRule="auto"/>
        <w:ind w:firstLine="480" w:firstLineChars="200"/>
        <w:rPr>
          <w:rFonts w:ascii="Arial" w:hAnsi="Arial" w:cs="Arial"/>
          <w:color w:val="auto"/>
          <w:sz w:val="24"/>
          <w:highlight w:val="none"/>
          <w:u w:val="single"/>
        </w:rPr>
      </w:pPr>
      <w:r>
        <w:rPr>
          <w:rFonts w:ascii="Arial" w:hAnsi="Arial" w:cs="Arial"/>
          <w:color w:val="auto"/>
          <w:sz w:val="24"/>
          <w:highlight w:val="none"/>
        </w:rPr>
        <w:t xml:space="preserve">（2）“投标人”指向招标人提交投标文件的当事人。   </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（3）“承包人”指其投标被招标人接受并与其签订承包合同的当事人。</w:t>
      </w:r>
    </w:p>
    <w:p>
      <w:pPr>
        <w:pStyle w:val="4"/>
        <w:spacing w:after="0" w:line="360" w:lineRule="auto"/>
        <w:ind w:firstLine="480" w:firstLineChars="200"/>
        <w:rPr>
          <w:rFonts w:ascii="Arial" w:hAnsi="Arial" w:cs="Arial"/>
          <w:color w:val="auto"/>
          <w:sz w:val="24"/>
          <w:highlight w:val="none"/>
          <w:u w:val="single"/>
        </w:rPr>
      </w:pPr>
      <w:r>
        <w:rPr>
          <w:rFonts w:ascii="Arial" w:hAnsi="Arial" w:cs="Arial"/>
          <w:color w:val="auto"/>
          <w:sz w:val="24"/>
          <w:highlight w:val="none"/>
        </w:rPr>
        <w:t>（4）“招标文件”指由招标代理发出的本文件（包括全部章节、附件）及招标答疑会会议纪要和</w:t>
      </w:r>
      <w:r>
        <w:rPr>
          <w:rFonts w:ascii="Arial" w:hAnsi="Arial" w:cs="Arial"/>
          <w:bCs/>
          <w:color w:val="auto"/>
          <w:sz w:val="24"/>
          <w:highlight w:val="none"/>
        </w:rPr>
        <w:t>招标文件的澄清与修改</w:t>
      </w:r>
      <w:r>
        <w:rPr>
          <w:rFonts w:ascii="Arial" w:hAnsi="Arial" w:cs="Arial"/>
          <w:color w:val="auto"/>
          <w:sz w:val="24"/>
          <w:highlight w:val="none"/>
        </w:rPr>
        <w:t>文件。</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（5）“投标文件”指投标人根据本项目招标文件向招标人提交的全部文件。</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（6）“书面形式”指打字或印刷的文件和数据电文（包括电报、电传、传真、电子数据交换和电子邮件）。</w:t>
      </w:r>
    </w:p>
    <w:p>
      <w:pPr>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2、招标说明</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2.3设计说明：详见招标图纸。</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2.4工程施工特点：详见招标图纸。</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3．资金来源</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3.1本招标工程项目资金来源见投标须知前附表第9项</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4．合格投标人的条件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4.1详见本项目招标公告</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5．踏勘现场</w:t>
      </w:r>
    </w:p>
    <w:p>
      <w:pPr>
        <w:spacing w:line="360" w:lineRule="auto"/>
        <w:ind w:firstLine="480" w:firstLineChars="200"/>
        <w:rPr>
          <w:rFonts w:ascii="Arial" w:hAnsi="Arial" w:cs="Arial"/>
          <w:bCs/>
          <w:color w:val="auto"/>
          <w:sz w:val="24"/>
          <w:highlight w:val="none"/>
          <w:u w:val="single"/>
        </w:rPr>
      </w:pPr>
      <w:r>
        <w:rPr>
          <w:rFonts w:ascii="Arial" w:hAnsi="Arial" w:cs="Arial"/>
          <w:bCs/>
          <w:color w:val="auto"/>
          <w:sz w:val="24"/>
          <w:highlight w:val="none"/>
        </w:rPr>
        <w:t>5.1 投标人应按本投标须知前附表第15项所述时间和要求对工程现场及周围环境进行踏勘，</w:t>
      </w:r>
      <w:r>
        <w:rPr>
          <w:rFonts w:ascii="Arial" w:hAnsi="Arial" w:cs="Arial"/>
          <w:color w:val="auto"/>
          <w:sz w:val="24"/>
          <w:highlight w:val="none"/>
        </w:rPr>
        <w:t>投标人应充分重视和仔细地进行这种考察，</w:t>
      </w:r>
      <w:r>
        <w:rPr>
          <w:rFonts w:ascii="Arial" w:hAnsi="Arial" w:cs="Arial"/>
          <w:bCs/>
          <w:color w:val="auto"/>
          <w:sz w:val="24"/>
          <w:highlight w:val="none"/>
        </w:rPr>
        <w:t>以便投标人获取</w:t>
      </w:r>
      <w:r>
        <w:rPr>
          <w:rFonts w:ascii="Arial" w:hAnsi="Arial" w:cs="Arial"/>
          <w:color w:val="auto"/>
          <w:sz w:val="24"/>
          <w:highlight w:val="none"/>
        </w:rPr>
        <w:t>那些须投标人自己负责的</w:t>
      </w:r>
      <w:r>
        <w:rPr>
          <w:rFonts w:ascii="Arial" w:hAnsi="Arial" w:cs="Arial"/>
          <w:bCs/>
          <w:color w:val="auto"/>
          <w:sz w:val="24"/>
          <w:highlight w:val="none"/>
        </w:rPr>
        <w:t>有关编制投标文件和签署合同所涉及现场所有的资料。</w:t>
      </w:r>
      <w:r>
        <w:rPr>
          <w:rFonts w:ascii="Arial" w:hAnsi="Arial" w:cs="Arial"/>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5.3 经招标人允许，投标人可为踏勘目的进入招标人的项目现场。</w:t>
      </w:r>
      <w:r>
        <w:rPr>
          <w:rFonts w:ascii="Arial" w:hAnsi="Arial" w:cs="Arial"/>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ascii="Arial" w:hAnsi="Arial" w:cs="Arial"/>
          <w:bCs/>
          <w:color w:val="auto"/>
          <w:sz w:val="24"/>
          <w:highlight w:val="none"/>
        </w:rPr>
        <w:t>投标人不得因此使招标人承担有关的责任和蒙受损失。</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6．投标费用</w:t>
      </w:r>
    </w:p>
    <w:p>
      <w:pPr>
        <w:tabs>
          <w:tab w:val="left" w:pos="105"/>
        </w:tabs>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6.1</w:t>
      </w:r>
      <w:r>
        <w:rPr>
          <w:rFonts w:ascii="Arial" w:hAnsi="Arial" w:cs="Arial"/>
          <w:color w:val="auto"/>
          <w:sz w:val="24"/>
          <w:highlight w:val="none"/>
        </w:rPr>
        <w:t>不论投标结果如何，投标人应承担</w:t>
      </w:r>
      <w:r>
        <w:rPr>
          <w:rFonts w:ascii="Arial" w:hAnsi="Arial" w:cs="Arial"/>
          <w:bCs/>
          <w:color w:val="auto"/>
          <w:sz w:val="24"/>
          <w:highlight w:val="none"/>
        </w:rPr>
        <w:t>自身</w:t>
      </w:r>
      <w:r>
        <w:rPr>
          <w:rFonts w:ascii="Arial" w:hAnsi="Arial" w:cs="Arial"/>
          <w:color w:val="auto"/>
          <w:sz w:val="24"/>
          <w:highlight w:val="none"/>
        </w:rPr>
        <w:t>因投标文件编制、递交及其他</w:t>
      </w:r>
      <w:r>
        <w:rPr>
          <w:rFonts w:ascii="Arial" w:hAnsi="Arial" w:cs="Arial"/>
          <w:bCs/>
          <w:color w:val="auto"/>
          <w:sz w:val="24"/>
          <w:highlight w:val="none"/>
        </w:rPr>
        <w:t>参加本招标活动</w:t>
      </w:r>
      <w:r>
        <w:rPr>
          <w:rFonts w:ascii="Arial" w:hAnsi="Arial" w:cs="Arial"/>
          <w:color w:val="auto"/>
          <w:sz w:val="24"/>
          <w:highlight w:val="none"/>
        </w:rPr>
        <w:t>所涉及的一切费用，招标人对上述费用不负任何责任。</w:t>
      </w:r>
    </w:p>
    <w:p>
      <w:pPr>
        <w:pStyle w:val="7"/>
        <w:spacing w:before="156" w:after="156"/>
        <w:rPr>
          <w:rFonts w:ascii="Arial" w:hAnsi="Arial" w:cs="Arial"/>
          <w:color w:val="auto"/>
          <w:highlight w:val="none"/>
        </w:rPr>
      </w:pPr>
      <w:bookmarkStart w:id="10" w:name="_Toc101266283"/>
      <w:bookmarkStart w:id="11" w:name="_Toc2272550"/>
      <w:r>
        <w:rPr>
          <w:rFonts w:ascii="Arial" w:hAnsi="Arial" w:cs="Arial"/>
          <w:color w:val="auto"/>
          <w:highlight w:val="none"/>
        </w:rPr>
        <w:t>（二）招标文件</w:t>
      </w:r>
      <w:bookmarkEnd w:id="10"/>
      <w:bookmarkEnd w:id="11"/>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7.招标文件的组成</w:t>
      </w:r>
    </w:p>
    <w:p>
      <w:pPr>
        <w:spacing w:line="360" w:lineRule="auto"/>
        <w:ind w:firstLine="480" w:firstLineChars="200"/>
        <w:rPr>
          <w:rFonts w:ascii="Arial" w:hAnsi="Arial" w:cs="Arial"/>
          <w:color w:val="auto"/>
          <w:sz w:val="24"/>
          <w:highlight w:val="none"/>
        </w:rPr>
      </w:pPr>
      <w:r>
        <w:rPr>
          <w:rFonts w:ascii="Arial" w:hAnsi="Arial" w:cs="Arial"/>
          <w:bCs/>
          <w:color w:val="auto"/>
          <w:sz w:val="24"/>
          <w:highlight w:val="none"/>
        </w:rPr>
        <w:t>7.1</w:t>
      </w:r>
      <w:r>
        <w:rPr>
          <w:rFonts w:ascii="Arial" w:hAnsi="Arial" w:cs="Arial"/>
          <w:color w:val="auto"/>
          <w:sz w:val="24"/>
          <w:highlight w:val="none"/>
        </w:rPr>
        <w:t>本招标文件包括下列文件，以及所有按本须知第8条发出的招标答疑会会议纪要和按本须知第9条发出的澄清或修改：</w:t>
      </w:r>
    </w:p>
    <w:p>
      <w:pPr>
        <w:pStyle w:val="4"/>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第一章  </w:t>
      </w:r>
      <w:r>
        <w:rPr>
          <w:rFonts w:ascii="Arial" w:hAnsi="Arial" w:cs="Arial"/>
          <w:color w:val="auto"/>
          <w:sz w:val="24"/>
          <w:highlight w:val="none"/>
        </w:rPr>
        <w:t>投标须知</w:t>
      </w:r>
    </w:p>
    <w:p>
      <w:pPr>
        <w:pStyle w:val="4"/>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第二章  </w:t>
      </w:r>
      <w:r>
        <w:rPr>
          <w:rFonts w:ascii="Arial" w:hAnsi="Arial" w:cs="Arial"/>
          <w:color w:val="auto"/>
          <w:sz w:val="24"/>
          <w:highlight w:val="none"/>
        </w:rPr>
        <w:t>开标、评标及定标办法</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第三章  合同条款</w:t>
      </w:r>
    </w:p>
    <w:p>
      <w:pPr>
        <w:pStyle w:val="4"/>
        <w:spacing w:after="0" w:line="360" w:lineRule="auto"/>
        <w:ind w:firstLine="480" w:firstLineChars="200"/>
        <w:rPr>
          <w:rFonts w:ascii="Arial" w:hAnsi="Arial" w:cs="Arial"/>
          <w:color w:val="auto"/>
          <w:sz w:val="24"/>
          <w:highlight w:val="none"/>
        </w:rPr>
      </w:pPr>
      <w:r>
        <w:rPr>
          <w:rFonts w:ascii="Arial" w:hAnsi="Arial" w:cs="Arial"/>
          <w:bCs/>
          <w:color w:val="auto"/>
          <w:sz w:val="24"/>
          <w:highlight w:val="none"/>
        </w:rPr>
        <w:t xml:space="preserve">第四章  </w:t>
      </w:r>
      <w:r>
        <w:rPr>
          <w:rFonts w:ascii="Arial" w:hAnsi="Arial" w:cs="Arial"/>
          <w:color w:val="auto"/>
          <w:sz w:val="24"/>
          <w:highlight w:val="none"/>
        </w:rPr>
        <w:t>投标文件格式</w:t>
      </w:r>
    </w:p>
    <w:p>
      <w:pPr>
        <w:pStyle w:val="4"/>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第五章  </w:t>
      </w:r>
      <w:r>
        <w:rPr>
          <w:rFonts w:ascii="Arial" w:hAnsi="Arial" w:cs="Arial"/>
          <w:color w:val="auto"/>
          <w:sz w:val="24"/>
          <w:highlight w:val="none"/>
        </w:rPr>
        <w:t>技术条件（工程建设标准）（另册）</w:t>
      </w:r>
    </w:p>
    <w:p>
      <w:pPr>
        <w:pStyle w:val="4"/>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第六章  </w:t>
      </w:r>
      <w:r>
        <w:rPr>
          <w:rFonts w:ascii="Arial" w:hAnsi="Arial" w:cs="Arial"/>
          <w:color w:val="auto"/>
          <w:sz w:val="24"/>
          <w:highlight w:val="none"/>
        </w:rPr>
        <w:t>图纸及勘察资料（另册）</w:t>
      </w:r>
    </w:p>
    <w:p>
      <w:pPr>
        <w:pStyle w:val="4"/>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第七章  招标</w:t>
      </w:r>
      <w:r>
        <w:rPr>
          <w:rFonts w:ascii="Arial" w:hAnsi="Arial" w:cs="Arial"/>
          <w:color w:val="auto"/>
          <w:sz w:val="24"/>
          <w:highlight w:val="none"/>
        </w:rPr>
        <w:t>工程量清单（另册）</w:t>
      </w:r>
    </w:p>
    <w:p>
      <w:pPr>
        <w:pStyle w:val="4"/>
        <w:spacing w:after="0" w:line="360" w:lineRule="auto"/>
        <w:ind w:left="-2" w:firstLine="480" w:firstLineChars="200"/>
        <w:rPr>
          <w:rFonts w:ascii="Arial" w:hAnsi="Arial" w:cs="Arial"/>
          <w:color w:val="auto"/>
          <w:sz w:val="24"/>
          <w:highlight w:val="none"/>
        </w:rPr>
      </w:pPr>
      <w:r>
        <w:rPr>
          <w:rFonts w:ascii="Arial" w:hAnsi="Arial" w:cs="Arial"/>
          <w:color w:val="auto"/>
          <w:sz w:val="24"/>
          <w:highlight w:val="none"/>
        </w:rPr>
        <w:t>第八章  最高投标限价</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7.3 投标人一旦中标，招标文件的内容对招标人和中标人双方均有约束力。</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8．招标答疑</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8.1 投标人若对招标文件（包括招标图纸）中有疑问，可以书面形式</w:t>
      </w:r>
      <w:r>
        <w:rPr>
          <w:rFonts w:ascii="Arial" w:hAnsi="Arial" w:cs="Arial"/>
          <w:color w:val="auto"/>
          <w:sz w:val="24"/>
          <w:szCs w:val="24"/>
          <w:highlight w:val="none"/>
        </w:rPr>
        <w:t>通过</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交易平台提交</w:t>
      </w:r>
      <w:r>
        <w:rPr>
          <w:rFonts w:ascii="Arial" w:hAnsi="Arial" w:cs="Arial"/>
          <w:color w:val="auto"/>
          <w:sz w:val="24"/>
          <w:highlight w:val="none"/>
        </w:rPr>
        <w:t>给招标人或招标代理人，提交形式见本须知前附表第16项。</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8.2招标答疑会会议纪要将在提交投标文件截止时间15日前在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 xml:space="preserve"> “项目答疑纪要”专区公开发布。答疑纪要一经在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发布，视作已发放给所有投标人。</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8.3答疑会会议纪要为招标文件的一部分。</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8.4若招标答疑会会议纪要与招标文件有矛盾，以答疑会议纪要最后发出的书面形式的文件为准。</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9.招标文件的澄清与修改</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9.1招标文件发出后,在提交投标文件截止时间15日前，招标人可对招标文件进行必要的澄清或修改。</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9.2招标文件的澄清或修改将在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“项目答疑纪要”专区公开发布。答疑纪要一经在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发布，视作已发放给所有投标人，以</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上网发布时间作为送达时间。</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9.3招标文件的修改内容为招标文件的组成部分。</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9.4招标文件的澄清或修改均以书面形式明确的内容为准。当招标文件的澄清、修改、补充等在同一内容的表述不一致时，以最后发出的书面形式的文件为准。</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rFonts w:ascii="Arial" w:hAnsi="Arial" w:cs="Arial"/>
          <w:color w:val="auto"/>
          <w:highlight w:val="none"/>
        </w:rPr>
      </w:pPr>
      <w:bookmarkStart w:id="12" w:name="_Toc2272551"/>
      <w:bookmarkStart w:id="13" w:name="_Toc101266284"/>
      <w:r>
        <w:rPr>
          <w:rFonts w:ascii="Arial" w:hAnsi="Arial" w:cs="Arial"/>
          <w:color w:val="auto"/>
          <w:highlight w:val="none"/>
        </w:rPr>
        <w:t>（三）投标文件的编制</w:t>
      </w:r>
      <w:bookmarkEnd w:id="12"/>
      <w:bookmarkEnd w:id="13"/>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10．投标文件的语言及度量衡单位</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10.1 投标文件和与投标有关的所有文件均应使用中文。</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10.2 除工程规范另有规定外，投标文件使用的度量衡单位，均采用中华人民共和国法定计量单位。</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11．投标文件的组成</w:t>
      </w:r>
    </w:p>
    <w:p>
      <w:pPr>
        <w:pStyle w:val="4"/>
        <w:spacing w:after="0" w:line="360" w:lineRule="auto"/>
        <w:ind w:firstLine="480" w:firstLineChars="200"/>
        <w:rPr>
          <w:rFonts w:ascii="Arial" w:hAnsi="Arial" w:cs="Arial"/>
          <w:b/>
          <w:color w:val="auto"/>
          <w:sz w:val="24"/>
          <w:highlight w:val="none"/>
        </w:rPr>
      </w:pPr>
      <w:r>
        <w:rPr>
          <w:rFonts w:ascii="Arial" w:hAnsi="Arial" w:cs="Arial"/>
          <w:color w:val="auto"/>
          <w:sz w:val="24"/>
          <w:highlight w:val="none"/>
        </w:rPr>
        <w:t>11.1 投标文件由技术部分（含资格审查文件）和经济部分二部分投标文件组成</w:t>
      </w:r>
      <w:r>
        <w:rPr>
          <w:rFonts w:ascii="Arial" w:hAnsi="Arial" w:cs="Arial"/>
          <w:b/>
          <w:color w:val="auto"/>
          <w:sz w:val="24"/>
          <w:highlight w:val="none"/>
        </w:rPr>
        <w:t>。</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11.2投标文件技术标部分主要包括下列内容:</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11.2.1 技术投标文件</w:t>
      </w:r>
      <w:r>
        <w:rPr>
          <w:rFonts w:ascii="Arial" w:hAnsi="Arial" w:cs="Arial"/>
          <w:color w:val="auto"/>
          <w:sz w:val="24"/>
          <w:highlight w:val="none"/>
        </w:rPr>
        <w:t>(按招标文件的要求填写)</w:t>
      </w:r>
      <w:r>
        <w:rPr>
          <w:rFonts w:ascii="Arial" w:hAnsi="Arial" w:cs="Arial"/>
          <w:bCs/>
          <w:color w:val="auto"/>
          <w:sz w:val="24"/>
          <w:highlight w:val="none"/>
        </w:rPr>
        <w:t>；</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11.2.2 资格审查文件：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（1）投标人声明； </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（2）法定代表人证明书、法定代表人签字或盖章的本投标文件授权委托证明书；</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（3）企业营业执照（取自平台内上传件）；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（4）企业资质证书（取自平台内上传件）；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（5）建筑施工企业安全生产许可证（取自平台内上传件）；</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highlight w:val="none"/>
        </w:rPr>
        <w:t>（6）</w:t>
      </w:r>
      <w:r>
        <w:rPr>
          <w:rFonts w:ascii="Arial" w:hAnsi="Arial" w:cs="Arial"/>
          <w:bCs/>
          <w:color w:val="auto"/>
          <w:sz w:val="24"/>
          <w:szCs w:val="24"/>
          <w:highlight w:val="none"/>
        </w:rPr>
        <w:t>项目负责人（按网上投标登记时选择拟投标的项目负责人）</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（7）专职安全员（按网上投标登记时选择拟投标的专职安全员）</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（8）拟委托技术负责人的相关证书、资料（具体要求由招标人明确）</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（10）项目负责人安全培训考核合格证明或在有效期内的安全考核合格证书（B类）或建筑施工企业项目负责人安全生产考核合格证书（取自平台内上传件）</w:t>
      </w:r>
      <w:r>
        <w:rPr>
          <w:rFonts w:ascii="Arial" w:hAnsi="Arial" w:cs="Arial"/>
          <w:bCs/>
          <w:color w:val="auto"/>
          <w:sz w:val="24"/>
          <w:szCs w:val="24"/>
          <w:highlight w:val="none"/>
        </w:rPr>
        <w:t>；</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highlight w:val="none"/>
        </w:rPr>
        <w:t>（11）专职安全员须具有在有效期内的安全考核合格证书（C类）或建筑施工企业专职安全生产管理人员安全生产考核合格证书</w:t>
      </w:r>
      <w:r>
        <w:rPr>
          <w:rFonts w:ascii="Arial" w:hAnsi="Arial" w:cs="Arial"/>
          <w:bCs/>
          <w:color w:val="auto"/>
          <w:sz w:val="24"/>
          <w:szCs w:val="24"/>
          <w:highlight w:val="none"/>
        </w:rPr>
        <w:t>（取自平台内上传件）；</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（12）用于资格审查的业绩（设置业绩要求时选择此项，投标人</w:t>
      </w:r>
      <w:r>
        <w:rPr>
          <w:rFonts w:ascii="Arial" w:hAnsi="Arial" w:cs="Arial"/>
          <w:color w:val="auto"/>
          <w:sz w:val="24"/>
          <w:highlight w:val="none"/>
        </w:rPr>
        <w:t>须提供类似工程业绩的项目名称及项目编号，具体格式由招标人自定</w:t>
      </w:r>
      <w:r>
        <w:rPr>
          <w:rFonts w:ascii="Arial" w:hAnsi="Arial" w:cs="Arial"/>
          <w:bCs/>
          <w:color w:val="auto"/>
          <w:sz w:val="24"/>
          <w:szCs w:val="24"/>
          <w:highlight w:val="none"/>
        </w:rPr>
        <w:t>）；</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（14）列明主办单位的联合体工作协议（采用联合体投标时需递交，投标人拟任本工程项目负责人应为联合体主办方信用档案中的在册人员，</w:t>
      </w:r>
      <w:r>
        <w:rPr>
          <w:rFonts w:ascii="Arial" w:hAnsi="Arial" w:cs="Arial"/>
          <w:color w:val="auto"/>
          <w:sz w:val="24"/>
          <w:szCs w:val="24"/>
          <w:highlight w:val="none"/>
        </w:rPr>
        <w:t>联合体工作协议应明确约定各方拟承担的工作和责任</w:t>
      </w:r>
      <w:r>
        <w:rPr>
          <w:rFonts w:ascii="Arial" w:hAnsi="Arial" w:cs="Arial"/>
          <w:bCs/>
          <w:color w:val="auto"/>
          <w:sz w:val="24"/>
          <w:szCs w:val="24"/>
          <w:highlight w:val="none"/>
        </w:rPr>
        <w:t xml:space="preserve">）； </w:t>
      </w:r>
    </w:p>
    <w:p>
      <w:pPr>
        <w:spacing w:line="360" w:lineRule="auto"/>
        <w:ind w:firstLine="480" w:firstLineChars="200"/>
        <w:rPr>
          <w:rFonts w:ascii="Arial" w:hAnsi="Arial" w:cs="Arial"/>
          <w:bCs/>
          <w:color w:val="auto"/>
          <w:sz w:val="24"/>
          <w:highlight w:val="none"/>
        </w:rPr>
      </w:pPr>
      <w:r>
        <w:rPr>
          <w:rFonts w:ascii="Arial" w:hAnsi="Arial" w:cs="Arial"/>
          <w:bCs/>
          <w:color w:val="auto"/>
          <w:sz w:val="24"/>
          <w:szCs w:val="24"/>
          <w:highlight w:val="none"/>
        </w:rPr>
        <w:t>（15）</w:t>
      </w:r>
      <w:r>
        <w:rPr>
          <w:rFonts w:ascii="Arial" w:hAnsi="Arial" w:cs="Arial"/>
          <w:color w:val="auto"/>
          <w:sz w:val="24"/>
          <w:szCs w:val="24"/>
          <w:highlight w:val="none"/>
        </w:rPr>
        <w:t>投标人具有在广州地区可使用适合本工程的机械设备的证明文件（</w:t>
      </w:r>
      <w:r>
        <w:rPr>
          <w:rFonts w:ascii="Arial" w:hAnsi="Arial" w:cs="Arial"/>
          <w:color w:val="auto"/>
          <w:sz w:val="24"/>
          <w:highlight w:val="none"/>
        </w:rPr>
        <w:t>提供沥青摊铺机自有发票或权属证明及设备现场全貌彩照（彩照须能反映其规格型号）</w:t>
      </w:r>
      <w:r>
        <w:rPr>
          <w:rFonts w:ascii="Arial" w:hAnsi="Arial" w:cs="Arial"/>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11.2.3项目管理机构配备。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（1）投标人应列出该项目工程的施工组织机构构成和画出机构框架图及其负责人；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（3）其他辅助说明资料。</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11.2.5施工组织设计或施工方案</w:t>
      </w:r>
      <w:r>
        <w:rPr>
          <w:rFonts w:hint="eastAsia" w:ascii="Arial" w:hAnsi="Arial" w:cs="Arial"/>
          <w:b/>
          <w:bCs/>
          <w:color w:val="auto"/>
          <w:sz w:val="24"/>
          <w:highlight w:val="none"/>
        </w:rPr>
        <w:t>（投标人在编制施工组织设计或施工方案时应按照招标人提出的施工现场建筑垃圾源头减量的具体要求以及建筑垃圾综合利用产品的使用要求提供相应措施。）</w:t>
      </w:r>
      <w:r>
        <w:rPr>
          <w:rFonts w:ascii="Arial" w:hAnsi="Arial" w:cs="Arial"/>
          <w:b/>
          <w:bCs/>
          <w:color w:val="auto"/>
          <w:sz w:val="24"/>
          <w:highlight w:val="none"/>
        </w:rPr>
        <w:t>。</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11.2.6按照</w:t>
      </w:r>
      <w:r>
        <w:rPr>
          <w:rFonts w:ascii="Arial" w:hAnsi="Arial" w:cs="Arial"/>
          <w:bCs/>
          <w:color w:val="auto"/>
          <w:sz w:val="24"/>
          <w:highlight w:val="none"/>
        </w:rPr>
        <w:t>招标文件要求</w:t>
      </w:r>
      <w:r>
        <w:rPr>
          <w:rFonts w:ascii="Arial" w:hAnsi="Arial" w:cs="Arial"/>
          <w:color w:val="auto"/>
          <w:sz w:val="24"/>
          <w:highlight w:val="none"/>
        </w:rPr>
        <w:t>填写的《参与编制技术标投标文件人员名单》。</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11.3 经济部分投标文件主要包括下列内容：</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11.3.1 经济投标文件(按招标文件的要求填写)。</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Arial" w:hAnsi="Arial" w:cs="Arial"/>
          <w:color w:val="auto"/>
          <w:sz w:val="24"/>
          <w:szCs w:val="24"/>
          <w:highlight w:val="none"/>
        </w:rPr>
        <w:t>其中包括如下：</w:t>
      </w:r>
      <w:r>
        <w:rPr>
          <w:rFonts w:ascii="Arial" w:hAnsi="Arial" w:cs="Arial"/>
          <w:color w:val="auto"/>
          <w:sz w:val="24"/>
          <w:highlight w:val="none"/>
        </w:rPr>
        <w:t xml:space="preserve"> </w:t>
      </w:r>
    </w:p>
    <w:p>
      <w:pPr>
        <w:spacing w:line="360" w:lineRule="auto"/>
        <w:ind w:firstLine="566" w:firstLineChars="236"/>
        <w:rPr>
          <w:rFonts w:ascii="Arial" w:hAnsi="Arial" w:cs="Arial"/>
          <w:color w:val="auto"/>
          <w:sz w:val="24"/>
          <w:highlight w:val="none"/>
        </w:rPr>
      </w:pPr>
      <w:r>
        <w:rPr>
          <w:rFonts w:ascii="Arial" w:hAnsi="Arial" w:cs="Arial"/>
          <w:color w:val="auto"/>
          <w:sz w:val="24"/>
          <w:highlight w:val="none"/>
        </w:rPr>
        <w:t>（1）投标总价封面、扉页；</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（2）总说明</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（3）工程项目投标报价汇总表；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（4）单项工程投标报价汇总表；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（5）单位工程投标报价汇总表；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（6）分部分项工程清单与计价表；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（7）单价措施项目清单与计价表；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（8）总价措施项目清单与计价表；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（9）综合单价分析表；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（10）其他项目清单与计价汇总表；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（11）暂列金额明细表；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（12）材料（工程设备）暂估价明细表；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（13）专业工程暂估价明细表；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（14）计日工表；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（15）总承包服务计价表；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（16）规费和税金项目计价表；</w:t>
      </w:r>
    </w:p>
    <w:p>
      <w:pPr>
        <w:spacing w:line="360" w:lineRule="auto"/>
        <w:ind w:firstLine="480" w:firstLineChars="200"/>
        <w:rPr>
          <w:rFonts w:ascii="Arial" w:hAnsi="Arial" w:cs="Arial"/>
          <w:color w:val="auto"/>
          <w:sz w:val="24"/>
          <w:highlight w:val="none"/>
        </w:rPr>
      </w:pPr>
      <w:r>
        <w:rPr>
          <w:rFonts w:ascii="Arial" w:hAnsi="Arial" w:cs="Arial"/>
          <w:color w:val="auto"/>
          <w:sz w:val="24"/>
          <w:szCs w:val="24"/>
          <w:highlight w:val="none"/>
        </w:rPr>
        <w:t xml:space="preserve"> （17）人工、主要材料和设备一览表</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11.3.3按照</w:t>
      </w:r>
      <w:r>
        <w:rPr>
          <w:rFonts w:ascii="Arial" w:hAnsi="Arial" w:cs="Arial"/>
          <w:bCs/>
          <w:color w:val="auto"/>
          <w:sz w:val="24"/>
          <w:highlight w:val="none"/>
        </w:rPr>
        <w:t>招标文件要求</w:t>
      </w:r>
      <w:r>
        <w:rPr>
          <w:rFonts w:ascii="Arial" w:hAnsi="Arial" w:cs="Arial"/>
          <w:color w:val="auto"/>
          <w:sz w:val="24"/>
          <w:highlight w:val="none"/>
        </w:rPr>
        <w:t>填写的《参与编制经济标投标文件人员名单》。</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12．投标文件格式</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12.1 投标文件包括本须知第11条中规定的内容，投标人提交的投标文件应当使用招标文件所提供的投标文件全部格式（表格可以按同样格式扩展）。</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ascii="Arial" w:hAnsi="Arial" w:cs="Arial"/>
          <w:color w:val="auto"/>
          <w:sz w:val="24"/>
          <w:szCs w:val="24"/>
          <w:highlight w:val="none"/>
        </w:rPr>
        <w:t>全流程电子化项目的相关指南进行操作。详见：</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12.3 </w:t>
      </w:r>
      <w:r>
        <w:rPr>
          <w:rFonts w:ascii="Arial" w:hAnsi="Arial" w:cs="Arial"/>
          <w:bCs/>
          <w:color w:val="auto"/>
          <w:sz w:val="24"/>
          <w:szCs w:val="24"/>
          <w:highlight w:val="none"/>
        </w:rPr>
        <w:t>投标文件应按</w:t>
      </w:r>
      <w:r>
        <w:rPr>
          <w:rFonts w:ascii="Arial" w:hAnsi="Arial" w:cs="Arial"/>
          <w:color w:val="auto"/>
          <w:sz w:val="24"/>
          <w:highlight w:val="none"/>
        </w:rPr>
        <w:t>照交易平台关于全流程电子化项目的相关指南进行编制，详见：</w:t>
      </w:r>
      <w:r>
        <w:rPr>
          <w:rFonts w:ascii="Arial" w:hAnsi="Arial" w:cs="Arial"/>
          <w:color w:val="auto"/>
          <w:sz w:val="24"/>
          <w:szCs w:val="24"/>
          <w:highlight w:val="none"/>
          <w:u w:val="single"/>
        </w:rPr>
        <w:t xml:space="preserve">            </w:t>
      </w:r>
      <w:r>
        <w:rPr>
          <w:rFonts w:ascii="Arial" w:hAnsi="Arial" w:cs="Arial"/>
          <w:color w:val="auto"/>
          <w:sz w:val="24"/>
          <w:highlight w:val="none"/>
        </w:rPr>
        <w:t xml:space="preserve">。               </w:t>
      </w:r>
    </w:p>
    <w:p>
      <w:pPr>
        <w:pStyle w:val="4"/>
        <w:spacing w:after="0" w:line="360" w:lineRule="auto"/>
        <w:ind w:firstLine="0"/>
        <w:rPr>
          <w:rFonts w:ascii="Arial" w:hAnsi="Arial" w:cs="Arial"/>
          <w:color w:val="auto"/>
          <w:sz w:val="24"/>
          <w:highlight w:val="none"/>
        </w:rPr>
      </w:pPr>
      <w:r>
        <w:rPr>
          <w:rFonts w:ascii="Arial" w:hAnsi="Arial" w:cs="Arial"/>
          <w:bCs/>
          <w:color w:val="auto"/>
          <w:sz w:val="24"/>
          <w:szCs w:val="24"/>
          <w:highlight w:val="none"/>
        </w:rPr>
        <w:t>如不按上述要求编制引起系统无法检索、读取相关信息的，其后果由投标人承担。</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13．投标报价及造价承包和变更结算方式</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13.1 本工程的投标报价采用投标须知前附表第12项所规定的方式。投标报价（含单价及总价）精确到“分”。</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Arial" w:hAnsi="Arial" w:cs="Arial"/>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13.5.1中标的投标文件工程量清单中已有相同项目的适用综合单价，则沿用；</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13.5.3 中标的投标文件工程量清单中没有相同项目或类似项目的，如可套取相关定额，则以相关定额为基数下浮计算单价,下浮率为中标价</w:t>
      </w:r>
      <w:r>
        <w:rPr>
          <w:rFonts w:ascii="Arial" w:hAnsi="Arial" w:cs="Arial"/>
          <w:color w:val="auto"/>
          <w:sz w:val="24"/>
          <w:szCs w:val="24"/>
          <w:highlight w:val="none"/>
        </w:rPr>
        <w:t>相对于最高投标限价的下</w:t>
      </w:r>
      <w:r>
        <w:rPr>
          <w:rFonts w:ascii="Arial" w:hAnsi="Arial" w:cs="Arial"/>
          <w:color w:val="auto"/>
          <w:sz w:val="24"/>
          <w:highlight w:val="none"/>
        </w:rPr>
        <w:t>浮率（下浮率=(</w:t>
      </w:r>
      <w:r>
        <w:rPr>
          <w:rFonts w:ascii="Arial" w:hAnsi="Arial" w:cs="Arial"/>
          <w:color w:val="auto"/>
          <w:sz w:val="24"/>
          <w:szCs w:val="24"/>
          <w:highlight w:val="none"/>
        </w:rPr>
        <w:t>最高投标限价</w:t>
      </w:r>
      <w:r>
        <w:rPr>
          <w:rFonts w:ascii="Arial" w:hAnsi="Arial" w:cs="Arial"/>
          <w:color w:val="auto"/>
          <w:sz w:val="24"/>
          <w:highlight w:val="none"/>
        </w:rPr>
        <w:t>-中标价)/</w:t>
      </w:r>
      <w:r>
        <w:rPr>
          <w:rFonts w:ascii="Arial" w:hAnsi="Arial" w:cs="Arial"/>
          <w:color w:val="auto"/>
          <w:sz w:val="24"/>
          <w:szCs w:val="24"/>
          <w:highlight w:val="none"/>
        </w:rPr>
        <w:t xml:space="preserve"> 最高投标限价</w:t>
      </w:r>
      <w:r>
        <w:rPr>
          <w:rFonts w:ascii="Arial" w:hAnsi="Arial" w:cs="Arial"/>
          <w:color w:val="auto"/>
          <w:sz w:val="24"/>
          <w:highlight w:val="none"/>
        </w:rPr>
        <w:t>）。</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13.5.4 如相关定额没有相应子目的，其计价方式由招标人在本招标文件第三章中另行规定。未规定的，中标后双方协商约定。</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13.6暂列金额、暂估价</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暂估价是指招标人在工程量清单中提供的用于支付必然发生但暂时不能确定价格的材料的单价以及专业工程的金额。</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4"/>
        <w:spacing w:after="0" w:line="360" w:lineRule="auto"/>
        <w:ind w:firstLine="480" w:firstLineChars="200"/>
        <w:rPr>
          <w:rFonts w:ascii="Arial" w:hAnsi="Arial" w:cs="Arial"/>
          <w:color w:val="auto"/>
          <w:sz w:val="24"/>
          <w:szCs w:val="24"/>
          <w:highlight w:val="none"/>
        </w:rPr>
      </w:pPr>
      <w:r>
        <w:rPr>
          <w:rFonts w:ascii="Arial" w:hAnsi="Arial" w:cs="Arial"/>
          <w:color w:val="auto"/>
          <w:sz w:val="24"/>
          <w:highlight w:val="none"/>
        </w:rPr>
        <w:t>13.9</w:t>
      </w:r>
      <w:r>
        <w:rPr>
          <w:rFonts w:ascii="Arial" w:hAnsi="Arial" w:cs="Arial"/>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14．投标货币</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14.1 本工程投标报价采用的币种为人民币。</w:t>
      </w:r>
    </w:p>
    <w:p>
      <w:pPr>
        <w:pStyle w:val="4"/>
        <w:spacing w:after="0" w:line="360" w:lineRule="auto"/>
        <w:ind w:firstLine="482" w:firstLineChars="200"/>
        <w:rPr>
          <w:rFonts w:ascii="Arial" w:hAnsi="Arial" w:cs="Arial"/>
          <w:color w:val="auto"/>
          <w:sz w:val="24"/>
          <w:highlight w:val="none"/>
        </w:rPr>
      </w:pPr>
      <w:r>
        <w:rPr>
          <w:rFonts w:ascii="Arial" w:hAnsi="Arial" w:cs="Arial"/>
          <w:b/>
          <w:bCs/>
          <w:color w:val="auto"/>
          <w:sz w:val="24"/>
          <w:highlight w:val="none"/>
        </w:rPr>
        <w:t>15．投标有效期</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15.1 投标有效期见投标须知前附表第13项所规定的期限，在此期限内，凡符合本招标文件要求的投标文件均保持有效。</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16．投标保证金</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16.1投标人应按投标须知前附表第14项所述金额和时间递交</w:t>
      </w:r>
      <w:r>
        <w:rPr>
          <w:rFonts w:ascii="Arial" w:hAnsi="Arial" w:cs="Arial"/>
          <w:bCs/>
          <w:color w:val="auto"/>
          <w:sz w:val="24"/>
          <w:highlight w:val="none"/>
        </w:rPr>
        <w:t>投标保证金</w:t>
      </w:r>
      <w:r>
        <w:rPr>
          <w:rFonts w:ascii="Arial" w:hAnsi="Arial" w:cs="Arial"/>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16.1.1 采用现金或者支票形式提交的，投标保证金须从投标人的银行基本账户转出。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16.3投标保证金应依据法律法规的相关规定退还。</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16.4.1因投标人原因造成投标文件未解密的；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16.4.2投标人在投标有效期内撤销投标文件；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16.4.3中标人未能在规定期限内按要求提交履约担保；</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16.4.4中标人未能在规定期限内签署合同协议。</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16.5.1投标人存在16.4条款所列情形且投标人提交的保函、担保或保证保险无法兑付的；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16.5.3按招标文件要求免于提供投标保证金的投标人存在16.4条款所列情形的。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注：16.5.3款由招标人二选一，需在招标文件中明确。</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17．投标文件的签署</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pStyle w:val="7"/>
        <w:spacing w:before="156" w:after="156"/>
        <w:rPr>
          <w:rFonts w:ascii="Arial" w:hAnsi="Arial" w:cs="Arial"/>
          <w:color w:val="auto"/>
          <w:highlight w:val="none"/>
        </w:rPr>
      </w:pPr>
      <w:bookmarkStart w:id="14" w:name="_Toc101266285"/>
      <w:bookmarkStart w:id="15" w:name="_Toc2272552"/>
      <w:r>
        <w:rPr>
          <w:rFonts w:ascii="Arial" w:hAnsi="Arial" w:cs="Arial"/>
          <w:color w:val="auto"/>
          <w:highlight w:val="none"/>
        </w:rPr>
        <w:t>（四）投标文件的提交</w:t>
      </w:r>
      <w:bookmarkEnd w:id="14"/>
      <w:bookmarkEnd w:id="15"/>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18．</w:t>
      </w:r>
      <w:r>
        <w:rPr>
          <w:rFonts w:ascii="Arial" w:hAnsi="Arial" w:cs="Arial"/>
          <w:b/>
          <w:color w:val="auto"/>
          <w:sz w:val="24"/>
          <w:szCs w:val="24"/>
          <w:highlight w:val="none"/>
        </w:rPr>
        <w:t>投标文件的密封和标记</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18.1递交的电子投标文件（不含备用光盘）必须进行加密。按照交易平台关于</w:t>
      </w:r>
      <w:r>
        <w:rPr>
          <w:rFonts w:ascii="Arial" w:hAnsi="Arial" w:cs="Arial"/>
          <w:color w:val="auto"/>
          <w:sz w:val="24"/>
          <w:szCs w:val="24"/>
          <w:highlight w:val="none"/>
        </w:rPr>
        <w:t>全流程电子化项目的相关指南进行操作。详见：</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18.2 未按要求加密的投标文件，</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bCs/>
          <w:color w:val="auto"/>
          <w:sz w:val="24"/>
          <w:highlight w:val="none"/>
        </w:rPr>
        <w:t>将予以拒收。</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19．投标文件的递交和接收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19.1投标人通过</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递交电子投标文件。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19.2投标人完成电子</w:t>
      </w:r>
      <w:r>
        <w:rPr>
          <w:rFonts w:ascii="Arial" w:hAnsi="Arial" w:cs="Arial"/>
          <w:color w:val="auto"/>
          <w:sz w:val="24"/>
          <w:highlight w:val="none"/>
        </w:rPr>
        <w:t>投标文件</w:t>
      </w:r>
      <w:r>
        <w:rPr>
          <w:rFonts w:ascii="Arial" w:hAnsi="Arial" w:cs="Arial"/>
          <w:bCs/>
          <w:color w:val="auto"/>
          <w:sz w:val="24"/>
          <w:highlight w:val="none"/>
        </w:rPr>
        <w:t>上传后，</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即时向投标人发出递交回执通知。递交时间以递交回执通知载明的传输完成时间为准。</w:t>
      </w:r>
    </w:p>
    <w:p>
      <w:pPr>
        <w:spacing w:line="360" w:lineRule="auto"/>
        <w:ind w:firstLine="480" w:firstLineChars="200"/>
        <w:rPr>
          <w:rFonts w:ascii="Arial" w:hAnsi="Arial" w:cs="Arial"/>
          <w:color w:val="auto"/>
          <w:sz w:val="24"/>
          <w:highlight w:val="none"/>
        </w:rPr>
      </w:pPr>
      <w:r>
        <w:rPr>
          <w:rFonts w:ascii="Arial" w:hAnsi="Arial" w:cs="Arial"/>
          <w:bCs/>
          <w:color w:val="auto"/>
          <w:sz w:val="24"/>
          <w:highlight w:val="none"/>
        </w:rPr>
        <w:t>19.3</w:t>
      </w:r>
      <w:r>
        <w:rPr>
          <w:rFonts w:ascii="Arial" w:hAnsi="Arial" w:cs="Arial"/>
          <w:bCs/>
          <w:color w:val="auto"/>
          <w:sz w:val="24"/>
          <w:szCs w:val="24"/>
          <w:highlight w:val="none"/>
        </w:rPr>
        <w:t>逾期送达的</w:t>
      </w:r>
      <w:r>
        <w:rPr>
          <w:rFonts w:ascii="Arial" w:hAnsi="Arial" w:cs="Arial"/>
          <w:bCs/>
          <w:color w:val="auto"/>
          <w:sz w:val="24"/>
          <w:highlight w:val="none"/>
        </w:rPr>
        <w:t>电子投标文件，</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将予以拒收。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19.4 </w:t>
      </w:r>
      <w:r>
        <w:rPr>
          <w:rFonts w:ascii="Arial" w:hAnsi="Arial" w:cs="Arial"/>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19.5如技术标和经济标先后分别开启，</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将按招标文件规定的时间分别开启技术标和经济标。</w:t>
      </w:r>
    </w:p>
    <w:p>
      <w:pPr>
        <w:spacing w:line="360" w:lineRule="auto"/>
        <w:ind w:firstLine="480" w:firstLineChars="200"/>
        <w:rPr>
          <w:rFonts w:ascii="Arial" w:hAnsi="Arial" w:cs="Arial"/>
          <w:color w:val="auto"/>
          <w:sz w:val="24"/>
          <w:highlight w:val="none"/>
        </w:rPr>
      </w:pPr>
      <w:r>
        <w:rPr>
          <w:rFonts w:ascii="Arial" w:hAnsi="Arial" w:cs="Arial"/>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ascii="Arial" w:hAnsi="Arial" w:cs="Arial"/>
          <w:color w:val="auto"/>
          <w:sz w:val="24"/>
          <w:highlight w:val="none"/>
        </w:rPr>
        <w:t>该投标文件将不能参与资格审查和评标</w:t>
      </w:r>
      <w:r>
        <w:rPr>
          <w:rFonts w:ascii="Arial" w:hAnsi="Arial" w:cs="Arial"/>
          <w:color w:val="auto"/>
          <w:sz w:val="24"/>
          <w:szCs w:val="24"/>
          <w:highlight w:val="none"/>
        </w:rPr>
        <w:t>（选择性条款）。</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20．投标文件提交的截止时间</w:t>
      </w:r>
    </w:p>
    <w:p>
      <w:pPr>
        <w:spacing w:line="360" w:lineRule="auto"/>
        <w:ind w:firstLine="480" w:firstLineChars="200"/>
        <w:rPr>
          <w:rFonts w:ascii="Arial" w:hAnsi="Arial" w:cs="Arial"/>
          <w:b/>
          <w:bCs/>
          <w:color w:val="auto"/>
          <w:sz w:val="24"/>
          <w:highlight w:val="none"/>
        </w:rPr>
      </w:pPr>
      <w:r>
        <w:rPr>
          <w:rFonts w:ascii="Arial" w:hAnsi="Arial" w:cs="Arial"/>
          <w:color w:val="auto"/>
          <w:sz w:val="24"/>
          <w:highlight w:val="none"/>
        </w:rPr>
        <w:t>20.1投标人应在投标须知前附表第17项所述的时间前提交投标文件。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20.3 到投标截止时间止，招标人收到的投标文件少于3家的，招标人将重新组织招标</w:t>
      </w:r>
      <w:r>
        <w:rPr>
          <w:rFonts w:ascii="Arial" w:hAnsi="Arial" w:cs="Arial"/>
          <w:color w:val="auto"/>
          <w:sz w:val="24"/>
          <w:szCs w:val="24"/>
          <w:highlight w:val="none"/>
        </w:rPr>
        <w:t>（当N个标段同时招标且不允许兼中时，若有效投标人不足N+2家，则重新组织招标）</w:t>
      </w:r>
      <w:r>
        <w:rPr>
          <w:rFonts w:ascii="Arial" w:hAnsi="Arial" w:cs="Arial"/>
          <w:color w:val="auto"/>
          <w:sz w:val="24"/>
          <w:highlight w:val="none"/>
        </w:rPr>
        <w:t>。</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21．迟交的投标文件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21.1 本须知前附表第17项规定的投标截止时间</w:t>
      </w:r>
      <w:r>
        <w:rPr>
          <w:rFonts w:ascii="Arial" w:hAnsi="Arial" w:cs="Arial"/>
          <w:bCs/>
          <w:color w:val="auto"/>
          <w:sz w:val="24"/>
          <w:szCs w:val="24"/>
          <w:highlight w:val="none"/>
        </w:rPr>
        <w:t>后送达的</w:t>
      </w:r>
      <w:r>
        <w:rPr>
          <w:rFonts w:ascii="Arial" w:hAnsi="Arial" w:cs="Arial"/>
          <w:bCs/>
          <w:color w:val="auto"/>
          <w:sz w:val="24"/>
          <w:highlight w:val="none"/>
        </w:rPr>
        <w:t>电子投标文件，</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将予以拒收。</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22．投标文件的修改与撤回</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22.2投标人修改或撤回已递交的投标文件，需在</w:t>
      </w:r>
      <w:r>
        <w:rPr>
          <w:rFonts w:ascii="Arial" w:hAnsi="Arial" w:cs="Arial"/>
          <w:color w:val="auto"/>
          <w:sz w:val="24"/>
          <w:highlight w:val="none"/>
        </w:rPr>
        <w:t>交易平台发出修改或撤回</w:t>
      </w:r>
      <w:r>
        <w:rPr>
          <w:rFonts w:ascii="Arial" w:hAnsi="Arial" w:cs="Arial"/>
          <w:color w:val="auto"/>
          <w:sz w:val="24"/>
          <w:szCs w:val="24"/>
          <w:highlight w:val="none"/>
        </w:rPr>
        <w:t>通知，并按要求加盖电子印章。</w:t>
      </w:r>
      <w:r>
        <w:rPr>
          <w:rFonts w:ascii="Arial" w:hAnsi="Arial" w:cs="Arial"/>
          <w:bCs/>
          <w:iCs/>
          <w:color w:val="auto"/>
          <w:sz w:val="24"/>
          <w:szCs w:val="24"/>
          <w:highlight w:val="none"/>
        </w:rPr>
        <w:t>电子招标投标交易平台收到通知后，</w:t>
      </w:r>
      <w:r>
        <w:rPr>
          <w:rFonts w:ascii="Arial" w:hAnsi="Arial" w:cs="Arial"/>
          <w:color w:val="auto"/>
          <w:sz w:val="24"/>
          <w:szCs w:val="24"/>
          <w:highlight w:val="none"/>
        </w:rPr>
        <w:t>即时向投标人发出确认回执通知。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22.3修改后再次递交的，按19点的规定执行。</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22.4 在投标截止时间之后，投标人不得补充、修改和更换投标文件。</w:t>
      </w:r>
    </w:p>
    <w:p>
      <w:pPr>
        <w:pStyle w:val="7"/>
        <w:spacing w:before="156" w:after="156"/>
        <w:rPr>
          <w:rFonts w:ascii="Arial" w:hAnsi="Arial" w:cs="Arial"/>
          <w:color w:val="auto"/>
          <w:highlight w:val="none"/>
        </w:rPr>
      </w:pPr>
      <w:bookmarkStart w:id="16" w:name="_Toc101266286"/>
      <w:bookmarkStart w:id="17" w:name="_Toc2272553"/>
      <w:r>
        <w:rPr>
          <w:rFonts w:ascii="Arial" w:hAnsi="Arial" w:cs="Arial"/>
          <w:color w:val="auto"/>
          <w:highlight w:val="none"/>
        </w:rPr>
        <w:t>（五）开标、评标、定标及合同签定</w:t>
      </w:r>
      <w:bookmarkEnd w:id="16"/>
      <w:bookmarkEnd w:id="17"/>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23、开标。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详见第二章开标、评标及定标办法</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24．评标过程的保密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25．投标文件的澄清，计算错误的修正</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详见招标文件第二章开标、评标及定标办法</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26．投标文件的评审、比较和否决</w:t>
      </w:r>
    </w:p>
    <w:p>
      <w:pPr>
        <w:spacing w:line="360" w:lineRule="auto"/>
        <w:ind w:firstLine="480" w:firstLineChars="200"/>
        <w:rPr>
          <w:rFonts w:ascii="Arial" w:hAnsi="Arial" w:cs="Arial"/>
          <w:bCs/>
          <w:color w:val="auto"/>
          <w:sz w:val="24"/>
          <w:szCs w:val="24"/>
          <w:highlight w:val="none"/>
        </w:rPr>
      </w:pPr>
      <w:r>
        <w:rPr>
          <w:rFonts w:ascii="Arial" w:hAnsi="Arial" w:cs="Arial"/>
          <w:color w:val="auto"/>
          <w:sz w:val="24"/>
          <w:highlight w:val="none"/>
        </w:rPr>
        <w:t>详见招标文件第二章开标、评标及定标办法。</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27．中标通知书</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27.1招标人将在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、广东省招标投标监管网和中国招标投标公共服务平台公示中标候选人，公示期为三天。</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27.3中标人必须在收到中标通知书后24小时之内以书面形式回复招标人，确认收到。</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27.4在产生中标候选人后，招标人将中标候选人的投标文件商务部分文件的所有内容（包括报价清单、人员、业绩、奖项等资料）在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交易平台和广东省招标投标监管网</w:t>
      </w:r>
      <w:r>
        <w:rPr>
          <w:rFonts w:ascii="Arial" w:hAnsi="Arial" w:cs="Arial"/>
          <w:color w:val="auto"/>
          <w:sz w:val="24"/>
          <w:highlight w:val="none"/>
        </w:rPr>
        <w:t>公开。</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28．合同协议书的签订</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28.4招标人支付工程款时，中标人应按规定开具发票。</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29．履约担保</w:t>
      </w:r>
    </w:p>
    <w:p>
      <w:pPr>
        <w:snapToGrid w:val="0"/>
        <w:spacing w:line="360" w:lineRule="auto"/>
        <w:ind w:firstLine="480" w:firstLineChars="200"/>
        <w:rPr>
          <w:rFonts w:ascii="Arial" w:hAnsi="Arial" w:cs="Arial"/>
          <w:color w:val="auto"/>
          <w:sz w:val="24"/>
          <w:highlight w:val="none"/>
        </w:rPr>
      </w:pPr>
      <w:r>
        <w:rPr>
          <w:rFonts w:ascii="Arial" w:hAnsi="Arial" w:cs="Arial"/>
          <w:color w:val="auto"/>
          <w:sz w:val="24"/>
          <w:highlight w:val="none"/>
        </w:rPr>
        <w:t>29.1 在收到中标通知书后的</w:t>
      </w:r>
      <w:r>
        <w:rPr>
          <w:rFonts w:ascii="Arial" w:hAnsi="Arial" w:cs="Arial"/>
          <w:b/>
          <w:color w:val="auto"/>
          <w:sz w:val="24"/>
          <w:highlight w:val="none"/>
        </w:rPr>
        <w:t>15日</w:t>
      </w:r>
      <w:r>
        <w:rPr>
          <w:rFonts w:ascii="Arial" w:hAnsi="Arial" w:cs="Arial"/>
          <w:color w:val="auto"/>
          <w:sz w:val="24"/>
          <w:highlight w:val="none"/>
        </w:rPr>
        <w:t>内，中标人应按本须知前附表第20项的规定向招标人提交履约担保。</w:t>
      </w:r>
    </w:p>
    <w:p>
      <w:pPr>
        <w:snapToGrid w:val="0"/>
        <w:spacing w:line="360" w:lineRule="auto"/>
        <w:ind w:firstLine="480" w:firstLineChars="200"/>
        <w:rPr>
          <w:rFonts w:ascii="Arial" w:hAnsi="Arial" w:cs="Arial"/>
          <w:color w:val="auto"/>
          <w:sz w:val="24"/>
          <w:highlight w:val="none"/>
        </w:rPr>
      </w:pPr>
      <w:r>
        <w:rPr>
          <w:rFonts w:ascii="Arial" w:hAnsi="Arial" w:cs="Arial"/>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30．合同生效</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30.1在合同双方全权代表在合同协议书上签字，并分别加盖双方单位的公章后，合同正式生效。</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31．其它费用</w:t>
      </w:r>
    </w:p>
    <w:p>
      <w:pPr>
        <w:pStyle w:val="4"/>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32．腐败与欺诈行为</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在招标和合同实施期间，招标人要求投标人和承包人遵守最高的道德标准。</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32．1对本条款的规定，特定义如下词汇：</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1）、“腐败行为”是指在招标或合同执行期间，通过提供、给予、接受或索要任何有价值的东西，从而影响招标人有关人员工作的行为；</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32．2如果投标人被认定在本招标的竞争中有腐败或欺诈行为，则会被取消投标资格。</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Arial" w:hAnsi="Arial" w:cs="Arial"/>
          <w:b/>
          <w:color w:val="auto"/>
          <w:sz w:val="24"/>
          <w:highlight w:val="none"/>
        </w:rPr>
      </w:pPr>
      <w:r>
        <w:rPr>
          <w:rFonts w:ascii="Arial" w:hAnsi="Arial" w:cs="Arial"/>
          <w:b/>
          <w:color w:val="auto"/>
          <w:sz w:val="24"/>
          <w:highlight w:val="none"/>
        </w:rPr>
        <w:t>33. 投标人信誉的要求</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存在下列情形之一的，招标人可以限制其投标（需在招标文件中明确评定方法）</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（1）被住房城乡建设行政主管部门在全国建筑市场监管一体化工作平台列入建筑市场主体“黑名单”；</w:t>
      </w:r>
    </w:p>
    <w:p>
      <w:pPr>
        <w:pStyle w:val="4"/>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（2）被发改委、人力资源社会保障、质检总局等有关部门、单位在“信用中国”网站中列入联合惩戒失信黑名单。</w:t>
      </w:r>
    </w:p>
    <w:p>
      <w:pPr>
        <w:pStyle w:val="2"/>
        <w:rPr>
          <w:rFonts w:cs="Arial"/>
          <w:color w:val="auto"/>
          <w:highlight w:val="none"/>
        </w:rPr>
      </w:pPr>
      <w:r>
        <w:rPr>
          <w:rFonts w:cs="Arial"/>
          <w:color w:val="auto"/>
          <w:sz w:val="24"/>
          <w:highlight w:val="none"/>
        </w:rPr>
        <w:br w:type="page"/>
      </w:r>
      <w:bookmarkStart w:id="18" w:name="_Toc101266287"/>
      <w:bookmarkStart w:id="19" w:name="_Toc2272554"/>
      <w:r>
        <w:rPr>
          <w:rFonts w:cs="Arial"/>
          <w:color w:val="auto"/>
          <w:highlight w:val="none"/>
        </w:rPr>
        <w:t>第二章  开标、评标及定标办法</w:t>
      </w:r>
      <w:bookmarkEnd w:id="18"/>
      <w:bookmarkEnd w:id="19"/>
    </w:p>
    <w:p>
      <w:pPr>
        <w:pStyle w:val="5"/>
        <w:rPr>
          <w:rFonts w:cs="Arial"/>
          <w:color w:val="auto"/>
          <w:highlight w:val="none"/>
        </w:rPr>
      </w:pPr>
      <w:bookmarkStart w:id="20" w:name="_Toc2272555"/>
      <w:bookmarkStart w:id="21" w:name="_Toc101266288"/>
      <w:r>
        <w:rPr>
          <w:rFonts w:cs="Arial"/>
          <w:color w:val="auto"/>
          <w:sz w:val="28"/>
          <w:szCs w:val="28"/>
          <w:highlight w:val="none"/>
        </w:rPr>
        <w:t>一、</w:t>
      </w:r>
      <w:r>
        <w:rPr>
          <w:rFonts w:cs="Arial"/>
          <w:color w:val="auto"/>
          <w:highlight w:val="none"/>
        </w:rPr>
        <w:t>开标、评标及定标办法修改表</w:t>
      </w:r>
      <w:bookmarkEnd w:id="20"/>
      <w:bookmarkEnd w:id="21"/>
    </w:p>
    <w:p>
      <w:pPr>
        <w:pStyle w:val="4"/>
        <w:spacing w:after="0" w:line="360" w:lineRule="auto"/>
        <w:rPr>
          <w:rFonts w:ascii="Arial" w:hAnsi="Arial" w:cs="Arial"/>
          <w:b/>
          <w:color w:val="auto"/>
          <w:szCs w:val="21"/>
          <w:highlight w:val="none"/>
        </w:rPr>
      </w:pPr>
      <w:r>
        <w:rPr>
          <w:rFonts w:ascii="Arial" w:hAnsi="Arial" w:cs="Arial"/>
          <w:b/>
          <w:color w:val="auto"/>
          <w:szCs w:val="21"/>
          <w:highlight w:val="none"/>
        </w:rPr>
        <w:t>声明：本</w:t>
      </w:r>
      <w:r>
        <w:rPr>
          <w:rFonts w:ascii="Arial" w:hAnsi="Arial" w:cs="Arial"/>
          <w:b/>
          <w:color w:val="auto"/>
          <w:highlight w:val="none"/>
        </w:rPr>
        <w:t>开标、评标及定标办法使用GZZB2018-3招标文件范本的开标、评标及定标办法通用条款，与该通用条款不同之处，均在本表中列明，并以现文为准，原</w:t>
      </w:r>
      <w:r>
        <w:rPr>
          <w:rFonts w:ascii="Arial" w:hAnsi="Arial" w:cs="Arial"/>
          <w:b/>
          <w:color w:val="auto"/>
          <w:szCs w:val="21"/>
          <w:highlight w:val="none"/>
        </w:rPr>
        <w:t>文不再有效。本招标文件中不再转录</w:t>
      </w:r>
      <w:r>
        <w:rPr>
          <w:rFonts w:ascii="Arial" w:hAnsi="Arial" w:cs="Arial"/>
          <w:b/>
          <w:color w:val="auto"/>
          <w:highlight w:val="none"/>
        </w:rPr>
        <w:t>开标、评标及定标办法</w:t>
      </w:r>
      <w:r>
        <w:rPr>
          <w:rFonts w:ascii="Arial" w:hAnsi="Arial" w:cs="Arial"/>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color w:val="auto"/>
          <w:highlight w:val="none"/>
        </w:rPr>
        <w:t>http://zfcj.gz.gov.cn/</w:t>
      </w:r>
      <w:r>
        <w:rPr>
          <w:rStyle w:val="64"/>
          <w:rFonts w:ascii="Arial" w:hAnsi="Arial" w:cs="Arial"/>
          <w:b/>
          <w:color w:val="auto"/>
          <w:szCs w:val="21"/>
          <w:highlight w:val="none"/>
        </w:rPr>
        <w:t>）下载GZZB2018-3</w:t>
      </w:r>
      <w:r>
        <w:rPr>
          <w:rStyle w:val="64"/>
          <w:rFonts w:ascii="Arial" w:hAnsi="Arial" w:cs="Arial"/>
          <w:b/>
          <w:color w:val="auto"/>
          <w:szCs w:val="21"/>
          <w:highlight w:val="none"/>
        </w:rPr>
        <w:fldChar w:fldCharType="end"/>
      </w:r>
      <w:r>
        <w:rPr>
          <w:rFonts w:ascii="Arial" w:hAnsi="Arial" w:cs="Arial"/>
          <w:b/>
          <w:color w:val="auto"/>
          <w:szCs w:val="21"/>
          <w:highlight w:val="none"/>
        </w:rPr>
        <w:t>范本查阅。</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条款号：36.1          修改类型：修改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rFonts w:ascii="Arial" w:hAnsi="Arial" w:cs="Arial"/>
          <w:b/>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ascii="Arial" w:hAnsi="Arial" w:cs="Arial"/>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条款号：36.3             修改类型：删除</w:t>
      </w:r>
    </w:p>
    <w:p>
      <w:pPr>
        <w:pBdr>
          <w:bottom w:val="single" w:color="auto" w:sz="6" w:space="1"/>
        </w:pBd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条款号：36.4             修改类型：修改</w:t>
      </w:r>
    </w:p>
    <w:p>
      <w:pPr>
        <w:pBdr>
          <w:bottom w:val="single" w:color="auto" w:sz="6" w:space="1"/>
        </w:pBd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36.4若递交投标文件的投标人不足3家，则重新组织招标。</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条款号：36.5.1             修改类型：修改</w:t>
      </w:r>
    </w:p>
    <w:p>
      <w:pP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36.5.1在投标截止时间后半小时内，投标人通过</w:t>
      </w:r>
      <w:r>
        <w:rPr>
          <w:rFonts w:ascii="Arial" w:hAnsi="Arial" w:cs="Arial"/>
          <w:color w:val="auto"/>
          <w:szCs w:val="21"/>
          <w:highlight w:val="none"/>
          <w:u w:val="single"/>
        </w:rPr>
        <w:t xml:space="preserve">        </w:t>
      </w:r>
      <w:r>
        <w:rPr>
          <w:rFonts w:ascii="Arial" w:hAnsi="Arial" w:cs="Arial"/>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szCs w:val="21"/>
          <w:highlight w:val="none"/>
        </w:rPr>
        <w:t>36.5.1在投标截止时间后半小时内，投标人通过交易平台对已递交的电子投标文件进行解密。投标人完成解密后，再由</w:t>
      </w:r>
      <w:r>
        <w:rPr>
          <w:rFonts w:hint="eastAsia" w:ascii="宋体" w:hAnsi="宋体" w:eastAsia="宋体" w:cs="宋体"/>
          <w:bCs/>
          <w:color w:val="auto"/>
          <w:szCs w:val="21"/>
          <w:highlight w:val="none"/>
          <w:u w:val="single"/>
        </w:rPr>
        <w:t>招标人或招标代理机构</w:t>
      </w:r>
      <w:r>
        <w:rPr>
          <w:rFonts w:ascii="Arial" w:hAnsi="Arial" w:cs="Arial"/>
          <w:color w:val="auto"/>
          <w:szCs w:val="21"/>
          <w:highlight w:val="none"/>
        </w:rPr>
        <w:t>进行解密。解密完成后，公布招标项目名称、投标人名称的递交情况、投标报价、工期及其他内容；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条款号：36.5.3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szCs w:val="21"/>
          <w:highlight w:val="none"/>
        </w:rPr>
        <w:t>36.5.3投标人代表、招标人代表、监标人、记录人等有关人员在开标记录上签字确认；若有关人员不签字的，不影响开标程序；</w:t>
      </w:r>
      <w:r>
        <w:rPr>
          <w:rFonts w:ascii="Arial" w:hAnsi="Arial" w:cs="Arial"/>
          <w:color w:val="auto"/>
          <w:szCs w:val="21"/>
          <w:highlight w:val="none"/>
          <w:u w:val="single"/>
        </w:rPr>
        <w:t>若投标人不参加开标会的，或不签字确认的，视同该投标人认可开标结果。</w:t>
      </w:r>
    </w:p>
    <w:p>
      <w:pPr>
        <w:ind w:firstLine="472" w:firstLineChars="224"/>
        <w:rPr>
          <w:rFonts w:ascii="Arial" w:hAnsi="Arial" w:cs="Arial"/>
          <w:b/>
          <w:color w:val="auto"/>
          <w:szCs w:val="21"/>
          <w:highlight w:val="none"/>
        </w:rPr>
      </w:pPr>
      <w:r>
        <w:rPr>
          <w:rFonts w:ascii="Arial" w:hAnsi="Arial" w:cs="Arial"/>
          <w:b/>
          <w:color w:val="auto"/>
          <w:szCs w:val="21"/>
          <w:highlight w:val="none"/>
        </w:rPr>
        <w:t>条款号：38.1            修改类型：修改</w:t>
      </w:r>
    </w:p>
    <w:p>
      <w:pPr>
        <w:pStyle w:val="51"/>
        <w:spacing w:line="360" w:lineRule="auto"/>
        <w:ind w:firstLine="422" w:firstLineChars="200"/>
        <w:rPr>
          <w:rFonts w:ascii="Arial" w:hAnsi="Arial" w:cs="Arial"/>
          <w:bCs/>
          <w:color w:val="auto"/>
          <w:sz w:val="21"/>
          <w:szCs w:val="21"/>
          <w:highlight w:val="none"/>
          <w:shd w:val="clear" w:color="auto" w:fill="FFFFFF"/>
        </w:rPr>
      </w:pPr>
      <w:r>
        <w:rPr>
          <w:rFonts w:ascii="Arial" w:hAnsi="Arial" w:cs="Arial"/>
          <w:b/>
          <w:bCs/>
          <w:color w:val="auto"/>
          <w:sz w:val="21"/>
          <w:szCs w:val="21"/>
          <w:highlight w:val="none"/>
          <w:shd w:val="clear" w:color="auto" w:fill="FFFFFF"/>
        </w:rPr>
        <w:t>原文：</w:t>
      </w:r>
      <w:r>
        <w:rPr>
          <w:rFonts w:ascii="Arial" w:hAnsi="Arial" w:cs="Arial"/>
          <w:bCs/>
          <w:color w:val="auto"/>
          <w:sz w:val="21"/>
          <w:szCs w:val="21"/>
          <w:highlight w:val="none"/>
          <w:shd w:val="clear" w:color="auto" w:fill="FFFFFF"/>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Arial" w:hAnsi="Arial" w:cs="Arial"/>
          <w:b/>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ascii="Arial" w:hAnsi="Arial" w:cs="Arial"/>
          <w:color w:val="auto"/>
          <w:szCs w:val="21"/>
          <w:highlight w:val="none"/>
          <w:u w:val="single"/>
        </w:rPr>
        <w:t>对投标文件含义不明确、对同类问题表述不一致、有明显文字和计算错误的内容以及细微偏差的</w:t>
      </w:r>
      <w:r>
        <w:rPr>
          <w:rFonts w:ascii="Arial" w:hAnsi="Arial" w:cs="Arial"/>
          <w:color w:val="auto"/>
          <w:szCs w:val="21"/>
          <w:highlight w:val="none"/>
        </w:rPr>
        <w:t>内容作出澄清。</w:t>
      </w:r>
    </w:p>
    <w:p>
      <w:pPr>
        <w:pStyle w:val="51"/>
        <w:widowControl/>
        <w:spacing w:line="360" w:lineRule="auto"/>
        <w:ind w:firstLine="422" w:firstLineChars="200"/>
        <w:rPr>
          <w:rFonts w:ascii="Arial" w:hAnsi="Arial" w:cs="Arial"/>
          <w:b/>
          <w:bCs/>
          <w:color w:val="auto"/>
          <w:sz w:val="21"/>
          <w:szCs w:val="21"/>
          <w:highlight w:val="none"/>
          <w:shd w:val="clear" w:color="auto" w:fill="FFFFFF"/>
        </w:rPr>
      </w:pPr>
      <w:r>
        <w:rPr>
          <w:rFonts w:ascii="Arial" w:hAnsi="Arial" w:cs="Arial"/>
          <w:b/>
          <w:bCs/>
          <w:color w:val="auto"/>
          <w:sz w:val="21"/>
          <w:szCs w:val="21"/>
          <w:highlight w:val="none"/>
          <w:shd w:val="clear" w:color="auto" w:fill="FFFFFF"/>
        </w:rPr>
        <w:t>条款号：39.3 修改类型：修改</w:t>
      </w:r>
    </w:p>
    <w:p>
      <w:pPr>
        <w:widowControl/>
        <w:spacing w:line="360" w:lineRule="auto"/>
        <w:ind w:firstLine="413" w:firstLineChars="196"/>
        <w:jc w:val="left"/>
        <w:rPr>
          <w:rFonts w:ascii="Arial" w:hAnsi="Arial" w:cs="Arial"/>
          <w:color w:val="auto"/>
          <w:szCs w:val="21"/>
          <w:highlight w:val="none"/>
          <w:shd w:val="clear" w:color="auto" w:fill="FFFFFF"/>
        </w:rPr>
      </w:pPr>
      <w:r>
        <w:rPr>
          <w:rFonts w:ascii="Arial" w:hAnsi="Arial" w:cs="Arial"/>
          <w:b/>
          <w:color w:val="auto"/>
          <w:kern w:val="0"/>
          <w:szCs w:val="21"/>
          <w:highlight w:val="none"/>
          <w:shd w:val="clear" w:color="auto" w:fill="FFFFFF"/>
        </w:rPr>
        <w:t>原文：</w:t>
      </w:r>
      <w:r>
        <w:rPr>
          <w:rFonts w:ascii="Arial" w:hAnsi="Arial" w:cs="Arial"/>
          <w:color w:val="auto"/>
          <w:kern w:val="0"/>
          <w:szCs w:val="21"/>
          <w:highlight w:val="none"/>
          <w:shd w:val="clear" w:color="auto" w:fill="FFFFFF"/>
        </w:rPr>
        <w:t>39.3</w:t>
      </w:r>
      <w:r>
        <w:rPr>
          <w:rFonts w:ascii="Arial" w:hAnsi="Arial" w:cs="Arial"/>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shd w:val="clear" w:color="auto" w:fill="FFFFFF"/>
        </w:rPr>
        <w:t>现文：</w:t>
      </w:r>
      <w:r>
        <w:rPr>
          <w:rFonts w:ascii="Arial" w:hAnsi="Arial" w:cs="Arial"/>
          <w:color w:val="auto"/>
          <w:szCs w:val="21"/>
          <w:highlight w:val="none"/>
          <w:shd w:val="clear" w:color="auto" w:fill="FFFFFF"/>
        </w:rPr>
        <w:t>39.3</w:t>
      </w:r>
      <w:r>
        <w:rPr>
          <w:rFonts w:ascii="Arial" w:hAnsi="Arial" w:cs="Arial"/>
          <w:color w:val="auto"/>
          <w:szCs w:val="21"/>
          <w:highlight w:val="none"/>
        </w:rPr>
        <w:t>排名第一的中标候选人放弃中标、或因不可抗力提出不能履行合同，或者招标文件规定应当提交履约担保而在规定的期限内未能提交的，</w:t>
      </w:r>
      <w:r>
        <w:rPr>
          <w:rFonts w:ascii="Arial" w:hAnsi="Arial" w:cs="Arial"/>
          <w:b/>
          <w:bCs/>
          <w:color w:val="auto"/>
          <w:szCs w:val="21"/>
          <w:highlight w:val="none"/>
          <w:u w:val="single"/>
          <w:shd w:val="clear" w:color="auto" w:fill="FFFFFF"/>
        </w:rPr>
        <w:t>或经核查发现委派的项目负责人已在其他在建项目中任职的，</w:t>
      </w:r>
      <w:r>
        <w:rPr>
          <w:rFonts w:ascii="Arial" w:hAnsi="Arial" w:cs="Arial"/>
          <w:color w:val="auto"/>
          <w:szCs w:val="21"/>
          <w:highlight w:val="none"/>
          <w:u w:val="single"/>
        </w:rPr>
        <w:t>招标人可以确定排名第二的中标候选人为中标人。</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 评标办法        修改类型：删除</w:t>
      </w:r>
    </w:p>
    <w:p>
      <w:pPr>
        <w:pBdr>
          <w:bottom w:val="single" w:color="auto" w:sz="6" w:space="1"/>
        </w:pBdr>
        <w:spacing w:line="360" w:lineRule="auto"/>
        <w:ind w:firstLine="527" w:firstLineChars="250"/>
        <w:rPr>
          <w:rStyle w:val="64"/>
          <w:rFonts w:ascii="Arial" w:hAnsi="Arial" w:cs="Arial"/>
          <w:color w:val="auto"/>
          <w:szCs w:val="21"/>
          <w:highlight w:val="none"/>
        </w:rPr>
      </w:pPr>
      <w:r>
        <w:rPr>
          <w:rFonts w:ascii="Arial" w:hAnsi="Arial" w:cs="Arial"/>
          <w:b/>
          <w:color w:val="auto"/>
          <w:szCs w:val="21"/>
          <w:highlight w:val="none"/>
        </w:rPr>
        <w:t>原文：</w:t>
      </w:r>
      <w:r>
        <w:rPr>
          <w:rStyle w:val="64"/>
          <w:rFonts w:ascii="Arial" w:hAnsi="Arial" w:cs="Arial"/>
          <w:color w:val="auto"/>
          <w:szCs w:val="21"/>
          <w:highlight w:val="none"/>
        </w:rPr>
        <w:t>可选</w:t>
      </w:r>
      <w:r>
        <w:rPr>
          <w:rFonts w:ascii="Arial" w:hAnsi="Arial" w:cs="Arial"/>
          <w:color w:val="auto"/>
          <w:szCs w:val="21"/>
          <w:highlight w:val="none"/>
        </w:rPr>
        <w:t>办法</w:t>
      </w:r>
      <w:r>
        <w:rPr>
          <w:rStyle w:val="64"/>
          <w:rFonts w:ascii="Arial" w:hAnsi="Arial" w:cs="Arial"/>
          <w:color w:val="auto"/>
          <w:szCs w:val="21"/>
          <w:highlight w:val="none"/>
        </w:rPr>
        <w:t>一（适合</w:t>
      </w:r>
      <w:r>
        <w:rPr>
          <w:rStyle w:val="64"/>
          <w:rFonts w:ascii="Arial" w:hAnsi="Arial" w:cs="Arial"/>
          <w:color w:val="auto"/>
          <w:kern w:val="0"/>
          <w:szCs w:val="21"/>
          <w:highlight w:val="none"/>
        </w:rPr>
        <w:t>综合评分法一</w:t>
      </w:r>
      <w:r>
        <w:rPr>
          <w:rStyle w:val="64"/>
          <w:rFonts w:ascii="Arial" w:hAnsi="Arial" w:cs="Arial"/>
          <w:color w:val="auto"/>
          <w:szCs w:val="21"/>
          <w:highlight w:val="none"/>
        </w:rPr>
        <w:t>，技术标与经济标先后分别开启）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w:t>
      </w:r>
      <w:r>
        <w:rPr>
          <w:rFonts w:ascii="Arial" w:hAnsi="Arial" w:cs="Arial"/>
          <w:color w:val="auto"/>
          <w:szCs w:val="21"/>
          <w:highlight w:val="none"/>
        </w:rPr>
        <w:t>办法</w:t>
      </w:r>
      <w:r>
        <w:rPr>
          <w:rStyle w:val="64"/>
          <w:rFonts w:ascii="Arial" w:hAnsi="Arial" w:cs="Arial"/>
          <w:color w:val="auto"/>
          <w:szCs w:val="21"/>
          <w:highlight w:val="none"/>
        </w:rPr>
        <w:t>二（适合综合评分法一，技术标与经济标同时开启）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可选办法三（适合综合评分法二，技术标与经济标先后分别开启）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可选办法四（适合综合评分法二，技术标与经济标同时开启）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可选办法五（适合综合评分法三，技术标与经济标先后分别开启）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可选办法六（适合综合评分法三，技术标与经济标同时开启）</w:t>
      </w:r>
    </w:p>
    <w:p>
      <w:pPr>
        <w:pBdr>
          <w:bottom w:val="single" w:color="auto" w:sz="6" w:space="1"/>
        </w:pBdr>
        <w:spacing w:line="360" w:lineRule="auto"/>
        <w:ind w:firstLine="1155" w:firstLineChars="550"/>
        <w:rPr>
          <w:rFonts w:ascii="Arial" w:hAnsi="Arial" w:cs="Arial"/>
          <w:b/>
          <w:color w:val="auto"/>
          <w:szCs w:val="21"/>
          <w:highlight w:val="none"/>
        </w:rPr>
      </w:pPr>
      <w:r>
        <w:rPr>
          <w:rStyle w:val="64"/>
          <w:rFonts w:ascii="Arial" w:hAnsi="Arial" w:cs="Arial"/>
          <w:color w:val="auto"/>
          <w:szCs w:val="21"/>
          <w:highlight w:val="none"/>
        </w:rPr>
        <w:t>可选办法八（适合经评审的最低投标价法，技术标与经济标同时开启）</w:t>
      </w:r>
    </w:p>
    <w:p>
      <w:pPr>
        <w:pStyle w:val="51"/>
        <w:widowControl/>
        <w:spacing w:line="360" w:lineRule="auto"/>
        <w:ind w:firstLine="422" w:firstLineChars="200"/>
        <w:rPr>
          <w:rFonts w:ascii="Arial" w:hAnsi="Arial" w:cs="Arial"/>
          <w:b/>
          <w:bCs/>
          <w:color w:val="auto"/>
          <w:sz w:val="21"/>
          <w:szCs w:val="21"/>
          <w:highlight w:val="none"/>
          <w:shd w:val="clear" w:color="auto" w:fill="FFFFFF"/>
        </w:rPr>
      </w:pPr>
      <w:r>
        <w:rPr>
          <w:rFonts w:ascii="Arial" w:hAnsi="Arial" w:cs="Arial"/>
          <w:b/>
          <w:bCs/>
          <w:color w:val="auto"/>
          <w:sz w:val="21"/>
          <w:szCs w:val="21"/>
          <w:highlight w:val="none"/>
          <w:shd w:val="clear" w:color="auto" w:fill="FFFFFF"/>
        </w:rPr>
        <w:t xml:space="preserve">条款号：（二）开标评标办法程序和细则      修改类型：修改 </w:t>
      </w:r>
    </w:p>
    <w:p>
      <w:pPr>
        <w:pStyle w:val="51"/>
        <w:widowControl/>
        <w:spacing w:line="360" w:lineRule="auto"/>
        <w:ind w:firstLine="422" w:firstLineChars="200"/>
        <w:rPr>
          <w:rFonts w:ascii="Arial" w:hAnsi="Arial" w:cs="Arial"/>
          <w:b/>
          <w:bCs/>
          <w:color w:val="auto"/>
          <w:sz w:val="21"/>
          <w:szCs w:val="21"/>
          <w:highlight w:val="none"/>
          <w:shd w:val="clear" w:color="auto" w:fill="FFFFFF"/>
        </w:rPr>
      </w:pPr>
      <w:r>
        <w:rPr>
          <w:rFonts w:ascii="Arial" w:hAnsi="Arial" w:cs="Arial"/>
          <w:b/>
          <w:bCs/>
          <w:color w:val="auto"/>
          <w:sz w:val="21"/>
          <w:szCs w:val="21"/>
          <w:highlight w:val="none"/>
          <w:shd w:val="clear" w:color="auto" w:fill="FFFFFF"/>
        </w:rPr>
        <w:t>原文：</w:t>
      </w:r>
      <w:r>
        <w:rPr>
          <w:rFonts w:ascii="Arial" w:hAnsi="Arial" w:cs="Arial"/>
          <w:color w:val="auto"/>
          <w:sz w:val="21"/>
          <w:szCs w:val="21"/>
          <w:highlight w:val="none"/>
          <w:shd w:val="clear" w:color="auto" w:fill="FFFFFF"/>
        </w:rPr>
        <w:t>注：以下八种评标办法所述企业综合诚信评价分数即投标截止当日广州市住房和城乡建设局网站上公布的企业综合诚信评价60日诚信分。</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本项目不适用</w:t>
      </w:r>
    </w:p>
    <w:p>
      <w:pPr>
        <w:adjustRightInd w:val="0"/>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条款号：41.1                                             修改类型：修改</w:t>
      </w:r>
    </w:p>
    <w:p>
      <w:pPr>
        <w:adjustRightInd w:val="0"/>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41.1 开标由招标人主持；</w:t>
      </w:r>
    </w:p>
    <w:p>
      <w:pPr>
        <w:pBdr>
          <w:bottom w:val="single" w:color="auto" w:sz="6" w:space="1"/>
        </w:pBdr>
        <w:adjustRightInd w:val="0"/>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41.1 开标由招标人</w:t>
      </w:r>
      <w:r>
        <w:rPr>
          <w:rFonts w:ascii="Arial" w:hAnsi="Arial" w:cs="Arial"/>
          <w:color w:val="auto"/>
          <w:szCs w:val="21"/>
          <w:highlight w:val="none"/>
          <w:u w:val="single"/>
        </w:rPr>
        <w:t>或招标代理</w:t>
      </w:r>
      <w:r>
        <w:rPr>
          <w:rFonts w:ascii="Arial" w:hAnsi="Arial" w:cs="Arial"/>
          <w:color w:val="auto"/>
          <w:szCs w:val="21"/>
          <w:highlight w:val="none"/>
        </w:rPr>
        <w:t>主持；</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条款号：41.2.1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原文：41.2.1</w:t>
      </w:r>
      <w:r>
        <w:rPr>
          <w:rFonts w:ascii="Arial" w:hAnsi="Arial" w:cs="Arial"/>
          <w:color w:val="auto"/>
          <w:szCs w:val="21"/>
          <w:highlight w:val="none"/>
        </w:rPr>
        <w:t>投标截止期前，各投标人递交投标文件（包括技术标投标文件、经济标投标文件）至</w:t>
      </w:r>
      <w:r>
        <w:rPr>
          <w:rFonts w:ascii="Arial" w:hAnsi="Arial" w:cs="Arial"/>
          <w:color w:val="auto"/>
          <w:szCs w:val="21"/>
          <w:highlight w:val="none"/>
          <w:u w:val="single"/>
        </w:rPr>
        <w:t xml:space="preserve">        </w:t>
      </w:r>
      <w:r>
        <w:rPr>
          <w:rFonts w:ascii="Arial" w:hAnsi="Arial" w:cs="Arial"/>
          <w:color w:val="auto"/>
          <w:szCs w:val="21"/>
          <w:highlight w:val="none"/>
        </w:rPr>
        <w:t>交易平台。有关投标文件提交的事项详见第一章投标须知。</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现文：41.2.1</w:t>
      </w:r>
      <w:r>
        <w:rPr>
          <w:rFonts w:ascii="Arial" w:hAnsi="Arial" w:cs="Arial"/>
          <w:color w:val="auto"/>
          <w:szCs w:val="21"/>
          <w:highlight w:val="none"/>
        </w:rPr>
        <w:t>投标截止期前，各投标人递交投标文件（包括技术标投标文件、经济标投标文件）至</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rPr>
        <w:t>交易平台。有关投标文件提交的事项详见第一章投标须知。</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条款号：41.2.</w:t>
      </w:r>
      <w:r>
        <w:rPr>
          <w:rFonts w:hint="eastAsia" w:ascii="Arial" w:hAnsi="Arial" w:cs="Arial"/>
          <w:b/>
          <w:color w:val="auto"/>
          <w:szCs w:val="21"/>
          <w:highlight w:val="none"/>
          <w:lang w:val="en-US" w:eastAsia="zh-CN"/>
        </w:rPr>
        <w:t>4</w:t>
      </w:r>
      <w:r>
        <w:rPr>
          <w:rFonts w:ascii="Arial" w:hAnsi="Arial" w:cs="Arial"/>
          <w:b/>
          <w:color w:val="auto"/>
          <w:szCs w:val="21"/>
          <w:highlight w:val="none"/>
        </w:rPr>
        <w:t xml:space="preserve">             修改类型：修改</w:t>
      </w:r>
    </w:p>
    <w:p>
      <w:pPr>
        <w:pStyle w:val="51"/>
        <w:spacing w:line="360" w:lineRule="auto"/>
        <w:ind w:firstLine="422" w:firstLineChars="200"/>
        <w:rPr>
          <w:rFonts w:hint="default" w:ascii="Arial" w:hAnsi="Arial" w:cs="Arial"/>
          <w:bCs/>
          <w:color w:val="auto"/>
          <w:sz w:val="21"/>
          <w:szCs w:val="21"/>
          <w:highlight w:val="none"/>
          <w:shd w:val="clear" w:color="auto" w:fill="FFFFFF"/>
          <w:lang w:val="en-US" w:eastAsia="zh-CN"/>
        </w:rPr>
      </w:pPr>
      <w:r>
        <w:rPr>
          <w:rFonts w:hint="default" w:ascii="Arial" w:hAnsi="Arial" w:cs="Arial"/>
          <w:b/>
          <w:bCs w:val="0"/>
          <w:color w:val="auto"/>
          <w:sz w:val="21"/>
          <w:szCs w:val="21"/>
          <w:highlight w:val="none"/>
          <w:shd w:val="clear" w:color="auto" w:fill="FFFFFF"/>
          <w:lang w:val="en-US" w:eastAsia="zh-CN"/>
        </w:rPr>
        <w:t>原文：</w:t>
      </w:r>
      <w:r>
        <w:rPr>
          <w:rFonts w:hint="default" w:ascii="Arial" w:hAnsi="Arial" w:cs="Arial"/>
          <w:bCs/>
          <w:color w:val="auto"/>
          <w:sz w:val="21"/>
          <w:szCs w:val="21"/>
          <w:highlight w:val="none"/>
          <w:shd w:val="clear" w:color="auto" w:fill="FFFFFF"/>
          <w:lang w:val="en-US" w:eastAsia="zh-CN"/>
        </w:rPr>
        <w:t>41.2.4开标时，投标人代表有权出席开标会，也可以自主决定不参加开标会，若投标人代表对开标过程提出异议，该投标人代表须同时出示本人身份证原件。</w:t>
      </w:r>
    </w:p>
    <w:p>
      <w:pPr>
        <w:pStyle w:val="51"/>
        <w:pBdr>
          <w:bottom w:val="single" w:color="auto" w:sz="4" w:space="0"/>
        </w:pBdr>
        <w:spacing w:line="360" w:lineRule="auto"/>
        <w:ind w:firstLine="422" w:firstLineChars="200"/>
        <w:rPr>
          <w:rFonts w:hint="default" w:ascii="Arial" w:hAnsi="Arial" w:cs="Arial"/>
          <w:b/>
          <w:bCs w:val="0"/>
          <w:color w:val="auto"/>
          <w:sz w:val="21"/>
          <w:szCs w:val="21"/>
          <w:highlight w:val="none"/>
          <w:shd w:val="clear" w:color="auto" w:fill="FFFFFF"/>
          <w:lang w:val="en-US" w:eastAsia="zh-CN"/>
        </w:rPr>
      </w:pPr>
      <w:r>
        <w:rPr>
          <w:rFonts w:hint="default" w:ascii="Arial" w:hAnsi="Arial" w:cs="Arial"/>
          <w:b/>
          <w:bCs w:val="0"/>
          <w:color w:val="auto"/>
          <w:sz w:val="21"/>
          <w:szCs w:val="21"/>
          <w:highlight w:val="none"/>
          <w:shd w:val="clear" w:color="auto" w:fill="FFFFFF"/>
          <w:lang w:val="en-US" w:eastAsia="zh-CN"/>
        </w:rPr>
        <w:t>现文：</w:t>
      </w:r>
      <w:r>
        <w:rPr>
          <w:rFonts w:hint="default" w:ascii="Arial" w:hAnsi="Arial" w:cs="Arial"/>
          <w:b w:val="0"/>
          <w:bCs/>
          <w:color w:val="auto"/>
          <w:sz w:val="21"/>
          <w:szCs w:val="21"/>
          <w:highlight w:val="none"/>
          <w:shd w:val="clear" w:color="auto" w:fill="FFFFFF"/>
          <w:lang w:val="en-US" w:eastAsia="zh-CN"/>
        </w:rPr>
        <w:t>41.2.4开标时，投标人代表有权参加现场开标或在线开标，也可以自主决定不参加开标，若投标人代表对开标过程有异议的，</w:t>
      </w:r>
      <w:r>
        <w:rPr>
          <w:rFonts w:hint="default" w:ascii="Arial" w:hAnsi="Arial" w:cs="Arial"/>
          <w:b/>
          <w:bCs w:val="0"/>
          <w:color w:val="auto"/>
          <w:sz w:val="21"/>
          <w:szCs w:val="21"/>
          <w:highlight w:val="none"/>
          <w:shd w:val="clear" w:color="auto" w:fill="FFFFFF"/>
          <w:lang w:val="en-US" w:eastAsia="zh-CN"/>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41.2.2、41.2.3          </w:t>
      </w:r>
      <w:r>
        <w:rPr>
          <w:rFonts w:ascii="Arial" w:hAnsi="Arial" w:cs="Arial"/>
          <w:b/>
          <w:color w:val="auto"/>
          <w:szCs w:val="21"/>
          <w:highlight w:val="none"/>
        </w:rPr>
        <w:t>修改类型：删除</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bCs/>
          <w:color w:val="auto"/>
          <w:szCs w:val="21"/>
          <w:highlight w:val="none"/>
        </w:rPr>
        <w:t>原文：</w:t>
      </w:r>
      <w:r>
        <w:rPr>
          <w:rFonts w:ascii="Arial" w:hAnsi="Arial" w:cs="Arial"/>
          <w:color w:val="auto"/>
          <w:szCs w:val="21"/>
          <w:highlight w:val="none"/>
        </w:rPr>
        <w:t>41.2.2开标前，首先由招标人随机抽取确定该工程计算评标参考价的等分点值X。</w:t>
      </w:r>
    </w:p>
    <w:p>
      <w:pPr>
        <w:pBdr>
          <w:bottom w:val="single" w:color="auto" w:sz="6" w:space="1"/>
        </w:pBd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41.2.3对通过技术标有效性审查的投标人开启其经济标投标文件；</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41.3          </w:t>
      </w:r>
      <w:r>
        <w:rPr>
          <w:rFonts w:ascii="Arial" w:hAnsi="Arial" w:cs="Arial"/>
          <w:b/>
          <w:color w:val="auto"/>
          <w:szCs w:val="21"/>
          <w:highlight w:val="none"/>
        </w:rPr>
        <w:t>修改类型：修改</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bCs/>
          <w:color w:val="auto"/>
          <w:szCs w:val="21"/>
          <w:highlight w:val="none"/>
        </w:rPr>
        <w:t>原文：</w:t>
      </w:r>
      <w:r>
        <w:rPr>
          <w:rFonts w:ascii="Arial" w:hAnsi="Arial" w:cs="Arial"/>
          <w:color w:val="auto"/>
          <w:szCs w:val="21"/>
          <w:highlight w:val="none"/>
        </w:rPr>
        <w:t>41.3招标人对开标过程进行记录，并存档备查，投标人在技术标开标记录上签字。</w:t>
      </w:r>
    </w:p>
    <w:p>
      <w:pPr>
        <w:pBdr>
          <w:bottom w:val="single" w:color="auto" w:sz="6" w:space="1"/>
        </w:pBd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现文：41.3招标人或招标代理机构对开标过程进行记录，并存档备查，</w:t>
      </w:r>
      <w:r>
        <w:rPr>
          <w:rFonts w:hint="eastAsia" w:ascii="宋体" w:hAnsi="宋体" w:cs="宋体"/>
          <w:color w:val="auto"/>
          <w:szCs w:val="21"/>
          <w:highlight w:val="none"/>
          <w:u w:val="single"/>
        </w:rPr>
        <w:t>参加开标会议的</w:t>
      </w:r>
      <w:r>
        <w:rPr>
          <w:rFonts w:ascii="Arial" w:hAnsi="Arial" w:cs="Arial"/>
          <w:color w:val="auto"/>
          <w:szCs w:val="21"/>
          <w:highlight w:val="none"/>
        </w:rPr>
        <w:t>投标人在技术标开标记录上签字。</w:t>
      </w:r>
    </w:p>
    <w:p>
      <w:pPr>
        <w:pStyle w:val="4"/>
        <w:pBdr>
          <w:top w:val="single" w:color="auto" w:sz="4" w:space="0"/>
        </w:pBdr>
        <w:spacing w:after="0" w:line="4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 xml:space="preserve">42.1           </w:t>
      </w:r>
      <w:r>
        <w:rPr>
          <w:rFonts w:hint="eastAsia" w:ascii="宋体" w:hAnsi="宋体" w:eastAsia="宋体" w:cs="宋体"/>
          <w:b/>
          <w:color w:val="auto"/>
          <w:sz w:val="21"/>
          <w:szCs w:val="21"/>
          <w:highlight w:val="none"/>
        </w:rPr>
        <w:t>修改类型：修改</w:t>
      </w:r>
    </w:p>
    <w:p>
      <w:pPr>
        <w:spacing w:line="460" w:lineRule="exact"/>
        <w:ind w:firstLine="413" w:firstLineChars="196"/>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42.1评标委员会的组成：方式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pPr>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方式一：评标委员会为综合评标委员会，负责资格审查及评标工作。</w:t>
      </w:r>
    </w:p>
    <w:p>
      <w:pPr>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60" w:lineRule="exact"/>
        <w:ind w:firstLine="413" w:firstLineChars="196"/>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42.1评标委员会的组成：方式</w:t>
      </w:r>
      <w:r>
        <w:rPr>
          <w:rFonts w:hint="eastAsia" w:ascii="宋体" w:hAnsi="宋体" w:eastAsia="宋体" w:cs="宋体"/>
          <w:bCs/>
          <w:color w:val="auto"/>
          <w:szCs w:val="21"/>
          <w:highlight w:val="none"/>
          <w:u w:val="single"/>
        </w:rPr>
        <w:t>一</w:t>
      </w:r>
      <w:r>
        <w:rPr>
          <w:rFonts w:hint="eastAsia" w:ascii="宋体" w:hAnsi="宋体" w:eastAsia="宋体" w:cs="宋体"/>
          <w:bCs/>
          <w:color w:val="auto"/>
          <w:szCs w:val="21"/>
          <w:highlight w:val="none"/>
        </w:rPr>
        <w:t>。</w:t>
      </w:r>
    </w:p>
    <w:p>
      <w:pPr>
        <w:pBdr>
          <w:bottom w:val="single" w:color="auto" w:sz="6" w:space="1"/>
        </w:pBdr>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方式一：评标委员会为综合评标委员会，负责资格审查及评标工作。</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条款号：42.2      修改类型：修改</w:t>
      </w:r>
    </w:p>
    <w:p>
      <w:pPr>
        <w:pStyle w:val="4"/>
        <w:tabs>
          <w:tab w:val="left" w:pos="7380"/>
        </w:tabs>
        <w:snapToGrid w:val="0"/>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42.2评标委员会的组成：方式</w:t>
      </w:r>
      <w:r>
        <w:rPr>
          <w:rFonts w:ascii="Arial" w:hAnsi="Arial" w:cs="Arial"/>
          <w:color w:val="auto"/>
          <w:szCs w:val="21"/>
          <w:highlight w:val="none"/>
          <w:u w:val="single"/>
        </w:rPr>
        <w:t xml:space="preserve">      </w:t>
      </w:r>
      <w:r>
        <w:rPr>
          <w:rFonts w:ascii="Arial" w:hAnsi="Arial" w:cs="Arial"/>
          <w:color w:val="auto"/>
          <w:szCs w:val="21"/>
          <w:highlight w:val="none"/>
        </w:rPr>
        <w:t>。</w:t>
      </w:r>
    </w:p>
    <w:p>
      <w:pPr>
        <w:pStyle w:val="4"/>
        <w:tabs>
          <w:tab w:val="left" w:pos="7380"/>
        </w:tabs>
        <w:snapToGrid w:val="0"/>
        <w:spacing w:line="360" w:lineRule="auto"/>
        <w:ind w:firstLineChars="200"/>
        <w:rPr>
          <w:rFonts w:ascii="Arial" w:hAnsi="Arial" w:cs="Arial"/>
          <w:color w:val="auto"/>
          <w:szCs w:val="21"/>
          <w:highlight w:val="none"/>
        </w:rPr>
      </w:pPr>
      <w:r>
        <w:rPr>
          <w:rFonts w:ascii="Arial" w:hAnsi="Arial" w:cs="Arial"/>
          <w:color w:val="auto"/>
          <w:szCs w:val="21"/>
          <w:highlight w:val="none"/>
        </w:rPr>
        <w:t>方式一：评标委员会为综合评标委员会，负责资格审查及评标工作。</w:t>
      </w:r>
    </w:p>
    <w:p>
      <w:pPr>
        <w:pStyle w:val="4"/>
        <w:tabs>
          <w:tab w:val="left" w:pos="7380"/>
        </w:tabs>
        <w:snapToGrid w:val="0"/>
        <w:spacing w:after="0" w:line="360" w:lineRule="auto"/>
        <w:ind w:firstLineChars="200"/>
        <w:rPr>
          <w:rFonts w:ascii="Arial" w:hAnsi="Arial" w:cs="Arial"/>
          <w:color w:val="auto"/>
          <w:szCs w:val="21"/>
          <w:highlight w:val="none"/>
        </w:rPr>
      </w:pPr>
      <w:r>
        <w:rPr>
          <w:rFonts w:ascii="Arial" w:hAnsi="Arial" w:cs="Arial"/>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42.2评标委员会的组成：方式</w:t>
      </w:r>
      <w:r>
        <w:rPr>
          <w:rFonts w:ascii="Arial" w:hAnsi="Arial" w:cs="Arial"/>
          <w:color w:val="auto"/>
          <w:szCs w:val="21"/>
          <w:highlight w:val="none"/>
          <w:u w:val="single"/>
        </w:rPr>
        <w:t xml:space="preserve"> 一 </w:t>
      </w:r>
      <w:r>
        <w:rPr>
          <w:rFonts w:ascii="Arial" w:hAnsi="Arial" w:cs="Arial"/>
          <w:color w:val="auto"/>
          <w:szCs w:val="21"/>
          <w:highlight w:val="none"/>
        </w:rPr>
        <w:t>。</w:t>
      </w:r>
    </w:p>
    <w:p>
      <w:pPr>
        <w:pBdr>
          <w:bottom w:val="single" w:color="auto" w:sz="6" w:space="1"/>
        </w:pBd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方式一：评标委员会为综合评标委员会，负责资格审查及评标工作。</w:t>
      </w:r>
    </w:p>
    <w:p>
      <w:pPr>
        <w:pStyle w:val="4"/>
        <w:tabs>
          <w:tab w:val="left" w:pos="7380"/>
        </w:tabs>
        <w:snapToGrid w:val="0"/>
        <w:spacing w:line="360" w:lineRule="auto"/>
        <w:ind w:firstLineChars="200"/>
        <w:rPr>
          <w:rFonts w:hint="default" w:ascii="Arial" w:hAnsi="Arial" w:cs="Arial"/>
          <w:b w:val="0"/>
          <w:color w:val="auto"/>
          <w:szCs w:val="21"/>
          <w:highlight w:val="none"/>
        </w:rPr>
      </w:pPr>
      <w:r>
        <w:rPr>
          <w:rFonts w:hint="default" w:ascii="Arial" w:hAnsi="Arial" w:cs="Arial"/>
          <w:color w:val="auto"/>
          <w:szCs w:val="21"/>
          <w:highlight w:val="none"/>
        </w:rPr>
        <w:t xml:space="preserve">条款号：42.2 </w:t>
      </w:r>
      <w:r>
        <w:rPr>
          <w:rFonts w:hint="eastAsia" w:ascii="Arial" w:hAnsi="Arial" w:cs="Arial"/>
          <w:color w:val="auto"/>
          <w:szCs w:val="21"/>
          <w:highlight w:val="none"/>
          <w:lang w:val="en-US" w:eastAsia="zh-CN"/>
        </w:rPr>
        <w:t>.1</w:t>
      </w:r>
      <w:r>
        <w:rPr>
          <w:rFonts w:hint="default" w:ascii="Arial" w:hAnsi="Arial" w:cs="Arial"/>
          <w:color w:val="auto"/>
          <w:szCs w:val="21"/>
          <w:highlight w:val="none"/>
        </w:rPr>
        <w:t xml:space="preserve">     修改类型：修改</w:t>
      </w:r>
    </w:p>
    <w:p>
      <w:pPr>
        <w:pStyle w:val="4"/>
        <w:tabs>
          <w:tab w:val="left" w:pos="7380"/>
        </w:tabs>
        <w:snapToGrid w:val="0"/>
        <w:spacing w:line="360" w:lineRule="auto"/>
        <w:ind w:firstLineChars="200"/>
        <w:rPr>
          <w:rFonts w:hint="default" w:ascii="Arial" w:hAnsi="Arial" w:cs="Arial"/>
          <w:b w:val="0"/>
          <w:bCs w:val="0"/>
          <w:color w:val="auto"/>
          <w:szCs w:val="21"/>
          <w:highlight w:val="none"/>
          <w:lang w:val="en-US" w:eastAsia="zh-CN"/>
        </w:rPr>
      </w:pPr>
      <w:r>
        <w:rPr>
          <w:rFonts w:hint="default" w:ascii="Arial" w:hAnsi="Arial" w:cs="Arial"/>
          <w:b/>
          <w:bCs/>
          <w:color w:val="auto"/>
          <w:szCs w:val="21"/>
          <w:highlight w:val="none"/>
          <w:lang w:val="en-US" w:eastAsia="zh-CN"/>
        </w:rPr>
        <w:t>原文：</w:t>
      </w:r>
      <w:r>
        <w:rPr>
          <w:rFonts w:hint="eastAsia" w:ascii="Arial" w:hAnsi="Arial" w:cs="Arial"/>
          <w:b w:val="0"/>
          <w:bCs w:val="0"/>
          <w:color w:val="auto"/>
          <w:szCs w:val="21"/>
          <w:highlight w:val="none"/>
          <w:lang w:val="en-US" w:eastAsia="zh-CN"/>
        </w:rPr>
        <w:t>42.2.1</w:t>
      </w:r>
      <w:r>
        <w:rPr>
          <w:rFonts w:hint="default" w:ascii="Arial" w:hAnsi="Arial" w:cs="Arial"/>
          <w:b w:val="0"/>
          <w:color w:val="auto"/>
          <w:szCs w:val="21"/>
          <w:highlight w:val="none"/>
          <w:lang w:val="en-US" w:eastAsia="zh-CN"/>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pBdr>
          <w:bottom w:val="single" w:color="auto" w:sz="4" w:space="0"/>
        </w:pBdr>
        <w:tabs>
          <w:tab w:val="left" w:pos="7380"/>
        </w:tabs>
        <w:snapToGrid w:val="0"/>
        <w:spacing w:line="360" w:lineRule="auto"/>
        <w:ind w:firstLineChars="200"/>
        <w:rPr>
          <w:rFonts w:hint="eastAsia" w:ascii="Arial" w:hAnsi="Arial" w:cs="Arial"/>
          <w:color w:val="auto"/>
          <w:szCs w:val="21"/>
          <w:highlight w:val="none"/>
        </w:rPr>
      </w:pPr>
      <w:r>
        <w:rPr>
          <w:rFonts w:hint="default" w:ascii="Arial" w:hAnsi="Arial" w:cs="Arial"/>
          <w:b/>
          <w:bCs/>
          <w:color w:val="auto"/>
          <w:szCs w:val="21"/>
          <w:highlight w:val="none"/>
          <w:lang w:val="en-US" w:eastAsia="zh-CN"/>
        </w:rPr>
        <w:t>现文</w:t>
      </w:r>
      <w:r>
        <w:rPr>
          <w:rFonts w:hint="default" w:ascii="Arial" w:hAnsi="Arial" w:cs="Arial"/>
          <w:b w:val="0"/>
          <w:bCs w:val="0"/>
          <w:color w:val="auto"/>
          <w:szCs w:val="21"/>
          <w:highlight w:val="none"/>
          <w:lang w:val="en-US" w:eastAsia="zh-CN"/>
        </w:rPr>
        <w:t>：</w:t>
      </w:r>
      <w:r>
        <w:rPr>
          <w:rFonts w:hint="eastAsia" w:ascii="Arial" w:hAnsi="Arial" w:cs="Arial"/>
          <w:b w:val="0"/>
          <w:bCs w:val="0"/>
          <w:color w:val="auto"/>
          <w:szCs w:val="21"/>
          <w:highlight w:val="none"/>
          <w:lang w:val="en-US" w:eastAsia="zh-CN"/>
        </w:rPr>
        <w:t>42.2.1</w:t>
      </w:r>
      <w:r>
        <w:rPr>
          <w:rFonts w:hint="default" w:ascii="Arial" w:hAnsi="Arial" w:cs="Arial"/>
          <w:b w:val="0"/>
          <w:bCs w:val="0"/>
          <w:color w:val="auto"/>
          <w:szCs w:val="21"/>
          <w:highlight w:val="none"/>
          <w:lang w:val="en-US" w:eastAsia="zh-CN"/>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4"/>
        <w:tabs>
          <w:tab w:val="left" w:pos="7380"/>
        </w:tabs>
        <w:snapToGrid w:val="0"/>
        <w:spacing w:line="360" w:lineRule="auto"/>
        <w:ind w:firstLineChars="200"/>
        <w:rPr>
          <w:rFonts w:hint="default" w:ascii="Arial" w:hAnsi="Arial" w:cs="Arial"/>
          <w:b w:val="0"/>
          <w:color w:val="auto"/>
          <w:szCs w:val="21"/>
          <w:highlight w:val="none"/>
        </w:rPr>
      </w:pPr>
      <w:r>
        <w:rPr>
          <w:rFonts w:hint="default" w:ascii="Arial" w:hAnsi="Arial" w:cs="Arial"/>
          <w:color w:val="auto"/>
          <w:szCs w:val="21"/>
          <w:highlight w:val="none"/>
        </w:rPr>
        <w:t>条款号：42.</w:t>
      </w:r>
      <w:r>
        <w:rPr>
          <w:rFonts w:hint="eastAsia" w:ascii="Arial" w:hAnsi="Arial" w:cs="Arial"/>
          <w:color w:val="auto"/>
          <w:szCs w:val="21"/>
          <w:highlight w:val="none"/>
          <w:lang w:val="en-US" w:eastAsia="zh-CN"/>
        </w:rPr>
        <w:t>4.4</w:t>
      </w:r>
      <w:r>
        <w:rPr>
          <w:rFonts w:hint="default" w:ascii="Arial" w:hAnsi="Arial" w:cs="Arial"/>
          <w:color w:val="auto"/>
          <w:szCs w:val="21"/>
          <w:highlight w:val="none"/>
        </w:rPr>
        <w:t xml:space="preserve">     修改类型：修改</w:t>
      </w:r>
    </w:p>
    <w:p>
      <w:pPr>
        <w:pBdr>
          <w:bottom w:val="single" w:color="auto" w:sz="6" w:space="1"/>
        </w:pBdr>
        <w:spacing w:line="360" w:lineRule="auto"/>
        <w:ind w:firstLine="472" w:firstLineChars="224"/>
        <w:rPr>
          <w:rFonts w:hint="default" w:ascii="Arial" w:hAnsi="Arial" w:cs="Arial"/>
          <w:b w:val="0"/>
          <w:bCs/>
          <w:color w:val="auto"/>
          <w:szCs w:val="21"/>
          <w:highlight w:val="none"/>
          <w:lang w:val="en-US" w:eastAsia="zh-CN"/>
        </w:rPr>
      </w:pPr>
      <w:r>
        <w:rPr>
          <w:rFonts w:hint="default" w:ascii="Arial" w:hAnsi="Arial" w:cs="Arial"/>
          <w:b/>
          <w:bCs w:val="0"/>
          <w:color w:val="auto"/>
          <w:szCs w:val="21"/>
          <w:highlight w:val="none"/>
          <w:lang w:val="en-US" w:eastAsia="zh-CN"/>
        </w:rPr>
        <w:t>原文：</w:t>
      </w:r>
      <w:r>
        <w:rPr>
          <w:rFonts w:hint="default" w:ascii="Arial" w:hAnsi="Arial" w:cs="Arial"/>
          <w:b w:val="0"/>
          <w:bCs/>
          <w:color w:val="auto"/>
          <w:szCs w:val="21"/>
          <w:highlight w:val="none"/>
          <w:lang w:val="en-US" w:eastAsia="zh-CN"/>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72" w:firstLineChars="224"/>
        <w:rPr>
          <w:rFonts w:hint="default" w:ascii="Arial" w:hAnsi="Arial" w:eastAsia="宋体" w:cs="Arial"/>
          <w:b w:val="0"/>
          <w:bCs/>
          <w:color w:val="auto"/>
          <w:szCs w:val="21"/>
          <w:highlight w:val="none"/>
          <w:lang w:val="en-US" w:eastAsia="zh-CN"/>
        </w:rPr>
      </w:pPr>
      <w:r>
        <w:rPr>
          <w:rFonts w:hint="default" w:ascii="Arial" w:hAnsi="Arial" w:cs="Arial"/>
          <w:b/>
          <w:bCs w:val="0"/>
          <w:color w:val="auto"/>
          <w:szCs w:val="21"/>
          <w:highlight w:val="none"/>
          <w:lang w:val="en-US" w:eastAsia="zh-CN"/>
        </w:rPr>
        <w:t>现文：</w:t>
      </w:r>
      <w:r>
        <w:rPr>
          <w:rFonts w:hint="default" w:ascii="Arial" w:hAnsi="Arial" w:cs="Arial"/>
          <w:b w:val="0"/>
          <w:bCs/>
          <w:color w:val="auto"/>
          <w:szCs w:val="21"/>
          <w:highlight w:val="none"/>
          <w:lang w:val="en-US" w:eastAsia="zh-CN"/>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条款号：43.6                          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43.6资格审查合格的投标人少于3名的，则本项目招标失败。</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条款号：44.1                          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w:t>
      </w:r>
      <w:r>
        <w:rPr>
          <w:rFonts w:hint="eastAsia" w:ascii="宋体" w:hAnsi="宋体" w:cs="宋体"/>
          <w:b/>
          <w:bCs/>
          <w:color w:val="auto"/>
          <w:kern w:val="0"/>
          <w:szCs w:val="21"/>
          <w:highlight w:val="none"/>
          <w:lang w:val="en-US" w:eastAsia="zh-CN"/>
        </w:rPr>
        <w:t>评</w:t>
      </w:r>
      <w:r>
        <w:rPr>
          <w:rFonts w:hint="eastAsia" w:ascii="宋体" w:hAnsi="宋体" w:eastAsia="宋体" w:cs="宋体"/>
          <w:b/>
          <w:bCs/>
          <w:color w:val="auto"/>
          <w:kern w:val="0"/>
          <w:sz w:val="21"/>
          <w:szCs w:val="21"/>
          <w:highlight w:val="none"/>
        </w:rPr>
        <w:t>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条款号：45.1             修改类型：修改</w:t>
      </w:r>
    </w:p>
    <w:p>
      <w:pPr>
        <w:pBdr>
          <w:bottom w:val="single" w:color="auto" w:sz="6" w:space="1"/>
        </w:pBd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u w:val="single"/>
        </w:rPr>
        <w:t>若通过技术标有效性审查的投标人中所有投标报价均大于等于最高投标限价</w:t>
      </w:r>
      <w:r>
        <w:rPr>
          <w:rFonts w:hint="eastAsia" w:ascii="Arial" w:hAnsi="Arial" w:cs="Arial"/>
          <w:bCs/>
          <w:color w:val="auto"/>
          <w:szCs w:val="21"/>
          <w:highlight w:val="none"/>
          <w:u w:val="single"/>
          <w:lang w:val="en-US" w:eastAsia="zh-CN"/>
        </w:rPr>
        <w:t>95</w:t>
      </w:r>
      <w:r>
        <w:rPr>
          <w:rFonts w:ascii="Arial" w:hAnsi="Arial" w:cs="Arial"/>
          <w:bCs/>
          <w:color w:val="auto"/>
          <w:szCs w:val="21"/>
          <w:highlight w:val="none"/>
          <w:u w:val="single"/>
        </w:rPr>
        <w:t>%的（具体金额为：</w:t>
      </w:r>
      <w:r>
        <w:rPr>
          <w:rFonts w:hint="eastAsia" w:ascii="Arial" w:hAnsi="Arial" w:cs="Arial"/>
          <w:bCs/>
          <w:color w:val="auto"/>
          <w:szCs w:val="21"/>
          <w:highlight w:val="none"/>
          <w:u w:val="single"/>
        </w:rPr>
        <w:t>86467193.29</w:t>
      </w:r>
      <w:r>
        <w:rPr>
          <w:rFonts w:hint="eastAsia" w:ascii="Arial" w:hAnsi="Arial" w:cs="Arial"/>
          <w:bCs/>
          <w:color w:val="auto"/>
          <w:szCs w:val="21"/>
          <w:highlight w:val="none"/>
          <w:u w:val="single"/>
          <w:lang w:val="en-US" w:eastAsia="zh-CN"/>
        </w:rPr>
        <w:t xml:space="preserve">元 </w:t>
      </w:r>
      <w:r>
        <w:rPr>
          <w:rFonts w:ascii="Arial" w:hAnsi="Arial" w:cs="Arial"/>
          <w:bCs/>
          <w:color w:val="auto"/>
          <w:szCs w:val="21"/>
          <w:highlight w:val="none"/>
          <w:u w:val="single"/>
        </w:rPr>
        <w:t>），则本项目招标失败，由招标人依法重新招标。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条款号：45.2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 xml:space="preserve">45.2按方法计算评标参考价： </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45.2按方法</w:t>
      </w:r>
      <w:r>
        <w:rPr>
          <w:rFonts w:ascii="Arial" w:hAnsi="Arial" w:cs="Arial"/>
          <w:color w:val="auto"/>
          <w:szCs w:val="21"/>
          <w:highlight w:val="none"/>
          <w:u w:val="single"/>
        </w:rPr>
        <w:t>一</w:t>
      </w:r>
      <w:r>
        <w:rPr>
          <w:rFonts w:ascii="Arial" w:hAnsi="Arial" w:cs="Arial"/>
          <w:color w:val="auto"/>
          <w:szCs w:val="21"/>
          <w:highlight w:val="none"/>
        </w:rPr>
        <w:t xml:space="preserve">计算评标参考价： </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条款号：方法一：加权平均法              修改类型：修改</w:t>
      </w:r>
    </w:p>
    <w:p>
      <w:pPr>
        <w:widowControl/>
        <w:spacing w:line="360" w:lineRule="auto"/>
        <w:ind w:firstLine="422" w:firstLineChars="200"/>
        <w:rPr>
          <w:rFonts w:ascii="Arial" w:hAnsi="Arial" w:cs="Arial"/>
          <w:b/>
          <w:bCs/>
          <w:color w:val="auto"/>
          <w:kern w:val="0"/>
          <w:szCs w:val="21"/>
          <w:highlight w:val="none"/>
        </w:rPr>
      </w:pPr>
      <w:r>
        <w:rPr>
          <w:rFonts w:ascii="Arial" w:hAnsi="Arial" w:cs="Arial"/>
          <w:b/>
          <w:color w:val="auto"/>
          <w:szCs w:val="21"/>
          <w:highlight w:val="none"/>
        </w:rPr>
        <w:t>原文：方法一：加权平均法</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评标参考价=Σ（投标人的投标报价×报价权重）。</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其中：报价权重的计算方法为：将N名投标人按技术分由高至低进行排序，第一名投标人的权重为（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81000" cy="4495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81000" cy="449580"/>
            <wp:effectExtent l="0" t="0" r="0" b="762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color w:val="auto"/>
          <w:szCs w:val="21"/>
          <w:highlight w:val="none"/>
        </w:rPr>
        <w:fldChar w:fldCharType="end"/>
      </w:r>
      <w:r>
        <w:rPr>
          <w:rFonts w:ascii="Arial" w:hAnsi="Arial" w:cs="Arial"/>
          <w:color w:val="auto"/>
          <w:szCs w:val="21"/>
          <w:highlight w:val="none"/>
        </w:rPr>
        <w:t>），第二名投标人的权重为（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20040" cy="403860"/>
            <wp:effectExtent l="0" t="0" r="3810" b="1524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20040" cy="403860"/>
            <wp:effectExtent l="0" t="0" r="3810" b="1524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end"/>
      </w:r>
      <w:r>
        <w:rPr>
          <w:rFonts w:ascii="Arial" w:hAnsi="Arial" w:cs="Arial"/>
          <w:color w:val="auto"/>
          <w:szCs w:val="21"/>
          <w:highlight w:val="none"/>
        </w:rPr>
        <w:t>），以此类推，最后一名投标人的权重为（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20040" cy="403860"/>
            <wp:effectExtent l="0" t="0" r="3810" b="15875"/>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20040" cy="403860"/>
            <wp:effectExtent l="0" t="0" r="3810" b="15875"/>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end"/>
      </w:r>
      <w:r>
        <w:rPr>
          <w:rFonts w:ascii="Arial" w:hAnsi="Arial" w:cs="Arial"/>
          <w:color w:val="auto"/>
          <w:szCs w:val="21"/>
          <w:highlight w:val="none"/>
        </w:rPr>
        <w:t>）。</w:t>
      </w:r>
    </w:p>
    <w:p>
      <w:pPr>
        <w:widowControl/>
        <w:spacing w:line="360" w:lineRule="auto"/>
        <w:ind w:firstLine="422" w:firstLineChars="200"/>
        <w:rPr>
          <w:rFonts w:ascii="Arial" w:hAnsi="Arial" w:cs="Arial"/>
          <w:b/>
          <w:bCs/>
          <w:color w:val="auto"/>
          <w:kern w:val="0"/>
          <w:szCs w:val="21"/>
          <w:highlight w:val="none"/>
        </w:rPr>
      </w:pPr>
      <w:r>
        <w:rPr>
          <w:rFonts w:ascii="Arial" w:hAnsi="Arial" w:cs="Arial"/>
          <w:b/>
          <w:color w:val="auto"/>
          <w:szCs w:val="21"/>
          <w:highlight w:val="none"/>
        </w:rPr>
        <w:t>现文：方法一：加权平均法</w:t>
      </w:r>
    </w:p>
    <w:p>
      <w:pPr>
        <w:pBdr>
          <w:bottom w:val="single" w:color="auto" w:sz="6" w:space="1"/>
        </w:pBdr>
        <w:spacing w:line="360" w:lineRule="auto"/>
        <w:ind w:firstLine="525" w:firstLineChars="250"/>
        <w:rPr>
          <w:rFonts w:ascii="Arial" w:hAnsi="Arial" w:cs="Arial"/>
          <w:color w:val="auto"/>
          <w:szCs w:val="21"/>
          <w:highlight w:val="none"/>
        </w:rPr>
      </w:pPr>
      <w:r>
        <w:rPr>
          <w:rFonts w:hint="eastAsia" w:ascii="Arial" w:hAnsi="Arial" w:cs="Arial"/>
          <w:color w:val="auto"/>
          <w:szCs w:val="21"/>
          <w:highlight w:val="none"/>
        </w:rPr>
        <w:t>技术标得分前N名（若通过技术标有效性审查的家数大于等于5家时，N=5；若小于5家时，N=通过技术标有效性审查的家数；技术标得分相同的，以投标报价低的排前；技术标得分与投标报价均相同的投标人，由评标委员会采用记名投票方式，确定投标人的排序，投票方式确定排序的具体操作步骤为：由评标会对出现该情况的投标人进行编号，然后通过投票方式依次确定投标人的排序。）的经济报价加权平均，计算评标参考价。公式如下：</w:t>
      </w:r>
    </w:p>
    <w:p>
      <w:pPr>
        <w:pBdr>
          <w:bottom w:val="single" w:color="auto" w:sz="6" w:space="1"/>
        </w:pBd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评标参考价=Σ（投标人的投标报价×报价权重）。</w:t>
      </w:r>
    </w:p>
    <w:p>
      <w:pPr>
        <w:pBdr>
          <w:bottom w:val="single" w:color="auto" w:sz="6" w:space="1"/>
        </w:pBdr>
        <w:spacing w:line="360" w:lineRule="auto"/>
        <w:ind w:firstLine="525" w:firstLineChars="250"/>
        <w:rPr>
          <w:rFonts w:ascii="Arial" w:hAnsi="Arial" w:cs="Arial"/>
          <w:color w:val="auto"/>
          <w:spacing w:val="2"/>
          <w:highlight w:val="none"/>
        </w:rPr>
      </w:pPr>
      <w:r>
        <w:rPr>
          <w:rFonts w:ascii="Arial" w:hAnsi="Arial" w:cs="Arial"/>
          <w:color w:val="auto"/>
          <w:szCs w:val="21"/>
          <w:highlight w:val="none"/>
        </w:rPr>
        <w:t>其中：报价权重的计算方法为：将N名投标人按技术分由高至低进行排序，第一名投标人的权重为（</w:t>
      </w:r>
      <w:r>
        <w:rPr>
          <w:rFonts w:ascii="Arial" w:hAnsi="Arial" w:cs="Arial"/>
          <w:color w:val="auto"/>
          <w:spacing w:val="-4"/>
          <w:highlight w:val="none"/>
        </w:rPr>
        <w:drawing>
          <wp:inline distT="0" distB="0" distL="114300" distR="114300">
            <wp:extent cx="240030" cy="288290"/>
            <wp:effectExtent l="0" t="0" r="7620" b="1651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40030" cy="288290"/>
                    </a:xfrm>
                    <a:prstGeom prst="rect">
                      <a:avLst/>
                    </a:prstGeom>
                    <a:noFill/>
                    <a:ln>
                      <a:noFill/>
                    </a:ln>
                  </pic:spPr>
                </pic:pic>
              </a:graphicData>
            </a:graphic>
          </wp:inline>
        </w:drawing>
      </w:r>
      <w:r>
        <w:rPr>
          <w:rFonts w:ascii="Arial" w:hAnsi="Arial" w:cs="Arial"/>
          <w:color w:val="auto"/>
          <w:szCs w:val="21"/>
          <w:highlight w:val="none"/>
        </w:rPr>
        <w:t>），第二名投标人的权重为（</w:t>
      </w:r>
      <w:r>
        <w:rPr>
          <w:rFonts w:ascii="Arial" w:hAnsi="Arial" w:cs="Arial"/>
          <w:color w:val="auto"/>
          <w:spacing w:val="-4"/>
          <w:highlight w:val="none"/>
        </w:rPr>
        <w:drawing>
          <wp:inline distT="0" distB="0" distL="114300" distR="114300">
            <wp:extent cx="233045" cy="288290"/>
            <wp:effectExtent l="0" t="0" r="14605" b="1651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ascii="Arial" w:hAnsi="Arial" w:cs="Arial"/>
          <w:color w:val="auto"/>
          <w:szCs w:val="21"/>
          <w:highlight w:val="none"/>
        </w:rPr>
        <w:t>），以此类推，最后一名投标人的权重为（</w:t>
      </w:r>
      <w:r>
        <w:rPr>
          <w:rFonts w:ascii="Arial" w:hAnsi="Arial" w:cs="Arial"/>
          <w:color w:val="auto"/>
          <w:spacing w:val="-4"/>
          <w:highlight w:val="none"/>
        </w:rPr>
        <w:drawing>
          <wp:inline distT="0" distB="0" distL="114300" distR="114300">
            <wp:extent cx="233045" cy="288290"/>
            <wp:effectExtent l="0" t="0" r="14605" b="1651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ascii="Arial" w:hAnsi="Arial" w:cs="Arial"/>
          <w:color w:val="auto"/>
          <w:szCs w:val="21"/>
          <w:highlight w:val="none"/>
        </w:rPr>
        <w:t>）。</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条款号：45.3            修改类型：修改</w:t>
      </w:r>
    </w:p>
    <w:p>
      <w:pPr>
        <w:widowControl/>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u w:val="single"/>
        </w:rPr>
        <w:t>当标价等于评标参考价时得100分，标价每高于评标参考价1%，扣0.5分，每低于评标参考价1%，扣0.3分，扣至0分为止，得出经济分，精确到小数点后两位。</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条款号：45.4修改类型：修改</w:t>
      </w:r>
    </w:p>
    <w:p>
      <w:pPr>
        <w:widowControl/>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原文：</w:t>
      </w:r>
      <w:r>
        <w:rPr>
          <w:rFonts w:hint="eastAsia" w:ascii="Arial" w:hAnsi="Arial" w:cs="Arial"/>
          <w:b/>
          <w:color w:val="auto"/>
          <w:szCs w:val="21"/>
          <w:highlight w:val="none"/>
          <w:lang w:val="en-US" w:eastAsia="zh-CN"/>
        </w:rPr>
        <w:t>45.4</w:t>
      </w:r>
      <w:r>
        <w:rPr>
          <w:rFonts w:ascii="Arial" w:hAnsi="Arial" w:cs="Arial"/>
          <w:bCs/>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现文：</w:t>
      </w:r>
      <w:r>
        <w:rPr>
          <w:rFonts w:hint="eastAsia" w:ascii="Arial" w:hAnsi="Arial" w:cs="Arial"/>
          <w:b w:val="0"/>
          <w:bCs/>
          <w:color w:val="auto"/>
          <w:szCs w:val="21"/>
          <w:highlight w:val="none"/>
        </w:rPr>
        <w:t>45.4计算通过技术标有效性审查的投标人总得分。</w:t>
      </w:r>
      <w:r>
        <w:rPr>
          <w:rFonts w:hint="eastAsia" w:ascii="Arial" w:hAnsi="Arial" w:cs="Arial"/>
          <w:b w:val="0"/>
          <w:bCs/>
          <w:color w:val="auto"/>
          <w:szCs w:val="21"/>
          <w:highlight w:val="none"/>
          <w:lang w:eastAsia="zh-CN"/>
        </w:rPr>
        <w:t>投标人总得分=技术得分（满分</w:t>
      </w:r>
      <w:r>
        <w:rPr>
          <w:rFonts w:hint="eastAsia" w:ascii="Arial" w:hAnsi="Arial" w:cs="Arial"/>
          <w:b w:val="0"/>
          <w:bCs/>
          <w:color w:val="auto"/>
          <w:szCs w:val="21"/>
          <w:highlight w:val="none"/>
          <w:lang w:val="en-US" w:eastAsia="zh-CN"/>
        </w:rPr>
        <w:t>100</w:t>
      </w:r>
      <w:r>
        <w:rPr>
          <w:rFonts w:hint="eastAsia" w:ascii="Arial" w:hAnsi="Arial" w:cs="Arial"/>
          <w:b w:val="0"/>
          <w:bCs/>
          <w:color w:val="auto"/>
          <w:szCs w:val="21"/>
          <w:highlight w:val="none"/>
          <w:lang w:eastAsia="zh-CN"/>
        </w:rPr>
        <w:t>分）</w:t>
      </w:r>
      <w:r>
        <w:rPr>
          <w:rFonts w:ascii="Arial" w:hAnsi="Arial" w:cs="Arial"/>
          <w:bCs/>
          <w:color w:val="auto"/>
          <w:szCs w:val="21"/>
          <w:highlight w:val="none"/>
        </w:rPr>
        <w:t>×技术得分权重</w:t>
      </w:r>
      <w:r>
        <w:rPr>
          <w:rFonts w:hint="eastAsia" w:ascii="Arial" w:hAnsi="Arial" w:cs="Arial"/>
          <w:bCs/>
          <w:color w:val="auto"/>
          <w:szCs w:val="21"/>
          <w:highlight w:val="none"/>
          <w:lang w:eastAsia="zh-CN"/>
        </w:rPr>
        <w:t>（</w:t>
      </w:r>
      <w:r>
        <w:rPr>
          <w:rFonts w:hint="eastAsia" w:ascii="Arial" w:hAnsi="Arial" w:cs="Arial"/>
          <w:bCs/>
          <w:color w:val="auto"/>
          <w:szCs w:val="21"/>
          <w:highlight w:val="none"/>
          <w:lang w:val="en-US" w:eastAsia="zh-CN"/>
        </w:rPr>
        <w:t>20%）</w:t>
      </w:r>
      <w:r>
        <w:rPr>
          <w:rFonts w:hint="eastAsia" w:ascii="Arial" w:hAnsi="Arial" w:cs="Arial"/>
          <w:b w:val="0"/>
          <w:bCs/>
          <w:color w:val="auto"/>
          <w:szCs w:val="21"/>
          <w:highlight w:val="none"/>
          <w:lang w:eastAsia="zh-CN"/>
        </w:rPr>
        <w:t>＋经济得分（满分100分）×经济得分权重（80%）</w:t>
      </w:r>
      <w:r>
        <w:rPr>
          <w:rFonts w:hint="eastAsia" w:ascii="Arial" w:hAnsi="Arial" w:cs="Arial"/>
          <w:b w:val="0"/>
          <w:bCs/>
          <w:color w:val="auto"/>
          <w:szCs w:val="21"/>
          <w:highlight w:val="none"/>
        </w:rPr>
        <w:t>。</w:t>
      </w:r>
      <w:r>
        <w:rPr>
          <w:rFonts w:ascii="Arial" w:hAnsi="Arial" w:cs="Arial"/>
          <w:bCs/>
          <w:color w:val="auto"/>
          <w:szCs w:val="21"/>
          <w:highlight w:val="none"/>
        </w:rPr>
        <w:t>技术、经济得分权重按投标须知前附表的规定执行。总得分相同的投标文件，以技术分较高的排前；技术分均相同的投标文件，以报价较低的排前；如仍存在相同情况，则对具有相同情况的投标人，由评标委员会采用以差额选举的记名投票方式决定先后顺序，确定投标人的排序。</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款号：</w:t>
      </w:r>
      <w:r>
        <w:rPr>
          <w:rFonts w:hint="eastAsia" w:ascii="Arial" w:hAnsi="Arial" w:cs="Arial"/>
          <w:b/>
          <w:color w:val="auto"/>
          <w:szCs w:val="21"/>
          <w:highlight w:val="none"/>
          <w:lang w:val="en-US" w:eastAsia="zh-CN"/>
        </w:rPr>
        <w:t xml:space="preserve">46.1             </w:t>
      </w:r>
      <w:r>
        <w:rPr>
          <w:rFonts w:ascii="Arial" w:hAnsi="Arial" w:cs="Arial"/>
          <w:b/>
          <w:color w:val="auto"/>
          <w:szCs w:val="21"/>
          <w:highlight w:val="none"/>
        </w:rPr>
        <w:t>修改类型：修改</w:t>
      </w:r>
    </w:p>
    <w:p>
      <w:pPr>
        <w:pBdr>
          <w:bottom w:val="single" w:color="auto" w:sz="6" w:space="1"/>
        </w:pBdr>
        <w:spacing w:line="360" w:lineRule="auto"/>
        <w:ind w:firstLine="422" w:firstLineChars="200"/>
        <w:rPr>
          <w:rFonts w:hint="default" w:ascii="Arial" w:hAnsi="Arial" w:eastAsia="宋体" w:cs="Arial"/>
          <w:bCs/>
          <w:color w:val="auto"/>
          <w:kern w:val="2"/>
          <w:sz w:val="21"/>
          <w:szCs w:val="21"/>
          <w:highlight w:val="none"/>
        </w:rPr>
      </w:pPr>
      <w:r>
        <w:rPr>
          <w:rFonts w:hint="eastAsia" w:ascii="Arial" w:hAnsi="Arial" w:cs="Arial"/>
          <w:b/>
          <w:bCs w:val="0"/>
          <w:color w:val="auto"/>
          <w:kern w:val="2"/>
          <w:sz w:val="21"/>
          <w:szCs w:val="21"/>
          <w:highlight w:val="none"/>
          <w:lang w:val="en-US" w:eastAsia="zh-CN"/>
        </w:rPr>
        <w:t>原文：</w:t>
      </w:r>
      <w:r>
        <w:rPr>
          <w:rFonts w:hint="default" w:ascii="Arial" w:hAnsi="Arial" w:eastAsia="宋体" w:cs="Arial"/>
          <w:bCs/>
          <w:color w:val="auto"/>
          <w:kern w:val="2"/>
          <w:sz w:val="21"/>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hint="eastAsia" w:ascii="Arial" w:hAnsi="Arial" w:cs="Arial"/>
          <w:b/>
          <w:bCs w:val="0"/>
          <w:color w:val="auto"/>
          <w:szCs w:val="21"/>
          <w:highlight w:val="none"/>
        </w:rPr>
      </w:pPr>
      <w:r>
        <w:rPr>
          <w:rFonts w:hint="eastAsia" w:ascii="Arial" w:hAnsi="Arial" w:cs="Arial"/>
          <w:b/>
          <w:bCs w:val="0"/>
          <w:color w:val="auto"/>
          <w:kern w:val="2"/>
          <w:sz w:val="21"/>
          <w:szCs w:val="21"/>
          <w:highlight w:val="none"/>
          <w:lang w:val="en-US" w:eastAsia="zh-CN"/>
        </w:rPr>
        <w:t>现文：</w:t>
      </w:r>
      <w:r>
        <w:rPr>
          <w:rFonts w:hint="eastAsia" w:ascii="Arial" w:hAnsi="Arial" w:cs="Arial"/>
          <w:b w:val="0"/>
          <w:bCs/>
          <w:color w:val="auto"/>
          <w:kern w:val="2"/>
          <w:sz w:val="21"/>
          <w:szCs w:val="21"/>
          <w:highlight w:val="none"/>
          <w:lang w:val="en-US" w:eastAsia="zh-CN"/>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Arial" w:hAnsi="Arial" w:cs="Arial"/>
          <w:b/>
          <w:bCs w:val="0"/>
          <w:color w:val="auto"/>
          <w:kern w:val="2"/>
          <w:sz w:val="21"/>
          <w:szCs w:val="21"/>
          <w:highlight w:val="none"/>
          <w:lang w:val="en-US" w:eastAsia="zh-CN"/>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2" w:firstLineChars="224"/>
        <w:rPr>
          <w:rFonts w:ascii="Arial" w:hAnsi="Arial" w:cs="Arial"/>
          <w:b/>
          <w:color w:val="auto"/>
          <w:szCs w:val="21"/>
          <w:highlight w:val="none"/>
        </w:rPr>
      </w:pP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条款号：48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64" w:firstLineChars="220"/>
        <w:rPr>
          <w:rFonts w:ascii="宋体" w:hAnsi="宋体"/>
          <w:bCs/>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48.评标委员会应在通过投标文件经济标有效性审查的投标人中，按步骤45.4确定的投标人排序，推荐前3名依次为第一中标候选人至第三中标候选人,并编制评标报告。</w:t>
      </w:r>
    </w:p>
    <w:p>
      <w:pPr>
        <w:pStyle w:val="31"/>
        <w:spacing w:line="360" w:lineRule="auto"/>
        <w:ind w:firstLine="464" w:firstLineChars="220"/>
        <w:rPr>
          <w:rFonts w:hAnsi="宋体" w:cs="宋体"/>
          <w:b/>
          <w:color w:val="auto"/>
          <w:szCs w:val="21"/>
          <w:highlight w:val="none"/>
        </w:rPr>
      </w:pPr>
      <w:r>
        <w:rPr>
          <w:rFonts w:hint="eastAsia" w:hAnsi="宋体" w:cs="宋体"/>
          <w:b/>
          <w:color w:val="auto"/>
          <w:szCs w:val="21"/>
          <w:highlight w:val="none"/>
        </w:rPr>
        <w:t>条款号：49                               修改类型：修改</w:t>
      </w:r>
    </w:p>
    <w:p>
      <w:pPr>
        <w:pBdr>
          <w:bottom w:val="single" w:color="auto" w:sz="6" w:space="1"/>
        </w:pBdr>
        <w:spacing w:line="360" w:lineRule="auto"/>
        <w:ind w:firstLine="464" w:firstLineChars="22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64" w:firstLineChars="22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49.若通过经济标有效性审查的投标人不足三家，应当依法重新招标。</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条款号：附表一《资格审查表》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详见附表一《资格审查表》</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条款号：附表二《技术标有效性审查表》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详见附表二《技术标有效性审查表》</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条款号：附表三《经济标有效性审查表》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详见附表三《经济标有效性审查表》</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条款号：附表四《技术标详细审查评分表》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详见附表四《技术标详细审查评分表》</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条款号：附表五《经济标评分表》             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80" w:lineRule="exact"/>
        <w:ind w:firstLine="527" w:firstLineChars="250"/>
        <w:rPr>
          <w:rFonts w:ascii="Arial" w:hAnsi="Arial" w:cs="Arial"/>
          <w:bCs/>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详见附表五《经济标评分表》</w:t>
      </w:r>
    </w:p>
    <w:p>
      <w:pPr>
        <w:spacing w:line="360" w:lineRule="auto"/>
        <w:ind w:firstLine="211" w:firstLineChars="100"/>
        <w:rPr>
          <w:rFonts w:ascii="Arial" w:hAnsi="Arial" w:cs="Arial"/>
          <w:b/>
          <w:color w:val="auto"/>
          <w:szCs w:val="21"/>
          <w:highlight w:val="none"/>
        </w:rPr>
      </w:pPr>
      <w:r>
        <w:rPr>
          <w:rFonts w:ascii="Arial" w:hAnsi="Arial" w:cs="Arial"/>
          <w:b/>
          <w:color w:val="auto"/>
          <w:szCs w:val="21"/>
          <w:highlight w:val="none"/>
        </w:rPr>
        <w:t>注：以上修改，仅限于本范本中有可供选择条款的情形。</w:t>
      </w:r>
    </w:p>
    <w:p>
      <w:pPr>
        <w:spacing w:line="360" w:lineRule="auto"/>
        <w:rPr>
          <w:rFonts w:ascii="Arial" w:hAnsi="Arial" w:cs="Arial"/>
          <w:color w:val="auto"/>
          <w:highlight w:val="none"/>
        </w:rPr>
      </w:pPr>
      <w:r>
        <w:rPr>
          <w:rFonts w:ascii="Arial" w:hAnsi="Arial" w:cs="Arial"/>
          <w:b/>
          <w:color w:val="auto"/>
          <w:szCs w:val="21"/>
          <w:highlight w:val="none"/>
        </w:rPr>
        <w:t>（以下无正文）</w:t>
      </w:r>
    </w:p>
    <w:p>
      <w:pPr>
        <w:pStyle w:val="6"/>
        <w:spacing w:line="360" w:lineRule="auto"/>
        <w:rPr>
          <w:rFonts w:ascii="Arial" w:hAnsi="Arial" w:cs="Arial"/>
          <w:color w:val="auto"/>
          <w:highlight w:val="none"/>
        </w:rPr>
      </w:pPr>
      <w:r>
        <w:rPr>
          <w:rFonts w:ascii="Arial" w:hAnsi="Arial" w:cs="Arial"/>
          <w:color w:val="auto"/>
          <w:highlight w:val="none"/>
        </w:rPr>
        <w:br w:type="page"/>
      </w:r>
    </w:p>
    <w:p>
      <w:pPr>
        <w:pStyle w:val="5"/>
        <w:ind w:firstLine="525"/>
        <w:rPr>
          <w:rFonts w:cs="Arial"/>
          <w:color w:val="auto"/>
          <w:highlight w:val="none"/>
        </w:rPr>
      </w:pPr>
      <w:bookmarkStart w:id="22" w:name="_Toc101266289"/>
      <w:bookmarkStart w:id="23" w:name="_Toc2272556"/>
      <w:r>
        <w:rPr>
          <w:rFonts w:cs="Arial"/>
          <w:color w:val="auto"/>
          <w:highlight w:val="none"/>
        </w:rPr>
        <w:t>二、开标、评标及定标办法</w:t>
      </w:r>
      <w:r>
        <w:rPr>
          <w:rFonts w:cs="Arial"/>
          <w:color w:val="auto"/>
          <w:szCs w:val="30"/>
          <w:highlight w:val="none"/>
        </w:rPr>
        <w:t>通用条款</w:t>
      </w:r>
      <w:bookmarkEnd w:id="22"/>
      <w:bookmarkEnd w:id="23"/>
    </w:p>
    <w:p>
      <w:pPr>
        <w:pStyle w:val="7"/>
        <w:spacing w:before="156" w:after="156"/>
        <w:ind w:firstLine="540" w:firstLineChars="200"/>
        <w:rPr>
          <w:rFonts w:ascii="Arial" w:hAnsi="Arial" w:cs="Arial"/>
          <w:color w:val="auto"/>
          <w:highlight w:val="none"/>
        </w:rPr>
      </w:pPr>
      <w:bookmarkStart w:id="24" w:name="_Toc101266290"/>
      <w:bookmarkStart w:id="25" w:name="_Toc2272557"/>
      <w:r>
        <w:rPr>
          <w:rFonts w:ascii="Arial" w:hAnsi="Arial" w:cs="Arial"/>
          <w:color w:val="auto"/>
          <w:highlight w:val="none"/>
        </w:rPr>
        <w:t>（一）总则</w:t>
      </w:r>
      <w:bookmarkEnd w:id="24"/>
      <w:bookmarkEnd w:id="25"/>
    </w:p>
    <w:p>
      <w:pPr>
        <w:spacing w:line="360" w:lineRule="auto"/>
        <w:ind w:firstLine="480" w:firstLineChars="200"/>
        <w:rPr>
          <w:rFonts w:ascii="Arial" w:hAnsi="Arial" w:cs="Arial"/>
          <w:b/>
          <w:color w:val="auto"/>
          <w:sz w:val="24"/>
          <w:szCs w:val="24"/>
          <w:highlight w:val="none"/>
        </w:rPr>
      </w:pPr>
      <w:r>
        <w:rPr>
          <w:rFonts w:ascii="Arial" w:hAnsi="Arial" w:cs="Arial"/>
          <w:color w:val="auto"/>
          <w:sz w:val="24"/>
          <w:szCs w:val="24"/>
          <w:highlight w:val="none"/>
        </w:rPr>
        <w:t>35 开标、评标及定标所依据的规则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35.1《中华人民共和国招标投标法》；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35.2《中华人民共和国招标投标法实施条例》；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35.3《评标委员会和评标方法暂行规定》（七部委第12号令）</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35.4《工程建设项目施工招标投标办法》（七部委2003年第30号令）</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35.5《广东省实施〈中华人民共和国招标投标法〉办法》；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35.6《房屋建筑和市政基础设施工程施工招标投标管理办法》（建设部令第89号）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35.7《广东省加强建设工程招标投标监督管理的若干规定》（粤发[2004]4号）；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35.8《广州市工程建设项目招标投标管理办法》（穗府办规〔2017〕5号）。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35.9本项目招标文件。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36.5按下列程序进行开标：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36.5.1在投标截止时间后半小时内，投标人通过</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36.5.2备用光盘的读取按投标须知前附表第36项的规定执行；</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36.5.4开标结束。</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37．评标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37.1评标委员会由招标人依法组建。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37.2评标委员会的职责及守则：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37.2.1根据评标细则，对</w:t>
      </w:r>
      <w:r>
        <w:rPr>
          <w:rFonts w:ascii="Arial" w:hAnsi="Arial" w:cs="Arial"/>
          <w:color w:val="auto"/>
          <w:sz w:val="24"/>
          <w:highlight w:val="none"/>
        </w:rPr>
        <w:t>投标文件</w:t>
      </w:r>
      <w:r>
        <w:rPr>
          <w:rFonts w:ascii="Arial" w:hAnsi="Arial" w:cs="Arial"/>
          <w:color w:val="auto"/>
          <w:sz w:val="24"/>
          <w:szCs w:val="24"/>
          <w:highlight w:val="none"/>
        </w:rPr>
        <w:t>进行认真评审，完成评审报告；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37.2.2向招标人报告评审意见，推荐合格的中标候选人。</w:t>
      </w:r>
    </w:p>
    <w:p>
      <w:pPr>
        <w:spacing w:line="360" w:lineRule="auto"/>
        <w:ind w:firstLine="480" w:firstLineChars="200"/>
        <w:rPr>
          <w:rFonts w:ascii="Arial" w:hAnsi="Arial" w:cs="Arial"/>
          <w:color w:val="auto"/>
          <w:sz w:val="24"/>
          <w:szCs w:val="24"/>
          <w:highlight w:val="none"/>
        </w:rPr>
      </w:pPr>
      <w:r>
        <w:rPr>
          <w:rFonts w:ascii="Arial" w:hAnsi="Arial" w:cs="Arial"/>
          <w:bCs/>
          <w:color w:val="auto"/>
          <w:sz w:val="24"/>
          <w:szCs w:val="24"/>
          <w:highlight w:val="none"/>
        </w:rPr>
        <w:t>37.2.3</w:t>
      </w:r>
      <w:r>
        <w:rPr>
          <w:rFonts w:ascii="Arial" w:hAnsi="Arial" w:cs="Arial"/>
          <w:b/>
          <w:bCs/>
          <w:color w:val="auto"/>
          <w:sz w:val="24"/>
          <w:szCs w:val="24"/>
          <w:highlight w:val="none"/>
        </w:rPr>
        <w:t xml:space="preserve"> </w:t>
      </w:r>
      <w:r>
        <w:rPr>
          <w:rFonts w:ascii="Arial" w:hAnsi="Arial" w:cs="Arial"/>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37.2.4全体参与评标人员：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37.2.4.1 必须遵守评标纪律、不得泄密；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37.2.4.2 必须公正、不得循私；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37.2.4.3 必须科学、不得草率；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37.2.4.4 必须客观、不得带有成见；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37.2.4.5 必须平等、不得强加于人；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37.2.4.6 必须严谨、不得随意马虎。</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37.3 评标结束后，评标委员会递交评标报告并依法推荐中标候选人。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38．投标文件的澄清</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39．定标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39.1 招标人根据评标委员会递交的评标报告，最终审定中标人。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39.2 依法必须进行公开招标的项目，招标人应当确定排名第一的中标候选人为中标人。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rFonts w:ascii="Arial" w:hAnsi="Arial" w:cs="Arial"/>
          <w:color w:val="auto"/>
          <w:highlight w:val="none"/>
        </w:rPr>
      </w:pPr>
      <w:bookmarkStart w:id="26" w:name="_Toc101266291"/>
      <w:bookmarkStart w:id="27" w:name="_Toc2272558"/>
      <w:r>
        <w:rPr>
          <w:rFonts w:ascii="Arial" w:hAnsi="Arial" w:cs="Arial"/>
          <w:color w:val="auto"/>
          <w:highlight w:val="none"/>
        </w:rPr>
        <w:t>（二）开标评标办法程序和细则</w:t>
      </w:r>
      <w:bookmarkEnd w:id="26"/>
      <w:bookmarkEnd w:id="27"/>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注：以下七种评标办法所述企业综合诚信评价分数即投标截止当日广州市工程招标代理行业协会网站上公布的企业综合诚信评价60日诚信分。</w:t>
      </w:r>
    </w:p>
    <w:p>
      <w:pPr>
        <w:spacing w:line="360" w:lineRule="auto"/>
        <w:ind w:firstLine="480" w:firstLineChars="200"/>
        <w:rPr>
          <w:rFonts w:ascii="Arial" w:hAnsi="Arial" w:cs="Arial"/>
          <w:color w:val="auto"/>
          <w:sz w:val="24"/>
          <w:szCs w:val="24"/>
          <w:highlight w:val="none"/>
        </w:rPr>
      </w:pPr>
    </w:p>
    <w:p>
      <w:pPr>
        <w:pStyle w:val="7"/>
        <w:spacing w:before="156" w:after="156"/>
        <w:ind w:firstLine="540" w:firstLineChars="200"/>
        <w:rPr>
          <w:rFonts w:ascii="Arial" w:hAnsi="Arial" w:cs="Arial"/>
          <w:color w:val="auto"/>
          <w:highlight w:val="none"/>
        </w:rPr>
      </w:pPr>
      <w:bookmarkStart w:id="28" w:name="_Toc2272559"/>
      <w:bookmarkStart w:id="29" w:name="_Toc101266292"/>
      <w:r>
        <w:rPr>
          <w:rFonts w:ascii="Arial" w:hAnsi="Arial" w:cs="Arial"/>
          <w:color w:val="auto"/>
          <w:highlight w:val="none"/>
        </w:rPr>
        <w:t>可选办法一（适合综合评分法一，技术标与经济标先后分别开启）</w:t>
      </w:r>
      <w:bookmarkEnd w:id="28"/>
      <w:bookmarkEnd w:id="29"/>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 技术标开标时，公布：a、投标人名称；b、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41.3.2 经济标开标前，首先公布技术标通过有效性审查的投标人,招标人依次开启通过技术标有效性审查的投标人的经济标。开标时，公布：a、投标人名称；b、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42.4.3将第二阶段投标人按投标须知前附表第30项规定的方法进行排序。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4"/>
        <w:spacing w:line="360" w:lineRule="auto"/>
        <w:ind w:firstLine="480" w:firstLineChars="200"/>
        <w:rPr>
          <w:rFonts w:ascii="Arial" w:hAnsi="Arial" w:cs="Arial"/>
          <w:color w:val="auto"/>
          <w:sz w:val="24"/>
          <w:szCs w:val="24"/>
          <w:highlight w:val="none"/>
        </w:rPr>
      </w:pPr>
    </w:p>
    <w:p>
      <w:pPr>
        <w:pStyle w:val="7"/>
        <w:spacing w:before="156" w:after="156"/>
        <w:ind w:firstLine="540" w:firstLineChars="200"/>
        <w:rPr>
          <w:rFonts w:ascii="Arial" w:hAnsi="Arial" w:cs="Arial"/>
          <w:color w:val="auto"/>
          <w:highlight w:val="none"/>
        </w:rPr>
      </w:pPr>
      <w:bookmarkStart w:id="30" w:name="_Toc101266293"/>
      <w:bookmarkStart w:id="31" w:name="_Toc2272560"/>
      <w:r>
        <w:rPr>
          <w:rFonts w:ascii="Arial" w:hAnsi="Arial" w:cs="Arial"/>
          <w:color w:val="auto"/>
          <w:highlight w:val="none"/>
        </w:rPr>
        <w:t>可选办法二（适合综合评分法一，技术标与经济标同时开启）</w:t>
      </w:r>
      <w:bookmarkEnd w:id="30"/>
      <w:bookmarkEnd w:id="31"/>
    </w:p>
    <w:p>
      <w:pPr>
        <w:pStyle w:val="4"/>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42.4.3并将第二阶段投标人按投标须知前附表第30项规定的方法进行排序。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pStyle w:val="4"/>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7"/>
        <w:ind w:firstLine="540" w:firstLineChars="200"/>
        <w:rPr>
          <w:rFonts w:ascii="Arial" w:hAnsi="Arial" w:cs="Arial"/>
          <w:color w:val="auto"/>
          <w:highlight w:val="none"/>
        </w:rPr>
      </w:pPr>
      <w:bookmarkStart w:id="32" w:name="_Toc101266294"/>
      <w:r>
        <w:rPr>
          <w:rFonts w:ascii="Arial" w:hAnsi="Arial" w:cs="Arial"/>
          <w:color w:val="auto"/>
          <w:highlight w:val="none"/>
        </w:rPr>
        <w:t>可选办法三（适合综合评分法二，技术标与经济标先后分别开启）</w:t>
      </w:r>
      <w:bookmarkEnd w:id="32"/>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 技术标开标时，公布：a、投标人名称；b、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41.3.2 经济标开标前，首先公布技术标通过有效性审查的投标人,招标人依次开启通过技术标有效性审查的投标人的经济标。开标时，公布：a、投标人名称；b、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6"/>
        <w:spacing w:line="360" w:lineRule="auto"/>
        <w:ind w:firstLine="480" w:firstLineChars="200"/>
        <w:rPr>
          <w:rFonts w:ascii="Arial" w:hAnsi="Arial" w:cs="Arial"/>
          <w:color w:val="auto"/>
          <w:sz w:val="24"/>
          <w:szCs w:val="24"/>
          <w:highlight w:val="none"/>
        </w:rPr>
      </w:pPr>
    </w:p>
    <w:p>
      <w:pPr>
        <w:pStyle w:val="7"/>
        <w:spacing w:before="156" w:after="156"/>
        <w:ind w:firstLine="540" w:firstLineChars="200"/>
        <w:rPr>
          <w:rFonts w:ascii="Arial" w:hAnsi="Arial" w:cs="Arial"/>
          <w:color w:val="auto"/>
          <w:highlight w:val="none"/>
        </w:rPr>
      </w:pPr>
      <w:bookmarkStart w:id="33" w:name="_Toc2272561"/>
      <w:bookmarkStart w:id="34" w:name="_Toc101266295"/>
      <w:r>
        <w:rPr>
          <w:rFonts w:ascii="Arial" w:hAnsi="Arial" w:cs="Arial"/>
          <w:color w:val="auto"/>
          <w:highlight w:val="none"/>
        </w:rPr>
        <w:t>可选办法四（适合综合评分法二，技术标与经济标同时开启）</w:t>
      </w:r>
      <w:bookmarkEnd w:id="33"/>
      <w:bookmarkEnd w:id="34"/>
    </w:p>
    <w:p>
      <w:pPr>
        <w:pStyle w:val="4"/>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color w:val="auto"/>
          <w:sz w:val="24"/>
          <w:szCs w:val="24"/>
          <w:highlight w:val="none"/>
        </w:rPr>
      </w:pPr>
    </w:p>
    <w:p>
      <w:pPr>
        <w:pStyle w:val="7"/>
        <w:spacing w:before="156" w:after="156"/>
        <w:ind w:firstLine="540" w:firstLineChars="200"/>
        <w:rPr>
          <w:rFonts w:ascii="Arial" w:hAnsi="Arial" w:cs="Arial"/>
          <w:color w:val="auto"/>
          <w:highlight w:val="none"/>
        </w:rPr>
      </w:pPr>
      <w:bookmarkStart w:id="35" w:name="_Toc2272562"/>
      <w:bookmarkStart w:id="36" w:name="_Toc101266296"/>
      <w:r>
        <w:rPr>
          <w:rFonts w:ascii="Arial" w:hAnsi="Arial" w:cs="Arial"/>
          <w:color w:val="auto"/>
          <w:highlight w:val="none"/>
        </w:rPr>
        <w:t>可选办法五（适合综合评分法三，技术标与经济标先后分别开启）</w:t>
      </w:r>
      <w:bookmarkEnd w:id="35"/>
      <w:bookmarkEnd w:id="36"/>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 技术标开标时，公布：a、投标人名称；b、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41.3.2 经济标开标前，首先公布技术标通过有效性审查的投标人,招标人依次开启通过技术标有效性审查的投标人的经济标。开标时，公布：a、投标人名称；b、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详细审查评分：评标委员会按照本办法附表</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详细审查评分表》对通过技术标有效性审查的投标文件进行详细审查，评出       得分。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42.3.3评标委员会按照“第一阶段得分=</w:t>
      </w:r>
      <w:r>
        <w:rPr>
          <w:rFonts w:ascii="Arial" w:hAnsi="Arial" w:cs="Arial"/>
          <w:color w:val="auto"/>
          <w:sz w:val="24"/>
          <w:szCs w:val="24"/>
          <w:highlight w:val="none"/>
          <w:u w:val="single"/>
        </w:rPr>
        <w:t xml:space="preserve">                       </w:t>
      </w:r>
      <w:r>
        <w:rPr>
          <w:rFonts w:ascii="Arial" w:hAnsi="Arial" w:cs="Arial"/>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42.3.4招标人应在《投标须知前附表》中明确选择使用施工企业总排名或相应的</w:t>
      </w:r>
      <w:r>
        <w:rPr>
          <w:rFonts w:hint="eastAsia" w:ascii="Arial" w:hAnsi="Arial" w:cs="Arial"/>
          <w:color w:val="auto"/>
          <w:sz w:val="24"/>
          <w:szCs w:val="24"/>
          <w:highlight w:val="none"/>
          <w:lang w:eastAsia="zh-CN"/>
        </w:rPr>
        <w:t>施工总承包</w:t>
      </w:r>
      <w:r>
        <w:rPr>
          <w:rFonts w:ascii="Arial" w:hAnsi="Arial" w:cs="Arial"/>
          <w:color w:val="auto"/>
          <w:sz w:val="24"/>
          <w:szCs w:val="24"/>
          <w:highlight w:val="none"/>
        </w:rPr>
        <w:t>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42.4.3.3评标委员会按投标须知前附表第32项的规定确定排序。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6"/>
        <w:spacing w:line="360" w:lineRule="auto"/>
        <w:ind w:firstLine="480" w:firstLineChars="200"/>
        <w:rPr>
          <w:rFonts w:ascii="Arial" w:hAnsi="Arial" w:cs="Arial"/>
          <w:color w:val="auto"/>
          <w:sz w:val="24"/>
          <w:szCs w:val="24"/>
          <w:highlight w:val="none"/>
        </w:rPr>
      </w:pPr>
    </w:p>
    <w:p>
      <w:pPr>
        <w:pStyle w:val="7"/>
        <w:spacing w:before="156" w:after="156"/>
        <w:ind w:firstLine="540" w:firstLineChars="200"/>
        <w:rPr>
          <w:rFonts w:ascii="Arial" w:hAnsi="Arial" w:cs="Arial"/>
          <w:color w:val="auto"/>
          <w:highlight w:val="none"/>
        </w:rPr>
      </w:pPr>
      <w:bookmarkStart w:id="37" w:name="_Toc101266297"/>
      <w:bookmarkStart w:id="38" w:name="_Toc2272563"/>
      <w:r>
        <w:rPr>
          <w:rFonts w:ascii="Arial" w:hAnsi="Arial" w:cs="Arial"/>
          <w:color w:val="auto"/>
          <w:highlight w:val="none"/>
        </w:rPr>
        <w:t>可选办法六（适合综合评分法三，技术标与经济标同时开启）</w:t>
      </w:r>
      <w:bookmarkEnd w:id="37"/>
      <w:bookmarkEnd w:id="38"/>
    </w:p>
    <w:p>
      <w:pPr>
        <w:pStyle w:val="4"/>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详细审查评分：评标委员会按照本办法附表</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详细审查评分表》对通过技术标有效性审查的投标文件进行详细审查，评出</w:t>
      </w:r>
      <w:r>
        <w:rPr>
          <w:rFonts w:ascii="Arial" w:hAnsi="Arial" w:cs="Arial"/>
          <w:color w:val="auto"/>
          <w:sz w:val="24"/>
          <w:szCs w:val="24"/>
          <w:highlight w:val="none"/>
          <w:u w:val="single"/>
        </w:rPr>
        <w:t xml:space="preserve">     </w:t>
      </w:r>
      <w:r>
        <w:rPr>
          <w:rFonts w:ascii="Arial" w:hAnsi="Arial" w:cs="Arial"/>
          <w:color w:val="auto"/>
          <w:sz w:val="24"/>
          <w:szCs w:val="24"/>
          <w:highlight w:val="none"/>
        </w:rPr>
        <w:t>得分。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w:t>
      </w:r>
      <w:r>
        <w:rPr>
          <w:rFonts w:ascii="Arial" w:hAnsi="Arial" w:cs="Arial"/>
          <w:color w:val="auto"/>
          <w:sz w:val="24"/>
          <w:szCs w:val="24"/>
          <w:highlight w:val="none"/>
          <w:u w:val="single"/>
        </w:rPr>
        <w:t xml:space="preserve">               </w:t>
      </w:r>
      <w:r>
        <w:rPr>
          <w:rFonts w:ascii="Arial" w:hAnsi="Arial" w:cs="Arial"/>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42.4.3.3评标委员会按投标须知前附表第32项的规定确定排序。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color w:val="auto"/>
          <w:sz w:val="24"/>
          <w:szCs w:val="24"/>
          <w:highlight w:val="none"/>
        </w:rPr>
      </w:pPr>
    </w:p>
    <w:p>
      <w:pPr>
        <w:pStyle w:val="7"/>
        <w:spacing w:before="156" w:after="156"/>
        <w:ind w:firstLine="540" w:firstLineChars="200"/>
        <w:rPr>
          <w:rFonts w:ascii="Arial" w:hAnsi="Arial" w:cs="Arial"/>
          <w:color w:val="auto"/>
          <w:highlight w:val="none"/>
        </w:rPr>
      </w:pPr>
      <w:bookmarkStart w:id="39" w:name="_Toc2272564"/>
      <w:bookmarkStart w:id="40" w:name="_Toc101266298"/>
      <w:r>
        <w:rPr>
          <w:rFonts w:ascii="Arial" w:hAnsi="Arial" w:cs="Arial"/>
          <w:color w:val="auto"/>
          <w:highlight w:val="none"/>
        </w:rPr>
        <w:t>可选办法七（适合综合评分法四，技术标与经济标同时开启）</w:t>
      </w:r>
      <w:bookmarkEnd w:id="39"/>
      <w:bookmarkEnd w:id="40"/>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40.1技术标（含资格审查文件）与经济标投标文件同时公开开标；</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40.2由评标委员会对所有已公开开标的投标人进行资格审查；</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40.3技术标投标文件有效性审查；</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40.4技术标详细审查评分；</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40.5经济标详细审查评分； </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40.6评标委员会按照投标人总得分由高至低排序；</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40.7经济标投标文件有效性审查；</w:t>
      </w:r>
    </w:p>
    <w:p>
      <w:pPr>
        <w:snapToGrid w:val="0"/>
        <w:spacing w:line="360" w:lineRule="auto"/>
        <w:ind w:firstLine="480" w:firstLineChars="200"/>
        <w:rPr>
          <w:rFonts w:ascii="Arial" w:hAnsi="Arial" w:cs="Arial"/>
          <w:color w:val="auto"/>
          <w:szCs w:val="21"/>
          <w:highlight w:val="none"/>
        </w:rPr>
      </w:pPr>
      <w:r>
        <w:rPr>
          <w:rFonts w:ascii="Arial" w:hAnsi="Arial" w:cs="Arial"/>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41．开标细则</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 细则</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 招标人将上述符合要求的投标文件，送至评标委员会进行评审。</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资格审查及评标细则</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42.1资格审查及评标均由招标人依法组建的评标委员会负责。</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方式一：评标委员会为综合评标委员会，负责资格审查及评标工作。</w:t>
      </w:r>
    </w:p>
    <w:p>
      <w:pPr>
        <w:pStyle w:val="4"/>
        <w:tabs>
          <w:tab w:val="left" w:pos="7380"/>
        </w:tabs>
        <w:snapToGrid w:val="0"/>
        <w:spacing w:after="0" w:line="360" w:lineRule="auto"/>
        <w:rPr>
          <w:rFonts w:ascii="Arial" w:hAnsi="Arial" w:cs="Arial"/>
          <w:color w:val="auto"/>
          <w:sz w:val="24"/>
          <w:szCs w:val="24"/>
          <w:highlight w:val="none"/>
        </w:rPr>
      </w:pPr>
      <w:r>
        <w:rPr>
          <w:rFonts w:ascii="Arial" w:hAnsi="Arial" w:cs="Arial"/>
          <w:color w:val="auto"/>
          <w:sz w:val="24"/>
          <w:szCs w:val="24"/>
          <w:highlight w:val="none"/>
        </w:rPr>
        <w:t>方式二：评标委员会由技术评审组和经济评审组组成。其中：资格审查及技术评审由技术评标组负责，经济评审由经济评审组负责。</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43.5资审合格后，投标人的资格发生变化而不满足投标人合格条件，在发出中标通知书前，资格问题仍未解决的，招标人将取消其中标资格。</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43.6资格审查合格的投标人少于3名的（当N个标段同时招标且不允许兼中时，资格审查合格的投标人少于N+2名），则本项目招标失败。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44．技术标评审</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45．经济标评审和得分汇总</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45.1若通过技术标有效性审查的投标人中所有投标报价均大于等于最高投标限价*D%（D的取值范围为[94,100],由招标人自主确定）的（具体金额为：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元），则本项目招标失败，由招标人依法重新招标。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45.2按方法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45.3</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46.经济标的有效性审查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49.若通过经济标有效性审查的投标人不足三家，应当依法重新招标。（当N个标段同时招标且不允许兼中时，若有效投标人不足N+2家，应当依法重新招标）</w:t>
      </w:r>
    </w:p>
    <w:p>
      <w:pPr>
        <w:pStyle w:val="7"/>
        <w:spacing w:before="156" w:after="156"/>
        <w:ind w:firstLine="540" w:firstLineChars="200"/>
        <w:rPr>
          <w:rFonts w:ascii="Arial" w:hAnsi="Arial" w:cs="Arial"/>
          <w:color w:val="auto"/>
          <w:highlight w:val="none"/>
        </w:rPr>
      </w:pPr>
      <w:bookmarkStart w:id="41" w:name="_Toc101266299"/>
      <w:bookmarkStart w:id="42" w:name="_Toc2272565"/>
      <w:r>
        <w:rPr>
          <w:rFonts w:ascii="Arial" w:hAnsi="Arial" w:cs="Arial"/>
          <w:color w:val="auto"/>
          <w:highlight w:val="none"/>
        </w:rPr>
        <w:t>可选办法八（适合经评审的最低投标价法，技术标与经济标同时开启）</w:t>
      </w:r>
      <w:bookmarkEnd w:id="41"/>
      <w:bookmarkEnd w:id="42"/>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 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40.5对经济标投标报价进行算术校核；</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40.6计算投标人总得分，并按总得分从高到低，确定经济标评审排序；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40.7按排序对经济标投标文件进行有效性审查，直至评出所有中标候选人；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40.8评标委员会编写经济标评审报告，向招标人推荐中标候选人。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42.评标细则</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42.1评标委员会的组成：评标委员会为综合评标委员会，负责评标工作。</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r>
        <w:rPr>
          <w:rFonts w:ascii="Arial" w:hAnsi="Arial" w:cs="Arial"/>
          <w:color w:val="auto"/>
          <w:kern w:val="0"/>
          <w:sz w:val="24"/>
          <w:szCs w:val="24"/>
          <w:highlight w:val="none"/>
        </w:rPr>
        <w:t xml:space="preserve">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42.4投标文件算术校核：</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评标委员会将对通过技术标有效性审查的投标文件投标报价按照就低不就高的原则进行算术校核，具体标准如下：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42.4.2经算术复核的中标候选人报价与其投标报价不一致时，按就低不就高原则确定其最终报价；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42.4.6 </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42.5确定投标文件的评审次序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42.5.1确定评标参考价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42.5.1.1企业综合诚信评价分数前</w:t>
      </w:r>
      <w:r>
        <w:rPr>
          <w:rFonts w:ascii="Arial" w:hAnsi="Arial" w:cs="Arial"/>
          <w:color w:val="auto"/>
          <w:sz w:val="24"/>
          <w:szCs w:val="24"/>
          <w:highlight w:val="none"/>
          <w:u w:val="single"/>
        </w:rPr>
        <w:t xml:space="preserve">      </w:t>
      </w:r>
      <w:r>
        <w:rPr>
          <w:rFonts w:ascii="Arial" w:hAnsi="Arial" w:cs="Arial"/>
          <w:color w:val="auto"/>
          <w:sz w:val="24"/>
          <w:szCs w:val="24"/>
          <w:highlight w:val="none"/>
        </w:rPr>
        <w:t>名（不少于100名，由招标人在招标文件中明确）且经算术校核后的最低投标报价为评标参考价。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42.5.2计算投标人的总得分（满分为100分）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42.5.2.1当标价等于评标参考价时得100分，标价每高于评标参考价1%，扣1.5分；扣至0分为止，得分精确到小数点后两位。标价低于评标参考价的，得0分。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42.5.3按照投标人总得分从高至低进行排序，确定经济标评标的先后排序。总得分相同的投标文件，以综合诚信评价分数靠前的排前；总得分与综合诚信评价分数均相同的投标文件，以</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 w:val="24"/>
          <w:szCs w:val="24"/>
          <w:highlight w:val="none"/>
        </w:rPr>
        <w:t>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42.5.4招标人应在《投标须知前附表》中明确选择使用施工企业总排名或相应的施工专业承包排名计分。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 投标文件的有效性审查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42.7评标结束后，评标委员会应当在通过投标文件有效性审查的投标人中，按照原投标文件的评审次序，推荐前3名依次为第一中标候选人至第三中标候选人，并编写评标报告。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42.8若有效投标人不足三家，应当依法重新招标。（当N个标段同时招标且不允许兼中时，若有效投标人不足N+2家，应当依法重新招标）</w:t>
      </w:r>
    </w:p>
    <w:p>
      <w:pPr>
        <w:spacing w:line="360" w:lineRule="auto"/>
        <w:rPr>
          <w:rFonts w:ascii="Arial" w:hAnsi="Arial" w:cs="Arial"/>
          <w:color w:val="auto"/>
          <w:sz w:val="24"/>
          <w:szCs w:val="24"/>
          <w:highlight w:val="none"/>
        </w:rPr>
      </w:pPr>
      <w:r>
        <w:rPr>
          <w:rFonts w:ascii="Arial" w:hAnsi="Arial" w:cs="Arial"/>
          <w:color w:val="auto"/>
          <w:sz w:val="24"/>
          <w:szCs w:val="24"/>
          <w:highlight w:val="none"/>
        </w:rPr>
        <w:br w:type="page"/>
      </w:r>
    </w:p>
    <w:p>
      <w:pPr>
        <w:widowControl/>
        <w:snapToGrid w:val="0"/>
        <w:spacing w:line="360" w:lineRule="auto"/>
        <w:ind w:right="102"/>
        <w:jc w:val="left"/>
        <w:rPr>
          <w:rFonts w:ascii="Arial" w:hAnsi="Arial" w:cs="Arial"/>
          <w:color w:val="auto"/>
          <w:szCs w:val="21"/>
          <w:highlight w:val="none"/>
        </w:rPr>
      </w:pPr>
      <w:r>
        <w:rPr>
          <w:rFonts w:ascii="Arial" w:hAnsi="Arial" w:cs="Arial"/>
          <w:color w:val="auto"/>
          <w:szCs w:val="21"/>
          <w:highlight w:val="none"/>
        </w:rPr>
        <w:t>附表一：</w:t>
      </w:r>
    </w:p>
    <w:p>
      <w:pPr>
        <w:jc w:val="center"/>
        <w:rPr>
          <w:rFonts w:ascii="Arial" w:hAnsi="Arial" w:cs="Arial"/>
          <w:b/>
          <w:color w:val="auto"/>
          <w:sz w:val="32"/>
          <w:szCs w:val="32"/>
          <w:highlight w:val="none"/>
        </w:rPr>
      </w:pPr>
      <w:r>
        <w:rPr>
          <w:rFonts w:ascii="Arial" w:hAnsi="Arial" w:cs="Arial"/>
          <w:b/>
          <w:color w:val="auto"/>
          <w:sz w:val="32"/>
          <w:szCs w:val="32"/>
          <w:highlight w:val="none"/>
        </w:rPr>
        <w:t>资格审查表</w:t>
      </w:r>
    </w:p>
    <w:p>
      <w:pPr>
        <w:spacing w:line="480" w:lineRule="auto"/>
        <w:rPr>
          <w:rFonts w:ascii="Arial" w:hAnsi="Arial" w:cs="Arial"/>
          <w:color w:val="auto"/>
          <w:sz w:val="24"/>
          <w:szCs w:val="24"/>
          <w:highlight w:val="none"/>
        </w:rPr>
      </w:pPr>
      <w:r>
        <w:rPr>
          <w:rFonts w:ascii="Arial" w:hAnsi="Arial" w:cs="Arial"/>
          <w:color w:val="auto"/>
          <w:sz w:val="24"/>
          <w:szCs w:val="24"/>
          <w:highlight w:val="none"/>
        </w:rPr>
        <w:t>工程名称：</w:t>
      </w:r>
    </w:p>
    <w:p>
      <w:pPr>
        <w:spacing w:line="480" w:lineRule="auto"/>
        <w:rPr>
          <w:rFonts w:ascii="Arial" w:hAnsi="Arial" w:cs="Arial"/>
          <w:color w:val="auto"/>
          <w:sz w:val="24"/>
          <w:szCs w:val="24"/>
          <w:highlight w:val="none"/>
        </w:rPr>
      </w:pPr>
      <w:r>
        <w:rPr>
          <w:rFonts w:ascii="Arial" w:hAnsi="Arial" w:cs="Arial"/>
          <w:color w:val="auto"/>
          <w:sz w:val="24"/>
          <w:szCs w:val="24"/>
          <w:highlight w:val="none"/>
        </w:rPr>
        <w:t>投标人名称：</w:t>
      </w:r>
    </w:p>
    <w:tbl>
      <w:tblPr>
        <w:tblStyle w:val="5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bCs/>
                <w:color w:val="auto"/>
                <w:szCs w:val="21"/>
                <w:highlight w:val="none"/>
                <w:u w:val="single"/>
                <w:lang w:eastAsia="zh-CN"/>
              </w:rPr>
              <w:t>营业执照扫描件加盖电子公章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lang w:eastAsia="zh-CN"/>
              </w:rPr>
              <w:t>资质证书及安全生产许可证扫描件加盖电子公章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Style w:val="66"/>
                <w:rFonts w:hint="eastAsia" w:ascii="宋体" w:hAnsi="宋体" w:eastAsia="宋体" w:cs="宋体"/>
                <w:color w:val="auto"/>
                <w:kern w:val="0"/>
                <w:highlight w:val="none"/>
                <w:lang w:eastAsia="zh-CN"/>
              </w:rPr>
              <w:t>建造师证书相关证明扫描件加盖电子公章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持有项目负责人安全</w:t>
            </w:r>
            <w:r>
              <w:rPr>
                <w:rFonts w:hint="eastAsia" w:ascii="Arial" w:hAnsi="Arial" w:cs="Arial"/>
                <w:color w:val="auto"/>
                <w:szCs w:val="21"/>
                <w:highlight w:val="none"/>
                <w:lang w:val="en-US" w:eastAsia="zh-CN"/>
              </w:rPr>
              <w:t>生产</w:t>
            </w:r>
            <w:r>
              <w:rPr>
                <w:rFonts w:ascii="Arial" w:hAnsi="Arial" w:cs="Arial"/>
                <w:color w:val="auto"/>
                <w:szCs w:val="21"/>
                <w:highlight w:val="none"/>
              </w:rPr>
              <w:t>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须提交彩色扫描件</w:t>
            </w:r>
            <w:r>
              <w:rPr>
                <w:rStyle w:val="66"/>
                <w:rFonts w:hint="eastAsia" w:ascii="宋体" w:hAnsi="宋体" w:eastAsia="宋体" w:cs="宋体"/>
                <w:color w:val="auto"/>
                <w:kern w:val="0"/>
                <w:highlight w:val="none"/>
                <w:lang w:eastAsia="zh-CN"/>
              </w:rPr>
              <w:t>加盖电子公章</w:t>
            </w:r>
            <w:r>
              <w:rPr>
                <w:rFonts w:hint="eastAsia" w:ascii="宋体" w:hAnsi="宋体" w:eastAsia="宋体" w:cs="宋体"/>
                <w:color w:val="auto"/>
                <w:szCs w:val="21"/>
                <w:highlight w:val="none"/>
              </w:rPr>
              <w:t>或建筑施工企业项目负责人安全生产考核合格证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拟委托技术负责人的市政相关专业职称证书扫描件</w:t>
            </w:r>
            <w:r>
              <w:rPr>
                <w:rStyle w:val="66"/>
                <w:rFonts w:hint="eastAsia" w:ascii="宋体" w:hAnsi="宋体" w:eastAsia="宋体" w:cs="宋体"/>
                <w:color w:val="auto"/>
                <w:kern w:val="0"/>
                <w:highlight w:val="none"/>
                <w:lang w:eastAsia="zh-CN"/>
              </w:rPr>
              <w:t>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Arial" w:hAnsi="Arial" w:eastAsia="宋体" w:cs="Arial"/>
                <w:color w:val="auto"/>
                <w:szCs w:val="21"/>
                <w:highlight w:val="none"/>
                <w:lang w:val="en-US" w:eastAsia="zh-CN"/>
              </w:rPr>
            </w:pPr>
            <w:r>
              <w:rPr>
                <w:rFonts w:ascii="Arial" w:hAnsi="Arial" w:cs="Arial"/>
                <w:color w:val="auto"/>
                <w:szCs w:val="21"/>
                <w:highlight w:val="none"/>
              </w:rPr>
              <w:t>专职安全员须具有安全生产考核合格证（C证）或建筑施工企业专职安全生产管理人员安全生产考核合格证</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C3类）</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须提交彩色扫描件加盖电子公章或建筑施工企业专职安全生产管理人员安全生产考核合格证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提供联合体工作协议。投标人拟任本工程项目负责人应为主办方正式员工。联合体工作协议应明确约定各方拟承担的工作和责任（如有）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资格审查前，投标人须在广州公共资源交易中心办理信息登记等相关投标登记手续及拟担任本工程项目负责人、专职安全员须是本企业的在册人员且与广州公共资源交易中心办理信息登记一致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投标人在广州公共资源交易中心办理登记信息及人员信息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wordWrap w:val="0"/>
              <w:spacing w:before="120" w:after="60"/>
              <w:jc w:val="left"/>
              <w:rPr>
                <w:rFonts w:ascii="Arial" w:hAnsi="Arial" w:cs="Arial"/>
                <w:color w:val="auto"/>
                <w:szCs w:val="21"/>
                <w:highlight w:val="none"/>
              </w:rPr>
            </w:pPr>
            <w:r>
              <w:rPr>
                <w:rFonts w:hint="eastAsia" w:ascii="Arial" w:hAnsi="Arial" w:cs="Arial"/>
                <w:color w:val="auto"/>
                <w:szCs w:val="21"/>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Arial" w:hAnsi="Arial" w:cs="Arial"/>
                <w:color w:val="auto"/>
                <w:szCs w:val="21"/>
                <w:highlight w:val="none"/>
              </w:rPr>
            </w:pPr>
            <w:r>
              <w:rPr>
                <w:rFonts w:hint="eastAsia" w:ascii="宋体" w:hAnsi="宋体" w:eastAsia="宋体" w:cs="宋体"/>
                <w:color w:val="auto"/>
                <w:szCs w:val="21"/>
                <w:highlight w:val="none"/>
              </w:rPr>
              <w:t>按广州公共资源交易中心交易系统比对结果进行评审。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bl>
    <w:p>
      <w:pPr>
        <w:spacing w:line="480" w:lineRule="auto"/>
        <w:ind w:firstLine="470" w:firstLineChars="224"/>
        <w:rPr>
          <w:rFonts w:ascii="Arial" w:hAnsi="Arial" w:cs="Arial"/>
          <w:color w:val="auto"/>
          <w:szCs w:val="21"/>
          <w:highlight w:val="none"/>
        </w:rPr>
      </w:pPr>
      <w:r>
        <w:rPr>
          <w:rFonts w:ascii="Arial" w:hAnsi="Arial" w:cs="Arial"/>
          <w:color w:val="auto"/>
          <w:szCs w:val="21"/>
          <w:highlight w:val="none"/>
        </w:rPr>
        <w:t>备注：</w:t>
      </w:r>
    </w:p>
    <w:p>
      <w:pPr>
        <w:spacing w:line="480" w:lineRule="auto"/>
        <w:ind w:firstLine="470" w:firstLineChars="224"/>
        <w:rPr>
          <w:rFonts w:ascii="Arial" w:hAnsi="Arial" w:cs="Arial"/>
          <w:color w:val="auto"/>
          <w:szCs w:val="21"/>
          <w:highlight w:val="none"/>
        </w:rPr>
      </w:pPr>
      <w:r>
        <w:rPr>
          <w:rFonts w:ascii="Arial" w:hAnsi="Arial" w:cs="Arial"/>
          <w:color w:val="auto"/>
          <w:szCs w:val="21"/>
          <w:highlight w:val="none"/>
        </w:rPr>
        <w:t xml:space="preserve">1、每一项目符合的打“○”，不符合的打“×”； </w:t>
      </w:r>
    </w:p>
    <w:p>
      <w:pPr>
        <w:spacing w:line="480" w:lineRule="auto"/>
        <w:ind w:firstLine="470" w:firstLineChars="224"/>
        <w:rPr>
          <w:rFonts w:ascii="Arial" w:hAnsi="Arial" w:cs="Arial"/>
          <w:color w:val="auto"/>
          <w:szCs w:val="21"/>
          <w:highlight w:val="none"/>
        </w:rPr>
      </w:pPr>
      <w:r>
        <w:rPr>
          <w:rFonts w:ascii="Arial" w:hAnsi="Arial" w:cs="Arial"/>
          <w:color w:val="auto"/>
          <w:szCs w:val="21"/>
          <w:highlight w:val="none"/>
        </w:rPr>
        <w:t>2、若评委意见不一致时，则按少数服从多数的原则，作出评审结论。汇总后，出现一个“×”的结论为“不通过”。</w:t>
      </w:r>
    </w:p>
    <w:p>
      <w:pPr>
        <w:spacing w:line="480" w:lineRule="auto"/>
        <w:ind w:firstLine="472" w:firstLineChars="224"/>
        <w:rPr>
          <w:rFonts w:ascii="Arial" w:hAnsi="Arial" w:cs="Arial"/>
          <w:b/>
          <w:bCs/>
          <w:color w:val="auto"/>
          <w:szCs w:val="21"/>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r>
        <w:rPr>
          <w:rFonts w:hint="default" w:ascii="Arial" w:hAnsi="Arial" w:cs="Arial"/>
          <w:b/>
          <w:bCs/>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Arial" w:hAnsi="Arial" w:cs="Arial"/>
          <w:color w:val="auto"/>
          <w:szCs w:val="21"/>
          <w:highlight w:val="none"/>
        </w:rPr>
      </w:pPr>
      <w:r>
        <w:rPr>
          <w:rFonts w:ascii="Arial" w:hAnsi="Arial" w:cs="Arial"/>
          <w:color w:val="auto"/>
          <w:szCs w:val="21"/>
          <w:highlight w:val="none"/>
        </w:rPr>
        <w:t>附表二</w:t>
      </w:r>
    </w:p>
    <w:p>
      <w:pPr>
        <w:jc w:val="center"/>
        <w:rPr>
          <w:rFonts w:ascii="Arial" w:hAnsi="Arial" w:cs="Arial"/>
          <w:b/>
          <w:color w:val="auto"/>
          <w:sz w:val="36"/>
          <w:szCs w:val="36"/>
          <w:highlight w:val="none"/>
        </w:rPr>
      </w:pPr>
      <w:r>
        <w:rPr>
          <w:rFonts w:ascii="Arial" w:hAnsi="Arial" w:cs="Arial"/>
          <w:b/>
          <w:color w:val="auto"/>
          <w:sz w:val="36"/>
          <w:szCs w:val="36"/>
          <w:highlight w:val="none"/>
        </w:rPr>
        <w:t>技术标有效性审查表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Arial" w:hAnsi="Arial" w:cs="Arial"/>
                <w:color w:val="auto"/>
                <w:szCs w:val="21"/>
                <w:highlight w:val="none"/>
              </w:rPr>
            </w:pPr>
            <w:r>
              <w:rPr>
                <w:rFonts w:ascii="Arial" w:hAnsi="Arial" w:cs="Arial"/>
                <w:color w:val="auto"/>
                <w:szCs w:val="21"/>
                <w:highlight w:val="none"/>
              </w:rPr>
              <w:t xml:space="preserve">               投标人</w:t>
            </w:r>
          </w:p>
          <w:p>
            <w:pPr>
              <w:adjustRightInd w:val="0"/>
              <w:rPr>
                <w:rFonts w:ascii="Arial" w:hAnsi="Arial" w:cs="Arial"/>
                <w:color w:val="auto"/>
                <w:szCs w:val="21"/>
                <w:highlight w:val="none"/>
              </w:rPr>
            </w:pPr>
          </w:p>
          <w:p>
            <w:pPr>
              <w:adjustRightInd w:val="0"/>
              <w:rPr>
                <w:rFonts w:ascii="Arial" w:hAnsi="Arial" w:cs="Arial"/>
                <w:color w:val="auto"/>
                <w:szCs w:val="21"/>
                <w:highlight w:val="none"/>
              </w:rPr>
            </w:pPr>
            <w:r>
              <w:rPr>
                <w:rFonts w:ascii="Arial" w:hAnsi="Arial" w:cs="Arial"/>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trike/>
                <w:color w:val="auto"/>
                <w:szCs w:val="21"/>
                <w:highlight w:val="none"/>
              </w:rPr>
            </w:pPr>
            <w:r>
              <w:rPr>
                <w:rFonts w:ascii="Arial" w:hAnsi="Arial" w:cs="Arial"/>
                <w:strike/>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trike/>
                <w:color w:val="auto"/>
                <w:szCs w:val="21"/>
                <w:highlight w:val="none"/>
              </w:rPr>
            </w:pPr>
            <w:r>
              <w:rPr>
                <w:rFonts w:ascii="Arial" w:hAnsi="Arial" w:cs="Arial"/>
                <w:strike/>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投标人与其他投标人加密打包投标文件电脑机器特征码一致的(以</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bl>
    <w:p>
      <w:pPr>
        <w:rPr>
          <w:rFonts w:hint="eastAsia" w:ascii="Arial" w:hAnsi="Arial" w:cs="Arial"/>
          <w:color w:val="auto"/>
          <w:szCs w:val="21"/>
          <w:highlight w:val="none"/>
        </w:rPr>
      </w:pPr>
      <w:r>
        <w:rPr>
          <w:rFonts w:ascii="Arial" w:hAnsi="Arial" w:cs="Arial"/>
          <w:color w:val="auto"/>
          <w:szCs w:val="21"/>
          <w:highlight w:val="none"/>
        </w:rPr>
        <w:t>注：</w:t>
      </w:r>
      <w:r>
        <w:rPr>
          <w:rFonts w:hint="eastAsia" w:ascii="Arial" w:hAnsi="Arial" w:cs="Arial"/>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Arial" w:hAnsi="Arial" w:cs="Arial"/>
          <w:color w:val="auto"/>
          <w:szCs w:val="21"/>
          <w:highlight w:val="none"/>
        </w:rPr>
      </w:pPr>
      <w:r>
        <w:rPr>
          <w:rFonts w:hint="eastAsia" w:ascii="Arial" w:hAnsi="Arial" w:cs="Arial"/>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Arial" w:hAnsi="Arial" w:cs="Arial"/>
          <w:color w:val="auto"/>
          <w:szCs w:val="21"/>
          <w:highlight w:val="none"/>
        </w:rPr>
      </w:pPr>
      <w:r>
        <w:rPr>
          <w:rFonts w:hint="eastAsia" w:ascii="Arial" w:hAnsi="Arial" w:cs="Arial"/>
          <w:color w:val="auto"/>
          <w:szCs w:val="21"/>
          <w:highlight w:val="none"/>
        </w:rPr>
        <w:t>3.凡出现以上任何一项情形，结论均为无效，否则就为有效。</w:t>
      </w:r>
    </w:p>
    <w:p>
      <w:pPr>
        <w:rPr>
          <w:rFonts w:ascii="Arial" w:hAnsi="Arial" w:cs="Arial"/>
          <w:color w:val="auto"/>
          <w:szCs w:val="21"/>
          <w:highlight w:val="none"/>
        </w:rPr>
      </w:pPr>
      <w:r>
        <w:rPr>
          <w:rFonts w:hint="eastAsia" w:ascii="Arial" w:hAnsi="Arial" w:cs="Arial"/>
          <w:color w:val="auto"/>
          <w:szCs w:val="21"/>
          <w:highlight w:val="none"/>
        </w:rPr>
        <w:t>4.如对本表中某种情形的评审意见不一致时，以评标委员会过半数成员的意见作为评标委员会对该情形的认定结论。</w:t>
      </w:r>
      <w:r>
        <w:rPr>
          <w:rFonts w:ascii="Arial" w:hAnsi="Arial" w:cs="Arial"/>
          <w:color w:val="auto"/>
          <w:highlight w:val="none"/>
        </w:rPr>
        <w:br w:type="page"/>
      </w:r>
      <w:r>
        <w:rPr>
          <w:rFonts w:ascii="Arial" w:hAnsi="Arial" w:cs="Arial"/>
          <w:color w:val="auto"/>
          <w:szCs w:val="21"/>
          <w:highlight w:val="none"/>
        </w:rPr>
        <w:t>附表三</w:t>
      </w:r>
    </w:p>
    <w:p>
      <w:pPr>
        <w:jc w:val="center"/>
        <w:rPr>
          <w:rFonts w:ascii="Arial" w:hAnsi="Arial" w:cs="Arial"/>
          <w:b/>
          <w:color w:val="auto"/>
          <w:sz w:val="36"/>
          <w:szCs w:val="36"/>
          <w:highlight w:val="none"/>
        </w:rPr>
      </w:pPr>
      <w:r>
        <w:rPr>
          <w:rFonts w:ascii="Arial" w:hAnsi="Arial" w:cs="Arial"/>
          <w:b/>
          <w:color w:val="auto"/>
          <w:sz w:val="36"/>
          <w:szCs w:val="36"/>
          <w:highlight w:val="none"/>
        </w:rPr>
        <w:t>经济标有效性审查表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Arial" w:hAnsi="Arial" w:cs="Arial"/>
                <w:color w:val="auto"/>
                <w:szCs w:val="21"/>
                <w:highlight w:val="none"/>
              </w:rPr>
            </w:pPr>
            <w:r>
              <w:rPr>
                <w:rFonts w:ascii="Arial" w:hAnsi="Arial" w:cs="Arial"/>
                <w:color w:val="auto"/>
                <w:szCs w:val="21"/>
                <w:highlight w:val="none"/>
              </w:rPr>
              <w:t xml:space="preserve">               投标人</w:t>
            </w: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Arial" w:hAnsi="Arial" w:cs="Arial"/>
                <w:color w:val="auto"/>
                <w:szCs w:val="21"/>
                <w:highlight w:val="none"/>
              </w:rPr>
            </w:pPr>
            <w:r>
              <w:rPr>
                <w:rFonts w:ascii="Arial" w:hAnsi="Arial" w:cs="Arial"/>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不同投标人的投标报价中分部分项工程量清单综合单价相似度达到80%及以上的(以</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投标人与其他投标人加密打包投标文件电脑机器特征码一致的(以广州交易集团有限公司（广州公共资源交易中心）  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bl>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注：1.本表使用GZZB2018-3招标文件范本，与范本内容不同之处均以下划线标明。</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2.凡出现以上任何一项情形，结论均为无效，否则就为有效。</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3.如对本表中某种情形的评审意见不一致时，以评标委员会过半数成员的意见作为评标委员会对该情形的认定结论。</w:t>
      </w:r>
    </w:p>
    <w:p>
      <w:pP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b/>
          <w:bCs/>
          <w:color w:val="auto"/>
          <w:kern w:val="0"/>
          <w:sz w:val="21"/>
          <w:szCs w:val="21"/>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rPr>
          <w:rFonts w:hint="eastAsia" w:ascii="宋体" w:hAnsi="宋体" w:cs="宋体"/>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附表四</w:t>
      </w:r>
    </w:p>
    <w:p>
      <w:pPr>
        <w:rPr>
          <w:rFonts w:ascii="Arial" w:hAnsi="Arial" w:cs="Arial"/>
          <w:color w:val="auto"/>
          <w:highlight w:val="none"/>
        </w:rPr>
      </w:pPr>
    </w:p>
    <w:p>
      <w:pPr>
        <w:widowControl/>
        <w:jc w:val="left"/>
        <w:rPr>
          <w:rFonts w:ascii="Arial" w:hAnsi="Arial" w:cs="Arial"/>
          <w:color w:val="auto"/>
          <w:szCs w:val="21"/>
          <w:highlight w:val="none"/>
        </w:rPr>
      </w:pPr>
      <w:r>
        <w:rPr>
          <w:rFonts w:ascii="Arial" w:hAnsi="Arial" w:cs="Arial"/>
          <w:color w:val="auto"/>
          <w:szCs w:val="21"/>
          <w:highlight w:val="none"/>
        </w:rPr>
        <w:br w:type="page"/>
      </w:r>
    </w:p>
    <w:p>
      <w:pPr>
        <w:rPr>
          <w:rFonts w:ascii="宋体" w:hAnsi="宋体"/>
          <w:color w:val="auto"/>
          <w:szCs w:val="21"/>
          <w:highlight w:val="none"/>
        </w:rPr>
      </w:pPr>
      <w:r>
        <w:rPr>
          <w:rFonts w:ascii="宋体" w:hAnsi="宋体"/>
          <w:color w:val="auto"/>
          <w:szCs w:val="21"/>
          <w:highlight w:val="none"/>
        </w:rPr>
        <w:t>附表四</w:t>
      </w:r>
    </w:p>
    <w:p>
      <w:pPr>
        <w:ind w:firstLine="723"/>
        <w:jc w:val="center"/>
        <w:rPr>
          <w:rFonts w:ascii="宋体" w:hAnsi="宋体"/>
          <w:b/>
          <w:color w:val="auto"/>
          <w:sz w:val="36"/>
          <w:szCs w:val="36"/>
          <w:highlight w:val="none"/>
        </w:rPr>
      </w:pPr>
      <w:r>
        <w:rPr>
          <w:rFonts w:ascii="宋体" w:hAnsi="宋体"/>
          <w:b/>
          <w:color w:val="auto"/>
          <w:sz w:val="36"/>
          <w:szCs w:val="36"/>
          <w:highlight w:val="none"/>
        </w:rPr>
        <w:t>技术标详细审查评分表</w:t>
      </w:r>
    </w:p>
    <w:tbl>
      <w:tblPr>
        <w:tblStyle w:val="55"/>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655"/>
        <w:gridCol w:w="567"/>
        <w:gridCol w:w="1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51" w:type="dxa"/>
            <w:shd w:val="clear" w:color="auto" w:fill="FFFFFF"/>
            <w:vAlign w:val="center"/>
          </w:tcPr>
          <w:p>
            <w:pPr>
              <w:pStyle w:val="618"/>
              <w:snapToGrid w:val="0"/>
              <w:spacing w:line="240" w:lineRule="auto"/>
              <w:jc w:val="center"/>
              <w:rPr>
                <w:color w:val="auto"/>
                <w:sz w:val="21"/>
                <w:szCs w:val="21"/>
                <w:highlight w:val="none"/>
              </w:rPr>
            </w:pPr>
            <w:r>
              <w:rPr>
                <w:rFonts w:hint="eastAsia" w:cs="Times New Roman"/>
                <w:b/>
                <w:color w:val="auto"/>
                <w:spacing w:val="-10"/>
                <w:sz w:val="21"/>
                <w:szCs w:val="21"/>
                <w:highlight w:val="none"/>
              </w:rPr>
              <w:t>评分</w:t>
            </w:r>
            <w:r>
              <w:rPr>
                <w:rFonts w:cs="Times New Roman"/>
                <w:b/>
                <w:color w:val="auto"/>
                <w:spacing w:val="-10"/>
                <w:sz w:val="21"/>
                <w:szCs w:val="21"/>
                <w:highlight w:val="none"/>
              </w:rPr>
              <w:t>项目</w:t>
            </w:r>
          </w:p>
        </w:tc>
        <w:tc>
          <w:tcPr>
            <w:tcW w:w="1655" w:type="dxa"/>
            <w:shd w:val="clear" w:color="auto" w:fill="FFFFFF"/>
            <w:vAlign w:val="center"/>
          </w:tcPr>
          <w:p>
            <w:pPr>
              <w:pStyle w:val="618"/>
              <w:shd w:val="clear" w:color="auto" w:fill="auto"/>
              <w:snapToGrid w:val="0"/>
              <w:spacing w:line="240" w:lineRule="auto"/>
              <w:jc w:val="center"/>
              <w:rPr>
                <w:color w:val="auto"/>
                <w:sz w:val="21"/>
                <w:szCs w:val="21"/>
                <w:highlight w:val="none"/>
              </w:rPr>
            </w:pPr>
            <w:r>
              <w:rPr>
                <w:rFonts w:cs="Times New Roman"/>
                <w:b/>
                <w:color w:val="auto"/>
                <w:spacing w:val="-10"/>
                <w:sz w:val="21"/>
                <w:szCs w:val="21"/>
                <w:highlight w:val="none"/>
              </w:rPr>
              <w:t>评分内容</w:t>
            </w:r>
          </w:p>
        </w:tc>
        <w:tc>
          <w:tcPr>
            <w:tcW w:w="567" w:type="dxa"/>
            <w:shd w:val="clear" w:color="auto" w:fill="FFFFFF"/>
            <w:vAlign w:val="center"/>
          </w:tcPr>
          <w:p>
            <w:pPr>
              <w:pStyle w:val="618"/>
              <w:shd w:val="clear" w:color="auto" w:fill="auto"/>
              <w:snapToGrid w:val="0"/>
              <w:spacing w:line="240" w:lineRule="auto"/>
              <w:jc w:val="center"/>
              <w:rPr>
                <w:color w:val="auto"/>
                <w:sz w:val="21"/>
                <w:szCs w:val="21"/>
                <w:highlight w:val="none"/>
              </w:rPr>
            </w:pPr>
            <w:r>
              <w:rPr>
                <w:rFonts w:cs="Times New Roman"/>
                <w:b/>
                <w:color w:val="auto"/>
                <w:spacing w:val="-10"/>
                <w:sz w:val="21"/>
                <w:szCs w:val="21"/>
                <w:highlight w:val="none"/>
              </w:rPr>
              <w:t>分值</w:t>
            </w:r>
          </w:p>
        </w:tc>
        <w:tc>
          <w:tcPr>
            <w:tcW w:w="11896" w:type="dxa"/>
            <w:shd w:val="clear" w:color="auto" w:fill="FFFFFF"/>
            <w:vAlign w:val="center"/>
          </w:tcPr>
          <w:p>
            <w:pPr>
              <w:pStyle w:val="618"/>
              <w:shd w:val="clear" w:color="auto" w:fill="auto"/>
              <w:snapToGrid w:val="0"/>
              <w:spacing w:line="240" w:lineRule="auto"/>
              <w:jc w:val="center"/>
              <w:rPr>
                <w:rFonts w:cs="Times New Roman"/>
                <w:color w:val="auto"/>
                <w:sz w:val="21"/>
                <w:szCs w:val="21"/>
                <w:highlight w:val="none"/>
              </w:rPr>
            </w:pPr>
            <w:r>
              <w:rPr>
                <w:rFonts w:cs="Times New Roman"/>
                <w:b/>
                <w:color w:val="auto"/>
                <w:spacing w:val="-1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6" w:hRule="atLeast"/>
          <w:jc w:val="center"/>
        </w:trPr>
        <w:tc>
          <w:tcPr>
            <w:tcW w:w="1251" w:type="dxa"/>
            <w:vMerge w:val="restart"/>
            <w:shd w:val="clear" w:color="auto" w:fill="FFFFFF"/>
            <w:vAlign w:val="center"/>
          </w:tcPr>
          <w:p>
            <w:pPr>
              <w:pStyle w:val="618"/>
              <w:shd w:val="clear" w:color="auto" w:fill="auto"/>
              <w:snapToGrid w:val="0"/>
              <w:spacing w:line="240" w:lineRule="auto"/>
              <w:jc w:val="center"/>
              <w:rPr>
                <w:color w:val="auto"/>
                <w:sz w:val="21"/>
                <w:szCs w:val="21"/>
                <w:highlight w:val="none"/>
              </w:rPr>
            </w:pPr>
            <w:r>
              <w:rPr>
                <w:rFonts w:hint="eastAsia"/>
                <w:color w:val="auto"/>
                <w:sz w:val="21"/>
                <w:szCs w:val="21"/>
                <w:highlight w:val="none"/>
              </w:rPr>
              <w:t>一、</w:t>
            </w:r>
            <w:r>
              <w:rPr>
                <w:color w:val="auto"/>
                <w:sz w:val="21"/>
                <w:szCs w:val="21"/>
                <w:highlight w:val="none"/>
              </w:rPr>
              <w:t>企业资信</w:t>
            </w:r>
            <w:r>
              <w:rPr>
                <w:rStyle w:val="619"/>
                <w:color w:val="auto"/>
                <w:sz w:val="21"/>
                <w:szCs w:val="21"/>
                <w:highlight w:val="none"/>
              </w:rPr>
              <w:t>(</w:t>
            </w:r>
            <w:r>
              <w:rPr>
                <w:rStyle w:val="619"/>
                <w:rFonts w:hint="eastAsia"/>
                <w:color w:val="auto"/>
                <w:sz w:val="21"/>
                <w:szCs w:val="21"/>
                <w:highlight w:val="none"/>
              </w:rPr>
              <w:t>30</w:t>
            </w:r>
            <w:r>
              <w:rPr>
                <w:color w:val="auto"/>
                <w:sz w:val="21"/>
                <w:szCs w:val="21"/>
                <w:highlight w:val="none"/>
              </w:rPr>
              <w:t>分</w:t>
            </w:r>
            <w:r>
              <w:rPr>
                <w:rStyle w:val="619"/>
                <w:color w:val="auto"/>
                <w:sz w:val="21"/>
                <w:szCs w:val="21"/>
                <w:highlight w:val="none"/>
              </w:rPr>
              <w:t>)</w:t>
            </w:r>
          </w:p>
        </w:tc>
        <w:tc>
          <w:tcPr>
            <w:tcW w:w="1655" w:type="dxa"/>
            <w:shd w:val="clear" w:color="auto" w:fill="FFFFFF"/>
            <w:vAlign w:val="center"/>
          </w:tcPr>
          <w:p>
            <w:pPr>
              <w:pStyle w:val="618"/>
              <w:shd w:val="clear" w:color="auto" w:fill="auto"/>
              <w:snapToGrid w:val="0"/>
              <w:spacing w:line="360" w:lineRule="auto"/>
              <w:jc w:val="center"/>
              <w:rPr>
                <w:color w:val="auto"/>
                <w:sz w:val="21"/>
                <w:szCs w:val="21"/>
                <w:highlight w:val="none"/>
              </w:rPr>
            </w:pPr>
            <w:r>
              <w:rPr>
                <w:rFonts w:hint="eastAsia"/>
                <w:color w:val="auto"/>
                <w:sz w:val="21"/>
                <w:szCs w:val="21"/>
                <w:highlight w:val="none"/>
              </w:rPr>
              <w:t>投标人业绩情况</w:t>
            </w:r>
          </w:p>
        </w:tc>
        <w:tc>
          <w:tcPr>
            <w:tcW w:w="567" w:type="dxa"/>
            <w:shd w:val="clear" w:color="auto" w:fill="FFFFFF"/>
            <w:vAlign w:val="center"/>
          </w:tcPr>
          <w:p>
            <w:pPr>
              <w:pStyle w:val="51"/>
              <w:widowControl w:val="0"/>
              <w:adjustRightInd w:val="0"/>
              <w:snapToGrid w:val="0"/>
              <w:spacing w:before="0" w:beforeAutospacing="0" w:after="0" w:afterAutospacing="0"/>
              <w:jc w:val="center"/>
              <w:rPr>
                <w:rFonts w:hint="eastAsia" w:eastAsia="宋体"/>
                <w:color w:val="auto"/>
                <w:sz w:val="21"/>
                <w:szCs w:val="21"/>
                <w:highlight w:val="none"/>
                <w:lang w:eastAsia="zh-CN"/>
              </w:rPr>
            </w:pPr>
            <w:r>
              <w:rPr>
                <w:rFonts w:hint="eastAsia" w:eastAsia="宋体"/>
                <w:color w:val="auto"/>
                <w:sz w:val="21"/>
                <w:szCs w:val="21"/>
                <w:highlight w:val="none"/>
                <w:lang w:val="en-US" w:eastAsia="zh-CN"/>
              </w:rPr>
              <w:t>3</w:t>
            </w:r>
          </w:p>
        </w:tc>
        <w:tc>
          <w:tcPr>
            <w:tcW w:w="11896" w:type="dxa"/>
            <w:shd w:val="clear" w:color="auto" w:fill="FFFFFF"/>
            <w:vAlign w:val="center"/>
          </w:tcPr>
          <w:p>
            <w:pPr>
              <w:pStyle w:val="51"/>
              <w:widowControl w:val="0"/>
              <w:spacing w:before="0" w:beforeAutospacing="0" w:after="0" w:afterAutospacing="0" w:line="240" w:lineRule="auto"/>
              <w:rPr>
                <w:color w:val="auto"/>
                <w:sz w:val="21"/>
                <w:szCs w:val="21"/>
                <w:highlight w:val="none"/>
              </w:rPr>
            </w:pPr>
            <w:r>
              <w:rPr>
                <w:rFonts w:hint="eastAsia"/>
                <w:color w:val="auto"/>
                <w:sz w:val="21"/>
                <w:szCs w:val="21"/>
                <w:highlight w:val="none"/>
              </w:rPr>
              <w:t>投标人自2020年1月1日至今，完成过桥梁</w:t>
            </w:r>
            <w:r>
              <w:rPr>
                <w:rFonts w:hint="eastAsia"/>
                <w:color w:val="auto"/>
                <w:sz w:val="21"/>
                <w:szCs w:val="21"/>
                <w:highlight w:val="none"/>
                <w:lang w:val="en-US" w:eastAsia="zh-CN"/>
              </w:rPr>
              <w:t>部分</w:t>
            </w:r>
            <w:r>
              <w:rPr>
                <w:rFonts w:hint="eastAsia"/>
                <w:color w:val="auto"/>
                <w:sz w:val="21"/>
                <w:szCs w:val="21"/>
                <w:highlight w:val="none"/>
              </w:rPr>
              <w:t>施工费金额大于或等于</w:t>
            </w:r>
            <w:r>
              <w:rPr>
                <w:rFonts w:hint="eastAsia"/>
                <w:color w:val="auto"/>
                <w:sz w:val="21"/>
                <w:szCs w:val="21"/>
                <w:highlight w:val="none"/>
                <w:lang w:val="en-US" w:eastAsia="zh-CN"/>
              </w:rPr>
              <w:t>6000</w:t>
            </w:r>
            <w:r>
              <w:rPr>
                <w:rFonts w:hint="eastAsia"/>
                <w:color w:val="auto"/>
                <w:sz w:val="21"/>
                <w:szCs w:val="21"/>
                <w:highlight w:val="none"/>
              </w:rPr>
              <w:t>万元的</w:t>
            </w:r>
            <w:r>
              <w:rPr>
                <w:rFonts w:hint="eastAsia"/>
                <w:color w:val="auto"/>
                <w:sz w:val="21"/>
                <w:szCs w:val="21"/>
                <w:highlight w:val="none"/>
                <w:lang w:val="en-US" w:eastAsia="zh-CN"/>
              </w:rPr>
              <w:t>市政</w:t>
            </w:r>
            <w:r>
              <w:rPr>
                <w:rFonts w:hint="eastAsia"/>
                <w:color w:val="auto"/>
                <w:sz w:val="21"/>
                <w:szCs w:val="21"/>
                <w:highlight w:val="none"/>
              </w:rPr>
              <w:t>业绩或</w:t>
            </w:r>
            <w:r>
              <w:rPr>
                <w:rFonts w:hint="eastAsia"/>
                <w:color w:val="auto"/>
                <w:sz w:val="21"/>
                <w:szCs w:val="21"/>
                <w:highlight w:val="none"/>
                <w:lang w:val="en-US" w:eastAsia="zh-CN"/>
              </w:rPr>
              <w:t>合同建安费</w:t>
            </w:r>
            <w:r>
              <w:rPr>
                <w:rFonts w:hint="eastAsia"/>
                <w:color w:val="auto"/>
                <w:sz w:val="21"/>
                <w:szCs w:val="21"/>
                <w:highlight w:val="none"/>
              </w:rPr>
              <w:t>金额大于或等于</w:t>
            </w:r>
            <w:r>
              <w:rPr>
                <w:rFonts w:hint="eastAsia"/>
                <w:color w:val="auto"/>
                <w:sz w:val="21"/>
                <w:szCs w:val="21"/>
                <w:highlight w:val="none"/>
                <w:lang w:val="en-US" w:eastAsia="zh-CN"/>
              </w:rPr>
              <w:t>6000</w:t>
            </w:r>
            <w:r>
              <w:rPr>
                <w:rFonts w:hint="eastAsia"/>
                <w:color w:val="auto"/>
                <w:sz w:val="21"/>
                <w:szCs w:val="21"/>
                <w:highlight w:val="none"/>
              </w:rPr>
              <w:t>万元的市政桥梁业绩，每项得1</w:t>
            </w:r>
            <w:r>
              <w:rPr>
                <w:rFonts w:hint="eastAsia"/>
                <w:color w:val="auto"/>
                <w:sz w:val="21"/>
                <w:szCs w:val="21"/>
                <w:highlight w:val="none"/>
                <w:lang w:val="en-US" w:eastAsia="zh-CN"/>
              </w:rPr>
              <w:t>.5</w:t>
            </w:r>
            <w:r>
              <w:rPr>
                <w:rFonts w:hint="eastAsia"/>
                <w:color w:val="auto"/>
                <w:sz w:val="21"/>
                <w:szCs w:val="21"/>
                <w:highlight w:val="none"/>
              </w:rPr>
              <w:t>分；本小项最高得3分。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5" w:hRule="atLeast"/>
          <w:jc w:val="center"/>
        </w:trPr>
        <w:tc>
          <w:tcPr>
            <w:tcW w:w="1251" w:type="dxa"/>
            <w:vMerge w:val="continue"/>
            <w:shd w:val="clear" w:color="auto" w:fill="FFFFFF"/>
            <w:vAlign w:val="center"/>
          </w:tcPr>
          <w:p>
            <w:pPr>
              <w:pStyle w:val="618"/>
              <w:shd w:val="clear" w:color="auto" w:fill="auto"/>
              <w:snapToGrid w:val="0"/>
              <w:spacing w:line="240" w:lineRule="auto"/>
              <w:jc w:val="center"/>
              <w:rPr>
                <w:color w:val="auto"/>
                <w:sz w:val="21"/>
                <w:szCs w:val="21"/>
                <w:highlight w:val="none"/>
              </w:rPr>
            </w:pPr>
          </w:p>
        </w:tc>
        <w:tc>
          <w:tcPr>
            <w:tcW w:w="1655" w:type="dxa"/>
            <w:shd w:val="clear" w:color="auto" w:fill="FFFFFF"/>
            <w:vAlign w:val="center"/>
          </w:tcPr>
          <w:p>
            <w:pPr>
              <w:tabs>
                <w:tab w:val="center" w:pos="4153"/>
                <w:tab w:val="right" w:pos="8306"/>
              </w:tabs>
              <w:spacing w:line="360" w:lineRule="auto"/>
              <w:jc w:val="center"/>
              <w:rPr>
                <w:rFonts w:ascii="宋体" w:hAnsi="宋体" w:cs="宋体"/>
                <w:color w:val="auto"/>
                <w:szCs w:val="21"/>
                <w:highlight w:val="none"/>
                <w:shd w:val="clear" w:color="auto" w:fill="FFFFFF"/>
                <w:lang w:val="zh-TW"/>
              </w:rPr>
            </w:pPr>
            <w:r>
              <w:rPr>
                <w:rFonts w:hint="eastAsia"/>
                <w:color w:val="auto"/>
                <w:szCs w:val="21"/>
                <w:highlight w:val="none"/>
              </w:rPr>
              <w:t>财务状况</w:t>
            </w:r>
          </w:p>
        </w:tc>
        <w:tc>
          <w:tcPr>
            <w:tcW w:w="567" w:type="dxa"/>
            <w:shd w:val="clear" w:color="auto" w:fill="FFFFFF"/>
            <w:vAlign w:val="center"/>
          </w:tcPr>
          <w:p>
            <w:pPr>
              <w:pStyle w:val="51"/>
              <w:widowControl w:val="0"/>
              <w:adjustRightInd w:val="0"/>
              <w:snapToGrid w:val="0"/>
              <w:spacing w:before="0" w:beforeAutospacing="0" w:after="0" w:afterAutospacing="0"/>
              <w:jc w:val="center"/>
              <w:rPr>
                <w:rFonts w:hint="eastAsia" w:eastAsia="宋体"/>
                <w:color w:val="auto"/>
                <w:sz w:val="21"/>
                <w:szCs w:val="21"/>
                <w:highlight w:val="none"/>
                <w:shd w:val="clear" w:color="auto" w:fill="FFFFFF"/>
                <w:lang w:eastAsia="zh-CN"/>
              </w:rPr>
            </w:pPr>
            <w:r>
              <w:rPr>
                <w:rFonts w:hint="eastAsia" w:eastAsia="宋体"/>
                <w:color w:val="auto"/>
                <w:sz w:val="21"/>
                <w:szCs w:val="21"/>
                <w:highlight w:val="none"/>
                <w:lang w:val="en-US" w:eastAsia="zh-CN"/>
              </w:rPr>
              <w:t>5</w:t>
            </w:r>
          </w:p>
        </w:tc>
        <w:tc>
          <w:tcPr>
            <w:tcW w:w="11896" w:type="dxa"/>
            <w:shd w:val="clear" w:color="auto" w:fill="FFFFFF"/>
            <w:vAlign w:val="center"/>
          </w:tcPr>
          <w:p>
            <w:pPr>
              <w:spacing w:line="240" w:lineRule="auto"/>
              <w:rPr>
                <w:rFonts w:hAnsi="宋体" w:cs="宋体"/>
                <w:color w:val="auto"/>
                <w:szCs w:val="21"/>
                <w:highlight w:val="none"/>
                <w:shd w:val="clear" w:color="auto" w:fill="FFFFFF"/>
              </w:rPr>
            </w:pPr>
            <w:r>
              <w:rPr>
                <w:rFonts w:hint="eastAsia"/>
                <w:color w:val="auto"/>
                <w:kern w:val="0"/>
                <w:sz w:val="21"/>
                <w:szCs w:val="21"/>
                <w:highlight w:val="none"/>
                <w:lang w:eastAsia="zh-CN" w:bidi="ar-SA"/>
              </w:rPr>
              <w:t>投标人至今连续</w:t>
            </w:r>
            <w:r>
              <w:rPr>
                <w:rFonts w:hint="eastAsia"/>
                <w:color w:val="auto"/>
                <w:kern w:val="0"/>
                <w:sz w:val="21"/>
                <w:szCs w:val="21"/>
                <w:highlight w:val="none"/>
                <w:lang w:val="en-US" w:eastAsia="zh-CN" w:bidi="ar-SA"/>
              </w:rPr>
              <w:t>5</w:t>
            </w:r>
            <w:r>
              <w:rPr>
                <w:rFonts w:hint="eastAsia"/>
                <w:color w:val="auto"/>
                <w:kern w:val="0"/>
                <w:sz w:val="21"/>
                <w:szCs w:val="21"/>
                <w:highlight w:val="none"/>
                <w:lang w:eastAsia="zh-CN" w:bidi="ar-SA"/>
              </w:rPr>
              <w:t>年以上获得纳税信用A级评价的得</w:t>
            </w:r>
            <w:r>
              <w:rPr>
                <w:rFonts w:hint="eastAsia"/>
                <w:color w:val="auto"/>
                <w:kern w:val="0"/>
                <w:sz w:val="21"/>
                <w:szCs w:val="21"/>
                <w:highlight w:val="none"/>
                <w:lang w:val="en-US" w:eastAsia="zh-CN" w:bidi="ar-SA"/>
              </w:rPr>
              <w:t>5</w:t>
            </w:r>
            <w:r>
              <w:rPr>
                <w:rFonts w:hint="eastAsia"/>
                <w:color w:val="auto"/>
                <w:kern w:val="0"/>
                <w:sz w:val="21"/>
                <w:szCs w:val="21"/>
                <w:highlight w:val="none"/>
                <w:lang w:eastAsia="zh-CN" w:bidi="ar-SA"/>
              </w:rPr>
              <w:t>分；连续</w:t>
            </w:r>
            <w:r>
              <w:rPr>
                <w:rFonts w:hint="eastAsia"/>
                <w:color w:val="auto"/>
                <w:kern w:val="0"/>
                <w:sz w:val="21"/>
                <w:szCs w:val="21"/>
                <w:highlight w:val="none"/>
                <w:lang w:val="en-US" w:eastAsia="zh-CN" w:bidi="ar-SA"/>
              </w:rPr>
              <w:t>4</w:t>
            </w:r>
            <w:r>
              <w:rPr>
                <w:rFonts w:hint="eastAsia"/>
                <w:color w:val="auto"/>
                <w:kern w:val="0"/>
                <w:sz w:val="21"/>
                <w:szCs w:val="21"/>
                <w:highlight w:val="none"/>
                <w:lang w:eastAsia="zh-CN" w:bidi="ar-SA"/>
              </w:rPr>
              <w:t>年至</w:t>
            </w:r>
            <w:r>
              <w:rPr>
                <w:rFonts w:hint="eastAsia"/>
                <w:color w:val="auto"/>
                <w:kern w:val="0"/>
                <w:sz w:val="21"/>
                <w:szCs w:val="21"/>
                <w:highlight w:val="none"/>
                <w:lang w:val="en-US" w:eastAsia="zh-CN" w:bidi="ar-SA"/>
              </w:rPr>
              <w:t>5</w:t>
            </w:r>
            <w:r>
              <w:rPr>
                <w:rFonts w:hint="eastAsia"/>
                <w:color w:val="auto"/>
                <w:kern w:val="0"/>
                <w:sz w:val="21"/>
                <w:szCs w:val="21"/>
                <w:highlight w:val="none"/>
                <w:lang w:eastAsia="zh-CN" w:bidi="ar-SA"/>
              </w:rPr>
              <w:t>年获得纳税信用A级评价的得</w:t>
            </w:r>
            <w:r>
              <w:rPr>
                <w:rFonts w:hint="eastAsia"/>
                <w:color w:val="auto"/>
                <w:kern w:val="0"/>
                <w:sz w:val="21"/>
                <w:szCs w:val="21"/>
                <w:highlight w:val="none"/>
                <w:lang w:eastAsia="zh-TW" w:bidi="ar-SA"/>
              </w:rPr>
              <w:t>3</w:t>
            </w:r>
            <w:r>
              <w:rPr>
                <w:rFonts w:hint="eastAsia"/>
                <w:color w:val="auto"/>
                <w:kern w:val="0"/>
                <w:sz w:val="21"/>
                <w:szCs w:val="21"/>
                <w:highlight w:val="none"/>
                <w:lang w:eastAsia="zh-CN" w:bidi="ar-SA"/>
              </w:rPr>
              <w:t>分；连续</w:t>
            </w:r>
            <w:r>
              <w:rPr>
                <w:rFonts w:hint="eastAsia"/>
                <w:color w:val="auto"/>
                <w:kern w:val="0"/>
                <w:sz w:val="21"/>
                <w:szCs w:val="21"/>
                <w:highlight w:val="none"/>
                <w:lang w:val="en-US" w:eastAsia="zh-CN" w:bidi="ar-SA"/>
              </w:rPr>
              <w:t>2</w:t>
            </w:r>
            <w:r>
              <w:rPr>
                <w:rFonts w:hint="eastAsia"/>
                <w:color w:val="auto"/>
                <w:kern w:val="0"/>
                <w:sz w:val="21"/>
                <w:szCs w:val="21"/>
                <w:highlight w:val="none"/>
                <w:lang w:eastAsia="zh-CN" w:bidi="ar-SA"/>
              </w:rPr>
              <w:t>年至</w:t>
            </w:r>
            <w:r>
              <w:rPr>
                <w:rFonts w:hint="eastAsia"/>
                <w:color w:val="auto"/>
                <w:kern w:val="0"/>
                <w:sz w:val="21"/>
                <w:szCs w:val="21"/>
                <w:highlight w:val="none"/>
                <w:lang w:val="en-US" w:eastAsia="zh-CN" w:bidi="ar-SA"/>
              </w:rPr>
              <w:t>3</w:t>
            </w:r>
            <w:r>
              <w:rPr>
                <w:rFonts w:hint="eastAsia"/>
                <w:color w:val="auto"/>
                <w:kern w:val="0"/>
                <w:sz w:val="21"/>
                <w:szCs w:val="21"/>
                <w:highlight w:val="none"/>
                <w:lang w:eastAsia="zh-CN" w:bidi="ar-SA"/>
              </w:rPr>
              <w:t>年获得纳税信用A级评价的得</w:t>
            </w:r>
            <w:r>
              <w:rPr>
                <w:rFonts w:hint="eastAsia"/>
                <w:color w:val="auto"/>
                <w:kern w:val="0"/>
                <w:sz w:val="21"/>
                <w:szCs w:val="21"/>
                <w:highlight w:val="none"/>
                <w:lang w:eastAsia="zh-TW" w:bidi="ar-SA"/>
              </w:rPr>
              <w:t>1</w:t>
            </w:r>
            <w:r>
              <w:rPr>
                <w:rFonts w:hint="eastAsia"/>
                <w:color w:val="auto"/>
                <w:kern w:val="0"/>
                <w:sz w:val="21"/>
                <w:szCs w:val="21"/>
                <w:highlight w:val="none"/>
                <w:lang w:eastAsia="zh-CN" w:bidi="ar-SA"/>
              </w:rPr>
              <w:t>分；不满足以上条件者，得0分；本项最多得</w:t>
            </w:r>
            <w:r>
              <w:rPr>
                <w:rFonts w:hint="eastAsia"/>
                <w:color w:val="auto"/>
                <w:kern w:val="0"/>
                <w:sz w:val="21"/>
                <w:szCs w:val="21"/>
                <w:highlight w:val="none"/>
                <w:lang w:val="en-US" w:eastAsia="zh-CN" w:bidi="ar-SA"/>
              </w:rPr>
              <w:t>5</w:t>
            </w:r>
            <w:r>
              <w:rPr>
                <w:rFonts w:hint="eastAsia"/>
                <w:color w:val="auto"/>
                <w:kern w:val="0"/>
                <w:sz w:val="21"/>
                <w:szCs w:val="21"/>
                <w:highlight w:val="none"/>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8"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pStyle w:val="618"/>
              <w:shd w:val="clear" w:color="auto" w:fill="auto"/>
              <w:snapToGrid w:val="0"/>
              <w:spacing w:line="360" w:lineRule="auto"/>
              <w:jc w:val="center"/>
              <w:rPr>
                <w:color w:val="auto"/>
                <w:sz w:val="21"/>
                <w:szCs w:val="21"/>
                <w:highlight w:val="none"/>
              </w:rPr>
            </w:pPr>
            <w:r>
              <w:rPr>
                <w:rFonts w:hint="eastAsia"/>
                <w:color w:val="auto"/>
                <w:sz w:val="21"/>
                <w:szCs w:val="21"/>
                <w:highlight w:val="none"/>
              </w:rPr>
              <w:t>工程获奖情况</w:t>
            </w:r>
          </w:p>
        </w:tc>
        <w:tc>
          <w:tcPr>
            <w:tcW w:w="567" w:type="dxa"/>
            <w:shd w:val="clear" w:color="auto" w:fill="FFFFFF"/>
            <w:vAlign w:val="center"/>
          </w:tcPr>
          <w:p>
            <w:pPr>
              <w:pStyle w:val="51"/>
              <w:widowControl w:val="0"/>
              <w:adjustRightInd w:val="0"/>
              <w:snapToGrid w:val="0"/>
              <w:spacing w:before="0" w:beforeAutospacing="0" w:after="0" w:afterAutospacing="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7</w:t>
            </w:r>
          </w:p>
        </w:tc>
        <w:tc>
          <w:tcPr>
            <w:tcW w:w="11896" w:type="dxa"/>
            <w:shd w:val="clear" w:color="auto" w:fill="FFFFFF"/>
            <w:vAlign w:val="center"/>
          </w:tcPr>
          <w:p>
            <w:pPr>
              <w:pStyle w:val="618"/>
              <w:shd w:val="clear" w:color="auto" w:fill="auto"/>
              <w:snapToGrid w:val="0"/>
              <w:spacing w:line="240" w:lineRule="auto"/>
              <w:rPr>
                <w:color w:val="auto"/>
                <w:sz w:val="21"/>
                <w:szCs w:val="21"/>
                <w:highlight w:val="none"/>
              </w:rPr>
            </w:pPr>
            <w:r>
              <w:rPr>
                <w:rFonts w:hint="eastAsia"/>
                <w:color w:val="auto"/>
                <w:sz w:val="21"/>
                <w:szCs w:val="21"/>
                <w:highlight w:val="none"/>
              </w:rPr>
              <w:t>投标人自2020年1月1日至今完成过的市政公用工程获得过市级或以上工程质量奖</w:t>
            </w:r>
            <w:r>
              <w:rPr>
                <w:rFonts w:hint="eastAsia"/>
                <w:color w:val="auto"/>
                <w:sz w:val="21"/>
                <w:szCs w:val="21"/>
                <w:highlight w:val="none"/>
                <w:lang w:val="en-US" w:eastAsia="zh-CN"/>
              </w:rPr>
              <w:t>30</w:t>
            </w:r>
            <w:r>
              <w:rPr>
                <w:rFonts w:hint="eastAsia"/>
                <w:color w:val="auto"/>
                <w:sz w:val="21"/>
                <w:szCs w:val="21"/>
                <w:highlight w:val="none"/>
              </w:rPr>
              <w:t>项以上的，得</w:t>
            </w:r>
            <w:r>
              <w:rPr>
                <w:rFonts w:hint="eastAsia"/>
                <w:color w:val="auto"/>
                <w:sz w:val="21"/>
                <w:szCs w:val="21"/>
                <w:highlight w:val="none"/>
                <w:lang w:val="en-US" w:eastAsia="zh-CN"/>
              </w:rPr>
              <w:t>7</w:t>
            </w:r>
            <w:r>
              <w:rPr>
                <w:rFonts w:hint="eastAsia"/>
                <w:color w:val="auto"/>
                <w:sz w:val="21"/>
                <w:szCs w:val="21"/>
                <w:highlight w:val="none"/>
              </w:rPr>
              <w:t>分；</w:t>
            </w:r>
          </w:p>
          <w:p>
            <w:pPr>
              <w:pStyle w:val="618"/>
              <w:shd w:val="clear" w:color="auto" w:fill="auto"/>
              <w:snapToGrid w:val="0"/>
              <w:spacing w:line="240" w:lineRule="auto"/>
              <w:rPr>
                <w:color w:val="auto"/>
                <w:sz w:val="21"/>
                <w:szCs w:val="21"/>
                <w:highlight w:val="none"/>
              </w:rPr>
            </w:pPr>
            <w:r>
              <w:rPr>
                <w:rFonts w:hint="eastAsia"/>
                <w:color w:val="auto"/>
                <w:sz w:val="21"/>
                <w:szCs w:val="21"/>
                <w:highlight w:val="none"/>
              </w:rPr>
              <w:t>投标人自2020年1月1日至今完成过的市政公用工程获得过市级或以上工程质量奖</w:t>
            </w:r>
            <w:r>
              <w:rPr>
                <w:rFonts w:hint="eastAsia"/>
                <w:color w:val="auto"/>
                <w:sz w:val="21"/>
                <w:szCs w:val="21"/>
                <w:highlight w:val="none"/>
                <w:lang w:val="en-US" w:eastAsia="zh-CN"/>
              </w:rPr>
              <w:t>21-30</w:t>
            </w:r>
            <w:r>
              <w:rPr>
                <w:rFonts w:hint="eastAsia"/>
                <w:color w:val="auto"/>
                <w:sz w:val="21"/>
                <w:szCs w:val="21"/>
                <w:highlight w:val="none"/>
              </w:rPr>
              <w:t>项的，得</w:t>
            </w:r>
            <w:r>
              <w:rPr>
                <w:rFonts w:hint="eastAsia"/>
                <w:color w:val="auto"/>
                <w:sz w:val="21"/>
                <w:szCs w:val="21"/>
                <w:highlight w:val="none"/>
                <w:lang w:val="en-US" w:eastAsia="zh-CN"/>
              </w:rPr>
              <w:t>4</w:t>
            </w:r>
            <w:r>
              <w:rPr>
                <w:rFonts w:hint="eastAsia"/>
                <w:color w:val="auto"/>
                <w:sz w:val="21"/>
                <w:szCs w:val="21"/>
                <w:highlight w:val="none"/>
              </w:rPr>
              <w:t>分；</w:t>
            </w:r>
          </w:p>
          <w:p>
            <w:pPr>
              <w:pStyle w:val="618"/>
              <w:shd w:val="clear" w:color="auto" w:fill="auto"/>
              <w:snapToGrid w:val="0"/>
              <w:spacing w:line="240" w:lineRule="auto"/>
              <w:rPr>
                <w:color w:val="auto"/>
                <w:sz w:val="21"/>
                <w:szCs w:val="21"/>
                <w:highlight w:val="none"/>
              </w:rPr>
            </w:pPr>
            <w:r>
              <w:rPr>
                <w:rFonts w:hint="eastAsia"/>
                <w:color w:val="auto"/>
                <w:sz w:val="21"/>
                <w:szCs w:val="21"/>
                <w:highlight w:val="none"/>
              </w:rPr>
              <w:t>投标人自2020年1月1日至今完成过的市政公用工程获得过市级或以上工程质量奖</w:t>
            </w:r>
            <w:r>
              <w:rPr>
                <w:rFonts w:hint="eastAsia"/>
                <w:color w:val="auto"/>
                <w:sz w:val="21"/>
                <w:szCs w:val="21"/>
                <w:highlight w:val="none"/>
                <w:lang w:val="en-US" w:eastAsia="zh-CN"/>
              </w:rPr>
              <w:t>11-20</w:t>
            </w:r>
            <w:r>
              <w:rPr>
                <w:rFonts w:hint="eastAsia"/>
                <w:color w:val="auto"/>
                <w:sz w:val="21"/>
                <w:szCs w:val="21"/>
                <w:highlight w:val="none"/>
              </w:rPr>
              <w:t>项的，得</w:t>
            </w:r>
            <w:r>
              <w:rPr>
                <w:rFonts w:eastAsia="PMingLiU"/>
                <w:color w:val="auto"/>
                <w:sz w:val="21"/>
                <w:szCs w:val="21"/>
                <w:highlight w:val="none"/>
                <w:lang w:eastAsia="zh-TW"/>
              </w:rPr>
              <w:t>1</w:t>
            </w:r>
            <w:r>
              <w:rPr>
                <w:rFonts w:hint="eastAsia"/>
                <w:color w:val="auto"/>
                <w:sz w:val="21"/>
                <w:szCs w:val="21"/>
                <w:highlight w:val="none"/>
              </w:rPr>
              <w:t>分；</w:t>
            </w:r>
          </w:p>
          <w:p>
            <w:pPr>
              <w:spacing w:line="240" w:lineRule="auto"/>
              <w:rPr>
                <w:color w:val="auto"/>
                <w:szCs w:val="21"/>
                <w:highlight w:val="none"/>
              </w:rPr>
            </w:pPr>
            <w:r>
              <w:rPr>
                <w:rFonts w:hint="eastAsia"/>
                <w:color w:val="auto"/>
                <w:szCs w:val="21"/>
                <w:highlight w:val="none"/>
              </w:rPr>
              <w:t>本项最多得</w:t>
            </w:r>
            <w:r>
              <w:rPr>
                <w:rFonts w:hint="eastAsia"/>
                <w:color w:val="auto"/>
                <w:szCs w:val="21"/>
                <w:highlight w:val="none"/>
                <w:lang w:val="en-US" w:eastAsia="zh-CN"/>
              </w:rPr>
              <w:t>7</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7"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pStyle w:val="618"/>
              <w:shd w:val="clear" w:color="auto" w:fill="auto"/>
              <w:snapToGrid w:val="0"/>
              <w:spacing w:line="360" w:lineRule="auto"/>
              <w:jc w:val="center"/>
              <w:rPr>
                <w:color w:val="auto"/>
                <w:sz w:val="21"/>
                <w:szCs w:val="21"/>
                <w:highlight w:val="none"/>
                <w:shd w:val="clear" w:color="auto" w:fill="FFFFFF"/>
                <w:lang w:val="zh-TW"/>
              </w:rPr>
            </w:pPr>
            <w:r>
              <w:rPr>
                <w:rFonts w:hint="eastAsia"/>
                <w:color w:val="auto"/>
                <w:sz w:val="21"/>
                <w:szCs w:val="21"/>
                <w:highlight w:val="none"/>
              </w:rPr>
              <w:t>第三方评价</w:t>
            </w:r>
          </w:p>
        </w:tc>
        <w:tc>
          <w:tcPr>
            <w:tcW w:w="567" w:type="dxa"/>
            <w:shd w:val="clear" w:color="auto" w:fill="FFFFFF"/>
            <w:vAlign w:val="center"/>
          </w:tcPr>
          <w:p>
            <w:pPr>
              <w:pStyle w:val="51"/>
              <w:widowControl w:val="0"/>
              <w:adjustRightInd w:val="0"/>
              <w:snapToGrid w:val="0"/>
              <w:spacing w:before="0" w:beforeAutospacing="0" w:after="0" w:afterAutospacing="0"/>
              <w:jc w:val="center"/>
              <w:rPr>
                <w:rFonts w:hint="default" w:eastAsia="宋体"/>
                <w:color w:val="auto"/>
                <w:sz w:val="21"/>
                <w:szCs w:val="21"/>
                <w:highlight w:val="none"/>
                <w:shd w:val="clear" w:color="auto" w:fill="FFFFFF"/>
                <w:lang w:val="en-US" w:eastAsia="zh-CN"/>
              </w:rPr>
            </w:pPr>
            <w:r>
              <w:rPr>
                <w:rFonts w:hint="eastAsia" w:eastAsia="宋体"/>
                <w:color w:val="auto"/>
                <w:sz w:val="21"/>
                <w:szCs w:val="21"/>
                <w:highlight w:val="none"/>
                <w:shd w:val="clear" w:color="auto" w:fill="FFFFFF"/>
                <w:lang w:val="en-US" w:eastAsia="zh-CN"/>
              </w:rPr>
              <w:t>6</w:t>
            </w:r>
          </w:p>
        </w:tc>
        <w:tc>
          <w:tcPr>
            <w:tcW w:w="11896" w:type="dxa"/>
            <w:shd w:val="clear" w:color="auto" w:fill="FFFFFF"/>
            <w:vAlign w:val="center"/>
          </w:tcPr>
          <w:p>
            <w:pPr>
              <w:pStyle w:val="618"/>
              <w:shd w:val="clear" w:color="auto" w:fill="auto"/>
              <w:snapToGrid w:val="0"/>
              <w:spacing w:line="240" w:lineRule="auto"/>
              <w:rPr>
                <w:rFonts w:hint="eastAsia"/>
                <w:color w:val="auto"/>
                <w:sz w:val="21"/>
                <w:szCs w:val="21"/>
                <w:highlight w:val="none"/>
              </w:rPr>
            </w:pPr>
            <w:r>
              <w:rPr>
                <w:rFonts w:hint="eastAsia"/>
                <w:color w:val="auto"/>
                <w:sz w:val="21"/>
                <w:szCs w:val="21"/>
                <w:highlight w:val="none"/>
              </w:rPr>
              <w:t>投标人获得以下体系认证证书并在有效期内的，同时获得</w:t>
            </w:r>
            <w:r>
              <w:rPr>
                <w:rFonts w:hint="eastAsia"/>
                <w:color w:val="auto"/>
                <w:sz w:val="21"/>
                <w:szCs w:val="21"/>
                <w:highlight w:val="none"/>
                <w:lang w:val="en-US" w:eastAsia="zh-CN"/>
              </w:rPr>
              <w:t>7</w:t>
            </w:r>
            <w:r>
              <w:rPr>
                <w:rFonts w:hint="eastAsia"/>
                <w:color w:val="auto"/>
                <w:sz w:val="21"/>
                <w:szCs w:val="21"/>
                <w:highlight w:val="none"/>
              </w:rPr>
              <w:t>项，得6分；同时获得</w:t>
            </w:r>
            <w:r>
              <w:rPr>
                <w:rFonts w:hint="eastAsia"/>
                <w:color w:val="auto"/>
                <w:sz w:val="21"/>
                <w:szCs w:val="21"/>
                <w:highlight w:val="none"/>
                <w:lang w:val="en-US" w:eastAsia="zh-CN"/>
              </w:rPr>
              <w:t>5-6</w:t>
            </w:r>
            <w:r>
              <w:rPr>
                <w:rFonts w:hint="eastAsia"/>
                <w:color w:val="auto"/>
                <w:sz w:val="21"/>
                <w:szCs w:val="21"/>
                <w:highlight w:val="none"/>
              </w:rPr>
              <w:t>项，得3分；同时获得</w:t>
            </w:r>
            <w:r>
              <w:rPr>
                <w:rFonts w:hint="eastAsia"/>
                <w:color w:val="auto"/>
                <w:sz w:val="21"/>
                <w:szCs w:val="21"/>
                <w:highlight w:val="none"/>
                <w:lang w:val="en-US" w:eastAsia="zh-CN"/>
              </w:rPr>
              <w:t>3-4</w:t>
            </w:r>
            <w:r>
              <w:rPr>
                <w:rFonts w:hint="eastAsia"/>
                <w:color w:val="auto"/>
                <w:sz w:val="21"/>
                <w:szCs w:val="21"/>
                <w:highlight w:val="none"/>
              </w:rPr>
              <w:t>项，得1分。其他情况不得分。体系认证证书指：质量管理体系认证证书</w:t>
            </w:r>
            <w:r>
              <w:rPr>
                <w:rFonts w:hint="eastAsia"/>
                <w:color w:val="auto"/>
                <w:sz w:val="21"/>
                <w:szCs w:val="21"/>
                <w:highlight w:val="none"/>
                <w:lang w:eastAsia="zh-CN"/>
              </w:rPr>
              <w:t>、</w:t>
            </w:r>
            <w:r>
              <w:rPr>
                <w:rFonts w:hint="eastAsia"/>
                <w:color w:val="auto"/>
                <w:sz w:val="21"/>
                <w:szCs w:val="21"/>
                <w:highlight w:val="none"/>
              </w:rPr>
              <w:t>环境管理体系认证证书、职业健康安全管理体系认证证书</w:t>
            </w:r>
            <w:r>
              <w:rPr>
                <w:rFonts w:hint="eastAsia"/>
                <w:color w:val="auto"/>
                <w:sz w:val="21"/>
                <w:szCs w:val="21"/>
                <w:highlight w:val="none"/>
                <w:lang w:eastAsia="zh-CN"/>
              </w:rPr>
              <w:t>、</w:t>
            </w:r>
            <w:r>
              <w:rPr>
                <w:rFonts w:hint="eastAsia"/>
                <w:color w:val="auto"/>
                <w:sz w:val="21"/>
                <w:szCs w:val="21"/>
                <w:highlight w:val="none"/>
              </w:rPr>
              <w:t>服务质量评价体系认证证书、工程质量评价体系认证证书、工程施工安全标准化体系认证证书、履约能力评价体系认证证书。</w:t>
            </w:r>
          </w:p>
          <w:p>
            <w:pPr>
              <w:pStyle w:val="618"/>
              <w:shd w:val="clear" w:color="auto" w:fill="auto"/>
              <w:snapToGrid w:val="0"/>
              <w:spacing w:line="240" w:lineRule="auto"/>
              <w:rPr>
                <w:rFonts w:hint="eastAsia" w:ascii="宋体" w:hAnsi="宋体" w:eastAsia="宋体" w:cs="宋体"/>
                <w:color w:val="auto"/>
                <w:kern w:val="2"/>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6"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pStyle w:val="618"/>
              <w:shd w:val="clear" w:color="auto" w:fill="auto"/>
              <w:snapToGrid w:val="0"/>
              <w:spacing w:line="360" w:lineRule="auto"/>
              <w:jc w:val="center"/>
              <w:rPr>
                <w:color w:val="auto"/>
                <w:sz w:val="21"/>
                <w:szCs w:val="21"/>
                <w:highlight w:val="none"/>
              </w:rPr>
            </w:pPr>
            <w:r>
              <w:rPr>
                <w:rFonts w:hint="eastAsia"/>
                <w:color w:val="auto"/>
                <w:sz w:val="21"/>
                <w:szCs w:val="21"/>
                <w:highlight w:val="none"/>
              </w:rPr>
              <w:t>工程研发能力</w:t>
            </w:r>
          </w:p>
        </w:tc>
        <w:tc>
          <w:tcPr>
            <w:tcW w:w="567" w:type="dxa"/>
            <w:shd w:val="clear" w:color="auto" w:fill="FFFFFF"/>
            <w:vAlign w:val="center"/>
          </w:tcPr>
          <w:p>
            <w:pPr>
              <w:pStyle w:val="51"/>
              <w:widowControl w:val="0"/>
              <w:adjustRightInd w:val="0"/>
              <w:snapToGrid w:val="0"/>
              <w:spacing w:before="0" w:beforeAutospacing="0" w:after="0" w:afterAutospacing="0"/>
              <w:jc w:val="center"/>
              <w:rPr>
                <w:rFonts w:eastAsia="PMingLiU"/>
                <w:color w:val="auto"/>
                <w:sz w:val="21"/>
                <w:szCs w:val="21"/>
                <w:highlight w:val="none"/>
                <w:lang w:eastAsia="zh-TW"/>
              </w:rPr>
            </w:pPr>
            <w:r>
              <w:rPr>
                <w:rFonts w:eastAsia="PMingLiU"/>
                <w:color w:val="auto"/>
                <w:sz w:val="21"/>
                <w:szCs w:val="21"/>
                <w:highlight w:val="none"/>
                <w:lang w:eastAsia="zh-TW"/>
              </w:rPr>
              <w:t>9</w:t>
            </w:r>
          </w:p>
        </w:tc>
        <w:tc>
          <w:tcPr>
            <w:tcW w:w="11896" w:type="dxa"/>
            <w:shd w:val="clear" w:color="auto" w:fill="FFFFFF"/>
            <w:vAlign w:val="center"/>
          </w:tcPr>
          <w:p>
            <w:pPr>
              <w:pStyle w:val="618"/>
              <w:shd w:val="clear" w:color="auto" w:fill="auto"/>
              <w:snapToGrid w:val="0"/>
              <w:spacing w:line="240" w:lineRule="auto"/>
              <w:rPr>
                <w:rFonts w:hint="default" w:eastAsia="宋体"/>
                <w:color w:val="auto"/>
                <w:sz w:val="21"/>
                <w:szCs w:val="21"/>
                <w:highlight w:val="none"/>
                <w:lang w:val="en-US" w:eastAsia="zh-CN"/>
              </w:rPr>
            </w:pPr>
            <w:r>
              <w:rPr>
                <w:rFonts w:hint="eastAsia"/>
                <w:color w:val="auto"/>
                <w:sz w:val="21"/>
                <w:szCs w:val="21"/>
                <w:highlight w:val="none"/>
              </w:rPr>
              <w:t>投标人自2020年1月1日至今（以证书颁发时间为准）获得国家</w:t>
            </w:r>
            <w:r>
              <w:rPr>
                <w:rFonts w:hint="eastAsia"/>
                <w:color w:val="auto"/>
                <w:sz w:val="21"/>
                <w:szCs w:val="21"/>
                <w:highlight w:val="none"/>
                <w:lang w:eastAsia="zh-CN"/>
              </w:rPr>
              <w:t>级</w:t>
            </w:r>
            <w:r>
              <w:rPr>
                <w:rFonts w:hint="eastAsia"/>
                <w:color w:val="auto"/>
                <w:sz w:val="21"/>
                <w:szCs w:val="21"/>
                <w:highlight w:val="none"/>
              </w:rPr>
              <w:t>市政工程科学技术奖</w:t>
            </w:r>
            <w:r>
              <w:rPr>
                <w:rFonts w:hint="eastAsia"/>
                <w:color w:val="auto"/>
                <w:sz w:val="21"/>
                <w:szCs w:val="21"/>
                <w:highlight w:val="none"/>
                <w:lang w:eastAsia="zh-CN"/>
              </w:rPr>
              <w:t>，</w:t>
            </w:r>
            <w:r>
              <w:rPr>
                <w:rFonts w:hint="eastAsia"/>
                <w:color w:val="auto"/>
                <w:sz w:val="21"/>
                <w:szCs w:val="21"/>
                <w:highlight w:val="none"/>
              </w:rPr>
              <w:t>每项得</w:t>
            </w:r>
            <w:r>
              <w:rPr>
                <w:rFonts w:eastAsia="PMingLiU"/>
                <w:color w:val="auto"/>
                <w:sz w:val="21"/>
                <w:szCs w:val="21"/>
                <w:highlight w:val="none"/>
                <w:lang w:eastAsia="zh-TW"/>
              </w:rPr>
              <w:t>1.5</w:t>
            </w:r>
            <w:r>
              <w:rPr>
                <w:rFonts w:hint="eastAsia"/>
                <w:color w:val="auto"/>
                <w:sz w:val="21"/>
                <w:szCs w:val="21"/>
                <w:highlight w:val="none"/>
              </w:rPr>
              <w:t>分；</w:t>
            </w:r>
            <w:r>
              <w:rPr>
                <w:rFonts w:hint="eastAsia"/>
                <w:color w:val="auto"/>
                <w:sz w:val="21"/>
                <w:szCs w:val="21"/>
                <w:highlight w:val="none"/>
                <w:lang w:val="en-US" w:eastAsia="zh-CN"/>
              </w:rPr>
              <w:t>本项最高得9分；</w:t>
            </w:r>
          </w:p>
          <w:p>
            <w:pPr>
              <w:pStyle w:val="618"/>
              <w:shd w:val="clear" w:color="auto" w:fill="auto"/>
              <w:snapToGrid w:val="0"/>
              <w:spacing w:line="240" w:lineRule="auto"/>
              <w:rPr>
                <w:rFonts w:hint="eastAsia" w:eastAsia="宋体"/>
                <w:color w:val="auto"/>
                <w:sz w:val="21"/>
                <w:szCs w:val="21"/>
                <w:highlight w:val="none"/>
                <w:lang w:eastAsia="zh-CN"/>
              </w:rPr>
            </w:pPr>
            <w:r>
              <w:rPr>
                <w:rFonts w:hint="eastAsia"/>
                <w:color w:val="auto"/>
                <w:sz w:val="21"/>
                <w:szCs w:val="21"/>
                <w:highlight w:val="none"/>
              </w:rPr>
              <w:t>投标人自2020年1月1日至今（以证书颁发时间为准）获得省级市政工程科学技术奖</w:t>
            </w:r>
            <w:r>
              <w:rPr>
                <w:rFonts w:hint="eastAsia"/>
                <w:color w:val="auto"/>
                <w:sz w:val="21"/>
                <w:szCs w:val="21"/>
                <w:highlight w:val="none"/>
                <w:lang w:eastAsia="zh-CN"/>
              </w:rPr>
              <w:t>，</w:t>
            </w:r>
            <w:r>
              <w:rPr>
                <w:rFonts w:hint="eastAsia"/>
                <w:color w:val="auto"/>
                <w:sz w:val="21"/>
                <w:szCs w:val="21"/>
                <w:highlight w:val="none"/>
              </w:rPr>
              <w:t>每项得</w:t>
            </w:r>
            <w:r>
              <w:rPr>
                <w:rFonts w:eastAsia="PMingLiU"/>
                <w:color w:val="auto"/>
                <w:sz w:val="21"/>
                <w:szCs w:val="21"/>
                <w:highlight w:val="none"/>
                <w:lang w:eastAsia="zh-TW"/>
              </w:rPr>
              <w:t>0.5</w:t>
            </w:r>
            <w:r>
              <w:rPr>
                <w:rFonts w:hint="eastAsia"/>
                <w:color w:val="auto"/>
                <w:sz w:val="21"/>
                <w:szCs w:val="21"/>
                <w:highlight w:val="none"/>
              </w:rPr>
              <w:t>分</w:t>
            </w:r>
            <w:r>
              <w:rPr>
                <w:rFonts w:hint="eastAsia"/>
                <w:color w:val="auto"/>
                <w:sz w:val="21"/>
                <w:szCs w:val="21"/>
                <w:highlight w:val="none"/>
                <w:lang w:eastAsia="zh-CN"/>
              </w:rPr>
              <w:t>，</w:t>
            </w:r>
            <w:r>
              <w:rPr>
                <w:rFonts w:hint="eastAsia"/>
                <w:color w:val="auto"/>
                <w:sz w:val="21"/>
                <w:szCs w:val="21"/>
                <w:highlight w:val="none"/>
                <w:lang w:val="en-US" w:eastAsia="zh-CN"/>
              </w:rPr>
              <w:t>获得过</w:t>
            </w:r>
            <w:r>
              <w:rPr>
                <w:rFonts w:hint="eastAsia"/>
                <w:color w:val="auto"/>
                <w:sz w:val="21"/>
                <w:szCs w:val="21"/>
                <w:highlight w:val="none"/>
              </w:rPr>
              <w:t>市级市政工程科学技术奖</w:t>
            </w:r>
            <w:r>
              <w:rPr>
                <w:rFonts w:hint="eastAsia"/>
                <w:color w:val="auto"/>
                <w:sz w:val="21"/>
                <w:szCs w:val="21"/>
                <w:highlight w:val="none"/>
                <w:lang w:eastAsia="zh-CN"/>
              </w:rPr>
              <w:t>，</w:t>
            </w:r>
            <w:r>
              <w:rPr>
                <w:rFonts w:hint="eastAsia"/>
                <w:color w:val="auto"/>
                <w:sz w:val="21"/>
                <w:szCs w:val="21"/>
                <w:highlight w:val="none"/>
                <w:lang w:val="en-US" w:eastAsia="zh-CN"/>
              </w:rPr>
              <w:t>每项得0.25分</w:t>
            </w:r>
            <w:r>
              <w:rPr>
                <w:rFonts w:hint="eastAsia"/>
                <w:color w:val="auto"/>
                <w:sz w:val="21"/>
                <w:szCs w:val="21"/>
                <w:highlight w:val="none"/>
                <w:lang w:eastAsia="zh-CN"/>
              </w:rPr>
              <w:t>；</w:t>
            </w:r>
            <w:r>
              <w:rPr>
                <w:rFonts w:hint="eastAsia"/>
                <w:color w:val="auto"/>
                <w:sz w:val="21"/>
                <w:szCs w:val="21"/>
                <w:highlight w:val="none"/>
              </w:rPr>
              <w:t>省级市政工程科学技术奖</w:t>
            </w:r>
            <w:r>
              <w:rPr>
                <w:rFonts w:hint="eastAsia"/>
                <w:color w:val="auto"/>
                <w:sz w:val="21"/>
                <w:szCs w:val="21"/>
                <w:highlight w:val="none"/>
                <w:lang w:val="en-US" w:eastAsia="zh-CN"/>
              </w:rPr>
              <w:t>和</w:t>
            </w:r>
            <w:r>
              <w:rPr>
                <w:rFonts w:hint="eastAsia"/>
                <w:color w:val="auto"/>
                <w:sz w:val="21"/>
                <w:szCs w:val="21"/>
                <w:highlight w:val="none"/>
              </w:rPr>
              <w:t>市级市政工程科学技术奖</w:t>
            </w:r>
            <w:r>
              <w:rPr>
                <w:rFonts w:hint="eastAsia"/>
                <w:color w:val="auto"/>
                <w:sz w:val="21"/>
                <w:szCs w:val="21"/>
                <w:highlight w:val="none"/>
                <w:lang w:val="en-US" w:eastAsia="zh-CN"/>
              </w:rPr>
              <w:t>得分累计最高得4分；</w:t>
            </w:r>
          </w:p>
          <w:p>
            <w:pPr>
              <w:spacing w:line="240" w:lineRule="auto"/>
              <w:rPr>
                <w:color w:val="auto"/>
                <w:szCs w:val="21"/>
                <w:highlight w:val="none"/>
              </w:rPr>
            </w:pPr>
            <w:r>
              <w:rPr>
                <w:rFonts w:hint="eastAsia"/>
                <w:color w:val="auto"/>
                <w:szCs w:val="21"/>
                <w:highlight w:val="none"/>
              </w:rPr>
              <w:t>本项</w:t>
            </w:r>
            <w:r>
              <w:rPr>
                <w:rFonts w:hint="eastAsia"/>
                <w:color w:val="auto"/>
                <w:szCs w:val="21"/>
                <w:highlight w:val="none"/>
                <w:lang w:eastAsia="zh-CN"/>
              </w:rPr>
              <w:t>合计</w:t>
            </w:r>
            <w:r>
              <w:rPr>
                <w:rFonts w:hint="eastAsia"/>
                <w:color w:val="auto"/>
                <w:szCs w:val="21"/>
                <w:highlight w:val="none"/>
                <w:lang w:val="en-US" w:eastAsia="zh-CN"/>
              </w:rPr>
              <w:t>最高</w:t>
            </w:r>
            <w:r>
              <w:rPr>
                <w:rFonts w:hint="eastAsia"/>
                <w:color w:val="auto"/>
                <w:szCs w:val="21"/>
                <w:highlight w:val="none"/>
              </w:rPr>
              <w:t>得</w:t>
            </w:r>
            <w:r>
              <w:rPr>
                <w:rFonts w:eastAsia="PMingLiU"/>
                <w:color w:val="auto"/>
                <w:szCs w:val="21"/>
                <w:highlight w:val="none"/>
                <w:lang w:eastAsia="zh-TW"/>
              </w:rPr>
              <w:t>9</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2" w:hRule="atLeast"/>
          <w:jc w:val="center"/>
        </w:trPr>
        <w:tc>
          <w:tcPr>
            <w:tcW w:w="1251" w:type="dxa"/>
            <w:vMerge w:val="restart"/>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二、项目管理机构能力</w:t>
            </w:r>
          </w:p>
          <w:p>
            <w:pPr>
              <w:pStyle w:val="31"/>
              <w:jc w:val="center"/>
              <w:rPr>
                <w:color w:val="auto"/>
                <w:highlight w:val="none"/>
              </w:rPr>
            </w:pPr>
            <w:r>
              <w:rPr>
                <w:rFonts w:hint="eastAsia" w:hAnsi="宋体" w:cs="宋体"/>
                <w:color w:val="auto"/>
                <w:highlight w:val="none"/>
              </w:rPr>
              <w:t>（70分）</w:t>
            </w:r>
          </w:p>
        </w:tc>
        <w:tc>
          <w:tcPr>
            <w:tcW w:w="1655" w:type="dxa"/>
            <w:shd w:val="clear" w:color="auto" w:fill="FFFFFF"/>
            <w:vAlign w:val="center"/>
          </w:tcPr>
          <w:p>
            <w:pPr>
              <w:spacing w:line="360" w:lineRule="auto"/>
              <w:jc w:val="center"/>
              <w:rPr>
                <w:rFonts w:ascii="宋体" w:hAnsi="宋体" w:cstheme="minorBidi"/>
                <w:color w:val="auto"/>
                <w:szCs w:val="21"/>
                <w:highlight w:val="none"/>
              </w:rPr>
            </w:pPr>
            <w:r>
              <w:rPr>
                <w:rFonts w:hint="eastAsia" w:ascii="宋体" w:hAnsi="宋体"/>
                <w:color w:val="auto"/>
                <w:szCs w:val="21"/>
                <w:highlight w:val="none"/>
              </w:rPr>
              <w:t>技术</w:t>
            </w:r>
            <w:r>
              <w:rPr>
                <w:rFonts w:ascii="宋体" w:hAnsi="宋体"/>
                <w:color w:val="auto"/>
                <w:szCs w:val="21"/>
                <w:highlight w:val="none"/>
              </w:rPr>
              <w:t>负责</w:t>
            </w:r>
            <w:r>
              <w:rPr>
                <w:rFonts w:hint="eastAsia" w:ascii="宋体" w:hAnsi="宋体"/>
                <w:color w:val="auto"/>
                <w:szCs w:val="21"/>
                <w:highlight w:val="none"/>
              </w:rPr>
              <w:t>人</w:t>
            </w:r>
          </w:p>
        </w:tc>
        <w:tc>
          <w:tcPr>
            <w:tcW w:w="567" w:type="dxa"/>
            <w:shd w:val="clear" w:color="auto" w:fill="FFFFFF"/>
            <w:vAlign w:val="center"/>
          </w:tcPr>
          <w:p>
            <w:pPr>
              <w:spacing w:line="360" w:lineRule="auto"/>
              <w:jc w:val="center"/>
              <w:rPr>
                <w:rFonts w:ascii="宋体" w:hAnsi="宋体" w:cstheme="minorBidi"/>
                <w:bCs/>
                <w:color w:val="auto"/>
                <w:szCs w:val="21"/>
                <w:highlight w:val="none"/>
              </w:rPr>
            </w:pPr>
            <w:r>
              <w:rPr>
                <w:rFonts w:hint="eastAsia" w:ascii="宋体" w:hAnsi="宋体"/>
                <w:bCs/>
                <w:color w:val="auto"/>
                <w:szCs w:val="21"/>
                <w:highlight w:val="none"/>
              </w:rPr>
              <w:t>10</w:t>
            </w:r>
          </w:p>
        </w:tc>
        <w:tc>
          <w:tcPr>
            <w:tcW w:w="11896" w:type="dxa"/>
            <w:shd w:val="clear" w:color="auto" w:fill="FFFFFF"/>
            <w:vAlign w:val="center"/>
          </w:tcPr>
          <w:p>
            <w:pPr>
              <w:spacing w:line="360" w:lineRule="auto"/>
              <w:rPr>
                <w:rFonts w:ascii="宋体" w:hAnsi="宋体" w:cstheme="minorBidi"/>
                <w:color w:val="auto"/>
                <w:szCs w:val="21"/>
                <w:highlight w:val="none"/>
              </w:rPr>
            </w:pPr>
            <w:r>
              <w:rPr>
                <w:rFonts w:hint="eastAsia" w:ascii="宋体" w:hAnsi="宋体"/>
                <w:color w:val="auto"/>
                <w:szCs w:val="21"/>
                <w:highlight w:val="none"/>
              </w:rPr>
              <w:t>从业能力：拟委派的技术负责人</w:t>
            </w:r>
            <w:r>
              <w:rPr>
                <w:rFonts w:hint="eastAsia" w:ascii="宋体" w:hAnsi="宋体"/>
                <w:color w:val="auto"/>
                <w:szCs w:val="21"/>
                <w:highlight w:val="none"/>
                <w:lang w:val="zh-CN"/>
              </w:rPr>
              <w:t>从业经历在</w:t>
            </w:r>
            <w:r>
              <w:rPr>
                <w:rFonts w:hint="eastAsia" w:ascii="宋体" w:hAnsi="宋体"/>
                <w:color w:val="auto"/>
                <w:szCs w:val="21"/>
                <w:highlight w:val="none"/>
                <w:lang w:val="en-US" w:eastAsia="zh-CN"/>
              </w:rPr>
              <w:t>10</w:t>
            </w:r>
            <w:r>
              <w:rPr>
                <w:rFonts w:hint="eastAsia" w:ascii="宋体" w:hAnsi="宋体"/>
                <w:color w:val="auto"/>
                <w:szCs w:val="21"/>
                <w:highlight w:val="none"/>
                <w:lang w:val="zh-CN"/>
              </w:rPr>
              <w:t>年或以上</w:t>
            </w:r>
            <w:r>
              <w:rPr>
                <w:rFonts w:hint="eastAsia" w:ascii="宋体" w:hAnsi="宋体"/>
                <w:color w:val="auto"/>
                <w:szCs w:val="21"/>
                <w:highlight w:val="none"/>
              </w:rPr>
              <w:t>的，得10分；拟委派的技术负责人</w:t>
            </w:r>
            <w:r>
              <w:rPr>
                <w:rFonts w:hint="eastAsia" w:ascii="宋体" w:hAnsi="宋体"/>
                <w:color w:val="auto"/>
                <w:szCs w:val="21"/>
                <w:highlight w:val="none"/>
                <w:lang w:val="zh-CN"/>
              </w:rPr>
              <w:t>从业经历在</w:t>
            </w:r>
            <w:r>
              <w:rPr>
                <w:rFonts w:hint="eastAsia" w:ascii="宋体" w:hAnsi="宋体"/>
                <w:color w:val="auto"/>
                <w:szCs w:val="21"/>
                <w:highlight w:val="none"/>
                <w:lang w:val="en-US" w:eastAsia="zh-CN"/>
              </w:rPr>
              <w:t>5</w:t>
            </w:r>
            <w:r>
              <w:rPr>
                <w:rFonts w:hint="eastAsia" w:ascii="宋体" w:hAnsi="宋体"/>
                <w:color w:val="auto"/>
                <w:szCs w:val="21"/>
                <w:highlight w:val="none"/>
                <w:lang w:val="zh-CN"/>
              </w:rPr>
              <w:t>年或以上</w:t>
            </w:r>
            <w:r>
              <w:rPr>
                <w:rFonts w:hint="eastAsia" w:ascii="宋体" w:hAnsi="宋体"/>
                <w:color w:val="auto"/>
                <w:szCs w:val="21"/>
                <w:highlight w:val="none"/>
              </w:rPr>
              <w:t>的，得</w:t>
            </w:r>
            <w:r>
              <w:rPr>
                <w:rFonts w:ascii="宋体" w:hAnsi="宋体"/>
                <w:color w:val="auto"/>
                <w:szCs w:val="21"/>
                <w:highlight w:val="none"/>
              </w:rPr>
              <w:t>5</w:t>
            </w:r>
            <w:r>
              <w:rPr>
                <w:rFonts w:hint="eastAsia" w:ascii="宋体" w:hAnsi="宋体"/>
                <w:color w:val="auto"/>
                <w:szCs w:val="21"/>
                <w:highlight w:val="none"/>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spacing w:line="360" w:lineRule="auto"/>
              <w:jc w:val="center"/>
              <w:rPr>
                <w:rFonts w:ascii="宋体" w:hAnsi="宋体" w:cstheme="minorBidi"/>
                <w:color w:val="auto"/>
                <w:szCs w:val="21"/>
                <w:highlight w:val="none"/>
              </w:rPr>
            </w:pPr>
            <w:r>
              <w:rPr>
                <w:rFonts w:hint="eastAsia" w:ascii="宋体" w:hAnsi="宋体"/>
                <w:color w:val="auto"/>
                <w:szCs w:val="21"/>
                <w:highlight w:val="none"/>
              </w:rPr>
              <w:t>质量负责人</w:t>
            </w:r>
          </w:p>
        </w:tc>
        <w:tc>
          <w:tcPr>
            <w:tcW w:w="567" w:type="dxa"/>
            <w:shd w:val="clear" w:color="auto" w:fill="FFFFFF"/>
            <w:vAlign w:val="center"/>
          </w:tcPr>
          <w:p>
            <w:pPr>
              <w:spacing w:line="360" w:lineRule="auto"/>
              <w:jc w:val="center"/>
              <w:rPr>
                <w:rFonts w:hint="default" w:ascii="宋体" w:hAnsi="宋体" w:eastAsia="宋体" w:cstheme="minorBidi"/>
                <w:bCs/>
                <w:color w:val="auto"/>
                <w:szCs w:val="21"/>
                <w:highlight w:val="none"/>
                <w:lang w:val="en-US" w:eastAsia="zh-CN"/>
              </w:rPr>
            </w:pPr>
            <w:r>
              <w:rPr>
                <w:rFonts w:hint="eastAsia" w:ascii="宋体" w:hAnsi="宋体"/>
                <w:bCs/>
                <w:color w:val="auto"/>
                <w:szCs w:val="21"/>
                <w:highlight w:val="none"/>
                <w:lang w:val="en-US" w:eastAsia="zh-CN"/>
              </w:rPr>
              <w:t>10</w:t>
            </w:r>
          </w:p>
        </w:tc>
        <w:tc>
          <w:tcPr>
            <w:tcW w:w="11896" w:type="dxa"/>
            <w:shd w:val="clear" w:color="auto" w:fill="FFFFFF"/>
            <w:vAlign w:val="center"/>
          </w:tcPr>
          <w:p>
            <w:pPr>
              <w:spacing w:line="360" w:lineRule="auto"/>
              <w:rPr>
                <w:rFonts w:ascii="宋体" w:hAnsi="宋体" w:cstheme="minorBidi"/>
                <w:color w:val="auto"/>
                <w:szCs w:val="21"/>
                <w:highlight w:val="none"/>
              </w:rPr>
            </w:pPr>
            <w:r>
              <w:rPr>
                <w:rFonts w:hint="eastAsia" w:ascii="宋体" w:hAnsi="宋体"/>
                <w:color w:val="auto"/>
                <w:szCs w:val="21"/>
                <w:highlight w:val="none"/>
              </w:rPr>
              <w:t>从业能力：拟委派的质量负责人具有市政工程类高级（或以上）工程师职称资格的，得</w:t>
            </w:r>
            <w:r>
              <w:rPr>
                <w:rFonts w:hint="eastAsia" w:ascii="宋体" w:hAnsi="宋体"/>
                <w:color w:val="auto"/>
                <w:szCs w:val="21"/>
                <w:highlight w:val="none"/>
                <w:lang w:val="en-US" w:eastAsia="zh-CN"/>
              </w:rPr>
              <w:t>10</w:t>
            </w:r>
            <w:r>
              <w:rPr>
                <w:rFonts w:hint="eastAsia" w:ascii="宋体" w:hAnsi="宋体"/>
                <w:color w:val="auto"/>
                <w:szCs w:val="21"/>
                <w:highlight w:val="none"/>
              </w:rPr>
              <w:t>分；拟委派的质量负责人具有市政工程类中级工程师职称资格的，得</w:t>
            </w:r>
            <w:r>
              <w:rPr>
                <w:rFonts w:hint="eastAsia" w:ascii="宋体" w:hAnsi="宋体"/>
                <w:color w:val="auto"/>
                <w:szCs w:val="21"/>
                <w:highlight w:val="none"/>
                <w:lang w:val="en-US" w:eastAsia="zh-CN"/>
              </w:rPr>
              <w:t>5</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spacing w:line="360" w:lineRule="auto"/>
              <w:jc w:val="center"/>
              <w:rPr>
                <w:rFonts w:ascii="宋体" w:hAnsi="宋体" w:cstheme="minorBidi"/>
                <w:color w:val="auto"/>
                <w:szCs w:val="21"/>
                <w:highlight w:val="none"/>
              </w:rPr>
            </w:pPr>
            <w:r>
              <w:rPr>
                <w:rFonts w:hint="eastAsia" w:ascii="宋体" w:hAnsi="宋体"/>
                <w:color w:val="auto"/>
                <w:szCs w:val="21"/>
                <w:highlight w:val="none"/>
              </w:rPr>
              <w:t>安全负责人</w:t>
            </w:r>
          </w:p>
        </w:tc>
        <w:tc>
          <w:tcPr>
            <w:tcW w:w="567" w:type="dxa"/>
            <w:shd w:val="clear" w:color="auto" w:fill="FFFFFF"/>
            <w:vAlign w:val="center"/>
          </w:tcPr>
          <w:p>
            <w:pPr>
              <w:spacing w:line="360" w:lineRule="auto"/>
              <w:jc w:val="center"/>
              <w:rPr>
                <w:rFonts w:hint="default" w:ascii="宋体" w:hAnsi="宋体" w:eastAsia="宋体" w:cstheme="minorBidi"/>
                <w:bCs/>
                <w:color w:val="auto"/>
                <w:szCs w:val="21"/>
                <w:highlight w:val="none"/>
                <w:lang w:val="en-US" w:eastAsia="zh-CN"/>
              </w:rPr>
            </w:pPr>
            <w:r>
              <w:rPr>
                <w:rFonts w:hint="eastAsia" w:ascii="宋体" w:hAnsi="宋体"/>
                <w:bCs/>
                <w:color w:val="auto"/>
                <w:szCs w:val="21"/>
                <w:highlight w:val="none"/>
                <w:lang w:val="en-US" w:eastAsia="zh-CN"/>
              </w:rPr>
              <w:t>10</w:t>
            </w:r>
          </w:p>
        </w:tc>
        <w:tc>
          <w:tcPr>
            <w:tcW w:w="11896" w:type="dxa"/>
            <w:shd w:val="clear" w:color="auto" w:fill="FFFFFF"/>
            <w:vAlign w:val="center"/>
          </w:tcPr>
          <w:p>
            <w:pPr>
              <w:spacing w:line="360" w:lineRule="auto"/>
              <w:rPr>
                <w:rFonts w:ascii="宋体" w:hAnsi="宋体" w:cstheme="minorBidi"/>
                <w:color w:val="auto"/>
                <w:szCs w:val="21"/>
                <w:highlight w:val="none"/>
              </w:rPr>
            </w:pPr>
            <w:r>
              <w:rPr>
                <w:rFonts w:hint="eastAsia" w:ascii="宋体" w:hAnsi="宋体"/>
                <w:color w:val="auto"/>
                <w:szCs w:val="21"/>
                <w:highlight w:val="none"/>
              </w:rPr>
              <w:t>从业能力：拟委派的安全负责人具备注册安全工程师，且同时具备工程类高级（或以上）工程师职称资格的，得</w:t>
            </w:r>
            <w:r>
              <w:rPr>
                <w:rFonts w:hint="eastAsia" w:ascii="宋体" w:hAnsi="宋体"/>
                <w:color w:val="auto"/>
                <w:szCs w:val="21"/>
                <w:highlight w:val="none"/>
                <w:lang w:val="en-US" w:eastAsia="zh-CN"/>
              </w:rPr>
              <w:t>10</w:t>
            </w:r>
            <w:r>
              <w:rPr>
                <w:rFonts w:hint="eastAsia" w:ascii="宋体" w:hAnsi="宋体"/>
                <w:color w:val="auto"/>
                <w:szCs w:val="21"/>
                <w:highlight w:val="none"/>
              </w:rPr>
              <w:t>分；拟委派的安全负责人具备注册安全工程师，且同时具备工程类中级工程师职称资格的，得</w:t>
            </w:r>
            <w:r>
              <w:rPr>
                <w:rFonts w:hint="eastAsia" w:ascii="宋体" w:hAnsi="宋体"/>
                <w:color w:val="auto"/>
                <w:szCs w:val="21"/>
                <w:highlight w:val="none"/>
                <w:lang w:val="en-US" w:eastAsia="zh-CN"/>
              </w:rPr>
              <w:t>5</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spacing w:line="360" w:lineRule="auto"/>
              <w:jc w:val="center"/>
              <w:rPr>
                <w:rFonts w:ascii="宋体" w:hAnsi="宋体" w:cstheme="minorBidi"/>
                <w:color w:val="auto"/>
                <w:szCs w:val="21"/>
                <w:highlight w:val="none"/>
              </w:rPr>
            </w:pPr>
            <w:r>
              <w:rPr>
                <w:rFonts w:hint="eastAsia" w:ascii="宋体" w:hAnsi="宋体"/>
                <w:color w:val="auto"/>
                <w:szCs w:val="21"/>
                <w:highlight w:val="none"/>
              </w:rPr>
              <w:t>造价负责人</w:t>
            </w:r>
          </w:p>
        </w:tc>
        <w:tc>
          <w:tcPr>
            <w:tcW w:w="567" w:type="dxa"/>
            <w:shd w:val="clear" w:color="auto" w:fill="FFFFFF"/>
            <w:vAlign w:val="center"/>
          </w:tcPr>
          <w:p>
            <w:pPr>
              <w:spacing w:line="360" w:lineRule="auto"/>
              <w:jc w:val="center"/>
              <w:rPr>
                <w:rFonts w:ascii="宋体" w:hAnsi="宋体" w:cstheme="minorBidi"/>
                <w:color w:val="auto"/>
                <w:szCs w:val="21"/>
                <w:highlight w:val="none"/>
              </w:rPr>
            </w:pPr>
            <w:r>
              <w:rPr>
                <w:rFonts w:hint="eastAsia" w:ascii="宋体" w:hAnsi="宋体" w:cstheme="minorBidi"/>
                <w:color w:val="auto"/>
                <w:szCs w:val="21"/>
                <w:highlight w:val="none"/>
              </w:rPr>
              <w:t>10</w:t>
            </w:r>
          </w:p>
        </w:tc>
        <w:tc>
          <w:tcPr>
            <w:tcW w:w="11896" w:type="dxa"/>
            <w:shd w:val="clear" w:color="auto" w:fill="FFFFFF"/>
            <w:vAlign w:val="center"/>
          </w:tcPr>
          <w:p>
            <w:pPr>
              <w:pStyle w:val="31"/>
              <w:spacing w:line="360" w:lineRule="auto"/>
              <w:rPr>
                <w:rFonts w:hAnsi="宋体"/>
                <w:color w:val="auto"/>
                <w:szCs w:val="21"/>
                <w:highlight w:val="none"/>
              </w:rPr>
            </w:pPr>
            <w:r>
              <w:rPr>
                <w:rFonts w:hint="eastAsia" w:hAnsi="宋体"/>
                <w:color w:val="auto"/>
                <w:szCs w:val="21"/>
                <w:highlight w:val="none"/>
              </w:rPr>
              <w:t>从业能力：拟委派的造价负责人具备一级注册造价工程师资格，且同时具备工程造价专业高级（或以上）工程师职称资格，得10分；拟委派的造价负责人具备一级注册造价工程师资格，且同时具备工程造价专业中级工程师职称资格的，得5分</w:t>
            </w:r>
            <w:r>
              <w:rPr>
                <w:rFonts w:hint="eastAsia" w:hAnsi="宋体"/>
                <w:color w:val="auto"/>
                <w:szCs w:val="21"/>
                <w:highlight w:val="none"/>
                <w:lang w:eastAsia="zh-CN"/>
              </w:rPr>
              <w:t>；</w:t>
            </w:r>
            <w:r>
              <w:rPr>
                <w:rFonts w:hint="eastAsia" w:hAnsi="宋体"/>
                <w:color w:val="auto"/>
                <w:szCs w:val="21"/>
                <w:highlight w:val="none"/>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0"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spacing w:line="360" w:lineRule="auto"/>
              <w:jc w:val="center"/>
              <w:rPr>
                <w:rFonts w:ascii="宋体" w:hAnsi="宋体" w:cstheme="minorBidi"/>
                <w:color w:val="auto"/>
                <w:szCs w:val="21"/>
                <w:highlight w:val="none"/>
              </w:rPr>
            </w:pPr>
            <w:r>
              <w:rPr>
                <w:rFonts w:hint="eastAsia" w:ascii="宋体" w:hAnsi="宋体" w:cs="宋体"/>
                <w:color w:val="auto"/>
                <w:kern w:val="0"/>
                <w:szCs w:val="21"/>
                <w:highlight w:val="none"/>
              </w:rPr>
              <w:t>其他专业负责人</w:t>
            </w:r>
          </w:p>
        </w:tc>
        <w:tc>
          <w:tcPr>
            <w:tcW w:w="567" w:type="dxa"/>
            <w:shd w:val="clear" w:color="auto" w:fill="FFFFFF"/>
            <w:vAlign w:val="center"/>
          </w:tcPr>
          <w:p>
            <w:pPr>
              <w:spacing w:line="360" w:lineRule="auto"/>
              <w:jc w:val="center"/>
              <w:rPr>
                <w:rFonts w:hint="eastAsia" w:ascii="宋体" w:hAnsi="宋体" w:eastAsia="宋体" w:cstheme="minorBidi"/>
                <w:color w:val="auto"/>
                <w:szCs w:val="21"/>
                <w:highlight w:val="none"/>
                <w:lang w:eastAsia="zh-CN"/>
              </w:rPr>
            </w:pPr>
            <w:r>
              <w:rPr>
                <w:rFonts w:hint="eastAsia" w:ascii="宋体" w:hAnsi="宋体" w:cstheme="minorBidi"/>
                <w:color w:val="auto"/>
                <w:szCs w:val="21"/>
                <w:highlight w:val="none"/>
              </w:rPr>
              <w:t>3</w:t>
            </w:r>
            <w:r>
              <w:rPr>
                <w:rFonts w:hint="eastAsia" w:ascii="宋体" w:hAnsi="宋体" w:cstheme="minorBidi"/>
                <w:color w:val="auto"/>
                <w:szCs w:val="21"/>
                <w:highlight w:val="none"/>
                <w:lang w:val="en-US" w:eastAsia="zh-CN"/>
              </w:rPr>
              <w:t>0</w:t>
            </w:r>
          </w:p>
        </w:tc>
        <w:tc>
          <w:tcPr>
            <w:tcW w:w="11896" w:type="dxa"/>
            <w:shd w:val="clear" w:color="auto" w:fill="FFFFFF"/>
            <w:vAlign w:val="center"/>
          </w:tcPr>
          <w:p>
            <w:pPr>
              <w:pStyle w:val="31"/>
              <w:spacing w:line="360" w:lineRule="auto"/>
              <w:rPr>
                <w:rFonts w:hAnsi="宋体"/>
                <w:color w:val="auto"/>
                <w:szCs w:val="21"/>
                <w:highlight w:val="none"/>
              </w:rPr>
            </w:pPr>
            <w:r>
              <w:rPr>
                <w:rFonts w:hint="eastAsia" w:hAnsi="宋体"/>
                <w:color w:val="auto"/>
                <w:szCs w:val="21"/>
                <w:highlight w:val="none"/>
              </w:rPr>
              <w:t>投标人拟委派其他专业负责人：</w:t>
            </w:r>
          </w:p>
          <w:p>
            <w:pPr>
              <w:pStyle w:val="31"/>
              <w:spacing w:line="360" w:lineRule="auto"/>
              <w:rPr>
                <w:rFonts w:hAnsi="宋体"/>
                <w:color w:val="auto"/>
                <w:szCs w:val="21"/>
                <w:highlight w:val="none"/>
              </w:rPr>
            </w:pPr>
            <w:r>
              <w:rPr>
                <w:rFonts w:hint="eastAsia" w:hAnsi="宋体"/>
                <w:color w:val="auto"/>
                <w:szCs w:val="21"/>
                <w:highlight w:val="none"/>
              </w:rPr>
              <w:t>除技术负责人、质量负责人、安全负责人、造价负责人外，其他专业负责人配备完善：</w:t>
            </w:r>
          </w:p>
          <w:p>
            <w:pPr>
              <w:pStyle w:val="31"/>
              <w:spacing w:line="360" w:lineRule="auto"/>
              <w:rPr>
                <w:rFonts w:hAnsi="宋体"/>
                <w:color w:val="auto"/>
                <w:szCs w:val="21"/>
                <w:highlight w:val="none"/>
              </w:rPr>
            </w:pPr>
            <w:r>
              <w:rPr>
                <w:rFonts w:hint="eastAsia" w:hAnsi="宋体"/>
                <w:color w:val="auto"/>
                <w:szCs w:val="21"/>
                <w:highlight w:val="none"/>
              </w:rPr>
              <w:t>桥梁</w:t>
            </w:r>
            <w:r>
              <w:rPr>
                <w:rFonts w:hint="eastAsia" w:hAnsi="宋体"/>
                <w:color w:val="auto"/>
                <w:szCs w:val="21"/>
                <w:highlight w:val="none"/>
                <w:lang w:eastAsia="zh-CN"/>
              </w:rPr>
              <w:t>专业</w:t>
            </w:r>
            <w:r>
              <w:rPr>
                <w:rFonts w:hint="eastAsia" w:hAnsi="宋体"/>
                <w:color w:val="auto"/>
                <w:szCs w:val="21"/>
                <w:highlight w:val="none"/>
              </w:rPr>
              <w:t>高级（或以上）工程师</w:t>
            </w:r>
            <w:r>
              <w:rPr>
                <w:rFonts w:hint="eastAsia" w:hAnsi="宋体"/>
                <w:color w:val="auto"/>
                <w:szCs w:val="21"/>
                <w:highlight w:val="none"/>
                <w:lang w:val="en-US" w:eastAsia="zh-CN"/>
              </w:rPr>
              <w:t>1</w:t>
            </w:r>
            <w:r>
              <w:rPr>
                <w:rFonts w:hint="eastAsia" w:hAnsi="宋体"/>
                <w:color w:val="auto"/>
                <w:szCs w:val="21"/>
                <w:highlight w:val="none"/>
              </w:rPr>
              <w:t>人、测量专业高级（或以上）工程师1人、材料专业高级（或以上）工程师1人</w:t>
            </w:r>
            <w:r>
              <w:rPr>
                <w:rFonts w:hint="eastAsia" w:hAnsi="宋体"/>
                <w:color w:val="auto"/>
                <w:szCs w:val="21"/>
                <w:highlight w:val="none"/>
                <w:lang w:eastAsia="zh-CN"/>
              </w:rPr>
              <w:t>，前</w:t>
            </w:r>
            <w:r>
              <w:rPr>
                <w:rFonts w:hint="eastAsia" w:hAnsi="宋体"/>
                <w:color w:val="auto"/>
                <w:szCs w:val="21"/>
                <w:highlight w:val="none"/>
              </w:rPr>
              <w:t>述人员不得兼任，人员满足上述要求的，得3</w:t>
            </w:r>
            <w:r>
              <w:rPr>
                <w:rFonts w:hint="eastAsia" w:hAnsi="宋体"/>
                <w:color w:val="auto"/>
                <w:szCs w:val="21"/>
                <w:highlight w:val="none"/>
                <w:lang w:val="en-US" w:eastAsia="zh-CN"/>
              </w:rPr>
              <w:t>0</w:t>
            </w:r>
            <w:r>
              <w:rPr>
                <w:rFonts w:hint="eastAsia" w:hAnsi="宋体"/>
                <w:color w:val="auto"/>
                <w:szCs w:val="21"/>
                <w:highlight w:val="none"/>
              </w:rPr>
              <w:t>分，每少一人扣</w:t>
            </w:r>
            <w:r>
              <w:rPr>
                <w:rFonts w:hint="eastAsia" w:hAnsi="宋体"/>
                <w:color w:val="auto"/>
                <w:szCs w:val="21"/>
                <w:highlight w:val="none"/>
                <w:lang w:val="en-US" w:eastAsia="zh-CN"/>
              </w:rPr>
              <w:t>10</w:t>
            </w:r>
            <w:r>
              <w:rPr>
                <w:rFonts w:hint="eastAsia" w:hAnsi="宋体"/>
                <w:color w:val="auto"/>
                <w:szCs w:val="21"/>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5" w:hRule="atLeast"/>
          <w:jc w:val="center"/>
        </w:trPr>
        <w:tc>
          <w:tcPr>
            <w:tcW w:w="2906" w:type="dxa"/>
            <w:gridSpan w:val="2"/>
            <w:shd w:val="clear" w:color="auto" w:fill="FFFFFF"/>
            <w:vAlign w:val="center"/>
          </w:tcPr>
          <w:p>
            <w:pPr>
              <w:pStyle w:val="618"/>
              <w:shd w:val="clear" w:color="auto" w:fill="auto"/>
              <w:snapToGrid w:val="0"/>
              <w:spacing w:line="240" w:lineRule="auto"/>
              <w:jc w:val="center"/>
              <w:rPr>
                <w:color w:val="auto"/>
                <w:sz w:val="21"/>
                <w:szCs w:val="21"/>
                <w:highlight w:val="none"/>
              </w:rPr>
            </w:pPr>
            <w:r>
              <w:rPr>
                <w:rFonts w:hint="eastAsia"/>
                <w:color w:val="auto"/>
                <w:sz w:val="21"/>
                <w:szCs w:val="21"/>
                <w:highlight w:val="none"/>
              </w:rPr>
              <w:t>合计</w:t>
            </w:r>
          </w:p>
        </w:tc>
        <w:tc>
          <w:tcPr>
            <w:tcW w:w="567" w:type="dxa"/>
            <w:shd w:val="clear" w:color="auto" w:fill="FFFFFF"/>
            <w:vAlign w:val="center"/>
          </w:tcPr>
          <w:p>
            <w:pPr>
              <w:pStyle w:val="618"/>
              <w:shd w:val="clear" w:color="auto" w:fill="auto"/>
              <w:snapToGrid w:val="0"/>
              <w:spacing w:line="240" w:lineRule="auto"/>
              <w:jc w:val="center"/>
              <w:rPr>
                <w:color w:val="auto"/>
                <w:sz w:val="21"/>
                <w:szCs w:val="21"/>
                <w:highlight w:val="none"/>
              </w:rPr>
            </w:pPr>
            <w:r>
              <w:rPr>
                <w:rFonts w:hint="eastAsia"/>
                <w:color w:val="auto"/>
                <w:sz w:val="21"/>
                <w:szCs w:val="21"/>
                <w:highlight w:val="none"/>
              </w:rPr>
              <w:t>100</w:t>
            </w:r>
          </w:p>
        </w:tc>
        <w:tc>
          <w:tcPr>
            <w:tcW w:w="11896" w:type="dxa"/>
            <w:shd w:val="clear" w:color="auto" w:fill="FFFFFF"/>
            <w:vAlign w:val="center"/>
          </w:tcPr>
          <w:p>
            <w:pPr>
              <w:pStyle w:val="618"/>
              <w:shd w:val="clear" w:color="auto" w:fill="auto"/>
              <w:snapToGrid w:val="0"/>
              <w:spacing w:line="240" w:lineRule="auto"/>
              <w:rPr>
                <w:color w:val="auto"/>
                <w:sz w:val="21"/>
                <w:szCs w:val="21"/>
                <w:highlight w:val="none"/>
              </w:rPr>
            </w:pPr>
          </w:p>
        </w:tc>
      </w:tr>
    </w:tbl>
    <w:p>
      <w:pPr>
        <w:pStyle w:val="21"/>
        <w:spacing w:line="300" w:lineRule="exact"/>
        <w:ind w:firstLine="0" w:firstLineChars="0"/>
        <w:rPr>
          <w:rFonts w:cs="宋体"/>
          <w:color w:val="auto"/>
          <w:szCs w:val="21"/>
          <w:highlight w:val="none"/>
        </w:rPr>
      </w:pPr>
      <w:r>
        <w:rPr>
          <w:rFonts w:hint="eastAsia" w:cs="宋体"/>
          <w:color w:val="auto"/>
          <w:szCs w:val="21"/>
          <w:highlight w:val="none"/>
        </w:rPr>
        <w:t>备注：</w:t>
      </w:r>
    </w:p>
    <w:p>
      <w:pPr>
        <w:pStyle w:val="21"/>
        <w:spacing w:line="300" w:lineRule="exact"/>
        <w:ind w:firstLine="0" w:firstLineChars="0"/>
        <w:rPr>
          <w:rFonts w:cs="宋体"/>
          <w:b/>
          <w:color w:val="auto"/>
          <w:sz w:val="21"/>
          <w:szCs w:val="21"/>
          <w:highlight w:val="none"/>
        </w:rPr>
      </w:pPr>
      <w:r>
        <w:rPr>
          <w:rFonts w:hint="eastAsia" w:cs="宋体"/>
          <w:b/>
          <w:color w:val="auto"/>
          <w:sz w:val="21"/>
          <w:szCs w:val="21"/>
          <w:highlight w:val="none"/>
        </w:rPr>
        <w:t>1、企业业绩：</w:t>
      </w:r>
    </w:p>
    <w:p>
      <w:pPr>
        <w:adjustRightInd w:val="0"/>
        <w:snapToGrid w:val="0"/>
        <w:ind w:left="42" w:leftChars="20" w:right="42" w:rightChars="20"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投标人需提供以下资料：</w:t>
      </w:r>
    </w:p>
    <w:p>
      <w:pPr>
        <w:adjustRightInd w:val="0"/>
        <w:snapToGrid w:val="0"/>
        <w:ind w:left="42" w:leftChars="20" w:right="42" w:rightChars="20" w:firstLine="420"/>
        <w:rPr>
          <w:rFonts w:hint="eastAsia" w:hAnsi="宋体" w:cs="宋体"/>
          <w:color w:val="auto"/>
          <w:kern w:val="0"/>
          <w:szCs w:val="21"/>
          <w:highlight w:val="none"/>
          <w:lang w:val="en-US" w:eastAsia="zh-CN"/>
        </w:rPr>
      </w:pPr>
      <w:r>
        <w:rPr>
          <w:rFonts w:hint="eastAsia" w:hAnsi="宋体" w:cs="宋体"/>
          <w:color w:val="auto"/>
          <w:kern w:val="0"/>
          <w:szCs w:val="21"/>
          <w:highlight w:val="none"/>
          <w:lang w:val="en-US" w:eastAsia="zh-CN"/>
        </w:rPr>
        <w:t>1）提供业绩的中标通知书（或免招标证明）、施工合同或工程总承包合同（均不含补充合同，仅需附协议书部分）、竣工验收报告及其他补充（如需要）反映工程信息的相关证明材料扫描件。</w:t>
      </w:r>
    </w:p>
    <w:p>
      <w:pPr>
        <w:adjustRightInd w:val="0"/>
        <w:snapToGrid w:val="0"/>
        <w:ind w:left="42" w:leftChars="20" w:right="42" w:rightChars="20" w:firstLine="420"/>
        <w:rPr>
          <w:rFonts w:hint="eastAsia" w:hAnsi="宋体" w:cs="宋体"/>
          <w:color w:val="auto"/>
          <w:kern w:val="0"/>
          <w:szCs w:val="21"/>
          <w:highlight w:val="none"/>
          <w:lang w:val="en-US" w:eastAsia="zh-CN"/>
        </w:rPr>
      </w:pPr>
      <w:r>
        <w:rPr>
          <w:rFonts w:hint="eastAsia" w:hAnsi="宋体" w:cs="宋体"/>
          <w:color w:val="auto"/>
          <w:kern w:val="0"/>
          <w:szCs w:val="21"/>
          <w:highlight w:val="none"/>
          <w:lang w:val="en-US" w:eastAsia="zh-CN"/>
        </w:rPr>
        <w:t>2）业绩金额以中标通知书金额（其中工程总承包业绩以施工费中标金额）为准，中标通知书上没有金额或免招标的，以施工合同或工程总承包合同（均不含补充合同，其中工程总承包业绩以施工费合同金额）为准，时间以竣工验收报告等验收资料的日期为准，验收资料至少具有建设单位、设计、施工和监理单位盖章。如为设计施工总承包项目（EPC项目）的，则投标人须为该项目的唯一施工单位。工程总承包业绩包括勘察设计施工总承包或设计施工总承包或设计采购施工总承包或勘察设计采购施工总承包业绩等。</w:t>
      </w:r>
    </w:p>
    <w:p>
      <w:pPr>
        <w:adjustRightInd w:val="0"/>
        <w:snapToGrid w:val="0"/>
        <w:ind w:left="42" w:leftChars="20" w:right="42" w:rightChars="20" w:firstLine="420"/>
        <w:rPr>
          <w:rFonts w:hint="eastAsia" w:ascii="宋体" w:hAnsi="宋体" w:cs="宋体"/>
          <w:color w:val="auto"/>
          <w:kern w:val="0"/>
          <w:szCs w:val="21"/>
          <w:highlight w:val="none"/>
        </w:rPr>
      </w:pPr>
      <w:r>
        <w:rPr>
          <w:rFonts w:hint="eastAsia" w:hAnsi="宋体" w:cs="宋体"/>
          <w:color w:val="auto"/>
          <w:kern w:val="0"/>
          <w:szCs w:val="21"/>
          <w:highlight w:val="none"/>
          <w:lang w:val="en-US" w:eastAsia="zh-CN"/>
        </w:rPr>
        <w:t>3）提供的材料不符合上述条件或未提供上述资料的，该业绩不予认定</w:t>
      </w:r>
      <w:r>
        <w:rPr>
          <w:rFonts w:hint="eastAsia" w:ascii="宋体" w:hAnsi="宋体" w:cs="宋体"/>
          <w:color w:val="auto"/>
          <w:kern w:val="0"/>
          <w:szCs w:val="21"/>
          <w:highlight w:val="none"/>
        </w:rPr>
        <w:t>。</w:t>
      </w:r>
    </w:p>
    <w:p>
      <w:pPr>
        <w:adjustRightInd w:val="0"/>
        <w:snapToGrid w:val="0"/>
        <w:ind w:right="42" w:rightChars="20"/>
        <w:rPr>
          <w:rFonts w:ascii="宋体" w:hAnsi="宋体" w:cs="宋体"/>
          <w:b/>
          <w:bCs/>
          <w:color w:val="auto"/>
          <w:kern w:val="0"/>
          <w:szCs w:val="21"/>
          <w:highlight w:val="none"/>
        </w:rPr>
      </w:pPr>
      <w:r>
        <w:rPr>
          <w:rFonts w:hint="eastAsia" w:ascii="宋体" w:hAnsi="宋体" w:cs="宋体"/>
          <w:b/>
          <w:bCs/>
          <w:color w:val="auto"/>
          <w:kern w:val="0"/>
          <w:szCs w:val="21"/>
          <w:highlight w:val="none"/>
        </w:rPr>
        <w:t>2、财务状况：</w:t>
      </w:r>
    </w:p>
    <w:p>
      <w:pPr>
        <w:adjustRightInd w:val="0"/>
        <w:snapToGrid w:val="0"/>
        <w:ind w:left="42" w:leftChars="20" w:right="42" w:rightChars="20" w:firstLine="420"/>
        <w:rPr>
          <w:rFonts w:ascii="宋体" w:hAnsi="宋体" w:cs="宋体"/>
          <w:bCs/>
          <w:color w:val="auto"/>
          <w:szCs w:val="21"/>
          <w:highlight w:val="none"/>
        </w:rPr>
      </w:pPr>
      <w:r>
        <w:rPr>
          <w:rFonts w:hint="eastAsia" w:ascii="宋体" w:hAnsi="宋体" w:cs="宋体"/>
          <w:color w:val="auto"/>
          <w:kern w:val="0"/>
          <w:szCs w:val="21"/>
          <w:highlight w:val="none"/>
        </w:rPr>
        <w:t>“纳税信用A级”评价以获奖证书或国家税务总局或省级（含直辖市）税务局网站查询结果（不包括子公司、分公司）为准，需提供证书打印件或网页截图并加盖投标人电子印章，连续年度须含2022年，不符合条件的不计分。</w:t>
      </w:r>
    </w:p>
    <w:p>
      <w:pPr>
        <w:pStyle w:val="21"/>
        <w:spacing w:line="300" w:lineRule="exact"/>
        <w:ind w:firstLine="0" w:firstLineChars="0"/>
        <w:rPr>
          <w:rFonts w:cs="宋体"/>
          <w:b/>
          <w:color w:val="auto"/>
          <w:sz w:val="21"/>
          <w:szCs w:val="21"/>
          <w:highlight w:val="none"/>
        </w:rPr>
      </w:pPr>
      <w:r>
        <w:rPr>
          <w:rFonts w:hint="eastAsia" w:cs="宋体"/>
          <w:b/>
          <w:color w:val="auto"/>
          <w:sz w:val="21"/>
          <w:szCs w:val="21"/>
          <w:highlight w:val="none"/>
        </w:rPr>
        <w:t>3、工程获奖情况：</w:t>
      </w:r>
    </w:p>
    <w:p>
      <w:pPr>
        <w:adjustRightInd w:val="0"/>
        <w:snapToGrid w:val="0"/>
        <w:spacing w:line="300" w:lineRule="exact"/>
        <w:ind w:right="42" w:rightChars="2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国家级质量奖项是指鲁班奖、詹天佑奖、国家优质工程金质奖、国家优质工程奖、市政金杯示范工程奖；省级或市级奖项是指省级或市级建设行政主管部门或行业协会颁发的工程质量奖项；不包含安全文明施工类、绿色文明施工类、科学技术奖、园林工程奖、QC成果类、科技进步及技术应用类、工法类等奖项；参建项目不得分，同一项目获得多个奖项的，该项目获奖只按其中一个奖项所在最高级别计算一次分数，不得重复计算，境外工程不计分。桥梁工程奖项加分只计获奖证书体现桥梁工程的，其他不计。时间以证书颁发时间为准，须提供获奖证书扫描件或获奖文件作为评审依据。</w:t>
      </w:r>
    </w:p>
    <w:p>
      <w:pPr>
        <w:adjustRightInd w:val="0"/>
        <w:snapToGrid w:val="0"/>
        <w:spacing w:line="300" w:lineRule="exact"/>
        <w:ind w:right="42" w:rightChars="20"/>
        <w:rPr>
          <w:rFonts w:ascii="宋体" w:hAnsi="宋体" w:cs="宋体"/>
          <w:b/>
          <w:color w:val="auto"/>
          <w:kern w:val="0"/>
          <w:szCs w:val="21"/>
          <w:highlight w:val="none"/>
        </w:rPr>
      </w:pPr>
      <w:r>
        <w:rPr>
          <w:rFonts w:hint="eastAsia" w:ascii="宋体" w:hAnsi="宋体" w:cs="宋体"/>
          <w:b/>
          <w:color w:val="auto"/>
          <w:kern w:val="0"/>
          <w:szCs w:val="21"/>
          <w:highlight w:val="none"/>
        </w:rPr>
        <w:t>4、第三方评价：</w:t>
      </w:r>
    </w:p>
    <w:p>
      <w:pPr>
        <w:pStyle w:val="31"/>
        <w:ind w:firstLine="420" w:firstLineChars="200"/>
        <w:rPr>
          <w:color w:val="auto"/>
          <w:highlight w:val="none"/>
        </w:rPr>
      </w:pPr>
      <w:r>
        <w:rPr>
          <w:rFonts w:hint="eastAsia" w:hAnsi="宋体" w:cs="宋体"/>
          <w:color w:val="auto"/>
          <w:kern w:val="0"/>
          <w:szCs w:val="21"/>
          <w:highlight w:val="none"/>
        </w:rPr>
        <w:t>须提供上述荣誉获奖证书和网上查询网页截图。体系认证证书须是投标人在本项目招标公告发布时间之前获得且在有效期内的才可计算得分，须同时提供在有效期内的证书扫描件和国家认证认可监督管理委员会官方网站(www.cnca.gov.cn)查询页的截图，未提供上述资料或不满足要求的不计分。</w:t>
      </w:r>
    </w:p>
    <w:p>
      <w:pPr>
        <w:adjustRightInd w:val="0"/>
        <w:snapToGrid w:val="0"/>
        <w:spacing w:line="300" w:lineRule="exact"/>
        <w:ind w:right="42" w:rightChars="20"/>
        <w:rPr>
          <w:rFonts w:ascii="宋体" w:hAnsi="宋体" w:cs="宋体"/>
          <w:b/>
          <w:color w:val="auto"/>
          <w:kern w:val="0"/>
          <w:szCs w:val="21"/>
          <w:highlight w:val="none"/>
        </w:rPr>
      </w:pPr>
      <w:r>
        <w:rPr>
          <w:rFonts w:hint="eastAsia" w:ascii="宋体" w:hAnsi="宋体" w:cs="宋体"/>
          <w:b/>
          <w:color w:val="auto"/>
          <w:kern w:val="0"/>
          <w:szCs w:val="21"/>
          <w:highlight w:val="none"/>
        </w:rPr>
        <w:t>5、工程研发能力：</w:t>
      </w:r>
    </w:p>
    <w:p>
      <w:pPr>
        <w:adjustRightInd w:val="0"/>
        <w:snapToGrid w:val="0"/>
        <w:spacing w:line="300" w:lineRule="exact"/>
        <w:ind w:left="42" w:leftChars="20" w:right="42" w:rightChars="20" w:firstLine="420"/>
        <w:rPr>
          <w:rFonts w:ascii="宋体" w:hAnsi="宋体" w:cs="宋体"/>
          <w:color w:val="auto"/>
          <w:kern w:val="0"/>
          <w:szCs w:val="21"/>
          <w:highlight w:val="none"/>
        </w:rPr>
      </w:pPr>
      <w:r>
        <w:rPr>
          <w:rFonts w:hint="eastAsia" w:ascii="宋体" w:hAnsi="宋体" w:cs="宋体"/>
          <w:color w:val="auto"/>
          <w:kern w:val="0"/>
          <w:szCs w:val="21"/>
          <w:highlight w:val="none"/>
        </w:rPr>
        <w:t>国家级市政工程科学技术奖包含“国家科学技术进步奖”或“全国市政工程科学技术奖”等，市级或省级市政工程科学技术奖是指市级或省级建设行政主管部门或科技行政部门或行业协会颁发的市政工程科学技术奖项；须提供获奖证书扫描件，时间以证书颁发时间为准，同一项目获得多个奖项的，该项目获奖只按其中一个奖项所在最高级别计算一次分数，不得重复计算；其中协会颁发的奖项，要求发证协会必须经民政部门依法登记成立，且提供其在“全国社会组织信用信息公示平台（试运行）”网站（https://xxgs.chinanpo.mca.gov.cn/gsxt/newList）查询结果的网页打印页，否则该项不得分。无提交上述资料不计分。</w:t>
      </w:r>
    </w:p>
    <w:p>
      <w:pPr>
        <w:pStyle w:val="31"/>
        <w:numPr>
          <w:ilvl w:val="0"/>
          <w:numId w:val="7"/>
        </w:numPr>
        <w:rPr>
          <w:rFonts w:hAnsi="宋体" w:cs="宋体"/>
          <w:b/>
          <w:bCs/>
          <w:color w:val="auto"/>
          <w:kern w:val="0"/>
          <w:szCs w:val="21"/>
          <w:highlight w:val="none"/>
        </w:rPr>
      </w:pPr>
      <w:r>
        <w:rPr>
          <w:rFonts w:hint="eastAsia" w:hAnsi="宋体" w:cs="宋体"/>
          <w:b/>
          <w:bCs/>
          <w:color w:val="auto"/>
          <w:kern w:val="0"/>
          <w:szCs w:val="21"/>
          <w:highlight w:val="none"/>
        </w:rPr>
        <w:t>项目管理机构能力：</w:t>
      </w:r>
    </w:p>
    <w:p>
      <w:pPr>
        <w:pStyle w:val="31"/>
        <w:ind w:firstLine="420" w:firstLineChars="200"/>
        <w:rPr>
          <w:rFonts w:hAnsi="宋体"/>
          <w:color w:val="auto"/>
          <w:szCs w:val="21"/>
          <w:highlight w:val="none"/>
        </w:rPr>
      </w:pPr>
      <w:r>
        <w:rPr>
          <w:rFonts w:hint="eastAsia" w:hAnsi="宋体" w:cs="宋体"/>
          <w:color w:val="auto"/>
          <w:highlight w:val="none"/>
        </w:rPr>
        <w:t>（1）项目管理机构能力人员须提供职称证、有效期内的注册证（如有）及投标截止前一个月（2023年</w:t>
      </w:r>
      <w:r>
        <w:rPr>
          <w:rFonts w:hint="eastAsia" w:hAnsi="宋体" w:cs="宋体"/>
          <w:color w:val="auto"/>
          <w:highlight w:val="none"/>
          <w:lang w:val="en-US" w:eastAsia="zh-CN"/>
        </w:rPr>
        <w:t>8</w:t>
      </w:r>
      <w:r>
        <w:rPr>
          <w:rFonts w:hint="eastAsia" w:hAnsi="宋体" w:cs="宋体"/>
          <w:color w:val="auto"/>
          <w:highlight w:val="none"/>
        </w:rPr>
        <w:t>月）有效社保证明；</w:t>
      </w:r>
    </w:p>
    <w:p>
      <w:pPr>
        <w:pStyle w:val="31"/>
        <w:ind w:firstLine="420" w:firstLineChars="200"/>
        <w:rPr>
          <w:rFonts w:hAnsi="宋体"/>
          <w:color w:val="auto"/>
          <w:szCs w:val="21"/>
          <w:highlight w:val="none"/>
        </w:rPr>
      </w:pPr>
      <w:r>
        <w:rPr>
          <w:rFonts w:hint="eastAsia" w:hAnsi="宋体"/>
          <w:color w:val="auto"/>
          <w:szCs w:val="21"/>
          <w:highlight w:val="none"/>
        </w:rPr>
        <w:t>（2）技术负责人、质量负责人、安全负责人、造价负责人、其他专业负责人不得兼任，且安全负责人不能同时兼任专职安全员；项目管理机构人员仅指投标人自身人员，不含子母公司人员，如投标申请人为集团公司，则不含集团下属分公司，专指集团本部人员，同样下属公司也不得使用集团公司的人员。</w:t>
      </w:r>
      <w:r>
        <w:rPr>
          <w:rFonts w:hint="eastAsia" w:ascii="宋体" w:hAnsi="宋体"/>
          <w:color w:val="auto"/>
          <w:szCs w:val="21"/>
          <w:highlight w:val="none"/>
          <w:u w:val="single"/>
          <w:lang w:val="zh-CN"/>
        </w:rPr>
        <w:t>从业经历以大专或以上毕业证书核发时间起计。</w:t>
      </w:r>
    </w:p>
    <w:p>
      <w:pPr>
        <w:adjustRightInd w:val="0"/>
        <w:snapToGrid w:val="0"/>
        <w:spacing w:line="300" w:lineRule="exact"/>
        <w:ind w:right="42" w:rightChars="20"/>
        <w:rPr>
          <w:color w:val="auto"/>
          <w:highlight w:val="none"/>
        </w:rPr>
      </w:pPr>
      <w:r>
        <w:rPr>
          <w:rFonts w:hint="eastAsia" w:ascii="宋体" w:hAnsi="宋体" w:cs="宋体"/>
          <w:b/>
          <w:bCs/>
          <w:color w:val="auto"/>
          <w:kern w:val="0"/>
          <w:szCs w:val="21"/>
          <w:highlight w:val="none"/>
        </w:rPr>
        <w:t>7</w:t>
      </w:r>
      <w:r>
        <w:rPr>
          <w:rFonts w:hint="eastAsia"/>
          <w:color w:val="auto"/>
          <w:highlight w:val="none"/>
        </w:rPr>
        <w:t>、</w:t>
      </w:r>
      <w:r>
        <w:rPr>
          <w:rFonts w:hint="eastAsia" w:ascii="宋体" w:hAnsi="宋体" w:cs="宋体"/>
          <w:b/>
          <w:bCs/>
          <w:color w:val="auto"/>
          <w:kern w:val="0"/>
          <w:szCs w:val="21"/>
          <w:highlight w:val="none"/>
        </w:rPr>
        <w:t>投标人得分为各评委评分去掉一个最高分和一个最低分后的算术平均值（若分数出现小数点时，保留小数点后二位，第三位小数四舍五入）</w:t>
      </w:r>
      <w:r>
        <w:rPr>
          <w:rFonts w:hint="eastAsia" w:ascii="宋体" w:hAnsi="宋体" w:cs="宋体"/>
          <w:b/>
          <w:bCs/>
          <w:color w:val="auto"/>
          <w:kern w:val="0"/>
          <w:szCs w:val="21"/>
          <w:highlight w:val="none"/>
          <w:lang w:val="en-US" w:eastAsia="zh-CN"/>
        </w:rPr>
        <w:t>。</w:t>
      </w:r>
    </w:p>
    <w:p>
      <w:pPr>
        <w:spacing w:line="300" w:lineRule="exact"/>
        <w:ind w:firstLine="0" w:firstLineChars="0"/>
        <w:rPr>
          <w:rFonts w:hint="eastAsia" w:cs="宋体"/>
          <w:color w:val="auto"/>
          <w:szCs w:val="21"/>
          <w:highlight w:val="none"/>
        </w:rPr>
      </w:pPr>
      <w:r>
        <w:rPr>
          <w:rFonts w:hint="eastAsia" w:cs="宋体"/>
          <w:color w:val="auto"/>
          <w:szCs w:val="21"/>
          <w:highlight w:val="none"/>
        </w:rPr>
        <w:br w:type="page"/>
      </w:r>
    </w:p>
    <w:p>
      <w:pPr>
        <w:pStyle w:val="46"/>
        <w:rPr>
          <w:color w:val="auto"/>
          <w:highlight w:val="none"/>
        </w:rPr>
      </w:pPr>
    </w:p>
    <w:p>
      <w:pPr>
        <w:rPr>
          <w:rFonts w:ascii="Arial" w:hAnsi="Arial" w:cs="Arial"/>
          <w:color w:val="auto"/>
          <w:szCs w:val="21"/>
          <w:highlight w:val="none"/>
        </w:rPr>
      </w:pPr>
      <w:r>
        <w:rPr>
          <w:rFonts w:ascii="Arial" w:hAnsi="Arial" w:cs="Arial"/>
          <w:color w:val="auto"/>
          <w:szCs w:val="21"/>
          <w:highlight w:val="none"/>
        </w:rPr>
        <w:t>附表五（适用于加权平均法）</w:t>
      </w:r>
    </w:p>
    <w:p>
      <w:pPr>
        <w:jc w:val="center"/>
        <w:rPr>
          <w:rFonts w:ascii="Arial" w:hAnsi="Arial" w:cs="Arial"/>
          <w:b/>
          <w:color w:val="auto"/>
          <w:sz w:val="36"/>
          <w:szCs w:val="36"/>
          <w:highlight w:val="none"/>
        </w:rPr>
      </w:pPr>
      <w:r>
        <w:rPr>
          <w:rFonts w:ascii="Arial" w:hAnsi="Arial" w:cs="Arial"/>
          <w:b/>
          <w:color w:val="auto"/>
          <w:sz w:val="36"/>
          <w:szCs w:val="36"/>
          <w:highlight w:val="none"/>
        </w:rPr>
        <w:t>经济标评分表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bl>
    <w:p>
      <w:pPr>
        <w:rPr>
          <w:rFonts w:ascii="Arial" w:hAnsi="Arial" w:cs="Arial"/>
          <w:strike/>
          <w:color w:val="auto"/>
          <w:sz w:val="24"/>
          <w:szCs w:val="24"/>
          <w:highlight w:val="none"/>
        </w:rPr>
      </w:pPr>
      <w:r>
        <w:rPr>
          <w:rFonts w:ascii="Arial" w:hAnsi="Arial" w:cs="Arial"/>
          <w:color w:val="auto"/>
          <w:szCs w:val="21"/>
          <w:highlight w:val="none"/>
        </w:rPr>
        <w:t>评委签名：</w:t>
      </w:r>
      <w:r>
        <w:rPr>
          <w:rFonts w:ascii="Arial" w:hAnsi="Arial" w:cs="Arial"/>
          <w:b/>
          <w:color w:val="auto"/>
          <w:sz w:val="36"/>
          <w:szCs w:val="36"/>
          <w:highlight w:val="none"/>
        </w:rPr>
        <w:br w:type="page"/>
      </w:r>
      <w:r>
        <w:rPr>
          <w:rFonts w:ascii="Arial" w:hAnsi="Arial" w:cs="Arial"/>
          <w:strike/>
          <w:color w:val="auto"/>
          <w:szCs w:val="21"/>
          <w:highlight w:val="none"/>
        </w:rPr>
        <w:t>附表五（适用于区间抽取法）</w:t>
      </w:r>
    </w:p>
    <w:p>
      <w:pPr>
        <w:jc w:val="center"/>
        <w:rPr>
          <w:rFonts w:ascii="Arial" w:hAnsi="Arial" w:cs="Arial"/>
          <w:b/>
          <w:strike/>
          <w:color w:val="auto"/>
          <w:sz w:val="36"/>
          <w:szCs w:val="36"/>
          <w:highlight w:val="none"/>
        </w:rPr>
      </w:pPr>
      <w:r>
        <w:rPr>
          <w:rFonts w:ascii="Arial" w:hAnsi="Arial" w:cs="Arial"/>
          <w:b/>
          <w:strike/>
          <w:color w:val="auto"/>
          <w:sz w:val="36"/>
          <w:szCs w:val="36"/>
          <w:highlight w:val="none"/>
        </w:rPr>
        <w:t>经济标评分表</w:t>
      </w:r>
    </w:p>
    <w:p>
      <w:pPr>
        <w:rPr>
          <w:rFonts w:ascii="Arial" w:hAnsi="Arial" w:cs="Arial"/>
          <w:strike/>
          <w:color w:val="auto"/>
          <w:szCs w:val="21"/>
          <w:highlight w:val="none"/>
        </w:rPr>
      </w:pPr>
      <w:r>
        <w:rPr>
          <w:rFonts w:ascii="Arial" w:hAnsi="Arial" w:cs="Arial"/>
          <w:strike/>
          <w:color w:val="auto"/>
          <w:szCs w:val="21"/>
          <w:highlight w:val="none"/>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r>
              <w:rPr>
                <w:rFonts w:ascii="Arial" w:hAnsi="Arial" w:cs="Arial"/>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color w:val="auto"/>
                <w:szCs w:val="21"/>
                <w:highlight w:val="none"/>
              </w:rPr>
            </w:pPr>
          </w:p>
        </w:tc>
      </w:tr>
    </w:tbl>
    <w:p>
      <w:pPr>
        <w:rPr>
          <w:rFonts w:ascii="Arial" w:hAnsi="Arial" w:cs="Arial"/>
          <w:strike/>
          <w:color w:val="auto"/>
          <w:szCs w:val="21"/>
          <w:highlight w:val="none"/>
        </w:rPr>
      </w:pPr>
      <w:r>
        <w:rPr>
          <w:rFonts w:ascii="Arial" w:hAnsi="Arial" w:cs="Arial"/>
          <w:strike/>
          <w:color w:val="auto"/>
          <w:szCs w:val="21"/>
          <w:highlight w:val="none"/>
        </w:rPr>
        <w:t>评委签名：</w:t>
      </w:r>
    </w:p>
    <w:p>
      <w:pPr>
        <w:rPr>
          <w:rFonts w:ascii="Arial" w:hAnsi="Arial" w:cs="Arial"/>
          <w:strike/>
          <w:color w:val="auto"/>
          <w:szCs w:val="21"/>
          <w:highlight w:val="none"/>
        </w:rPr>
      </w:pPr>
    </w:p>
    <w:p>
      <w:pPr>
        <w:rPr>
          <w:rFonts w:ascii="Arial" w:hAnsi="Arial" w:cs="Arial"/>
          <w:strike/>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b/>
          <w:color w:val="auto"/>
          <w:szCs w:val="21"/>
          <w:highlight w:val="none"/>
        </w:rPr>
      </w:pPr>
      <w:r>
        <w:rPr>
          <w:rFonts w:ascii="Arial" w:hAnsi="Arial" w:cs="Arial"/>
          <w:color w:val="auto"/>
          <w:szCs w:val="21"/>
          <w:highlight w:val="none"/>
        </w:rPr>
        <w:t>附表六</w:t>
      </w:r>
    </w:p>
    <w:p>
      <w:pPr>
        <w:jc w:val="center"/>
        <w:rPr>
          <w:rFonts w:ascii="Arial" w:hAnsi="Arial" w:cs="Arial"/>
          <w:b/>
          <w:color w:val="auto"/>
          <w:sz w:val="36"/>
          <w:szCs w:val="36"/>
          <w:highlight w:val="none"/>
        </w:rPr>
      </w:pPr>
      <w:r>
        <w:rPr>
          <w:rFonts w:ascii="Arial" w:hAnsi="Arial" w:cs="Arial"/>
          <w:b/>
          <w:color w:val="auto"/>
          <w:sz w:val="36"/>
          <w:szCs w:val="36"/>
          <w:highlight w:val="none"/>
        </w:rPr>
        <w:t>算术复核表</w:t>
      </w:r>
    </w:p>
    <w:p>
      <w:pPr>
        <w:rPr>
          <w:rFonts w:ascii="Arial" w:hAnsi="Arial" w:cs="Arial"/>
          <w:color w:val="auto"/>
          <w:kern w:val="0"/>
          <w:szCs w:val="21"/>
          <w:highlight w:val="none"/>
        </w:rPr>
      </w:pPr>
      <w:r>
        <w:rPr>
          <w:rFonts w:ascii="Arial" w:hAnsi="Arial" w:cs="Arial"/>
          <w:color w:val="auto"/>
          <w:kern w:val="0"/>
          <w:szCs w:val="21"/>
          <w:highlight w:val="none"/>
        </w:rPr>
        <w:t>工程名称：                                           投标人:                                                  单位：元</w:t>
      </w:r>
    </w:p>
    <w:tbl>
      <w:tblPr>
        <w:tblStyle w:val="55"/>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修正前投标</w:t>
            </w:r>
          </w:p>
          <w:p>
            <w:pPr>
              <w:rPr>
                <w:rFonts w:ascii="Arial" w:hAnsi="Arial" w:cs="Arial"/>
                <w:color w:val="auto"/>
                <w:kern w:val="0"/>
                <w:szCs w:val="21"/>
                <w:highlight w:val="none"/>
              </w:rPr>
            </w:pPr>
            <w:r>
              <w:rPr>
                <w:rFonts w:ascii="Arial" w:hAnsi="Arial" w:cs="Arial"/>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修正后投标</w:t>
            </w:r>
          </w:p>
          <w:p>
            <w:pPr>
              <w:rPr>
                <w:rFonts w:ascii="Arial" w:hAnsi="Arial" w:cs="Arial"/>
                <w:color w:val="auto"/>
                <w:kern w:val="0"/>
                <w:szCs w:val="21"/>
                <w:highlight w:val="none"/>
              </w:rPr>
            </w:pPr>
            <w:r>
              <w:rPr>
                <w:rFonts w:ascii="Arial" w:hAnsi="Arial" w:cs="Arial"/>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修正率</w:t>
            </w:r>
          </w:p>
          <w:p>
            <w:pPr>
              <w:rPr>
                <w:rFonts w:ascii="Arial" w:hAnsi="Arial" w:cs="Arial"/>
                <w:color w:val="auto"/>
                <w:kern w:val="0"/>
                <w:szCs w:val="21"/>
                <w:highlight w:val="none"/>
              </w:rPr>
            </w:pPr>
            <w:r>
              <w:rPr>
                <w:rFonts w:ascii="Arial" w:hAnsi="Arial" w:cs="Arial"/>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∑A=A</w:t>
            </w:r>
            <w:r>
              <w:rPr>
                <w:rFonts w:ascii="Arial" w:hAnsi="Arial" w:cs="Arial"/>
                <w:color w:val="auto"/>
                <w:kern w:val="0"/>
                <w:szCs w:val="21"/>
                <w:highlight w:val="none"/>
                <w:vertAlign w:val="subscript"/>
              </w:rPr>
              <w:t>1</w:t>
            </w:r>
            <w:r>
              <w:rPr>
                <w:rFonts w:ascii="Arial" w:hAnsi="Arial" w:cs="Arial"/>
                <w:color w:val="auto"/>
                <w:kern w:val="0"/>
                <w:szCs w:val="21"/>
                <w:highlight w:val="none"/>
              </w:rPr>
              <w:t>+A</w:t>
            </w:r>
            <w:r>
              <w:rPr>
                <w:rFonts w:ascii="Arial" w:hAnsi="Arial" w:cs="Arial"/>
                <w:color w:val="auto"/>
                <w:kern w:val="0"/>
                <w:szCs w:val="21"/>
                <w:highlight w:val="none"/>
                <w:vertAlign w:val="subscript"/>
              </w:rPr>
              <w:t>2</w:t>
            </w:r>
            <w:r>
              <w:rPr>
                <w:rFonts w:ascii="Arial" w:hAnsi="Arial" w:cs="Arial"/>
                <w:color w:val="auto"/>
                <w:kern w:val="0"/>
                <w:szCs w:val="21"/>
                <w:highlight w:val="none"/>
              </w:rPr>
              <w:t>+…An；∑B=B</w:t>
            </w:r>
            <w:r>
              <w:rPr>
                <w:rFonts w:ascii="Arial" w:hAnsi="Arial" w:cs="Arial"/>
                <w:color w:val="auto"/>
                <w:kern w:val="0"/>
                <w:szCs w:val="21"/>
                <w:highlight w:val="none"/>
                <w:vertAlign w:val="subscript"/>
              </w:rPr>
              <w:t>1</w:t>
            </w:r>
            <w:r>
              <w:rPr>
                <w:rFonts w:ascii="Arial" w:hAnsi="Arial" w:cs="Arial"/>
                <w:color w:val="auto"/>
                <w:kern w:val="0"/>
                <w:szCs w:val="21"/>
                <w:highlight w:val="none"/>
              </w:rPr>
              <w:t>+B</w:t>
            </w:r>
            <w:r>
              <w:rPr>
                <w:rFonts w:ascii="Arial" w:hAnsi="Arial" w:cs="Arial"/>
                <w:color w:val="auto"/>
                <w:kern w:val="0"/>
                <w:szCs w:val="21"/>
                <w:highlight w:val="none"/>
                <w:vertAlign w:val="subscript"/>
              </w:rPr>
              <w:t>2</w:t>
            </w:r>
            <w:r>
              <w:rPr>
                <w:rFonts w:ascii="Arial" w:hAnsi="Arial" w:cs="Arial"/>
                <w:color w:val="auto"/>
                <w:kern w:val="0"/>
                <w:szCs w:val="21"/>
                <w:highlight w:val="none"/>
              </w:rPr>
              <w:t>+…Bn</w:t>
            </w:r>
          </w:p>
        </w:tc>
      </w:tr>
    </w:tbl>
    <w:p>
      <w:pPr>
        <w:rPr>
          <w:rFonts w:ascii="Arial" w:hAnsi="Arial" w:cs="Arial"/>
          <w:color w:val="auto"/>
          <w:kern w:val="0"/>
          <w:szCs w:val="21"/>
          <w:highlight w:val="none"/>
        </w:rPr>
      </w:pPr>
      <w:r>
        <w:rPr>
          <w:rFonts w:ascii="Arial" w:hAnsi="Arial" w:cs="Arial"/>
          <w:color w:val="auto"/>
          <w:kern w:val="0"/>
          <w:szCs w:val="21"/>
          <w:highlight w:val="none"/>
        </w:rPr>
        <w:t>修正原则：</w:t>
      </w:r>
      <w:r>
        <w:rPr>
          <w:rFonts w:ascii="Arial" w:hAnsi="Arial" w:cs="Arial"/>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Arial" w:hAnsi="Arial" w:cs="Arial"/>
          <w:color w:val="auto"/>
          <w:kern w:val="0"/>
          <w:szCs w:val="21"/>
          <w:highlight w:val="none"/>
        </w:rPr>
        <w:tab/>
      </w:r>
    </w:p>
    <w:p>
      <w:pPr>
        <w:rPr>
          <w:rFonts w:ascii="Arial" w:hAnsi="Arial" w:cs="Arial"/>
          <w:color w:val="auto"/>
          <w:kern w:val="0"/>
          <w:szCs w:val="21"/>
          <w:highlight w:val="none"/>
        </w:rPr>
      </w:pPr>
      <w:r>
        <w:rPr>
          <w:rFonts w:ascii="Arial" w:hAnsi="Arial" w:cs="Arial"/>
          <w:color w:val="auto"/>
          <w:kern w:val="0"/>
          <w:szCs w:val="21"/>
          <w:highlight w:val="none"/>
        </w:rPr>
        <w:t>评委签名：</w:t>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日期：</w:t>
      </w:r>
    </w:p>
    <w:p>
      <w:pPr>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br w:type="page"/>
      </w:r>
    </w:p>
    <w:p>
      <w:pPr>
        <w:jc w:val="center"/>
        <w:rPr>
          <w:rFonts w:ascii="Arial" w:hAnsi="Arial" w:cs="Arial"/>
          <w:b/>
          <w:color w:val="auto"/>
          <w:sz w:val="36"/>
          <w:szCs w:val="36"/>
          <w:highlight w:val="none"/>
        </w:rPr>
      </w:pPr>
      <w:r>
        <w:rPr>
          <w:rFonts w:ascii="Arial" w:hAnsi="Arial" w:cs="Arial"/>
          <w:b/>
          <w:color w:val="auto"/>
          <w:sz w:val="36"/>
          <w:szCs w:val="36"/>
          <w:highlight w:val="none"/>
        </w:rPr>
        <w:t>算术复核表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bl>
    <w:p>
      <w:pPr>
        <w:rPr>
          <w:rFonts w:ascii="Arial" w:hAnsi="Arial" w:cs="Arial"/>
          <w:color w:val="auto"/>
          <w:szCs w:val="21"/>
          <w:highlight w:val="none"/>
        </w:rPr>
      </w:pPr>
      <w:r>
        <w:rPr>
          <w:rFonts w:ascii="Arial" w:hAnsi="Arial" w:cs="Arial"/>
          <w:color w:val="auto"/>
          <w:szCs w:val="21"/>
          <w:highlight w:val="none"/>
        </w:rPr>
        <w:t>评委签名：</w:t>
      </w:r>
    </w:p>
    <w:p>
      <w:pPr>
        <w:spacing w:line="360" w:lineRule="auto"/>
        <w:jc w:val="center"/>
        <w:rPr>
          <w:rFonts w:ascii="Arial" w:hAnsi="Arial" w:cs="Arial"/>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134" w:right="1247" w:bottom="1418" w:left="1134" w:header="851" w:footer="907" w:gutter="0"/>
          <w:cols w:space="425" w:num="1"/>
          <w:titlePg/>
          <w:docGrid w:type="lines" w:linePitch="312" w:charSpace="0"/>
        </w:sectPr>
      </w:pPr>
    </w:p>
    <w:p>
      <w:pPr>
        <w:pStyle w:val="2"/>
        <w:rPr>
          <w:rFonts w:cs="Arial"/>
          <w:color w:val="auto"/>
          <w:highlight w:val="none"/>
        </w:rPr>
      </w:pPr>
      <w:bookmarkStart w:id="43" w:name="_Toc101266300"/>
      <w:bookmarkStart w:id="44" w:name="_Toc2272566"/>
      <w:r>
        <w:rPr>
          <w:rFonts w:cs="Arial"/>
          <w:color w:val="auto"/>
          <w:highlight w:val="none"/>
        </w:rPr>
        <w:t>第三章  合同条款</w:t>
      </w:r>
      <w:bookmarkEnd w:id="43"/>
      <w:bookmarkEnd w:id="44"/>
    </w:p>
    <w:p>
      <w:pPr>
        <w:jc w:val="center"/>
        <w:rPr>
          <w:rFonts w:ascii="Arial" w:hAnsi="Arial" w:cs="Arial"/>
          <w:b/>
          <w:color w:val="auto"/>
          <w:sz w:val="24"/>
          <w:szCs w:val="24"/>
          <w:highlight w:val="none"/>
        </w:rPr>
      </w:pPr>
      <w:r>
        <w:rPr>
          <w:rFonts w:ascii="Arial" w:hAnsi="Arial" w:cs="Arial"/>
          <w:color w:val="auto"/>
          <w:sz w:val="24"/>
          <w:szCs w:val="24"/>
          <w:highlight w:val="none"/>
        </w:rPr>
        <w:t>另册。</w:t>
      </w:r>
    </w:p>
    <w:p>
      <w:pPr>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4"/>
        <w:spacing w:line="360" w:lineRule="auto"/>
        <w:rPr>
          <w:rFonts w:ascii="Arial" w:hAnsi="Arial" w:cs="Arial"/>
          <w:color w:val="auto"/>
          <w:sz w:val="24"/>
          <w:szCs w:val="24"/>
          <w:highlight w:val="none"/>
        </w:rPr>
      </w:pPr>
    </w:p>
    <w:p>
      <w:pPr>
        <w:pStyle w:val="31"/>
        <w:spacing w:line="360" w:lineRule="auto"/>
        <w:rPr>
          <w:rFonts w:ascii="Arial" w:hAnsi="Arial" w:cs="Arial"/>
          <w:color w:val="auto"/>
          <w:sz w:val="24"/>
          <w:szCs w:val="24"/>
          <w:highlight w:val="none"/>
        </w:rPr>
      </w:pPr>
    </w:p>
    <w:p>
      <w:pPr>
        <w:pStyle w:val="31"/>
        <w:spacing w:line="360" w:lineRule="auto"/>
        <w:rPr>
          <w:rFonts w:ascii="Arial" w:hAnsi="Arial" w:cs="Arial"/>
          <w:color w:val="auto"/>
          <w:sz w:val="24"/>
          <w:szCs w:val="24"/>
          <w:highlight w:val="none"/>
        </w:rPr>
      </w:pPr>
      <w:r>
        <w:rPr>
          <w:rFonts w:ascii="Arial" w:hAnsi="Arial" w:cs="Arial"/>
          <w:color w:val="auto"/>
          <w:sz w:val="24"/>
          <w:szCs w:val="24"/>
          <w:highlight w:val="none"/>
        </w:rPr>
        <w:br w:type="page"/>
      </w:r>
    </w:p>
    <w:p>
      <w:pPr>
        <w:pStyle w:val="2"/>
        <w:rPr>
          <w:rFonts w:cs="Arial"/>
          <w:color w:val="auto"/>
          <w:highlight w:val="none"/>
        </w:rPr>
      </w:pPr>
      <w:bookmarkStart w:id="45" w:name="_Toc2272567"/>
      <w:bookmarkStart w:id="46" w:name="_Toc101266301"/>
      <w:r>
        <w:rPr>
          <w:rFonts w:cs="Arial"/>
          <w:color w:val="auto"/>
          <w:highlight w:val="none"/>
        </w:rPr>
        <w:t>第四章  投标文件格式</w:t>
      </w:r>
      <w:bookmarkEnd w:id="45"/>
      <w:bookmarkEnd w:id="46"/>
    </w:p>
    <w:p>
      <w:pPr>
        <w:autoSpaceDE w:val="0"/>
        <w:autoSpaceDN w:val="0"/>
        <w:adjustRightInd w:val="0"/>
        <w:rPr>
          <w:rFonts w:ascii="Arial" w:hAnsi="Arial" w:cs="Arial"/>
          <w:bCs/>
          <w:color w:val="auto"/>
          <w:szCs w:val="21"/>
          <w:highlight w:val="none"/>
        </w:rPr>
      </w:pPr>
      <w:r>
        <w:rPr>
          <w:rFonts w:ascii="Arial" w:hAnsi="Arial" w:cs="Arial"/>
          <w:bCs/>
          <w:color w:val="auto"/>
          <w:szCs w:val="21"/>
          <w:highlight w:val="none"/>
        </w:rPr>
        <w:t>附件一</w:t>
      </w:r>
    </w:p>
    <w:p>
      <w:pPr>
        <w:spacing w:line="360" w:lineRule="auto"/>
        <w:jc w:val="center"/>
        <w:rPr>
          <w:rFonts w:ascii="Arial" w:hAnsi="Arial" w:cs="Arial"/>
          <w:b/>
          <w:color w:val="auto"/>
          <w:sz w:val="36"/>
          <w:szCs w:val="36"/>
          <w:highlight w:val="none"/>
        </w:rPr>
      </w:pPr>
      <w:r>
        <w:rPr>
          <w:rFonts w:ascii="Arial" w:hAnsi="Arial" w:cs="Arial"/>
          <w:b/>
          <w:color w:val="auto"/>
          <w:sz w:val="36"/>
          <w:szCs w:val="36"/>
          <w:highlight w:val="none"/>
        </w:rPr>
        <w:t>投  标  函</w:t>
      </w:r>
    </w:p>
    <w:p>
      <w:pPr>
        <w:spacing w:line="360" w:lineRule="auto"/>
        <w:rPr>
          <w:rFonts w:ascii="Arial" w:hAnsi="Arial" w:cs="Arial"/>
          <w:b/>
          <w:color w:val="auto"/>
          <w:szCs w:val="21"/>
          <w:highlight w:val="none"/>
        </w:rPr>
      </w:pPr>
      <w:r>
        <w:rPr>
          <w:rFonts w:ascii="Arial" w:hAnsi="Arial" w:cs="Arial"/>
          <w:b/>
          <w:color w:val="auto"/>
          <w:szCs w:val="21"/>
          <w:highlight w:val="none"/>
        </w:rPr>
        <w:t>致：</w:t>
      </w:r>
      <w:r>
        <w:rPr>
          <w:rFonts w:ascii="Arial" w:hAnsi="Arial" w:cs="Arial"/>
          <w:b/>
          <w:color w:val="auto"/>
          <w:szCs w:val="21"/>
          <w:highlight w:val="none"/>
          <w:u w:val="single"/>
        </w:rPr>
        <w:t xml:space="preserve">(招标人名称)                              </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1.根据已收到贵方的</w:t>
      </w:r>
      <w:r>
        <w:rPr>
          <w:rFonts w:ascii="Arial" w:hAnsi="Arial" w:cs="Arial"/>
          <w:b/>
          <w:color w:val="auto"/>
          <w:szCs w:val="21"/>
          <w:highlight w:val="none"/>
        </w:rPr>
        <w:t>项目编号为</w:t>
      </w:r>
      <w:r>
        <w:rPr>
          <w:rFonts w:ascii="Arial" w:hAnsi="Arial" w:cs="Arial"/>
          <w:b/>
          <w:color w:val="auto"/>
          <w:szCs w:val="21"/>
          <w:highlight w:val="none"/>
          <w:u w:val="single"/>
        </w:rPr>
        <w:t xml:space="preserve">           </w:t>
      </w:r>
      <w:r>
        <w:rPr>
          <w:rFonts w:ascii="Arial" w:hAnsi="Arial" w:cs="Arial"/>
          <w:b/>
          <w:color w:val="auto"/>
          <w:szCs w:val="21"/>
          <w:highlight w:val="none"/>
        </w:rPr>
        <w:t>的</w:t>
      </w:r>
      <w:r>
        <w:rPr>
          <w:rFonts w:ascii="Arial" w:hAnsi="Arial" w:cs="Arial"/>
          <w:b/>
          <w:color w:val="auto"/>
          <w:szCs w:val="21"/>
          <w:highlight w:val="none"/>
          <w:u w:val="single"/>
        </w:rPr>
        <w:t xml:space="preserve">          </w:t>
      </w:r>
      <w:r>
        <w:rPr>
          <w:rFonts w:ascii="Arial" w:hAnsi="Arial" w:cs="Arial"/>
          <w:b/>
          <w:color w:val="auto"/>
          <w:szCs w:val="21"/>
          <w:highlight w:val="none"/>
        </w:rPr>
        <w:t>工程的招标文件</w:t>
      </w:r>
      <w:r>
        <w:rPr>
          <w:rFonts w:ascii="Arial" w:hAnsi="Arial" w:cs="Arial"/>
          <w:color w:val="auto"/>
          <w:szCs w:val="21"/>
          <w:highlight w:val="none"/>
        </w:rPr>
        <w:t>，并已详细审核了全部招标文件及有关附件。</w:t>
      </w:r>
    </w:p>
    <w:p>
      <w:pPr>
        <w:snapToGrid w:val="0"/>
        <w:spacing w:line="360" w:lineRule="auto"/>
        <w:ind w:firstLine="457" w:firstLineChars="218"/>
        <w:rPr>
          <w:rFonts w:ascii="Arial" w:hAnsi="Arial" w:cs="Arial"/>
          <w:color w:val="auto"/>
          <w:szCs w:val="21"/>
          <w:highlight w:val="none"/>
        </w:rPr>
      </w:pPr>
      <w:r>
        <w:rPr>
          <w:rFonts w:ascii="Arial" w:hAnsi="Arial" w:cs="Arial"/>
          <w:color w:val="auto"/>
          <w:szCs w:val="21"/>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愿以经济标中的投标报价并按上述合同条款、标准和技术规范、图纸、工程量清单等的要求承包上述工程的施工、竣工并修补其任何缺陷。</w:t>
      </w:r>
    </w:p>
    <w:p>
      <w:pPr>
        <w:spacing w:line="360" w:lineRule="auto"/>
        <w:rPr>
          <w:rFonts w:ascii="Arial" w:hAnsi="Arial" w:cs="Arial"/>
          <w:color w:val="auto"/>
          <w:szCs w:val="21"/>
          <w:highlight w:val="none"/>
        </w:rPr>
      </w:pPr>
      <w:r>
        <w:rPr>
          <w:rFonts w:ascii="Arial" w:hAnsi="Arial" w:cs="Arial"/>
          <w:color w:val="auto"/>
          <w:szCs w:val="21"/>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ascii="Arial" w:hAnsi="Arial" w:cs="Arial"/>
          <w:color w:val="auto"/>
          <w:szCs w:val="21"/>
          <w:highlight w:val="none"/>
        </w:rPr>
      </w:pPr>
      <w:r>
        <w:rPr>
          <w:rFonts w:ascii="Arial" w:hAnsi="Arial" w:cs="Arial"/>
          <w:color w:val="auto"/>
          <w:szCs w:val="21"/>
          <w:highlight w:val="none"/>
        </w:rPr>
        <w:t xml:space="preserve">    4.我方理解贵方将不受必须接受你们所收到的最低标价或其它任何投标文件的约束。</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5.如果我方中标，我方保证按招标文件中规定的工期内完成并移交本工程，质量标准达到招标文件中的要求。</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6.如果我方中标，我方将按照规定递交由招标人认可，并在招标文件中规定金额的履约保函。</w:t>
      </w:r>
    </w:p>
    <w:p>
      <w:pPr>
        <w:spacing w:line="360" w:lineRule="auto"/>
        <w:ind w:firstLine="480"/>
        <w:rPr>
          <w:rFonts w:ascii="Arial" w:hAnsi="Arial" w:cs="Arial"/>
          <w:color w:val="auto"/>
          <w:szCs w:val="21"/>
          <w:highlight w:val="none"/>
        </w:rPr>
      </w:pPr>
      <w:r>
        <w:rPr>
          <w:rFonts w:ascii="Arial" w:hAnsi="Arial" w:cs="Arial"/>
          <w:color w:val="auto"/>
          <w:szCs w:val="21"/>
          <w:highlight w:val="none"/>
        </w:rPr>
        <w:t>7.除非另外达成协议并生效，贵方的中标通知书和本投标文件将成为约束双方的合同文件的组成部分。</w:t>
      </w:r>
    </w:p>
    <w:p>
      <w:pPr>
        <w:spacing w:line="360" w:lineRule="auto"/>
        <w:ind w:firstLine="480"/>
        <w:rPr>
          <w:rFonts w:ascii="Arial" w:hAnsi="Arial" w:cs="Arial"/>
          <w:color w:val="auto"/>
          <w:szCs w:val="21"/>
          <w:highlight w:val="none"/>
        </w:rPr>
      </w:pPr>
      <w:r>
        <w:rPr>
          <w:rFonts w:ascii="Arial" w:hAnsi="Arial" w:cs="Arial"/>
          <w:color w:val="auto"/>
          <w:szCs w:val="21"/>
          <w:highlight w:val="none"/>
        </w:rPr>
        <w:t>8、如果我方中标，我方将实行项目经理负责制，并按投标文件配备项目管理班子。我方承诺不随意更换项目负责人。</w:t>
      </w:r>
    </w:p>
    <w:p>
      <w:pPr>
        <w:pStyle w:val="4"/>
        <w:rPr>
          <w:rFonts w:ascii="Arial" w:hAnsi="Arial" w:cs="Arial"/>
          <w:color w:val="auto"/>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法定代表人（签名或盖章）：</w:t>
      </w:r>
    </w:p>
    <w:p>
      <w:pPr>
        <w:spacing w:line="360" w:lineRule="auto"/>
        <w:rPr>
          <w:rFonts w:ascii="Arial" w:hAnsi="Arial" w:cs="Arial"/>
          <w:color w:val="auto"/>
          <w:szCs w:val="21"/>
          <w:highlight w:val="none"/>
          <w:u w:val="single"/>
        </w:rPr>
      </w:pPr>
      <w:r>
        <w:rPr>
          <w:rFonts w:ascii="Arial" w:hAnsi="Arial" w:cs="Arial"/>
          <w:color w:val="auto"/>
          <w:szCs w:val="21"/>
          <w:highlight w:val="none"/>
        </w:rPr>
        <w:t xml:space="preserve">投标人企业公章：                         日期：  </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pPr>
        <w:autoSpaceDE w:val="0"/>
        <w:autoSpaceDN w:val="0"/>
        <w:adjustRightInd w:val="0"/>
        <w:rPr>
          <w:rFonts w:ascii="Arial" w:hAnsi="Arial" w:cs="Arial"/>
          <w:bCs/>
          <w:color w:val="auto"/>
          <w:szCs w:val="21"/>
          <w:highlight w:val="none"/>
        </w:rPr>
      </w:pPr>
      <w:r>
        <w:rPr>
          <w:rFonts w:ascii="Arial" w:hAnsi="Arial" w:cs="Arial"/>
          <w:color w:val="auto"/>
          <w:highlight w:val="none"/>
        </w:rPr>
        <w:br w:type="page"/>
      </w:r>
      <w:r>
        <w:rPr>
          <w:rFonts w:ascii="Arial" w:hAnsi="Arial" w:cs="Arial"/>
          <w:bCs/>
          <w:color w:val="auto"/>
          <w:szCs w:val="21"/>
          <w:highlight w:val="none"/>
        </w:rPr>
        <w:t>附件二</w:t>
      </w:r>
    </w:p>
    <w:p>
      <w:pPr>
        <w:autoSpaceDE w:val="0"/>
        <w:autoSpaceDN w:val="0"/>
        <w:adjustRightInd w:val="0"/>
        <w:rPr>
          <w:rFonts w:ascii="Arial" w:hAnsi="Arial" w:cs="Arial"/>
          <w:b/>
          <w:bCs/>
          <w:color w:val="auto"/>
          <w:szCs w:val="21"/>
          <w:highlight w:val="none"/>
          <w:lang w:val="zh-CN"/>
        </w:rPr>
      </w:pPr>
      <w:r>
        <w:rPr>
          <w:rFonts w:ascii="Arial" w:hAnsi="Arial" w:cs="Arial"/>
          <w:bCs/>
          <w:color w:val="auto"/>
          <w:szCs w:val="21"/>
          <w:highlight w:val="none"/>
        </w:rPr>
        <w:t>（适用于技术标与经济标同时开启）</w:t>
      </w:r>
    </w:p>
    <w:p>
      <w:pPr>
        <w:autoSpaceDE w:val="0"/>
        <w:autoSpaceDN w:val="0"/>
        <w:adjustRightInd w:val="0"/>
        <w:ind w:left="-540" w:leftChars="-257" w:firstLine="1135" w:firstLineChars="257"/>
        <w:jc w:val="center"/>
        <w:rPr>
          <w:rFonts w:ascii="Arial" w:hAnsi="Arial" w:cs="Arial"/>
          <w:b/>
          <w:bCs/>
          <w:color w:val="auto"/>
          <w:sz w:val="44"/>
          <w:szCs w:val="44"/>
          <w:highlight w:val="none"/>
          <w:lang w:val="zh-CN"/>
        </w:rPr>
      </w:pPr>
    </w:p>
    <w:p>
      <w:pPr>
        <w:autoSpaceDE w:val="0"/>
        <w:autoSpaceDN w:val="0"/>
        <w:adjustRightInd w:val="0"/>
        <w:ind w:left="-540" w:leftChars="-257" w:firstLine="1135" w:firstLineChars="257"/>
        <w:jc w:val="center"/>
        <w:rPr>
          <w:rFonts w:ascii="Arial" w:hAnsi="Arial" w:cs="Arial"/>
          <w:b/>
          <w:bCs/>
          <w:color w:val="auto"/>
          <w:sz w:val="52"/>
          <w:szCs w:val="52"/>
          <w:highlight w:val="none"/>
        </w:rPr>
      </w:pPr>
      <w:r>
        <w:rPr>
          <w:rFonts w:ascii="Arial" w:hAnsi="Arial" w:cs="Arial"/>
          <w:b/>
          <w:bCs/>
          <w:color w:val="auto"/>
          <w:sz w:val="44"/>
          <w:szCs w:val="44"/>
          <w:highlight w:val="none"/>
          <w:lang w:val="zh-CN"/>
        </w:rPr>
        <w:t>广州建设工程施工招标投标书</w:t>
      </w:r>
    </w:p>
    <w:tbl>
      <w:tblPr>
        <w:tblStyle w:val="5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工 程 名 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其中：</w:t>
            </w:r>
            <w:r>
              <w:rPr>
                <w:rFonts w:ascii="Arial" w:hAnsi="Arial" w:cs="Arial"/>
                <w:b/>
                <w:bCs/>
                <w:color w:val="auto"/>
                <w:sz w:val="24"/>
                <w:szCs w:val="24"/>
                <w:highlight w:val="none"/>
                <w:lang w:val="zh-CN"/>
              </w:rPr>
              <w:t>人工费</w:t>
            </w:r>
            <w:r>
              <w:rPr>
                <w:rFonts w:ascii="Arial" w:hAnsi="Arial" w:cs="Arial"/>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b/>
                <w:bCs/>
                <w:color w:val="auto"/>
                <w:sz w:val="24"/>
                <w:szCs w:val="24"/>
                <w:highlight w:val="none"/>
                <w:lang w:val="zh-CN"/>
              </w:rPr>
            </w:pPr>
            <w:r>
              <w:rPr>
                <w:rFonts w:ascii="Arial" w:hAnsi="Arial" w:cs="Arial"/>
                <w:b/>
                <w:bCs/>
                <w:color w:val="auto"/>
                <w:sz w:val="24"/>
                <w:szCs w:val="24"/>
                <w:highlight w:val="none"/>
                <w:lang w:val="zh-CN"/>
              </w:rPr>
              <w:t>其中：</w:t>
            </w:r>
            <w:r>
              <w:rPr>
                <w:rFonts w:ascii="Arial" w:hAnsi="Arial" w:cs="Arial"/>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 w:val="24"/>
                <w:szCs w:val="24"/>
                <w:highlight w:val="none"/>
                <w:lang w:val="zh-CN"/>
              </w:rPr>
            </w:pPr>
            <w:r>
              <w:rPr>
                <w:rFonts w:ascii="Arial" w:hAnsi="Arial" w:cs="Arial"/>
                <w:b/>
                <w:color w:val="auto"/>
                <w:sz w:val="24"/>
                <w:szCs w:val="24"/>
                <w:highlight w:val="none"/>
                <w:lang w:val="zh-CN"/>
              </w:rPr>
              <w:t>投 标 总</w:t>
            </w:r>
            <w:r>
              <w:rPr>
                <w:rFonts w:hint="eastAsia" w:ascii="Arial" w:hAnsi="Arial" w:cs="Arial"/>
                <w:b/>
                <w:color w:val="auto"/>
                <w:sz w:val="24"/>
                <w:szCs w:val="24"/>
                <w:highlight w:val="none"/>
                <w:lang w:val="en-US" w:eastAsia="zh-CN"/>
              </w:rPr>
              <w:t xml:space="preserve"> </w:t>
            </w:r>
            <w:r>
              <w:rPr>
                <w:rFonts w:ascii="Arial" w:hAnsi="Arial" w:cs="Arial"/>
                <w:b/>
                <w:color w:val="auto"/>
                <w:sz w:val="24"/>
                <w:szCs w:val="24"/>
                <w:highlight w:val="none"/>
                <w:lang w:val="zh-CN"/>
              </w:rPr>
              <w:t>工 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 w:val="24"/>
                <w:szCs w:val="24"/>
                <w:highlight w:val="none"/>
              </w:rPr>
            </w:pPr>
            <w:r>
              <w:rPr>
                <w:rFonts w:ascii="Arial" w:hAnsi="Arial" w:cs="Arial"/>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保 修 期 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bl>
    <w:p>
      <w:pPr>
        <w:tabs>
          <w:tab w:val="left" w:pos="720"/>
        </w:tabs>
        <w:snapToGrid w:val="0"/>
        <w:spacing w:line="360" w:lineRule="auto"/>
        <w:rPr>
          <w:rFonts w:ascii="Arial" w:hAnsi="Arial" w:cs="Arial"/>
          <w:color w:val="auto"/>
          <w:sz w:val="24"/>
          <w:szCs w:val="24"/>
          <w:highlight w:val="none"/>
        </w:rPr>
      </w:pPr>
    </w:p>
    <w:tbl>
      <w:tblPr>
        <w:tblStyle w:val="55"/>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Arial" w:hAnsi="Arial" w:cs="Arial"/>
                <w:color w:val="auto"/>
                <w:kern w:val="0"/>
                <w:sz w:val="28"/>
                <w:szCs w:val="28"/>
                <w:highlight w:val="none"/>
              </w:rPr>
            </w:pPr>
            <w:r>
              <w:rPr>
                <w:rFonts w:ascii="Arial" w:hAnsi="Arial" w:cs="Arial"/>
                <w:color w:val="auto"/>
                <w:kern w:val="0"/>
                <w:sz w:val="28"/>
                <w:szCs w:val="28"/>
                <w:highlight w:val="none"/>
              </w:rPr>
              <w:t xml:space="preserve">                                                                                             </w:t>
            </w:r>
          </w:p>
        </w:tc>
      </w:tr>
    </w:tbl>
    <w:p>
      <w:pPr>
        <w:autoSpaceDE w:val="0"/>
        <w:autoSpaceDN w:val="0"/>
        <w:adjustRightInd w:val="0"/>
        <w:rPr>
          <w:rFonts w:ascii="Arial" w:hAnsi="Arial" w:cs="Arial"/>
          <w:color w:val="auto"/>
          <w:szCs w:val="21"/>
          <w:highlight w:val="none"/>
        </w:rPr>
      </w:pPr>
      <w:r>
        <w:rPr>
          <w:rFonts w:ascii="Arial" w:hAnsi="Arial" w:cs="Arial"/>
          <w:color w:val="auto"/>
          <w:sz w:val="24"/>
          <w:szCs w:val="24"/>
          <w:highlight w:val="none"/>
        </w:rPr>
        <w:br w:type="page"/>
      </w:r>
    </w:p>
    <w:p>
      <w:pPr>
        <w:autoSpaceDE w:val="0"/>
        <w:autoSpaceDN w:val="0"/>
        <w:adjustRightInd w:val="0"/>
        <w:rPr>
          <w:rFonts w:ascii="Arial" w:hAnsi="Arial" w:cs="Arial"/>
          <w:color w:val="auto"/>
          <w:szCs w:val="21"/>
          <w:highlight w:val="none"/>
        </w:rPr>
      </w:pPr>
      <w:r>
        <w:rPr>
          <w:rFonts w:ascii="Arial" w:hAnsi="Arial" w:cs="Arial"/>
          <w:color w:val="auto"/>
          <w:szCs w:val="21"/>
          <w:highlight w:val="none"/>
        </w:rPr>
        <w:t>附件三</w:t>
      </w:r>
    </w:p>
    <w:p>
      <w:pPr>
        <w:tabs>
          <w:tab w:val="left" w:pos="720"/>
        </w:tabs>
        <w:snapToGrid w:val="0"/>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t>投标文件编制人员名单</w:t>
      </w:r>
    </w:p>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一、参与编制技术标投标文件人员名单</w:t>
      </w:r>
    </w:p>
    <w:tbl>
      <w:tblPr>
        <w:tblStyle w:val="5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bl>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二、参与编制经济标投标文件人员名单</w:t>
      </w:r>
    </w:p>
    <w:tbl>
      <w:tblPr>
        <w:tblStyle w:val="5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bl>
    <w:p>
      <w:pPr>
        <w:tabs>
          <w:tab w:val="left" w:pos="720"/>
        </w:tabs>
        <w:snapToGrid w:val="0"/>
        <w:spacing w:line="360" w:lineRule="auto"/>
        <w:rPr>
          <w:rFonts w:ascii="Arial" w:hAnsi="Arial" w:cs="Arial"/>
          <w:color w:val="auto"/>
          <w:sz w:val="24"/>
          <w:szCs w:val="24"/>
          <w:highlight w:val="none"/>
        </w:rPr>
      </w:pPr>
    </w:p>
    <w:p>
      <w:pPr>
        <w:pStyle w:val="4"/>
        <w:spacing w:after="0" w:line="360" w:lineRule="auto"/>
        <w:ind w:left="-2" w:leftChars="-1" w:firstLine="367" w:firstLineChars="175"/>
        <w:jc w:val="left"/>
        <w:rPr>
          <w:rFonts w:ascii="Arial" w:hAnsi="Arial" w:cs="Arial"/>
          <w:color w:val="auto"/>
          <w:szCs w:val="21"/>
          <w:highlight w:val="none"/>
        </w:rPr>
      </w:pPr>
      <w:r>
        <w:rPr>
          <w:rFonts w:ascii="Arial" w:hAnsi="Arial" w:cs="Arial"/>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4"/>
        <w:spacing w:after="0" w:line="360" w:lineRule="auto"/>
        <w:ind w:left="-2" w:leftChars="-1" w:firstLineChars="175"/>
        <w:jc w:val="center"/>
        <w:rPr>
          <w:rFonts w:ascii="Arial" w:hAnsi="Arial" w:cs="Arial"/>
          <w:color w:val="auto"/>
          <w:sz w:val="24"/>
          <w:szCs w:val="24"/>
          <w:highlight w:val="none"/>
        </w:rPr>
      </w:pPr>
    </w:p>
    <w:p>
      <w:pPr>
        <w:autoSpaceDE w:val="0"/>
        <w:autoSpaceDN w:val="0"/>
        <w:adjustRightInd w:val="0"/>
        <w:rPr>
          <w:rFonts w:ascii="Arial" w:hAnsi="Arial" w:cs="Arial"/>
          <w:color w:val="auto"/>
          <w:szCs w:val="21"/>
          <w:highlight w:val="none"/>
        </w:rPr>
      </w:pPr>
      <w:r>
        <w:rPr>
          <w:rFonts w:ascii="Arial" w:hAnsi="Arial" w:cs="Arial"/>
          <w:color w:val="auto"/>
          <w:szCs w:val="21"/>
          <w:highlight w:val="none"/>
        </w:rPr>
        <w:t>附件四</w:t>
      </w:r>
    </w:p>
    <w:p>
      <w:pPr>
        <w:pStyle w:val="4"/>
        <w:spacing w:after="0" w:line="360" w:lineRule="auto"/>
        <w:ind w:firstLine="0"/>
        <w:jc w:val="center"/>
        <w:rPr>
          <w:rFonts w:ascii="Arial" w:hAnsi="Arial" w:cs="Arial"/>
          <w:color w:val="auto"/>
          <w:sz w:val="32"/>
          <w:szCs w:val="32"/>
          <w:highlight w:val="none"/>
        </w:rPr>
      </w:pPr>
      <w:r>
        <w:rPr>
          <w:rFonts w:ascii="Arial" w:hAnsi="Arial" w:cs="Arial"/>
          <w:b/>
          <w:color w:val="auto"/>
          <w:sz w:val="32"/>
          <w:szCs w:val="32"/>
          <w:highlight w:val="none"/>
        </w:rPr>
        <w:t>对投标文件编制的承诺</w:t>
      </w:r>
    </w:p>
    <w:p>
      <w:pPr>
        <w:pStyle w:val="4"/>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本公司授权</w:t>
      </w:r>
      <w:r>
        <w:rPr>
          <w:rFonts w:ascii="Arial" w:hAnsi="Arial" w:cs="Arial"/>
          <w:color w:val="auto"/>
          <w:sz w:val="24"/>
          <w:szCs w:val="24"/>
          <w:highlight w:val="none"/>
          <w:u w:val="single"/>
        </w:rPr>
        <w:t xml:space="preserve">         （身份证号：               ）</w:t>
      </w:r>
      <w:r>
        <w:rPr>
          <w:rFonts w:ascii="Arial" w:hAnsi="Arial" w:cs="Arial"/>
          <w:color w:val="auto"/>
          <w:sz w:val="24"/>
          <w:szCs w:val="24"/>
          <w:highlight w:val="none"/>
        </w:rPr>
        <w:t>负责对投标文件的编制及内容进行解释、说明，并承诺以下事项：</w:t>
      </w:r>
    </w:p>
    <w:p>
      <w:pPr>
        <w:pStyle w:val="4"/>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1.被授权人清楚投标文件编制的具体情况，包括技术方案文件、工程量清单、以及投标文件的加密打包的理解；</w:t>
      </w:r>
    </w:p>
    <w:p>
      <w:pPr>
        <w:pStyle w:val="4"/>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2.在本项目开标至评标结束前，努力确保被授权人在项目评标所在地附近；</w:t>
      </w:r>
    </w:p>
    <w:p>
      <w:pPr>
        <w:pStyle w:val="4"/>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3.从评标委员会要求澄清起二小时内，被授权人应如实地书面澄清。</w:t>
      </w:r>
    </w:p>
    <w:p>
      <w:pPr>
        <w:pStyle w:val="4"/>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 xml:space="preserve">如由于未遵守上述承诺内容之一导致无法进行澄清的，我公司认可和接受评标委员会作出的评审结论。                                 </w:t>
      </w:r>
    </w:p>
    <w:p>
      <w:pPr>
        <w:pStyle w:val="4"/>
        <w:spacing w:after="0" w:line="360" w:lineRule="auto"/>
        <w:ind w:firstLine="360" w:firstLineChars="150"/>
        <w:rPr>
          <w:rFonts w:ascii="Arial" w:hAnsi="Arial" w:cs="Arial"/>
          <w:color w:val="auto"/>
          <w:sz w:val="24"/>
          <w:szCs w:val="24"/>
          <w:highlight w:val="none"/>
        </w:rPr>
      </w:pPr>
      <w:r>
        <w:rPr>
          <w:rFonts w:ascii="Arial" w:hAnsi="Arial" w:cs="Arial"/>
          <w:color w:val="auto"/>
          <w:sz w:val="24"/>
          <w:szCs w:val="24"/>
          <w:highlight w:val="none"/>
        </w:rPr>
        <w:t xml:space="preserve"> </w:t>
      </w:r>
    </w:p>
    <w:p>
      <w:pPr>
        <w:pStyle w:val="4"/>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附件：《投标文件编制情况》</w:t>
      </w:r>
    </w:p>
    <w:p>
      <w:pPr>
        <w:spacing w:line="360" w:lineRule="auto"/>
        <w:ind w:right="90" w:firstLine="3240" w:firstLineChars="1350"/>
        <w:rPr>
          <w:rFonts w:ascii="Arial" w:hAnsi="Arial" w:cs="Arial"/>
          <w:color w:val="auto"/>
          <w:sz w:val="24"/>
          <w:szCs w:val="24"/>
          <w:highlight w:val="none"/>
          <w:u w:val="single"/>
        </w:rPr>
      </w:pPr>
      <w:r>
        <w:rPr>
          <w:rFonts w:ascii="Arial" w:hAnsi="Arial" w:cs="Arial"/>
          <w:color w:val="auto"/>
          <w:sz w:val="24"/>
          <w:szCs w:val="24"/>
          <w:highlight w:val="none"/>
        </w:rPr>
        <w:t xml:space="preserve"> 投标人名称（盖法人公章）：</w:t>
      </w:r>
      <w:r>
        <w:rPr>
          <w:rFonts w:ascii="Arial" w:hAnsi="Arial" w:cs="Arial"/>
          <w:color w:val="auto"/>
          <w:sz w:val="24"/>
          <w:szCs w:val="24"/>
          <w:highlight w:val="none"/>
          <w:u w:val="single"/>
        </w:rPr>
        <w:t xml:space="preserve">                  </w:t>
      </w:r>
    </w:p>
    <w:p>
      <w:pPr>
        <w:spacing w:line="360" w:lineRule="auto"/>
        <w:ind w:firstLine="2160" w:firstLineChars="900"/>
        <w:rPr>
          <w:rFonts w:ascii="Arial" w:hAnsi="Arial" w:cs="Arial"/>
          <w:color w:val="auto"/>
          <w:sz w:val="24"/>
          <w:szCs w:val="24"/>
          <w:highlight w:val="none"/>
          <w:u w:val="single"/>
        </w:rPr>
      </w:pPr>
      <w:r>
        <w:rPr>
          <w:rFonts w:ascii="Arial" w:hAnsi="Arial" w:cs="Arial"/>
          <w:color w:val="auto"/>
          <w:sz w:val="24"/>
          <w:szCs w:val="24"/>
          <w:highlight w:val="none"/>
        </w:rPr>
        <w:t>法定代表人或被授权人（签字或盖章）：</w:t>
      </w:r>
      <w:r>
        <w:rPr>
          <w:rFonts w:ascii="Arial" w:hAnsi="Arial" w:cs="Arial"/>
          <w:color w:val="auto"/>
          <w:sz w:val="24"/>
          <w:szCs w:val="24"/>
          <w:highlight w:val="none"/>
          <w:u w:val="single"/>
        </w:rPr>
        <w:t xml:space="preserve">                  </w:t>
      </w:r>
    </w:p>
    <w:p>
      <w:pPr>
        <w:spacing w:line="360" w:lineRule="auto"/>
        <w:ind w:firstLine="4440" w:firstLineChars="1850"/>
        <w:jc w:val="center"/>
        <w:rPr>
          <w:rFonts w:ascii="Arial" w:hAnsi="Arial" w:cs="Arial"/>
          <w:color w:val="auto"/>
          <w:sz w:val="24"/>
          <w:szCs w:val="24"/>
          <w:highlight w:val="none"/>
        </w:rPr>
      </w:pPr>
      <w:r>
        <w:rPr>
          <w:rFonts w:ascii="Arial" w:hAnsi="Arial" w:cs="Arial"/>
          <w:color w:val="auto"/>
          <w:sz w:val="24"/>
          <w:szCs w:val="24"/>
          <w:highlight w:val="none"/>
        </w:rPr>
        <w:t xml:space="preserve"> 日期：      年   月   日 </w:t>
      </w:r>
      <w:r>
        <w:rPr>
          <w:rFonts w:ascii="Arial" w:hAnsi="Arial" w:cs="Arial"/>
          <w:color w:val="auto"/>
          <w:sz w:val="18"/>
          <w:szCs w:val="18"/>
          <w:highlight w:val="none"/>
        </w:rPr>
        <w:t xml:space="preserve"> </w:t>
      </w:r>
      <w:r>
        <w:rPr>
          <w:rFonts w:ascii="Arial" w:hAnsi="Arial" w:cs="Arial"/>
          <w:color w:val="auto"/>
          <w:sz w:val="24"/>
          <w:szCs w:val="24"/>
          <w:highlight w:val="none"/>
        </w:rPr>
        <w:t xml:space="preserve">    </w:t>
      </w:r>
    </w:p>
    <w:p>
      <w:pPr>
        <w:pStyle w:val="4"/>
        <w:spacing w:after="0" w:line="360" w:lineRule="auto"/>
        <w:ind w:firstLine="0"/>
        <w:rPr>
          <w:rFonts w:ascii="Arial" w:hAnsi="Arial" w:cs="Arial"/>
          <w:b/>
          <w:color w:val="auto"/>
          <w:sz w:val="32"/>
          <w:szCs w:val="32"/>
          <w:highlight w:val="none"/>
        </w:rPr>
      </w:pPr>
    </w:p>
    <w:p>
      <w:pPr>
        <w:pStyle w:val="4"/>
        <w:spacing w:after="0" w:line="360" w:lineRule="auto"/>
        <w:ind w:firstLine="643" w:firstLineChars="200"/>
        <w:jc w:val="center"/>
        <w:rPr>
          <w:rFonts w:ascii="Arial" w:hAnsi="Arial" w:cs="Arial"/>
          <w:color w:val="auto"/>
          <w:sz w:val="18"/>
          <w:szCs w:val="18"/>
          <w:highlight w:val="none"/>
        </w:rPr>
      </w:pPr>
      <w:r>
        <w:rPr>
          <w:rFonts w:ascii="Arial" w:hAnsi="Arial" w:cs="Arial"/>
          <w:b/>
          <w:color w:val="auto"/>
          <w:sz w:val="32"/>
          <w:szCs w:val="32"/>
          <w:highlight w:val="none"/>
        </w:rPr>
        <w:t>投标文件编制情况</w:t>
      </w:r>
    </w:p>
    <w:p>
      <w:pPr>
        <w:pStyle w:val="4"/>
        <w:spacing w:after="0"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1.投标文件报价编制方式: □自行编制的，编制的负责人：</w:t>
      </w:r>
      <w:r>
        <w:rPr>
          <w:rFonts w:ascii="Arial" w:hAnsi="Arial" w:cs="Arial"/>
          <w:color w:val="auto"/>
          <w:sz w:val="24"/>
          <w:szCs w:val="24"/>
          <w:highlight w:val="none"/>
          <w:u w:val="single"/>
        </w:rPr>
        <w:t xml:space="preserve"> （盖造价工程师执业专用章或全国建设工程造价员章，执业单位应与投标人一致） </w:t>
      </w:r>
      <w:r>
        <w:rPr>
          <w:rFonts w:ascii="Arial" w:hAnsi="Arial" w:cs="Arial"/>
          <w:color w:val="auto"/>
          <w:sz w:val="24"/>
          <w:szCs w:val="24"/>
          <w:highlight w:val="none"/>
        </w:rPr>
        <w:t>。□委托编制的，受委托单位</w:t>
      </w:r>
      <w:r>
        <w:rPr>
          <w:rFonts w:ascii="Arial" w:hAnsi="Arial" w:cs="Arial"/>
          <w:color w:val="auto"/>
          <w:sz w:val="24"/>
          <w:szCs w:val="24"/>
          <w:highlight w:val="none"/>
          <w:u w:val="single"/>
        </w:rPr>
        <w:t xml:space="preserve">                    </w:t>
      </w:r>
      <w:r>
        <w:rPr>
          <w:rFonts w:ascii="Arial" w:hAnsi="Arial" w:cs="Arial"/>
          <w:color w:val="auto"/>
          <w:sz w:val="24"/>
          <w:szCs w:val="24"/>
          <w:highlight w:val="none"/>
        </w:rPr>
        <w:t>，编制的负责人：</w:t>
      </w:r>
      <w:r>
        <w:rPr>
          <w:rFonts w:ascii="Arial" w:hAnsi="Arial" w:cs="Arial"/>
          <w:color w:val="auto"/>
          <w:sz w:val="24"/>
          <w:szCs w:val="24"/>
          <w:highlight w:val="none"/>
          <w:u w:val="single"/>
        </w:rPr>
        <w:t xml:space="preserve"> （盖造价工程师执业专用章或全国建设工程造价员章，执业单位应与受委托单位一致） </w:t>
      </w:r>
      <w:r>
        <w:rPr>
          <w:rFonts w:ascii="Arial" w:hAnsi="Arial" w:cs="Arial"/>
          <w:color w:val="auto"/>
          <w:sz w:val="24"/>
          <w:szCs w:val="24"/>
          <w:highlight w:val="none"/>
        </w:rPr>
        <w:t>。</w:t>
      </w:r>
    </w:p>
    <w:p>
      <w:pPr>
        <w:pStyle w:val="4"/>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2.投标文件加密打包的电脑情况</w:t>
      </w:r>
    </w:p>
    <w:tbl>
      <w:tblPr>
        <w:tblStyle w:val="5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4"/>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投标文件加密打包的电脑     自有    □      外包    □     其他    □</w:t>
            </w:r>
          </w:p>
          <w:p>
            <w:pPr>
              <w:pStyle w:val="4"/>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电脑类型</w:t>
            </w:r>
          </w:p>
          <w:p>
            <w:pPr>
              <w:pStyle w:val="4"/>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电脑所属单位</w:t>
            </w:r>
          </w:p>
          <w:p>
            <w:pPr>
              <w:pStyle w:val="4"/>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电脑所在地址        （如××市××区(县) ××街（路）××号××大厦××房）</w:t>
            </w:r>
          </w:p>
        </w:tc>
      </w:tr>
    </w:tbl>
    <w:p>
      <w:pPr>
        <w:autoSpaceDE w:val="0"/>
        <w:autoSpaceDN w:val="0"/>
        <w:adjustRightInd w:val="0"/>
        <w:rPr>
          <w:rFonts w:ascii="Arial" w:hAnsi="Arial" w:cs="Arial"/>
          <w:color w:val="auto"/>
          <w:szCs w:val="21"/>
          <w:highlight w:val="none"/>
        </w:rPr>
      </w:pPr>
      <w:r>
        <w:rPr>
          <w:rFonts w:ascii="Arial" w:hAnsi="Arial" w:cs="Arial"/>
          <w:color w:val="auto"/>
          <w:szCs w:val="21"/>
          <w:highlight w:val="none"/>
        </w:rPr>
        <w:br w:type="page"/>
      </w:r>
    </w:p>
    <w:p>
      <w:pPr>
        <w:autoSpaceDE w:val="0"/>
        <w:autoSpaceDN w:val="0"/>
        <w:adjustRightInd w:val="0"/>
        <w:rPr>
          <w:rFonts w:hint="eastAsia" w:ascii="Arial" w:hAnsi="Arial" w:cs="Arial"/>
          <w:color w:val="auto"/>
          <w:szCs w:val="21"/>
          <w:highlight w:val="none"/>
          <w:lang w:val="en-US" w:eastAsia="zh-CN"/>
        </w:rPr>
      </w:pPr>
      <w:r>
        <w:rPr>
          <w:rFonts w:ascii="Arial" w:hAnsi="Arial" w:cs="Arial"/>
          <w:color w:val="auto"/>
          <w:szCs w:val="21"/>
          <w:highlight w:val="none"/>
        </w:rPr>
        <w:t>附件</w:t>
      </w:r>
      <w:r>
        <w:rPr>
          <w:rFonts w:hint="eastAsia" w:ascii="Arial" w:hAnsi="Arial" w:cs="Arial"/>
          <w:color w:val="auto"/>
          <w:szCs w:val="21"/>
          <w:highlight w:val="none"/>
          <w:lang w:val="en-US" w:eastAsia="zh-CN"/>
        </w:rPr>
        <w:t>五</w:t>
      </w:r>
    </w:p>
    <w:p>
      <w:pPr>
        <w:pStyle w:val="31"/>
        <w:rPr>
          <w:rFonts w:hint="eastAsia"/>
          <w:color w:val="auto"/>
          <w:highlight w:val="none"/>
          <w:lang w:val="en-US" w:eastAsia="zh-CN"/>
        </w:rPr>
      </w:pPr>
    </w:p>
    <w:p>
      <w:pPr>
        <w:tabs>
          <w:tab w:val="left" w:pos="720"/>
        </w:tabs>
        <w:snapToGrid w:val="0"/>
        <w:spacing w:line="360" w:lineRule="auto"/>
        <w:ind w:firstLine="0" w:firstLineChars="0"/>
        <w:jc w:val="center"/>
        <w:rPr>
          <w:rFonts w:ascii="Arial" w:hAnsi="Arial" w:cs="Arial"/>
          <w:color w:val="auto"/>
          <w:sz w:val="24"/>
          <w:szCs w:val="24"/>
          <w:highlight w:val="none"/>
        </w:rPr>
      </w:pPr>
      <w:r>
        <w:rPr>
          <w:rFonts w:ascii="Arial" w:hAnsi="Arial" w:cs="Arial"/>
          <w:color w:val="auto"/>
          <w:sz w:val="24"/>
          <w:szCs w:val="24"/>
          <w:highlight w:val="none"/>
        </w:rPr>
        <w:t>20</w:t>
      </w:r>
      <w:r>
        <w:rPr>
          <w:rFonts w:hint="eastAsia" w:ascii="Arial" w:hAnsi="Arial" w:cs="Arial"/>
          <w:color w:val="auto"/>
          <w:sz w:val="24"/>
          <w:szCs w:val="24"/>
          <w:highlight w:val="none"/>
          <w:lang w:val="en-US" w:eastAsia="zh-CN"/>
        </w:rPr>
        <w:t>20</w:t>
      </w:r>
      <w:r>
        <w:rPr>
          <w:rFonts w:ascii="Arial" w:hAnsi="Arial" w:cs="Arial"/>
          <w:color w:val="auto"/>
          <w:sz w:val="24"/>
          <w:szCs w:val="24"/>
          <w:highlight w:val="none"/>
        </w:rPr>
        <w:t>年1月1日至本项目投标截止时间为止业绩一览表</w:t>
      </w:r>
    </w:p>
    <w:p>
      <w:pPr>
        <w:tabs>
          <w:tab w:val="left" w:pos="720"/>
        </w:tabs>
        <w:snapToGrid w:val="0"/>
        <w:spacing w:line="360" w:lineRule="auto"/>
        <w:ind w:firstLine="1200" w:firstLineChars="500"/>
        <w:rPr>
          <w:rFonts w:ascii="Arial" w:hAnsi="Arial" w:cs="Arial"/>
          <w:color w:val="auto"/>
          <w:sz w:val="24"/>
          <w:szCs w:val="24"/>
          <w:highlight w:val="none"/>
        </w:rPr>
      </w:pPr>
    </w:p>
    <w:p>
      <w:pPr>
        <w:tabs>
          <w:tab w:val="left" w:pos="720"/>
        </w:tabs>
        <w:snapToGrid w:val="0"/>
        <w:spacing w:line="360" w:lineRule="auto"/>
        <w:rPr>
          <w:rFonts w:ascii="Arial" w:hAnsi="Arial" w:cs="Arial"/>
          <w:color w:val="auto"/>
          <w:sz w:val="24"/>
          <w:szCs w:val="24"/>
          <w:highlight w:val="none"/>
        </w:rPr>
      </w:pPr>
      <w:r>
        <w:rPr>
          <w:rFonts w:ascii="Arial" w:hAnsi="Arial" w:cs="Arial"/>
          <w:color w:val="auto"/>
          <w:sz w:val="24"/>
          <w:szCs w:val="24"/>
          <w:highlight w:val="none"/>
        </w:rPr>
        <w:t>项目名称：</w:t>
      </w:r>
    </w:p>
    <w:tbl>
      <w:tblPr>
        <w:tblStyle w:val="55"/>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14"/>
        <w:gridCol w:w="1227"/>
        <w:gridCol w:w="2073"/>
        <w:gridCol w:w="121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序号</w:t>
            </w:r>
          </w:p>
        </w:tc>
        <w:tc>
          <w:tcPr>
            <w:tcW w:w="1214"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项目编号</w:t>
            </w:r>
          </w:p>
        </w:tc>
        <w:tc>
          <w:tcPr>
            <w:tcW w:w="1227"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项目名称</w:t>
            </w:r>
          </w:p>
        </w:tc>
        <w:tc>
          <w:tcPr>
            <w:tcW w:w="2073"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合同总价（万元）</w:t>
            </w:r>
          </w:p>
        </w:tc>
        <w:tc>
          <w:tcPr>
            <w:tcW w:w="1214"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完成时间</w:t>
            </w:r>
          </w:p>
        </w:tc>
        <w:tc>
          <w:tcPr>
            <w:tcW w:w="2413"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建设单位联系人及联系电话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bl>
    <w:p>
      <w:pPr>
        <w:tabs>
          <w:tab w:val="left" w:pos="720"/>
        </w:tabs>
        <w:snapToGrid w:val="0"/>
        <w:spacing w:line="360" w:lineRule="auto"/>
        <w:rPr>
          <w:rFonts w:ascii="Arial" w:hAnsi="Arial" w:cs="Arial"/>
          <w:color w:val="auto"/>
          <w:szCs w:val="20"/>
          <w:highlight w:val="none"/>
        </w:rPr>
      </w:pPr>
    </w:p>
    <w:p>
      <w:pPr>
        <w:tabs>
          <w:tab w:val="left" w:pos="720"/>
        </w:tabs>
        <w:snapToGrid w:val="0"/>
        <w:spacing w:line="360" w:lineRule="auto"/>
        <w:rPr>
          <w:rFonts w:ascii="Arial" w:hAnsi="Arial" w:cs="Arial"/>
          <w:color w:val="auto"/>
          <w:szCs w:val="20"/>
          <w:highlight w:val="none"/>
        </w:rPr>
      </w:pPr>
    </w:p>
    <w:p>
      <w:pPr>
        <w:tabs>
          <w:tab w:val="left" w:pos="720"/>
        </w:tabs>
        <w:snapToGrid w:val="0"/>
        <w:spacing w:line="360" w:lineRule="auto"/>
        <w:rPr>
          <w:rFonts w:ascii="Arial" w:hAnsi="Arial" w:cs="Arial"/>
          <w:color w:val="auto"/>
          <w:szCs w:val="21"/>
          <w:highlight w:val="none"/>
        </w:rPr>
      </w:pPr>
      <w:r>
        <w:rPr>
          <w:rFonts w:ascii="Arial" w:hAnsi="Arial" w:cs="Arial"/>
          <w:color w:val="auto"/>
          <w:szCs w:val="21"/>
          <w:highlight w:val="none"/>
        </w:rPr>
        <w:t>投标人名称：（盖章）</w:t>
      </w:r>
    </w:p>
    <w:p>
      <w:pPr>
        <w:tabs>
          <w:tab w:val="left" w:pos="720"/>
        </w:tabs>
        <w:snapToGrid w:val="0"/>
        <w:spacing w:line="360" w:lineRule="auto"/>
        <w:rPr>
          <w:rFonts w:ascii="Arial" w:hAnsi="Arial" w:cs="Arial"/>
          <w:color w:val="auto"/>
          <w:szCs w:val="21"/>
          <w:highlight w:val="none"/>
        </w:rPr>
      </w:pPr>
      <w:r>
        <w:rPr>
          <w:rFonts w:ascii="Arial" w:hAnsi="Arial" w:cs="Arial"/>
          <w:color w:val="auto"/>
          <w:szCs w:val="21"/>
          <w:highlight w:val="none"/>
        </w:rPr>
        <w:t>投标人授权代表：（签字或盖章）</w:t>
      </w:r>
    </w:p>
    <w:p>
      <w:pPr>
        <w:widowControl/>
        <w:jc w:val="left"/>
        <w:rPr>
          <w:rFonts w:ascii="Arial" w:hAnsi="Arial" w:cs="Arial"/>
          <w:color w:val="auto"/>
          <w:sz w:val="24"/>
          <w:szCs w:val="24"/>
          <w:highlight w:val="none"/>
        </w:rPr>
      </w:pPr>
      <w:r>
        <w:rPr>
          <w:rFonts w:ascii="Arial" w:hAnsi="Arial" w:cs="Arial"/>
          <w:snapToGrid w:val="0"/>
          <w:color w:val="auto"/>
          <w:highlight w:val="none"/>
        </w:rPr>
        <w:br w:type="page"/>
      </w:r>
      <w:r>
        <w:rPr>
          <w:rFonts w:ascii="Arial" w:hAnsi="Arial" w:cs="Arial"/>
          <w:color w:val="auto"/>
          <w:sz w:val="24"/>
          <w:szCs w:val="24"/>
          <w:highlight w:val="none"/>
        </w:rPr>
        <w:t>附件</w:t>
      </w:r>
      <w:r>
        <w:rPr>
          <w:rFonts w:hint="eastAsia" w:ascii="Arial" w:hAnsi="Arial" w:cs="Arial"/>
          <w:color w:val="auto"/>
          <w:sz w:val="24"/>
          <w:szCs w:val="24"/>
          <w:highlight w:val="none"/>
          <w:lang w:val="en-US" w:eastAsia="zh-CN"/>
        </w:rPr>
        <w:t>六</w:t>
      </w:r>
      <w:r>
        <w:rPr>
          <w:rFonts w:ascii="Arial" w:hAnsi="Arial" w:cs="Arial"/>
          <w:color w:val="auto"/>
          <w:sz w:val="24"/>
          <w:szCs w:val="24"/>
          <w:highlight w:val="none"/>
        </w:rPr>
        <w:t>：拟委派本项目组织管理机构人员一览表</w:t>
      </w:r>
    </w:p>
    <w:p>
      <w:pPr>
        <w:pStyle w:val="142"/>
        <w:rPr>
          <w:rFonts w:ascii="Arial" w:hAnsi="Arial" w:eastAsia="宋体" w:cs="Arial"/>
          <w:b w:val="0"/>
          <w:color w:val="auto"/>
          <w:highlight w:val="none"/>
        </w:rPr>
      </w:pPr>
      <w:r>
        <w:rPr>
          <w:rFonts w:ascii="Arial" w:hAnsi="Arial" w:eastAsia="宋体" w:cs="Arial"/>
          <w:b w:val="0"/>
          <w:color w:val="auto"/>
          <w:highlight w:val="none"/>
        </w:rPr>
        <w:t>投入主要人员汇总表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53"/>
        <w:gridCol w:w="960"/>
        <w:gridCol w:w="960"/>
        <w:gridCol w:w="960"/>
        <w:gridCol w:w="960"/>
        <w:gridCol w:w="960"/>
        <w:gridCol w:w="13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43"/>
              <w:jc w:val="center"/>
              <w:rPr>
                <w:rFonts w:ascii="Arial" w:hAnsi="Arial" w:cs="Arial"/>
                <w:b/>
                <w:color w:val="auto"/>
                <w:highlight w:val="none"/>
              </w:rPr>
            </w:pPr>
            <w:r>
              <w:rPr>
                <w:rFonts w:ascii="Arial" w:hAnsi="Arial" w:cs="Arial"/>
                <w:b/>
                <w:color w:val="auto"/>
                <w:highlight w:val="none"/>
              </w:rPr>
              <w:t>序号</w:t>
            </w:r>
          </w:p>
        </w:tc>
        <w:tc>
          <w:tcPr>
            <w:tcW w:w="1353" w:type="dxa"/>
            <w:vAlign w:val="center"/>
          </w:tcPr>
          <w:p>
            <w:pPr>
              <w:pStyle w:val="143"/>
              <w:jc w:val="center"/>
              <w:rPr>
                <w:rFonts w:ascii="Arial" w:hAnsi="Arial" w:cs="Arial"/>
                <w:b/>
                <w:color w:val="auto"/>
                <w:highlight w:val="none"/>
              </w:rPr>
            </w:pPr>
            <w:r>
              <w:rPr>
                <w:rFonts w:ascii="Arial" w:hAnsi="Arial" w:cs="Arial"/>
                <w:b/>
                <w:color w:val="auto"/>
                <w:spacing w:val="-6"/>
                <w:highlight w:val="none"/>
              </w:rPr>
              <w:t>在本项目担任的职务</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姓名</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年龄</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职称</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专业</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从事相关工作年限</w:t>
            </w:r>
          </w:p>
        </w:tc>
        <w:tc>
          <w:tcPr>
            <w:tcW w:w="1360" w:type="dxa"/>
            <w:vAlign w:val="center"/>
          </w:tcPr>
          <w:p>
            <w:pPr>
              <w:pStyle w:val="143"/>
              <w:jc w:val="center"/>
              <w:rPr>
                <w:rFonts w:ascii="Arial" w:hAnsi="Arial" w:cs="Arial"/>
                <w:b/>
                <w:color w:val="auto"/>
                <w:highlight w:val="none"/>
              </w:rPr>
            </w:pPr>
            <w:r>
              <w:rPr>
                <w:rFonts w:ascii="Arial" w:hAnsi="Arial" w:cs="Arial"/>
                <w:b/>
                <w:color w:val="auto"/>
                <w:highlight w:val="none"/>
              </w:rPr>
              <w:t>工程师注册（或岗位）证号</w:t>
            </w:r>
          </w:p>
        </w:tc>
        <w:tc>
          <w:tcPr>
            <w:tcW w:w="1276" w:type="dxa"/>
            <w:vAlign w:val="center"/>
          </w:tcPr>
          <w:p>
            <w:pPr>
              <w:pStyle w:val="143"/>
              <w:jc w:val="center"/>
              <w:rPr>
                <w:rFonts w:ascii="Arial" w:hAnsi="Arial" w:cs="Arial"/>
                <w:b/>
                <w:color w:val="auto"/>
                <w:highlight w:val="none"/>
              </w:rPr>
            </w:pPr>
            <w:r>
              <w:rPr>
                <w:rFonts w:ascii="Arial" w:hAnsi="Arial"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bl>
    <w:p>
      <w:pPr>
        <w:pStyle w:val="139"/>
        <w:spacing w:line="400" w:lineRule="exact"/>
        <w:ind w:firstLine="496"/>
        <w:rPr>
          <w:rFonts w:ascii="Arial" w:hAnsi="Arial" w:eastAsia="宋体" w:cs="Arial"/>
          <w:color w:val="auto"/>
          <w:highlight w:val="none"/>
        </w:rPr>
      </w:pPr>
    </w:p>
    <w:p>
      <w:pPr>
        <w:pStyle w:val="139"/>
        <w:ind w:firstLine="0" w:firstLineChars="0"/>
        <w:jc w:val="center"/>
        <w:rPr>
          <w:rFonts w:ascii="Arial" w:hAnsi="Arial" w:eastAsia="宋体" w:cs="Arial"/>
          <w:color w:val="auto"/>
          <w:highlight w:val="none"/>
        </w:rPr>
      </w:pPr>
      <w:r>
        <w:rPr>
          <w:rFonts w:ascii="Arial" w:hAnsi="Arial" w:eastAsia="宋体" w:cs="Arial"/>
          <w:color w:val="auto"/>
          <w:highlight w:val="none"/>
        </w:rPr>
        <w:t xml:space="preserve">             投标人：　　（盖章）</w:t>
      </w:r>
    </w:p>
    <w:p>
      <w:pPr>
        <w:pStyle w:val="139"/>
        <w:ind w:firstLine="3720" w:firstLineChars="1500"/>
        <w:rPr>
          <w:rFonts w:ascii="Arial" w:hAnsi="Arial" w:eastAsia="宋体" w:cs="Arial"/>
          <w:color w:val="auto"/>
          <w:highlight w:val="none"/>
        </w:rPr>
      </w:pPr>
      <w:r>
        <w:rPr>
          <w:rFonts w:ascii="Arial" w:hAnsi="Arial" w:eastAsia="宋体" w:cs="Arial"/>
          <w:color w:val="auto"/>
          <w:highlight w:val="none"/>
        </w:rPr>
        <w:t>法定代表人或授权代理人(签字或盖章)：</w:t>
      </w:r>
    </w:p>
    <w:p>
      <w:pPr>
        <w:pStyle w:val="139"/>
        <w:ind w:firstLine="3720" w:firstLineChars="1500"/>
        <w:rPr>
          <w:rFonts w:ascii="Arial" w:hAnsi="Arial" w:eastAsia="宋体" w:cs="Arial"/>
          <w:color w:val="auto"/>
          <w:sz w:val="18"/>
          <w:szCs w:val="18"/>
          <w:highlight w:val="none"/>
        </w:rPr>
      </w:pPr>
      <w:r>
        <w:rPr>
          <w:rFonts w:ascii="Arial" w:hAnsi="Arial" w:eastAsia="宋体" w:cs="Arial"/>
          <w:color w:val="auto"/>
          <w:highlight w:val="none"/>
        </w:rPr>
        <w:t>日   期：    年    月    日</w:t>
      </w:r>
    </w:p>
    <w:p>
      <w:pPr>
        <w:pStyle w:val="139"/>
        <w:ind w:firstLine="3596" w:firstLineChars="1450"/>
        <w:rPr>
          <w:rFonts w:ascii="Arial" w:hAnsi="Arial" w:eastAsia="宋体" w:cs="Arial"/>
          <w:color w:val="auto"/>
          <w:highlight w:val="none"/>
        </w:rPr>
      </w:pPr>
    </w:p>
    <w:p>
      <w:pPr>
        <w:pStyle w:val="140"/>
        <w:spacing w:beforeLines="0"/>
        <w:rPr>
          <w:rFonts w:ascii="Arial" w:hAnsi="Arial" w:eastAsia="宋体" w:cs="Arial"/>
          <w:color w:val="auto"/>
          <w:highlight w:val="none"/>
        </w:rPr>
      </w:pPr>
      <w:bookmarkStart w:id="47" w:name="_Toc449308426"/>
      <w:bookmarkStart w:id="48" w:name="_Toc239311752"/>
      <w:bookmarkStart w:id="49" w:name="_Toc369536776"/>
      <w:bookmarkStart w:id="50" w:name="_Toc337720097"/>
      <w:bookmarkStart w:id="51" w:name="_Toc239216037"/>
      <w:bookmarkStart w:id="52" w:name="_Toc163337626"/>
      <w:bookmarkStart w:id="53" w:name="_Toc395261105"/>
      <w:bookmarkStart w:id="54" w:name="_Toc352623427"/>
      <w:bookmarkStart w:id="55" w:name="_Toc352240529"/>
      <w:bookmarkStart w:id="56" w:name="_Toc226209009"/>
      <w:bookmarkStart w:id="57" w:name="_Toc318924501"/>
      <w:bookmarkStart w:id="58" w:name="_Toc358370584"/>
    </w:p>
    <w:p>
      <w:pPr>
        <w:pStyle w:val="140"/>
        <w:spacing w:beforeLines="0"/>
        <w:rPr>
          <w:rFonts w:ascii="Arial" w:hAnsi="Arial" w:eastAsia="宋体" w:cs="Arial"/>
          <w:b w:val="0"/>
          <w:color w:val="auto"/>
          <w:highlight w:val="none"/>
        </w:rPr>
      </w:pPr>
      <w:bookmarkStart w:id="59" w:name="_Toc23443"/>
      <w:bookmarkStart w:id="60" w:name="_Toc464131230"/>
      <w:bookmarkStart w:id="61" w:name="_Toc515454599"/>
      <w:bookmarkStart w:id="62" w:name="_Toc11987"/>
    </w:p>
    <w:p>
      <w:pPr>
        <w:rPr>
          <w:rFonts w:ascii="Arial" w:hAnsi="Arial" w:cs="Arial"/>
          <w:color w:val="auto"/>
          <w:sz w:val="24"/>
          <w:szCs w:val="24"/>
          <w:highlight w:val="none"/>
        </w:rPr>
      </w:pPr>
      <w:r>
        <w:rPr>
          <w:rFonts w:ascii="Arial" w:hAnsi="Arial" w:cs="Arial"/>
          <w:color w:val="auto"/>
          <w:sz w:val="24"/>
          <w:szCs w:val="24"/>
          <w:highlight w:val="none"/>
        </w:rPr>
        <w:br w:type="page"/>
      </w:r>
    </w:p>
    <w:p>
      <w:pPr>
        <w:pStyle w:val="141"/>
        <w:spacing w:beforeLines="0" w:after="120"/>
        <w:jc w:val="left"/>
        <w:rPr>
          <w:rFonts w:ascii="Arial" w:hAnsi="Arial" w:eastAsia="宋体" w:cs="Arial"/>
          <w:b w:val="0"/>
          <w:color w:val="auto"/>
          <w:spacing w:val="0"/>
          <w:kern w:val="2"/>
          <w:highlight w:val="none"/>
        </w:rPr>
      </w:pPr>
      <w:bookmarkStart w:id="63" w:name="_Toc101266302"/>
      <w:r>
        <w:rPr>
          <w:rFonts w:ascii="Arial" w:hAnsi="Arial" w:eastAsia="宋体" w:cs="Arial"/>
          <w:b w:val="0"/>
          <w:color w:val="auto"/>
          <w:spacing w:val="0"/>
          <w:kern w:val="2"/>
          <w:sz w:val="24"/>
          <w:szCs w:val="24"/>
          <w:highlight w:val="none"/>
        </w:rPr>
        <w:t>附件</w:t>
      </w:r>
      <w:r>
        <w:rPr>
          <w:rFonts w:hint="eastAsia" w:ascii="Arial" w:hAnsi="Arial" w:eastAsia="宋体" w:cs="Arial"/>
          <w:b w:val="0"/>
          <w:color w:val="auto"/>
          <w:spacing w:val="0"/>
          <w:kern w:val="2"/>
          <w:sz w:val="24"/>
          <w:szCs w:val="24"/>
          <w:highlight w:val="none"/>
          <w:lang w:val="en-US" w:eastAsia="zh-CN"/>
        </w:rPr>
        <w:t>七</w:t>
      </w:r>
      <w:r>
        <w:rPr>
          <w:rFonts w:ascii="Arial" w:hAnsi="Arial" w:eastAsia="宋体" w:cs="Arial"/>
          <w:b w:val="0"/>
          <w:color w:val="auto"/>
          <w:spacing w:val="0"/>
          <w:kern w:val="2"/>
          <w:sz w:val="24"/>
          <w:szCs w:val="24"/>
          <w:highlight w:val="none"/>
        </w:rPr>
        <w:t>：主要人员简历表</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142"/>
        <w:rPr>
          <w:rFonts w:ascii="Arial" w:hAnsi="Arial" w:eastAsia="宋体" w:cs="Arial"/>
          <w:b w:val="0"/>
          <w:color w:val="auto"/>
          <w:highlight w:val="none"/>
        </w:rPr>
      </w:pPr>
      <w:r>
        <w:rPr>
          <w:rFonts w:ascii="Arial" w:hAnsi="Arial" w:eastAsia="宋体" w:cs="Arial"/>
          <w:b w:val="0"/>
          <w:color w:val="auto"/>
          <w:highlight w:val="none"/>
        </w:rPr>
        <w:t>主要人员简历表</w:t>
      </w:r>
    </w:p>
    <w:p>
      <w:pPr>
        <w:pStyle w:val="139"/>
        <w:ind w:firstLine="0" w:firstLineChars="0"/>
        <w:rPr>
          <w:rFonts w:ascii="Arial" w:hAnsi="Arial" w:eastAsia="宋体" w:cs="Arial"/>
          <w:color w:val="auto"/>
          <w:highlight w:val="none"/>
        </w:rPr>
      </w:pPr>
    </w:p>
    <w:tbl>
      <w:tblPr>
        <w:tblStyle w:val="55"/>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bCs/>
                <w:color w:val="auto"/>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参加工作</w:t>
            </w:r>
          </w:p>
          <w:p>
            <w:pPr>
              <w:pStyle w:val="143"/>
              <w:jc w:val="center"/>
              <w:rPr>
                <w:rFonts w:ascii="Arial" w:hAnsi="Arial" w:cs="Arial"/>
                <w:b/>
                <w:color w:val="auto"/>
                <w:sz w:val="24"/>
                <w:szCs w:val="24"/>
                <w:highlight w:val="none"/>
              </w:rPr>
            </w:pPr>
            <w:r>
              <w:rPr>
                <w:rFonts w:ascii="Arial" w:hAnsi="Arial" w:cs="Arial"/>
                <w:b/>
                <w:color w:val="auto"/>
                <w:sz w:val="24"/>
                <w:szCs w:val="24"/>
                <w:highlight w:val="none"/>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r>
              <w:rPr>
                <w:rFonts w:ascii="Arial" w:hAnsi="Arial" w:eastAsia="宋体" w:cs="Arial"/>
                <w:b/>
                <w:color w:val="auto"/>
                <w:kern w:val="2"/>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r>
              <w:rPr>
                <w:rFonts w:ascii="Arial" w:hAnsi="Arial" w:eastAsia="宋体" w:cs="Arial"/>
                <w:b/>
                <w:color w:val="auto"/>
                <w:kern w:val="2"/>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r>
    </w:tbl>
    <w:p>
      <w:pPr>
        <w:pStyle w:val="139"/>
        <w:ind w:firstLine="496"/>
        <w:rPr>
          <w:rFonts w:ascii="Arial" w:hAnsi="Arial" w:eastAsia="宋体" w:cs="Arial"/>
          <w:color w:val="auto"/>
          <w:highlight w:val="none"/>
        </w:rPr>
      </w:pPr>
    </w:p>
    <w:p>
      <w:pPr>
        <w:pStyle w:val="139"/>
        <w:ind w:firstLine="496"/>
        <w:rPr>
          <w:rFonts w:ascii="Arial" w:hAnsi="Arial" w:eastAsia="宋体" w:cs="Arial"/>
          <w:color w:val="auto"/>
          <w:highlight w:val="none"/>
        </w:rPr>
      </w:pPr>
    </w:p>
    <w:p>
      <w:pPr>
        <w:pStyle w:val="139"/>
        <w:ind w:firstLine="3161" w:firstLineChars="1450"/>
        <w:rPr>
          <w:rFonts w:ascii="Arial" w:hAnsi="Arial" w:eastAsia="宋体" w:cs="Arial"/>
          <w:color w:val="auto"/>
          <w:sz w:val="21"/>
          <w:szCs w:val="21"/>
          <w:highlight w:val="none"/>
        </w:rPr>
      </w:pPr>
      <w:r>
        <w:rPr>
          <w:rFonts w:ascii="Arial" w:hAnsi="Arial" w:eastAsia="宋体" w:cs="Arial"/>
          <w:color w:val="auto"/>
          <w:sz w:val="21"/>
          <w:szCs w:val="21"/>
          <w:highlight w:val="none"/>
        </w:rPr>
        <w:t>投标人：　　（盖章）</w:t>
      </w:r>
    </w:p>
    <w:p>
      <w:pPr>
        <w:pStyle w:val="139"/>
        <w:ind w:firstLine="3161" w:firstLineChars="1450"/>
        <w:rPr>
          <w:rFonts w:ascii="Arial" w:hAnsi="Arial" w:eastAsia="宋体" w:cs="Arial"/>
          <w:color w:val="auto"/>
          <w:sz w:val="21"/>
          <w:szCs w:val="21"/>
          <w:highlight w:val="none"/>
        </w:rPr>
      </w:pPr>
      <w:r>
        <w:rPr>
          <w:rFonts w:ascii="Arial" w:hAnsi="Arial" w:eastAsia="宋体" w:cs="Arial"/>
          <w:color w:val="auto"/>
          <w:sz w:val="21"/>
          <w:szCs w:val="21"/>
          <w:highlight w:val="none"/>
        </w:rPr>
        <w:t>法定代表人或授权代理人(签字或盖章)：</w:t>
      </w:r>
    </w:p>
    <w:p>
      <w:pPr>
        <w:tabs>
          <w:tab w:val="left" w:pos="720"/>
        </w:tabs>
        <w:snapToGrid w:val="0"/>
        <w:spacing w:line="360" w:lineRule="auto"/>
        <w:jc w:val="right"/>
        <w:rPr>
          <w:rFonts w:ascii="Arial" w:hAnsi="Arial" w:cs="Arial"/>
          <w:color w:val="auto"/>
          <w:szCs w:val="21"/>
          <w:highlight w:val="none"/>
        </w:rPr>
      </w:pPr>
      <w:r>
        <w:rPr>
          <w:rFonts w:ascii="Arial" w:hAnsi="Arial" w:cs="Arial"/>
          <w:color w:val="auto"/>
          <w:szCs w:val="21"/>
          <w:highlight w:val="none"/>
        </w:rPr>
        <w:t>日期：年月日</w:t>
      </w:r>
    </w:p>
    <w:p>
      <w:pPr>
        <w:rPr>
          <w:rFonts w:ascii="Arial" w:hAnsi="Arial" w:cs="Arial"/>
          <w:color w:val="auto"/>
          <w:highlight w:val="none"/>
        </w:rPr>
      </w:pPr>
    </w:p>
    <w:p>
      <w:pPr>
        <w:pStyle w:val="141"/>
        <w:spacing w:beforeLines="0" w:after="120"/>
        <w:jc w:val="left"/>
        <w:rPr>
          <w:rFonts w:ascii="Arial" w:hAnsi="Arial" w:eastAsia="宋体" w:cs="Arial"/>
          <w:b w:val="0"/>
          <w:color w:val="auto"/>
          <w:spacing w:val="0"/>
          <w:kern w:val="2"/>
          <w:sz w:val="24"/>
          <w:szCs w:val="24"/>
          <w:highlight w:val="none"/>
        </w:rPr>
      </w:pPr>
      <w:bookmarkStart w:id="64" w:name="_Toc101266307"/>
      <w:r>
        <w:rPr>
          <w:rFonts w:ascii="Arial" w:hAnsi="Arial" w:eastAsia="宋体" w:cs="Arial"/>
          <w:b w:val="0"/>
          <w:color w:val="auto"/>
          <w:spacing w:val="0"/>
          <w:kern w:val="2"/>
          <w:sz w:val="24"/>
          <w:szCs w:val="24"/>
          <w:highlight w:val="none"/>
        </w:rPr>
        <w:t>附件</w:t>
      </w:r>
      <w:r>
        <w:rPr>
          <w:rFonts w:hint="eastAsia" w:ascii="Arial" w:hAnsi="Arial" w:eastAsia="宋体" w:cs="Arial"/>
          <w:b w:val="0"/>
          <w:color w:val="auto"/>
          <w:spacing w:val="0"/>
          <w:kern w:val="2"/>
          <w:sz w:val="24"/>
          <w:szCs w:val="24"/>
          <w:highlight w:val="none"/>
          <w:lang w:val="en-US" w:eastAsia="zh-CN"/>
        </w:rPr>
        <w:t>八</w:t>
      </w:r>
      <w:r>
        <w:rPr>
          <w:rFonts w:ascii="Arial" w:hAnsi="Arial" w:eastAsia="宋体" w:cs="Arial"/>
          <w:b w:val="0"/>
          <w:color w:val="auto"/>
          <w:spacing w:val="0"/>
          <w:kern w:val="2"/>
          <w:sz w:val="24"/>
          <w:szCs w:val="24"/>
          <w:highlight w:val="none"/>
        </w:rPr>
        <w:t>：施工组织设计</w:t>
      </w:r>
      <w:bookmarkEnd w:id="64"/>
    </w:p>
    <w:p>
      <w:pPr>
        <w:spacing w:line="480" w:lineRule="exact"/>
        <w:rPr>
          <w:rFonts w:ascii="Arial" w:hAnsi="Arial" w:cs="Arial"/>
          <w:b/>
          <w:bCs/>
          <w:color w:val="auto"/>
          <w:kern w:val="0"/>
          <w:sz w:val="32"/>
          <w:szCs w:val="32"/>
          <w:highlight w:val="none"/>
        </w:rPr>
      </w:pPr>
    </w:p>
    <w:p>
      <w:pPr>
        <w:autoSpaceDE w:val="0"/>
        <w:autoSpaceDN w:val="0"/>
        <w:adjustRightInd w:val="0"/>
        <w:snapToGrid w:val="0"/>
        <w:spacing w:line="48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响应招标文件所附施工组织设计要点的承诺书</w:t>
      </w:r>
    </w:p>
    <w:p>
      <w:pPr>
        <w:spacing w:line="400" w:lineRule="exact"/>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（招标人）</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我方承诺，如中标承建</w:t>
      </w:r>
      <w:r>
        <w:rPr>
          <w:rFonts w:hint="eastAsia" w:ascii="宋体" w:hAnsi="宋体" w:eastAsia="宋体" w:cs="宋体"/>
          <w:color w:val="auto"/>
          <w:sz w:val="28"/>
          <w:szCs w:val="28"/>
          <w:highlight w:val="none"/>
          <w:u w:val="single"/>
        </w:rPr>
        <w:t xml:space="preserve">  (项目名称)</w:t>
      </w:r>
      <w:r>
        <w:rPr>
          <w:rFonts w:hint="eastAsia" w:ascii="宋体" w:hAnsi="宋体" w:eastAsia="宋体" w:cs="宋体"/>
          <w:color w:val="auto"/>
          <w:sz w:val="28"/>
          <w:szCs w:val="28"/>
          <w:highlight w:val="none"/>
        </w:rPr>
        <w:t>，将按招标文件所附的本工程</w:t>
      </w:r>
      <w:r>
        <w:rPr>
          <w:rFonts w:hint="eastAsia" w:ascii="宋体" w:hAnsi="宋体" w:eastAsia="宋体" w:cs="宋体"/>
          <w:color w:val="auto"/>
          <w:sz w:val="28"/>
          <w:szCs w:val="28"/>
          <w:highlight w:val="none"/>
          <w:u w:val="single"/>
        </w:rPr>
        <w:t xml:space="preserve"> 施工组织设计要点 </w:t>
      </w:r>
      <w:r>
        <w:rPr>
          <w:rFonts w:hint="eastAsia" w:ascii="宋体" w:hAnsi="宋体" w:eastAsia="宋体" w:cs="宋体"/>
          <w:color w:val="auto"/>
          <w:sz w:val="28"/>
          <w:szCs w:val="28"/>
          <w:highlight w:val="none"/>
        </w:rPr>
        <w:t>进行响应的基础上自行组织施工。并承诺在中标后按招标文件所附的</w:t>
      </w:r>
      <w:r>
        <w:rPr>
          <w:rFonts w:hint="eastAsia" w:ascii="宋体" w:hAnsi="宋体" w:eastAsia="宋体" w:cs="宋体"/>
          <w:color w:val="auto"/>
          <w:sz w:val="28"/>
          <w:szCs w:val="28"/>
          <w:highlight w:val="none"/>
          <w:u w:val="single"/>
        </w:rPr>
        <w:t xml:space="preserve"> 施工组织设计要点 </w:t>
      </w:r>
      <w:r>
        <w:rPr>
          <w:rFonts w:hint="eastAsia" w:ascii="宋体" w:hAnsi="宋体" w:eastAsia="宋体" w:cs="宋体"/>
          <w:color w:val="auto"/>
          <w:sz w:val="28"/>
          <w:szCs w:val="28"/>
          <w:highlight w:val="none"/>
        </w:rPr>
        <w:t>基础上编制详细的施工组织设计，并报经监理单位和建设单位审批后实施。</w:t>
      </w:r>
    </w:p>
    <w:p>
      <w:pPr>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p>
    <w:p>
      <w:pPr>
        <w:spacing w:line="400" w:lineRule="exact"/>
        <w:ind w:firstLine="3480" w:firstLineChars="1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投标人名称（盖法人公章）：</w:t>
      </w:r>
      <w:r>
        <w:rPr>
          <w:rFonts w:hint="eastAsia" w:ascii="宋体" w:hAnsi="宋体" w:eastAsia="宋体" w:cs="宋体"/>
          <w:color w:val="auto"/>
          <w:sz w:val="24"/>
          <w:szCs w:val="24"/>
          <w:highlight w:val="none"/>
          <w:u w:val="single"/>
        </w:rPr>
        <w:t xml:space="preserve">                   </w:t>
      </w:r>
    </w:p>
    <w:p>
      <w:pPr>
        <w:spacing w:line="400" w:lineRule="exact"/>
        <w:ind w:firstLine="3480" w:firstLineChars="1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u w:val="single"/>
        </w:rPr>
        <w:t xml:space="preserve">         </w:t>
      </w:r>
    </w:p>
    <w:p>
      <w:pPr>
        <w:spacing w:line="400" w:lineRule="exact"/>
        <w:ind w:firstLine="3480" w:firstLineChars="1450"/>
        <w:rPr>
          <w:rFonts w:hint="eastAsia" w:ascii="宋体" w:hAnsi="宋体" w:eastAsia="宋体" w:cs="宋体"/>
          <w:color w:val="000000"/>
          <w:sz w:val="21"/>
          <w:szCs w:val="21"/>
        </w:rPr>
      </w:pPr>
      <w:r>
        <w:rPr>
          <w:rFonts w:hint="eastAsia" w:ascii="宋体" w:hAnsi="宋体" w:eastAsia="宋体" w:cs="宋体"/>
          <w:color w:val="auto"/>
          <w:sz w:val="24"/>
          <w:szCs w:val="24"/>
          <w:highlight w:val="none"/>
        </w:rPr>
        <w:t>日     期：      年   月   日</w:t>
      </w: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4"/>
        <w:rPr>
          <w:rFonts w:ascii="Arial" w:hAnsi="Arial" w:cs="Arial"/>
          <w:color w:val="auto"/>
          <w:highlight w:val="none"/>
        </w:rPr>
      </w:pPr>
    </w:p>
    <w:p>
      <w:pPr>
        <w:pStyle w:val="141"/>
        <w:spacing w:beforeLines="0" w:after="120"/>
        <w:jc w:val="left"/>
        <w:rPr>
          <w:rFonts w:hint="eastAsia" w:ascii="Arial" w:hAnsi="Arial" w:eastAsia="宋体" w:cs="Arial"/>
          <w:b w:val="0"/>
          <w:color w:val="auto"/>
          <w:spacing w:val="0"/>
          <w:kern w:val="2"/>
          <w:sz w:val="24"/>
          <w:szCs w:val="24"/>
          <w:highlight w:val="none"/>
        </w:rPr>
      </w:pPr>
      <w:r>
        <w:rPr>
          <w:rFonts w:hint="eastAsia" w:ascii="Arial" w:hAnsi="Arial" w:eastAsia="宋体" w:cs="Arial"/>
          <w:b w:val="0"/>
          <w:color w:val="auto"/>
          <w:spacing w:val="0"/>
          <w:kern w:val="2"/>
          <w:sz w:val="24"/>
          <w:szCs w:val="24"/>
          <w:highlight w:val="none"/>
        </w:rPr>
        <w:t>附件</w:t>
      </w:r>
      <w:r>
        <w:rPr>
          <w:rFonts w:hint="eastAsia" w:ascii="Arial" w:hAnsi="Arial" w:eastAsia="宋体" w:cs="Arial"/>
          <w:b w:val="0"/>
          <w:color w:val="auto"/>
          <w:spacing w:val="0"/>
          <w:kern w:val="2"/>
          <w:sz w:val="24"/>
          <w:szCs w:val="24"/>
          <w:highlight w:val="none"/>
          <w:lang w:val="en-US" w:eastAsia="zh-CN"/>
        </w:rPr>
        <w:t>九</w:t>
      </w:r>
      <w:r>
        <w:rPr>
          <w:rFonts w:hint="eastAsia" w:ascii="Arial" w:hAnsi="Arial" w:eastAsia="宋体" w:cs="Arial"/>
          <w:b w:val="0"/>
          <w:color w:val="auto"/>
          <w:spacing w:val="0"/>
          <w:kern w:val="2"/>
          <w:sz w:val="24"/>
          <w:szCs w:val="24"/>
          <w:highlight w:val="none"/>
        </w:rPr>
        <w:t>：施工项目管理团队人员信息表</w:t>
      </w:r>
    </w:p>
    <w:tbl>
      <w:tblPr>
        <w:tblStyle w:val="55"/>
        <w:tblW w:w="9115" w:type="dxa"/>
        <w:jc w:val="center"/>
        <w:tblLayout w:type="fixed"/>
        <w:tblCellMar>
          <w:top w:w="0" w:type="dxa"/>
          <w:left w:w="108" w:type="dxa"/>
          <w:bottom w:w="0" w:type="dxa"/>
          <w:right w:w="108" w:type="dxa"/>
        </w:tblCellMar>
      </w:tblPr>
      <w:tblGrid>
        <w:gridCol w:w="830"/>
        <w:gridCol w:w="1420"/>
        <w:gridCol w:w="1650"/>
        <w:gridCol w:w="2055"/>
        <w:gridCol w:w="3160"/>
      </w:tblGrid>
      <w:tr>
        <w:tblPrEx>
          <w:tblCellMar>
            <w:top w:w="0" w:type="dxa"/>
            <w:left w:w="108" w:type="dxa"/>
            <w:bottom w:w="0" w:type="dxa"/>
            <w:right w:w="108" w:type="dxa"/>
          </w:tblCellMar>
        </w:tblPrEx>
        <w:trPr>
          <w:trHeight w:val="1159" w:hRule="atLeast"/>
          <w:jc w:val="center"/>
        </w:trPr>
        <w:tc>
          <w:tcPr>
            <w:tcW w:w="9115" w:type="dxa"/>
            <w:gridSpan w:val="5"/>
            <w:tcBorders>
              <w:top w:val="nil"/>
              <w:left w:val="nil"/>
              <w:bottom w:val="single" w:color="auto" w:sz="4" w:space="0"/>
              <w:right w:val="nil"/>
            </w:tcBorders>
            <w:shd w:val="clear" w:color="auto" w:fill="auto"/>
            <w:noWrap/>
            <w:vAlign w:val="center"/>
          </w:tcPr>
          <w:p>
            <w:pPr>
              <w:widowControl/>
              <w:jc w:val="center"/>
              <w:rPr>
                <w:rFonts w:ascii="方正大标宋简体" w:hAnsi="等线" w:eastAsia="方正大标宋简体" w:cs="宋体"/>
                <w:b/>
                <w:bCs/>
                <w:color w:val="auto"/>
                <w:kern w:val="0"/>
                <w:sz w:val="24"/>
                <w:szCs w:val="32"/>
                <w:highlight w:val="none"/>
              </w:rPr>
            </w:pPr>
            <w:r>
              <w:rPr>
                <w:rFonts w:hint="eastAsia" w:ascii="方正大标宋简体" w:hAnsi="等线" w:eastAsia="方正大标宋简体" w:cs="宋体"/>
                <w:b/>
                <w:bCs/>
                <w:color w:val="auto"/>
                <w:kern w:val="0"/>
                <w:sz w:val="24"/>
                <w:szCs w:val="32"/>
                <w:highlight w:val="none"/>
              </w:rPr>
              <w:t>施工项目管理团队人员信息表</w:t>
            </w:r>
          </w:p>
        </w:tc>
      </w:tr>
      <w:tr>
        <w:tblPrEx>
          <w:tblCellMar>
            <w:top w:w="0" w:type="dxa"/>
            <w:left w:w="108" w:type="dxa"/>
            <w:bottom w:w="0" w:type="dxa"/>
            <w:right w:w="108" w:type="dxa"/>
          </w:tblCellMar>
        </w:tblPrEx>
        <w:trPr>
          <w:trHeight w:val="975"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序号</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姓名</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岗位</w:t>
            </w: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职称</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职称证书或资格证书编号</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1</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6</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802" w:hRule="atLeast"/>
          <w:jc w:val="center"/>
        </w:trPr>
        <w:tc>
          <w:tcPr>
            <w:tcW w:w="91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4"/>
                <w:szCs w:val="28"/>
                <w:highlight w:val="none"/>
                <w:lang w:eastAsia="zh-CN"/>
              </w:rPr>
            </w:pPr>
            <w:r>
              <w:rPr>
                <w:rFonts w:hint="eastAsia" w:ascii="仿宋" w:hAnsi="仿宋" w:eastAsia="仿宋" w:cs="宋体"/>
                <w:color w:val="auto"/>
                <w:kern w:val="0"/>
                <w:sz w:val="24"/>
                <w:szCs w:val="28"/>
                <w:highlight w:val="none"/>
              </w:rPr>
              <w:t>备注：</w:t>
            </w:r>
          </w:p>
          <w:p>
            <w:pPr>
              <w:widowControl/>
              <w:jc w:val="left"/>
              <w:rPr>
                <w:rFonts w:hint="eastAsia" w:ascii="仿宋" w:hAnsi="仿宋" w:eastAsia="仿宋" w:cs="宋体"/>
                <w:color w:val="auto"/>
                <w:kern w:val="0"/>
                <w:sz w:val="24"/>
                <w:szCs w:val="28"/>
                <w:highlight w:val="none"/>
                <w:lang w:eastAsia="zh-CN"/>
              </w:rPr>
            </w:pPr>
            <w:r>
              <w:rPr>
                <w:rFonts w:hint="eastAsia" w:ascii="仿宋" w:hAnsi="仿宋" w:eastAsia="仿宋" w:cs="宋体"/>
                <w:color w:val="auto"/>
                <w:kern w:val="0"/>
                <w:sz w:val="24"/>
                <w:szCs w:val="28"/>
                <w:highlight w:val="none"/>
              </w:rPr>
              <w:t>1、“岗位”要求</w:t>
            </w:r>
            <w:r>
              <w:rPr>
                <w:rFonts w:hint="eastAsia" w:ascii="仿宋" w:hAnsi="仿宋" w:eastAsia="仿宋" w:cs="宋体"/>
                <w:b/>
                <w:bCs/>
                <w:color w:val="auto"/>
                <w:kern w:val="0"/>
                <w:sz w:val="24"/>
                <w:szCs w:val="28"/>
                <w:highlight w:val="none"/>
              </w:rPr>
              <w:t>（除项目负责人和专职安全员外）</w:t>
            </w:r>
            <w:r>
              <w:rPr>
                <w:rFonts w:hint="eastAsia" w:ascii="仿宋" w:hAnsi="仿宋" w:eastAsia="仿宋" w:cs="宋体"/>
                <w:color w:val="auto"/>
                <w:kern w:val="0"/>
                <w:sz w:val="24"/>
                <w:szCs w:val="28"/>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w:t>
            </w:r>
          </w:p>
          <w:p>
            <w:pPr>
              <w:widowControl/>
              <w:jc w:val="left"/>
              <w:rPr>
                <w:rFonts w:hint="eastAsia" w:ascii="仿宋" w:hAnsi="仿宋" w:eastAsia="仿宋" w:cs="宋体"/>
                <w:color w:val="auto"/>
                <w:kern w:val="0"/>
                <w:sz w:val="24"/>
                <w:szCs w:val="28"/>
                <w:highlight w:val="none"/>
                <w:lang w:eastAsia="zh-CN"/>
              </w:rPr>
            </w:pPr>
            <w:r>
              <w:rPr>
                <w:rFonts w:hint="eastAsia" w:ascii="仿宋" w:hAnsi="仿宋" w:eastAsia="仿宋" w:cs="宋体"/>
                <w:color w:val="auto"/>
                <w:kern w:val="0"/>
                <w:sz w:val="24"/>
                <w:szCs w:val="28"/>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p>
      <w:pPr>
        <w:snapToGrid/>
        <w:spacing w:line="240" w:lineRule="auto"/>
        <w:rPr>
          <w:rFonts w:ascii="Arial" w:hAnsi="Arial" w:cs="Arial"/>
          <w:color w:val="auto"/>
          <w:sz w:val="24"/>
          <w:szCs w:val="24"/>
          <w:highlight w:val="none"/>
        </w:rPr>
      </w:pPr>
      <w:r>
        <w:rPr>
          <w:rFonts w:ascii="Arial" w:hAnsi="Arial" w:cs="Arial"/>
          <w:color w:val="auto"/>
          <w:sz w:val="24"/>
          <w:szCs w:val="24"/>
          <w:highlight w:val="none"/>
        </w:rPr>
        <w:br w:type="page"/>
      </w:r>
    </w:p>
    <w:p>
      <w:pPr>
        <w:tabs>
          <w:tab w:val="left" w:pos="720"/>
        </w:tabs>
        <w:snapToGrid w:val="0"/>
        <w:spacing w:line="360" w:lineRule="auto"/>
        <w:jc w:val="center"/>
        <w:rPr>
          <w:rStyle w:val="74"/>
          <w:rFonts w:cs="Arial"/>
          <w:color w:val="auto"/>
          <w:highlight w:val="none"/>
        </w:rPr>
      </w:pPr>
      <w:bookmarkStart w:id="65" w:name="_Toc2272568"/>
      <w:bookmarkStart w:id="66" w:name="_Toc101266308"/>
      <w:r>
        <w:rPr>
          <w:rStyle w:val="74"/>
          <w:rFonts w:cs="Arial"/>
          <w:color w:val="auto"/>
          <w:highlight w:val="none"/>
        </w:rPr>
        <w:t>第五章  技术条件（工程建设标准）</w:t>
      </w:r>
      <w:bookmarkEnd w:id="65"/>
      <w:bookmarkEnd w:id="66"/>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szCs w:val="24"/>
          <w:highlight w:val="none"/>
        </w:rPr>
      </w:pPr>
      <w:bookmarkStart w:id="67" w:name="_Toc10065"/>
      <w:bookmarkStart w:id="68" w:name="_Toc503284277"/>
      <w:bookmarkStart w:id="69" w:name="_Toc43251299"/>
      <w:r>
        <w:rPr>
          <w:rFonts w:hint="eastAsia" w:ascii="宋体" w:hAnsi="宋体" w:cs="宋体"/>
          <w:color w:val="auto"/>
          <w:sz w:val="24"/>
          <w:szCs w:val="24"/>
          <w:highlight w:val="none"/>
        </w:rPr>
        <w:t>1、具体按施工图纸。</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4"/>
          <w:szCs w:val="24"/>
          <w:highlight w:val="none"/>
        </w:rPr>
      </w:pPr>
      <w:bookmarkStart w:id="70" w:name="_Toc503284278"/>
      <w:bookmarkStart w:id="71" w:name="_Toc43251300"/>
      <w:bookmarkStart w:id="72" w:name="_Toc12842"/>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3.施工现场建筑垃圾源头减量的具体要求和建筑垃圾综合利用产品的使用要求：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建筑垃圾应当按照国家有关规定进行分类，实行分类收集、分类贮存、分类运输、分类处置。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建设单位应当建立建筑垃圾分类收集、贮存以及台账管理等制度，督促施工单位开展建筑垃圾分类和合法装载，并及时向工程所在地县级人民政府建筑垃圾主管部门报送建筑垃圾处理方案。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施工单位应当建立建筑垃圾管理台账，分类收集、贮存和及时清运施工过程中产生的建筑垃圾，采取有效措施防止混合已分类的建筑垃圾。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工程施工单位应当将建筑垃圾的产生量与种类、清运时间、最终去向等信息在施工现场公示，接受社会监督。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建筑垃圾运输车辆、船舶应当符合相应的载运技术条件。建筑垃圾处置场所为陆域的，不得采用开底式船舶运输建筑垃圾。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3.5工程泥浆应当在施工现场进行脱水固化处理。施工现场不具备条件的，应当采用罐装器具密闭运输至依法设置的建筑垃圾处置场所进行处置。水上工程中依法无需经脱水处理的除外。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具备现场综合利用条件的建设工程，应当进行建筑垃圾现场综合利用。</w:t>
      </w:r>
    </w:p>
    <w:p>
      <w:pPr>
        <w:spacing w:line="360" w:lineRule="exact"/>
        <w:ind w:firstLine="480" w:firstLineChars="200"/>
        <w:rPr>
          <w:rFonts w:ascii="宋体" w:hAnsi="宋体"/>
          <w:color w:val="auto"/>
          <w:sz w:val="24"/>
          <w:szCs w:val="24"/>
          <w:highlight w:val="none"/>
          <w:u w:val="single"/>
        </w:rPr>
      </w:pPr>
      <w:r>
        <w:rPr>
          <w:rFonts w:hint="eastAsia" w:ascii="宋体" w:hAnsi="宋体" w:eastAsia="宋体" w:cs="宋体"/>
          <w:color w:val="auto"/>
          <w:sz w:val="24"/>
          <w:szCs w:val="24"/>
          <w:highlight w:val="none"/>
        </w:rPr>
        <w:t>3.7 建设单位和施工单位严格遵守并执行《广东省建筑垃圾管理条例》。</w:t>
      </w:r>
    </w:p>
    <w:p>
      <w:pPr>
        <w:pStyle w:val="2"/>
        <w:rPr>
          <w:rFonts w:cs="Arial"/>
          <w:color w:val="auto"/>
          <w:highlight w:val="none"/>
        </w:rPr>
      </w:pPr>
      <w:r>
        <w:rPr>
          <w:rFonts w:cs="Arial"/>
          <w:color w:val="auto"/>
          <w:sz w:val="24"/>
          <w:szCs w:val="24"/>
          <w:highlight w:val="none"/>
        </w:rPr>
        <w:br w:type="page"/>
      </w:r>
      <w:bookmarkStart w:id="73" w:name="_Toc2272569"/>
      <w:bookmarkStart w:id="74" w:name="_Toc101266309"/>
      <w:r>
        <w:rPr>
          <w:rFonts w:cs="Arial"/>
          <w:color w:val="auto"/>
          <w:highlight w:val="none"/>
        </w:rPr>
        <w:t>第六章  图纸及勘察资料</w:t>
      </w:r>
      <w:bookmarkEnd w:id="73"/>
      <w:bookmarkEnd w:id="74"/>
    </w:p>
    <w:p>
      <w:pPr>
        <w:rPr>
          <w:rFonts w:ascii="Arial" w:hAnsi="Arial" w:cs="Arial"/>
          <w:b/>
          <w:color w:val="auto"/>
          <w:sz w:val="24"/>
          <w:szCs w:val="24"/>
          <w:highlight w:val="none"/>
        </w:rPr>
      </w:pPr>
      <w:r>
        <w:rPr>
          <w:rFonts w:ascii="Arial" w:hAnsi="Arial" w:cs="Arial"/>
          <w:color w:val="auto"/>
          <w:sz w:val="24"/>
          <w:szCs w:val="24"/>
          <w:highlight w:val="none"/>
        </w:rPr>
        <w:t>注：本章由招标人自行制定，另册。</w:t>
      </w:r>
    </w:p>
    <w:p>
      <w:pPr>
        <w:pStyle w:val="2"/>
        <w:rPr>
          <w:rFonts w:cs="Arial"/>
          <w:color w:val="auto"/>
          <w:highlight w:val="none"/>
        </w:rPr>
      </w:pPr>
      <w:r>
        <w:rPr>
          <w:rFonts w:cs="Arial"/>
          <w:color w:val="auto"/>
          <w:sz w:val="24"/>
          <w:szCs w:val="24"/>
          <w:highlight w:val="none"/>
        </w:rPr>
        <w:br w:type="page"/>
      </w:r>
      <w:bookmarkStart w:id="75" w:name="_Toc2272570"/>
      <w:bookmarkStart w:id="76" w:name="_Toc101266310"/>
      <w:r>
        <w:rPr>
          <w:rFonts w:cs="Arial"/>
          <w:color w:val="auto"/>
          <w:highlight w:val="none"/>
        </w:rPr>
        <w:t>第七章  工程量清单</w:t>
      </w:r>
      <w:bookmarkEnd w:id="75"/>
      <w:bookmarkEnd w:id="76"/>
    </w:p>
    <w:p>
      <w:pPr>
        <w:rPr>
          <w:rFonts w:ascii="Arial" w:hAnsi="Arial" w:cs="Arial"/>
          <w:b/>
          <w:color w:val="auto"/>
          <w:sz w:val="24"/>
          <w:szCs w:val="24"/>
          <w:highlight w:val="none"/>
        </w:rPr>
      </w:pPr>
      <w:r>
        <w:rPr>
          <w:rFonts w:ascii="Arial" w:hAnsi="Arial" w:cs="Arial"/>
          <w:color w:val="auto"/>
          <w:sz w:val="24"/>
          <w:szCs w:val="24"/>
          <w:highlight w:val="none"/>
        </w:rPr>
        <w:t>注：本章由招标人自行制定，另册。</w:t>
      </w:r>
    </w:p>
    <w:p>
      <w:pPr>
        <w:pStyle w:val="4"/>
        <w:spacing w:after="0" w:line="360" w:lineRule="auto"/>
        <w:ind w:left="-2" w:leftChars="-1" w:firstLine="960" w:firstLineChars="400"/>
        <w:rPr>
          <w:rFonts w:ascii="Arial" w:hAnsi="Arial" w:cs="Arial"/>
          <w:color w:val="auto"/>
          <w:sz w:val="24"/>
          <w:highlight w:val="none"/>
        </w:rPr>
      </w:pPr>
    </w:p>
    <w:p>
      <w:pPr>
        <w:pStyle w:val="2"/>
        <w:rPr>
          <w:rFonts w:cs="Arial"/>
          <w:color w:val="auto"/>
          <w:highlight w:val="none"/>
        </w:rPr>
      </w:pPr>
    </w:p>
    <w:p>
      <w:pPr>
        <w:pStyle w:val="2"/>
        <w:rPr>
          <w:rFonts w:cs="Arial"/>
          <w:color w:val="auto"/>
          <w:highlight w:val="none"/>
        </w:rPr>
      </w:pPr>
      <w:r>
        <w:rPr>
          <w:rFonts w:cs="Arial"/>
          <w:color w:val="auto"/>
          <w:sz w:val="24"/>
          <w:szCs w:val="24"/>
          <w:highlight w:val="none"/>
        </w:rPr>
        <w:br w:type="page"/>
      </w:r>
      <w:bookmarkStart w:id="77" w:name="_Toc101266311"/>
      <w:bookmarkStart w:id="78" w:name="_Toc2272571"/>
      <w:r>
        <w:rPr>
          <w:rFonts w:cs="Arial"/>
          <w:color w:val="auto"/>
          <w:highlight w:val="none"/>
        </w:rPr>
        <w:t>第八章  最高投标限价</w:t>
      </w:r>
      <w:bookmarkEnd w:id="77"/>
      <w:bookmarkEnd w:id="78"/>
    </w:p>
    <w:p>
      <w:pPr>
        <w:spacing w:line="360" w:lineRule="auto"/>
        <w:ind w:firstLine="480"/>
        <w:rPr>
          <w:rFonts w:ascii="Arial" w:hAnsi="Arial" w:cs="Arial"/>
          <w:color w:val="auto"/>
          <w:sz w:val="24"/>
          <w:szCs w:val="24"/>
          <w:highlight w:val="none"/>
        </w:rPr>
      </w:pPr>
      <w:r>
        <w:rPr>
          <w:rFonts w:ascii="Arial" w:hAnsi="Arial" w:cs="Arial"/>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Arial" w:hAnsi="Arial" w:cs="Arial"/>
          <w:color w:val="auto"/>
          <w:sz w:val="24"/>
          <w:szCs w:val="24"/>
          <w:highlight w:val="none"/>
          <w:u w:val="single"/>
        </w:rPr>
      </w:pPr>
    </w:p>
    <w:tbl>
      <w:tblPr>
        <w:tblStyle w:val="5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pPr>
              <w:spacing w:line="600" w:lineRule="exact"/>
              <w:jc w:val="center"/>
              <w:rPr>
                <w:rFonts w:ascii="Arial" w:hAnsi="Arial" w:cs="Arial"/>
                <w:b/>
                <w:color w:val="auto"/>
                <w:spacing w:val="60"/>
                <w:sz w:val="44"/>
                <w:szCs w:val="44"/>
                <w:highlight w:val="none"/>
              </w:rPr>
            </w:pPr>
            <w:r>
              <w:rPr>
                <w:rFonts w:ascii="Arial" w:hAnsi="Arial" w:cs="Arial"/>
                <w:b/>
                <w:color w:val="auto"/>
                <w:spacing w:val="60"/>
                <w:sz w:val="44"/>
                <w:szCs w:val="44"/>
                <w:highlight w:val="none"/>
              </w:rPr>
              <w:t>最高投标限价公布函</w:t>
            </w:r>
          </w:p>
          <w:p>
            <w:pPr>
              <w:spacing w:line="600" w:lineRule="exact"/>
              <w:jc w:val="center"/>
              <w:rPr>
                <w:rFonts w:ascii="Arial" w:hAnsi="Arial" w:cs="Arial"/>
                <w:b/>
                <w:color w:val="auto"/>
                <w:spacing w:val="60"/>
                <w:sz w:val="44"/>
                <w:szCs w:val="44"/>
                <w:highlight w:val="none"/>
              </w:rPr>
            </w:pPr>
            <w:r>
              <w:rPr>
                <w:rFonts w:ascii="Arial" w:hAnsi="Arial" w:cs="Arial"/>
                <w:b/>
                <w:color w:val="auto"/>
                <w:spacing w:val="60"/>
                <w:sz w:val="44"/>
                <w:szCs w:val="44"/>
                <w:highlight w:val="none"/>
              </w:rPr>
              <w:t>（参考格式）</w:t>
            </w:r>
          </w:p>
          <w:p>
            <w:pPr>
              <w:spacing w:line="360" w:lineRule="auto"/>
              <w:rPr>
                <w:rFonts w:ascii="Arial" w:hAnsi="Arial" w:cs="Arial"/>
                <w:color w:val="auto"/>
                <w:szCs w:val="21"/>
                <w:highlight w:val="none"/>
              </w:rPr>
            </w:pPr>
          </w:p>
          <w:p>
            <w:pPr>
              <w:spacing w:line="360" w:lineRule="auto"/>
              <w:rPr>
                <w:rFonts w:ascii="Arial" w:hAnsi="Arial" w:cs="Arial"/>
                <w:color w:val="auto"/>
                <w:sz w:val="24"/>
                <w:szCs w:val="24"/>
                <w:highlight w:val="none"/>
              </w:rPr>
            </w:pPr>
            <w:r>
              <w:rPr>
                <w:rFonts w:ascii="Arial" w:hAnsi="Arial" w:cs="Arial"/>
                <w:color w:val="auto"/>
                <w:sz w:val="24"/>
                <w:szCs w:val="24"/>
                <w:highlight w:val="none"/>
              </w:rPr>
              <w:t>工程名称：</w:t>
            </w:r>
            <w:r>
              <w:rPr>
                <w:rFonts w:ascii="Arial" w:hAnsi="Arial" w:cs="Arial"/>
                <w:color w:val="auto"/>
                <w:sz w:val="24"/>
                <w:szCs w:val="24"/>
                <w:highlight w:val="none"/>
                <w:u w:val="single"/>
              </w:rPr>
              <w:t xml:space="preserve">                                                            </w:t>
            </w:r>
          </w:p>
          <w:p>
            <w:pPr>
              <w:spacing w:line="360" w:lineRule="auto"/>
              <w:rPr>
                <w:rFonts w:ascii="Arial" w:hAnsi="Arial" w:cs="Arial"/>
                <w:color w:val="auto"/>
                <w:sz w:val="24"/>
                <w:szCs w:val="24"/>
                <w:highlight w:val="none"/>
              </w:rPr>
            </w:pPr>
            <w:r>
              <w:rPr>
                <w:rFonts w:ascii="Arial" w:hAnsi="Arial" w:cs="Arial"/>
                <w:color w:val="auto"/>
                <w:sz w:val="24"/>
                <w:szCs w:val="24"/>
                <w:highlight w:val="none"/>
              </w:rPr>
              <w:t>最高投标限价（元）：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分部分项工程费（元）：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措施项目费（元）：</w:t>
            </w:r>
            <w:r>
              <w:rPr>
                <w:rFonts w:ascii="Arial" w:hAnsi="Arial" w:cs="Arial"/>
                <w:color w:val="auto"/>
                <w:sz w:val="24"/>
                <w:szCs w:val="24"/>
                <w:highlight w:val="none"/>
                <w:u w:val="single"/>
              </w:rPr>
              <w:t xml:space="preserve">                                                 </w:t>
            </w:r>
          </w:p>
          <w:p>
            <w:pPr>
              <w:spacing w:line="360" w:lineRule="auto"/>
              <w:ind w:firstLine="960" w:firstLineChars="400"/>
              <w:rPr>
                <w:rFonts w:ascii="Arial" w:hAnsi="Arial" w:cs="Arial"/>
                <w:color w:val="auto"/>
                <w:sz w:val="24"/>
                <w:szCs w:val="24"/>
                <w:highlight w:val="none"/>
                <w:u w:val="single"/>
              </w:rPr>
            </w:pPr>
            <w:r>
              <w:rPr>
                <w:rFonts w:ascii="Arial" w:hAnsi="Arial" w:cs="Arial"/>
                <w:color w:val="auto"/>
                <w:sz w:val="24"/>
                <w:szCs w:val="24"/>
                <w:highlight w:val="none"/>
              </w:rPr>
              <w:t>其中绿色施工安全防护措施费（元）：</w:t>
            </w:r>
            <w:r>
              <w:rPr>
                <w:rFonts w:ascii="Arial" w:hAnsi="Arial" w:cs="Arial"/>
                <w:color w:val="auto"/>
                <w:sz w:val="24"/>
                <w:szCs w:val="24"/>
                <w:highlight w:val="none"/>
                <w:u w:val="single"/>
              </w:rPr>
              <w:t xml:space="preserve">                             </w:t>
            </w:r>
          </w:p>
          <w:p>
            <w:pPr>
              <w:spacing w:line="360" w:lineRule="auto"/>
              <w:ind w:firstLine="723" w:firstLineChars="300"/>
              <w:rPr>
                <w:rFonts w:ascii="Arial" w:hAnsi="Arial" w:cs="Arial"/>
                <w:color w:val="auto"/>
                <w:sz w:val="24"/>
                <w:szCs w:val="24"/>
                <w:highlight w:val="none"/>
              </w:rPr>
            </w:pPr>
            <w:r>
              <w:rPr>
                <w:rFonts w:ascii="Arial" w:hAnsi="Arial" w:cs="Arial"/>
                <w:b/>
                <w:color w:val="auto"/>
                <w:sz w:val="24"/>
                <w:szCs w:val="24"/>
                <w:highlight w:val="none"/>
              </w:rPr>
              <w:t>（详细列明各专业工程绿色施工安全防护措施费）</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其他项目费（元）：</w:t>
            </w:r>
            <w:r>
              <w:rPr>
                <w:rFonts w:ascii="Arial" w:hAnsi="Arial" w:cs="Arial"/>
                <w:color w:val="auto"/>
                <w:sz w:val="24"/>
                <w:szCs w:val="24"/>
                <w:highlight w:val="none"/>
                <w:u w:val="single"/>
              </w:rPr>
              <w:t xml:space="preserve">                                                 </w:t>
            </w:r>
          </w:p>
          <w:p>
            <w:pPr>
              <w:spacing w:line="360" w:lineRule="auto"/>
              <w:ind w:firstLine="960" w:firstLineChars="400"/>
              <w:rPr>
                <w:rFonts w:ascii="Arial" w:hAnsi="Arial" w:cs="Arial"/>
                <w:color w:val="auto"/>
                <w:sz w:val="24"/>
                <w:szCs w:val="24"/>
                <w:highlight w:val="none"/>
                <w:u w:val="single"/>
              </w:rPr>
            </w:pPr>
            <w:r>
              <w:rPr>
                <w:rFonts w:ascii="Arial" w:hAnsi="Arial" w:cs="Arial"/>
                <w:color w:val="auto"/>
                <w:sz w:val="24"/>
                <w:szCs w:val="24"/>
                <w:highlight w:val="none"/>
              </w:rPr>
              <w:t>其中暂列金额（元）：</w:t>
            </w:r>
            <w:r>
              <w:rPr>
                <w:rFonts w:ascii="Arial" w:hAnsi="Arial" w:cs="Arial"/>
                <w:color w:val="auto"/>
                <w:sz w:val="24"/>
                <w:szCs w:val="24"/>
                <w:highlight w:val="none"/>
                <w:u w:val="single"/>
              </w:rPr>
              <w:t xml:space="preserve">                                           </w:t>
            </w:r>
          </w:p>
          <w:p>
            <w:pPr>
              <w:spacing w:line="360" w:lineRule="auto"/>
              <w:ind w:firstLine="723" w:firstLineChars="300"/>
              <w:rPr>
                <w:rFonts w:ascii="Arial" w:hAnsi="Arial" w:cs="Arial"/>
                <w:color w:val="auto"/>
                <w:sz w:val="24"/>
                <w:szCs w:val="24"/>
                <w:highlight w:val="none"/>
              </w:rPr>
            </w:pPr>
            <w:r>
              <w:rPr>
                <w:rFonts w:ascii="Arial" w:hAnsi="Arial" w:cs="Arial"/>
                <w:b/>
                <w:color w:val="auto"/>
                <w:sz w:val="24"/>
                <w:szCs w:val="24"/>
                <w:highlight w:val="none"/>
              </w:rPr>
              <w:t>（详细列明各专业工程暂列金额）</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规费（元）：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税金（元）：</w:t>
            </w:r>
            <w:r>
              <w:rPr>
                <w:rFonts w:ascii="Arial" w:hAnsi="Arial" w:cs="Arial"/>
                <w:color w:val="auto"/>
                <w:sz w:val="24"/>
                <w:szCs w:val="24"/>
                <w:highlight w:val="none"/>
                <w:u w:val="single"/>
              </w:rPr>
              <w:t xml:space="preserve">                                                       </w:t>
            </w:r>
          </w:p>
          <w:p>
            <w:pPr>
              <w:widowControl/>
              <w:spacing w:before="75" w:after="75" w:line="360" w:lineRule="auto"/>
              <w:ind w:firstLine="480" w:firstLineChars="200"/>
              <w:jc w:val="left"/>
              <w:rPr>
                <w:rFonts w:ascii="Arial" w:hAnsi="Arial" w:cs="Arial"/>
                <w:color w:val="auto"/>
                <w:kern w:val="0"/>
                <w:sz w:val="24"/>
                <w:szCs w:val="24"/>
                <w:highlight w:val="none"/>
              </w:rPr>
            </w:pPr>
          </w:p>
          <w:p>
            <w:pPr>
              <w:widowControl/>
              <w:spacing w:before="75" w:after="75" w:line="360" w:lineRule="auto"/>
              <w:ind w:firstLine="960" w:firstLineChars="400"/>
              <w:jc w:val="left"/>
              <w:rPr>
                <w:rFonts w:ascii="Arial" w:hAnsi="Arial" w:cs="Arial"/>
                <w:color w:val="auto"/>
                <w:kern w:val="0"/>
                <w:sz w:val="24"/>
                <w:szCs w:val="24"/>
                <w:highlight w:val="none"/>
              </w:rPr>
            </w:pPr>
            <w:r>
              <w:rPr>
                <w:rFonts w:ascii="Arial" w:hAnsi="Arial" w:cs="Arial"/>
                <w:color w:val="auto"/>
                <w:kern w:val="0"/>
                <w:sz w:val="24"/>
                <w:szCs w:val="24"/>
                <w:highlight w:val="none"/>
              </w:rPr>
              <w:t>对公开招标工程，</w:t>
            </w:r>
            <w:r>
              <w:rPr>
                <w:rFonts w:ascii="Arial" w:hAnsi="Arial" w:cs="Arial"/>
                <w:color w:val="auto"/>
                <w:sz w:val="24"/>
                <w:szCs w:val="24"/>
                <w:highlight w:val="none"/>
              </w:rPr>
              <w:t>投标人须按照公布的绿色施工安全防护措施费、</w:t>
            </w:r>
            <w:r>
              <w:rPr>
                <w:rFonts w:ascii="Arial" w:hAnsi="Arial" w:cs="Arial"/>
                <w:color w:val="auto"/>
                <w:kern w:val="0"/>
                <w:sz w:val="24"/>
                <w:szCs w:val="24"/>
                <w:highlight w:val="none"/>
              </w:rPr>
              <w:t>暂</w:t>
            </w:r>
          </w:p>
          <w:p>
            <w:pPr>
              <w:widowControl/>
              <w:spacing w:before="75" w:after="75" w:line="360" w:lineRule="auto"/>
              <w:ind w:firstLine="480" w:firstLineChars="200"/>
              <w:jc w:val="left"/>
              <w:rPr>
                <w:rFonts w:ascii="Arial" w:hAnsi="Arial" w:cs="Arial"/>
                <w:color w:val="auto"/>
                <w:kern w:val="0"/>
                <w:sz w:val="24"/>
                <w:szCs w:val="24"/>
                <w:highlight w:val="none"/>
              </w:rPr>
            </w:pPr>
            <w:r>
              <w:rPr>
                <w:rFonts w:ascii="Arial" w:hAnsi="Arial" w:cs="Arial"/>
                <w:color w:val="auto"/>
                <w:kern w:val="0"/>
                <w:sz w:val="24"/>
                <w:szCs w:val="24"/>
                <w:highlight w:val="none"/>
              </w:rPr>
              <w:t>列金额报价。</w:t>
            </w:r>
          </w:p>
          <w:p>
            <w:pPr>
              <w:widowControl/>
              <w:spacing w:before="75" w:after="75" w:line="360" w:lineRule="auto"/>
              <w:ind w:firstLine="5640" w:firstLineChars="2350"/>
              <w:jc w:val="left"/>
              <w:rPr>
                <w:rFonts w:ascii="Arial" w:hAnsi="Arial" w:cs="Arial"/>
                <w:b/>
                <w:color w:val="auto"/>
                <w:spacing w:val="60"/>
                <w:sz w:val="24"/>
                <w:szCs w:val="24"/>
                <w:highlight w:val="none"/>
              </w:rPr>
            </w:pPr>
            <w:r>
              <w:rPr>
                <w:rFonts w:ascii="Arial" w:hAnsi="Arial" w:cs="Arial"/>
                <w:color w:val="auto"/>
                <w:sz w:val="24"/>
                <w:szCs w:val="24"/>
                <w:highlight w:val="none"/>
              </w:rPr>
              <w:t>招标单位（盖章）</w:t>
            </w:r>
            <w:r>
              <w:rPr>
                <w:rFonts w:ascii="Arial" w:hAnsi="Arial" w:cs="Arial"/>
                <w:b/>
                <w:color w:val="auto"/>
                <w:spacing w:val="60"/>
                <w:sz w:val="24"/>
                <w:szCs w:val="24"/>
                <w:highlight w:val="none"/>
              </w:rPr>
              <w:t xml:space="preserve">              </w:t>
            </w:r>
          </w:p>
          <w:p>
            <w:pPr>
              <w:widowControl/>
              <w:spacing w:before="75" w:after="75" w:line="360" w:lineRule="auto"/>
              <w:ind w:firstLine="5880" w:firstLineChars="2450"/>
              <w:jc w:val="left"/>
              <w:rPr>
                <w:rFonts w:ascii="Arial" w:hAnsi="Arial" w:cs="Arial"/>
                <w:b/>
                <w:color w:val="auto"/>
                <w:spacing w:val="60"/>
                <w:sz w:val="44"/>
                <w:szCs w:val="44"/>
                <w:highlight w:val="none"/>
              </w:rPr>
            </w:pPr>
            <w:r>
              <w:rPr>
                <w:rFonts w:ascii="Arial" w:hAnsi="Arial" w:cs="Arial"/>
                <w:color w:val="auto"/>
                <w:kern w:val="0"/>
                <w:sz w:val="24"/>
                <w:szCs w:val="24"/>
                <w:highlight w:val="none"/>
              </w:rPr>
              <w:t>年  月  日</w:t>
            </w:r>
          </w:p>
        </w:tc>
      </w:tr>
    </w:tbl>
    <w:p>
      <w:pPr>
        <w:rPr>
          <w:rFonts w:hint="default" w:ascii="Arial" w:hAnsi="Arial" w:cs="Arial"/>
          <w:color w:val="auto"/>
          <w:sz w:val="24"/>
          <w:szCs w:val="24"/>
          <w:highlight w:val="none"/>
          <w:lang w:val="en-US" w:eastAsia="zh-CN"/>
        </w:rPr>
      </w:pPr>
      <w:r>
        <w:rPr>
          <w:rFonts w:hint="default" w:ascii="Arial" w:hAnsi="Arial" w:cs="Arial"/>
          <w:color w:val="auto"/>
          <w:sz w:val="24"/>
          <w:szCs w:val="24"/>
          <w:highlight w:val="none"/>
          <w:lang w:val="en-US" w:eastAsia="zh-CN"/>
        </w:rPr>
        <w:br w:type="page"/>
      </w:r>
    </w:p>
    <w:p>
      <w:pPr>
        <w:jc w:val="center"/>
        <w:rPr>
          <w:b/>
          <w:color w:val="auto"/>
          <w:sz w:val="32"/>
          <w:highlight w:val="none"/>
        </w:rPr>
      </w:pPr>
      <w:r>
        <w:rPr>
          <w:rFonts w:hint="eastAsia"/>
          <w:b/>
          <w:color w:val="auto"/>
          <w:sz w:val="32"/>
          <w:highlight w:val="none"/>
        </w:rPr>
        <w:t>工程量清单编制说明</w:t>
      </w:r>
    </w:p>
    <w:p>
      <w:pPr>
        <w:spacing w:line="400" w:lineRule="exact"/>
        <w:rPr>
          <w:rFonts w:hint="eastAsia" w:ascii="宋体" w:hAnsi="宋体"/>
          <w:color w:val="auto"/>
          <w:sz w:val="24"/>
          <w:highlight w:val="none"/>
        </w:rPr>
      </w:pPr>
    </w:p>
    <w:p>
      <w:pPr>
        <w:spacing w:line="400" w:lineRule="exact"/>
        <w:ind w:firstLine="422" w:firstLineChars="200"/>
        <w:rPr>
          <w:rFonts w:ascii="宋体" w:hAnsi="宋体"/>
          <w:b/>
          <w:szCs w:val="21"/>
        </w:rPr>
      </w:pPr>
      <w:r>
        <w:rPr>
          <w:rFonts w:hint="eastAsia" w:ascii="宋体" w:hAnsi="宋体"/>
          <w:b/>
          <w:szCs w:val="21"/>
        </w:rPr>
        <w:t>一、工程概况</w:t>
      </w:r>
    </w:p>
    <w:p>
      <w:pPr>
        <w:snapToGrid w:val="0"/>
        <w:spacing w:line="460" w:lineRule="exact"/>
        <w:ind w:firstLine="525" w:firstLineChars="250"/>
        <w:rPr>
          <w:rFonts w:hint="eastAsia" w:ascii="宋体" w:hAnsi="宋体"/>
          <w:szCs w:val="21"/>
          <w:lang w:val="en-US" w:eastAsia="zh-CN"/>
        </w:rPr>
      </w:pPr>
      <w:r>
        <w:rPr>
          <w:rFonts w:hint="eastAsia" w:ascii="宋体" w:hAnsi="宋体"/>
          <w:szCs w:val="21"/>
        </w:rPr>
        <w:t>1.概况：</w:t>
      </w:r>
      <w:r>
        <w:rPr>
          <w:rFonts w:hint="eastAsia" w:ascii="宋体" w:hAnsi="宋体"/>
          <w:szCs w:val="21"/>
          <w:lang w:val="en-US" w:eastAsia="zh-CN"/>
        </w:rPr>
        <w:t>本项目为槎神大道（鸦岗大道-凤凰大道）土建二标工程，包括K1+913.808中桥工程、K2+677.504中桥工程、K3+196.372中桥工程、K3+307.660中桥工程、K3+667.462中桥工程、K4+381.609大桥工程、K2+218.129人行天桥工程、K4+604.413人行天桥工程中27个墩柱，9个帽梁，96根桥桩及相关溶洞处理工程、水管预支护工程、交通疏解工程（装配式围蔽）等。</w:t>
      </w:r>
    </w:p>
    <w:p>
      <w:pPr>
        <w:snapToGrid w:val="0"/>
        <w:spacing w:line="460" w:lineRule="exact"/>
        <w:ind w:firstLine="525" w:firstLineChars="250"/>
        <w:rPr>
          <w:rFonts w:ascii="宋体" w:hAnsi="宋体"/>
          <w:szCs w:val="21"/>
        </w:rPr>
      </w:pPr>
      <w:r>
        <w:rPr>
          <w:rFonts w:hint="eastAsia" w:ascii="宋体" w:hAnsi="宋体"/>
          <w:szCs w:val="21"/>
        </w:rPr>
        <w:t>2.工程特征：</w:t>
      </w:r>
      <w:r>
        <w:rPr>
          <w:rFonts w:hint="eastAsia" w:ascii="宋体" w:hAnsi="宋体" w:cs="宋体"/>
          <w:kern w:val="0"/>
          <w:szCs w:val="21"/>
        </w:rPr>
        <w:t>市政工程。</w:t>
      </w:r>
    </w:p>
    <w:p>
      <w:pPr>
        <w:snapToGrid w:val="0"/>
        <w:spacing w:line="460" w:lineRule="exact"/>
        <w:ind w:firstLine="315" w:firstLineChars="150"/>
        <w:rPr>
          <w:rFonts w:ascii="宋体" w:hAnsi="宋体"/>
          <w:szCs w:val="21"/>
        </w:rPr>
      </w:pPr>
      <w:r>
        <w:rPr>
          <w:rFonts w:hint="eastAsia" w:ascii="宋体" w:hAnsi="宋体"/>
          <w:szCs w:val="21"/>
        </w:rPr>
        <w:t xml:space="preserve">  3.计划工期：按招标文件前附表。</w:t>
      </w:r>
    </w:p>
    <w:p>
      <w:pPr>
        <w:snapToGrid w:val="0"/>
        <w:spacing w:line="460" w:lineRule="exact"/>
        <w:ind w:firstLine="525" w:firstLineChars="250"/>
        <w:rPr>
          <w:rFonts w:ascii="宋体" w:hAnsi="宋体"/>
          <w:szCs w:val="21"/>
        </w:rPr>
      </w:pPr>
      <w:r>
        <w:rPr>
          <w:rFonts w:hint="eastAsia" w:ascii="宋体" w:hAnsi="宋体"/>
          <w:szCs w:val="21"/>
        </w:rPr>
        <w:t>4.环境保护要求：周边的建构筑物、路树、管线等应保护完好。</w:t>
      </w:r>
    </w:p>
    <w:p>
      <w:pPr>
        <w:snapToGrid w:val="0"/>
        <w:spacing w:line="460" w:lineRule="exact"/>
        <w:ind w:firstLine="422" w:firstLineChars="200"/>
        <w:rPr>
          <w:rFonts w:hint="eastAsia" w:ascii="宋体" w:hAnsi="宋体"/>
          <w:b/>
          <w:szCs w:val="21"/>
        </w:rPr>
      </w:pPr>
      <w:r>
        <w:rPr>
          <w:rFonts w:hint="eastAsia" w:ascii="宋体" w:hAnsi="宋体"/>
          <w:b/>
          <w:szCs w:val="21"/>
        </w:rPr>
        <w:t>二、工程招标范围</w:t>
      </w:r>
    </w:p>
    <w:p>
      <w:pPr>
        <w:snapToGrid w:val="0"/>
        <w:spacing w:line="460" w:lineRule="exact"/>
        <w:ind w:firstLine="420" w:firstLineChars="200"/>
        <w:rPr>
          <w:rFonts w:ascii="宋体" w:hAnsi="宋体"/>
          <w:szCs w:val="21"/>
        </w:rPr>
      </w:pPr>
      <w:r>
        <w:rPr>
          <w:rFonts w:hint="eastAsia" w:ascii="宋体" w:hAnsi="宋体"/>
          <w:szCs w:val="21"/>
        </w:rPr>
        <w:t>本次招标内容包括</w:t>
      </w:r>
      <w:r>
        <w:rPr>
          <w:rFonts w:hint="eastAsia" w:ascii="宋体" w:hAnsi="宋体"/>
          <w:szCs w:val="21"/>
          <w:lang w:eastAsia="zh-CN"/>
        </w:rPr>
        <w:t>（</w:t>
      </w:r>
      <w:r>
        <w:rPr>
          <w:rFonts w:hint="eastAsia" w:ascii="宋体" w:hAnsi="宋体"/>
          <w:szCs w:val="21"/>
          <w:lang w:val="en-US" w:eastAsia="zh-CN"/>
        </w:rPr>
        <w:t>1）K1+913.808中桥工程：桥梁桩基；（2）K2+677.504中桥工程：桥梁桩基；（3）K3+196.372中桥工程：桥梁桩基及下部结构等；（4）K3+307.660中桥工程：桥梁桩基及鱼塘清淤回填等；（5）K3+667.462中桥工程：桥梁桩基及下部结构等；（6）K4+381.609大桥工程：桥梁桩基及下部结构等；（7）溶洞处理工程；（8）K2+218.129人行天桥工程：桥梁桩基及下部结构、电梯井等；（9）K4+604.413人行天桥工程：桥梁桩基及下部结构、电梯井等；（10）水管预支护工程；（11）交通疏解工程</w:t>
      </w:r>
      <w:r>
        <w:rPr>
          <w:rFonts w:hint="eastAsia" w:ascii="宋体" w:hAnsi="宋体"/>
          <w:szCs w:val="21"/>
        </w:rPr>
        <w:t>。具体详见本项目工程量清单及图纸。</w:t>
      </w:r>
    </w:p>
    <w:p>
      <w:pPr>
        <w:snapToGrid w:val="0"/>
        <w:spacing w:line="460" w:lineRule="exact"/>
        <w:ind w:firstLine="422" w:firstLineChars="200"/>
        <w:rPr>
          <w:rFonts w:ascii="宋体" w:hAnsi="宋体"/>
          <w:b/>
          <w:szCs w:val="21"/>
        </w:rPr>
      </w:pPr>
      <w:r>
        <w:rPr>
          <w:rFonts w:hint="eastAsia" w:ascii="宋体" w:hAnsi="宋体"/>
          <w:b/>
          <w:szCs w:val="21"/>
        </w:rPr>
        <w:t>三、工程量清单编制依据：</w:t>
      </w:r>
    </w:p>
    <w:p>
      <w:pPr>
        <w:snapToGrid w:val="0"/>
        <w:spacing w:line="460" w:lineRule="exact"/>
        <w:ind w:firstLine="420" w:firstLineChars="200"/>
        <w:rPr>
          <w:rFonts w:hint="eastAsia" w:ascii="宋体" w:hAnsi="宋体"/>
          <w:szCs w:val="21"/>
          <w:lang w:val="en-US" w:eastAsia="zh-CN"/>
        </w:rPr>
      </w:pPr>
      <w:r>
        <w:rPr>
          <w:rFonts w:hint="eastAsia" w:ascii="宋体" w:hAnsi="宋体"/>
          <w:szCs w:val="21"/>
          <w:lang w:val="en-US" w:eastAsia="zh-CN"/>
        </w:rPr>
        <w:t>1.依据中都工程设计有限公司《槎神大道（鸦岗大道-凤凰大道）施工图设计土建二标工程》图纸编制。</w:t>
      </w:r>
    </w:p>
    <w:p>
      <w:pPr>
        <w:snapToGrid w:val="0"/>
        <w:spacing w:line="460" w:lineRule="exact"/>
        <w:ind w:firstLine="420" w:firstLineChars="200"/>
        <w:rPr>
          <w:rFonts w:hint="eastAsia" w:ascii="宋体" w:hAnsi="宋体"/>
          <w:szCs w:val="21"/>
        </w:rPr>
      </w:pPr>
      <w:r>
        <w:rPr>
          <w:rFonts w:hint="eastAsia" w:ascii="宋体" w:hAnsi="宋体"/>
          <w:szCs w:val="21"/>
        </w:rPr>
        <w:t>2.中华人民共和国国家标准《建设工程工程量清单计价规范》（GB50500-2013）、广东省住房和城乡建设厅《广东省建设工程计价依据（2018）》等。</w:t>
      </w:r>
    </w:p>
    <w:p>
      <w:pPr>
        <w:snapToGrid w:val="0"/>
        <w:spacing w:line="460" w:lineRule="exact"/>
        <w:ind w:firstLine="420" w:firstLineChars="200"/>
        <w:rPr>
          <w:rFonts w:ascii="宋体" w:hAnsi="宋体"/>
          <w:szCs w:val="21"/>
        </w:rPr>
      </w:pPr>
      <w:r>
        <w:rPr>
          <w:rFonts w:hint="eastAsia" w:ascii="宋体" w:hAnsi="宋体"/>
          <w:szCs w:val="21"/>
        </w:rPr>
        <w:t>3.参照市有关文件。</w:t>
      </w:r>
    </w:p>
    <w:p>
      <w:pPr>
        <w:snapToGrid w:val="0"/>
        <w:spacing w:line="460" w:lineRule="exact"/>
        <w:ind w:firstLine="422" w:firstLineChars="200"/>
        <w:rPr>
          <w:rFonts w:ascii="宋体" w:hAnsi="宋体"/>
          <w:b/>
          <w:szCs w:val="21"/>
        </w:rPr>
      </w:pPr>
      <w:r>
        <w:rPr>
          <w:rFonts w:hint="eastAsia" w:ascii="宋体" w:hAnsi="宋体"/>
          <w:b/>
          <w:szCs w:val="21"/>
        </w:rPr>
        <w:t>四、工程质量、材料、施工等的要求：</w:t>
      </w:r>
      <w:r>
        <w:rPr>
          <w:rFonts w:hint="eastAsia" w:ascii="宋体" w:hAnsi="宋体"/>
          <w:bCs/>
          <w:szCs w:val="21"/>
        </w:rPr>
        <w:t>严格</w:t>
      </w:r>
      <w:r>
        <w:rPr>
          <w:rFonts w:hint="eastAsia" w:ascii="宋体" w:hAnsi="宋体"/>
          <w:szCs w:val="21"/>
        </w:rPr>
        <w:t>按施工图设计要求施工。</w:t>
      </w:r>
    </w:p>
    <w:p>
      <w:pPr>
        <w:pStyle w:val="34"/>
        <w:spacing w:line="460" w:lineRule="exact"/>
        <w:rPr>
          <w:rFonts w:ascii="宋体" w:hAnsi="宋体"/>
          <w:b/>
          <w:szCs w:val="21"/>
        </w:rPr>
      </w:pPr>
      <w:r>
        <w:rPr>
          <w:rFonts w:hint="eastAsia" w:ascii="宋体" w:hAnsi="宋体"/>
          <w:b/>
          <w:szCs w:val="21"/>
        </w:rPr>
        <w:t>五、招标人自行采购材料的名称、规格型号、数量等：</w:t>
      </w:r>
      <w:r>
        <w:rPr>
          <w:rFonts w:hint="eastAsia" w:ascii="宋体" w:hAnsi="宋体"/>
          <w:szCs w:val="21"/>
        </w:rPr>
        <w:t>本工程所使用的材料，全部由投标人根据工程要求自行采购。</w:t>
      </w:r>
    </w:p>
    <w:p>
      <w:pPr>
        <w:snapToGrid w:val="0"/>
        <w:spacing w:line="460" w:lineRule="exact"/>
        <w:ind w:firstLine="413" w:firstLineChars="196"/>
        <w:rPr>
          <w:rFonts w:ascii="宋体" w:hAnsi="宋体"/>
          <w:b/>
          <w:szCs w:val="21"/>
        </w:rPr>
      </w:pPr>
      <w:r>
        <w:rPr>
          <w:rFonts w:hint="eastAsia" w:ascii="宋体" w:hAnsi="宋体"/>
          <w:b/>
          <w:szCs w:val="21"/>
        </w:rPr>
        <w:t>六、投标人必须按招标人给定金额填写项目：</w:t>
      </w:r>
    </w:p>
    <w:p>
      <w:pPr>
        <w:pStyle w:val="136"/>
        <w:numPr>
          <w:ilvl w:val="0"/>
          <w:numId w:val="8"/>
        </w:numPr>
        <w:snapToGrid w:val="0"/>
        <w:spacing w:line="460" w:lineRule="exact"/>
        <w:ind w:firstLineChars="0"/>
        <w:rPr>
          <w:rFonts w:ascii="宋体" w:hAnsi="宋体"/>
          <w:szCs w:val="21"/>
        </w:rPr>
      </w:pPr>
      <w:r>
        <w:rPr>
          <w:rFonts w:hint="eastAsia" w:ascii="宋体" w:hAnsi="宋体"/>
          <w:szCs w:val="21"/>
        </w:rPr>
        <w:t>“暂列金额”投标人应按“最高投标限价公布函”中相应金额填写，不得修改。</w:t>
      </w:r>
    </w:p>
    <w:p>
      <w:pPr>
        <w:pStyle w:val="136"/>
        <w:numPr>
          <w:ilvl w:val="0"/>
          <w:numId w:val="8"/>
        </w:numPr>
        <w:snapToGrid w:val="0"/>
        <w:spacing w:line="460" w:lineRule="exact"/>
        <w:ind w:firstLineChars="0"/>
        <w:rPr>
          <w:rFonts w:ascii="宋体" w:hAnsi="宋体"/>
          <w:szCs w:val="21"/>
        </w:rPr>
      </w:pPr>
      <w:r>
        <w:rPr>
          <w:rFonts w:hint="eastAsia" w:ascii="宋体" w:hAnsi="宋体"/>
          <w:szCs w:val="21"/>
        </w:rPr>
        <w:t>“绿色施工安全防护措施费”</w:t>
      </w:r>
      <w:r>
        <w:rPr>
          <w:rFonts w:hint="eastAsia"/>
        </w:rPr>
        <w:t xml:space="preserve"> </w:t>
      </w:r>
      <w:r>
        <w:rPr>
          <w:rFonts w:hint="eastAsia" w:ascii="宋体" w:hAnsi="宋体"/>
          <w:szCs w:val="21"/>
        </w:rPr>
        <w:t>投标人应按“最高投标限价公布函”中相应金额填写，不得修改。</w:t>
      </w:r>
    </w:p>
    <w:p>
      <w:pPr>
        <w:spacing w:line="360" w:lineRule="auto"/>
        <w:ind w:firstLine="422" w:firstLineChars="200"/>
        <w:rPr>
          <w:rFonts w:ascii="宋体" w:hAnsi="宋体"/>
          <w:b/>
          <w:szCs w:val="21"/>
        </w:rPr>
      </w:pPr>
      <w:r>
        <w:rPr>
          <w:rFonts w:hint="eastAsia" w:ascii="宋体" w:hAnsi="宋体"/>
          <w:b/>
          <w:szCs w:val="21"/>
        </w:rPr>
        <w:t>七、其他有关说明：</w:t>
      </w:r>
    </w:p>
    <w:p>
      <w:pPr>
        <w:pStyle w:val="136"/>
        <w:numPr>
          <w:ilvl w:val="0"/>
          <w:numId w:val="9"/>
        </w:numPr>
        <w:spacing w:line="360" w:lineRule="auto"/>
        <w:ind w:firstLineChars="0"/>
        <w:rPr>
          <w:rFonts w:ascii="宋体" w:hAnsi="宋体"/>
          <w:szCs w:val="21"/>
        </w:rPr>
      </w:pPr>
      <w:r>
        <w:rPr>
          <w:rFonts w:hint="eastAsia" w:ascii="宋体" w:hAnsi="宋体"/>
          <w:szCs w:val="21"/>
        </w:rPr>
        <w:t>招标文件的单价和合价均用人民币表示。</w:t>
      </w:r>
    </w:p>
    <w:p>
      <w:pPr>
        <w:pStyle w:val="136"/>
        <w:numPr>
          <w:ilvl w:val="0"/>
          <w:numId w:val="9"/>
        </w:numPr>
        <w:spacing w:line="360" w:lineRule="auto"/>
        <w:ind w:firstLineChars="0"/>
        <w:rPr>
          <w:rFonts w:ascii="宋体" w:hAnsi="宋体"/>
          <w:szCs w:val="21"/>
        </w:rPr>
      </w:pPr>
      <w:r>
        <w:rPr>
          <w:rFonts w:hint="eastAsia" w:ascii="宋体" w:hAnsi="宋体"/>
          <w:szCs w:val="21"/>
        </w:rPr>
        <w:t>增值税销项税额根据有关文件计取。</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本次投标报价工程量清单按照广东省住房和城乡建设厅《广东省建设工程计价依据（2018）》、中华人民共和国国家标准《建设工程工程量清单计价规范》（GB50500-2013）设置，投标文件需根据上述规范、办法要求填写，并提供分部分项工程量清单综合单价分析表（须列明子目工机料消耗量）、措施项目费用分析表</w:t>
      </w:r>
      <w:r>
        <w:rPr>
          <w:rFonts w:hint="eastAsia" w:ascii="宋体" w:hAnsi="宋体"/>
          <w:b/>
          <w:bCs/>
          <w:szCs w:val="21"/>
        </w:rPr>
        <w:t>（</w:t>
      </w:r>
      <w:r>
        <w:rPr>
          <w:rFonts w:hint="eastAsia" w:ascii="宋体" w:hAnsi="宋体"/>
          <w:szCs w:val="21"/>
        </w:rPr>
        <w:t>除按系数计算的绿色施工安全防护措施费</w:t>
      </w:r>
      <w:r>
        <w:rPr>
          <w:rFonts w:hint="eastAsia" w:ascii="宋体" w:hAnsi="宋体"/>
          <w:b/>
          <w:bCs/>
          <w:szCs w:val="21"/>
        </w:rPr>
        <w:t>）</w:t>
      </w:r>
      <w:r>
        <w:rPr>
          <w:rFonts w:hint="eastAsia" w:ascii="宋体" w:hAnsi="宋体"/>
          <w:szCs w:val="21"/>
        </w:rPr>
        <w:t>及设备材料价格表。</w:t>
      </w:r>
    </w:p>
    <w:p>
      <w:pPr>
        <w:pStyle w:val="136"/>
        <w:numPr>
          <w:ilvl w:val="0"/>
          <w:numId w:val="9"/>
        </w:numPr>
        <w:snapToGrid w:val="0"/>
        <w:spacing w:line="460" w:lineRule="exact"/>
        <w:ind w:firstLineChars="0"/>
        <w:rPr>
          <w:rFonts w:ascii="宋体" w:hAnsi="宋体"/>
          <w:b w:val="0"/>
          <w:bCs w:val="0"/>
          <w:szCs w:val="21"/>
        </w:rPr>
      </w:pPr>
      <w:r>
        <w:rPr>
          <w:rFonts w:hint="eastAsia" w:ascii="宋体" w:hAnsi="宋体"/>
          <w:szCs w:val="21"/>
        </w:rPr>
        <w:t>分部分项工程项目的材料消耗量应满足实体用</w:t>
      </w:r>
      <w:r>
        <w:rPr>
          <w:rFonts w:hint="eastAsia" w:ascii="宋体" w:hAnsi="宋体"/>
          <w:b w:val="0"/>
          <w:bCs w:val="0"/>
          <w:szCs w:val="21"/>
        </w:rPr>
        <w:t>量，市政定额、安装定额、建筑装饰定额及相应定额作分析。单价分析子项出现缺项或不清晰的，视该子项费用已包含在其他项目中，结算时不予调整。所提供的单价分析表或措施费用分析表中管理费或利润超过有关定额文件、规范规定的，则投标人在签订合同前，必须按招标人的要求，在中标价不变的前提下，按有关定额文件，规范的规定进行调整。</w:t>
      </w:r>
    </w:p>
    <w:p>
      <w:pPr>
        <w:pStyle w:val="136"/>
        <w:numPr>
          <w:ilvl w:val="0"/>
          <w:numId w:val="9"/>
        </w:numPr>
        <w:snapToGrid w:val="0"/>
        <w:spacing w:line="460" w:lineRule="exact"/>
        <w:ind w:firstLineChars="0"/>
        <w:rPr>
          <w:rFonts w:ascii="宋体" w:hAnsi="宋体"/>
          <w:szCs w:val="21"/>
        </w:rPr>
      </w:pPr>
      <w:r>
        <w:rPr>
          <w:rFonts w:hint="eastAsia" w:ascii="宋体" w:hAnsi="宋体"/>
          <w:b w:val="0"/>
          <w:bCs w:val="0"/>
          <w:szCs w:val="21"/>
        </w:rPr>
        <w:t>投标报价应以清单工程量为准（项目、顺序、格式、计量单位、数量），工程量清单计价格式中列明的所有需要填报的单价和合价，投标人均应填报；未填报单</w:t>
      </w:r>
      <w:r>
        <w:rPr>
          <w:rFonts w:hint="eastAsia" w:ascii="宋体" w:hAnsi="宋体"/>
          <w:szCs w:val="21"/>
        </w:rPr>
        <w:t>价和合价的视为该费用已包含在工程量清单的其他单价和合价中，增项的项目无效，该项目单价不作为结算依据。</w:t>
      </w:r>
    </w:p>
    <w:p>
      <w:pPr>
        <w:pStyle w:val="136"/>
        <w:numPr>
          <w:ilvl w:val="0"/>
          <w:numId w:val="9"/>
        </w:numPr>
        <w:snapToGrid w:val="0"/>
        <w:spacing w:line="460" w:lineRule="exact"/>
        <w:ind w:firstLineChars="0"/>
        <w:rPr>
          <w:rFonts w:ascii="宋体" w:hAnsi="宋体"/>
          <w:b w:val="0"/>
          <w:bCs/>
          <w:szCs w:val="21"/>
        </w:rPr>
      </w:pPr>
      <w:r>
        <w:rPr>
          <w:rFonts w:hint="eastAsia" w:ascii="宋体" w:hAnsi="宋体"/>
          <w:szCs w:val="21"/>
        </w:rPr>
        <w:t>工程量清单应连同图纸、合同条款、技术规范及质量验收规范、本总说明的所有条款、答疑纪要、问题澄清、</w:t>
      </w:r>
      <w:r>
        <w:rPr>
          <w:rFonts w:hint="eastAsia" w:ascii="宋体" w:hAnsi="宋体"/>
          <w:b w:val="0"/>
          <w:bCs/>
          <w:szCs w:val="21"/>
        </w:rPr>
        <w:t>中华人民共和国国家标准《建设工程工程量清单计价规范》（GB50500-2013）、《广东省建设工程计价依据（2018）》及《广东省市政工程综合定额（2018）》、《广东省通用安装工程综合定额（2018）》、《广东省房屋建筑与装饰工程综合定额（2018）》等有关规范、规定同时阅读、理解或解释。工程量清单中的工程细目应与相应技术规范条款及本编制说明有关条款结合理解。</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投标人应对施工现场进行充分考察后，按照招标文件的有关规定，依据招标人提供的工程量清单，施工设计图纸，地质勘查报告，施工现场实际情况，</w:t>
      </w:r>
      <w:r>
        <w:rPr>
          <w:rFonts w:hint="eastAsia" w:ascii="宋体" w:hAnsi="宋体"/>
          <w:szCs w:val="21"/>
          <w:lang w:val="en-US" w:eastAsia="zh-CN"/>
        </w:rPr>
        <w:t>拟定的</w:t>
      </w:r>
      <w:r>
        <w:rPr>
          <w:rFonts w:hint="eastAsia" w:ascii="宋体" w:hAnsi="宋体"/>
          <w:szCs w:val="21"/>
        </w:rPr>
        <w:t>施工方案，企业定额及市场价格或《广东省建设工程计价依据（2018）》，建设行政主管部门和工程造价主管机构的有关规定及发布的人工、材料、机械参考价，并自行考虑风险综合报价。投标报价不能低于企业的成本价和高于招标人编制的投标限价，也不能脱离</w:t>
      </w:r>
      <w:r>
        <w:rPr>
          <w:rFonts w:hint="eastAsia" w:ascii="宋体" w:hAnsi="宋体"/>
          <w:szCs w:val="21"/>
          <w:lang w:val="en-US" w:eastAsia="zh-CN"/>
        </w:rPr>
        <w:t>拟定的</w:t>
      </w:r>
      <w:r>
        <w:rPr>
          <w:rFonts w:hint="eastAsia" w:ascii="宋体" w:hAnsi="宋体"/>
          <w:szCs w:val="21"/>
        </w:rPr>
        <w:t>施工方案、指导价、市场价进行不合理的报价。</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绿色施工安全防护措施费：招标文件、合同约定、计价说明可调整范围外，按费率标准系数计算的其他绿色施工安全防护措施费合价包干；按项计算的绿色施工安全防护措施费部分，以项为单位合价包干，未计价的项目视为该费用已包含在其它费用内，工程结算时不</w:t>
      </w:r>
    </w:p>
    <w:p>
      <w:pPr>
        <w:pStyle w:val="136"/>
        <w:snapToGrid w:val="0"/>
        <w:spacing w:line="460" w:lineRule="exact"/>
        <w:ind w:left="840" w:firstLine="0" w:firstLineChars="0"/>
        <w:rPr>
          <w:rFonts w:ascii="宋体" w:hAnsi="宋体"/>
          <w:szCs w:val="21"/>
        </w:rPr>
      </w:pPr>
      <w:r>
        <w:rPr>
          <w:rFonts w:hint="eastAsia" w:ascii="宋体" w:hAnsi="宋体"/>
          <w:szCs w:val="21"/>
        </w:rPr>
        <w:t>予调整；按计量单位计算的绿色施工安全防护措施费部分，工程量按实计量结算。</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措施其他项目费：措施项目费以项计算的，除招标文件、合同约定可调整范围外，作为该项目包干价，投标人没有计算或少计的措施项目费用，视为该费用已包含在其它费用内，工程结算时不予调整；措施项目费以计量单位计算的，除招标文件、合同约定、计价说明约定包干外，工程量按实计量结算。</w:t>
      </w:r>
    </w:p>
    <w:p>
      <w:pPr>
        <w:pStyle w:val="136"/>
        <w:numPr>
          <w:ilvl w:val="0"/>
          <w:numId w:val="9"/>
        </w:numPr>
        <w:snapToGrid w:val="0"/>
        <w:spacing w:line="460" w:lineRule="exact"/>
        <w:ind w:firstLineChars="0"/>
        <w:rPr>
          <w:rFonts w:ascii="宋体" w:hAnsi="宋体"/>
          <w:szCs w:val="21"/>
          <w:highlight w:val="none"/>
        </w:rPr>
      </w:pPr>
      <w:r>
        <w:rPr>
          <w:rFonts w:hint="eastAsia" w:ascii="宋体" w:hAnsi="宋体"/>
          <w:szCs w:val="21"/>
          <w:highlight w:val="none"/>
        </w:rPr>
        <w:t>“余方弃置”土石方运输每增减1km清单，报价不能高于控制价单价</w:t>
      </w:r>
      <w:r>
        <w:rPr>
          <w:rFonts w:hint="eastAsia" w:ascii="宋体" w:hAnsi="宋体"/>
          <w:szCs w:val="21"/>
          <w:highlight w:val="none"/>
          <w:lang w:val="en-US" w:eastAsia="zh-CN"/>
        </w:rPr>
        <w:t>2.17</w:t>
      </w:r>
      <w:r>
        <w:rPr>
          <w:rFonts w:hint="eastAsia" w:ascii="宋体" w:hAnsi="宋体"/>
          <w:szCs w:val="21"/>
          <w:highlight w:val="none"/>
        </w:rPr>
        <w:t>元/m</w:t>
      </w:r>
      <w:r>
        <w:rPr>
          <w:rFonts w:hint="eastAsia" w:ascii="宋体" w:hAnsi="宋体"/>
          <w:szCs w:val="21"/>
          <w:highlight w:val="none"/>
          <w:vertAlign w:val="superscript"/>
        </w:rPr>
        <w:t>3</w:t>
      </w:r>
      <w:r>
        <w:rPr>
          <w:rFonts w:hint="eastAsia" w:ascii="宋体" w:hAnsi="宋体"/>
          <w:szCs w:val="21"/>
          <w:highlight w:val="none"/>
        </w:rPr>
        <w:t>（土方）、</w:t>
      </w:r>
      <w:r>
        <w:rPr>
          <w:rFonts w:hint="eastAsia" w:ascii="宋体" w:hAnsi="宋体"/>
          <w:szCs w:val="21"/>
          <w:highlight w:val="none"/>
          <w:lang w:val="en-US" w:eastAsia="zh-CN"/>
        </w:rPr>
        <w:t>2.57</w:t>
      </w:r>
      <w:r>
        <w:rPr>
          <w:rFonts w:hint="eastAsia" w:ascii="宋体" w:hAnsi="宋体"/>
          <w:szCs w:val="21"/>
          <w:highlight w:val="none"/>
        </w:rPr>
        <w:t>元/m</w:t>
      </w:r>
      <w:r>
        <w:rPr>
          <w:rFonts w:hint="eastAsia" w:ascii="宋体" w:hAnsi="宋体"/>
          <w:szCs w:val="21"/>
          <w:highlight w:val="none"/>
          <w:vertAlign w:val="superscript"/>
        </w:rPr>
        <w:t>3</w:t>
      </w:r>
      <w:r>
        <w:rPr>
          <w:rFonts w:hint="eastAsia" w:ascii="宋体" w:hAnsi="宋体"/>
          <w:szCs w:val="21"/>
          <w:highlight w:val="none"/>
        </w:rPr>
        <w:t>（</w:t>
      </w:r>
      <w:r>
        <w:rPr>
          <w:rFonts w:hint="eastAsia" w:ascii="宋体" w:hAnsi="宋体"/>
          <w:szCs w:val="21"/>
          <w:highlight w:val="none"/>
          <w:lang w:val="en-US" w:eastAsia="zh-CN"/>
        </w:rPr>
        <w:t>淤泥、流砂</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3.31</w:t>
      </w:r>
      <w:r>
        <w:rPr>
          <w:rFonts w:hint="eastAsia" w:ascii="宋体" w:hAnsi="宋体"/>
          <w:szCs w:val="21"/>
          <w:highlight w:val="none"/>
        </w:rPr>
        <w:t>元/m</w:t>
      </w:r>
      <w:r>
        <w:rPr>
          <w:rFonts w:hint="eastAsia" w:ascii="宋体" w:hAnsi="宋体"/>
          <w:szCs w:val="21"/>
          <w:highlight w:val="none"/>
          <w:vertAlign w:val="superscript"/>
        </w:rPr>
        <w:t>3</w:t>
      </w:r>
      <w:r>
        <w:rPr>
          <w:rFonts w:hint="eastAsia" w:ascii="宋体" w:hAnsi="宋体"/>
          <w:szCs w:val="21"/>
          <w:highlight w:val="none"/>
        </w:rPr>
        <w:t>（石方），若报价高于控制价，结算时按控制单价计价。</w:t>
      </w:r>
    </w:p>
    <w:p>
      <w:pPr>
        <w:pStyle w:val="136"/>
        <w:numPr>
          <w:ilvl w:val="0"/>
          <w:numId w:val="9"/>
        </w:numPr>
        <w:snapToGrid w:val="0"/>
        <w:spacing w:line="460" w:lineRule="exact"/>
        <w:ind w:firstLineChars="0"/>
        <w:rPr>
          <w:rFonts w:ascii="宋体" w:hAnsi="宋体"/>
          <w:szCs w:val="21"/>
          <w:highlight w:val="none"/>
        </w:rPr>
      </w:pPr>
      <w:r>
        <w:rPr>
          <w:rFonts w:hint="eastAsia" w:ascii="宋体" w:hAnsi="宋体"/>
          <w:szCs w:val="21"/>
          <w:highlight w:val="none"/>
          <w:lang w:val="en-US" w:eastAsia="zh-CN"/>
        </w:rPr>
        <w:t>“余方弃置”土石方（含淤泥）结算运距最高不超过40km，弃方运距超出40km的，按40km包干计算，实际弃方运距小于40km时，按实际运距计算，弃方运距需凭消纳场开具有效的合法票据为支付依据。</w:t>
      </w:r>
    </w:p>
    <w:p>
      <w:pPr>
        <w:pStyle w:val="136"/>
        <w:numPr>
          <w:ilvl w:val="0"/>
          <w:numId w:val="9"/>
        </w:numPr>
        <w:snapToGrid w:val="0"/>
        <w:spacing w:line="460" w:lineRule="exact"/>
        <w:ind w:firstLineChars="0"/>
        <w:rPr>
          <w:rFonts w:ascii="宋体" w:hAnsi="宋体"/>
          <w:szCs w:val="21"/>
          <w:highlight w:val="none"/>
        </w:rPr>
      </w:pPr>
      <w:r>
        <w:rPr>
          <w:rFonts w:hint="eastAsia" w:ascii="宋体" w:hAnsi="宋体"/>
          <w:szCs w:val="21"/>
          <w:highlight w:val="none"/>
        </w:rPr>
        <w:t>“余泥渣土收纳费”结算时，消纳费单价按投标报价，工程量按实际发生计算。</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措施项目清单费用支付方法：按实际发生比例支付，如未发生项目则此项目措施费不予支付。</w:t>
      </w:r>
    </w:p>
    <w:p>
      <w:pPr>
        <w:pStyle w:val="136"/>
        <w:numPr>
          <w:ilvl w:val="0"/>
          <w:numId w:val="9"/>
        </w:numPr>
        <w:snapToGrid w:val="0"/>
        <w:spacing w:line="460" w:lineRule="exact"/>
        <w:ind w:firstLineChars="0"/>
        <w:rPr>
          <w:rFonts w:ascii="宋体" w:hAnsi="宋体"/>
          <w:b w:val="0"/>
          <w:bCs w:val="0"/>
          <w:szCs w:val="21"/>
        </w:rPr>
      </w:pPr>
      <w:r>
        <w:rPr>
          <w:rFonts w:hint="eastAsia" w:ascii="宋体" w:hAnsi="宋体"/>
          <w:szCs w:val="21"/>
        </w:rPr>
        <w:t>工程量清单列明的数量是根据设</w:t>
      </w:r>
      <w:r>
        <w:rPr>
          <w:rFonts w:hint="eastAsia" w:ascii="宋体" w:hAnsi="宋体"/>
          <w:b w:val="0"/>
          <w:bCs w:val="0"/>
          <w:szCs w:val="21"/>
        </w:rPr>
        <w:t>计图纸及《建设工程工程量清单计价规范》（GB50500-2013）中工程量计算规则、《广东省建设工程计价依据（2018）》等有关规定进行计算的，它是招标文件的组成部分，只是为投标提供的一个共同基础，不能完全作为最后对承包人进行支付的依据。支付应以施工图纸和监理工程师及发包人认可的、并按技术规范要求完成的实际工程数量为依据。完成的实际工程数量应由承包人按工程师认可的尺寸或断面进行计算，经工程师确认，最终按照《建设工程工程量清单计价规范》（GB50500-2013）中工程量计算规则、《广东省建设工程计价依据（2018）》等有关规定、工程量清单的单价和费用或合同条款有关规定对单价和费用进行调整后给予计量支付。</w:t>
      </w:r>
    </w:p>
    <w:p>
      <w:pPr>
        <w:pStyle w:val="136"/>
        <w:numPr>
          <w:ilvl w:val="0"/>
          <w:numId w:val="9"/>
        </w:numPr>
        <w:snapToGrid w:val="0"/>
        <w:spacing w:line="460" w:lineRule="exact"/>
        <w:ind w:firstLineChars="0"/>
        <w:rPr>
          <w:rFonts w:ascii="宋体" w:hAnsi="宋体"/>
          <w:b w:val="0"/>
          <w:bCs w:val="0"/>
          <w:szCs w:val="21"/>
        </w:rPr>
      </w:pPr>
      <w:r>
        <w:rPr>
          <w:rFonts w:hint="eastAsia" w:ascii="宋体" w:hAnsi="宋体"/>
          <w:b w:val="0"/>
          <w:bCs w:val="0"/>
          <w:szCs w:val="21"/>
        </w:rPr>
        <w:t>中标的投标报价结算的调整方法按照合同文件专用条款的相关规定执行。</w:t>
      </w:r>
    </w:p>
    <w:p>
      <w:pPr>
        <w:snapToGrid w:val="0"/>
        <w:spacing w:line="460" w:lineRule="exact"/>
        <w:ind w:left="850" w:leftChars="405"/>
        <w:rPr>
          <w:rFonts w:ascii="宋体" w:hAnsi="宋体"/>
          <w:szCs w:val="21"/>
        </w:rPr>
      </w:pPr>
      <w:r>
        <w:rPr>
          <w:rFonts w:hint="eastAsia" w:ascii="宋体" w:hAnsi="宋体"/>
          <w:b w:val="0"/>
          <w:bCs w:val="0"/>
          <w:szCs w:val="21"/>
        </w:rPr>
        <w:t>中标的投标报价除发包人同意的设计变更和招标文件、招标答疑会议纪要、合同条</w:t>
      </w:r>
      <w:r>
        <w:rPr>
          <w:rFonts w:hint="eastAsia" w:ascii="宋体" w:hAnsi="宋体"/>
          <w:szCs w:val="21"/>
        </w:rPr>
        <w:t>款中允许的调整范围外，其余不因市场价格变化、人员工资福利调整而调整（建设行政主管部门文件下达可调整的除外）。</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图纸中所列的工程数量汇总表仅为提供资料，不应视为工程量清单的扩大或延伸。清单所列工程量在工程实施过程中发生的变动，丝毫不会使合同条款无效或降低，也不免除承包人按要求的标准进行施工或缺陷修复的责任。</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除非合同另有规定，工程量清单中有标价的单价与合价应包含但不限于中华人民共和国国家标准《建设工程工程量清单计价规范》中项目编码所对应的工程内容以及分部分项工程量清单中备注所包含的内容，同时包括了所有施工设备费、设施费、劳务费、材料费、检验试验费（由建设单位依法委托业务除外）（桩类检测费、土方密实度试验费、弯沉试验费、测量监测费等）、施工方的基坑监测费、安装费、管理费、利润以及合同明示暗示的所有一般风险、责任和业务等一切费用；总价措施项目清单与计价表中所有措施项目费可按招标人提供的指引项目报价，也可在指引项目的基础上结合施工方案增加项目报价，如：大型机械设备进出场及安拆、建（构）筑物保护费、排水措施费等，措施项目如以宗(或项)计算的，除招标文件约定可调整范围外，作为该项目包干价。</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用于本工程的承包人各种装备的提供、运输及拆卸费用的支付，应包括在工程量清单的单价与价格中。除非另有说明，本工程所使用的主材、其他材料、半成品、成品等由承包人自行采购，并在综合单价中考虑制作安装、场内外搅拌及运输、弃物的场内运输、装卸、采保及临时场地征用、平整等费用。但使用前须把材料试验单、出厂证明等按时交监理验收。</w:t>
      </w:r>
    </w:p>
    <w:p>
      <w:pPr>
        <w:pStyle w:val="136"/>
        <w:numPr>
          <w:ilvl w:val="0"/>
          <w:numId w:val="9"/>
        </w:numPr>
        <w:snapToGrid w:val="0"/>
        <w:spacing w:line="460" w:lineRule="exact"/>
        <w:ind w:firstLineChars="0"/>
        <w:rPr>
          <w:rFonts w:ascii="宋体" w:hAnsi="宋体"/>
          <w:szCs w:val="21"/>
          <w:highlight w:val="none"/>
        </w:rPr>
      </w:pPr>
      <w:r>
        <w:rPr>
          <w:rFonts w:hint="eastAsia" w:ascii="宋体" w:hAnsi="宋体"/>
          <w:szCs w:val="21"/>
          <w:highlight w:val="none"/>
        </w:rPr>
        <w:t>工程量清单中除设计有特殊要求外，基坑、管坑、路床回填单价由投标人根据土质情况及设计技术规范要求，综合考虑回填材料（如回填场内</w:t>
      </w:r>
      <w:r>
        <w:rPr>
          <w:rFonts w:hint="eastAsia" w:ascii="宋体" w:hAnsi="宋体"/>
          <w:szCs w:val="21"/>
          <w:highlight w:val="none"/>
          <w:lang w:val="en-US" w:eastAsia="zh-CN"/>
        </w:rPr>
        <w:t>开挖土方</w:t>
      </w:r>
      <w:r>
        <w:rPr>
          <w:rFonts w:hint="eastAsia" w:ascii="宋体" w:hAnsi="宋体"/>
          <w:szCs w:val="21"/>
          <w:highlight w:val="none"/>
        </w:rPr>
        <w:t>或</w:t>
      </w:r>
      <w:r>
        <w:rPr>
          <w:rFonts w:hint="eastAsia" w:ascii="宋体" w:hAnsi="宋体"/>
          <w:szCs w:val="21"/>
          <w:highlight w:val="none"/>
          <w:lang w:val="en-US" w:eastAsia="zh-CN"/>
        </w:rPr>
        <w:t>外购</w:t>
      </w:r>
      <w:r>
        <w:rPr>
          <w:rFonts w:hint="eastAsia" w:ascii="宋体" w:hAnsi="宋体"/>
          <w:szCs w:val="21"/>
          <w:highlight w:val="none"/>
        </w:rPr>
        <w:t>土、填土砂、中砂、石屑、碎石等材料，回填材料及密实度必须符合设计及规范要求），填方的综合单价应包含</w:t>
      </w:r>
      <w:r>
        <w:rPr>
          <w:rFonts w:hint="eastAsia" w:ascii="宋体" w:hAnsi="宋体"/>
          <w:szCs w:val="21"/>
          <w:highlight w:val="none"/>
          <w:lang w:val="en-US" w:eastAsia="zh-CN"/>
        </w:rPr>
        <w:t>回填料</w:t>
      </w:r>
      <w:r>
        <w:rPr>
          <w:rFonts w:hint="eastAsia" w:ascii="宋体" w:hAnsi="宋体"/>
          <w:szCs w:val="21"/>
          <w:highlight w:val="none"/>
        </w:rPr>
        <w:t>压实及工作坑回填，结算时单价不作调整。</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投标文件的施工方案经确定后不得修改，发包人要求修改，则按方案优化等处理，但因此而增加费用结算不予增加（经发包人同意的变更除外）。非发包人原因造成的施工方案修改综合单价不得改变。相关的前期工作、管线的迁改配合工作不另外报价，费用在相关措施项目费中考虑。</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投标人报价应充分考虑管线下或涵洞内施工、不同施工深度及高度要求、周边场地条件、环境限制、材料或构件场内外运输及损耗、施工场地障碍条件、现场各种不利条件发生的可能性以及施工中各种不利因素导致的降效损失等所带来的风险及增加的费用。投标人应仔细阅读和理解招标文件中有关承包范围、技术标准、施工要求、质量目标、安全文明施工目标、工程进度计划、合同义务和费用条款，并充分考察施工现场情况和条件（包括可知地下情况、交通条件、水电条件、场地条件、协调报批事项等），结合企业自身条件进行报价。发包人原则上不再对因以上原因引起的签证、变更进行延长工期或增加结算费用。</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施工过程中，现场应设置必要的路障和明显的安全标志，夜间需设置防止交通事故的保安措施，以确保施工安全及行人车辆的安全。</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业主不提供临时设施的场地，报价需考虑相应的费用。</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可知的地下构筑物、地下障碍物等因素对施工造成的费用及影响，以及投标前后投标人对其进行勘探的费用，应综合考虑在投标报价中，发包人原则上不再对以上原因进行签证、变更或延长工期。</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施工期间，对施工范围及附近的堤岸、民居、厂房等建构筑物应采取措施进行保护、修复；应保证施工现场及周边居民生活、工程生产作业等出入交通不受影响。发生的费用在相应的措施项目报价中考虑。</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排水、降水措施费包括但不限于地表水、地下水、雨水、污水、潮水等，应根据地质及水文资料及现场实际情况综合考虑止水费用。</w:t>
      </w:r>
    </w:p>
    <w:p>
      <w:pPr>
        <w:pStyle w:val="136"/>
        <w:numPr>
          <w:ilvl w:val="0"/>
          <w:numId w:val="9"/>
        </w:numPr>
        <w:snapToGrid w:val="0"/>
        <w:spacing w:line="460" w:lineRule="exact"/>
        <w:ind w:firstLineChars="0"/>
        <w:rPr>
          <w:rFonts w:ascii="宋体" w:hAnsi="宋体"/>
          <w:szCs w:val="21"/>
        </w:rPr>
      </w:pPr>
      <w:r>
        <w:rPr>
          <w:rFonts w:ascii="宋体" w:hAnsi="宋体"/>
          <w:szCs w:val="21"/>
        </w:rPr>
        <w:t>临时用电、用水驳接</w:t>
      </w:r>
      <w:r>
        <w:rPr>
          <w:rFonts w:hint="eastAsia" w:ascii="宋体" w:hAnsi="宋体"/>
          <w:szCs w:val="21"/>
        </w:rPr>
        <w:t>及费用</w:t>
      </w:r>
      <w:r>
        <w:rPr>
          <w:rFonts w:ascii="宋体" w:hAnsi="宋体"/>
          <w:szCs w:val="21"/>
        </w:rPr>
        <w:t>由投标人自行考虑</w:t>
      </w:r>
      <w:r>
        <w:rPr>
          <w:rFonts w:hint="eastAsia" w:ascii="宋体" w:hAnsi="宋体"/>
          <w:szCs w:val="21"/>
        </w:rPr>
        <w:t>。外电工程需考虑外电接入、施工、申报方案审批等费用，以及配合外电设计等工作内容所产生的费用。</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投标文件需根据招标要求填写所有相关表格，并提供综合单价分析表，分析表需按表格的内容提供分析。</w:t>
      </w:r>
    </w:p>
    <w:p>
      <w:pPr>
        <w:pStyle w:val="136"/>
        <w:numPr>
          <w:ilvl w:val="0"/>
          <w:numId w:val="9"/>
        </w:numPr>
        <w:snapToGrid w:val="0"/>
        <w:spacing w:line="460" w:lineRule="exact"/>
        <w:ind w:firstLineChars="0"/>
      </w:pPr>
      <w:r>
        <w:rPr>
          <w:rFonts w:hint="eastAsia" w:ascii="宋体" w:hAnsi="宋体"/>
          <w:szCs w:val="21"/>
        </w:rPr>
        <w:t>承包人应严格按照经监理单位及本项目发包人审批的土方转堆方案处置土方堆放及外运，发包人对本工程范围内多余土石方拥有优先处置权，本工程与其它工程间的土方的调配要服从发包人安排。</w:t>
      </w:r>
    </w:p>
    <w:p>
      <w:pPr>
        <w:pStyle w:val="136"/>
        <w:numPr>
          <w:ilvl w:val="0"/>
          <w:numId w:val="9"/>
        </w:numPr>
        <w:snapToGrid w:val="0"/>
        <w:spacing w:line="460" w:lineRule="exact"/>
        <w:ind w:firstLineChars="0"/>
      </w:pPr>
      <w:r>
        <w:rPr>
          <w:rFonts w:hint="eastAsia" w:ascii="宋体" w:hAnsi="宋体"/>
          <w:szCs w:val="21"/>
          <w:lang w:val="en-US" w:eastAsia="zh-CN"/>
        </w:rPr>
        <w:t>本标段由于各单位工程桩基础施工条件差异较大，各单位工程的桩基础报价只适用于本单位工程对应的工作内容，请投标单位结合图纸综合考虑报价。</w:t>
      </w:r>
    </w:p>
    <w:p>
      <w:pPr>
        <w:pStyle w:val="31"/>
        <w:rPr>
          <w:rFonts w:hint="default" w:ascii="Arial" w:hAnsi="Arial" w:cs="Arial"/>
          <w:color w:val="auto"/>
          <w:sz w:val="24"/>
          <w:szCs w:val="24"/>
          <w:highlight w:val="none"/>
          <w:lang w:val="en-US" w:eastAsia="zh-CN"/>
        </w:rPr>
      </w:pPr>
    </w:p>
    <w:sectPr>
      <w:headerReference r:id="rId15" w:type="default"/>
      <w:footerReference r:id="rId16" w:type="default"/>
      <w:footerReference r:id="rId1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Wund">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体">
    <w:altName w:val="仿宋"/>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金山简魏碑">
    <w:altName w:val="MS Gothic"/>
    <w:panose1 w:val="00000000000000000000"/>
    <w:charset w:val="00"/>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Lucida Grande">
    <w:altName w:val="Courier New"/>
    <w:panose1 w:val="00000000000000000000"/>
    <w:charset w:val="00"/>
    <w:family w:val="auto"/>
    <w:pitch w:val="default"/>
    <w:sig w:usb0="00000000" w:usb1="00000000" w:usb2="00000000" w:usb3="00000000" w:csb0="000001BF"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方正大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ulim">
    <w:altName w:val="Malgun Gothic"/>
    <w:panose1 w:val="020B0600000101010101"/>
    <w:charset w:val="81"/>
    <w:family w:val="roman"/>
    <w:pitch w:val="default"/>
    <w:sig w:usb0="00000000" w:usb1="00000000" w:usb2="00000030" w:usb3="00000000" w:csb0="4008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jc w:val="right"/>
      <w:rPr>
        <w:rStyle w:val="60"/>
      </w:rPr>
    </w:pPr>
    <w:r>
      <w:rPr>
        <w:rStyle w:val="60"/>
      </w:rPr>
      <w:fldChar w:fldCharType="begin"/>
    </w:r>
    <w:r>
      <w:rPr>
        <w:rStyle w:val="60"/>
      </w:rPr>
      <w:instrText xml:space="preserve">PAGE  </w:instrText>
    </w:r>
    <w:r>
      <w:rPr>
        <w:rStyle w:val="60"/>
      </w:rPr>
      <w:fldChar w:fldCharType="separate"/>
    </w:r>
    <w:r>
      <w:rPr>
        <w:rStyle w:val="60"/>
      </w:rPr>
      <w:t>79</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rPr>
        <w:rStyle w:val="60"/>
      </w:rPr>
    </w:pPr>
    <w:r>
      <w:rPr>
        <w:rStyle w:val="60"/>
      </w:rPr>
      <w:fldChar w:fldCharType="begin"/>
    </w:r>
    <w:r>
      <w:rPr>
        <w:rStyle w:val="60"/>
      </w:rPr>
      <w:instrText xml:space="preserve">PAGE  </w:instrText>
    </w:r>
    <w:r>
      <w:rPr>
        <w:rStyle w:val="60"/>
      </w:rPr>
      <w:fldChar w:fldCharType="separate"/>
    </w:r>
    <w:r>
      <w:rPr>
        <w:rStyle w:val="60"/>
        <w:rFonts w:hint="eastAsia"/>
      </w:rPr>
      <w:t>一</w:t>
    </w:r>
    <w:r>
      <w:rPr>
        <w:rStyle w:val="60"/>
      </w:rPr>
      <w:t>–2</w:t>
    </w:r>
    <w:r>
      <w:rPr>
        <w:rStyle w:val="60"/>
      </w:rPr>
      <w:fldChar w:fldCharType="end"/>
    </w:r>
  </w:p>
  <w:p>
    <w:pPr>
      <w:pStyle w:val="37"/>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pPr>
    <w:r>
      <w:rPr>
        <w:rStyle w:val="60"/>
      </w:rPr>
      <w:fldChar w:fldCharType="begin"/>
    </w:r>
    <w:r>
      <w:rPr>
        <w:rStyle w:val="60"/>
      </w:rPr>
      <w:instrText xml:space="preserve"> PAGE </w:instrText>
    </w:r>
    <w:r>
      <w:rPr>
        <w:rStyle w:val="60"/>
      </w:rPr>
      <w:fldChar w:fldCharType="separate"/>
    </w:r>
    <w:r>
      <w:rPr>
        <w:rStyle w:val="60"/>
      </w:rPr>
      <w:t>78</w:t>
    </w:r>
    <w:r>
      <w:rPr>
        <w:rStyle w:val="6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outside" w:y="1"/>
      <w:jc w:val="center"/>
      <w:rPr>
        <w:rStyle w:val="60"/>
      </w:rPr>
    </w:pPr>
    <w:r>
      <w:rPr>
        <w:rStyle w:val="60"/>
      </w:rPr>
      <w:fldChar w:fldCharType="begin"/>
    </w:r>
    <w:r>
      <w:rPr>
        <w:rStyle w:val="60"/>
      </w:rPr>
      <w:instrText xml:space="preserve">PAGE  </w:instrText>
    </w:r>
    <w:r>
      <w:rPr>
        <w:rStyle w:val="60"/>
      </w:rPr>
      <w:fldChar w:fldCharType="separate"/>
    </w:r>
    <w:r>
      <w:rPr>
        <w:rStyle w:val="60"/>
      </w:rPr>
      <w:t>88</w:t>
    </w:r>
    <w:r>
      <w:rPr>
        <w:rStyle w:val="60"/>
      </w:rPr>
      <w:fldChar w:fldCharType="end"/>
    </w:r>
  </w:p>
  <w:p>
    <w:pPr>
      <w:pStyle w:val="37"/>
      <w:framePr w:wrap="around" w:vAnchor="text" w:hAnchor="margin" w:xAlign="outside" w:y="1"/>
      <w:ind w:left="-4410" w:leftChars="-2100" w:right="-4439" w:rightChars="-2114"/>
      <w:rPr>
        <w:rStyle w:val="60"/>
      </w:rPr>
    </w:pPr>
  </w:p>
  <w:p>
    <w:pPr>
      <w:pStyle w:val="37"/>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outside" w:y="1"/>
      <w:rPr>
        <w:rStyle w:val="60"/>
      </w:rPr>
    </w:pPr>
    <w:r>
      <w:rPr>
        <w:rStyle w:val="60"/>
      </w:rPr>
      <w:fldChar w:fldCharType="begin"/>
    </w:r>
    <w:r>
      <w:rPr>
        <w:rStyle w:val="60"/>
      </w:rPr>
      <w:instrText xml:space="preserve">PAGE  </w:instrText>
    </w:r>
    <w:r>
      <w:rPr>
        <w:rStyle w:val="60"/>
      </w:rPr>
      <w:fldChar w:fldCharType="separate"/>
    </w:r>
    <w:r>
      <w:rPr>
        <w:rStyle w:val="60"/>
        <w:rFonts w:hint="eastAsia"/>
      </w:rPr>
      <w:t>一</w:t>
    </w:r>
    <w:r>
      <w:rPr>
        <w:rStyle w:val="60"/>
      </w:rPr>
      <w:t>–2</w:t>
    </w:r>
    <w:r>
      <w:rPr>
        <w:rStyle w:val="60"/>
      </w:rPr>
      <w:fldChar w:fldCharType="end"/>
    </w:r>
  </w:p>
  <w:p>
    <w:pPr>
      <w:pStyle w:val="37"/>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rStyle w:val="60"/>
      </w:rPr>
      <w:fldChar w:fldCharType="begin"/>
    </w:r>
    <w:r>
      <w:rPr>
        <w:rStyle w:val="60"/>
      </w:rPr>
      <w:instrText xml:space="preserve"> PAGE </w:instrText>
    </w:r>
    <w:r>
      <w:rPr>
        <w:rStyle w:val="60"/>
      </w:rPr>
      <w:fldChar w:fldCharType="separate"/>
    </w:r>
    <w:r>
      <w:rPr>
        <w:rStyle w:val="60"/>
      </w:rPr>
      <w:t>80</w:t>
    </w:r>
    <w:r>
      <w:rPr>
        <w:rStyle w:val="6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rFonts w:asciiTheme="minorHAnsi" w:hAnsiTheme="minorHAnsi" w:eastAsiaTheme="minorEastAsia" w:cstheme="minorBidi"/>
      </w:rPr>
      <w:fldChar w:fldCharType="begin"/>
    </w:r>
    <w:r>
      <w:instrText xml:space="preserve"> PAGE   \* MERGEFORMAT </w:instrText>
    </w:r>
    <w:r>
      <w:rPr>
        <w:rFonts w:asciiTheme="minorHAnsi" w:hAnsiTheme="minorHAnsi" w:eastAsiaTheme="minorEastAsia" w:cstheme="minorBidi"/>
      </w:rPr>
      <w:fldChar w:fldCharType="separate"/>
    </w:r>
    <w:r>
      <w:rPr>
        <w:rFonts w:ascii="宋体" w:hAnsi="宋体" w:cs="宋体"/>
        <w:lang w:val="zh-CN"/>
      </w:rPr>
      <w:t>103</w:t>
    </w:r>
    <w:r>
      <w:rPr>
        <w:rFonts w:ascii="Gulim" w:hAnsi="Gulim" w:eastAsia="Gulim" w:cs="Gulim"/>
        <w:lang w:val="zh-CN"/>
      </w:rPr>
      <w:fldChar w:fldCharType="end"/>
    </w:r>
  </w:p>
  <w:p>
    <w:pPr>
      <w:pStyle w:val="3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rPr>
        <w:rStyle w:val="60"/>
      </w:rPr>
      <w:fldChar w:fldCharType="begin"/>
    </w:r>
    <w:r>
      <w:rPr>
        <w:rStyle w:val="60"/>
      </w:rPr>
      <w:instrText xml:space="preserve">PAGE  </w:instrText>
    </w:r>
    <w:r>
      <w:rPr>
        <w:rStyle w:val="60"/>
      </w:rP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67464"/>
    <w:multiLevelType w:val="singleLevel"/>
    <w:tmpl w:val="CC767464"/>
    <w:lvl w:ilvl="0" w:tentative="0">
      <w:start w:val="6"/>
      <w:numFmt w:val="decimal"/>
      <w:suff w:val="nothing"/>
      <w:lvlText w:val="%1、"/>
      <w:lvlJc w:val="left"/>
    </w:lvl>
  </w:abstractNum>
  <w:abstractNum w:abstractNumId="1">
    <w:nsid w:val="0AF045BA"/>
    <w:multiLevelType w:val="multilevel"/>
    <w:tmpl w:val="0AF045BA"/>
    <w:lvl w:ilvl="0" w:tentative="0">
      <w:start w:val="1"/>
      <w:numFmt w:val="decimal"/>
      <w:lvlText w:val="%1."/>
      <w:lvlJc w:val="left"/>
      <w:pPr>
        <w:ind w:left="832" w:hanging="420"/>
      </w:p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
    <w:nsid w:val="204E0236"/>
    <w:multiLevelType w:val="multilevel"/>
    <w:tmpl w:val="204E0236"/>
    <w:lvl w:ilvl="0" w:tentative="0">
      <w:start w:val="1"/>
      <w:numFmt w:val="chineseCountingThousand"/>
      <w:pStyle w:val="236"/>
      <w:lvlText w:val="第%1章"/>
      <w:lvlJc w:val="left"/>
      <w:pPr>
        <w:tabs>
          <w:tab w:val="left" w:pos="0"/>
        </w:tabs>
        <w:ind w:left="0" w:firstLine="0"/>
      </w:pPr>
      <w:rPr>
        <w:rFonts w:hint="eastAsia"/>
      </w:rPr>
    </w:lvl>
    <w:lvl w:ilvl="1" w:tentative="0">
      <w:start w:val="1"/>
      <w:numFmt w:val="decimal"/>
      <w:lvlText w:val="%2."/>
      <w:lvlJc w:val="left"/>
      <w:pPr>
        <w:tabs>
          <w:tab w:val="left" w:pos="442"/>
        </w:tabs>
        <w:ind w:left="193" w:firstLine="227"/>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4">
    <w:nsid w:val="265661E1"/>
    <w:multiLevelType w:val="multilevel"/>
    <w:tmpl w:val="265661E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1076F3C"/>
    <w:multiLevelType w:val="multilevel"/>
    <w:tmpl w:val="41076F3C"/>
    <w:lvl w:ilvl="0" w:tentative="0">
      <w:start w:val="1"/>
      <w:numFmt w:val="decimal"/>
      <w:pStyle w:val="252"/>
      <w:lvlText w:val="%1"/>
      <w:lvlJc w:val="left"/>
      <w:pPr>
        <w:tabs>
          <w:tab w:val="left" w:pos="425"/>
        </w:tabs>
        <w:ind w:left="425" w:hanging="425"/>
      </w:pPr>
      <w:rPr>
        <w:rFonts w:hint="eastAsia" w:eastAsia="黑体"/>
        <w:b/>
        <w:i w:val="0"/>
        <w:sz w:val="24"/>
        <w:szCs w:val="24"/>
      </w:rPr>
    </w:lvl>
    <w:lvl w:ilvl="1" w:tentative="0">
      <w:start w:val="1"/>
      <w:numFmt w:val="decimal"/>
      <w:lvlText w:val="%1.%2"/>
      <w:lvlJc w:val="left"/>
      <w:pPr>
        <w:tabs>
          <w:tab w:val="left" w:pos="425"/>
        </w:tabs>
        <w:ind w:left="425" w:hanging="425"/>
      </w:pPr>
      <w:rPr>
        <w:rFonts w:hint="eastAsia" w:ascii="宋体" w:hAnsi="宋体" w:eastAsia="宋体"/>
        <w:b w:val="0"/>
        <w:sz w:val="21"/>
        <w:szCs w:val="21"/>
      </w:rPr>
    </w:lvl>
    <w:lvl w:ilvl="2" w:tentative="0">
      <w:start w:val="1"/>
      <w:numFmt w:val="decimal"/>
      <w:lvlText w:val="%1.%2.%3"/>
      <w:lvlJc w:val="left"/>
      <w:pPr>
        <w:tabs>
          <w:tab w:val="left" w:pos="1418"/>
        </w:tabs>
        <w:ind w:left="1418" w:hanging="567"/>
      </w:pPr>
      <w:rPr>
        <w:rFonts w:hint="eastAsia" w:ascii="宋体" w:hAnsi="宋体" w:eastAsia="宋体"/>
        <w:b w:val="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45383389"/>
    <w:multiLevelType w:val="singleLevel"/>
    <w:tmpl w:val="45383389"/>
    <w:lvl w:ilvl="0" w:tentative="0">
      <w:start w:val="1"/>
      <w:numFmt w:val="decimal"/>
      <w:pStyle w:val="162"/>
      <w:lvlText w:val="%1．"/>
      <w:lvlJc w:val="left"/>
      <w:pPr>
        <w:tabs>
          <w:tab w:val="left" w:pos="750"/>
        </w:tabs>
        <w:ind w:left="750" w:hanging="330"/>
      </w:pPr>
      <w:rPr>
        <w:rFonts w:hint="eastAsia"/>
      </w:rPr>
    </w:lvl>
  </w:abstractNum>
  <w:abstractNum w:abstractNumId="7">
    <w:nsid w:val="513369F5"/>
    <w:multiLevelType w:val="multilevel"/>
    <w:tmpl w:val="513369F5"/>
    <w:lvl w:ilvl="0" w:tentative="0">
      <w:start w:val="31"/>
      <w:numFmt w:val="decimal"/>
      <w:lvlText w:val="%1"/>
      <w:lvlJc w:val="left"/>
      <w:pPr>
        <w:tabs>
          <w:tab w:val="left" w:pos="425"/>
        </w:tabs>
        <w:ind w:left="425" w:hanging="425"/>
      </w:pPr>
      <w:rPr>
        <w:rFonts w:hint="eastAsia"/>
      </w:rPr>
    </w:lvl>
    <w:lvl w:ilvl="1" w:tentative="0">
      <w:start w:val="1"/>
      <w:numFmt w:val="decimal"/>
      <w:pStyle w:val="193"/>
      <w:lvlText w:val="%1.%2"/>
      <w:lvlJc w:val="left"/>
      <w:pPr>
        <w:tabs>
          <w:tab w:val="left" w:pos="992"/>
        </w:tabs>
        <w:ind w:left="992" w:hanging="567"/>
      </w:pPr>
      <w:rPr>
        <w:rFonts w:hint="eastAsia"/>
        <w:b w:val="0"/>
        <w:i w:val="0"/>
        <w:color w:val="auto"/>
        <w:sz w:val="28"/>
        <w:szCs w:val="28"/>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8">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8"/>
  </w:num>
  <w:num w:numId="3">
    <w:abstractNumId w:val="6"/>
  </w:num>
  <w:num w:numId="4">
    <w:abstractNumId w:val="7"/>
  </w:num>
  <w:num w:numId="5">
    <w:abstractNumId w:val="2"/>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007B41BE"/>
    <w:rsid w:val="00006760"/>
    <w:rsid w:val="000200EE"/>
    <w:rsid w:val="000203E8"/>
    <w:rsid w:val="00045DD4"/>
    <w:rsid w:val="0005034D"/>
    <w:rsid w:val="000575F8"/>
    <w:rsid w:val="00065906"/>
    <w:rsid w:val="00066DD9"/>
    <w:rsid w:val="00097A2E"/>
    <w:rsid w:val="000C1007"/>
    <w:rsid w:val="000C11E0"/>
    <w:rsid w:val="000C2710"/>
    <w:rsid w:val="000C3300"/>
    <w:rsid w:val="000D396E"/>
    <w:rsid w:val="000F25B4"/>
    <w:rsid w:val="00110596"/>
    <w:rsid w:val="001251F8"/>
    <w:rsid w:val="00125E20"/>
    <w:rsid w:val="00130BF3"/>
    <w:rsid w:val="00167058"/>
    <w:rsid w:val="00181CAA"/>
    <w:rsid w:val="00182C71"/>
    <w:rsid w:val="00183793"/>
    <w:rsid w:val="00187576"/>
    <w:rsid w:val="001B0E2F"/>
    <w:rsid w:val="001B2E57"/>
    <w:rsid w:val="001E15A9"/>
    <w:rsid w:val="001E4598"/>
    <w:rsid w:val="001F2BBB"/>
    <w:rsid w:val="001F5481"/>
    <w:rsid w:val="001F6495"/>
    <w:rsid w:val="002421A8"/>
    <w:rsid w:val="0025797E"/>
    <w:rsid w:val="002D52AB"/>
    <w:rsid w:val="002E5CB1"/>
    <w:rsid w:val="00311F04"/>
    <w:rsid w:val="003334D9"/>
    <w:rsid w:val="003336CD"/>
    <w:rsid w:val="00334C0A"/>
    <w:rsid w:val="00336AA3"/>
    <w:rsid w:val="00337B82"/>
    <w:rsid w:val="003612C7"/>
    <w:rsid w:val="00384757"/>
    <w:rsid w:val="0039283C"/>
    <w:rsid w:val="003B59E5"/>
    <w:rsid w:val="003D1FFA"/>
    <w:rsid w:val="003F68A7"/>
    <w:rsid w:val="00401F97"/>
    <w:rsid w:val="00402E53"/>
    <w:rsid w:val="00406625"/>
    <w:rsid w:val="0042507D"/>
    <w:rsid w:val="004370EC"/>
    <w:rsid w:val="004424B8"/>
    <w:rsid w:val="00446531"/>
    <w:rsid w:val="004B295D"/>
    <w:rsid w:val="004B7FD7"/>
    <w:rsid w:val="0050177A"/>
    <w:rsid w:val="005036DB"/>
    <w:rsid w:val="00512E60"/>
    <w:rsid w:val="0054677E"/>
    <w:rsid w:val="0057102B"/>
    <w:rsid w:val="005866FB"/>
    <w:rsid w:val="00596B7C"/>
    <w:rsid w:val="005971D5"/>
    <w:rsid w:val="005A6E10"/>
    <w:rsid w:val="005B4070"/>
    <w:rsid w:val="005C212B"/>
    <w:rsid w:val="005D6AF6"/>
    <w:rsid w:val="005E213C"/>
    <w:rsid w:val="006036EF"/>
    <w:rsid w:val="00610C74"/>
    <w:rsid w:val="0064252D"/>
    <w:rsid w:val="00643C58"/>
    <w:rsid w:val="006505AC"/>
    <w:rsid w:val="006646E8"/>
    <w:rsid w:val="00673B83"/>
    <w:rsid w:val="00680BFD"/>
    <w:rsid w:val="006B3E27"/>
    <w:rsid w:val="006B3FAD"/>
    <w:rsid w:val="006B6B0D"/>
    <w:rsid w:val="006F0524"/>
    <w:rsid w:val="006F3576"/>
    <w:rsid w:val="006F3618"/>
    <w:rsid w:val="006F7585"/>
    <w:rsid w:val="00711AAA"/>
    <w:rsid w:val="007221B0"/>
    <w:rsid w:val="00723F79"/>
    <w:rsid w:val="0073229B"/>
    <w:rsid w:val="00741509"/>
    <w:rsid w:val="00754E78"/>
    <w:rsid w:val="007559B1"/>
    <w:rsid w:val="00780EC8"/>
    <w:rsid w:val="007818C6"/>
    <w:rsid w:val="00792743"/>
    <w:rsid w:val="007A2254"/>
    <w:rsid w:val="007B41BE"/>
    <w:rsid w:val="007B681B"/>
    <w:rsid w:val="007D6D06"/>
    <w:rsid w:val="007E7A91"/>
    <w:rsid w:val="00814895"/>
    <w:rsid w:val="00835C9E"/>
    <w:rsid w:val="00867BE4"/>
    <w:rsid w:val="0087155F"/>
    <w:rsid w:val="0089357A"/>
    <w:rsid w:val="008B4D33"/>
    <w:rsid w:val="008C0453"/>
    <w:rsid w:val="008C17B4"/>
    <w:rsid w:val="008D2515"/>
    <w:rsid w:val="008E4AD1"/>
    <w:rsid w:val="008E6970"/>
    <w:rsid w:val="00903FDD"/>
    <w:rsid w:val="009073B4"/>
    <w:rsid w:val="00920E49"/>
    <w:rsid w:val="00932246"/>
    <w:rsid w:val="0093717E"/>
    <w:rsid w:val="00946E58"/>
    <w:rsid w:val="00956BEA"/>
    <w:rsid w:val="00970F50"/>
    <w:rsid w:val="00973342"/>
    <w:rsid w:val="00973426"/>
    <w:rsid w:val="00974ECF"/>
    <w:rsid w:val="00976FEB"/>
    <w:rsid w:val="00991949"/>
    <w:rsid w:val="0099693E"/>
    <w:rsid w:val="009A704D"/>
    <w:rsid w:val="009B31A4"/>
    <w:rsid w:val="009C6B79"/>
    <w:rsid w:val="009E5CE6"/>
    <w:rsid w:val="009F42AF"/>
    <w:rsid w:val="00A0387A"/>
    <w:rsid w:val="00A0619D"/>
    <w:rsid w:val="00A20AF3"/>
    <w:rsid w:val="00A23729"/>
    <w:rsid w:val="00A23855"/>
    <w:rsid w:val="00A25292"/>
    <w:rsid w:val="00A2579D"/>
    <w:rsid w:val="00A50D34"/>
    <w:rsid w:val="00A61F9D"/>
    <w:rsid w:val="00A64E29"/>
    <w:rsid w:val="00A73704"/>
    <w:rsid w:val="00A75B4E"/>
    <w:rsid w:val="00AB3825"/>
    <w:rsid w:val="00AB3C5E"/>
    <w:rsid w:val="00AD3DEE"/>
    <w:rsid w:val="00AD558A"/>
    <w:rsid w:val="00AD6716"/>
    <w:rsid w:val="00B063FE"/>
    <w:rsid w:val="00B5238B"/>
    <w:rsid w:val="00B618B7"/>
    <w:rsid w:val="00B93B5C"/>
    <w:rsid w:val="00B96354"/>
    <w:rsid w:val="00BC7B91"/>
    <w:rsid w:val="00BD094F"/>
    <w:rsid w:val="00BE1732"/>
    <w:rsid w:val="00BE18EA"/>
    <w:rsid w:val="00BE216D"/>
    <w:rsid w:val="00C027C1"/>
    <w:rsid w:val="00C029A8"/>
    <w:rsid w:val="00C267C0"/>
    <w:rsid w:val="00C32C1E"/>
    <w:rsid w:val="00C408D3"/>
    <w:rsid w:val="00C81F53"/>
    <w:rsid w:val="00C82C8A"/>
    <w:rsid w:val="00C85C2C"/>
    <w:rsid w:val="00C8621B"/>
    <w:rsid w:val="00C97BEE"/>
    <w:rsid w:val="00CC3A7D"/>
    <w:rsid w:val="00CD156B"/>
    <w:rsid w:val="00D3345F"/>
    <w:rsid w:val="00D4095E"/>
    <w:rsid w:val="00D75B45"/>
    <w:rsid w:val="00D84E64"/>
    <w:rsid w:val="00D955EF"/>
    <w:rsid w:val="00DB04C6"/>
    <w:rsid w:val="00DB794A"/>
    <w:rsid w:val="00E10B09"/>
    <w:rsid w:val="00E22EAB"/>
    <w:rsid w:val="00E457F6"/>
    <w:rsid w:val="00E638F3"/>
    <w:rsid w:val="00E860B9"/>
    <w:rsid w:val="00EB4ADC"/>
    <w:rsid w:val="00EB6530"/>
    <w:rsid w:val="00EC014E"/>
    <w:rsid w:val="00F0245E"/>
    <w:rsid w:val="00F209FD"/>
    <w:rsid w:val="00F235D8"/>
    <w:rsid w:val="00F30F7B"/>
    <w:rsid w:val="00F40301"/>
    <w:rsid w:val="00F6340F"/>
    <w:rsid w:val="00F748E6"/>
    <w:rsid w:val="00F75585"/>
    <w:rsid w:val="00F852CE"/>
    <w:rsid w:val="00FA5926"/>
    <w:rsid w:val="00FC5596"/>
    <w:rsid w:val="020B179C"/>
    <w:rsid w:val="02356EED"/>
    <w:rsid w:val="031900F7"/>
    <w:rsid w:val="03402C79"/>
    <w:rsid w:val="03A76AB8"/>
    <w:rsid w:val="05935ABA"/>
    <w:rsid w:val="072F44E3"/>
    <w:rsid w:val="09E473E6"/>
    <w:rsid w:val="09F33618"/>
    <w:rsid w:val="0AD97A14"/>
    <w:rsid w:val="0AE07BE6"/>
    <w:rsid w:val="0D75742F"/>
    <w:rsid w:val="0E5D45B7"/>
    <w:rsid w:val="0F7245FC"/>
    <w:rsid w:val="0F7E4AB5"/>
    <w:rsid w:val="0FAE54E2"/>
    <w:rsid w:val="0FEF45D8"/>
    <w:rsid w:val="11E8746F"/>
    <w:rsid w:val="145E3082"/>
    <w:rsid w:val="14767A40"/>
    <w:rsid w:val="14D34591"/>
    <w:rsid w:val="174412BF"/>
    <w:rsid w:val="175333A0"/>
    <w:rsid w:val="18151F96"/>
    <w:rsid w:val="181C07FE"/>
    <w:rsid w:val="1826340E"/>
    <w:rsid w:val="182B34D2"/>
    <w:rsid w:val="186A473F"/>
    <w:rsid w:val="19CF0419"/>
    <w:rsid w:val="1A2F4635"/>
    <w:rsid w:val="1AD03189"/>
    <w:rsid w:val="1BEE7C72"/>
    <w:rsid w:val="1E486D96"/>
    <w:rsid w:val="1EBA5A37"/>
    <w:rsid w:val="1F707B1F"/>
    <w:rsid w:val="20891F5C"/>
    <w:rsid w:val="22056407"/>
    <w:rsid w:val="227C6E1D"/>
    <w:rsid w:val="234E1484"/>
    <w:rsid w:val="246A7AAE"/>
    <w:rsid w:val="24870598"/>
    <w:rsid w:val="24A972CC"/>
    <w:rsid w:val="2521107B"/>
    <w:rsid w:val="25B17FBF"/>
    <w:rsid w:val="281173C0"/>
    <w:rsid w:val="28790229"/>
    <w:rsid w:val="295E4093"/>
    <w:rsid w:val="29C01785"/>
    <w:rsid w:val="29EB7BA2"/>
    <w:rsid w:val="2A880A7B"/>
    <w:rsid w:val="2DC4660F"/>
    <w:rsid w:val="2ECB3C68"/>
    <w:rsid w:val="2F2023F3"/>
    <w:rsid w:val="2FF76494"/>
    <w:rsid w:val="305A5F33"/>
    <w:rsid w:val="30997F39"/>
    <w:rsid w:val="309B58FC"/>
    <w:rsid w:val="30C54474"/>
    <w:rsid w:val="31FF20E0"/>
    <w:rsid w:val="323D4A7D"/>
    <w:rsid w:val="32BF3509"/>
    <w:rsid w:val="334A1BAF"/>
    <w:rsid w:val="36B04EBC"/>
    <w:rsid w:val="37114C27"/>
    <w:rsid w:val="374B4BD9"/>
    <w:rsid w:val="375D203C"/>
    <w:rsid w:val="38026A6F"/>
    <w:rsid w:val="383233C5"/>
    <w:rsid w:val="39C15447"/>
    <w:rsid w:val="3A493C25"/>
    <w:rsid w:val="3CB41A48"/>
    <w:rsid w:val="3D60411F"/>
    <w:rsid w:val="3EFC6F26"/>
    <w:rsid w:val="3FD7221F"/>
    <w:rsid w:val="40354679"/>
    <w:rsid w:val="4146521C"/>
    <w:rsid w:val="41E657FF"/>
    <w:rsid w:val="424340DD"/>
    <w:rsid w:val="48523C0A"/>
    <w:rsid w:val="4B3F6B82"/>
    <w:rsid w:val="4B6B7860"/>
    <w:rsid w:val="4C5322C9"/>
    <w:rsid w:val="4D9E110A"/>
    <w:rsid w:val="4E6C325B"/>
    <w:rsid w:val="4F590E33"/>
    <w:rsid w:val="50AF5D81"/>
    <w:rsid w:val="51A44F19"/>
    <w:rsid w:val="531A1076"/>
    <w:rsid w:val="5325169E"/>
    <w:rsid w:val="536645B9"/>
    <w:rsid w:val="53F92C98"/>
    <w:rsid w:val="54517D85"/>
    <w:rsid w:val="548F1668"/>
    <w:rsid w:val="550B566B"/>
    <w:rsid w:val="565551B0"/>
    <w:rsid w:val="5720275D"/>
    <w:rsid w:val="59C9560C"/>
    <w:rsid w:val="5A3763F9"/>
    <w:rsid w:val="5CDF456F"/>
    <w:rsid w:val="5D572C78"/>
    <w:rsid w:val="5F2F6E7D"/>
    <w:rsid w:val="5F4B72E8"/>
    <w:rsid w:val="5F7222F9"/>
    <w:rsid w:val="61112785"/>
    <w:rsid w:val="624B591B"/>
    <w:rsid w:val="63416D0D"/>
    <w:rsid w:val="63C139AA"/>
    <w:rsid w:val="6432286F"/>
    <w:rsid w:val="653505E7"/>
    <w:rsid w:val="674D36E2"/>
    <w:rsid w:val="6C7621DF"/>
    <w:rsid w:val="6C787452"/>
    <w:rsid w:val="6CEF4F0F"/>
    <w:rsid w:val="6D06067F"/>
    <w:rsid w:val="6DAB59DE"/>
    <w:rsid w:val="6F3B69C3"/>
    <w:rsid w:val="72291626"/>
    <w:rsid w:val="73CC483B"/>
    <w:rsid w:val="73D177F0"/>
    <w:rsid w:val="7453487C"/>
    <w:rsid w:val="75D44595"/>
    <w:rsid w:val="77904A82"/>
    <w:rsid w:val="77E331DB"/>
    <w:rsid w:val="795C7E8F"/>
    <w:rsid w:val="7ADC31A8"/>
    <w:rsid w:val="7C4B759C"/>
    <w:rsid w:val="7E861471"/>
    <w:rsid w:val="7EFB1C64"/>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74"/>
    <w:qFormat/>
    <w:uiPriority w:val="0"/>
    <w:pPr>
      <w:keepNext/>
      <w:keepLines/>
      <w:spacing w:after="120" w:line="360" w:lineRule="auto"/>
      <w:outlineLvl w:val="0"/>
    </w:pPr>
    <w:rPr>
      <w:kern w:val="44"/>
      <w:sz w:val="28"/>
      <w:szCs w:val="28"/>
    </w:rPr>
  </w:style>
  <w:style w:type="paragraph" w:styleId="5">
    <w:name w:val="heading 2"/>
    <w:basedOn w:val="1"/>
    <w:next w:val="6"/>
    <w:link w:val="76"/>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6"/>
    <w:link w:val="78"/>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9">
    <w:name w:val="heading 5"/>
    <w:basedOn w:val="8"/>
    <w:next w:val="6"/>
    <w:link w:val="79"/>
    <w:qFormat/>
    <w:uiPriority w:val="0"/>
    <w:pPr>
      <w:numPr>
        <w:ilvl w:val="4"/>
      </w:numPr>
      <w:spacing w:line="240" w:lineRule="exact"/>
      <w:outlineLvl w:val="4"/>
    </w:pPr>
  </w:style>
  <w:style w:type="paragraph" w:styleId="10">
    <w:name w:val="heading 6"/>
    <w:basedOn w:val="1"/>
    <w:next w:val="1"/>
    <w:link w:val="8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1">
    <w:name w:val="heading 7"/>
    <w:basedOn w:val="1"/>
    <w:next w:val="6"/>
    <w:link w:val="81"/>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2">
    <w:name w:val="heading 8"/>
    <w:basedOn w:val="1"/>
    <w:next w:val="6"/>
    <w:link w:val="8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6"/>
    <w:link w:val="8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1"/>
    <w:qFormat/>
    <w:uiPriority w:val="0"/>
    <w:pPr>
      <w:spacing w:before="120" w:after="60"/>
      <w:jc w:val="center"/>
    </w:pPr>
    <w:rPr>
      <w:rFonts w:ascii="Arial" w:hAnsi="Arial"/>
      <w:b/>
      <w:sz w:val="44"/>
      <w:szCs w:val="20"/>
    </w:rPr>
  </w:style>
  <w:style w:type="paragraph" w:styleId="4">
    <w:name w:val="Body Text First Indent"/>
    <w:basedOn w:val="1"/>
    <w:next w:val="1"/>
    <w:link w:val="73"/>
    <w:qFormat/>
    <w:uiPriority w:val="0"/>
    <w:pPr>
      <w:ind w:firstLine="420"/>
    </w:pPr>
  </w:style>
  <w:style w:type="paragraph" w:styleId="6">
    <w:name w:val="Normal Indent"/>
    <w:basedOn w:val="1"/>
    <w:link w:val="75"/>
    <w:qFormat/>
    <w:uiPriority w:val="0"/>
    <w:pPr>
      <w:ind w:firstLine="420"/>
    </w:pPr>
    <w:rPr>
      <w:rFonts w:ascii="Times New Roman" w:hAnsi="Times New Roman"/>
      <w:szCs w:val="20"/>
    </w:rPr>
  </w:style>
  <w:style w:type="paragraph" w:styleId="14">
    <w:name w:val="List 3"/>
    <w:basedOn w:val="1"/>
    <w:qFormat/>
    <w:uiPriority w:val="0"/>
    <w:pPr>
      <w:ind w:left="1260" w:hanging="420"/>
    </w:pPr>
    <w:rPr>
      <w:rFonts w:ascii="Times New Roman" w:hAnsi="Times New Roman"/>
      <w:szCs w:val="20"/>
    </w:rPr>
  </w:style>
  <w:style w:type="paragraph" w:styleId="15">
    <w:name w:val="toc 7"/>
    <w:basedOn w:val="1"/>
    <w:next w:val="1"/>
    <w:qFormat/>
    <w:uiPriority w:val="39"/>
    <w:pPr>
      <w:ind w:left="2520" w:leftChars="1200"/>
    </w:pPr>
    <w:rPr>
      <w:rFonts w:ascii="Times New Roman" w:hAnsi="Times New Roman"/>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overflowPunct w:val="0"/>
      <w:autoSpaceDE w:val="0"/>
      <w:autoSpaceDN w:val="0"/>
      <w:spacing w:after="160" w:line="340" w:lineRule="exact"/>
      <w:ind w:left="0" w:firstLine="0"/>
      <w:jc w:val="both"/>
      <w:textAlignment w:val="baseline"/>
    </w:pPr>
    <w:rPr>
      <w:rFonts w:hint="default" w:ascii="Arial Narrow" w:hAnsi="Arial Narrow" w:cs="Arial Narrow"/>
      <w:sz w:val="22"/>
      <w:szCs w:val="22"/>
      <w:lang w:val="de-DE" w:eastAsia="de-DE"/>
    </w:rPr>
  </w:style>
  <w:style w:type="paragraph" w:styleId="18">
    <w:name w:val="List"/>
    <w:basedOn w:val="1"/>
    <w:qFormat/>
    <w:uiPriority w:val="0"/>
    <w:pPr>
      <w:adjustRightInd w:val="0"/>
      <w:spacing w:line="360" w:lineRule="atLeast"/>
      <w:ind w:left="420" w:hanging="420"/>
      <w:jc w:val="left"/>
    </w:pPr>
    <w:rPr>
      <w:rFonts w:hint="eastAsia" w:ascii="宋体" w:hAnsi="Times New Roman"/>
      <w:kern w:val="0"/>
      <w:sz w:val="24"/>
      <w:szCs w:val="20"/>
    </w:rPr>
  </w:style>
  <w:style w:type="paragraph" w:styleId="19">
    <w:name w:val="Document Map"/>
    <w:basedOn w:val="1"/>
    <w:link w:val="84"/>
    <w:qFormat/>
    <w:uiPriority w:val="0"/>
    <w:pPr>
      <w:shd w:val="clear" w:color="auto" w:fill="000080"/>
    </w:pPr>
    <w:rPr>
      <w:rFonts w:ascii="Times New Roman" w:hAnsi="Times New Roman"/>
      <w:szCs w:val="20"/>
    </w:rPr>
  </w:style>
  <w:style w:type="paragraph" w:styleId="20">
    <w:name w:val="toa heading"/>
    <w:basedOn w:val="1"/>
    <w:next w:val="1"/>
    <w:qFormat/>
    <w:uiPriority w:val="99"/>
    <w:pPr>
      <w:spacing w:before="120"/>
    </w:pPr>
    <w:rPr>
      <w:rFonts w:ascii="Arial" w:hAnsi="Arial" w:cs="Arial"/>
      <w:sz w:val="24"/>
      <w:szCs w:val="24"/>
    </w:rPr>
  </w:style>
  <w:style w:type="paragraph" w:styleId="21">
    <w:name w:val="annotation text"/>
    <w:basedOn w:val="1"/>
    <w:link w:val="85"/>
    <w:qFormat/>
    <w:uiPriority w:val="0"/>
    <w:pPr>
      <w:spacing w:line="360" w:lineRule="auto"/>
      <w:ind w:firstLine="523" w:firstLineChars="218"/>
      <w:jc w:val="left"/>
    </w:pPr>
    <w:rPr>
      <w:rFonts w:ascii="宋体" w:hAnsi="宋体"/>
      <w:sz w:val="24"/>
      <w:szCs w:val="24"/>
    </w:rPr>
  </w:style>
  <w:style w:type="paragraph" w:styleId="22">
    <w:name w:val="Salutation"/>
    <w:basedOn w:val="1"/>
    <w:next w:val="1"/>
    <w:link w:val="275"/>
    <w:unhideWhenUsed/>
    <w:qFormat/>
    <w:uiPriority w:val="0"/>
    <w:rPr>
      <w:rFonts w:ascii="Times New Roman" w:hAnsi="Times New Roman"/>
      <w:kern w:val="0"/>
      <w:sz w:val="30"/>
      <w:szCs w:val="20"/>
    </w:rPr>
  </w:style>
  <w:style w:type="paragraph" w:styleId="23">
    <w:name w:val="Body Text 3"/>
    <w:basedOn w:val="1"/>
    <w:link w:val="145"/>
    <w:qFormat/>
    <w:uiPriority w:val="0"/>
    <w:rPr>
      <w:rFonts w:ascii="宋体" w:hAnsi="宋体"/>
      <w:szCs w:val="20"/>
      <w:u w:val="single"/>
      <w:bdr w:val="single" w:color="auto" w:sz="4" w:space="0"/>
    </w:rPr>
  </w:style>
  <w:style w:type="paragraph" w:styleId="24">
    <w:name w:val="Body Text"/>
    <w:basedOn w:val="1"/>
    <w:link w:val="72"/>
    <w:qFormat/>
    <w:uiPriority w:val="0"/>
    <w:pPr>
      <w:spacing w:after="120"/>
    </w:pPr>
    <w:rPr>
      <w:rFonts w:ascii="Times New Roman" w:hAnsi="Times New Roman"/>
      <w:szCs w:val="20"/>
    </w:rPr>
  </w:style>
  <w:style w:type="paragraph" w:styleId="25">
    <w:name w:val="Body Text Indent"/>
    <w:basedOn w:val="1"/>
    <w:next w:val="26"/>
    <w:link w:val="86"/>
    <w:qFormat/>
    <w:uiPriority w:val="0"/>
    <w:pPr>
      <w:ind w:firstLine="570"/>
    </w:pPr>
    <w:rPr>
      <w:rFonts w:ascii="Times New Roman" w:hAnsi="Times New Roman"/>
      <w:sz w:val="28"/>
      <w:szCs w:val="20"/>
    </w:rPr>
  </w:style>
  <w:style w:type="paragraph" w:styleId="26">
    <w:name w:val="envelope return"/>
    <w:basedOn w:val="1"/>
    <w:qFormat/>
    <w:uiPriority w:val="0"/>
    <w:pPr>
      <w:snapToGrid w:val="0"/>
    </w:pPr>
    <w:rPr>
      <w:rFonts w:ascii="Arial" w:hAnsi="Arial" w:eastAsia="宋体" w:cs="Times New Roman"/>
      <w:szCs w:val="24"/>
      <w:lang w:bidi="ar-SA"/>
    </w:rPr>
  </w:style>
  <w:style w:type="paragraph" w:styleId="27">
    <w:name w:val="List 2"/>
    <w:basedOn w:val="1"/>
    <w:qFormat/>
    <w:uiPriority w:val="0"/>
    <w:pPr>
      <w:jc w:val="center"/>
    </w:pPr>
    <w:rPr>
      <w:rFonts w:ascii="宋体" w:hAnsi="Times New Roman"/>
      <w:sz w:val="24"/>
      <w:szCs w:val="20"/>
    </w:rPr>
  </w:style>
  <w:style w:type="paragraph" w:styleId="28">
    <w:name w:val="Block Text"/>
    <w:basedOn w:val="1"/>
    <w:qFormat/>
    <w:uiPriority w:val="99"/>
    <w:pPr>
      <w:spacing w:line="360" w:lineRule="auto"/>
      <w:ind w:left="351" w:right="176" w:firstLine="643" w:firstLineChars="200"/>
      <w:jc w:val="center"/>
    </w:pPr>
    <w:rPr>
      <w:rFonts w:ascii="Times New Roman" w:hAnsi="Times New Roman"/>
      <w:b/>
      <w:bCs/>
      <w:sz w:val="32"/>
      <w:szCs w:val="24"/>
    </w:rPr>
  </w:style>
  <w:style w:type="paragraph" w:styleId="29">
    <w:name w:val="toc 5"/>
    <w:basedOn w:val="1"/>
    <w:next w:val="1"/>
    <w:qFormat/>
    <w:uiPriority w:val="39"/>
    <w:pPr>
      <w:ind w:left="1680" w:leftChars="800"/>
    </w:pPr>
    <w:rPr>
      <w:rFonts w:ascii="Times New Roman" w:hAnsi="Times New Roman"/>
      <w:szCs w:val="20"/>
    </w:rPr>
  </w:style>
  <w:style w:type="paragraph" w:styleId="3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31">
    <w:name w:val="Plain Text"/>
    <w:basedOn w:val="1"/>
    <w:link w:val="70"/>
    <w:qFormat/>
    <w:uiPriority w:val="0"/>
    <w:rPr>
      <w:rFonts w:ascii="宋体" w:hAnsi="Courier New"/>
      <w:szCs w:val="20"/>
    </w:rPr>
  </w:style>
  <w:style w:type="paragraph" w:styleId="32">
    <w:name w:val="toc 8"/>
    <w:basedOn w:val="1"/>
    <w:next w:val="1"/>
    <w:qFormat/>
    <w:uiPriority w:val="39"/>
    <w:pPr>
      <w:ind w:left="2940" w:leftChars="1400"/>
    </w:pPr>
    <w:rPr>
      <w:rFonts w:ascii="Times New Roman" w:hAnsi="Times New Roman"/>
      <w:szCs w:val="20"/>
    </w:rPr>
  </w:style>
  <w:style w:type="paragraph" w:styleId="33">
    <w:name w:val="Date"/>
    <w:basedOn w:val="1"/>
    <w:next w:val="1"/>
    <w:link w:val="87"/>
    <w:qFormat/>
    <w:uiPriority w:val="0"/>
    <w:rPr>
      <w:rFonts w:ascii="Times New Roman" w:hAnsi="Times New Roman"/>
      <w:szCs w:val="20"/>
    </w:rPr>
  </w:style>
  <w:style w:type="paragraph" w:styleId="34">
    <w:name w:val="Body Text Indent 2"/>
    <w:basedOn w:val="1"/>
    <w:link w:val="88"/>
    <w:qFormat/>
    <w:uiPriority w:val="0"/>
    <w:pPr>
      <w:spacing w:line="400" w:lineRule="exact"/>
      <w:ind w:left="425"/>
    </w:pPr>
    <w:rPr>
      <w:rFonts w:ascii="Times New Roman" w:hAnsi="Times New Roman"/>
      <w:color w:val="000000"/>
      <w:sz w:val="24"/>
      <w:szCs w:val="20"/>
    </w:rPr>
  </w:style>
  <w:style w:type="paragraph" w:styleId="35">
    <w:name w:val="endnote text"/>
    <w:basedOn w:val="1"/>
    <w:link w:val="89"/>
    <w:qFormat/>
    <w:uiPriority w:val="0"/>
    <w:pPr>
      <w:snapToGrid w:val="0"/>
      <w:jc w:val="left"/>
    </w:pPr>
    <w:rPr>
      <w:rFonts w:ascii="Times New Roman" w:hAnsi="Times New Roman"/>
      <w:szCs w:val="20"/>
    </w:rPr>
  </w:style>
  <w:style w:type="paragraph" w:styleId="36">
    <w:name w:val="Balloon Text"/>
    <w:basedOn w:val="1"/>
    <w:link w:val="90"/>
    <w:qFormat/>
    <w:uiPriority w:val="0"/>
    <w:rPr>
      <w:rFonts w:ascii="Times New Roman" w:hAnsi="Times New Roman"/>
      <w:sz w:val="18"/>
      <w:szCs w:val="18"/>
    </w:rPr>
  </w:style>
  <w:style w:type="paragraph" w:styleId="37">
    <w:name w:val="footer"/>
    <w:basedOn w:val="1"/>
    <w:link w:val="91"/>
    <w:unhideWhenUsed/>
    <w:qFormat/>
    <w:uiPriority w:val="99"/>
    <w:pPr>
      <w:tabs>
        <w:tab w:val="center" w:pos="4153"/>
        <w:tab w:val="right" w:pos="8306"/>
      </w:tabs>
      <w:snapToGrid w:val="0"/>
      <w:jc w:val="left"/>
    </w:pPr>
    <w:rPr>
      <w:sz w:val="18"/>
      <w:szCs w:val="18"/>
    </w:rPr>
  </w:style>
  <w:style w:type="paragraph" w:styleId="38">
    <w:name w:val="header"/>
    <w:basedOn w:val="1"/>
    <w:link w:val="92"/>
    <w:unhideWhenUsed/>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277"/>
    <w:qFormat/>
    <w:uiPriority w:val="0"/>
    <w:pPr>
      <w:widowControl/>
      <w:overflowPunct w:val="0"/>
      <w:autoSpaceDE w:val="0"/>
      <w:autoSpaceDN w:val="0"/>
      <w:adjustRightInd w:val="0"/>
      <w:spacing w:after="120" w:line="360" w:lineRule="auto"/>
      <w:textAlignment w:val="baseline"/>
    </w:pPr>
    <w:rPr>
      <w:rFonts w:ascii="Wund" w:hAnsi="Wund"/>
      <w:kern w:val="0"/>
      <w:sz w:val="22"/>
      <w:szCs w:val="20"/>
      <w:lang w:val="de-DE" w:eastAsia="de-DE"/>
    </w:rPr>
  </w:style>
  <w:style w:type="paragraph" w:styleId="40">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41">
    <w:name w:val="toc 4"/>
    <w:basedOn w:val="1"/>
    <w:next w:val="1"/>
    <w:qFormat/>
    <w:uiPriority w:val="39"/>
    <w:pPr>
      <w:ind w:left="1260" w:leftChars="600"/>
    </w:pPr>
    <w:rPr>
      <w:rFonts w:ascii="Times New Roman" w:hAnsi="Times New Roman"/>
      <w:szCs w:val="20"/>
    </w:rPr>
  </w:style>
  <w:style w:type="paragraph" w:styleId="42">
    <w:name w:val="Subtitle"/>
    <w:basedOn w:val="3"/>
    <w:next w:val="24"/>
    <w:link w:val="279"/>
    <w:qFormat/>
    <w:uiPriority w:val="0"/>
    <w:pPr>
      <w:keepLines/>
      <w:widowControl/>
      <w:overflowPunct w:val="0"/>
      <w:autoSpaceDE w:val="0"/>
      <w:autoSpaceDN w:val="0"/>
      <w:adjustRightInd w:val="0"/>
      <w:spacing w:before="360" w:after="240" w:line="360" w:lineRule="auto"/>
      <w:textAlignment w:val="baseline"/>
    </w:pPr>
    <w:rPr>
      <w:rFonts w:ascii="Cambria" w:hAnsi="Cambria"/>
      <w:bCs/>
      <w:kern w:val="28"/>
      <w:sz w:val="32"/>
      <w:szCs w:val="32"/>
      <w:lang w:val="de-DE" w:eastAsia="de-DE"/>
    </w:rPr>
  </w:style>
  <w:style w:type="paragraph" w:styleId="43">
    <w:name w:val="footnote text"/>
    <w:basedOn w:val="1"/>
    <w:link w:val="93"/>
    <w:qFormat/>
    <w:uiPriority w:val="0"/>
    <w:pPr>
      <w:snapToGrid w:val="0"/>
      <w:spacing w:line="360" w:lineRule="auto"/>
      <w:ind w:firstLine="523" w:firstLineChars="218"/>
      <w:jc w:val="left"/>
    </w:pPr>
    <w:rPr>
      <w:rFonts w:ascii="宋体" w:hAnsi="宋体"/>
      <w:sz w:val="18"/>
      <w:szCs w:val="18"/>
    </w:rPr>
  </w:style>
  <w:style w:type="paragraph" w:styleId="44">
    <w:name w:val="toc 6"/>
    <w:basedOn w:val="1"/>
    <w:next w:val="1"/>
    <w:qFormat/>
    <w:uiPriority w:val="39"/>
    <w:pPr>
      <w:ind w:left="2100" w:leftChars="1000"/>
    </w:pPr>
    <w:rPr>
      <w:rFonts w:ascii="Times New Roman" w:hAnsi="Times New Roman"/>
      <w:szCs w:val="20"/>
    </w:rPr>
  </w:style>
  <w:style w:type="paragraph" w:styleId="45">
    <w:name w:val="Body Text Indent 3"/>
    <w:basedOn w:val="1"/>
    <w:link w:val="9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6">
    <w:name w:val="table of figures"/>
    <w:basedOn w:val="1"/>
    <w:next w:val="1"/>
    <w:semiHidden/>
    <w:qFormat/>
    <w:uiPriority w:val="0"/>
    <w:pPr>
      <w:ind w:left="840" w:leftChars="200" w:hanging="420" w:hangingChars="200"/>
    </w:pPr>
    <w:rPr>
      <w:rFonts w:ascii="Times New Roman" w:hAnsi="Times New Roman"/>
      <w:szCs w:val="24"/>
    </w:rPr>
  </w:style>
  <w:style w:type="paragraph" w:styleId="4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8">
    <w:name w:val="toc 9"/>
    <w:basedOn w:val="1"/>
    <w:next w:val="1"/>
    <w:qFormat/>
    <w:uiPriority w:val="39"/>
    <w:pPr>
      <w:ind w:left="3360" w:leftChars="1600"/>
    </w:pPr>
    <w:rPr>
      <w:rFonts w:ascii="Times New Roman" w:hAnsi="Times New Roman"/>
      <w:szCs w:val="20"/>
    </w:rPr>
  </w:style>
  <w:style w:type="paragraph" w:styleId="49">
    <w:name w:val="Body Text 2"/>
    <w:basedOn w:val="1"/>
    <w:link w:val="95"/>
    <w:qFormat/>
    <w:uiPriority w:val="0"/>
    <w:rPr>
      <w:rFonts w:ascii="宋体" w:hAnsi="宋体"/>
      <w:szCs w:val="24"/>
      <w:u w:val="single"/>
    </w:rPr>
  </w:style>
  <w:style w:type="paragraph" w:styleId="50">
    <w:name w:val="HTML Preformatted"/>
    <w:basedOn w:val="1"/>
    <w:link w:val="2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lang w:val="de-DE" w:eastAsia="de-DE"/>
    </w:rPr>
  </w:style>
  <w:style w:type="paragraph" w:styleId="51">
    <w:name w:val="Normal (Web)"/>
    <w:basedOn w:val="1"/>
    <w:qFormat/>
    <w:uiPriority w:val="0"/>
    <w:rPr>
      <w:rFonts w:ascii="Times New Roman" w:hAnsi="Times New Roman"/>
      <w:sz w:val="24"/>
    </w:rPr>
  </w:style>
  <w:style w:type="paragraph" w:styleId="52">
    <w:name w:val="index 1"/>
    <w:basedOn w:val="1"/>
    <w:next w:val="1"/>
    <w:qFormat/>
    <w:uiPriority w:val="0"/>
    <w:rPr>
      <w:rFonts w:ascii="Times New Roman" w:hAnsi="Times New Roman" w:eastAsia="仿宋_GB2312"/>
      <w:sz w:val="28"/>
      <w:szCs w:val="20"/>
    </w:rPr>
  </w:style>
  <w:style w:type="paragraph" w:styleId="53">
    <w:name w:val="annotation subject"/>
    <w:basedOn w:val="21"/>
    <w:next w:val="21"/>
    <w:link w:val="96"/>
    <w:qFormat/>
    <w:uiPriority w:val="0"/>
    <w:rPr>
      <w:b/>
      <w:bCs/>
    </w:rPr>
  </w:style>
  <w:style w:type="paragraph" w:styleId="54">
    <w:name w:val="Body Text First Indent 2"/>
    <w:basedOn w:val="25"/>
    <w:link w:val="97"/>
    <w:semiHidden/>
    <w:unhideWhenUsed/>
    <w:qFormat/>
    <w:uiPriority w:val="0"/>
    <w:pPr>
      <w:spacing w:after="120"/>
      <w:ind w:left="420" w:leftChars="200" w:firstLine="420" w:firstLineChars="200"/>
    </w:pPr>
    <w:rPr>
      <w:sz w:val="21"/>
      <w:szCs w:val="22"/>
    </w:rPr>
  </w:style>
  <w:style w:type="table" w:styleId="56">
    <w:name w:val="Table Grid"/>
    <w:basedOn w:val="55"/>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basedOn w:val="57"/>
    <w:qFormat/>
    <w:uiPriority w:val="0"/>
    <w:rPr>
      <w:b/>
      <w:bCs/>
    </w:rPr>
  </w:style>
  <w:style w:type="character" w:styleId="59">
    <w:name w:val="endnote reference"/>
    <w:qFormat/>
    <w:uiPriority w:val="0"/>
    <w:rPr>
      <w:vertAlign w:val="superscript"/>
    </w:rPr>
  </w:style>
  <w:style w:type="character" w:styleId="60">
    <w:name w:val="page number"/>
    <w:qFormat/>
    <w:uiPriority w:val="99"/>
    <w:rPr>
      <w:rFonts w:cs="Times New Roman"/>
    </w:rPr>
  </w:style>
  <w:style w:type="character" w:styleId="61">
    <w:name w:val="FollowedHyperlink"/>
    <w:unhideWhenUsed/>
    <w:qFormat/>
    <w:uiPriority w:val="0"/>
    <w:rPr>
      <w:color w:val="954F72"/>
      <w:u w:val="single"/>
    </w:rPr>
  </w:style>
  <w:style w:type="character" w:styleId="62">
    <w:name w:val="Emphasis"/>
    <w:qFormat/>
    <w:uiPriority w:val="0"/>
    <w:rPr>
      <w:i/>
      <w:iCs/>
      <w:sz w:val="24"/>
      <w:szCs w:val="24"/>
    </w:rPr>
  </w:style>
  <w:style w:type="character" w:styleId="63">
    <w:name w:val="HTML Definition"/>
    <w:basedOn w:val="57"/>
    <w:semiHidden/>
    <w:unhideWhenUsed/>
    <w:qFormat/>
    <w:uiPriority w:val="99"/>
    <w:rPr>
      <w:i/>
      <w:iCs/>
    </w:rPr>
  </w:style>
  <w:style w:type="character" w:styleId="64">
    <w:name w:val="Hyperlink"/>
    <w:qFormat/>
    <w:uiPriority w:val="99"/>
    <w:rPr>
      <w:color w:val="0000FF"/>
      <w:u w:val="single"/>
    </w:rPr>
  </w:style>
  <w:style w:type="character" w:styleId="65">
    <w:name w:val="HTML Code"/>
    <w:basedOn w:val="57"/>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character" w:styleId="68">
    <w:name w:val="HTML Keyboard"/>
    <w:basedOn w:val="57"/>
    <w:semiHidden/>
    <w:unhideWhenUsed/>
    <w:qFormat/>
    <w:uiPriority w:val="99"/>
    <w:rPr>
      <w:rFonts w:ascii="Consolas" w:hAnsi="Consolas" w:eastAsia="Consolas" w:cs="Consolas"/>
      <w:color w:val="FFFFFF"/>
      <w:sz w:val="21"/>
      <w:szCs w:val="21"/>
      <w:shd w:val="clear" w:fill="333333"/>
    </w:rPr>
  </w:style>
  <w:style w:type="character" w:styleId="69">
    <w:name w:val="HTML Sample"/>
    <w:basedOn w:val="57"/>
    <w:semiHidden/>
    <w:unhideWhenUsed/>
    <w:qFormat/>
    <w:uiPriority w:val="99"/>
    <w:rPr>
      <w:rFonts w:hint="default" w:ascii="Consolas" w:hAnsi="Consolas" w:eastAsia="Consolas" w:cs="Consolas"/>
      <w:sz w:val="21"/>
      <w:szCs w:val="21"/>
    </w:rPr>
  </w:style>
  <w:style w:type="character" w:customStyle="1" w:styleId="70">
    <w:name w:val="纯文本 Char"/>
    <w:link w:val="31"/>
    <w:qFormat/>
    <w:uiPriority w:val="0"/>
    <w:rPr>
      <w:rFonts w:ascii="宋体" w:hAnsi="Courier New" w:eastAsia="宋体" w:cs="Times New Roman"/>
      <w:szCs w:val="20"/>
    </w:rPr>
  </w:style>
  <w:style w:type="character" w:customStyle="1" w:styleId="71">
    <w:name w:val="标题 Char"/>
    <w:link w:val="3"/>
    <w:qFormat/>
    <w:uiPriority w:val="0"/>
    <w:rPr>
      <w:rFonts w:ascii="Arial" w:hAnsi="Arial" w:eastAsia="宋体" w:cs="Times New Roman"/>
      <w:b/>
      <w:sz w:val="44"/>
      <w:szCs w:val="20"/>
    </w:rPr>
  </w:style>
  <w:style w:type="character" w:customStyle="1" w:styleId="72">
    <w:name w:val="正文文本 Char"/>
    <w:link w:val="24"/>
    <w:qFormat/>
    <w:uiPriority w:val="0"/>
    <w:rPr>
      <w:rFonts w:ascii="Times New Roman" w:hAnsi="Times New Roman" w:eastAsia="宋体" w:cs="Times New Roman"/>
      <w:szCs w:val="20"/>
    </w:rPr>
  </w:style>
  <w:style w:type="character" w:customStyle="1" w:styleId="73">
    <w:name w:val="正文首行缩进 Char"/>
    <w:link w:val="4"/>
    <w:qFormat/>
    <w:uiPriority w:val="0"/>
  </w:style>
  <w:style w:type="character" w:customStyle="1" w:styleId="74">
    <w:name w:val="标题 1 Char"/>
    <w:link w:val="2"/>
    <w:qFormat/>
    <w:uiPriority w:val="0"/>
    <w:rPr>
      <w:rFonts w:ascii="Arial" w:hAnsi="Arial" w:eastAsia="宋体"/>
      <w:b/>
      <w:kern w:val="44"/>
      <w:sz w:val="28"/>
      <w:szCs w:val="28"/>
    </w:rPr>
  </w:style>
  <w:style w:type="character" w:customStyle="1" w:styleId="75">
    <w:name w:val="正文缩进 Char"/>
    <w:link w:val="6"/>
    <w:qFormat/>
    <w:locked/>
    <w:uiPriority w:val="0"/>
    <w:rPr>
      <w:rFonts w:ascii="Times New Roman" w:hAnsi="Times New Roman" w:eastAsia="宋体"/>
      <w:kern w:val="2"/>
      <w:sz w:val="21"/>
    </w:rPr>
  </w:style>
  <w:style w:type="character" w:customStyle="1" w:styleId="76">
    <w:name w:val="标题 2 Char"/>
    <w:link w:val="5"/>
    <w:qFormat/>
    <w:uiPriority w:val="0"/>
    <w:rPr>
      <w:rFonts w:ascii="Arial" w:hAnsi="Arial" w:eastAsia="宋体" w:cs="Times New Roman"/>
      <w:b/>
      <w:color w:val="000000"/>
      <w:sz w:val="24"/>
      <w:szCs w:val="24"/>
    </w:rPr>
  </w:style>
  <w:style w:type="character" w:customStyle="1" w:styleId="77">
    <w:name w:val="标题 3 Char"/>
    <w:link w:val="7"/>
    <w:qFormat/>
    <w:uiPriority w:val="0"/>
    <w:rPr>
      <w:rFonts w:ascii="宋体" w:hAnsi="宋体" w:eastAsia="宋体" w:cs="宋体"/>
      <w:kern w:val="0"/>
      <w:sz w:val="27"/>
      <w:szCs w:val="27"/>
    </w:rPr>
  </w:style>
  <w:style w:type="character" w:customStyle="1" w:styleId="78">
    <w:name w:val="标题 4 Char"/>
    <w:link w:val="8"/>
    <w:qFormat/>
    <w:uiPriority w:val="0"/>
    <w:rPr>
      <w:rFonts w:ascii="Arial" w:hAnsi="Arial" w:eastAsia="宋体" w:cs="Times New Roman"/>
      <w:color w:val="000000"/>
      <w:szCs w:val="21"/>
    </w:rPr>
  </w:style>
  <w:style w:type="character" w:customStyle="1" w:styleId="79">
    <w:name w:val="标题 5 Char"/>
    <w:link w:val="9"/>
    <w:qFormat/>
    <w:uiPriority w:val="0"/>
    <w:rPr>
      <w:rFonts w:ascii="Arial" w:hAnsi="Arial" w:eastAsia="宋体"/>
      <w:color w:val="000000"/>
      <w:kern w:val="2"/>
      <w:sz w:val="21"/>
      <w:szCs w:val="21"/>
    </w:rPr>
  </w:style>
  <w:style w:type="character" w:customStyle="1" w:styleId="80">
    <w:name w:val="标题 6 Char"/>
    <w:link w:val="10"/>
    <w:qFormat/>
    <w:uiPriority w:val="0"/>
    <w:rPr>
      <w:rFonts w:ascii="Arial" w:hAnsi="Arial" w:eastAsia="黑体" w:cs="Times New Roman"/>
      <w:b/>
      <w:bCs/>
      <w:sz w:val="24"/>
      <w:szCs w:val="24"/>
    </w:rPr>
  </w:style>
  <w:style w:type="character" w:customStyle="1" w:styleId="81">
    <w:name w:val="标题 7 Char"/>
    <w:link w:val="11"/>
    <w:qFormat/>
    <w:uiPriority w:val="0"/>
    <w:rPr>
      <w:rFonts w:ascii="Times New Roman" w:hAnsi="Times New Roman" w:eastAsia="宋体" w:cs="Times New Roman"/>
      <w:b/>
      <w:sz w:val="24"/>
      <w:szCs w:val="20"/>
    </w:rPr>
  </w:style>
  <w:style w:type="character" w:customStyle="1" w:styleId="82">
    <w:name w:val="标题 8 Char"/>
    <w:link w:val="12"/>
    <w:qFormat/>
    <w:uiPriority w:val="0"/>
    <w:rPr>
      <w:rFonts w:ascii="Arial" w:hAnsi="Arial" w:eastAsia="黑体" w:cs="Times New Roman"/>
      <w:sz w:val="24"/>
      <w:szCs w:val="20"/>
    </w:rPr>
  </w:style>
  <w:style w:type="character" w:customStyle="1" w:styleId="83">
    <w:name w:val="标题 9 Char"/>
    <w:link w:val="13"/>
    <w:qFormat/>
    <w:uiPriority w:val="0"/>
    <w:rPr>
      <w:rFonts w:ascii="Arial" w:hAnsi="Arial" w:eastAsia="黑体" w:cs="Times New Roman"/>
      <w:szCs w:val="20"/>
    </w:rPr>
  </w:style>
  <w:style w:type="character" w:customStyle="1" w:styleId="84">
    <w:name w:val="文档结构图 Char"/>
    <w:link w:val="19"/>
    <w:qFormat/>
    <w:uiPriority w:val="0"/>
    <w:rPr>
      <w:rFonts w:ascii="Times New Roman" w:hAnsi="Times New Roman" w:eastAsia="宋体" w:cs="Times New Roman"/>
      <w:szCs w:val="20"/>
      <w:shd w:val="clear" w:color="auto" w:fill="000080"/>
    </w:rPr>
  </w:style>
  <w:style w:type="character" w:customStyle="1" w:styleId="85">
    <w:name w:val="批注文字 Char"/>
    <w:link w:val="21"/>
    <w:qFormat/>
    <w:uiPriority w:val="0"/>
    <w:rPr>
      <w:rFonts w:ascii="宋体" w:hAnsi="宋体" w:eastAsia="宋体" w:cs="Times New Roman"/>
      <w:sz w:val="24"/>
      <w:szCs w:val="24"/>
    </w:rPr>
  </w:style>
  <w:style w:type="character" w:customStyle="1" w:styleId="86">
    <w:name w:val="正文文本缩进 Char"/>
    <w:link w:val="25"/>
    <w:qFormat/>
    <w:uiPriority w:val="0"/>
    <w:rPr>
      <w:rFonts w:ascii="Times New Roman" w:hAnsi="Times New Roman" w:eastAsia="宋体" w:cs="Times New Roman"/>
      <w:sz w:val="28"/>
      <w:szCs w:val="20"/>
    </w:rPr>
  </w:style>
  <w:style w:type="character" w:customStyle="1" w:styleId="87">
    <w:name w:val="日期 Char"/>
    <w:link w:val="33"/>
    <w:qFormat/>
    <w:uiPriority w:val="0"/>
    <w:rPr>
      <w:rFonts w:ascii="Times New Roman" w:hAnsi="Times New Roman" w:eastAsia="宋体" w:cs="Times New Roman"/>
      <w:szCs w:val="20"/>
    </w:rPr>
  </w:style>
  <w:style w:type="character" w:customStyle="1" w:styleId="88">
    <w:name w:val="正文文本缩进 2 Char"/>
    <w:link w:val="34"/>
    <w:qFormat/>
    <w:uiPriority w:val="0"/>
    <w:rPr>
      <w:rFonts w:ascii="Times New Roman" w:hAnsi="Times New Roman" w:eastAsia="宋体" w:cs="Times New Roman"/>
      <w:color w:val="000000"/>
      <w:sz w:val="24"/>
      <w:szCs w:val="20"/>
    </w:rPr>
  </w:style>
  <w:style w:type="character" w:customStyle="1" w:styleId="89">
    <w:name w:val="尾注文本 Char"/>
    <w:link w:val="35"/>
    <w:qFormat/>
    <w:uiPriority w:val="0"/>
    <w:rPr>
      <w:rFonts w:ascii="Times New Roman" w:hAnsi="Times New Roman" w:eastAsia="宋体" w:cs="Times New Roman"/>
      <w:szCs w:val="20"/>
    </w:rPr>
  </w:style>
  <w:style w:type="character" w:customStyle="1" w:styleId="90">
    <w:name w:val="批注框文本 Char"/>
    <w:link w:val="36"/>
    <w:qFormat/>
    <w:uiPriority w:val="0"/>
    <w:rPr>
      <w:rFonts w:ascii="Times New Roman" w:hAnsi="Times New Roman" w:eastAsia="宋体" w:cs="Times New Roman"/>
      <w:sz w:val="18"/>
      <w:szCs w:val="18"/>
    </w:rPr>
  </w:style>
  <w:style w:type="character" w:customStyle="1" w:styleId="91">
    <w:name w:val="页脚 Char"/>
    <w:link w:val="37"/>
    <w:qFormat/>
    <w:uiPriority w:val="99"/>
    <w:rPr>
      <w:rFonts w:ascii="Calibri" w:hAnsi="Calibri" w:eastAsia="宋体" w:cs="Times New Roman"/>
      <w:sz w:val="18"/>
      <w:szCs w:val="18"/>
    </w:rPr>
  </w:style>
  <w:style w:type="character" w:customStyle="1" w:styleId="92">
    <w:name w:val="页眉 Char"/>
    <w:link w:val="38"/>
    <w:qFormat/>
    <w:uiPriority w:val="99"/>
    <w:rPr>
      <w:rFonts w:ascii="Calibri" w:hAnsi="Calibri" w:eastAsia="宋体" w:cs="Times New Roman"/>
      <w:sz w:val="18"/>
      <w:szCs w:val="18"/>
    </w:rPr>
  </w:style>
  <w:style w:type="character" w:customStyle="1" w:styleId="93">
    <w:name w:val="脚注文本 Char"/>
    <w:link w:val="43"/>
    <w:qFormat/>
    <w:uiPriority w:val="0"/>
    <w:rPr>
      <w:rFonts w:ascii="宋体" w:hAnsi="宋体" w:eastAsia="宋体" w:cs="Times New Roman"/>
      <w:sz w:val="18"/>
      <w:szCs w:val="18"/>
    </w:rPr>
  </w:style>
  <w:style w:type="character" w:customStyle="1" w:styleId="94">
    <w:name w:val="正文文本缩进 3 Char"/>
    <w:link w:val="45"/>
    <w:qFormat/>
    <w:uiPriority w:val="0"/>
    <w:rPr>
      <w:rFonts w:ascii="Times New Roman" w:hAnsi="Times New Roman" w:eastAsia="宋体" w:cs="Times New Roman"/>
      <w:color w:val="000000"/>
      <w:sz w:val="24"/>
      <w:szCs w:val="20"/>
    </w:rPr>
  </w:style>
  <w:style w:type="character" w:customStyle="1" w:styleId="95">
    <w:name w:val="正文文本 2 Char"/>
    <w:link w:val="49"/>
    <w:qFormat/>
    <w:uiPriority w:val="0"/>
    <w:rPr>
      <w:rFonts w:ascii="宋体" w:hAnsi="宋体" w:eastAsia="宋体" w:cs="Times New Roman"/>
      <w:szCs w:val="24"/>
      <w:u w:val="single"/>
    </w:rPr>
  </w:style>
  <w:style w:type="character" w:customStyle="1" w:styleId="96">
    <w:name w:val="批注主题 Char"/>
    <w:link w:val="53"/>
    <w:qFormat/>
    <w:uiPriority w:val="0"/>
    <w:rPr>
      <w:rFonts w:ascii="宋体" w:hAnsi="宋体" w:eastAsia="宋体" w:cs="Times New Roman"/>
      <w:b/>
      <w:bCs/>
      <w:sz w:val="24"/>
      <w:szCs w:val="24"/>
    </w:rPr>
  </w:style>
  <w:style w:type="character" w:customStyle="1" w:styleId="97">
    <w:name w:val="正文首行缩进 2 Char"/>
    <w:basedOn w:val="86"/>
    <w:link w:val="54"/>
    <w:semiHidden/>
    <w:qFormat/>
    <w:uiPriority w:val="0"/>
    <w:rPr>
      <w:rFonts w:ascii="Times New Roman" w:hAnsi="Times New Roman" w:eastAsia="宋体" w:cs="Times New Roman"/>
      <w:kern w:val="2"/>
      <w:sz w:val="21"/>
      <w:szCs w:val="22"/>
    </w:rPr>
  </w:style>
  <w:style w:type="character" w:customStyle="1" w:styleId="98">
    <w:name w:val="标题 1 字符"/>
    <w:qFormat/>
    <w:uiPriority w:val="9"/>
    <w:rPr>
      <w:rFonts w:ascii="Calibri" w:hAnsi="Calibri" w:eastAsia="宋体" w:cs="Times New Roman"/>
      <w:b/>
      <w:bCs/>
      <w:kern w:val="44"/>
      <w:sz w:val="44"/>
      <w:szCs w:val="44"/>
    </w:rPr>
  </w:style>
  <w:style w:type="character" w:customStyle="1" w:styleId="99">
    <w:name w:val="标题 2 字符"/>
    <w:semiHidden/>
    <w:qFormat/>
    <w:uiPriority w:val="9"/>
    <w:rPr>
      <w:rFonts w:ascii="等线 Light" w:hAnsi="等线 Light" w:eastAsia="等线 Light" w:cs="Times New Roman"/>
      <w:b/>
      <w:bCs/>
      <w:sz w:val="32"/>
      <w:szCs w:val="32"/>
    </w:rPr>
  </w:style>
  <w:style w:type="character" w:customStyle="1" w:styleId="100">
    <w:name w:val="标题 3 字符"/>
    <w:semiHidden/>
    <w:qFormat/>
    <w:uiPriority w:val="9"/>
    <w:rPr>
      <w:rFonts w:ascii="Calibri" w:hAnsi="Calibri" w:eastAsia="宋体" w:cs="Times New Roman"/>
      <w:b/>
      <w:bCs/>
      <w:sz w:val="32"/>
      <w:szCs w:val="32"/>
    </w:rPr>
  </w:style>
  <w:style w:type="character" w:customStyle="1" w:styleId="101">
    <w:name w:val="标题 4 字符"/>
    <w:semiHidden/>
    <w:qFormat/>
    <w:uiPriority w:val="9"/>
    <w:rPr>
      <w:rFonts w:ascii="等线 Light" w:hAnsi="等线 Light" w:eastAsia="等线 Light" w:cs="Times New Roman"/>
      <w:b/>
      <w:bCs/>
      <w:sz w:val="28"/>
      <w:szCs w:val="28"/>
    </w:rPr>
  </w:style>
  <w:style w:type="character" w:customStyle="1" w:styleId="102">
    <w:name w:val="标题 5 字符"/>
    <w:semiHidden/>
    <w:qFormat/>
    <w:uiPriority w:val="9"/>
    <w:rPr>
      <w:rFonts w:ascii="Calibri" w:hAnsi="Calibri" w:eastAsia="宋体" w:cs="Times New Roman"/>
      <w:b/>
      <w:bCs/>
      <w:sz w:val="28"/>
      <w:szCs w:val="28"/>
    </w:rPr>
  </w:style>
  <w:style w:type="character" w:customStyle="1" w:styleId="103">
    <w:name w:val="标题 6 字符"/>
    <w:semiHidden/>
    <w:qFormat/>
    <w:uiPriority w:val="9"/>
    <w:rPr>
      <w:rFonts w:ascii="等线 Light" w:hAnsi="等线 Light" w:eastAsia="等线 Light" w:cs="Times New Roman"/>
      <w:b/>
      <w:bCs/>
      <w:sz w:val="24"/>
      <w:szCs w:val="24"/>
    </w:rPr>
  </w:style>
  <w:style w:type="character" w:customStyle="1" w:styleId="104">
    <w:name w:val="标题 7 字符"/>
    <w:semiHidden/>
    <w:qFormat/>
    <w:uiPriority w:val="9"/>
    <w:rPr>
      <w:rFonts w:ascii="Calibri" w:hAnsi="Calibri" w:eastAsia="宋体" w:cs="Times New Roman"/>
      <w:b/>
      <w:bCs/>
      <w:sz w:val="24"/>
      <w:szCs w:val="24"/>
    </w:rPr>
  </w:style>
  <w:style w:type="character" w:customStyle="1" w:styleId="105">
    <w:name w:val="标题 8 字符"/>
    <w:semiHidden/>
    <w:qFormat/>
    <w:uiPriority w:val="9"/>
    <w:rPr>
      <w:rFonts w:ascii="等线 Light" w:hAnsi="等线 Light" w:eastAsia="等线 Light" w:cs="Times New Roman"/>
      <w:sz w:val="24"/>
      <w:szCs w:val="24"/>
    </w:rPr>
  </w:style>
  <w:style w:type="character" w:customStyle="1" w:styleId="106">
    <w:name w:val="标题 9 字符"/>
    <w:semiHidden/>
    <w:qFormat/>
    <w:uiPriority w:val="9"/>
    <w:rPr>
      <w:rFonts w:ascii="等线 Light" w:hAnsi="等线 Light" w:eastAsia="等线 Light" w:cs="Times New Roman"/>
      <w:szCs w:val="21"/>
    </w:rPr>
  </w:style>
  <w:style w:type="character" w:customStyle="1" w:styleId="107">
    <w:name w:val="页眉 字符"/>
    <w:qFormat/>
    <w:uiPriority w:val="99"/>
    <w:rPr>
      <w:rFonts w:ascii="Calibri" w:hAnsi="Calibri" w:eastAsia="宋体" w:cs="Times New Roman"/>
      <w:sz w:val="18"/>
      <w:szCs w:val="18"/>
    </w:rPr>
  </w:style>
  <w:style w:type="character" w:customStyle="1" w:styleId="108">
    <w:name w:val="页脚 字符"/>
    <w:qFormat/>
    <w:uiPriority w:val="99"/>
    <w:rPr>
      <w:rFonts w:ascii="Calibri" w:hAnsi="Calibri" w:eastAsia="宋体" w:cs="Times New Roman"/>
      <w:sz w:val="18"/>
      <w:szCs w:val="18"/>
    </w:rPr>
  </w:style>
  <w:style w:type="character" w:customStyle="1" w:styleId="109">
    <w:name w:val="标题 字符"/>
    <w:qFormat/>
    <w:uiPriority w:val="10"/>
    <w:rPr>
      <w:rFonts w:ascii="等线 Light" w:hAnsi="等线 Light" w:eastAsia="等线 Light" w:cs="Times New Roman"/>
      <w:b/>
      <w:bCs/>
      <w:sz w:val="32"/>
      <w:szCs w:val="32"/>
    </w:rPr>
  </w:style>
  <w:style w:type="character" w:customStyle="1" w:styleId="110">
    <w:name w:val="正文文本 字符"/>
    <w:qFormat/>
    <w:uiPriority w:val="99"/>
    <w:rPr>
      <w:rFonts w:ascii="Calibri" w:hAnsi="Calibri" w:eastAsia="宋体" w:cs="Times New Roman"/>
    </w:rPr>
  </w:style>
  <w:style w:type="character" w:customStyle="1" w:styleId="111">
    <w:name w:val="正文首行缩进 字符"/>
    <w:basedOn w:val="110"/>
    <w:semiHidden/>
    <w:qFormat/>
    <w:uiPriority w:val="99"/>
    <w:rPr>
      <w:rFonts w:ascii="Calibri" w:hAnsi="Calibri" w:eastAsia="宋体" w:cs="Times New Roman"/>
    </w:rPr>
  </w:style>
  <w:style w:type="character" w:customStyle="1" w:styleId="112">
    <w:name w:val="日期 字符"/>
    <w:semiHidden/>
    <w:qFormat/>
    <w:uiPriority w:val="99"/>
    <w:rPr>
      <w:rFonts w:ascii="Calibri" w:hAnsi="Calibri" w:eastAsia="宋体" w:cs="Times New Roman"/>
    </w:rPr>
  </w:style>
  <w:style w:type="character" w:customStyle="1" w:styleId="113">
    <w:name w:val="正文文本缩进 字符"/>
    <w:qFormat/>
    <w:uiPriority w:val="99"/>
    <w:rPr>
      <w:rFonts w:ascii="Calibri" w:hAnsi="Calibri" w:eastAsia="宋体" w:cs="Times New Roman"/>
    </w:rPr>
  </w:style>
  <w:style w:type="character" w:customStyle="1" w:styleId="114">
    <w:name w:val="文档结构图 字符"/>
    <w:qFormat/>
    <w:uiPriority w:val="99"/>
    <w:rPr>
      <w:rFonts w:ascii="Microsoft YaHei UI" w:hAnsi="Calibri" w:eastAsia="Microsoft YaHei UI" w:cs="Times New Roman"/>
      <w:sz w:val="18"/>
      <w:szCs w:val="18"/>
    </w:rPr>
  </w:style>
  <w:style w:type="character" w:customStyle="1" w:styleId="115">
    <w:name w:val="纯文本 字符"/>
    <w:semiHidden/>
    <w:qFormat/>
    <w:uiPriority w:val="99"/>
    <w:rPr>
      <w:rFonts w:ascii="等线" w:hAnsi="Courier New" w:cs="Courier New"/>
    </w:rPr>
  </w:style>
  <w:style w:type="character" w:customStyle="1" w:styleId="116">
    <w:name w:val="正文文本缩进 2 字符"/>
    <w:qFormat/>
    <w:uiPriority w:val="99"/>
    <w:rPr>
      <w:rFonts w:ascii="Calibri" w:hAnsi="Calibri" w:eastAsia="宋体" w:cs="Times New Roman"/>
    </w:rPr>
  </w:style>
  <w:style w:type="character" w:customStyle="1" w:styleId="117">
    <w:name w:val="正文文本缩进 3 字符"/>
    <w:qFormat/>
    <w:uiPriority w:val="99"/>
    <w:rPr>
      <w:rFonts w:ascii="Calibri" w:hAnsi="Calibri" w:eastAsia="宋体" w:cs="Times New Roman"/>
      <w:sz w:val="16"/>
      <w:szCs w:val="16"/>
    </w:rPr>
  </w:style>
  <w:style w:type="paragraph" w:customStyle="1" w:styleId="11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9">
    <w:name w:val="_Style 69"/>
    <w:qFormat/>
    <w:uiPriority w:val="0"/>
    <w:rPr>
      <w:rFonts w:ascii="等线" w:hAnsi="等线" w:eastAsia="等线" w:cs="Times New Roman"/>
      <w:lang w:val="en-US" w:eastAsia="zh-CN" w:bidi="ar-SA"/>
    </w:rPr>
  </w:style>
  <w:style w:type="character" w:customStyle="1" w:styleId="120">
    <w:name w:val="正文文本 2 字符"/>
    <w:qFormat/>
    <w:uiPriority w:val="99"/>
    <w:rPr>
      <w:rFonts w:ascii="Calibri" w:hAnsi="Calibri" w:eastAsia="宋体" w:cs="Times New Roman"/>
    </w:rPr>
  </w:style>
  <w:style w:type="paragraph" w:customStyle="1" w:styleId="121">
    <w:name w:val="表头"/>
    <w:basedOn w:val="1"/>
    <w:qFormat/>
    <w:uiPriority w:val="0"/>
    <w:pPr>
      <w:spacing w:line="360" w:lineRule="auto"/>
      <w:jc w:val="center"/>
    </w:pPr>
    <w:rPr>
      <w:rFonts w:ascii="黑体" w:hAnsi="Times New Roman" w:eastAsia="黑体"/>
      <w:kern w:val="0"/>
      <w:sz w:val="24"/>
      <w:szCs w:val="20"/>
    </w:rPr>
  </w:style>
  <w:style w:type="character" w:customStyle="1" w:styleId="122">
    <w:name w:val="尾注文本 字符"/>
    <w:qFormat/>
    <w:uiPriority w:val="99"/>
    <w:rPr>
      <w:rFonts w:ascii="Calibri" w:hAnsi="Calibri" w:eastAsia="宋体" w:cs="Times New Roman"/>
    </w:rPr>
  </w:style>
  <w:style w:type="paragraph" w:customStyle="1" w:styleId="123">
    <w:name w:val="Char"/>
    <w:basedOn w:val="1"/>
    <w:qFormat/>
    <w:uiPriority w:val="0"/>
    <w:rPr>
      <w:rFonts w:ascii="Tahoma" w:hAnsi="Tahoma"/>
      <w:sz w:val="24"/>
      <w:szCs w:val="20"/>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公文抬头"/>
    <w:basedOn w:val="6"/>
    <w:qFormat/>
    <w:uiPriority w:val="0"/>
    <w:pPr>
      <w:ind w:firstLine="0"/>
    </w:pPr>
    <w:rPr>
      <w:rFonts w:ascii="仿宋_GB2312" w:eastAsia="仿宋_GB2312"/>
      <w:sz w:val="30"/>
      <w:szCs w:val="24"/>
    </w:rPr>
  </w:style>
  <w:style w:type="paragraph" w:customStyle="1" w:styleId="126">
    <w:name w:val="Char Char Char1 Char"/>
    <w:basedOn w:val="19"/>
    <w:qFormat/>
    <w:uiPriority w:val="0"/>
    <w:rPr>
      <w:rFonts w:ascii="Tahoma" w:hAnsi="Tahoma"/>
      <w:sz w:val="24"/>
      <w:szCs w:val="24"/>
    </w:rPr>
  </w:style>
  <w:style w:type="paragraph" w:customStyle="1" w:styleId="1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8">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9">
    <w:name w:val="发文落款"/>
    <w:basedOn w:val="127"/>
    <w:qFormat/>
    <w:uiPriority w:val="0"/>
    <w:pPr>
      <w:ind w:left="4094" w:right="607" w:firstLine="0"/>
      <w:jc w:val="center"/>
    </w:pPr>
  </w:style>
  <w:style w:type="paragraph" w:customStyle="1" w:styleId="130">
    <w:name w:val="Char Char Char Char"/>
    <w:basedOn w:val="1"/>
    <w:qFormat/>
    <w:uiPriority w:val="0"/>
    <w:rPr>
      <w:rFonts w:ascii="Times New Roman" w:hAnsi="Times New Roman"/>
      <w:sz w:val="30"/>
      <w:szCs w:val="24"/>
    </w:rPr>
  </w:style>
  <w:style w:type="character" w:customStyle="1" w:styleId="131">
    <w:name w:val="批注框文本 字符"/>
    <w:semiHidden/>
    <w:qFormat/>
    <w:uiPriority w:val="99"/>
    <w:rPr>
      <w:rFonts w:ascii="Calibri" w:hAnsi="Calibri" w:eastAsia="宋体" w:cs="Times New Roman"/>
      <w:sz w:val="18"/>
      <w:szCs w:val="18"/>
    </w:rPr>
  </w:style>
  <w:style w:type="paragraph" w:customStyle="1" w:styleId="132">
    <w:name w:val="TOC 标题1"/>
    <w:basedOn w:val="2"/>
    <w:next w:val="1"/>
    <w:unhideWhenUsed/>
    <w:qFormat/>
    <w:uiPriority w:val="39"/>
    <w:pPr>
      <w:widowControl/>
      <w:spacing w:before="480" w:after="0" w:line="276" w:lineRule="auto"/>
      <w:outlineLvl w:val="9"/>
    </w:pPr>
    <w:rPr>
      <w:rFonts w:ascii="Cambria" w:hAnsi="Cambria"/>
      <w:color w:val="365F91"/>
      <w:kern w:val="0"/>
    </w:rPr>
  </w:style>
  <w:style w:type="character" w:customStyle="1" w:styleId="133">
    <w:name w:val="批注文字 字符"/>
    <w:semiHidden/>
    <w:qFormat/>
    <w:uiPriority w:val="99"/>
    <w:rPr>
      <w:rFonts w:ascii="Calibri" w:hAnsi="Calibri" w:eastAsia="宋体" w:cs="Times New Roman"/>
    </w:rPr>
  </w:style>
  <w:style w:type="character" w:customStyle="1" w:styleId="134">
    <w:name w:val="脚注文本 字符"/>
    <w:qFormat/>
    <w:uiPriority w:val="99"/>
    <w:rPr>
      <w:rFonts w:ascii="Calibri" w:hAnsi="Calibri" w:eastAsia="宋体" w:cs="Times New Roman"/>
      <w:sz w:val="18"/>
      <w:szCs w:val="18"/>
    </w:rPr>
  </w:style>
  <w:style w:type="character" w:customStyle="1" w:styleId="135">
    <w:name w:val="批注主题 字符"/>
    <w:semiHidden/>
    <w:qFormat/>
    <w:uiPriority w:val="99"/>
    <w:rPr>
      <w:rFonts w:ascii="Calibri" w:hAnsi="Calibri" w:eastAsia="宋体" w:cs="Times New Roman"/>
      <w:b/>
      <w:bCs/>
    </w:rPr>
  </w:style>
  <w:style w:type="paragraph" w:styleId="136">
    <w:name w:val="List Paragraph"/>
    <w:basedOn w:val="1"/>
    <w:qFormat/>
    <w:uiPriority w:val="0"/>
    <w:pPr>
      <w:ind w:firstLine="420" w:firstLineChars="200"/>
    </w:pPr>
    <w:rPr>
      <w:rFonts w:ascii="Times New Roman" w:hAnsi="Times New Roman"/>
      <w:szCs w:val="20"/>
    </w:rPr>
  </w:style>
  <w:style w:type="paragraph" w:customStyle="1" w:styleId="137">
    <w:name w:val="修订1"/>
    <w:hidden/>
    <w:qFormat/>
    <w:uiPriority w:val="99"/>
    <w:rPr>
      <w:rFonts w:ascii="Times New Roman" w:hAnsi="Times New Roman" w:eastAsia="宋体" w:cs="Times New Roman"/>
      <w:kern w:val="2"/>
      <w:sz w:val="21"/>
      <w:lang w:val="en-US" w:eastAsia="zh-CN" w:bidi="ar-SA"/>
    </w:rPr>
  </w:style>
  <w:style w:type="character" w:customStyle="1" w:styleId="138">
    <w:name w:val="文一 Char Char"/>
    <w:link w:val="139"/>
    <w:qFormat/>
    <w:uiPriority w:val="0"/>
    <w:rPr>
      <w:rFonts w:ascii="宋体" w:hAnsi="宋体"/>
      <w:snapToGrid w:val="0"/>
      <w:spacing w:val="4"/>
      <w:sz w:val="24"/>
      <w:szCs w:val="24"/>
    </w:rPr>
  </w:style>
  <w:style w:type="paragraph" w:customStyle="1" w:styleId="139">
    <w:name w:val="文一"/>
    <w:basedOn w:val="1"/>
    <w:link w:val="138"/>
    <w:qFormat/>
    <w:uiPriority w:val="0"/>
    <w:pPr>
      <w:topLinePunct/>
      <w:adjustRightInd w:val="0"/>
      <w:snapToGrid w:val="0"/>
      <w:spacing w:line="360" w:lineRule="auto"/>
      <w:ind w:firstLine="200" w:firstLineChars="200"/>
    </w:pPr>
    <w:rPr>
      <w:rFonts w:ascii="宋体" w:hAnsi="宋体" w:eastAsia="等线"/>
      <w:snapToGrid w:val="0"/>
      <w:spacing w:val="4"/>
      <w:kern w:val="0"/>
      <w:sz w:val="24"/>
      <w:szCs w:val="24"/>
    </w:rPr>
  </w:style>
  <w:style w:type="paragraph" w:customStyle="1" w:styleId="140">
    <w:name w:val="章节三"/>
    <w:basedOn w:val="139"/>
    <w:next w:val="139"/>
    <w:qFormat/>
    <w:uiPriority w:val="0"/>
    <w:pPr>
      <w:spacing w:beforeLines="50" w:line="240" w:lineRule="auto"/>
      <w:ind w:firstLine="0" w:firstLineChars="0"/>
      <w:jc w:val="left"/>
      <w:outlineLvl w:val="2"/>
    </w:pPr>
    <w:rPr>
      <w:rFonts w:ascii="黑体" w:eastAsia="黑体"/>
      <w:b/>
    </w:rPr>
  </w:style>
  <w:style w:type="paragraph" w:customStyle="1" w:styleId="141">
    <w:name w:val="章节二"/>
    <w:basedOn w:val="1"/>
    <w:next w:val="1"/>
    <w:qFormat/>
    <w:uiPriority w:val="0"/>
    <w:pPr>
      <w:topLinePunct/>
      <w:adjustRightInd w:val="0"/>
      <w:snapToGrid w:val="0"/>
      <w:spacing w:beforeLines="50"/>
      <w:jc w:val="center"/>
      <w:outlineLvl w:val="1"/>
    </w:pPr>
    <w:rPr>
      <w:rFonts w:ascii="Times New Roman" w:hAnsi="Times New Roman" w:eastAsia="黑体"/>
      <w:b/>
      <w:spacing w:val="4"/>
      <w:kern w:val="0"/>
      <w:sz w:val="30"/>
      <w:szCs w:val="30"/>
    </w:rPr>
  </w:style>
  <w:style w:type="paragraph" w:customStyle="1" w:styleId="142">
    <w:name w:val="正题"/>
    <w:basedOn w:val="139"/>
    <w:next w:val="139"/>
    <w:qFormat/>
    <w:uiPriority w:val="0"/>
    <w:pPr>
      <w:ind w:firstLine="0" w:firstLineChars="0"/>
      <w:jc w:val="center"/>
    </w:pPr>
    <w:rPr>
      <w:rFonts w:eastAsia="黑体"/>
      <w:b/>
      <w:sz w:val="36"/>
      <w:szCs w:val="36"/>
    </w:rPr>
  </w:style>
  <w:style w:type="paragraph" w:customStyle="1" w:styleId="143">
    <w:name w:val="文二"/>
    <w:basedOn w:val="1"/>
    <w:qFormat/>
    <w:uiPriority w:val="0"/>
    <w:pPr>
      <w:jc w:val="left"/>
    </w:pPr>
    <w:rPr>
      <w:rFonts w:ascii="宋体" w:hAnsi="宋体"/>
      <w:szCs w:val="21"/>
    </w:rPr>
  </w:style>
  <w:style w:type="paragraph" w:customStyle="1" w:styleId="14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45">
    <w:name w:val="正文文本 3 Char"/>
    <w:basedOn w:val="57"/>
    <w:link w:val="23"/>
    <w:qFormat/>
    <w:uiPriority w:val="0"/>
    <w:rPr>
      <w:rFonts w:ascii="宋体" w:hAnsi="宋体" w:eastAsia="宋体"/>
      <w:kern w:val="2"/>
      <w:sz w:val="21"/>
      <w:u w:val="single"/>
      <w:bdr w:val="single" w:color="auto" w:sz="4" w:space="0"/>
    </w:rPr>
  </w:style>
  <w:style w:type="character" w:customStyle="1" w:styleId="146">
    <w:name w:val="标题 Char2"/>
    <w:qFormat/>
    <w:uiPriority w:val="10"/>
    <w:rPr>
      <w:rFonts w:ascii="Arial" w:hAnsi="Arial" w:eastAsia="宋体" w:cs="Times New Roman"/>
      <w:b/>
      <w:sz w:val="44"/>
      <w:szCs w:val="24"/>
    </w:rPr>
  </w:style>
  <w:style w:type="character" w:customStyle="1" w:styleId="147">
    <w:name w:val="标题 1 Char2"/>
    <w:qFormat/>
    <w:uiPriority w:val="0"/>
    <w:rPr>
      <w:rFonts w:ascii="Arial" w:hAnsi="Arial" w:eastAsia="宋体" w:cs="Times New Roman"/>
      <w:b/>
      <w:bCs/>
      <w:kern w:val="44"/>
      <w:sz w:val="32"/>
      <w:szCs w:val="32"/>
    </w:rPr>
  </w:style>
  <w:style w:type="paragraph" w:customStyle="1" w:styleId="148">
    <w:name w:val="Char11"/>
    <w:basedOn w:val="1"/>
    <w:qFormat/>
    <w:uiPriority w:val="0"/>
    <w:pPr>
      <w:ind w:left="567" w:hanging="279"/>
    </w:pPr>
    <w:rPr>
      <w:rFonts w:ascii="Times New Roman" w:hAnsi="Times New Roman"/>
      <w:sz w:val="24"/>
      <w:szCs w:val="24"/>
    </w:rPr>
  </w:style>
  <w:style w:type="character" w:customStyle="1" w:styleId="149">
    <w:name w:val="Char Char"/>
    <w:qFormat/>
    <w:uiPriority w:val="0"/>
    <w:rPr>
      <w:rFonts w:ascii="Arial" w:hAnsi="Arial" w:eastAsia="宋体"/>
      <w:b/>
      <w:kern w:val="2"/>
      <w:sz w:val="36"/>
      <w:szCs w:val="36"/>
      <w:lang w:val="en-US" w:eastAsia="zh-CN" w:bidi="ar-SA"/>
    </w:rPr>
  </w:style>
  <w:style w:type="character" w:customStyle="1" w:styleId="150">
    <w:name w:val="Char Char1"/>
    <w:qFormat/>
    <w:uiPriority w:val="0"/>
    <w:rPr>
      <w:rFonts w:ascii="Arial" w:hAnsi="Arial" w:eastAsia="宋体"/>
      <w:b/>
      <w:bCs/>
      <w:kern w:val="44"/>
      <w:sz w:val="36"/>
      <w:szCs w:val="36"/>
      <w:lang w:val="en-US" w:eastAsia="zh-CN" w:bidi="ar-SA"/>
    </w:rPr>
  </w:style>
  <w:style w:type="paragraph" w:customStyle="1" w:styleId="151">
    <w:name w:val="标题辞"/>
    <w:basedOn w:val="2"/>
    <w:next w:val="1"/>
    <w:qFormat/>
    <w:uiPriority w:val="0"/>
    <w:pPr>
      <w:keepLines w:val="0"/>
      <w:widowControl/>
      <w:spacing w:before="0" w:after="0" w:line="240" w:lineRule="auto"/>
    </w:pPr>
    <w:rPr>
      <w:rFonts w:ascii="黑体" w:hAnsi="Times New Roman" w:eastAsia="黑体"/>
      <w:b w:val="0"/>
      <w:kern w:val="0"/>
      <w:sz w:val="52"/>
      <w:szCs w:val="20"/>
    </w:rPr>
  </w:style>
  <w:style w:type="paragraph" w:customStyle="1" w:styleId="152">
    <w:name w:val="标题1"/>
    <w:basedOn w:val="2"/>
    <w:next w:val="1"/>
    <w:qFormat/>
    <w:uiPriority w:val="0"/>
    <w:pPr>
      <w:keepLines w:val="0"/>
      <w:widowControl/>
      <w:spacing w:before="0" w:after="0" w:line="240" w:lineRule="auto"/>
    </w:pPr>
    <w:rPr>
      <w:rFonts w:ascii="黑体" w:hAnsi="Times New Roman" w:eastAsia="黑体"/>
      <w:b w:val="0"/>
      <w:kern w:val="0"/>
      <w:sz w:val="44"/>
      <w:szCs w:val="20"/>
    </w:rPr>
  </w:style>
  <w:style w:type="paragraph" w:customStyle="1" w:styleId="153">
    <w:name w:val="标题2"/>
    <w:basedOn w:val="5"/>
    <w:next w:val="1"/>
    <w:qFormat/>
    <w:uiPriority w:val="0"/>
    <w:pPr>
      <w:keepNext w:val="0"/>
      <w:keepLines w:val="0"/>
      <w:tabs>
        <w:tab w:val="left" w:pos="1080"/>
      </w:tabs>
      <w:spacing w:before="0" w:after="0" w:line="360" w:lineRule="exact"/>
      <w:ind w:hanging="454"/>
      <w:outlineLvl w:val="9"/>
    </w:pPr>
    <w:rPr>
      <w:rFonts w:ascii="宋体" w:hAnsi="Times New Roman" w:eastAsia="黑体"/>
      <w:color w:val="auto"/>
      <w:sz w:val="36"/>
      <w:szCs w:val="48"/>
    </w:rPr>
  </w:style>
  <w:style w:type="paragraph" w:customStyle="1" w:styleId="154">
    <w:name w:val="标题3"/>
    <w:basedOn w:val="7"/>
    <w:next w:val="1"/>
    <w:qFormat/>
    <w:uiPriority w:val="0"/>
    <w:pPr>
      <w:keepNext/>
      <w:keepLines/>
      <w:tabs>
        <w:tab w:val="left" w:pos="840"/>
      </w:tabs>
      <w:spacing w:before="0" w:beforeAutospacing="0" w:after="0" w:afterAutospacing="0"/>
      <w:jc w:val="center"/>
    </w:pPr>
    <w:rPr>
      <w:rFonts w:cs="Times New Roman"/>
      <w:b/>
      <w:sz w:val="32"/>
      <w:szCs w:val="20"/>
    </w:rPr>
  </w:style>
  <w:style w:type="paragraph" w:customStyle="1" w:styleId="155">
    <w:name w:val="标题4"/>
    <w:basedOn w:val="8"/>
    <w:next w:val="1"/>
    <w:qFormat/>
    <w:uiPriority w:val="0"/>
    <w:pPr>
      <w:widowControl/>
      <w:numPr>
        <w:ilvl w:val="0"/>
        <w:numId w:val="0"/>
      </w:numPr>
      <w:tabs>
        <w:tab w:val="left" w:pos="840"/>
      </w:tabs>
      <w:spacing w:before="120" w:beforeLines="0" w:after="120" w:afterLines="0" w:line="240" w:lineRule="auto"/>
      <w:jc w:val="both"/>
    </w:pPr>
    <w:rPr>
      <w:rFonts w:ascii="宋体" w:hAnsi="宋体"/>
      <w:b/>
      <w:color w:val="auto"/>
      <w:kern w:val="0"/>
      <w:sz w:val="28"/>
      <w:szCs w:val="20"/>
    </w:rPr>
  </w:style>
  <w:style w:type="paragraph" w:customStyle="1" w:styleId="156">
    <w:name w:val="标题9"/>
    <w:basedOn w:val="1"/>
    <w:qFormat/>
    <w:uiPriority w:val="0"/>
    <w:pPr>
      <w:spacing w:beforeLines="50" w:afterLines="50"/>
    </w:pPr>
    <w:rPr>
      <w:rFonts w:ascii="Times New Roman" w:hAnsi="Times New Roman" w:eastAsia="黑体"/>
      <w:b/>
      <w:sz w:val="32"/>
      <w:szCs w:val="24"/>
    </w:rPr>
  </w:style>
  <w:style w:type="paragraph" w:customStyle="1" w:styleId="157">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58">
    <w:name w:val="xl29"/>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59">
    <w:name w:val="图名"/>
    <w:basedOn w:val="1"/>
    <w:qFormat/>
    <w:uiPriority w:val="0"/>
    <w:pPr>
      <w:spacing w:line="360" w:lineRule="auto"/>
      <w:jc w:val="center"/>
    </w:pPr>
    <w:rPr>
      <w:rFonts w:ascii="Times New Roman" w:hAnsi="Times New Roman" w:eastAsia="楷体_GB2312" w:cs="宋体"/>
      <w:b/>
      <w:sz w:val="24"/>
      <w:szCs w:val="24"/>
    </w:rPr>
  </w:style>
  <w:style w:type="paragraph" w:customStyle="1" w:styleId="160">
    <w:name w:val="biaoge"/>
    <w:basedOn w:val="1"/>
    <w:qFormat/>
    <w:uiPriority w:val="0"/>
    <w:pPr>
      <w:widowControl/>
      <w:suppressLineNumbers/>
      <w:jc w:val="left"/>
    </w:pPr>
    <w:rPr>
      <w:rFonts w:ascii="宋体" w:hAnsi="宋体"/>
      <w:szCs w:val="21"/>
    </w:rPr>
  </w:style>
  <w:style w:type="paragraph" w:customStyle="1" w:styleId="161">
    <w:name w:val="框图"/>
    <w:basedOn w:val="1"/>
    <w:qFormat/>
    <w:uiPriority w:val="0"/>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162">
    <w:name w:val="前言、引言标题"/>
    <w:next w:val="1"/>
    <w:qFormat/>
    <w:uiPriority w:val="0"/>
    <w:pPr>
      <w:numPr>
        <w:ilvl w:val="0"/>
        <w:numId w:val="3"/>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63">
    <w:name w:val="一级条标题"/>
    <w:basedOn w:val="5"/>
    <w:next w:val="1"/>
    <w:qFormat/>
    <w:uiPriority w:val="0"/>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hAnsi="Times New Roman" w:eastAsia="黑体"/>
      <w:b w:val="0"/>
      <w:color w:val="auto"/>
      <w:kern w:val="0"/>
      <w:sz w:val="21"/>
      <w:szCs w:val="20"/>
    </w:rPr>
  </w:style>
  <w:style w:type="paragraph" w:customStyle="1" w:styleId="164">
    <w:name w:val="二级条标题"/>
    <w:basedOn w:val="163"/>
    <w:next w:val="1"/>
    <w:qFormat/>
    <w:uiPriority w:val="0"/>
    <w:pPr>
      <w:tabs>
        <w:tab w:val="left" w:pos="1680"/>
        <w:tab w:val="left" w:pos="2356"/>
      </w:tabs>
      <w:ind w:left="1984" w:hanging="708"/>
      <w:outlineLvl w:val="3"/>
    </w:pPr>
  </w:style>
  <w:style w:type="paragraph" w:customStyle="1" w:styleId="165">
    <w:name w:val="三级条标题"/>
    <w:basedOn w:val="164"/>
    <w:next w:val="1"/>
    <w:qFormat/>
    <w:uiPriority w:val="0"/>
    <w:pPr>
      <w:tabs>
        <w:tab w:val="left" w:pos="2100"/>
        <w:tab w:val="left" w:pos="2781"/>
      </w:tabs>
      <w:ind w:left="2551" w:hanging="850"/>
      <w:outlineLvl w:val="4"/>
    </w:pPr>
  </w:style>
  <w:style w:type="paragraph" w:customStyle="1" w:styleId="166">
    <w:name w:val="四级条标题"/>
    <w:basedOn w:val="165"/>
    <w:next w:val="1"/>
    <w:qFormat/>
    <w:uiPriority w:val="0"/>
    <w:pPr>
      <w:tabs>
        <w:tab w:val="left" w:pos="2520"/>
        <w:tab w:val="left" w:pos="3566"/>
      </w:tabs>
      <w:ind w:left="3260" w:hanging="1134"/>
      <w:outlineLvl w:val="5"/>
    </w:pPr>
  </w:style>
  <w:style w:type="paragraph" w:customStyle="1" w:styleId="167">
    <w:name w:val="五级条标题"/>
    <w:basedOn w:val="166"/>
    <w:next w:val="1"/>
    <w:qFormat/>
    <w:uiPriority w:val="0"/>
    <w:pPr>
      <w:tabs>
        <w:tab w:val="left" w:pos="2940"/>
        <w:tab w:val="left" w:pos="3991"/>
      </w:tabs>
      <w:ind w:left="3827" w:hanging="1276"/>
      <w:outlineLvl w:val="6"/>
    </w:pPr>
  </w:style>
  <w:style w:type="paragraph" w:customStyle="1" w:styleId="168">
    <w:name w:val="Char Char Char Char Char Char Char Char1 Char"/>
    <w:basedOn w:val="1"/>
    <w:qFormat/>
    <w:uiPriority w:val="0"/>
    <w:rPr>
      <w:rFonts w:ascii="Tahoma" w:hAnsi="Tahoma" w:cs="宋体"/>
      <w:kern w:val="0"/>
      <w:sz w:val="24"/>
      <w:szCs w:val="20"/>
    </w:rPr>
  </w:style>
  <w:style w:type="paragraph" w:customStyle="1" w:styleId="169">
    <w:name w:val="默认段落字体 Para Char"/>
    <w:basedOn w:val="1"/>
    <w:qFormat/>
    <w:uiPriority w:val="0"/>
    <w:rPr>
      <w:rFonts w:ascii="Times New Roman" w:hAnsi="Times New Roman"/>
      <w:sz w:val="30"/>
      <w:szCs w:val="24"/>
    </w:rPr>
  </w:style>
  <w:style w:type="paragraph" w:customStyle="1" w:styleId="170">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17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character" w:customStyle="1" w:styleId="172">
    <w:name w:val="正文文本 2 Char1"/>
    <w:qFormat/>
    <w:uiPriority w:val="99"/>
    <w:rPr>
      <w:rFonts w:ascii="宋体" w:hAnsi="宋体" w:eastAsia="宋体" w:cs="Times New Roman"/>
      <w:szCs w:val="24"/>
      <w:u w:val="single"/>
    </w:rPr>
  </w:style>
  <w:style w:type="character" w:customStyle="1" w:styleId="173">
    <w:name w:val="Char Char4"/>
    <w:qFormat/>
    <w:uiPriority w:val="0"/>
    <w:rPr>
      <w:rFonts w:ascii="宋体" w:hAnsi="宋体" w:eastAsia="宋体" w:cs="Times New Roman"/>
      <w:kern w:val="2"/>
      <w:sz w:val="24"/>
      <w:szCs w:val="24"/>
      <w:u w:val="single"/>
      <w:lang w:val="en-US" w:eastAsia="zh-CN" w:bidi="ar-SA"/>
    </w:rPr>
  </w:style>
  <w:style w:type="paragraph" w:customStyle="1" w:styleId="174">
    <w:name w:val="目录"/>
    <w:basedOn w:val="1"/>
    <w:qFormat/>
    <w:uiPriority w:val="0"/>
    <w:pPr>
      <w:widowControl/>
      <w:jc w:val="center"/>
    </w:pPr>
    <w:rPr>
      <w:rFonts w:hint="eastAsia" w:ascii="宋体" w:hAnsi="Times New Roman"/>
      <w:b/>
      <w:kern w:val="0"/>
      <w:sz w:val="36"/>
      <w:szCs w:val="20"/>
    </w:rPr>
  </w:style>
  <w:style w:type="paragraph" w:customStyle="1" w:styleId="1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6">
    <w:name w:val="保留正文"/>
    <w:basedOn w:val="24"/>
    <w:qFormat/>
    <w:uiPriority w:val="0"/>
    <w:pPr>
      <w:keepNext/>
      <w:spacing w:after="160"/>
    </w:pPr>
    <w:rPr>
      <w:szCs w:val="24"/>
    </w:rPr>
  </w:style>
  <w:style w:type="paragraph" w:customStyle="1" w:styleId="177">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目录文字"/>
    <w:basedOn w:val="1"/>
    <w:qFormat/>
    <w:uiPriority w:val="0"/>
    <w:pPr>
      <w:widowControl/>
      <w:spacing w:line="480" w:lineRule="auto"/>
      <w:jc w:val="left"/>
    </w:pPr>
    <w:rPr>
      <w:rFonts w:ascii="宋体" w:hAnsi="宋体"/>
      <w:kern w:val="0"/>
      <w:sz w:val="24"/>
      <w:szCs w:val="20"/>
    </w:rPr>
  </w:style>
  <w:style w:type="paragraph" w:customStyle="1" w:styleId="17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80">
    <w:name w:val="Para head"/>
    <w:qFormat/>
    <w:uiPriority w:val="0"/>
    <w:rPr>
      <w:rFonts w:ascii="Arial" w:hAnsi="Arial" w:eastAsia="Times New Roman"/>
      <w:kern w:val="2"/>
      <w:sz w:val="20"/>
      <w:szCs w:val="24"/>
      <w:lang w:val="en-US" w:eastAsia="zh-CN" w:bidi="ar-SA"/>
    </w:rPr>
  </w:style>
  <w:style w:type="paragraph" w:customStyle="1" w:styleId="181">
    <w:name w:val="菲页2"/>
    <w:basedOn w:val="7"/>
    <w:qFormat/>
    <w:uiPriority w:val="0"/>
    <w:pPr>
      <w:keepNext/>
      <w:keepLines/>
      <w:tabs>
        <w:tab w:val="left" w:pos="840"/>
        <w:tab w:val="left" w:pos="1053"/>
      </w:tabs>
      <w:spacing w:before="0" w:beforeAutospacing="0" w:after="0" w:afterAutospacing="0"/>
      <w:ind w:left="1053" w:hanging="528"/>
      <w:jc w:val="center"/>
    </w:pPr>
    <w:rPr>
      <w:rFonts w:ascii="黑体" w:eastAsia="黑体" w:cs="Times New Roman"/>
      <w:sz w:val="44"/>
      <w:szCs w:val="20"/>
    </w:rPr>
  </w:style>
  <w:style w:type="paragraph" w:customStyle="1" w:styleId="182">
    <w:name w:val="菲页1"/>
    <w:basedOn w:val="5"/>
    <w:qFormat/>
    <w:uiPriority w:val="0"/>
    <w:pPr>
      <w:widowControl/>
      <w:spacing w:before="260" w:after="260" w:line="416" w:lineRule="auto"/>
      <w:ind w:hanging="454"/>
    </w:pPr>
    <w:rPr>
      <w:rFonts w:ascii="黑体" w:hAnsi="宋体" w:eastAsia="黑体"/>
      <w:b w:val="0"/>
      <w:color w:val="auto"/>
      <w:kern w:val="0"/>
      <w:sz w:val="52"/>
      <w:szCs w:val="20"/>
    </w:rPr>
  </w:style>
  <w:style w:type="paragraph" w:customStyle="1" w:styleId="183">
    <w:name w:val="样式1"/>
    <w:basedOn w:val="1"/>
    <w:qFormat/>
    <w:uiPriority w:val="0"/>
    <w:pPr>
      <w:spacing w:before="120" w:after="120" w:line="300" w:lineRule="auto"/>
    </w:pPr>
    <w:rPr>
      <w:rFonts w:ascii="宋体" w:hAnsi="宋体"/>
      <w:b/>
      <w:sz w:val="24"/>
      <w:szCs w:val="20"/>
    </w:rPr>
  </w:style>
  <w:style w:type="paragraph" w:customStyle="1" w:styleId="184">
    <w:name w:val="菲页(卷)"/>
    <w:basedOn w:val="2"/>
    <w:next w:val="179"/>
    <w:qFormat/>
    <w:uiPriority w:val="0"/>
    <w:pPr>
      <w:keepLines w:val="0"/>
      <w:widowControl/>
      <w:tabs>
        <w:tab w:val="left" w:pos="1053"/>
      </w:tabs>
      <w:spacing w:before="0" w:after="0" w:line="240" w:lineRule="auto"/>
      <w:ind w:left="1053" w:hanging="528"/>
      <w:outlineLvl w:val="1"/>
    </w:pPr>
    <w:rPr>
      <w:rFonts w:ascii="黑体" w:hAnsi="Times New Roman" w:eastAsia="黑体"/>
      <w:b w:val="0"/>
      <w:kern w:val="0"/>
      <w:sz w:val="52"/>
      <w:szCs w:val="20"/>
    </w:rPr>
  </w:style>
  <w:style w:type="paragraph" w:customStyle="1" w:styleId="18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86">
    <w:name w:val="标题 Char1"/>
    <w:qFormat/>
    <w:uiPriority w:val="0"/>
    <w:rPr>
      <w:rFonts w:ascii="Arial" w:hAnsi="Arial" w:eastAsia="宋体"/>
      <w:b/>
      <w:kern w:val="2"/>
      <w:sz w:val="44"/>
      <w:szCs w:val="24"/>
      <w:lang w:val="en-US" w:eastAsia="zh-CN" w:bidi="ar-SA"/>
    </w:rPr>
  </w:style>
  <w:style w:type="character" w:customStyle="1" w:styleId="187">
    <w:name w:val="标题 1 Char1"/>
    <w:qFormat/>
    <w:uiPriority w:val="0"/>
    <w:rPr>
      <w:rFonts w:ascii="Arial" w:hAnsi="Arial" w:eastAsia="宋体"/>
      <w:b/>
      <w:bCs/>
      <w:kern w:val="44"/>
      <w:sz w:val="36"/>
      <w:szCs w:val="24"/>
      <w:lang w:val="en-US" w:eastAsia="zh-CN" w:bidi="ar-SA"/>
    </w:rPr>
  </w:style>
  <w:style w:type="paragraph" w:customStyle="1" w:styleId="188">
    <w:name w:val="cjk"/>
    <w:basedOn w:val="1"/>
    <w:qFormat/>
    <w:uiPriority w:val="0"/>
    <w:pPr>
      <w:widowControl/>
      <w:spacing w:before="284" w:after="100" w:afterAutospacing="1" w:line="360" w:lineRule="auto"/>
      <w:jc w:val="left"/>
    </w:pPr>
    <w:rPr>
      <w:rFonts w:ascii="宋体" w:hAnsi="宋体" w:cs="宋体"/>
      <w:kern w:val="0"/>
      <w:sz w:val="22"/>
    </w:rPr>
  </w:style>
  <w:style w:type="paragraph" w:customStyle="1" w:styleId="189">
    <w:name w:val="cjk1"/>
    <w:basedOn w:val="1"/>
    <w:qFormat/>
    <w:uiPriority w:val="0"/>
    <w:pPr>
      <w:widowControl/>
      <w:spacing w:before="284" w:line="360" w:lineRule="auto"/>
      <w:jc w:val="left"/>
    </w:pPr>
    <w:rPr>
      <w:rFonts w:ascii="宋体" w:hAnsi="宋体" w:cs="宋体"/>
      <w:kern w:val="0"/>
      <w:sz w:val="22"/>
    </w:rPr>
  </w:style>
  <w:style w:type="paragraph" w:customStyle="1" w:styleId="190">
    <w:name w:val="cjk2"/>
    <w:basedOn w:val="1"/>
    <w:qFormat/>
    <w:uiPriority w:val="0"/>
    <w:pPr>
      <w:widowControl/>
      <w:spacing w:before="284" w:line="360" w:lineRule="auto"/>
      <w:jc w:val="left"/>
    </w:pPr>
    <w:rPr>
      <w:rFonts w:ascii="宋体" w:hAnsi="宋体" w:cs="宋体"/>
      <w:kern w:val="0"/>
      <w:sz w:val="22"/>
    </w:rPr>
  </w:style>
  <w:style w:type="paragraph" w:customStyle="1" w:styleId="191">
    <w:name w:val="普通(Web)1"/>
    <w:basedOn w:val="1"/>
    <w:qFormat/>
    <w:uiPriority w:val="0"/>
    <w:pPr>
      <w:widowControl/>
      <w:spacing w:before="284" w:line="360" w:lineRule="auto"/>
      <w:jc w:val="left"/>
    </w:pPr>
    <w:rPr>
      <w:rFonts w:ascii="宋体" w:hAnsi="宋体" w:cs="宋体"/>
      <w:kern w:val="0"/>
      <w:sz w:val="24"/>
      <w:szCs w:val="24"/>
    </w:rPr>
  </w:style>
  <w:style w:type="paragraph" w:customStyle="1" w:styleId="19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93">
    <w:name w:val="1"/>
    <w:basedOn w:val="1"/>
    <w:next w:val="6"/>
    <w:qFormat/>
    <w:uiPriority w:val="0"/>
    <w:pPr>
      <w:numPr>
        <w:ilvl w:val="1"/>
        <w:numId w:val="4"/>
      </w:numPr>
      <w:tabs>
        <w:tab w:val="clear" w:pos="992"/>
      </w:tabs>
      <w:ind w:left="0" w:firstLine="420"/>
    </w:pPr>
    <w:rPr>
      <w:rFonts w:ascii="Times New Roman" w:hAnsi="Times New Roman"/>
      <w:szCs w:val="20"/>
    </w:rPr>
  </w:style>
  <w:style w:type="paragraph" w:customStyle="1" w:styleId="194">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rPr>
  </w:style>
  <w:style w:type="paragraph" w:customStyle="1" w:styleId="195">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16"/>
      <w:szCs w:val="16"/>
      <w:lang w:eastAsia="en-US"/>
    </w:rPr>
  </w:style>
  <w:style w:type="paragraph" w:customStyle="1" w:styleId="196">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kern w:val="0"/>
      <w:szCs w:val="21"/>
      <w:lang w:eastAsia="en-US"/>
    </w:rPr>
  </w:style>
  <w:style w:type="paragraph" w:customStyle="1" w:styleId="197">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kern w:val="0"/>
      <w:szCs w:val="21"/>
      <w:lang w:eastAsia="en-US"/>
    </w:rPr>
  </w:style>
  <w:style w:type="paragraph" w:customStyle="1" w:styleId="198">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9">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0">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1">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2">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3">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4">
    <w:name w:val="xl3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5">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6">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7">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8">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9">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10">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11">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12">
    <w:name w:val="font7"/>
    <w:basedOn w:val="1"/>
    <w:qFormat/>
    <w:uiPriority w:val="0"/>
    <w:pPr>
      <w:widowControl/>
      <w:spacing w:before="100" w:beforeAutospacing="1" w:after="100" w:afterAutospacing="1"/>
      <w:jc w:val="left"/>
    </w:pPr>
    <w:rPr>
      <w:rFonts w:hint="eastAsia" w:ascii="宋体" w:hAnsi="宋体" w:cs="Arial Unicode MS"/>
      <w:kern w:val="0"/>
      <w:sz w:val="22"/>
      <w:lang w:eastAsia="en-US"/>
    </w:rPr>
  </w:style>
  <w:style w:type="paragraph" w:customStyle="1" w:styleId="213">
    <w:name w:val="font8"/>
    <w:basedOn w:val="1"/>
    <w:qFormat/>
    <w:uiPriority w:val="0"/>
    <w:pPr>
      <w:widowControl/>
      <w:spacing w:before="100" w:beforeAutospacing="1" w:after="100" w:afterAutospacing="1"/>
      <w:jc w:val="left"/>
    </w:pPr>
    <w:rPr>
      <w:rFonts w:ascii="Times New Roman" w:hAnsi="Times New Roman" w:eastAsia="Arial Unicode MS"/>
      <w:kern w:val="0"/>
      <w:sz w:val="22"/>
      <w:lang w:eastAsia="en-US"/>
    </w:rPr>
  </w:style>
  <w:style w:type="paragraph" w:customStyle="1" w:styleId="214">
    <w:name w:val="font9"/>
    <w:basedOn w:val="1"/>
    <w:qFormat/>
    <w:uiPriority w:val="0"/>
    <w:pPr>
      <w:widowControl/>
      <w:spacing w:before="100" w:beforeAutospacing="1" w:after="100" w:afterAutospacing="1"/>
      <w:jc w:val="left"/>
    </w:pPr>
    <w:rPr>
      <w:rFonts w:ascii="Times New Roman" w:hAnsi="Times New Roman" w:eastAsia="Arial Unicode MS"/>
      <w:kern w:val="0"/>
      <w:sz w:val="18"/>
      <w:szCs w:val="18"/>
      <w:lang w:eastAsia="en-US"/>
    </w:rPr>
  </w:style>
  <w:style w:type="paragraph" w:customStyle="1" w:styleId="21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21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2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218">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219">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22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7">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8">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9">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230">
    <w:name w:val="样式 标题 5 + 小四 行距: 1.5 倍行距"/>
    <w:basedOn w:val="9"/>
    <w:qFormat/>
    <w:uiPriority w:val="0"/>
    <w:pPr>
      <w:keepNext w:val="0"/>
      <w:keepLines w:val="0"/>
      <w:widowControl/>
      <w:numPr>
        <w:ilvl w:val="0"/>
        <w:numId w:val="0"/>
      </w:numPr>
      <w:tabs>
        <w:tab w:val="left" w:pos="840"/>
      </w:tabs>
      <w:adjustRightInd w:val="0"/>
      <w:spacing w:before="120" w:beforeLines="0" w:after="120" w:afterLines="0" w:line="360" w:lineRule="auto"/>
      <w:textAlignment w:val="baseline"/>
    </w:pPr>
    <w:rPr>
      <w:rFonts w:ascii="Times New Roman" w:hAnsi="Times New Roman" w:eastAsia="黑体"/>
      <w:bCs/>
      <w:color w:val="auto"/>
      <w:kern w:val="0"/>
      <w:sz w:val="28"/>
      <w:szCs w:val="28"/>
      <w:lang w:val="zh-CN"/>
    </w:rPr>
  </w:style>
  <w:style w:type="paragraph" w:customStyle="1" w:styleId="231">
    <w:name w:val="样式 标题 6 + 行距: 1.5 倍行距"/>
    <w:basedOn w:val="10"/>
    <w:qFormat/>
    <w:uiPriority w:val="0"/>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232">
    <w:name w:val="正方框图"/>
    <w:basedOn w:val="1"/>
    <w:qFormat/>
    <w:uiPriority w:val="0"/>
    <w:pPr>
      <w:snapToGrid w:val="0"/>
      <w:jc w:val="center"/>
    </w:pPr>
    <w:rPr>
      <w:rFonts w:ascii="Times New Roman" w:hAnsi="Times New Roman"/>
      <w:sz w:val="24"/>
      <w:szCs w:val="20"/>
    </w:rPr>
  </w:style>
  <w:style w:type="paragraph" w:customStyle="1" w:styleId="233">
    <w:name w:val="样式2"/>
    <w:basedOn w:val="5"/>
    <w:qFormat/>
    <w:uiPriority w:val="0"/>
    <w:pPr>
      <w:keepNext w:val="0"/>
      <w:keepLines w:val="0"/>
      <w:widowControl/>
      <w:spacing w:before="260" w:after="260" w:afterAutospacing="1" w:line="416" w:lineRule="auto"/>
      <w:ind w:right="-512" w:rightChars="-244" w:hanging="454"/>
    </w:pPr>
    <w:rPr>
      <w:rFonts w:ascii="宋体" w:hAnsi="宋体" w:eastAsia="华文中宋"/>
      <w:snapToGrid w:val="0"/>
      <w:color w:val="auto"/>
      <w:kern w:val="0"/>
      <w:sz w:val="36"/>
      <w:szCs w:val="36"/>
    </w:rPr>
  </w:style>
  <w:style w:type="character" w:customStyle="1" w:styleId="234">
    <w:name w:val="Char Char Char"/>
    <w:qFormat/>
    <w:uiPriority w:val="0"/>
    <w:rPr>
      <w:rFonts w:ascii="Arial" w:hAnsi="Arial" w:eastAsia="黑体"/>
      <w:b/>
      <w:bCs/>
      <w:kern w:val="2"/>
      <w:sz w:val="32"/>
      <w:szCs w:val="32"/>
      <w:lang w:val="en-US" w:eastAsia="zh-CN" w:bidi="ar-SA"/>
    </w:rPr>
  </w:style>
  <w:style w:type="paragraph" w:customStyle="1" w:styleId="235">
    <w:name w:val="样式 标题 1合同标题章标题 1 Char Char标题 1 Char第1章第1章 Char卷标题标题 1 1..."/>
    <w:basedOn w:val="2"/>
    <w:qFormat/>
    <w:uiPriority w:val="0"/>
    <w:pPr>
      <w:keepNext w:val="0"/>
      <w:keepLines w:val="0"/>
      <w:widowControl/>
      <w:tabs>
        <w:tab w:val="left" w:pos="0"/>
      </w:tabs>
      <w:spacing w:before="284" w:after="0"/>
    </w:pPr>
    <w:rPr>
      <w:rFonts w:ascii="宋体" w:hAnsi="宋体" w:cs="宋体"/>
      <w:bCs/>
      <w:color w:val="000000"/>
      <w:kern w:val="36"/>
      <w:sz w:val="44"/>
      <w:szCs w:val="48"/>
    </w:rPr>
  </w:style>
  <w:style w:type="paragraph" w:customStyle="1" w:styleId="236">
    <w:name w:val="样式 标题 1合同标题章标题 1 Char Char标题 1 Char第1章第1章 Char卷标题标题 1 1...1"/>
    <w:basedOn w:val="2"/>
    <w:qFormat/>
    <w:uiPriority w:val="0"/>
    <w:pPr>
      <w:keepNext w:val="0"/>
      <w:keepLines w:val="0"/>
      <w:widowControl/>
      <w:numPr>
        <w:ilvl w:val="0"/>
        <w:numId w:val="5"/>
      </w:numPr>
      <w:tabs>
        <w:tab w:val="left" w:pos="360"/>
        <w:tab w:val="clear" w:pos="0"/>
      </w:tabs>
      <w:spacing w:before="284" w:after="0"/>
    </w:pPr>
    <w:rPr>
      <w:rFonts w:ascii="宋体" w:hAnsi="宋体" w:cs="宋体"/>
      <w:bCs/>
      <w:color w:val="000000"/>
      <w:kern w:val="36"/>
      <w:szCs w:val="48"/>
    </w:rPr>
  </w:style>
  <w:style w:type="character" w:customStyle="1" w:styleId="237">
    <w:name w:val="样式 标题 1合同标题章标题 1 Char Char标题 1 Char第1章第1章 Char卷标题标题 1 1...1 Char"/>
    <w:qFormat/>
    <w:uiPriority w:val="0"/>
    <w:rPr>
      <w:rFonts w:ascii="宋体" w:hAnsi="宋体" w:eastAsia="宋体" w:cs="宋体"/>
      <w:b/>
      <w:bCs/>
      <w:kern w:val="36"/>
      <w:sz w:val="28"/>
      <w:szCs w:val="48"/>
      <w:lang w:val="en-US" w:eastAsia="zh-CN" w:bidi="ar-SA"/>
    </w:rPr>
  </w:style>
  <w:style w:type="paragraph" w:customStyle="1" w:styleId="238">
    <w:name w:val="首行缩进:  2 字符"/>
    <w:basedOn w:val="1"/>
    <w:qFormat/>
    <w:uiPriority w:val="0"/>
    <w:pPr>
      <w:spacing w:line="360" w:lineRule="auto"/>
      <w:ind w:firstLine="480" w:firstLineChars="200"/>
    </w:pPr>
    <w:rPr>
      <w:rFonts w:ascii="Times New Roman" w:hAnsi="Times New Roman" w:cs="宋体"/>
      <w:sz w:val="24"/>
      <w:szCs w:val="20"/>
    </w:rPr>
  </w:style>
  <w:style w:type="character" w:customStyle="1" w:styleId="239">
    <w:name w:val="首行缩进:  2 字符 Char Char"/>
    <w:qFormat/>
    <w:uiPriority w:val="0"/>
    <w:rPr>
      <w:rFonts w:eastAsia="宋体" w:cs="宋体"/>
      <w:b/>
      <w:kern w:val="2"/>
      <w:sz w:val="24"/>
      <w:szCs w:val="24"/>
      <w:lang w:val="en-US" w:eastAsia="zh-CN" w:bidi="ar-SA"/>
    </w:rPr>
  </w:style>
  <w:style w:type="paragraph" w:customStyle="1" w:styleId="240">
    <w:name w:val="样式 居中"/>
    <w:basedOn w:val="1"/>
    <w:qFormat/>
    <w:uiPriority w:val="0"/>
    <w:pPr>
      <w:spacing w:line="360" w:lineRule="auto"/>
      <w:jc w:val="center"/>
    </w:pPr>
    <w:rPr>
      <w:rFonts w:ascii="Times New Roman" w:hAnsi="Times New Roman"/>
      <w:sz w:val="24"/>
      <w:szCs w:val="24"/>
    </w:rPr>
  </w:style>
  <w:style w:type="paragraph" w:customStyle="1" w:styleId="241">
    <w:name w:val="图表文字"/>
    <w:basedOn w:val="1"/>
    <w:semiHidden/>
    <w:qFormat/>
    <w:uiPriority w:val="0"/>
    <w:pPr>
      <w:widowControl/>
      <w:adjustRightInd w:val="0"/>
      <w:spacing w:before="120" w:after="120"/>
      <w:jc w:val="center"/>
    </w:pPr>
    <w:rPr>
      <w:rFonts w:ascii="黑体" w:hAnsi="Times New Roman" w:eastAsia="黑体"/>
      <w:kern w:val="0"/>
      <w:sz w:val="28"/>
      <w:szCs w:val="20"/>
    </w:rPr>
  </w:style>
  <w:style w:type="paragraph" w:customStyle="1" w:styleId="242">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kern w:val="0"/>
      <w:sz w:val="24"/>
      <w:szCs w:val="20"/>
    </w:rPr>
  </w:style>
  <w:style w:type="paragraph" w:customStyle="1" w:styleId="243">
    <w:name w:val="Char Char Char1 Char Char"/>
    <w:basedOn w:val="1"/>
    <w:qFormat/>
    <w:uiPriority w:val="0"/>
    <w:rPr>
      <w:rFonts w:ascii="Times New Roman" w:hAnsi="Times New Roman"/>
      <w:szCs w:val="24"/>
    </w:rPr>
  </w:style>
  <w:style w:type="paragraph" w:customStyle="1" w:styleId="244">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表文字"/>
    <w:qFormat/>
    <w:uiPriority w:val="0"/>
    <w:rPr>
      <w:rFonts w:ascii="宋体" w:hAnsi="Times New Roman" w:eastAsia="宋体" w:cs="Times New Roman"/>
      <w:kern w:val="2"/>
      <w:lang w:val="en-US" w:eastAsia="zh-CN" w:bidi="ar-SA"/>
    </w:rPr>
  </w:style>
  <w:style w:type="character" w:customStyle="1" w:styleId="246">
    <w:name w:val="纯文本 Char1"/>
    <w:qFormat/>
    <w:uiPriority w:val="0"/>
    <w:rPr>
      <w:rFonts w:ascii="宋体" w:hAnsi="Courier New" w:eastAsia="宋体" w:cs="Times New Roman"/>
      <w:szCs w:val="24"/>
    </w:rPr>
  </w:style>
  <w:style w:type="character" w:customStyle="1" w:styleId="247">
    <w:name w:val="合同标题 Char1"/>
    <w:qFormat/>
    <w:uiPriority w:val="0"/>
    <w:rPr>
      <w:rFonts w:ascii="宋体" w:hAnsi="Arial" w:eastAsia="宋体"/>
      <w:b/>
      <w:bCs/>
      <w:snapToGrid w:val="0"/>
      <w:kern w:val="2"/>
      <w:sz w:val="36"/>
      <w:szCs w:val="36"/>
      <w:lang w:val="en-US" w:eastAsia="zh-CN" w:bidi="ar-SA"/>
    </w:rPr>
  </w:style>
  <w:style w:type="character" w:customStyle="1" w:styleId="248">
    <w:name w:val="FtrF Char Char"/>
    <w:qFormat/>
    <w:uiPriority w:val="0"/>
    <w:rPr>
      <w:rFonts w:eastAsia="宋体"/>
      <w:kern w:val="2"/>
      <w:sz w:val="18"/>
      <w:szCs w:val="24"/>
      <w:lang w:val="en-US" w:eastAsia="zh-CN" w:bidi="ar-SA"/>
    </w:rPr>
  </w:style>
  <w:style w:type="paragraph" w:customStyle="1" w:styleId="249">
    <w:name w:val="news"/>
    <w:basedOn w:val="1"/>
    <w:qFormat/>
    <w:uiPriority w:val="0"/>
    <w:pPr>
      <w:widowControl/>
      <w:spacing w:before="100" w:beforeAutospacing="1" w:after="100" w:afterAutospacing="1" w:line="360" w:lineRule="auto"/>
      <w:jc w:val="left"/>
    </w:pPr>
    <w:rPr>
      <w:rFonts w:ascii="ˎ̥" w:hAnsi="ˎ̥" w:cs="宋体"/>
      <w:kern w:val="0"/>
      <w:sz w:val="18"/>
      <w:szCs w:val="18"/>
    </w:rPr>
  </w:style>
  <w:style w:type="paragraph" w:customStyle="1" w:styleId="250">
    <w:name w:val="di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2"/>
    <w:basedOn w:val="1"/>
    <w:qFormat/>
    <w:uiPriority w:val="0"/>
    <w:pPr>
      <w:adjustRightInd w:val="0"/>
      <w:spacing w:line="360" w:lineRule="atLeast"/>
    </w:pPr>
    <w:rPr>
      <w:rFonts w:ascii="Times New Roman" w:hAnsi="Times New Roman"/>
      <w:szCs w:val="24"/>
    </w:rPr>
  </w:style>
  <w:style w:type="paragraph" w:customStyle="1" w:styleId="252">
    <w:name w:val="需求书2"/>
    <w:basedOn w:val="1"/>
    <w:qFormat/>
    <w:uiPriority w:val="0"/>
    <w:pPr>
      <w:numPr>
        <w:ilvl w:val="0"/>
        <w:numId w:val="6"/>
      </w:numPr>
      <w:spacing w:line="360" w:lineRule="auto"/>
    </w:pPr>
    <w:rPr>
      <w:rFonts w:ascii="黑体" w:hAnsi="宋体" w:eastAsia="黑体"/>
      <w:b/>
      <w:bCs/>
      <w:sz w:val="24"/>
      <w:szCs w:val="24"/>
    </w:rPr>
  </w:style>
  <w:style w:type="paragraph" w:customStyle="1" w:styleId="253">
    <w:name w:val="Char Char Char Char Char Char"/>
    <w:basedOn w:val="19"/>
    <w:qFormat/>
    <w:uiPriority w:val="0"/>
    <w:pPr>
      <w:adjustRightInd w:val="0"/>
      <w:spacing w:line="436" w:lineRule="exact"/>
      <w:ind w:left="357"/>
      <w:jc w:val="left"/>
      <w:outlineLvl w:val="3"/>
    </w:pPr>
    <w:rPr>
      <w:rFonts w:ascii="Tahoma" w:hAnsi="Tahoma"/>
      <w:b/>
      <w:sz w:val="24"/>
      <w:szCs w:val="24"/>
    </w:rPr>
  </w:style>
  <w:style w:type="character" w:customStyle="1" w:styleId="254">
    <w:name w:val="标题一 宋体 小二 红色 升高量  0.5 磅"/>
    <w:qFormat/>
    <w:uiPriority w:val="0"/>
    <w:rPr>
      <w:rFonts w:ascii="宋体" w:hAnsi="宋体" w:eastAsia="宋体"/>
      <w:color w:val="FF0000"/>
      <w:kern w:val="0"/>
      <w:position w:val="1"/>
      <w:sz w:val="36"/>
      <w:szCs w:val="24"/>
      <w:lang w:val="en-US" w:eastAsia="zh-CN" w:bidi="ar-SA"/>
    </w:rPr>
  </w:style>
  <w:style w:type="character" w:customStyle="1" w:styleId="255">
    <w:name w:val="样式 一 黑体 (中文) 黑体 (符号) 宋体 小二 升高量  0.5 磅"/>
    <w:qFormat/>
    <w:uiPriority w:val="0"/>
    <w:rPr>
      <w:rFonts w:ascii="黑体" w:hAnsi="黑体" w:eastAsia="黑体"/>
      <w:kern w:val="0"/>
      <w:position w:val="1"/>
      <w:sz w:val="36"/>
      <w:szCs w:val="24"/>
      <w:lang w:val="en-US" w:eastAsia="zh-CN" w:bidi="ar-SA"/>
    </w:rPr>
  </w:style>
  <w:style w:type="paragraph" w:customStyle="1" w:styleId="256">
    <w:name w:val="标题二 黑体 (中文) 黑体 (符号) 宋体 小四 左 左侧:  0.18 厘米 右侧:  -0.04 厘米"/>
    <w:basedOn w:val="1"/>
    <w:qFormat/>
    <w:uiPriority w:val="0"/>
    <w:pPr>
      <w:ind w:left="101" w:right="-20"/>
      <w:jc w:val="left"/>
    </w:pPr>
    <w:rPr>
      <w:rFonts w:ascii="黑体" w:hAnsi="宋体" w:eastAsia="黑体" w:cs="宋体"/>
      <w:kern w:val="0"/>
      <w:sz w:val="24"/>
      <w:szCs w:val="20"/>
    </w:rPr>
  </w:style>
  <w:style w:type="paragraph" w:customStyle="1" w:styleId="257">
    <w:name w:val="标题三 黑体 (中文) 黑体 (符号) 宋体 三号 居中 左侧:  7.34 厘米 右侧:  7.52 厘米"/>
    <w:basedOn w:val="1"/>
    <w:qFormat/>
    <w:uiPriority w:val="0"/>
    <w:pPr>
      <w:ind w:left="4160" w:right="4265"/>
      <w:jc w:val="center"/>
    </w:pPr>
    <w:rPr>
      <w:rFonts w:ascii="黑体" w:hAnsi="宋体" w:eastAsia="黑体" w:cs="宋体"/>
      <w:kern w:val="0"/>
      <w:sz w:val="32"/>
      <w:szCs w:val="20"/>
    </w:rPr>
  </w:style>
  <w:style w:type="character" w:customStyle="1" w:styleId="258">
    <w:name w:val="标题四 (西文) 黑体 (中文) 黑体 (符号) 宋体 小三 升高量  0.5 磅"/>
    <w:qFormat/>
    <w:uiPriority w:val="0"/>
    <w:rPr>
      <w:rFonts w:ascii="黑体" w:hAnsi="黑体" w:eastAsia="黑体"/>
      <w:kern w:val="0"/>
      <w:position w:val="1"/>
      <w:sz w:val="30"/>
      <w:szCs w:val="24"/>
      <w:lang w:val="en-US" w:eastAsia="zh-CN" w:bidi="ar-SA"/>
    </w:rPr>
  </w:style>
  <w:style w:type="paragraph" w:customStyle="1" w:styleId="259">
    <w:name w:val="样式100"/>
    <w:basedOn w:val="1"/>
    <w:link w:val="260"/>
    <w:qFormat/>
    <w:uiPriority w:val="0"/>
    <w:pPr>
      <w:tabs>
        <w:tab w:val="left" w:pos="800"/>
        <w:tab w:val="left" w:pos="5887"/>
        <w:tab w:val="left" w:pos="9880"/>
      </w:tabs>
      <w:autoSpaceDE w:val="0"/>
      <w:autoSpaceDN w:val="0"/>
      <w:adjustRightInd w:val="0"/>
      <w:spacing w:line="240" w:lineRule="atLeast"/>
      <w:ind w:left="142" w:right="-153"/>
      <w:jc w:val="left"/>
      <w:outlineLvl w:val="3"/>
    </w:pPr>
    <w:rPr>
      <w:rFonts w:ascii="宋体" w:hAnsi="宋体"/>
      <w:sz w:val="24"/>
      <w:szCs w:val="24"/>
    </w:rPr>
  </w:style>
  <w:style w:type="character" w:customStyle="1" w:styleId="260">
    <w:name w:val="样式100 Char"/>
    <w:link w:val="259"/>
    <w:qFormat/>
    <w:uiPriority w:val="0"/>
    <w:rPr>
      <w:rFonts w:ascii="宋体" w:hAnsi="宋体" w:eastAsia="宋体"/>
      <w:kern w:val="2"/>
      <w:sz w:val="24"/>
      <w:szCs w:val="24"/>
    </w:rPr>
  </w:style>
  <w:style w:type="paragraph" w:customStyle="1" w:styleId="261">
    <w:name w:val="正文21"/>
    <w:basedOn w:val="1"/>
    <w:qFormat/>
    <w:uiPriority w:val="0"/>
    <w:pPr>
      <w:ind w:firstLine="735"/>
    </w:pPr>
    <w:rPr>
      <w:rFonts w:ascii="Times New Roman" w:hAnsi="Times New Roman"/>
      <w:b/>
      <w:sz w:val="32"/>
      <w:szCs w:val="20"/>
    </w:rPr>
  </w:style>
  <w:style w:type="character" w:customStyle="1" w:styleId="262">
    <w:name w:val="正 文 1 Char Char"/>
    <w:qFormat/>
    <w:uiPriority w:val="0"/>
    <w:rPr>
      <w:rFonts w:ascii="宋体" w:hAnsi="Courier New" w:eastAsia="宋体"/>
      <w:kern w:val="2"/>
      <w:sz w:val="21"/>
      <w:szCs w:val="24"/>
      <w:lang w:val="en-US" w:eastAsia="zh-CN" w:bidi="ar-SA"/>
    </w:rPr>
  </w:style>
  <w:style w:type="character" w:customStyle="1" w:styleId="263">
    <w:name w:val="合同标题 Char2"/>
    <w:qFormat/>
    <w:uiPriority w:val="0"/>
    <w:rPr>
      <w:rFonts w:ascii="Arial" w:hAnsi="Arial" w:eastAsia="宋体"/>
      <w:b/>
      <w:bCs/>
      <w:kern w:val="44"/>
      <w:sz w:val="32"/>
      <w:szCs w:val="32"/>
      <w:lang w:val="en-US" w:eastAsia="zh-CN" w:bidi="ar-SA"/>
    </w:rPr>
  </w:style>
  <w:style w:type="character" w:customStyle="1" w:styleId="264">
    <w:name w:val="FtrF Char Char1"/>
    <w:qFormat/>
    <w:uiPriority w:val="0"/>
    <w:rPr>
      <w:rFonts w:eastAsia="宋体"/>
      <w:kern w:val="2"/>
      <w:sz w:val="18"/>
      <w:szCs w:val="24"/>
      <w:lang w:val="en-US" w:eastAsia="zh-CN" w:bidi="ar-SA"/>
    </w:rPr>
  </w:style>
  <w:style w:type="character" w:customStyle="1" w:styleId="265">
    <w:name w:val="正 文 1 Char"/>
    <w:qFormat/>
    <w:uiPriority w:val="0"/>
    <w:rPr>
      <w:rFonts w:ascii="宋体" w:hAnsi="Courier New" w:eastAsia="宋体"/>
      <w:kern w:val="2"/>
      <w:sz w:val="21"/>
      <w:szCs w:val="24"/>
      <w:lang w:val="en-US" w:eastAsia="zh-CN" w:bidi="ar-SA"/>
    </w:rPr>
  </w:style>
  <w:style w:type="character" w:customStyle="1" w:styleId="266">
    <w:name w:val="批注文字 Char1"/>
    <w:qFormat/>
    <w:uiPriority w:val="99"/>
    <w:rPr>
      <w:rFonts w:ascii="Times New Roman" w:hAnsi="Times New Roman" w:eastAsia="宋体" w:cs="Times New Roman"/>
      <w:szCs w:val="20"/>
    </w:rPr>
  </w:style>
  <w:style w:type="character" w:customStyle="1" w:styleId="267">
    <w:name w:val="正文首行缩进 Char1"/>
    <w:qFormat/>
    <w:uiPriority w:val="99"/>
    <w:rPr>
      <w:rFonts w:ascii="Times New Roman" w:hAnsi="Times New Roman" w:eastAsia="宋体" w:cs="Times New Roman"/>
      <w:szCs w:val="24"/>
    </w:rPr>
  </w:style>
  <w:style w:type="character" w:customStyle="1" w:styleId="268">
    <w:name w:val="正文文本缩进 Char1"/>
    <w:qFormat/>
    <w:uiPriority w:val="99"/>
    <w:rPr>
      <w:rFonts w:ascii="Times New Roman" w:hAnsi="Times New Roman" w:eastAsia="宋体" w:cs="Times New Roman"/>
      <w:sz w:val="28"/>
      <w:szCs w:val="24"/>
    </w:rPr>
  </w:style>
  <w:style w:type="character" w:customStyle="1" w:styleId="269">
    <w:name w:val="正文文本缩进 2 Char1"/>
    <w:qFormat/>
    <w:uiPriority w:val="99"/>
    <w:rPr>
      <w:rFonts w:ascii="Times New Roman" w:hAnsi="Times New Roman" w:eastAsia="宋体" w:cs="Times New Roman"/>
      <w:color w:val="000000"/>
      <w:sz w:val="24"/>
      <w:szCs w:val="24"/>
    </w:rPr>
  </w:style>
  <w:style w:type="paragraph" w:customStyle="1" w:styleId="270">
    <w:name w:val="列出段落1"/>
    <w:basedOn w:val="1"/>
    <w:qFormat/>
    <w:uiPriority w:val="34"/>
    <w:pPr>
      <w:ind w:firstLine="420" w:firstLineChars="200"/>
    </w:pPr>
    <w:rPr>
      <w:szCs w:val="24"/>
    </w:rPr>
  </w:style>
  <w:style w:type="character" w:customStyle="1" w:styleId="271">
    <w:name w:val="日期 Char1"/>
    <w:qFormat/>
    <w:locked/>
    <w:uiPriority w:val="99"/>
    <w:rPr>
      <w:rFonts w:ascii="Times New Roman" w:hAnsi="Times New Roman" w:eastAsia="宋体" w:cs="Times New Roman"/>
      <w:szCs w:val="24"/>
    </w:rPr>
  </w:style>
  <w:style w:type="character" w:customStyle="1" w:styleId="272">
    <w:name w:val="批注框文本 Char1"/>
    <w:qFormat/>
    <w:locked/>
    <w:uiPriority w:val="99"/>
    <w:rPr>
      <w:rFonts w:ascii="Times New Roman" w:hAnsi="Times New Roman" w:eastAsia="宋体" w:cs="Times New Roman"/>
      <w:sz w:val="18"/>
      <w:szCs w:val="18"/>
    </w:rPr>
  </w:style>
  <w:style w:type="character" w:customStyle="1" w:styleId="273">
    <w:name w:val="批注主题 Char1"/>
    <w:qFormat/>
    <w:locked/>
    <w:uiPriority w:val="99"/>
    <w:rPr>
      <w:rFonts w:ascii="Times New Roman" w:hAnsi="Times New Roman" w:eastAsia="宋体" w:cs="Times New Roman"/>
      <w:b/>
      <w:bCs/>
      <w:szCs w:val="20"/>
    </w:rPr>
  </w:style>
  <w:style w:type="paragraph" w:customStyle="1" w:styleId="274">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275">
    <w:name w:val="称呼 Char1"/>
    <w:basedOn w:val="57"/>
    <w:link w:val="22"/>
    <w:qFormat/>
    <w:uiPriority w:val="0"/>
    <w:rPr>
      <w:rFonts w:ascii="Times New Roman" w:hAnsi="Times New Roman" w:eastAsia="宋体"/>
      <w:sz w:val="30"/>
    </w:rPr>
  </w:style>
  <w:style w:type="character" w:customStyle="1" w:styleId="276">
    <w:name w:val="称呼 Char"/>
    <w:basedOn w:val="57"/>
    <w:qFormat/>
    <w:uiPriority w:val="0"/>
    <w:rPr>
      <w:rFonts w:ascii="Calibri" w:hAnsi="Calibri" w:eastAsia="宋体"/>
      <w:kern w:val="2"/>
      <w:sz w:val="21"/>
      <w:szCs w:val="22"/>
    </w:rPr>
  </w:style>
  <w:style w:type="character" w:customStyle="1" w:styleId="277">
    <w:name w:val="签名 Char1"/>
    <w:basedOn w:val="57"/>
    <w:link w:val="39"/>
    <w:qFormat/>
    <w:uiPriority w:val="0"/>
    <w:rPr>
      <w:rFonts w:ascii="Wund" w:hAnsi="Wund" w:eastAsia="宋体"/>
      <w:sz w:val="22"/>
      <w:lang w:val="de-DE" w:eastAsia="de-DE"/>
    </w:rPr>
  </w:style>
  <w:style w:type="character" w:customStyle="1" w:styleId="278">
    <w:name w:val="签名 Char"/>
    <w:basedOn w:val="57"/>
    <w:qFormat/>
    <w:uiPriority w:val="0"/>
    <w:rPr>
      <w:rFonts w:ascii="Calibri" w:hAnsi="Calibri" w:eastAsia="宋体"/>
      <w:kern w:val="2"/>
      <w:sz w:val="21"/>
      <w:szCs w:val="22"/>
    </w:rPr>
  </w:style>
  <w:style w:type="character" w:customStyle="1" w:styleId="279">
    <w:name w:val="副标题 Char3"/>
    <w:basedOn w:val="57"/>
    <w:link w:val="42"/>
    <w:qFormat/>
    <w:uiPriority w:val="0"/>
    <w:rPr>
      <w:rFonts w:ascii="Cambria" w:hAnsi="Cambria" w:eastAsia="宋体"/>
      <w:b/>
      <w:bCs/>
      <w:kern w:val="28"/>
      <w:sz w:val="32"/>
      <w:szCs w:val="32"/>
      <w:lang w:val="de-DE" w:eastAsia="de-DE"/>
    </w:rPr>
  </w:style>
  <w:style w:type="character" w:customStyle="1" w:styleId="280">
    <w:name w:val="副标题 Char"/>
    <w:basedOn w:val="57"/>
    <w:qFormat/>
    <w:uiPriority w:val="0"/>
    <w:rPr>
      <w:rFonts w:eastAsia="宋体" w:asciiTheme="majorHAnsi" w:hAnsiTheme="majorHAnsi" w:cstheme="majorBidi"/>
      <w:b/>
      <w:bCs/>
      <w:kern w:val="28"/>
      <w:sz w:val="32"/>
      <w:szCs w:val="32"/>
    </w:rPr>
  </w:style>
  <w:style w:type="character" w:customStyle="1" w:styleId="281">
    <w:name w:val="HTML 预设格式 Char2"/>
    <w:basedOn w:val="57"/>
    <w:link w:val="50"/>
    <w:qFormat/>
    <w:uiPriority w:val="0"/>
    <w:rPr>
      <w:rFonts w:ascii="Courier New" w:hAnsi="Courier New" w:eastAsia="宋体"/>
      <w:lang w:val="de-DE" w:eastAsia="de-DE"/>
    </w:rPr>
  </w:style>
  <w:style w:type="character" w:customStyle="1" w:styleId="282">
    <w:name w:val="HTML 预设格式 Char"/>
    <w:basedOn w:val="57"/>
    <w:qFormat/>
    <w:uiPriority w:val="0"/>
    <w:rPr>
      <w:rFonts w:ascii="Courier New" w:hAnsi="Courier New" w:eastAsia="宋体" w:cs="Courier New"/>
      <w:kern w:val="2"/>
    </w:rPr>
  </w:style>
  <w:style w:type="character" w:customStyle="1" w:styleId="283">
    <w:name w:val="标题 5 Char1"/>
    <w:qFormat/>
    <w:uiPriority w:val="9"/>
    <w:rPr>
      <w:rFonts w:ascii="Arial" w:hAnsi="Arial" w:eastAsia="宋体" w:cs="Times New Roman"/>
      <w:color w:val="000000"/>
      <w:kern w:val="2"/>
      <w:sz w:val="21"/>
      <w:szCs w:val="21"/>
    </w:rPr>
  </w:style>
  <w:style w:type="character" w:customStyle="1" w:styleId="284">
    <w:name w:val="times"/>
    <w:qFormat/>
    <w:uiPriority w:val="0"/>
    <w:rPr>
      <w:color w:val="CDCDCD"/>
      <w:bdr w:val="single" w:color="CDCDCD" w:sz="6" w:space="0"/>
      <w:shd w:val="clear" w:color="auto" w:fill="EFEFEF"/>
    </w:rPr>
  </w:style>
  <w:style w:type="character" w:customStyle="1" w:styleId="285">
    <w:name w:val="标题 4 Char1"/>
    <w:qFormat/>
    <w:uiPriority w:val="9"/>
    <w:rPr>
      <w:rFonts w:ascii="Arial" w:hAnsi="Arial"/>
      <w:color w:val="000000"/>
      <w:kern w:val="2"/>
      <w:sz w:val="21"/>
      <w:szCs w:val="21"/>
    </w:rPr>
  </w:style>
  <w:style w:type="paragraph" w:customStyle="1" w:styleId="286">
    <w:name w:val="_Style 28"/>
    <w:basedOn w:val="1"/>
    <w:next w:val="136"/>
    <w:qFormat/>
    <w:uiPriority w:val="0"/>
    <w:pPr>
      <w:ind w:firstLine="420" w:firstLineChars="200"/>
    </w:pPr>
    <w:rPr>
      <w:rFonts w:ascii="Times New Roman" w:hAnsi="Times New Roman"/>
      <w:kern w:val="0"/>
      <w:sz w:val="20"/>
      <w:szCs w:val="20"/>
    </w:rPr>
  </w:style>
  <w:style w:type="character" w:customStyle="1" w:styleId="287">
    <w:name w:val="hover42"/>
    <w:basedOn w:val="57"/>
    <w:qFormat/>
    <w:uiPriority w:val="0"/>
  </w:style>
  <w:style w:type="character" w:customStyle="1" w:styleId="288">
    <w:name w:val="标题 9 Char1"/>
    <w:qFormat/>
    <w:uiPriority w:val="9"/>
    <w:rPr>
      <w:rFonts w:ascii="Arial" w:hAnsi="Arial" w:eastAsia="黑体"/>
      <w:kern w:val="2"/>
      <w:sz w:val="21"/>
    </w:rPr>
  </w:style>
  <w:style w:type="character" w:customStyle="1" w:styleId="289">
    <w:name w:val="标题 7 Char1"/>
    <w:qFormat/>
    <w:uiPriority w:val="9"/>
    <w:rPr>
      <w:b/>
      <w:kern w:val="2"/>
      <w:sz w:val="24"/>
    </w:rPr>
  </w:style>
  <w:style w:type="character" w:customStyle="1" w:styleId="290">
    <w:name w:val="times1"/>
    <w:qFormat/>
    <w:uiPriority w:val="0"/>
    <w:rPr>
      <w:color w:val="3399FF"/>
      <w:bdr w:val="single" w:color="D1EDF8" w:sz="6" w:space="0"/>
      <w:shd w:val="clear" w:color="auto" w:fill="EAF9FF"/>
    </w:rPr>
  </w:style>
  <w:style w:type="character" w:customStyle="1" w:styleId="291">
    <w:name w:val="标题 8 Char1"/>
    <w:qFormat/>
    <w:uiPriority w:val="9"/>
    <w:rPr>
      <w:rFonts w:ascii="Arial" w:hAnsi="Arial" w:eastAsia="黑体"/>
      <w:kern w:val="2"/>
      <w:sz w:val="24"/>
    </w:rPr>
  </w:style>
  <w:style w:type="character" w:customStyle="1" w:styleId="292">
    <w:name w:val="hover41"/>
    <w:basedOn w:val="57"/>
    <w:qFormat/>
    <w:uiPriority w:val="0"/>
  </w:style>
  <w:style w:type="paragraph" w:customStyle="1" w:styleId="293">
    <w:name w:val="List Paragraph1"/>
    <w:basedOn w:val="1"/>
    <w:qFormat/>
    <w:uiPriority w:val="99"/>
    <w:pPr>
      <w:ind w:firstLine="420" w:firstLineChars="200"/>
    </w:pPr>
  </w:style>
  <w:style w:type="character" w:customStyle="1" w:styleId="294">
    <w:name w:val="hover40"/>
    <w:basedOn w:val="57"/>
    <w:qFormat/>
    <w:uiPriority w:val="0"/>
  </w:style>
  <w:style w:type="paragraph" w:customStyle="1" w:styleId="295">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6">
    <w:name w:val="sh141"/>
    <w:qFormat/>
    <w:uiPriority w:val="0"/>
    <w:rPr>
      <w:color w:val="auto"/>
      <w:sz w:val="21"/>
      <w:szCs w:val="21"/>
    </w:rPr>
  </w:style>
  <w:style w:type="character" w:customStyle="1" w:styleId="297">
    <w:name w:val="标题 5 Char Char"/>
    <w:qFormat/>
    <w:uiPriority w:val="0"/>
    <w:rPr>
      <w:b/>
      <w:kern w:val="2"/>
      <w:sz w:val="28"/>
    </w:rPr>
  </w:style>
  <w:style w:type="character" w:customStyle="1" w:styleId="298">
    <w:name w:val="正文文本 Char1"/>
    <w:qFormat/>
    <w:uiPriority w:val="99"/>
    <w:rPr>
      <w:kern w:val="2"/>
      <w:sz w:val="21"/>
      <w:szCs w:val="24"/>
    </w:rPr>
  </w:style>
  <w:style w:type="character" w:customStyle="1" w:styleId="299">
    <w:name w:val="Char Char10"/>
    <w:qFormat/>
    <w:uiPriority w:val="0"/>
    <w:rPr>
      <w:rFonts w:hint="eastAsia" w:ascii="楷体_GB2312" w:eastAsia="楷体_GB2312"/>
      <w:b/>
      <w:spacing w:val="-24"/>
      <w:sz w:val="28"/>
    </w:rPr>
  </w:style>
  <w:style w:type="character" w:customStyle="1" w:styleId="300">
    <w:name w:val="副标题 Char2"/>
    <w:qFormat/>
    <w:uiPriority w:val="11"/>
    <w:rPr>
      <w:rFonts w:ascii="Cambria" w:hAnsi="Cambria" w:eastAsia="宋体" w:cs="Times New Roman"/>
      <w:b/>
      <w:bCs/>
      <w:kern w:val="28"/>
      <w:sz w:val="32"/>
      <w:szCs w:val="32"/>
    </w:rPr>
  </w:style>
  <w:style w:type="character" w:customStyle="1" w:styleId="301">
    <w:name w:val="Char Char11"/>
    <w:qFormat/>
    <w:uiPriority w:val="0"/>
    <w:rPr>
      <w:rFonts w:ascii="楷体_GB2312" w:eastAsia="楷体_GB2312"/>
      <w:sz w:val="18"/>
    </w:rPr>
  </w:style>
  <w:style w:type="character" w:customStyle="1" w:styleId="302">
    <w:name w:val="Char Char9"/>
    <w:qFormat/>
    <w:uiPriority w:val="0"/>
    <w:rPr>
      <w:sz w:val="18"/>
      <w:szCs w:val="18"/>
    </w:rPr>
  </w:style>
  <w:style w:type="character" w:customStyle="1" w:styleId="303">
    <w:name w:val="正文文本 3 Char1"/>
    <w:qFormat/>
    <w:uiPriority w:val="99"/>
    <w:rPr>
      <w:kern w:val="2"/>
      <w:sz w:val="16"/>
      <w:szCs w:val="16"/>
    </w:rPr>
  </w:style>
  <w:style w:type="character" w:customStyle="1" w:styleId="304">
    <w:name w:val="标题 1 Char Char"/>
    <w:qFormat/>
    <w:uiPriority w:val="0"/>
    <w:rPr>
      <w:b/>
      <w:kern w:val="44"/>
      <w:sz w:val="44"/>
    </w:rPr>
  </w:style>
  <w:style w:type="character" w:customStyle="1" w:styleId="305">
    <w:name w:val="font11"/>
    <w:qFormat/>
    <w:uiPriority w:val="0"/>
    <w:rPr>
      <w:rFonts w:hint="default" w:ascii="Times New Roman" w:hAnsi="Times New Roman" w:cs="Times New Roman"/>
      <w:color w:val="000000"/>
      <w:sz w:val="24"/>
      <w:szCs w:val="24"/>
      <w:u w:val="none"/>
    </w:rPr>
  </w:style>
  <w:style w:type="character" w:customStyle="1" w:styleId="306">
    <w:name w:val="Char Char13"/>
    <w:qFormat/>
    <w:uiPriority w:val="0"/>
    <w:rPr>
      <w:rFonts w:ascii="宋体"/>
      <w:sz w:val="28"/>
    </w:rPr>
  </w:style>
  <w:style w:type="character" w:customStyle="1" w:styleId="307">
    <w:name w:val="Numerierungszeichen"/>
    <w:qFormat/>
    <w:uiPriority w:val="0"/>
    <w:rPr>
      <w:sz w:val="24"/>
      <w:szCs w:val="24"/>
    </w:rPr>
  </w:style>
  <w:style w:type="character" w:customStyle="1" w:styleId="308">
    <w:name w:val="Char Char121"/>
    <w:qFormat/>
    <w:uiPriority w:val="0"/>
    <w:rPr>
      <w:rFonts w:ascii="Wund" w:hAnsi="Wund" w:eastAsia="宋体" w:cs="Wund"/>
      <w:sz w:val="22"/>
      <w:szCs w:val="22"/>
      <w:lang w:val="de-DE" w:eastAsia="de-DE"/>
    </w:rPr>
  </w:style>
  <w:style w:type="character" w:customStyle="1" w:styleId="309">
    <w:name w:val="HTML 预设格式 Char1"/>
    <w:qFormat/>
    <w:uiPriority w:val="0"/>
    <w:rPr>
      <w:rFonts w:ascii="Courier New" w:hAnsi="Courier New" w:cs="Courier New"/>
      <w:kern w:val="2"/>
    </w:rPr>
  </w:style>
  <w:style w:type="character" w:customStyle="1" w:styleId="310">
    <w:name w:val="WW-Endnotenzeichen"/>
    <w:qFormat/>
    <w:uiPriority w:val="0"/>
    <w:rPr>
      <w:sz w:val="24"/>
      <w:szCs w:val="24"/>
      <w:vertAlign w:val="superscript"/>
    </w:rPr>
  </w:style>
  <w:style w:type="character" w:customStyle="1" w:styleId="311">
    <w:name w:val="Einleitung"/>
    <w:qFormat/>
    <w:uiPriority w:val="0"/>
    <w:rPr>
      <w:b/>
      <w:bCs/>
      <w:i/>
      <w:iCs/>
      <w:sz w:val="24"/>
      <w:szCs w:val="24"/>
    </w:rPr>
  </w:style>
  <w:style w:type="character" w:customStyle="1" w:styleId="312">
    <w:name w:val="Char Char91"/>
    <w:qFormat/>
    <w:uiPriority w:val="0"/>
    <w:rPr>
      <w:sz w:val="18"/>
      <w:szCs w:val="18"/>
    </w:rPr>
  </w:style>
  <w:style w:type="character" w:customStyle="1" w:styleId="313">
    <w:name w:val="Char Char6"/>
    <w:qFormat/>
    <w:uiPriority w:val="0"/>
    <w:rPr>
      <w:shd w:val="clear" w:color="auto" w:fill="000080"/>
    </w:rPr>
  </w:style>
  <w:style w:type="character" w:customStyle="1" w:styleId="314">
    <w:name w:val="日期 Char Char"/>
    <w:qFormat/>
    <w:uiPriority w:val="0"/>
    <w:rPr>
      <w:kern w:val="2"/>
      <w:sz w:val="21"/>
    </w:rPr>
  </w:style>
  <w:style w:type="character" w:customStyle="1" w:styleId="315">
    <w:name w:val="正文文本缩进 3 Char Char"/>
    <w:qFormat/>
    <w:uiPriority w:val="0"/>
    <w:rPr>
      <w:kern w:val="2"/>
      <w:sz w:val="16"/>
    </w:rPr>
  </w:style>
  <w:style w:type="character" w:customStyle="1" w:styleId="316">
    <w:name w:val="页眉 Char2"/>
    <w:qFormat/>
    <w:uiPriority w:val="99"/>
    <w:rPr>
      <w:kern w:val="2"/>
      <w:sz w:val="18"/>
      <w:szCs w:val="18"/>
    </w:rPr>
  </w:style>
  <w:style w:type="character" w:customStyle="1" w:styleId="317">
    <w:name w:val="页脚 Char Char"/>
    <w:qFormat/>
    <w:uiPriority w:val="0"/>
    <w:rPr>
      <w:kern w:val="2"/>
      <w:sz w:val="18"/>
    </w:rPr>
  </w:style>
  <w:style w:type="character" w:customStyle="1" w:styleId="318">
    <w:name w:val="样式 楷体_GB2312"/>
    <w:qFormat/>
    <w:uiPriority w:val="0"/>
    <w:rPr>
      <w:rFonts w:ascii="楷体_GB2312" w:hAnsi="楷体_GB2312" w:eastAsia="楷体_GB2312" w:cs="楷体_GB2312"/>
    </w:rPr>
  </w:style>
  <w:style w:type="character" w:customStyle="1" w:styleId="319">
    <w:name w:val="正文文本 Char Char"/>
    <w:qFormat/>
    <w:uiPriority w:val="0"/>
    <w:rPr>
      <w:kern w:val="2"/>
      <w:sz w:val="21"/>
    </w:rPr>
  </w:style>
  <w:style w:type="character" w:customStyle="1" w:styleId="320">
    <w:name w:val="批注框文本 Char Char"/>
    <w:qFormat/>
    <w:uiPriority w:val="0"/>
    <w:rPr>
      <w:kern w:val="2"/>
      <w:sz w:val="18"/>
    </w:rPr>
  </w:style>
  <w:style w:type="character" w:customStyle="1" w:styleId="321">
    <w:name w:val="标书正文格式 Char Char"/>
    <w:link w:val="322"/>
    <w:qFormat/>
    <w:uiPriority w:val="0"/>
    <w:rPr>
      <w:rFonts w:eastAsia="楷体_GB2312"/>
      <w:sz w:val="24"/>
      <w:szCs w:val="24"/>
    </w:rPr>
  </w:style>
  <w:style w:type="paragraph" w:customStyle="1" w:styleId="322">
    <w:name w:val="标书正文格式"/>
    <w:link w:val="321"/>
    <w:qFormat/>
    <w:uiPriority w:val="0"/>
    <w:pPr>
      <w:spacing w:line="360" w:lineRule="auto"/>
      <w:ind w:firstLine="200" w:firstLineChars="200"/>
    </w:pPr>
    <w:rPr>
      <w:rFonts w:ascii="等线" w:hAnsi="等线" w:eastAsia="楷体_GB2312" w:cs="Times New Roman"/>
      <w:sz w:val="24"/>
      <w:szCs w:val="24"/>
      <w:lang w:val="en-US" w:eastAsia="zh-CN" w:bidi="ar-SA"/>
    </w:rPr>
  </w:style>
  <w:style w:type="character" w:customStyle="1" w:styleId="323">
    <w:name w:val="标题 3 Char1"/>
    <w:qFormat/>
    <w:uiPriority w:val="0"/>
    <w:rPr>
      <w:rFonts w:ascii="仿宋_GB2312" w:eastAsia="仿宋_GB2312"/>
      <w:kern w:val="2"/>
      <w:sz w:val="32"/>
      <w:lang w:val="en-US" w:eastAsia="zh-CN" w:bidi="ar-SA"/>
    </w:rPr>
  </w:style>
  <w:style w:type="character" w:customStyle="1" w:styleId="324">
    <w:name w:val="副标题 Char1"/>
    <w:qFormat/>
    <w:uiPriority w:val="0"/>
    <w:rPr>
      <w:rFonts w:ascii="Cambria" w:hAnsi="Cambria" w:cs="Times New Roman"/>
      <w:b/>
      <w:bCs/>
      <w:kern w:val="28"/>
      <w:sz w:val="32"/>
      <w:szCs w:val="32"/>
    </w:rPr>
  </w:style>
  <w:style w:type="character" w:customStyle="1" w:styleId="325">
    <w:name w:val="Char Char101"/>
    <w:qFormat/>
    <w:uiPriority w:val="0"/>
    <w:rPr>
      <w:rFonts w:ascii="楷体_GB2312" w:eastAsia="楷体_GB2312"/>
      <w:b/>
      <w:spacing w:val="-24"/>
      <w:sz w:val="28"/>
    </w:rPr>
  </w:style>
  <w:style w:type="character" w:customStyle="1" w:styleId="326">
    <w:name w:val="Char Char61"/>
    <w:qFormat/>
    <w:uiPriority w:val="0"/>
    <w:rPr>
      <w:shd w:val="clear" w:color="auto" w:fill="000080"/>
    </w:rPr>
  </w:style>
  <w:style w:type="character" w:customStyle="1" w:styleId="327">
    <w:name w:val="标题 Char Char"/>
    <w:qFormat/>
    <w:uiPriority w:val="0"/>
    <w:rPr>
      <w:rFonts w:ascii="Cambria" w:hAnsi="Cambria"/>
      <w:b/>
      <w:kern w:val="2"/>
      <w:sz w:val="32"/>
    </w:rPr>
  </w:style>
  <w:style w:type="character" w:customStyle="1" w:styleId="328">
    <w:name w:val="p12"/>
    <w:basedOn w:val="57"/>
    <w:qFormat/>
    <w:uiPriority w:val="0"/>
  </w:style>
  <w:style w:type="character" w:customStyle="1" w:styleId="329">
    <w:name w:val="Char Char8"/>
    <w:qFormat/>
    <w:uiPriority w:val="0"/>
    <w:rPr>
      <w:sz w:val="18"/>
      <w:szCs w:val="18"/>
    </w:rPr>
  </w:style>
  <w:style w:type="character" w:customStyle="1" w:styleId="330">
    <w:name w:val="textcontents"/>
    <w:basedOn w:val="57"/>
    <w:qFormat/>
    <w:uiPriority w:val="0"/>
  </w:style>
  <w:style w:type="character" w:customStyle="1" w:styleId="331">
    <w:name w:val="消息标题号"/>
    <w:qFormat/>
    <w:uiPriority w:val="0"/>
    <w:rPr>
      <w:rFonts w:ascii="Arial Black" w:hAnsi="Arial Black" w:eastAsia="黑体"/>
      <w:b/>
      <w:sz w:val="21"/>
      <w:lang w:eastAsia="zh-CN"/>
    </w:rPr>
  </w:style>
  <w:style w:type="character" w:customStyle="1" w:styleId="332">
    <w:name w:val="Body Text Char"/>
    <w:qFormat/>
    <w:uiPriority w:val="0"/>
    <w:rPr>
      <w:rFonts w:ascii="Wund" w:hAnsi="Wund" w:eastAsia="宋体" w:cs="Times New Roman"/>
      <w:sz w:val="22"/>
      <w:lang w:val="de-DE" w:eastAsia="de-DE"/>
    </w:rPr>
  </w:style>
  <w:style w:type="character" w:customStyle="1" w:styleId="333">
    <w:name w:val="WW-Anmerkungszeichen"/>
    <w:qFormat/>
    <w:uiPriority w:val="0"/>
    <w:rPr>
      <w:sz w:val="16"/>
      <w:szCs w:val="16"/>
    </w:rPr>
  </w:style>
  <w:style w:type="character" w:customStyle="1" w:styleId="334">
    <w:name w:val="Hochgestellt"/>
    <w:qFormat/>
    <w:uiPriority w:val="0"/>
    <w:rPr>
      <w:sz w:val="24"/>
      <w:szCs w:val="24"/>
      <w:vertAlign w:val="superscript"/>
    </w:rPr>
  </w:style>
  <w:style w:type="character" w:customStyle="1" w:styleId="335">
    <w:name w:val="称呼 Char2"/>
    <w:qFormat/>
    <w:uiPriority w:val="0"/>
    <w:rPr>
      <w:kern w:val="2"/>
      <w:sz w:val="21"/>
      <w:szCs w:val="24"/>
    </w:rPr>
  </w:style>
  <w:style w:type="character" w:customStyle="1" w:styleId="336">
    <w:name w:val="脚注文本 Char Char"/>
    <w:qFormat/>
    <w:uiPriority w:val="0"/>
    <w:rPr>
      <w:kern w:val="2"/>
      <w:sz w:val="18"/>
    </w:rPr>
  </w:style>
  <w:style w:type="character" w:customStyle="1" w:styleId="337">
    <w:name w:val="WW-Zeilennummer"/>
    <w:qFormat/>
    <w:uiPriority w:val="0"/>
    <w:rPr>
      <w:rFonts w:ascii="Arial" w:hAnsi="Arial" w:cs="Arial"/>
      <w:sz w:val="18"/>
      <w:szCs w:val="18"/>
    </w:rPr>
  </w:style>
  <w:style w:type="character" w:customStyle="1" w:styleId="338">
    <w:name w:val="hl"/>
    <w:qFormat/>
    <w:uiPriority w:val="0"/>
    <w:rPr>
      <w:b/>
      <w:bCs/>
    </w:rPr>
  </w:style>
  <w:style w:type="character" w:customStyle="1" w:styleId="339">
    <w:name w:val="highlight1"/>
    <w:qFormat/>
    <w:uiPriority w:val="0"/>
    <w:rPr>
      <w:sz w:val="28"/>
      <w:szCs w:val="28"/>
    </w:rPr>
  </w:style>
  <w:style w:type="character" w:customStyle="1" w:styleId="340">
    <w:name w:val="不明显强调1"/>
    <w:qFormat/>
    <w:uiPriority w:val="19"/>
    <w:rPr>
      <w:rFonts w:eastAsia="宋体" w:cs="Times New Roman"/>
      <w:i/>
      <w:iCs/>
      <w:color w:val="808080"/>
      <w:szCs w:val="22"/>
      <w:lang w:eastAsia="zh-CN"/>
    </w:rPr>
  </w:style>
  <w:style w:type="character" w:customStyle="1" w:styleId="341">
    <w:name w:val="Char Char111"/>
    <w:qFormat/>
    <w:uiPriority w:val="0"/>
    <w:rPr>
      <w:rFonts w:hint="eastAsia" w:ascii="楷体_GB2312" w:eastAsia="楷体_GB2312"/>
      <w:sz w:val="18"/>
    </w:rPr>
  </w:style>
  <w:style w:type="character" w:customStyle="1" w:styleId="342">
    <w:name w:val="WW-Absatz-Standardschriftart"/>
    <w:qFormat/>
    <w:uiPriority w:val="0"/>
    <w:rPr>
      <w:sz w:val="24"/>
      <w:szCs w:val="24"/>
    </w:rPr>
  </w:style>
  <w:style w:type="character" w:customStyle="1" w:styleId="343">
    <w:name w:val="正文文本缩进 2 Char Char"/>
    <w:qFormat/>
    <w:uiPriority w:val="0"/>
    <w:rPr>
      <w:kern w:val="2"/>
      <w:sz w:val="21"/>
    </w:rPr>
  </w:style>
  <w:style w:type="character" w:customStyle="1" w:styleId="344">
    <w:name w:val="纯文本 Char Char Char1"/>
    <w:qFormat/>
    <w:uiPriority w:val="0"/>
    <w:rPr>
      <w:rFonts w:ascii="宋体" w:hAnsi="Courier New" w:cs="金山简魏碑"/>
      <w:kern w:val="2"/>
      <w:sz w:val="21"/>
      <w:szCs w:val="21"/>
    </w:rPr>
  </w:style>
  <w:style w:type="character" w:customStyle="1" w:styleId="345">
    <w:name w:val="页脚 Char1"/>
    <w:qFormat/>
    <w:uiPriority w:val="99"/>
    <w:rPr>
      <w:kern w:val="2"/>
      <w:sz w:val="18"/>
      <w:szCs w:val="18"/>
    </w:rPr>
  </w:style>
  <w:style w:type="character" w:customStyle="1" w:styleId="346">
    <w:name w:val="Char Char7"/>
    <w:qFormat/>
    <w:uiPriority w:val="0"/>
    <w:rPr>
      <w:rFonts w:ascii="仿宋_GB2312" w:eastAsia="仿宋_GB2312"/>
      <w:sz w:val="28"/>
    </w:rPr>
  </w:style>
  <w:style w:type="character" w:customStyle="1" w:styleId="347">
    <w:name w:val="Char Char12"/>
    <w:qFormat/>
    <w:uiPriority w:val="0"/>
    <w:rPr>
      <w:rFonts w:hint="eastAsia" w:ascii="宋体" w:hAnsi="宋体" w:eastAsia="宋体"/>
      <w:sz w:val="28"/>
    </w:rPr>
  </w:style>
  <w:style w:type="character" w:customStyle="1" w:styleId="348">
    <w:name w:val="Platzhalter"/>
    <w:qFormat/>
    <w:uiPriority w:val="0"/>
    <w:rPr>
      <w:smallCaps/>
      <w:color w:val="008080"/>
      <w:sz w:val="24"/>
      <w:szCs w:val="24"/>
      <w:u w:val="dotted"/>
    </w:rPr>
  </w:style>
  <w:style w:type="character" w:customStyle="1" w:styleId="349">
    <w:name w:val="Char Char14"/>
    <w:qFormat/>
    <w:uiPriority w:val="0"/>
    <w:rPr>
      <w:b/>
      <w:bCs/>
      <w:kern w:val="2"/>
      <w:sz w:val="32"/>
      <w:szCs w:val="32"/>
    </w:rPr>
  </w:style>
  <w:style w:type="character" w:customStyle="1" w:styleId="350">
    <w:name w:val="Char Char15"/>
    <w:qFormat/>
    <w:uiPriority w:val="0"/>
    <w:rPr>
      <w:b/>
      <w:bCs/>
      <w:kern w:val="44"/>
      <w:sz w:val="44"/>
      <w:szCs w:val="44"/>
    </w:rPr>
  </w:style>
  <w:style w:type="character" w:customStyle="1" w:styleId="351">
    <w:name w:val="无间隔 Char"/>
    <w:link w:val="352"/>
    <w:qFormat/>
    <w:uiPriority w:val="1"/>
    <w:rPr>
      <w:rFonts w:ascii="Calibri" w:hAnsi="Calibri"/>
      <w:sz w:val="22"/>
      <w:szCs w:val="22"/>
    </w:rPr>
  </w:style>
  <w:style w:type="paragraph" w:styleId="352">
    <w:name w:val="No Spacing"/>
    <w:link w:val="351"/>
    <w:qFormat/>
    <w:uiPriority w:val="1"/>
    <w:rPr>
      <w:rFonts w:ascii="Calibri" w:hAnsi="Calibri" w:eastAsia="等线" w:cs="Times New Roman"/>
      <w:sz w:val="22"/>
      <w:szCs w:val="22"/>
      <w:lang w:val="en-US" w:eastAsia="zh-CN" w:bidi="ar-SA"/>
    </w:rPr>
  </w:style>
  <w:style w:type="character" w:customStyle="1" w:styleId="353">
    <w:name w:val="Footer Char"/>
    <w:qFormat/>
    <w:uiPriority w:val="0"/>
    <w:rPr>
      <w:rFonts w:ascii="Wund" w:hAnsi="Wund" w:cs="Times New Roman"/>
      <w:sz w:val="22"/>
      <w:lang w:val="de-DE" w:eastAsia="de-DE"/>
    </w:rPr>
  </w:style>
  <w:style w:type="character" w:customStyle="1" w:styleId="354">
    <w:name w:val="Char Char71"/>
    <w:qFormat/>
    <w:uiPriority w:val="0"/>
    <w:rPr>
      <w:rFonts w:hint="eastAsia" w:ascii="仿宋_GB2312" w:eastAsia="仿宋_GB2312"/>
      <w:sz w:val="28"/>
    </w:rPr>
  </w:style>
  <w:style w:type="character" w:customStyle="1" w:styleId="355">
    <w:name w:val="Char Char122"/>
    <w:qFormat/>
    <w:uiPriority w:val="0"/>
    <w:rPr>
      <w:rFonts w:ascii="宋体"/>
      <w:sz w:val="28"/>
    </w:rPr>
  </w:style>
  <w:style w:type="character" w:customStyle="1" w:styleId="356">
    <w:name w:val="标题 6 Char Char"/>
    <w:qFormat/>
    <w:uiPriority w:val="0"/>
    <w:rPr>
      <w:rFonts w:ascii="Cambria" w:hAnsi="Cambria" w:eastAsia="宋体"/>
      <w:b/>
      <w:kern w:val="2"/>
      <w:sz w:val="24"/>
    </w:rPr>
  </w:style>
  <w:style w:type="character" w:customStyle="1" w:styleId="357">
    <w:name w:val="Char Char21"/>
    <w:qFormat/>
    <w:uiPriority w:val="0"/>
    <w:rPr>
      <w:rFonts w:ascii="Wund" w:hAnsi="Wund" w:eastAsia="宋体" w:cs="Wund"/>
      <w:sz w:val="22"/>
      <w:szCs w:val="22"/>
      <w:lang w:val="de-DE" w:eastAsia="de-DE"/>
    </w:rPr>
  </w:style>
  <w:style w:type="character" w:customStyle="1" w:styleId="358">
    <w:name w:val="bar_info2"/>
    <w:basedOn w:val="57"/>
    <w:qFormat/>
    <w:uiPriority w:val="0"/>
  </w:style>
  <w:style w:type="character" w:customStyle="1" w:styleId="359">
    <w:name w:val="标书正文 Char1"/>
    <w:link w:val="360"/>
    <w:qFormat/>
    <w:uiPriority w:val="0"/>
    <w:rPr>
      <w:rFonts w:ascii="宋体" w:hAnsi="宋体"/>
      <w:bCs/>
      <w:sz w:val="24"/>
      <w:szCs w:val="24"/>
    </w:rPr>
  </w:style>
  <w:style w:type="paragraph" w:customStyle="1" w:styleId="360">
    <w:name w:val="标书正文"/>
    <w:basedOn w:val="1"/>
    <w:link w:val="359"/>
    <w:qFormat/>
    <w:uiPriority w:val="0"/>
    <w:pPr>
      <w:tabs>
        <w:tab w:val="left" w:pos="4680"/>
      </w:tabs>
      <w:adjustRightInd w:val="0"/>
      <w:snapToGrid w:val="0"/>
      <w:spacing w:line="360" w:lineRule="auto"/>
      <w:ind w:firstLine="480" w:firstLineChars="200"/>
      <w:jc w:val="left"/>
    </w:pPr>
    <w:rPr>
      <w:rFonts w:ascii="宋体" w:hAnsi="宋体" w:eastAsia="等线"/>
      <w:bCs/>
      <w:kern w:val="0"/>
      <w:sz w:val="24"/>
      <w:szCs w:val="24"/>
    </w:rPr>
  </w:style>
  <w:style w:type="character" w:customStyle="1" w:styleId="361">
    <w:name w:val="Char Char81"/>
    <w:qFormat/>
    <w:uiPriority w:val="0"/>
    <w:rPr>
      <w:sz w:val="18"/>
      <w:szCs w:val="18"/>
    </w:rPr>
  </w:style>
  <w:style w:type="character" w:customStyle="1" w:styleId="362">
    <w:name w:val="标题 4 Char Char"/>
    <w:qFormat/>
    <w:uiPriority w:val="0"/>
    <w:rPr>
      <w:rFonts w:ascii="Cambria" w:hAnsi="Cambria" w:eastAsia="宋体"/>
      <w:b/>
      <w:kern w:val="2"/>
      <w:sz w:val="28"/>
    </w:rPr>
  </w:style>
  <w:style w:type="character" w:customStyle="1" w:styleId="363">
    <w:name w:val="页眉 Char Char"/>
    <w:qFormat/>
    <w:uiPriority w:val="0"/>
    <w:rPr>
      <w:kern w:val="2"/>
      <w:sz w:val="18"/>
    </w:rPr>
  </w:style>
  <w:style w:type="character" w:customStyle="1" w:styleId="364">
    <w:name w:val="z正文 Char Char Char"/>
    <w:link w:val="365"/>
    <w:qFormat/>
    <w:uiPriority w:val="0"/>
    <w:rPr>
      <w:sz w:val="24"/>
    </w:rPr>
  </w:style>
  <w:style w:type="paragraph" w:customStyle="1" w:styleId="365">
    <w:name w:val="z正文 Char"/>
    <w:basedOn w:val="1"/>
    <w:link w:val="364"/>
    <w:qFormat/>
    <w:uiPriority w:val="0"/>
    <w:pPr>
      <w:adjustRightInd w:val="0"/>
      <w:spacing w:line="360" w:lineRule="auto"/>
    </w:pPr>
    <w:rPr>
      <w:rFonts w:ascii="等线" w:hAnsi="等线" w:eastAsia="等线"/>
      <w:kern w:val="0"/>
      <w:sz w:val="24"/>
      <w:szCs w:val="20"/>
    </w:rPr>
  </w:style>
  <w:style w:type="character" w:customStyle="1" w:styleId="366">
    <w:name w:val="正文文本 3 Char Char"/>
    <w:qFormat/>
    <w:uiPriority w:val="0"/>
    <w:rPr>
      <w:kern w:val="2"/>
      <w:sz w:val="16"/>
    </w:rPr>
  </w:style>
  <w:style w:type="character" w:customStyle="1" w:styleId="367">
    <w:name w:val="fontp1"/>
    <w:qFormat/>
    <w:uiPriority w:val="0"/>
    <w:rPr>
      <w:rFonts w:hint="eastAsia" w:ascii="宋体" w:hAnsi="宋体" w:eastAsia="宋体"/>
      <w:sz w:val="18"/>
      <w:szCs w:val="18"/>
    </w:rPr>
  </w:style>
  <w:style w:type="character" w:customStyle="1" w:styleId="368">
    <w:name w:val="font41"/>
    <w:qFormat/>
    <w:uiPriority w:val="0"/>
    <w:rPr>
      <w:rFonts w:hint="eastAsia" w:ascii="宋体" w:hAnsi="宋体" w:eastAsia="宋体" w:cs="宋体"/>
      <w:color w:val="000000"/>
      <w:sz w:val="24"/>
      <w:szCs w:val="24"/>
      <w:u w:val="none"/>
    </w:rPr>
  </w:style>
  <w:style w:type="character" w:customStyle="1" w:styleId="369">
    <w:name w:val="正文文本缩进 Char Char"/>
    <w:qFormat/>
    <w:uiPriority w:val="0"/>
    <w:rPr>
      <w:kern w:val="2"/>
      <w:sz w:val="21"/>
    </w:rPr>
  </w:style>
  <w:style w:type="character" w:customStyle="1" w:styleId="370">
    <w:name w:val="正文首行缩进 Char2"/>
    <w:qFormat/>
    <w:uiPriority w:val="0"/>
    <w:rPr>
      <w:color w:val="000000"/>
      <w:kern w:val="2"/>
      <w:sz w:val="21"/>
      <w:szCs w:val="24"/>
    </w:rPr>
  </w:style>
  <w:style w:type="character" w:customStyle="1" w:styleId="371">
    <w:name w:val="正文文本 2 Char Char"/>
    <w:qFormat/>
    <w:uiPriority w:val="0"/>
    <w:rPr>
      <w:kern w:val="2"/>
      <w:sz w:val="21"/>
    </w:rPr>
  </w:style>
  <w:style w:type="character" w:customStyle="1" w:styleId="372">
    <w:name w:val="标题 9 Char Char"/>
    <w:qFormat/>
    <w:uiPriority w:val="0"/>
    <w:rPr>
      <w:rFonts w:ascii="Cambria" w:hAnsi="Cambria" w:eastAsia="宋体"/>
      <w:kern w:val="2"/>
      <w:sz w:val="21"/>
    </w:rPr>
  </w:style>
  <w:style w:type="character" w:customStyle="1" w:styleId="373">
    <w:name w:val="Char Char141"/>
    <w:qFormat/>
    <w:uiPriority w:val="0"/>
    <w:rPr>
      <w:b/>
      <w:bCs/>
      <w:kern w:val="2"/>
      <w:sz w:val="32"/>
      <w:szCs w:val="32"/>
    </w:rPr>
  </w:style>
  <w:style w:type="character" w:customStyle="1" w:styleId="374">
    <w:name w:val="font01"/>
    <w:qFormat/>
    <w:uiPriority w:val="0"/>
    <w:rPr>
      <w:rFonts w:hint="default" w:ascii="Times New Roman" w:hAnsi="Times New Roman" w:cs="Times New Roman"/>
      <w:color w:val="000000"/>
      <w:sz w:val="24"/>
      <w:szCs w:val="24"/>
      <w:u w:val="none"/>
      <w:vertAlign w:val="subscript"/>
    </w:rPr>
  </w:style>
  <w:style w:type="character" w:customStyle="1" w:styleId="375">
    <w:name w:val="HTML 预设格式 Char Char"/>
    <w:qFormat/>
    <w:uiPriority w:val="0"/>
    <w:rPr>
      <w:rFonts w:ascii="Courier New" w:hAnsi="Courier New"/>
      <w:kern w:val="2"/>
    </w:rPr>
  </w:style>
  <w:style w:type="character" w:customStyle="1" w:styleId="376">
    <w:name w:val="Char Char151"/>
    <w:qFormat/>
    <w:uiPriority w:val="0"/>
    <w:rPr>
      <w:b/>
      <w:bCs/>
      <w:kern w:val="44"/>
      <w:sz w:val="44"/>
      <w:szCs w:val="44"/>
    </w:rPr>
  </w:style>
  <w:style w:type="character" w:customStyle="1" w:styleId="377">
    <w:name w:val="apple-style-span"/>
    <w:basedOn w:val="57"/>
    <w:qFormat/>
    <w:uiPriority w:val="0"/>
  </w:style>
  <w:style w:type="character" w:customStyle="1" w:styleId="378">
    <w:name w:val="st1"/>
    <w:basedOn w:val="57"/>
    <w:qFormat/>
    <w:uiPriority w:val="0"/>
  </w:style>
  <w:style w:type="character" w:customStyle="1" w:styleId="379">
    <w:name w:val="批注文字 Char Char"/>
    <w:qFormat/>
    <w:uiPriority w:val="0"/>
    <w:rPr>
      <w:kern w:val="2"/>
      <w:sz w:val="21"/>
    </w:rPr>
  </w:style>
  <w:style w:type="character" w:customStyle="1" w:styleId="380">
    <w:name w:val="Header Char"/>
    <w:qFormat/>
    <w:uiPriority w:val="0"/>
    <w:rPr>
      <w:rFonts w:eastAsia="宋体"/>
      <w:kern w:val="2"/>
      <w:sz w:val="18"/>
      <w:szCs w:val="18"/>
      <w:lang w:val="en-US" w:eastAsia="zh-CN" w:bidi="ar-SA"/>
    </w:rPr>
  </w:style>
  <w:style w:type="character" w:customStyle="1" w:styleId="381">
    <w:name w:val="正文文本缩进 Char Char Char"/>
    <w:qFormat/>
    <w:uiPriority w:val="0"/>
    <w:rPr>
      <w:rFonts w:ascii="宋体" w:eastAsia="宋体"/>
      <w:sz w:val="28"/>
      <w:lang w:val="en-US" w:eastAsia="zh-CN" w:bidi="ar-SA"/>
    </w:rPr>
  </w:style>
  <w:style w:type="character" w:customStyle="1" w:styleId="382">
    <w:name w:val="标题 8 Char Char"/>
    <w:qFormat/>
    <w:uiPriority w:val="0"/>
    <w:rPr>
      <w:rFonts w:ascii="Cambria" w:hAnsi="Cambria" w:eastAsia="宋体"/>
      <w:kern w:val="2"/>
      <w:sz w:val="24"/>
    </w:rPr>
  </w:style>
  <w:style w:type="character" w:customStyle="1" w:styleId="383">
    <w:name w:val="标题 7 Char Char"/>
    <w:qFormat/>
    <w:uiPriority w:val="0"/>
    <w:rPr>
      <w:b/>
      <w:kern w:val="2"/>
      <w:sz w:val="24"/>
    </w:rPr>
  </w:style>
  <w:style w:type="character" w:customStyle="1" w:styleId="384">
    <w:name w:val="Char Char131"/>
    <w:qFormat/>
    <w:uiPriority w:val="0"/>
    <w:rPr>
      <w:rFonts w:hint="eastAsia" w:ascii="宋体" w:hAnsi="宋体" w:eastAsia="宋体"/>
      <w:sz w:val="28"/>
    </w:rPr>
  </w:style>
  <w:style w:type="character" w:customStyle="1" w:styleId="385">
    <w:name w:val="标题 2 Char Char"/>
    <w:qFormat/>
    <w:uiPriority w:val="0"/>
    <w:rPr>
      <w:rFonts w:ascii="Wund" w:hAnsi="Wund" w:eastAsia="宋体" w:cs="Wund"/>
      <w:sz w:val="28"/>
      <w:szCs w:val="28"/>
      <w:lang w:val="en-US" w:eastAsia="de-DE"/>
    </w:rPr>
  </w:style>
  <w:style w:type="character" w:customStyle="1" w:styleId="386">
    <w:name w:val="正文文本缩进 3 Char1"/>
    <w:qFormat/>
    <w:uiPriority w:val="99"/>
    <w:rPr>
      <w:kern w:val="2"/>
      <w:sz w:val="16"/>
      <w:szCs w:val="16"/>
    </w:rPr>
  </w:style>
  <w:style w:type="character" w:customStyle="1" w:styleId="387">
    <w:name w:val="t11"/>
    <w:qFormat/>
    <w:uiPriority w:val="0"/>
    <w:rPr>
      <w:spacing w:val="300"/>
      <w:sz w:val="18"/>
      <w:szCs w:val="18"/>
    </w:rPr>
  </w:style>
  <w:style w:type="paragraph" w:customStyle="1" w:styleId="388">
    <w:name w:val="WW-Listenfortsetzung 4"/>
    <w:basedOn w:val="389"/>
    <w:qFormat/>
    <w:uiPriority w:val="0"/>
    <w:pPr>
      <w:tabs>
        <w:tab w:val="left" w:pos="720"/>
      </w:tabs>
      <w:ind w:left="1800"/>
    </w:pPr>
  </w:style>
  <w:style w:type="paragraph" w:customStyle="1" w:styleId="389">
    <w:name w:val="WW-Listenfortsetzung"/>
    <w:basedOn w:val="18"/>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390">
    <w:name w:val="CM8"/>
    <w:basedOn w:val="274"/>
    <w:next w:val="274"/>
    <w:qFormat/>
    <w:uiPriority w:val="0"/>
    <w:pPr>
      <w:spacing w:line="246" w:lineRule="atLeast"/>
    </w:pPr>
    <w:rPr>
      <w:rFonts w:ascii="宋体" w:eastAsia="宋体" w:cs="宋体"/>
      <w:color w:val="auto"/>
    </w:rPr>
  </w:style>
  <w:style w:type="paragraph" w:customStyle="1" w:styleId="391">
    <w:name w:val="Zu Händen von"/>
    <w:basedOn w:val="24"/>
    <w:qFormat/>
    <w:uiPriority w:val="0"/>
    <w:pPr>
      <w:suppressAutoHyphens/>
      <w:overflowPunct w:val="0"/>
      <w:autoSpaceDE w:val="0"/>
      <w:autoSpaceDN w:val="0"/>
      <w:adjustRightInd w:val="0"/>
      <w:spacing w:line="340" w:lineRule="atLeast"/>
      <w:textAlignment w:val="baseline"/>
    </w:pPr>
    <w:rPr>
      <w:rFonts w:ascii="Arial Narrow" w:hAnsi="Arial Narrow" w:cs="Arial Narrow"/>
      <w:b/>
      <w:bCs/>
      <w:i/>
      <w:iCs/>
      <w:kern w:val="0"/>
      <w:sz w:val="22"/>
      <w:szCs w:val="22"/>
      <w:lang w:val="de-DE" w:eastAsia="de-DE"/>
    </w:rPr>
  </w:style>
  <w:style w:type="paragraph" w:customStyle="1" w:styleId="3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93">
    <w:name w:val="Fußzeile Erste"/>
    <w:basedOn w:val="37"/>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center"/>
      <w:textAlignment w:val="baseline"/>
    </w:pPr>
    <w:rPr>
      <w:rFonts w:ascii="Wund" w:hAnsi="Wund"/>
      <w:kern w:val="0"/>
      <w:lang w:val="de-DE" w:eastAsia="de-DE"/>
    </w:rPr>
  </w:style>
  <w:style w:type="paragraph" w:customStyle="1" w:styleId="394">
    <w:name w:val="Bildunterschrift HW"/>
    <w:basedOn w:val="24"/>
    <w:qFormat/>
    <w:uiPriority w:val="0"/>
    <w:pPr>
      <w:suppressAutoHyphens/>
      <w:overflowPunct w:val="0"/>
      <w:autoSpaceDE w:val="0"/>
      <w:autoSpaceDN w:val="0"/>
      <w:adjustRightInd w:val="0"/>
      <w:spacing w:before="120" w:after="360" w:line="340" w:lineRule="atLeast"/>
      <w:jc w:val="center"/>
      <w:textAlignment w:val="baseline"/>
    </w:pPr>
    <w:rPr>
      <w:rFonts w:ascii="Arial Narrow" w:hAnsi="Arial Narrow" w:cs="Arial Narrow"/>
      <w:i/>
      <w:iCs/>
      <w:kern w:val="0"/>
      <w:sz w:val="22"/>
      <w:szCs w:val="22"/>
      <w:lang w:val="de-DE" w:eastAsia="de-DE"/>
    </w:rPr>
  </w:style>
  <w:style w:type="paragraph" w:customStyle="1" w:styleId="395">
    <w:name w:val="CM141"/>
    <w:basedOn w:val="274"/>
    <w:next w:val="274"/>
    <w:qFormat/>
    <w:uiPriority w:val="0"/>
    <w:pPr>
      <w:spacing w:after="67"/>
    </w:pPr>
    <w:rPr>
      <w:rFonts w:ascii="宋体" w:eastAsia="宋体" w:cs="宋体"/>
      <w:color w:val="auto"/>
    </w:rPr>
  </w:style>
  <w:style w:type="paragraph" w:customStyle="1" w:styleId="396">
    <w:name w:val="CM3"/>
    <w:basedOn w:val="274"/>
    <w:next w:val="274"/>
    <w:qFormat/>
    <w:uiPriority w:val="0"/>
    <w:pPr>
      <w:spacing w:line="500" w:lineRule="atLeast"/>
    </w:pPr>
    <w:rPr>
      <w:rFonts w:ascii="宋体" w:eastAsia="宋体" w:cs="宋体"/>
      <w:color w:val="auto"/>
    </w:rPr>
  </w:style>
  <w:style w:type="paragraph" w:customStyle="1" w:styleId="397">
    <w:name w:val="p0"/>
    <w:basedOn w:val="1"/>
    <w:qFormat/>
    <w:uiPriority w:val="0"/>
    <w:pPr>
      <w:widowControl/>
    </w:pPr>
    <w:rPr>
      <w:rFonts w:ascii="宋体" w:hAnsi="宋体" w:cs="宋体"/>
      <w:kern w:val="0"/>
      <w:sz w:val="24"/>
      <w:szCs w:val="24"/>
    </w:rPr>
  </w:style>
  <w:style w:type="paragraph" w:customStyle="1" w:styleId="398">
    <w:name w:val="CM47"/>
    <w:basedOn w:val="274"/>
    <w:next w:val="274"/>
    <w:qFormat/>
    <w:uiPriority w:val="0"/>
    <w:pPr>
      <w:spacing w:line="440" w:lineRule="atLeast"/>
    </w:pPr>
    <w:rPr>
      <w:rFonts w:ascii="宋体" w:eastAsia="宋体" w:cs="宋体"/>
      <w:color w:val="auto"/>
    </w:rPr>
  </w:style>
  <w:style w:type="paragraph" w:customStyle="1" w:styleId="399">
    <w:name w:val="WW-Verzeichnis 9"/>
    <w:basedOn w:val="1"/>
    <w:qFormat/>
    <w:uiPriority w:val="0"/>
    <w:pPr>
      <w:widowControl/>
      <w:tabs>
        <w:tab w:val="right" w:leader="dot" w:pos="9072"/>
      </w:tabs>
      <w:overflowPunct w:val="0"/>
      <w:autoSpaceDE w:val="0"/>
      <w:autoSpaceDN w:val="0"/>
      <w:adjustRightInd w:val="0"/>
      <w:spacing w:after="120" w:line="360" w:lineRule="auto"/>
      <w:ind w:left="1680"/>
      <w:jc w:val="left"/>
      <w:textAlignment w:val="baseline"/>
    </w:pPr>
    <w:rPr>
      <w:rFonts w:ascii="Times New Roman" w:hAnsi="Times New Roman"/>
      <w:kern w:val="0"/>
      <w:sz w:val="18"/>
      <w:szCs w:val="18"/>
      <w:lang w:val="de-DE" w:eastAsia="de-DE"/>
    </w:rPr>
  </w:style>
  <w:style w:type="paragraph" w:customStyle="1" w:styleId="400">
    <w:name w:val="kopf-wörner"/>
    <w:basedOn w:val="1"/>
    <w:qFormat/>
    <w:uiPriority w:val="0"/>
    <w:pPr>
      <w:widowControl/>
      <w:tabs>
        <w:tab w:val="center" w:pos="8080"/>
      </w:tabs>
      <w:overflowPunct w:val="0"/>
      <w:autoSpaceDE w:val="0"/>
      <w:autoSpaceDN w:val="0"/>
      <w:adjustRightInd w:val="0"/>
      <w:spacing w:after="120"/>
      <w:textAlignment w:val="baseline"/>
    </w:pPr>
    <w:rPr>
      <w:rFonts w:ascii="Wund" w:hAnsi="Wund" w:cs="Wund"/>
      <w:b/>
      <w:bCs/>
      <w:i/>
      <w:iCs/>
      <w:kern w:val="0"/>
      <w:sz w:val="18"/>
      <w:szCs w:val="18"/>
      <w:lang w:val="de-DE" w:eastAsia="de-DE"/>
    </w:rPr>
  </w:style>
  <w:style w:type="paragraph" w:customStyle="1" w:styleId="401">
    <w:name w:val="CM80"/>
    <w:basedOn w:val="274"/>
    <w:next w:val="274"/>
    <w:qFormat/>
    <w:uiPriority w:val="0"/>
    <w:pPr>
      <w:spacing w:line="440" w:lineRule="atLeast"/>
    </w:pPr>
    <w:rPr>
      <w:rFonts w:ascii="宋体" w:eastAsia="宋体" w:cs="宋体"/>
      <w:color w:val="auto"/>
    </w:rPr>
  </w:style>
  <w:style w:type="paragraph" w:customStyle="1" w:styleId="402">
    <w:name w:val="CM77"/>
    <w:basedOn w:val="274"/>
    <w:next w:val="274"/>
    <w:qFormat/>
    <w:uiPriority w:val="0"/>
    <w:pPr>
      <w:spacing w:line="400" w:lineRule="atLeast"/>
    </w:pPr>
    <w:rPr>
      <w:rFonts w:ascii="宋体" w:eastAsia="宋体" w:cs="宋体"/>
      <w:color w:val="auto"/>
    </w:rPr>
  </w:style>
  <w:style w:type="paragraph" w:customStyle="1" w:styleId="403">
    <w:name w:val="Textkörper Einzug negativ"/>
    <w:basedOn w:val="24"/>
    <w:qFormat/>
    <w:uiPriority w:val="0"/>
    <w:pPr>
      <w:tabs>
        <w:tab w:val="left" w:pos="360"/>
      </w:tabs>
      <w:suppressAutoHyphens/>
      <w:overflowPunct w:val="0"/>
      <w:autoSpaceDE w:val="0"/>
      <w:autoSpaceDN w:val="0"/>
      <w:adjustRightInd w:val="0"/>
      <w:spacing w:line="340" w:lineRule="atLeast"/>
      <w:ind w:left="360"/>
      <w:textAlignment w:val="baseline"/>
    </w:pPr>
    <w:rPr>
      <w:rFonts w:ascii="Arial Narrow" w:hAnsi="Arial Narrow" w:cs="Arial Narrow"/>
      <w:kern w:val="0"/>
      <w:sz w:val="22"/>
      <w:szCs w:val="22"/>
      <w:lang w:val="de-DE" w:eastAsia="de-DE"/>
    </w:rPr>
  </w:style>
  <w:style w:type="paragraph" w:customStyle="1" w:styleId="404">
    <w:name w:val="Blockzitat Ende"/>
    <w:basedOn w:val="405"/>
    <w:next w:val="24"/>
    <w:qFormat/>
    <w:uiPriority w:val="0"/>
    <w:pPr>
      <w:spacing w:after="240"/>
    </w:pPr>
  </w:style>
  <w:style w:type="paragraph" w:customStyle="1" w:styleId="405">
    <w:name w:val="Blockzitat"/>
    <w:basedOn w:val="24"/>
    <w:qFormat/>
    <w:uiPriority w:val="0"/>
    <w:pPr>
      <w:keepLines/>
      <w:suppressAutoHyphens/>
      <w:overflowPunct w:val="0"/>
      <w:autoSpaceDE w:val="0"/>
      <w:autoSpaceDN w:val="0"/>
      <w:adjustRightInd w:val="0"/>
      <w:spacing w:line="340" w:lineRule="atLeast"/>
      <w:ind w:left="720" w:right="720"/>
      <w:textAlignment w:val="baseline"/>
    </w:pPr>
    <w:rPr>
      <w:rFonts w:ascii="Arial Narrow" w:hAnsi="Arial Narrow" w:cs="Arial Narrow"/>
      <w:i/>
      <w:iCs/>
      <w:kern w:val="0"/>
      <w:sz w:val="22"/>
      <w:szCs w:val="22"/>
      <w:lang w:val="de-DE" w:eastAsia="de-DE"/>
    </w:rPr>
  </w:style>
  <w:style w:type="paragraph" w:customStyle="1" w:styleId="406">
    <w:name w:val="CM93"/>
    <w:basedOn w:val="274"/>
    <w:next w:val="274"/>
    <w:qFormat/>
    <w:uiPriority w:val="0"/>
    <w:pPr>
      <w:spacing w:after="628"/>
    </w:pPr>
    <w:rPr>
      <w:rFonts w:ascii="宋体" w:eastAsia="宋体" w:cs="宋体"/>
      <w:color w:val="auto"/>
    </w:rPr>
  </w:style>
  <w:style w:type="paragraph" w:customStyle="1" w:styleId="407">
    <w:name w:val="Char Char Char Char Char Char Char1"/>
    <w:basedOn w:val="1"/>
    <w:qFormat/>
    <w:uiPriority w:val="0"/>
    <w:rPr>
      <w:rFonts w:ascii="Times New Roman" w:hAnsi="Times New Roman"/>
      <w:szCs w:val="24"/>
    </w:rPr>
  </w:style>
  <w:style w:type="paragraph" w:customStyle="1" w:styleId="408">
    <w:name w:val="Stichwortverzeichnis Überschrift"/>
    <w:basedOn w:val="1"/>
    <w:next w:val="52"/>
    <w:qFormat/>
    <w:uiPriority w:val="0"/>
    <w:pPr>
      <w:widowControl/>
      <w:overflowPunct w:val="0"/>
      <w:autoSpaceDE w:val="0"/>
      <w:autoSpaceDN w:val="0"/>
      <w:adjustRightInd w:val="0"/>
      <w:spacing w:before="240" w:after="120" w:line="360" w:lineRule="auto"/>
      <w:textAlignment w:val="baseline"/>
    </w:pPr>
    <w:rPr>
      <w:rFonts w:ascii="Arial" w:hAnsi="Arial" w:cs="Arial"/>
      <w:b/>
      <w:bCs/>
      <w:kern w:val="0"/>
      <w:sz w:val="28"/>
      <w:szCs w:val="28"/>
      <w:lang w:val="de-DE" w:eastAsia="de-DE"/>
    </w:rPr>
  </w:style>
  <w:style w:type="paragraph" w:customStyle="1" w:styleId="409">
    <w:name w:val="章标题"/>
    <w:next w:val="410"/>
    <w:qFormat/>
    <w:uiPriority w:val="0"/>
    <w:pPr>
      <w:tabs>
        <w:tab w:val="left" w:pos="840"/>
      </w:tabs>
      <w:spacing w:beforeLines="50"/>
      <w:jc w:val="both"/>
      <w:outlineLvl w:val="1"/>
    </w:pPr>
    <w:rPr>
      <w:rFonts w:ascii="黑体" w:hAnsi="Times New Roman" w:eastAsia="黑体" w:cs="Times New Roman"/>
      <w:sz w:val="21"/>
      <w:lang w:val="en-US" w:eastAsia="zh-CN" w:bidi="ar-SA"/>
    </w:rPr>
  </w:style>
  <w:style w:type="paragraph" w:customStyle="1" w:styleId="4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1">
    <w:name w:val="Zchn Zchn2"/>
    <w:basedOn w:val="19"/>
    <w:qFormat/>
    <w:uiPriority w:val="0"/>
    <w:rPr>
      <w:rFonts w:ascii="Calibri" w:hAnsi="Calibri"/>
      <w:kern w:val="0"/>
      <w:sz w:val="16"/>
      <w:szCs w:val="16"/>
      <w:lang w:val="de-DE" w:eastAsia="de-DE"/>
    </w:rPr>
  </w:style>
  <w:style w:type="paragraph" w:customStyle="1" w:styleId="412">
    <w:name w:val="CM99"/>
    <w:basedOn w:val="274"/>
    <w:next w:val="274"/>
    <w:qFormat/>
    <w:uiPriority w:val="0"/>
    <w:pPr>
      <w:spacing w:after="443"/>
    </w:pPr>
    <w:rPr>
      <w:rFonts w:ascii="宋体" w:eastAsia="宋体" w:cs="宋体"/>
      <w:color w:val="auto"/>
    </w:rPr>
  </w:style>
  <w:style w:type="paragraph" w:customStyle="1" w:styleId="413">
    <w:name w:val="CM89"/>
    <w:basedOn w:val="274"/>
    <w:next w:val="274"/>
    <w:qFormat/>
    <w:uiPriority w:val="0"/>
    <w:pPr>
      <w:spacing w:line="440" w:lineRule="atLeast"/>
    </w:pPr>
    <w:rPr>
      <w:rFonts w:ascii="宋体" w:eastAsia="宋体" w:cs="宋体"/>
      <w:color w:val="auto"/>
    </w:rPr>
  </w:style>
  <w:style w:type="paragraph" w:customStyle="1" w:styleId="414">
    <w:name w:val="2"/>
    <w:basedOn w:val="1"/>
    <w:next w:val="49"/>
    <w:qFormat/>
    <w:uiPriority w:val="0"/>
    <w:pPr>
      <w:spacing w:afterLines="50" w:line="300" w:lineRule="auto"/>
    </w:pPr>
    <w:rPr>
      <w:rFonts w:ascii="Arial" w:hAnsi="Arial" w:cs="Arial"/>
      <w:sz w:val="24"/>
      <w:szCs w:val="24"/>
    </w:rPr>
  </w:style>
  <w:style w:type="paragraph" w:customStyle="1" w:styleId="415">
    <w:name w:val="CM72"/>
    <w:basedOn w:val="274"/>
    <w:next w:val="274"/>
    <w:qFormat/>
    <w:uiPriority w:val="0"/>
    <w:rPr>
      <w:rFonts w:ascii="宋体" w:eastAsia="宋体" w:cs="宋体"/>
      <w:color w:val="auto"/>
    </w:rPr>
  </w:style>
  <w:style w:type="paragraph" w:customStyle="1" w:styleId="416">
    <w:name w:val="CM57"/>
    <w:basedOn w:val="274"/>
    <w:next w:val="274"/>
    <w:qFormat/>
    <w:uiPriority w:val="0"/>
    <w:pPr>
      <w:spacing w:line="400" w:lineRule="atLeast"/>
    </w:pPr>
    <w:rPr>
      <w:rFonts w:ascii="宋体" w:eastAsia="宋体" w:cs="宋体"/>
      <w:color w:val="auto"/>
    </w:rPr>
  </w:style>
  <w:style w:type="paragraph" w:customStyle="1" w:styleId="417">
    <w:name w:val="WW-Überschrift 9"/>
    <w:basedOn w:val="1"/>
    <w:next w:val="24"/>
    <w:qFormat/>
    <w:uiPriority w:val="0"/>
    <w:pPr>
      <w:widowControl/>
      <w:overflowPunct w:val="0"/>
      <w:autoSpaceDE w:val="0"/>
      <w:autoSpaceDN w:val="0"/>
      <w:adjustRightInd w:val="0"/>
      <w:spacing w:before="80" w:after="60" w:line="360" w:lineRule="auto"/>
      <w:ind w:left="6372" w:hanging="708"/>
      <w:textAlignment w:val="baseline"/>
    </w:pPr>
    <w:rPr>
      <w:rFonts w:ascii="Wund" w:hAnsi="Wund" w:cs="Wund"/>
      <w:b/>
      <w:bCs/>
      <w:i/>
      <w:iCs/>
      <w:kern w:val="0"/>
      <w:sz w:val="22"/>
      <w:lang w:val="de-DE" w:eastAsia="de-DE"/>
    </w:rPr>
  </w:style>
  <w:style w:type="paragraph" w:customStyle="1" w:styleId="418">
    <w:name w:val="WW-Überschrift 8"/>
    <w:basedOn w:val="1"/>
    <w:next w:val="24"/>
    <w:qFormat/>
    <w:uiPriority w:val="0"/>
    <w:pPr>
      <w:widowControl/>
      <w:overflowPunct w:val="0"/>
      <w:autoSpaceDE w:val="0"/>
      <w:autoSpaceDN w:val="0"/>
      <w:adjustRightInd w:val="0"/>
      <w:spacing w:before="80" w:after="60" w:line="360" w:lineRule="auto"/>
      <w:ind w:left="5664" w:hanging="708"/>
      <w:textAlignment w:val="baseline"/>
    </w:pPr>
    <w:rPr>
      <w:rFonts w:ascii="Wund" w:hAnsi="Wund" w:cs="Wund"/>
      <w:b/>
      <w:bCs/>
      <w:i/>
      <w:iCs/>
      <w:kern w:val="0"/>
      <w:sz w:val="22"/>
      <w:lang w:val="de-DE" w:eastAsia="de-DE"/>
    </w:rPr>
  </w:style>
  <w:style w:type="paragraph" w:customStyle="1" w:styleId="419">
    <w:name w:val="Kopfzeile recht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20">
    <w:name w:val="Kapitelunterüberschrift"/>
    <w:basedOn w:val="1"/>
    <w:next w:val="24"/>
    <w:qFormat/>
    <w:uiPriority w:val="0"/>
    <w:pPr>
      <w:keepLines/>
      <w:widowControl/>
      <w:overflowPunct w:val="0"/>
      <w:autoSpaceDE w:val="0"/>
      <w:autoSpaceDN w:val="0"/>
      <w:adjustRightInd w:val="0"/>
      <w:spacing w:before="360" w:after="360" w:line="360" w:lineRule="auto"/>
      <w:jc w:val="center"/>
      <w:textAlignment w:val="baseline"/>
    </w:pPr>
    <w:rPr>
      <w:rFonts w:ascii="Arial" w:hAnsi="Arial" w:cs="Arial"/>
      <w:i/>
      <w:iCs/>
      <w:kern w:val="0"/>
      <w:sz w:val="28"/>
      <w:szCs w:val="28"/>
      <w:lang w:val="de-DE" w:eastAsia="de-DE"/>
    </w:rPr>
  </w:style>
  <w:style w:type="paragraph" w:customStyle="1" w:styleId="421">
    <w:name w:val="Basis-Fußnote"/>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22">
    <w:name w:val="CM94"/>
    <w:basedOn w:val="274"/>
    <w:next w:val="274"/>
    <w:qFormat/>
    <w:uiPriority w:val="0"/>
    <w:pPr>
      <w:spacing w:after="63"/>
    </w:pPr>
    <w:rPr>
      <w:rFonts w:ascii="宋体" w:eastAsia="宋体" w:cs="宋体"/>
      <w:color w:val="auto"/>
    </w:rPr>
  </w:style>
  <w:style w:type="paragraph" w:customStyle="1" w:styleId="423">
    <w:name w:val="WW-Listenfortsetzung 5"/>
    <w:basedOn w:val="389"/>
    <w:qFormat/>
    <w:uiPriority w:val="0"/>
    <w:pPr>
      <w:ind w:left="2160"/>
    </w:pPr>
  </w:style>
  <w:style w:type="paragraph" w:customStyle="1" w:styleId="424">
    <w:name w:val="CM32"/>
    <w:basedOn w:val="274"/>
    <w:next w:val="274"/>
    <w:qFormat/>
    <w:uiPriority w:val="0"/>
    <w:pPr>
      <w:spacing w:after="383"/>
    </w:pPr>
    <w:rPr>
      <w:rFonts w:ascii="Century Gothic" w:hAnsi="Century Gothic" w:eastAsia="宋体" w:cs="Century Gothic"/>
      <w:color w:val="auto"/>
    </w:rPr>
  </w:style>
  <w:style w:type="paragraph" w:customStyle="1" w:styleId="425">
    <w:name w:val="CM96"/>
    <w:basedOn w:val="274"/>
    <w:next w:val="274"/>
    <w:qFormat/>
    <w:uiPriority w:val="0"/>
    <w:pPr>
      <w:spacing w:after="298"/>
    </w:pPr>
    <w:rPr>
      <w:rFonts w:ascii="宋体" w:eastAsia="宋体" w:cs="宋体"/>
      <w:color w:val="auto"/>
    </w:rPr>
  </w:style>
  <w:style w:type="paragraph" w:customStyle="1" w:styleId="426">
    <w:name w:val="font10"/>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427">
    <w:name w:val="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28">
    <w:name w:val="Char1 Char Char Char Char Char1 Char"/>
    <w:basedOn w:val="1"/>
    <w:qFormat/>
    <w:uiPriority w:val="0"/>
    <w:pPr>
      <w:spacing w:line="360" w:lineRule="auto"/>
      <w:jc w:val="left"/>
    </w:pPr>
    <w:rPr>
      <w:rFonts w:ascii="Times New Roman" w:hAnsi="Times New Roman" w:eastAsia="仿宋_GB2312"/>
      <w:b/>
      <w:bCs/>
      <w:sz w:val="32"/>
      <w:szCs w:val="32"/>
    </w:rPr>
  </w:style>
  <w:style w:type="paragraph" w:customStyle="1" w:styleId="429">
    <w:name w:val="CM49"/>
    <w:basedOn w:val="274"/>
    <w:next w:val="274"/>
    <w:qFormat/>
    <w:uiPriority w:val="0"/>
    <w:pPr>
      <w:spacing w:line="440" w:lineRule="atLeast"/>
    </w:pPr>
    <w:rPr>
      <w:rFonts w:ascii="宋体" w:eastAsia="宋体" w:cs="宋体"/>
      <w:color w:val="auto"/>
    </w:rPr>
  </w:style>
  <w:style w:type="paragraph" w:customStyle="1" w:styleId="430">
    <w:name w:val="CM1"/>
    <w:basedOn w:val="274"/>
    <w:next w:val="274"/>
    <w:qFormat/>
    <w:uiPriority w:val="0"/>
    <w:rPr>
      <w:rFonts w:ascii="宋体" w:eastAsia="宋体" w:cs="宋体"/>
      <w:color w:val="auto"/>
    </w:rPr>
  </w:style>
  <w:style w:type="paragraph" w:customStyle="1" w:styleId="431">
    <w:name w:val="WW-Listennummer 3"/>
    <w:basedOn w:val="432"/>
    <w:qFormat/>
    <w:uiPriority w:val="0"/>
    <w:pPr>
      <w:tabs>
        <w:tab w:val="left" w:pos="720"/>
      </w:tabs>
      <w:ind w:left="1440"/>
    </w:pPr>
  </w:style>
  <w:style w:type="paragraph" w:customStyle="1" w:styleId="432">
    <w:name w:val="WW-Listennummer"/>
    <w:basedOn w:val="18"/>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33">
    <w:name w:val="CM6"/>
    <w:basedOn w:val="274"/>
    <w:next w:val="274"/>
    <w:qFormat/>
    <w:uiPriority w:val="0"/>
    <w:pPr>
      <w:spacing w:line="318" w:lineRule="atLeast"/>
    </w:pPr>
    <w:rPr>
      <w:rFonts w:ascii="宋体" w:eastAsia="宋体" w:cs="宋体"/>
      <w:color w:val="auto"/>
    </w:rPr>
  </w:style>
  <w:style w:type="paragraph" w:customStyle="1" w:styleId="434">
    <w:name w:val="p16"/>
    <w:basedOn w:val="1"/>
    <w:qFormat/>
    <w:uiPriority w:val="0"/>
    <w:pPr>
      <w:widowControl/>
      <w:spacing w:line="420" w:lineRule="atLeast"/>
      <w:ind w:firstLine="525"/>
    </w:pPr>
    <w:rPr>
      <w:rFonts w:ascii="宋体" w:hAnsi="宋体" w:cs="宋体"/>
      <w:kern w:val="0"/>
      <w:szCs w:val="21"/>
    </w:rPr>
  </w:style>
  <w:style w:type="paragraph" w:customStyle="1" w:styleId="435">
    <w:name w:val="CM25"/>
    <w:basedOn w:val="274"/>
    <w:next w:val="274"/>
    <w:qFormat/>
    <w:uiPriority w:val="0"/>
    <w:pPr>
      <w:spacing w:line="440" w:lineRule="atLeast"/>
    </w:pPr>
    <w:rPr>
      <w:rFonts w:ascii="宋体" w:eastAsia="宋体" w:cs="宋体"/>
      <w:color w:val="auto"/>
    </w:rPr>
  </w:style>
  <w:style w:type="paragraph" w:customStyle="1" w:styleId="436">
    <w:name w:val="Aufzählung 1 Fortsetzung"/>
    <w:basedOn w:val="18"/>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437">
    <w:name w:val="Adresse"/>
    <w:basedOn w:val="1"/>
    <w:qFormat/>
    <w:uiPriority w:val="0"/>
    <w:pPr>
      <w:widowControl/>
      <w:overflowPunct w:val="0"/>
      <w:autoSpaceDE w:val="0"/>
      <w:autoSpaceDN w:val="0"/>
      <w:adjustRightInd w:val="0"/>
      <w:spacing w:after="120"/>
      <w:jc w:val="left"/>
      <w:textAlignment w:val="baseline"/>
    </w:pPr>
    <w:rPr>
      <w:rFonts w:ascii="Wund" w:hAnsi="Wund" w:cs="Wund"/>
      <w:kern w:val="0"/>
      <w:sz w:val="22"/>
      <w:lang w:val="de-DE" w:eastAsia="de-DE"/>
    </w:rPr>
  </w:style>
  <w:style w:type="paragraph" w:customStyle="1" w:styleId="438">
    <w:name w:val="Kopfzeile Erste"/>
    <w:basedOn w:val="38"/>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textAlignment w:val="baseline"/>
    </w:pPr>
    <w:rPr>
      <w:rFonts w:ascii="Wund" w:hAnsi="Wund"/>
      <w:kern w:val="0"/>
      <w:lang w:val="de-DE" w:eastAsia="de-DE"/>
    </w:rPr>
  </w:style>
  <w:style w:type="paragraph" w:customStyle="1" w:styleId="439">
    <w:name w:val="Kapitelbezeichnung"/>
    <w:basedOn w:val="1"/>
    <w:next w:val="1"/>
    <w:qFormat/>
    <w:uiPriority w:val="0"/>
    <w:pPr>
      <w:widowControl/>
      <w:overflowPunct w:val="0"/>
      <w:autoSpaceDE w:val="0"/>
      <w:autoSpaceDN w:val="0"/>
      <w:adjustRightInd w:val="0"/>
      <w:spacing w:before="360" w:after="120" w:line="360" w:lineRule="auto"/>
      <w:jc w:val="center"/>
      <w:textAlignment w:val="baseline"/>
    </w:pPr>
    <w:rPr>
      <w:rFonts w:ascii="Arial" w:hAnsi="Arial" w:cs="Arial"/>
      <w:b/>
      <w:bCs/>
      <w:kern w:val="0"/>
      <w:sz w:val="22"/>
      <w:u w:val="single"/>
      <w:lang w:val="de-DE" w:eastAsia="de-DE"/>
    </w:rPr>
  </w:style>
  <w:style w:type="paragraph" w:customStyle="1" w:styleId="440">
    <w:name w:val="Liste Anfang"/>
    <w:basedOn w:val="18"/>
    <w:next w:val="18"/>
    <w:qFormat/>
    <w:uiPriority w:val="0"/>
    <w:pPr>
      <w:tabs>
        <w:tab w:val="left" w:pos="720"/>
      </w:tabs>
      <w:suppressAutoHyphens/>
      <w:overflowPunct w:val="0"/>
      <w:autoSpaceDE w:val="0"/>
      <w:autoSpaceDN w:val="0"/>
      <w:spacing w:before="80" w:after="8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41">
    <w:name w:val="CM33"/>
    <w:basedOn w:val="274"/>
    <w:next w:val="274"/>
    <w:qFormat/>
    <w:uiPriority w:val="0"/>
    <w:pPr>
      <w:spacing w:line="240" w:lineRule="atLeast"/>
    </w:pPr>
    <w:rPr>
      <w:rFonts w:ascii="宋体" w:eastAsia="宋体" w:cs="宋体"/>
      <w:color w:val="auto"/>
    </w:rPr>
  </w:style>
  <w:style w:type="paragraph" w:customStyle="1" w:styleId="442">
    <w:name w:val="WW-Listennummer 4"/>
    <w:basedOn w:val="432"/>
    <w:qFormat/>
    <w:uiPriority w:val="0"/>
    <w:pPr>
      <w:ind w:left="1800"/>
    </w:pPr>
  </w:style>
  <w:style w:type="paragraph" w:customStyle="1" w:styleId="443">
    <w:name w:val="Kapitelüberschrift"/>
    <w:basedOn w:val="1"/>
    <w:next w:val="420"/>
    <w:qFormat/>
    <w:uiPriority w:val="0"/>
    <w:pPr>
      <w:keepLines/>
      <w:widowControl/>
      <w:overflowPunct w:val="0"/>
      <w:autoSpaceDE w:val="0"/>
      <w:autoSpaceDN w:val="0"/>
      <w:adjustRightInd w:val="0"/>
      <w:spacing w:before="600" w:after="120" w:line="360" w:lineRule="auto"/>
      <w:jc w:val="center"/>
      <w:textAlignment w:val="baseline"/>
    </w:pPr>
    <w:rPr>
      <w:rFonts w:ascii="Arial" w:hAnsi="Arial" w:cs="Arial"/>
      <w:b/>
      <w:bCs/>
      <w:kern w:val="0"/>
      <w:sz w:val="32"/>
      <w:szCs w:val="32"/>
      <w:lang w:val="de-DE" w:eastAsia="de-DE"/>
    </w:rPr>
  </w:style>
  <w:style w:type="paragraph" w:customStyle="1" w:styleId="444">
    <w:name w:val="WW-Index 9"/>
    <w:basedOn w:val="1"/>
    <w:qFormat/>
    <w:uiPriority w:val="0"/>
    <w:pPr>
      <w:widowControl/>
      <w:tabs>
        <w:tab w:val="right" w:leader="dot" w:pos="3960"/>
      </w:tabs>
      <w:overflowPunct w:val="0"/>
      <w:autoSpaceDE w:val="0"/>
      <w:autoSpaceDN w:val="0"/>
      <w:adjustRightInd w:val="0"/>
      <w:spacing w:after="120" w:line="360" w:lineRule="auto"/>
      <w:ind w:left="2880" w:hanging="720"/>
      <w:textAlignment w:val="baseline"/>
    </w:pPr>
    <w:rPr>
      <w:rFonts w:ascii="Wund" w:hAnsi="Wund" w:cs="Wund"/>
      <w:kern w:val="0"/>
      <w:sz w:val="22"/>
      <w:lang w:val="de-DE" w:eastAsia="de-DE"/>
    </w:rPr>
  </w:style>
  <w:style w:type="paragraph" w:customStyle="1" w:styleId="445">
    <w:name w:val="CM20"/>
    <w:basedOn w:val="274"/>
    <w:next w:val="274"/>
    <w:qFormat/>
    <w:uiPriority w:val="0"/>
    <w:pPr>
      <w:spacing w:line="400" w:lineRule="atLeast"/>
    </w:pPr>
    <w:rPr>
      <w:rFonts w:ascii="宋体" w:eastAsia="宋体" w:cs="宋体"/>
      <w:color w:val="auto"/>
    </w:rPr>
  </w:style>
  <w:style w:type="paragraph" w:customStyle="1" w:styleId="446">
    <w:name w:val="日期1"/>
    <w:basedOn w:val="24"/>
    <w:qFormat/>
    <w:uiPriority w:val="0"/>
    <w:pPr>
      <w:suppressAutoHyphens/>
      <w:overflowPunct w:val="0"/>
      <w:autoSpaceDE w:val="0"/>
      <w:autoSpaceDN w:val="0"/>
      <w:adjustRightInd w:val="0"/>
      <w:spacing w:before="480" w:line="340" w:lineRule="atLeast"/>
      <w:textAlignment w:val="baseline"/>
    </w:pPr>
    <w:rPr>
      <w:rFonts w:ascii="Arial Narrow" w:hAnsi="Arial Narrow" w:cs="Arial Narrow"/>
      <w:b/>
      <w:bCs/>
      <w:kern w:val="0"/>
      <w:sz w:val="22"/>
      <w:szCs w:val="22"/>
      <w:lang w:val="de-DE" w:eastAsia="de-DE"/>
    </w:rPr>
  </w:style>
  <w:style w:type="paragraph" w:customStyle="1" w:styleId="447">
    <w:name w:val="CM97"/>
    <w:basedOn w:val="274"/>
    <w:next w:val="274"/>
    <w:qFormat/>
    <w:uiPriority w:val="0"/>
    <w:pPr>
      <w:spacing w:after="373"/>
    </w:pPr>
    <w:rPr>
      <w:rFonts w:ascii="宋体" w:eastAsia="宋体" w:cs="宋体"/>
      <w:color w:val="auto"/>
    </w:rPr>
  </w:style>
  <w:style w:type="paragraph" w:customStyle="1" w:styleId="448">
    <w:name w:val="Firmenname"/>
    <w:basedOn w:val="24"/>
    <w:next w:val="1"/>
    <w:qFormat/>
    <w:uiPriority w:val="0"/>
    <w:pPr>
      <w:suppressAutoHyphens/>
      <w:overflowPunct w:val="0"/>
      <w:autoSpaceDE w:val="0"/>
      <w:autoSpaceDN w:val="0"/>
      <w:adjustRightInd w:val="0"/>
      <w:spacing w:before="80"/>
      <w:jc w:val="right"/>
      <w:textAlignment w:val="baseline"/>
    </w:pPr>
    <w:rPr>
      <w:b/>
      <w:bCs/>
      <w:kern w:val="0"/>
      <w:sz w:val="20"/>
      <w:lang w:val="de-DE" w:eastAsia="de-DE"/>
    </w:rPr>
  </w:style>
  <w:style w:type="paragraph" w:customStyle="1" w:styleId="449">
    <w:name w:val="WW-Index 6"/>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50">
    <w:name w:val="CM92"/>
    <w:basedOn w:val="274"/>
    <w:next w:val="274"/>
    <w:qFormat/>
    <w:uiPriority w:val="0"/>
    <w:pPr>
      <w:spacing w:after="530"/>
    </w:pPr>
    <w:rPr>
      <w:rFonts w:ascii="宋体" w:eastAsia="宋体" w:cs="宋体"/>
      <w:color w:val="auto"/>
    </w:rPr>
  </w:style>
  <w:style w:type="paragraph" w:customStyle="1" w:styleId="451">
    <w:name w:val="CM48"/>
    <w:basedOn w:val="274"/>
    <w:next w:val="274"/>
    <w:qFormat/>
    <w:uiPriority w:val="0"/>
    <w:pPr>
      <w:spacing w:line="540" w:lineRule="atLeast"/>
    </w:pPr>
    <w:rPr>
      <w:rFonts w:ascii="宋体" w:eastAsia="宋体" w:cs="宋体"/>
      <w:color w:val="auto"/>
    </w:rPr>
  </w:style>
  <w:style w:type="paragraph" w:customStyle="1" w:styleId="452">
    <w:name w:val="WW-Verzeichnis 8"/>
    <w:basedOn w:val="1"/>
    <w:qFormat/>
    <w:uiPriority w:val="0"/>
    <w:pPr>
      <w:widowControl/>
      <w:tabs>
        <w:tab w:val="right" w:leader="dot" w:pos="9072"/>
      </w:tabs>
      <w:overflowPunct w:val="0"/>
      <w:autoSpaceDE w:val="0"/>
      <w:autoSpaceDN w:val="0"/>
      <w:adjustRightInd w:val="0"/>
      <w:spacing w:after="120" w:line="360" w:lineRule="auto"/>
      <w:ind w:left="1440"/>
      <w:jc w:val="left"/>
      <w:textAlignment w:val="baseline"/>
    </w:pPr>
    <w:rPr>
      <w:rFonts w:ascii="Times New Roman" w:hAnsi="Times New Roman"/>
      <w:kern w:val="0"/>
      <w:sz w:val="18"/>
      <w:szCs w:val="18"/>
      <w:lang w:val="de-DE" w:eastAsia="de-DE"/>
    </w:rPr>
  </w:style>
  <w:style w:type="paragraph" w:customStyle="1" w:styleId="453">
    <w:name w:val="CM18"/>
    <w:basedOn w:val="274"/>
    <w:next w:val="274"/>
    <w:qFormat/>
    <w:uiPriority w:val="0"/>
    <w:pPr>
      <w:spacing w:line="313" w:lineRule="atLeast"/>
    </w:pPr>
    <w:rPr>
      <w:rFonts w:ascii="宋体" w:eastAsia="宋体" w:cs="宋体"/>
      <w:color w:val="auto"/>
    </w:rPr>
  </w:style>
  <w:style w:type="paragraph" w:customStyle="1" w:styleId="454">
    <w:name w:val="Blockzitat Anfang"/>
    <w:basedOn w:val="405"/>
    <w:next w:val="405"/>
    <w:qFormat/>
    <w:uiPriority w:val="0"/>
    <w:pPr>
      <w:spacing w:before="120"/>
    </w:pPr>
  </w:style>
  <w:style w:type="paragraph" w:customStyle="1" w:styleId="455">
    <w:name w:val="Zchn Zchn"/>
    <w:basedOn w:val="19"/>
    <w:qFormat/>
    <w:uiPriority w:val="0"/>
    <w:rPr>
      <w:rFonts w:ascii="Calibri" w:hAnsi="Calibri"/>
      <w:sz w:val="24"/>
      <w:szCs w:val="24"/>
    </w:rPr>
  </w:style>
  <w:style w:type="paragraph" w:customStyle="1" w:styleId="456">
    <w:name w:val="CM28"/>
    <w:basedOn w:val="274"/>
    <w:next w:val="274"/>
    <w:qFormat/>
    <w:uiPriority w:val="0"/>
    <w:rPr>
      <w:rFonts w:ascii="宋体" w:eastAsia="宋体" w:cs="宋体"/>
      <w:color w:val="auto"/>
    </w:rPr>
  </w:style>
  <w:style w:type="paragraph" w:customStyle="1" w:styleId="45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8">
    <w:name w:val="CM15"/>
    <w:basedOn w:val="274"/>
    <w:next w:val="274"/>
    <w:qFormat/>
    <w:uiPriority w:val="0"/>
    <w:pPr>
      <w:spacing w:line="313" w:lineRule="atLeast"/>
    </w:pPr>
    <w:rPr>
      <w:rFonts w:ascii="宋体" w:eastAsia="宋体" w:cs="宋体"/>
      <w:color w:val="auto"/>
    </w:rPr>
  </w:style>
  <w:style w:type="paragraph" w:customStyle="1" w:styleId="459">
    <w:name w:val="CM91"/>
    <w:basedOn w:val="274"/>
    <w:next w:val="274"/>
    <w:qFormat/>
    <w:uiPriority w:val="0"/>
    <w:pPr>
      <w:spacing w:after="160"/>
    </w:pPr>
    <w:rPr>
      <w:rFonts w:ascii="宋体" w:eastAsia="宋体" w:cs="宋体"/>
      <w:color w:val="auto"/>
    </w:rPr>
  </w:style>
  <w:style w:type="paragraph" w:customStyle="1" w:styleId="460">
    <w:name w:val="CM4"/>
    <w:basedOn w:val="274"/>
    <w:next w:val="274"/>
    <w:qFormat/>
    <w:uiPriority w:val="0"/>
    <w:rPr>
      <w:rFonts w:ascii="宋体" w:eastAsia="宋体" w:cs="宋体"/>
      <w:color w:val="auto"/>
    </w:rPr>
  </w:style>
  <w:style w:type="paragraph" w:customStyle="1" w:styleId="461">
    <w:name w:val="CM65"/>
    <w:basedOn w:val="274"/>
    <w:next w:val="274"/>
    <w:qFormat/>
    <w:uiPriority w:val="0"/>
    <w:rPr>
      <w:rFonts w:ascii="宋体" w:eastAsia="宋体" w:cs="宋体"/>
      <w:color w:val="auto"/>
    </w:rPr>
  </w:style>
  <w:style w:type="paragraph" w:customStyle="1" w:styleId="462">
    <w:name w:val="CM174"/>
    <w:basedOn w:val="274"/>
    <w:next w:val="274"/>
    <w:qFormat/>
    <w:uiPriority w:val="0"/>
    <w:pPr>
      <w:spacing w:after="238"/>
    </w:pPr>
    <w:rPr>
      <w:rFonts w:ascii="宋体" w:eastAsia="宋体" w:cs="宋体"/>
      <w:color w:val="auto"/>
    </w:rPr>
  </w:style>
  <w:style w:type="paragraph" w:customStyle="1" w:styleId="463">
    <w:name w:val="WW-Index 4"/>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64">
    <w:name w:val="标书---正文"/>
    <w:qFormat/>
    <w:uiPriority w:val="0"/>
    <w:pPr>
      <w:spacing w:line="276" w:lineRule="auto"/>
      <w:ind w:firstLine="200" w:firstLineChars="200"/>
    </w:pPr>
    <w:rPr>
      <w:rFonts w:ascii="宋体" w:hAnsi="Times New Roman" w:eastAsia="宋体" w:cs="Times New Roman"/>
      <w:kern w:val="2"/>
      <w:sz w:val="21"/>
      <w:lang w:val="en-US" w:eastAsia="zh-CN" w:bidi="ar-SA"/>
    </w:rPr>
  </w:style>
  <w:style w:type="paragraph" w:customStyle="1" w:styleId="465">
    <w:name w:val="Unterüberschrift Titelseite"/>
    <w:basedOn w:val="1"/>
    <w:next w:val="24"/>
    <w:qFormat/>
    <w:uiPriority w:val="0"/>
    <w:pPr>
      <w:widowControl/>
      <w:overflowPunct w:val="0"/>
      <w:autoSpaceDE w:val="0"/>
      <w:autoSpaceDN w:val="0"/>
      <w:adjustRightInd w:val="0"/>
      <w:spacing w:before="240" w:after="160" w:line="360" w:lineRule="auto"/>
      <w:jc w:val="center"/>
      <w:textAlignment w:val="baseline"/>
    </w:pPr>
    <w:rPr>
      <w:rFonts w:ascii="Arial" w:hAnsi="Arial" w:cs="Arial"/>
      <w:i/>
      <w:iCs/>
      <w:kern w:val="0"/>
      <w:sz w:val="36"/>
      <w:szCs w:val="36"/>
      <w:lang w:val="de-DE" w:eastAsia="de-DE"/>
    </w:rPr>
  </w:style>
  <w:style w:type="paragraph" w:customStyle="1" w:styleId="466">
    <w:name w:val="Überschrift Titelseite"/>
    <w:basedOn w:val="467"/>
    <w:next w:val="465"/>
    <w:qFormat/>
    <w:uiPriority w:val="0"/>
    <w:pPr>
      <w:spacing w:before="720" w:after="160"/>
      <w:jc w:val="center"/>
    </w:pPr>
    <w:rPr>
      <w:sz w:val="48"/>
      <w:szCs w:val="48"/>
    </w:rPr>
  </w:style>
  <w:style w:type="paragraph" w:customStyle="1" w:styleId="467">
    <w:name w:val="Basis-Überschrift"/>
    <w:basedOn w:val="1"/>
    <w:next w:val="24"/>
    <w:qFormat/>
    <w:uiPriority w:val="0"/>
    <w:pPr>
      <w:keepLines/>
      <w:widowControl/>
      <w:overflowPunct w:val="0"/>
      <w:autoSpaceDE w:val="0"/>
      <w:autoSpaceDN w:val="0"/>
      <w:adjustRightInd w:val="0"/>
      <w:spacing w:before="240" w:after="120" w:line="360" w:lineRule="auto"/>
      <w:textAlignment w:val="baseline"/>
    </w:pPr>
    <w:rPr>
      <w:rFonts w:ascii="Arial" w:hAnsi="Arial" w:cs="Arial"/>
      <w:b/>
      <w:bCs/>
      <w:kern w:val="0"/>
      <w:sz w:val="36"/>
      <w:szCs w:val="36"/>
      <w:lang w:val="de-DE" w:eastAsia="de-DE"/>
    </w:rPr>
  </w:style>
  <w:style w:type="paragraph" w:customStyle="1" w:styleId="468">
    <w:name w:val="Kopfzeile link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69">
    <w:name w:val="CM12"/>
    <w:basedOn w:val="274"/>
    <w:next w:val="274"/>
    <w:qFormat/>
    <w:uiPriority w:val="0"/>
    <w:pPr>
      <w:spacing w:line="286" w:lineRule="atLeast"/>
    </w:pPr>
    <w:rPr>
      <w:rFonts w:ascii="宋体" w:eastAsia="宋体" w:cs="宋体"/>
      <w:color w:val="auto"/>
    </w:rPr>
  </w:style>
  <w:style w:type="paragraph" w:customStyle="1" w:styleId="470">
    <w:name w:val="Grafik"/>
    <w:basedOn w:val="24"/>
    <w:next w:val="16"/>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471">
    <w:name w:val="WW-Aufzählungszeichen 4"/>
    <w:basedOn w:val="472"/>
    <w:qFormat/>
    <w:uiPriority w:val="0"/>
    <w:pPr>
      <w:tabs>
        <w:tab w:val="left" w:pos="720"/>
      </w:tabs>
      <w:ind w:left="1800"/>
    </w:pPr>
  </w:style>
  <w:style w:type="paragraph" w:customStyle="1" w:styleId="472">
    <w:name w:val="WW-Aufzählungszeichen"/>
    <w:basedOn w:val="18"/>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73">
    <w:name w:val="xl23"/>
    <w:basedOn w:val="1"/>
    <w:qFormat/>
    <w:uiPriority w:val="0"/>
    <w:pPr>
      <w:widowControl/>
      <w:shd w:val="clear" w:color="auto"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474">
    <w:name w:val="Bezeichnung"/>
    <w:basedOn w:val="1"/>
    <w:qFormat/>
    <w:uiPriority w:val="0"/>
    <w:pPr>
      <w:widowControl/>
      <w:overflowPunct w:val="0"/>
      <w:autoSpaceDE w:val="0"/>
      <w:autoSpaceDN w:val="0"/>
      <w:adjustRightInd w:val="0"/>
      <w:spacing w:before="240" w:after="360" w:line="360" w:lineRule="auto"/>
      <w:textAlignment w:val="baseline"/>
    </w:pPr>
    <w:rPr>
      <w:rFonts w:ascii="Wund" w:hAnsi="Wund" w:cs="Wund"/>
      <w:b/>
      <w:bCs/>
      <w:kern w:val="0"/>
      <w:sz w:val="36"/>
      <w:szCs w:val="36"/>
      <w:lang w:val="de-DE" w:eastAsia="de-DE"/>
    </w:rPr>
  </w:style>
  <w:style w:type="paragraph" w:customStyle="1" w:styleId="475">
    <w:name w:val="Liste Ende"/>
    <w:basedOn w:val="18"/>
    <w:next w:val="24"/>
    <w:qFormat/>
    <w:uiPriority w:val="0"/>
    <w:pPr>
      <w:tabs>
        <w:tab w:val="left" w:pos="720"/>
      </w:tabs>
      <w:suppressAutoHyphens/>
      <w:overflowPunct w:val="0"/>
      <w:autoSpaceDE w:val="0"/>
      <w:autoSpaceDN w:val="0"/>
      <w:spacing w:after="24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76">
    <w:name w:val="CM125"/>
    <w:basedOn w:val="274"/>
    <w:next w:val="274"/>
    <w:qFormat/>
    <w:uiPriority w:val="0"/>
    <w:pPr>
      <w:spacing w:after="140"/>
    </w:pPr>
    <w:rPr>
      <w:rFonts w:ascii="宋体" w:eastAsia="宋体" w:cs="宋体"/>
      <w:color w:val="auto"/>
    </w:rPr>
  </w:style>
  <w:style w:type="paragraph" w:customStyle="1" w:styleId="477">
    <w:name w:val="CM103"/>
    <w:basedOn w:val="274"/>
    <w:next w:val="274"/>
    <w:qFormat/>
    <w:uiPriority w:val="0"/>
    <w:pPr>
      <w:spacing w:after="1508"/>
    </w:pPr>
    <w:rPr>
      <w:rFonts w:ascii="宋体" w:eastAsia="宋体" w:cs="宋体"/>
      <w:color w:val="auto"/>
    </w:rPr>
  </w:style>
  <w:style w:type="paragraph" w:customStyle="1" w:styleId="478">
    <w:name w:val="CM69"/>
    <w:basedOn w:val="274"/>
    <w:next w:val="274"/>
    <w:qFormat/>
    <w:uiPriority w:val="0"/>
    <w:pPr>
      <w:spacing w:line="400" w:lineRule="atLeast"/>
    </w:pPr>
    <w:rPr>
      <w:rFonts w:ascii="宋体" w:eastAsia="宋体" w:cs="宋体"/>
      <w:color w:val="auto"/>
    </w:rPr>
  </w:style>
  <w:style w:type="paragraph" w:customStyle="1" w:styleId="479">
    <w:name w:val="Basis-Index"/>
    <w:basedOn w:val="1"/>
    <w:qFormat/>
    <w:uiPriority w:val="0"/>
    <w:pPr>
      <w:widowControl/>
      <w:tabs>
        <w:tab w:val="right" w:leader="dot" w:pos="3960"/>
      </w:tabs>
      <w:overflowPunct w:val="0"/>
      <w:autoSpaceDE w:val="0"/>
      <w:autoSpaceDN w:val="0"/>
      <w:adjustRightInd w:val="0"/>
      <w:spacing w:after="120" w:line="360" w:lineRule="auto"/>
      <w:ind w:left="720" w:hanging="720"/>
      <w:textAlignment w:val="baseline"/>
    </w:pPr>
    <w:rPr>
      <w:rFonts w:ascii="Wund" w:hAnsi="Wund" w:cs="Wund"/>
      <w:kern w:val="0"/>
      <w:sz w:val="22"/>
      <w:lang w:val="de-DE" w:eastAsia="de-DE"/>
    </w:rPr>
  </w:style>
  <w:style w:type="paragraph" w:customStyle="1" w:styleId="480">
    <w:name w:val="Decimal Aligned"/>
    <w:basedOn w:val="1"/>
    <w:qFormat/>
    <w:uiPriority w:val="40"/>
    <w:pPr>
      <w:widowControl/>
      <w:tabs>
        <w:tab w:val="decimal" w:pos="360"/>
      </w:tabs>
      <w:spacing w:after="200" w:line="276" w:lineRule="auto"/>
      <w:jc w:val="left"/>
    </w:pPr>
    <w:rPr>
      <w:kern w:val="0"/>
      <w:sz w:val="22"/>
    </w:rPr>
  </w:style>
  <w:style w:type="paragraph" w:customStyle="1" w:styleId="481">
    <w:name w:val="CM98"/>
    <w:basedOn w:val="274"/>
    <w:next w:val="274"/>
    <w:qFormat/>
    <w:uiPriority w:val="0"/>
    <w:pPr>
      <w:spacing w:after="570"/>
    </w:pPr>
    <w:rPr>
      <w:rFonts w:ascii="宋体" w:eastAsia="宋体" w:cs="宋体"/>
      <w:color w:val="auto"/>
    </w:rPr>
  </w:style>
  <w:style w:type="paragraph" w:customStyle="1" w:styleId="482">
    <w:name w:val="Numerierung 1 Anfang"/>
    <w:basedOn w:val="18"/>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83">
    <w:name w:val="CM130"/>
    <w:basedOn w:val="274"/>
    <w:next w:val="274"/>
    <w:qFormat/>
    <w:uiPriority w:val="0"/>
    <w:pPr>
      <w:spacing w:after="540"/>
    </w:pPr>
    <w:rPr>
      <w:rFonts w:ascii="宋体" w:eastAsia="宋体" w:cs="宋体"/>
      <w:color w:val="auto"/>
    </w:rPr>
  </w:style>
  <w:style w:type="paragraph" w:customStyle="1" w:styleId="484">
    <w:name w:val="纯文本1"/>
    <w:basedOn w:val="1"/>
    <w:qFormat/>
    <w:uiPriority w:val="0"/>
    <w:pPr>
      <w:adjustRightInd w:val="0"/>
      <w:textAlignment w:val="baseline"/>
    </w:pPr>
    <w:rPr>
      <w:rFonts w:ascii="宋体" w:hAnsi="Courier New" w:eastAsia="楷体_GB2312"/>
      <w:sz w:val="26"/>
      <w:szCs w:val="20"/>
    </w:rPr>
  </w:style>
  <w:style w:type="paragraph" w:customStyle="1" w:styleId="485">
    <w:name w:val="CM19"/>
    <w:basedOn w:val="274"/>
    <w:next w:val="274"/>
    <w:qFormat/>
    <w:uiPriority w:val="0"/>
    <w:pPr>
      <w:spacing w:line="398" w:lineRule="atLeast"/>
    </w:pPr>
    <w:rPr>
      <w:rFonts w:ascii="宋体" w:eastAsia="宋体" w:cs="宋体"/>
      <w:color w:val="auto"/>
    </w:rPr>
  </w:style>
  <w:style w:type="paragraph" w:customStyle="1" w:styleId="486">
    <w:name w:val="CM90"/>
    <w:basedOn w:val="274"/>
    <w:next w:val="274"/>
    <w:qFormat/>
    <w:uiPriority w:val="0"/>
    <w:rPr>
      <w:rFonts w:ascii="宋体" w:eastAsia="宋体" w:cs="宋体"/>
      <w:color w:val="auto"/>
    </w:rPr>
  </w:style>
  <w:style w:type="paragraph" w:customStyle="1" w:styleId="487">
    <w:name w:val="CM83"/>
    <w:basedOn w:val="274"/>
    <w:next w:val="274"/>
    <w:qFormat/>
    <w:uiPriority w:val="0"/>
    <w:pPr>
      <w:spacing w:line="440" w:lineRule="atLeast"/>
    </w:pPr>
    <w:rPr>
      <w:rFonts w:ascii="宋体" w:eastAsia="宋体" w:cs="宋体"/>
      <w:color w:val="auto"/>
    </w:rPr>
  </w:style>
  <w:style w:type="paragraph" w:customStyle="1" w:styleId="488">
    <w:name w:val="xl22"/>
    <w:basedOn w:val="1"/>
    <w:qFormat/>
    <w:uiPriority w:val="0"/>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89">
    <w:name w:val="WW-Endnoten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90">
    <w:name w:val="正文文本 21"/>
    <w:basedOn w:val="1"/>
    <w:qFormat/>
    <w:uiPriority w:val="0"/>
    <w:pPr>
      <w:widowControl/>
      <w:overflowPunct w:val="0"/>
      <w:autoSpaceDE w:val="0"/>
      <w:autoSpaceDN w:val="0"/>
      <w:adjustRightInd w:val="0"/>
      <w:spacing w:line="360" w:lineRule="auto"/>
      <w:textAlignment w:val="baseline"/>
    </w:pPr>
    <w:rPr>
      <w:rFonts w:ascii="Wund" w:hAnsi="Wund" w:cs="Wund"/>
      <w:kern w:val="0"/>
      <w:sz w:val="22"/>
      <w:lang w:val="de-DE" w:eastAsia="de-DE"/>
    </w:rPr>
  </w:style>
  <w:style w:type="paragraph" w:customStyle="1" w:styleId="491">
    <w:name w:val="Aufzählung 1"/>
    <w:basedOn w:val="18"/>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92">
    <w:name w:val="p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93">
    <w:name w:val="CM56"/>
    <w:basedOn w:val="274"/>
    <w:next w:val="274"/>
    <w:qFormat/>
    <w:uiPriority w:val="0"/>
    <w:rPr>
      <w:rFonts w:ascii="宋体" w:eastAsia="宋体" w:cs="宋体"/>
      <w:color w:val="auto"/>
    </w:rPr>
  </w:style>
  <w:style w:type="paragraph" w:customStyle="1" w:styleId="494">
    <w:name w:val="Kopfzeile ungerade"/>
    <w:basedOn w:val="38"/>
    <w:qFormat/>
    <w:uiPriority w:val="0"/>
    <w:pPr>
      <w:keepLines/>
      <w:widowControl/>
      <w:pBdr>
        <w:bottom w:val="none" w:color="auto" w:sz="0" w:space="0"/>
      </w:pBdr>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495">
    <w:name w:val="WW-Verzeichnis 6"/>
    <w:basedOn w:val="1"/>
    <w:qFormat/>
    <w:uiPriority w:val="0"/>
    <w:pPr>
      <w:widowControl/>
      <w:tabs>
        <w:tab w:val="right" w:leader="dot" w:pos="9072"/>
      </w:tabs>
      <w:overflowPunct w:val="0"/>
      <w:autoSpaceDE w:val="0"/>
      <w:autoSpaceDN w:val="0"/>
      <w:adjustRightInd w:val="0"/>
      <w:spacing w:after="120" w:line="360" w:lineRule="auto"/>
      <w:ind w:left="960"/>
      <w:jc w:val="left"/>
      <w:textAlignment w:val="baseline"/>
    </w:pPr>
    <w:rPr>
      <w:rFonts w:ascii="Times New Roman" w:hAnsi="Times New Roman"/>
      <w:kern w:val="0"/>
      <w:sz w:val="18"/>
      <w:szCs w:val="18"/>
      <w:lang w:val="de-DE" w:eastAsia="de-DE"/>
    </w:rPr>
  </w:style>
  <w:style w:type="paragraph" w:customStyle="1" w:styleId="496">
    <w:name w:val="Aufzählung Anfang"/>
    <w:basedOn w:val="472"/>
    <w:next w:val="472"/>
    <w:qFormat/>
    <w:uiPriority w:val="0"/>
    <w:pPr>
      <w:spacing w:before="80"/>
    </w:pPr>
  </w:style>
  <w:style w:type="paragraph" w:customStyle="1" w:styleId="497">
    <w:name w:val="CM23"/>
    <w:basedOn w:val="274"/>
    <w:next w:val="274"/>
    <w:qFormat/>
    <w:uiPriority w:val="0"/>
    <w:pPr>
      <w:spacing w:line="398" w:lineRule="atLeast"/>
    </w:pPr>
    <w:rPr>
      <w:rFonts w:ascii="宋体" w:eastAsia="宋体" w:cs="宋体"/>
      <w:color w:val="auto"/>
    </w:rPr>
  </w:style>
  <w:style w:type="paragraph" w:customStyle="1" w:styleId="498">
    <w:name w:val="WW-Aufzählungszeichen 3"/>
    <w:basedOn w:val="472"/>
    <w:qFormat/>
    <w:uiPriority w:val="0"/>
    <w:pPr>
      <w:ind w:left="1440"/>
    </w:pPr>
  </w:style>
  <w:style w:type="paragraph" w:customStyle="1" w:styleId="499">
    <w:name w:val="CM62"/>
    <w:basedOn w:val="274"/>
    <w:next w:val="274"/>
    <w:qFormat/>
    <w:uiPriority w:val="0"/>
    <w:pPr>
      <w:spacing w:line="400" w:lineRule="atLeast"/>
    </w:pPr>
    <w:rPr>
      <w:rFonts w:ascii="宋体" w:eastAsia="宋体" w:cs="宋体"/>
      <w:color w:val="auto"/>
    </w:rPr>
  </w:style>
  <w:style w:type="paragraph" w:customStyle="1" w:styleId="500">
    <w:name w:val="WW-Aufzählungszeichen 5"/>
    <w:basedOn w:val="472"/>
    <w:qFormat/>
    <w:uiPriority w:val="0"/>
    <w:pPr>
      <w:ind w:left="2160"/>
    </w:pPr>
  </w:style>
  <w:style w:type="paragraph" w:customStyle="1" w:styleId="501">
    <w:name w:val="WW-Zusatz 2"/>
    <w:basedOn w:val="1"/>
    <w:qFormat/>
    <w:uiPriority w:val="0"/>
    <w:pPr>
      <w:widowControl/>
      <w:tabs>
        <w:tab w:val="right" w:leader="dot" w:pos="8640"/>
      </w:tabs>
      <w:overflowPunct w:val="0"/>
      <w:autoSpaceDE w:val="0"/>
      <w:autoSpaceDN w:val="0"/>
      <w:adjustRightInd w:val="0"/>
      <w:spacing w:after="120" w:line="360" w:lineRule="auto"/>
      <w:ind w:left="360" w:hanging="360"/>
      <w:textAlignment w:val="baseline"/>
    </w:pPr>
    <w:rPr>
      <w:rFonts w:ascii="Wund" w:hAnsi="Wund" w:cs="Wund"/>
      <w:kern w:val="0"/>
      <w:sz w:val="22"/>
      <w:lang w:val="de-DE" w:eastAsia="de-DE"/>
    </w:rPr>
  </w:style>
  <w:style w:type="paragraph" w:customStyle="1" w:styleId="502">
    <w:name w:val="Überschrift Abschnitt"/>
    <w:basedOn w:val="467"/>
    <w:qFormat/>
    <w:uiPriority w:val="0"/>
    <w:pPr>
      <w:spacing w:after="80"/>
    </w:pPr>
    <w:rPr>
      <w:sz w:val="28"/>
      <w:szCs w:val="28"/>
    </w:rPr>
  </w:style>
  <w:style w:type="paragraph" w:customStyle="1" w:styleId="503">
    <w:name w:val="WW-Zusatz 1"/>
    <w:basedOn w:val="502"/>
    <w:next w:val="501"/>
    <w:qFormat/>
    <w:uiPriority w:val="0"/>
  </w:style>
  <w:style w:type="paragraph" w:customStyle="1" w:styleId="504">
    <w:name w:val="CM44"/>
    <w:basedOn w:val="274"/>
    <w:next w:val="274"/>
    <w:qFormat/>
    <w:uiPriority w:val="0"/>
    <w:pPr>
      <w:spacing w:line="440" w:lineRule="atLeast"/>
    </w:pPr>
    <w:rPr>
      <w:rFonts w:ascii="宋体" w:eastAsia="宋体" w:cs="宋体"/>
      <w:color w:val="auto"/>
    </w:rPr>
  </w:style>
  <w:style w:type="paragraph" w:customStyle="1" w:styleId="505">
    <w:name w:val="Kopfzeile gerade"/>
    <w:basedOn w:val="38"/>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06">
    <w:name w:val="_Style 5"/>
    <w:basedOn w:val="1"/>
    <w:qFormat/>
    <w:uiPriority w:val="34"/>
    <w:pPr>
      <w:ind w:firstLine="420" w:firstLineChars="200"/>
    </w:pPr>
    <w:rPr>
      <w:rFonts w:ascii="宋体" w:hAnsi="Times New Roman"/>
      <w:kern w:val="0"/>
      <w:sz w:val="20"/>
      <w:szCs w:val="24"/>
    </w:rPr>
  </w:style>
  <w:style w:type="paragraph" w:customStyle="1" w:styleId="507">
    <w:name w:val="_Style 21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Fließtext"/>
    <w:basedOn w:val="1"/>
    <w:qFormat/>
    <w:uiPriority w:val="0"/>
    <w:pPr>
      <w:widowControl/>
      <w:jc w:val="left"/>
    </w:pPr>
    <w:rPr>
      <w:rFonts w:ascii="Times New Roman" w:hAnsi="Times New Roman"/>
      <w:kern w:val="0"/>
      <w:sz w:val="22"/>
      <w:lang w:val="de-DE" w:eastAsia="de-DE"/>
    </w:rPr>
  </w:style>
  <w:style w:type="paragraph" w:customStyle="1" w:styleId="509">
    <w:name w:val="Absätze zusammenhalten"/>
    <w:basedOn w:val="24"/>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510">
    <w:name w:val="TOC 标题2"/>
    <w:basedOn w:val="2"/>
    <w:next w:val="1"/>
    <w:qFormat/>
    <w:uiPriority w:val="39"/>
    <w:pPr>
      <w:widowControl/>
      <w:tabs>
        <w:tab w:val="left" w:pos="1140"/>
      </w:tabs>
      <w:spacing w:before="480" w:after="0" w:line="276" w:lineRule="auto"/>
      <w:jc w:val="left"/>
      <w:outlineLvl w:val="9"/>
    </w:pPr>
    <w:rPr>
      <w:rFonts w:ascii="Cambria" w:hAnsi="Cambria"/>
      <w:bCs/>
      <w:color w:val="365F91"/>
      <w:kern w:val="0"/>
    </w:rPr>
  </w:style>
  <w:style w:type="paragraph" w:customStyle="1" w:styleId="511">
    <w:name w:val="CM95"/>
    <w:basedOn w:val="274"/>
    <w:next w:val="274"/>
    <w:qFormat/>
    <w:uiPriority w:val="0"/>
    <w:pPr>
      <w:spacing w:after="115"/>
    </w:pPr>
    <w:rPr>
      <w:rFonts w:ascii="宋体" w:eastAsia="宋体" w:cs="宋体"/>
      <w:color w:val="auto"/>
    </w:rPr>
  </w:style>
  <w:style w:type="paragraph" w:customStyle="1" w:styleId="512">
    <w:name w:val="CM35"/>
    <w:basedOn w:val="274"/>
    <w:next w:val="274"/>
    <w:qFormat/>
    <w:uiPriority w:val="0"/>
    <w:pPr>
      <w:spacing w:line="400" w:lineRule="atLeast"/>
    </w:pPr>
    <w:rPr>
      <w:rFonts w:ascii="宋体" w:eastAsia="宋体" w:cs="宋体"/>
      <w:color w:val="auto"/>
    </w:rPr>
  </w:style>
  <w:style w:type="paragraph" w:customStyle="1" w:styleId="513">
    <w:name w:val="WW-Anmerkungs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22"/>
      <w:lang w:val="de-DE" w:eastAsia="de-DE"/>
    </w:rPr>
  </w:style>
  <w:style w:type="paragraph" w:customStyle="1" w:styleId="514">
    <w:name w:val="Fußzeile gerade"/>
    <w:basedOn w:val="37"/>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15">
    <w:name w:val="p17"/>
    <w:basedOn w:val="1"/>
    <w:qFormat/>
    <w:uiPriority w:val="0"/>
    <w:pPr>
      <w:widowControl/>
      <w:ind w:firstLine="420"/>
    </w:pPr>
    <w:rPr>
      <w:rFonts w:ascii="Times New Roman" w:hAnsi="Times New Roman"/>
      <w:kern w:val="0"/>
      <w:szCs w:val="21"/>
    </w:rPr>
  </w:style>
  <w:style w:type="paragraph" w:customStyle="1" w:styleId="516">
    <w:name w:val="WW-Listenfortsetzung 3"/>
    <w:basedOn w:val="389"/>
    <w:qFormat/>
    <w:uiPriority w:val="0"/>
    <w:pPr>
      <w:ind w:left="1440"/>
    </w:pPr>
  </w:style>
  <w:style w:type="paragraph" w:customStyle="1" w:styleId="517">
    <w:name w:val="CM36"/>
    <w:basedOn w:val="274"/>
    <w:next w:val="274"/>
    <w:qFormat/>
    <w:uiPriority w:val="0"/>
    <w:pPr>
      <w:spacing w:after="68"/>
    </w:pPr>
    <w:rPr>
      <w:rFonts w:ascii="Century Gothic" w:hAnsi="Century Gothic" w:eastAsia="宋体" w:cs="Century Gothic"/>
      <w:color w:val="auto"/>
    </w:rPr>
  </w:style>
  <w:style w:type="paragraph" w:customStyle="1" w:styleId="518">
    <w:name w:val="WW-Listenfortsetzung 2"/>
    <w:basedOn w:val="389"/>
    <w:qFormat/>
    <w:uiPriority w:val="0"/>
    <w:pPr>
      <w:ind w:left="1080"/>
    </w:pPr>
  </w:style>
  <w:style w:type="paragraph" w:customStyle="1" w:styleId="519">
    <w:name w:val="Verzeichnis"/>
    <w:basedOn w:val="1"/>
    <w:qFormat/>
    <w:uiPriority w:val="0"/>
    <w:pPr>
      <w:widowControl/>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20">
    <w:name w:val="xl60"/>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21">
    <w:name w:val="WW-Index 7"/>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22">
    <w:name w:val="Heading #1|1"/>
    <w:basedOn w:val="1"/>
    <w:qFormat/>
    <w:uiPriority w:val="0"/>
    <w:pPr>
      <w:spacing w:after="100"/>
      <w:jc w:val="center"/>
      <w:outlineLvl w:val="0"/>
    </w:pPr>
    <w:rPr>
      <w:rFonts w:ascii="宋体" w:hAnsi="宋体" w:cs="宋体"/>
      <w:sz w:val="44"/>
      <w:szCs w:val="44"/>
      <w:lang w:val="zh-TW" w:eastAsia="zh-TW" w:bidi="zh-TW"/>
    </w:rPr>
  </w:style>
  <w:style w:type="paragraph" w:customStyle="1" w:styleId="523">
    <w:name w:val="WW-Aufzählungszeichen 2"/>
    <w:basedOn w:val="472"/>
    <w:qFormat/>
    <w:uiPriority w:val="0"/>
    <w:pPr>
      <w:ind w:left="1080"/>
    </w:pPr>
  </w:style>
  <w:style w:type="paragraph" w:customStyle="1" w:styleId="524">
    <w:name w:val="CM34"/>
    <w:basedOn w:val="274"/>
    <w:next w:val="274"/>
    <w:qFormat/>
    <w:uiPriority w:val="0"/>
    <w:pPr>
      <w:spacing w:line="398" w:lineRule="atLeast"/>
    </w:pPr>
    <w:rPr>
      <w:rFonts w:ascii="宋体" w:eastAsia="宋体" w:cs="宋体"/>
      <w:color w:val="auto"/>
    </w:rPr>
  </w:style>
  <w:style w:type="paragraph" w:customStyle="1" w:styleId="525">
    <w:name w:val="WW-Überschrift 7"/>
    <w:basedOn w:val="1"/>
    <w:next w:val="24"/>
    <w:qFormat/>
    <w:uiPriority w:val="0"/>
    <w:pPr>
      <w:widowControl/>
      <w:overflowPunct w:val="0"/>
      <w:autoSpaceDE w:val="0"/>
      <w:autoSpaceDN w:val="0"/>
      <w:adjustRightInd w:val="0"/>
      <w:spacing w:before="80" w:after="60" w:line="360" w:lineRule="auto"/>
      <w:ind w:left="4956" w:hanging="708"/>
      <w:textAlignment w:val="baseline"/>
    </w:pPr>
    <w:rPr>
      <w:rFonts w:ascii="Wund" w:hAnsi="Wund" w:cs="Wund"/>
      <w:b/>
      <w:bCs/>
      <w:kern w:val="0"/>
      <w:sz w:val="22"/>
      <w:lang w:val="de-DE" w:eastAsia="de-DE"/>
    </w:rPr>
  </w:style>
  <w:style w:type="paragraph" w:customStyle="1" w:styleId="526">
    <w:name w:val="CM46"/>
    <w:basedOn w:val="274"/>
    <w:next w:val="274"/>
    <w:qFormat/>
    <w:uiPriority w:val="0"/>
    <w:rPr>
      <w:rFonts w:ascii="宋体" w:eastAsia="宋体" w:cs="宋体"/>
      <w:color w:val="auto"/>
    </w:rPr>
  </w:style>
  <w:style w:type="paragraph" w:customStyle="1" w:styleId="527">
    <w:name w:val="Absender"/>
    <w:basedOn w:val="1"/>
    <w:next w:val="1"/>
    <w:qFormat/>
    <w:uiPriority w:val="0"/>
    <w:pPr>
      <w:keepLines/>
      <w:widowControl/>
      <w:overflowPunct w:val="0"/>
      <w:autoSpaceDE w:val="0"/>
      <w:autoSpaceDN w:val="0"/>
      <w:adjustRightInd w:val="0"/>
      <w:spacing w:after="120"/>
      <w:jc w:val="right"/>
      <w:textAlignment w:val="baseline"/>
    </w:pPr>
    <w:rPr>
      <w:rFonts w:ascii="Times New Roman" w:hAnsi="Times New Roman"/>
      <w:kern w:val="0"/>
      <w:sz w:val="20"/>
      <w:szCs w:val="20"/>
      <w:lang w:val="de-DE" w:eastAsia="de-DE"/>
    </w:rPr>
  </w:style>
  <w:style w:type="paragraph" w:customStyle="1" w:styleId="528">
    <w:name w:val="CM102"/>
    <w:basedOn w:val="274"/>
    <w:next w:val="274"/>
    <w:qFormat/>
    <w:uiPriority w:val="0"/>
    <w:pPr>
      <w:spacing w:after="878"/>
    </w:pPr>
    <w:rPr>
      <w:rFonts w:ascii="宋体" w:eastAsia="宋体" w:cs="宋体"/>
      <w:color w:val="auto"/>
    </w:rPr>
  </w:style>
  <w:style w:type="paragraph" w:customStyle="1" w:styleId="529">
    <w:name w:val="修订3"/>
    <w:qFormat/>
    <w:uiPriority w:val="99"/>
    <w:rPr>
      <w:rFonts w:ascii="Times New Roman" w:hAnsi="Times New Roman" w:eastAsia="宋体" w:cs="Times New Roman"/>
      <w:kern w:val="2"/>
      <w:sz w:val="21"/>
      <w:szCs w:val="24"/>
      <w:lang w:val="en-US" w:eastAsia="zh-CN" w:bidi="ar-SA"/>
    </w:rPr>
  </w:style>
  <w:style w:type="paragraph" w:customStyle="1" w:styleId="530">
    <w:name w:val="Teil Beschriftung"/>
    <w:basedOn w:val="467"/>
    <w:next w:val="1"/>
    <w:qFormat/>
    <w:uiPriority w:val="0"/>
    <w:pPr>
      <w:spacing w:before="600" w:after="160"/>
      <w:jc w:val="center"/>
    </w:pPr>
    <w:rPr>
      <w:b w:val="0"/>
      <w:bCs w:val="0"/>
      <w:sz w:val="24"/>
      <w:szCs w:val="24"/>
      <w:u w:val="single"/>
    </w:rPr>
  </w:style>
  <w:style w:type="paragraph" w:customStyle="1" w:styleId="531">
    <w:name w:val="CM40"/>
    <w:basedOn w:val="274"/>
    <w:next w:val="274"/>
    <w:qFormat/>
    <w:uiPriority w:val="0"/>
    <w:pPr>
      <w:spacing w:after="60"/>
    </w:pPr>
    <w:rPr>
      <w:rFonts w:ascii="Century Gothic" w:hAnsi="Century Gothic" w:eastAsia="宋体" w:cs="Century Gothic"/>
      <w:color w:val="auto"/>
    </w:rPr>
  </w:style>
  <w:style w:type="paragraph" w:customStyle="1" w:styleId="532">
    <w:name w:val="CM53"/>
    <w:basedOn w:val="274"/>
    <w:next w:val="274"/>
    <w:qFormat/>
    <w:uiPriority w:val="0"/>
    <w:pPr>
      <w:spacing w:line="400" w:lineRule="atLeast"/>
    </w:pPr>
    <w:rPr>
      <w:rFonts w:ascii="宋体" w:eastAsia="宋体" w:cs="宋体"/>
      <w:color w:val="auto"/>
    </w:rPr>
  </w:style>
  <w:style w:type="paragraph" w:customStyle="1" w:styleId="533">
    <w:name w:val="WW-Liste 4"/>
    <w:basedOn w:val="18"/>
    <w:qFormat/>
    <w:uiPriority w:val="0"/>
    <w:pPr>
      <w:tabs>
        <w:tab w:val="left" w:pos="1800"/>
      </w:tabs>
      <w:suppressAutoHyphens/>
      <w:overflowPunct w:val="0"/>
      <w:autoSpaceDE w:val="0"/>
      <w:autoSpaceDN w:val="0"/>
      <w:spacing w:after="80" w:line="340" w:lineRule="atLeast"/>
      <w:ind w:left="1800" w:hanging="360"/>
      <w:jc w:val="both"/>
      <w:textAlignment w:val="baseline"/>
    </w:pPr>
    <w:rPr>
      <w:rFonts w:hint="default" w:ascii="Arial Narrow" w:hAnsi="Arial Narrow" w:cs="Arial Narrow"/>
      <w:sz w:val="22"/>
      <w:szCs w:val="22"/>
      <w:lang w:val="de-DE" w:eastAsia="de-DE"/>
    </w:rPr>
  </w:style>
  <w:style w:type="paragraph" w:customStyle="1" w:styleId="534">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35">
    <w:name w:val="CM39"/>
    <w:basedOn w:val="274"/>
    <w:next w:val="274"/>
    <w:qFormat/>
    <w:uiPriority w:val="0"/>
    <w:pPr>
      <w:spacing w:line="400" w:lineRule="atLeast"/>
    </w:pPr>
    <w:rPr>
      <w:rFonts w:ascii="宋体" w:eastAsia="宋体" w:cs="宋体"/>
      <w:color w:val="auto"/>
    </w:rPr>
  </w:style>
  <w:style w:type="paragraph" w:customStyle="1" w:styleId="536">
    <w:name w:val="Basis-Verzeichnis"/>
    <w:basedOn w:val="1"/>
    <w:qFormat/>
    <w:uiPriority w:val="0"/>
    <w:pPr>
      <w:widowControl/>
      <w:tabs>
        <w:tab w:val="right" w:leader="do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37">
    <w:name w:val="Überschrift"/>
    <w:basedOn w:val="1"/>
    <w:next w:val="24"/>
    <w:qFormat/>
    <w:uiPriority w:val="0"/>
    <w:pPr>
      <w:keepNext/>
      <w:widowControl/>
      <w:overflowPunct w:val="0"/>
      <w:autoSpaceDE w:val="0"/>
      <w:autoSpaceDN w:val="0"/>
      <w:adjustRightInd w:val="0"/>
      <w:spacing w:before="240" w:after="120" w:line="360" w:lineRule="auto"/>
      <w:ind w:left="993" w:hanging="993"/>
      <w:textAlignment w:val="baseline"/>
    </w:pPr>
    <w:rPr>
      <w:rFonts w:ascii="Wund" w:hAnsi="Wund" w:cs="Wund"/>
      <w:b/>
      <w:bCs/>
      <w:smallCaps/>
      <w:kern w:val="0"/>
      <w:sz w:val="36"/>
      <w:szCs w:val="36"/>
      <w:lang w:val="de-DE" w:eastAsia="de-DE"/>
    </w:rPr>
  </w:style>
  <w:style w:type="paragraph" w:customStyle="1" w:styleId="538">
    <w:name w:val="Inhaltsverzeichnis Überschrift"/>
    <w:basedOn w:val="537"/>
    <w:qFormat/>
    <w:uiPriority w:val="0"/>
    <w:pPr>
      <w:ind w:left="0" w:firstLine="0"/>
    </w:pPr>
    <w:rPr>
      <w:sz w:val="32"/>
      <w:szCs w:val="32"/>
    </w:rPr>
  </w:style>
  <w:style w:type="paragraph" w:customStyle="1" w:styleId="539">
    <w:name w:val="列出段落2"/>
    <w:basedOn w:val="1"/>
    <w:qFormat/>
    <w:uiPriority w:val="0"/>
    <w:pPr>
      <w:ind w:firstLine="420" w:firstLineChars="200"/>
    </w:pPr>
    <w:rPr>
      <w:rFonts w:ascii="Times New Roman" w:hAnsi="Times New Roman"/>
      <w:szCs w:val="24"/>
    </w:rPr>
  </w:style>
  <w:style w:type="paragraph" w:customStyle="1" w:styleId="540">
    <w:name w:val="Textkörper Einzug"/>
    <w:basedOn w:val="1"/>
    <w:qFormat/>
    <w:uiPriority w:val="0"/>
    <w:pPr>
      <w:widowControl/>
      <w:overflowPunct w:val="0"/>
      <w:autoSpaceDE w:val="0"/>
      <w:autoSpaceDN w:val="0"/>
      <w:adjustRightInd w:val="0"/>
      <w:spacing w:after="120" w:line="280" w:lineRule="atLeast"/>
      <w:ind w:left="1080"/>
      <w:textAlignment w:val="baseline"/>
    </w:pPr>
    <w:rPr>
      <w:rFonts w:ascii="Arial" w:hAnsi="Arial" w:cs="Arial"/>
      <w:kern w:val="0"/>
      <w:sz w:val="22"/>
      <w:lang w:val="de-DE" w:eastAsia="de-DE"/>
    </w:rPr>
  </w:style>
  <w:style w:type="paragraph" w:customStyle="1" w:styleId="541">
    <w:name w:val="CM76"/>
    <w:basedOn w:val="274"/>
    <w:next w:val="274"/>
    <w:qFormat/>
    <w:uiPriority w:val="0"/>
    <w:pPr>
      <w:spacing w:line="400" w:lineRule="atLeast"/>
    </w:pPr>
    <w:rPr>
      <w:rFonts w:ascii="宋体" w:eastAsia="宋体" w:cs="宋体"/>
      <w:color w:val="auto"/>
    </w:rPr>
  </w:style>
  <w:style w:type="paragraph" w:customStyle="1" w:styleId="542">
    <w:name w:val="CM50"/>
    <w:basedOn w:val="274"/>
    <w:next w:val="274"/>
    <w:qFormat/>
    <w:uiPriority w:val="0"/>
    <w:pPr>
      <w:spacing w:line="1020" w:lineRule="atLeast"/>
    </w:pPr>
    <w:rPr>
      <w:rFonts w:ascii="宋体" w:eastAsia="宋体" w:cs="宋体"/>
      <w:color w:val="auto"/>
    </w:rPr>
  </w:style>
  <w:style w:type="paragraph" w:customStyle="1" w:styleId="543">
    <w:name w:val="CM81"/>
    <w:basedOn w:val="274"/>
    <w:next w:val="274"/>
    <w:qFormat/>
    <w:uiPriority w:val="0"/>
    <w:pPr>
      <w:spacing w:line="440" w:lineRule="atLeast"/>
    </w:pPr>
    <w:rPr>
      <w:rFonts w:ascii="宋体" w:eastAsia="宋体" w:cs="宋体"/>
      <w:color w:val="auto"/>
    </w:rPr>
  </w:style>
  <w:style w:type="paragraph" w:customStyle="1" w:styleId="544">
    <w:name w:val="WW-Verzeichnis 7"/>
    <w:basedOn w:val="1"/>
    <w:qFormat/>
    <w:uiPriority w:val="0"/>
    <w:pPr>
      <w:widowControl/>
      <w:tabs>
        <w:tab w:val="right" w:leader="dot" w:pos="9072"/>
      </w:tabs>
      <w:overflowPunct w:val="0"/>
      <w:autoSpaceDE w:val="0"/>
      <w:autoSpaceDN w:val="0"/>
      <w:adjustRightInd w:val="0"/>
      <w:spacing w:after="120" w:line="360" w:lineRule="auto"/>
      <w:ind w:left="1200"/>
      <w:jc w:val="left"/>
      <w:textAlignment w:val="baseline"/>
    </w:pPr>
    <w:rPr>
      <w:rFonts w:ascii="Times New Roman" w:hAnsi="Times New Roman"/>
      <w:kern w:val="0"/>
      <w:sz w:val="18"/>
      <w:szCs w:val="18"/>
      <w:lang w:val="de-DE" w:eastAsia="de-DE"/>
    </w:rPr>
  </w:style>
  <w:style w:type="paragraph" w:customStyle="1" w:styleId="545">
    <w:name w:val="WW-Liste 5"/>
    <w:basedOn w:val="18"/>
    <w:qFormat/>
    <w:uiPriority w:val="0"/>
    <w:pPr>
      <w:tabs>
        <w:tab w:val="left" w:pos="2160"/>
      </w:tabs>
      <w:suppressAutoHyphens/>
      <w:overflowPunct w:val="0"/>
      <w:autoSpaceDE w:val="0"/>
      <w:autoSpaceDN w:val="0"/>
      <w:spacing w:after="80" w:line="340" w:lineRule="atLeast"/>
      <w:ind w:left="2160" w:hanging="360"/>
      <w:jc w:val="both"/>
      <w:textAlignment w:val="baseline"/>
    </w:pPr>
    <w:rPr>
      <w:rFonts w:hint="default" w:ascii="Arial Narrow" w:hAnsi="Arial Narrow" w:cs="Arial Narrow"/>
      <w:sz w:val="22"/>
      <w:szCs w:val="22"/>
      <w:lang w:val="de-DE" w:eastAsia="de-DE"/>
    </w:rPr>
  </w:style>
  <w:style w:type="paragraph" w:customStyle="1" w:styleId="546">
    <w:name w:val="Char Char Char Char Char Char Char Char Char Char Char Char Char"/>
    <w:basedOn w:val="1"/>
    <w:qFormat/>
    <w:uiPriority w:val="0"/>
    <w:pPr>
      <w:spacing w:afterLines="100"/>
    </w:pPr>
    <w:rPr>
      <w:rFonts w:ascii="仿宋_GB2312" w:hAnsi="Times New Roman"/>
      <w:b/>
      <w:sz w:val="36"/>
      <w:szCs w:val="32"/>
    </w:rPr>
  </w:style>
  <w:style w:type="paragraph" w:customStyle="1" w:styleId="547">
    <w:name w:val="Teil Titel"/>
    <w:basedOn w:val="467"/>
    <w:next w:val="548"/>
    <w:qFormat/>
    <w:uiPriority w:val="0"/>
    <w:pPr>
      <w:spacing w:before="600"/>
      <w:jc w:val="center"/>
    </w:pPr>
  </w:style>
  <w:style w:type="paragraph" w:customStyle="1" w:styleId="548">
    <w:name w:val="Teil Untertitel"/>
    <w:basedOn w:val="1"/>
    <w:next w:val="24"/>
    <w:qFormat/>
    <w:uiPriority w:val="0"/>
    <w:pPr>
      <w:widowControl/>
      <w:overflowPunct w:val="0"/>
      <w:autoSpaceDE w:val="0"/>
      <w:autoSpaceDN w:val="0"/>
      <w:adjustRightInd w:val="0"/>
      <w:spacing w:before="360" w:after="120" w:line="360" w:lineRule="auto"/>
      <w:jc w:val="center"/>
      <w:textAlignment w:val="baseline"/>
    </w:pPr>
    <w:rPr>
      <w:rFonts w:ascii="Arial" w:hAnsi="Arial" w:cs="Arial"/>
      <w:i/>
      <w:iCs/>
      <w:kern w:val="0"/>
      <w:sz w:val="32"/>
      <w:szCs w:val="32"/>
      <w:lang w:val="de-DE" w:eastAsia="de-DE"/>
    </w:rPr>
  </w:style>
  <w:style w:type="paragraph" w:customStyle="1" w:styleId="549">
    <w:name w:val="Bildunterschrift"/>
    <w:basedOn w:val="1"/>
    <w:qFormat/>
    <w:uiPriority w:val="0"/>
    <w:pPr>
      <w:widowControl/>
      <w:overflowPunct w:val="0"/>
      <w:autoSpaceDE w:val="0"/>
      <w:autoSpaceDN w:val="0"/>
      <w:adjustRightInd w:val="0"/>
      <w:spacing w:before="5670" w:after="120" w:line="360" w:lineRule="auto"/>
      <w:jc w:val="center"/>
      <w:textAlignment w:val="baseline"/>
    </w:pPr>
    <w:rPr>
      <w:rFonts w:ascii="Arial" w:hAnsi="Arial" w:cs="Arial"/>
      <w:i/>
      <w:iCs/>
      <w:kern w:val="0"/>
      <w:sz w:val="22"/>
      <w:lang w:val="de-DE" w:eastAsia="de-DE"/>
    </w:rPr>
  </w:style>
  <w:style w:type="paragraph" w:customStyle="1" w:styleId="550">
    <w:name w:val="p15"/>
    <w:basedOn w:val="1"/>
    <w:qFormat/>
    <w:uiPriority w:val="0"/>
    <w:pPr>
      <w:widowControl/>
      <w:snapToGrid w:val="0"/>
      <w:jc w:val="left"/>
    </w:pPr>
    <w:rPr>
      <w:rFonts w:ascii="宋体" w:hAnsi="宋体" w:cs="宋体"/>
      <w:b/>
      <w:bCs/>
      <w:kern w:val="0"/>
      <w:sz w:val="24"/>
      <w:szCs w:val="24"/>
    </w:rPr>
  </w:style>
  <w:style w:type="paragraph" w:customStyle="1" w:styleId="551">
    <w:name w:val="CM31"/>
    <w:basedOn w:val="274"/>
    <w:next w:val="274"/>
    <w:qFormat/>
    <w:uiPriority w:val="0"/>
    <w:pPr>
      <w:spacing w:line="400" w:lineRule="atLeast"/>
    </w:pPr>
    <w:rPr>
      <w:rFonts w:ascii="宋体" w:eastAsia="宋体" w:cs="宋体"/>
      <w:color w:val="auto"/>
    </w:rPr>
  </w:style>
  <w:style w:type="paragraph" w:customStyle="1" w:styleId="552">
    <w:name w:val="Char16"/>
    <w:basedOn w:val="1"/>
    <w:qFormat/>
    <w:uiPriority w:val="0"/>
    <w:rPr>
      <w:rFonts w:ascii="Times New Roman" w:hAnsi="Times New Roman"/>
      <w:szCs w:val="20"/>
    </w:rPr>
  </w:style>
  <w:style w:type="paragraph" w:customStyle="1" w:styleId="553">
    <w:name w:val="CM13"/>
    <w:basedOn w:val="274"/>
    <w:next w:val="274"/>
    <w:qFormat/>
    <w:uiPriority w:val="0"/>
    <w:pPr>
      <w:spacing w:line="276" w:lineRule="atLeast"/>
    </w:pPr>
    <w:rPr>
      <w:rFonts w:ascii="Century Gothic" w:hAnsi="Century Gothic" w:eastAsia="宋体" w:cs="Century Gothic"/>
      <w:color w:val="auto"/>
    </w:rPr>
  </w:style>
  <w:style w:type="paragraph" w:customStyle="1" w:styleId="554">
    <w:name w:val="样式4"/>
    <w:basedOn w:val="2"/>
    <w:qFormat/>
    <w:uiPriority w:val="0"/>
    <w:pPr>
      <w:spacing w:before="340" w:after="330" w:line="578" w:lineRule="auto"/>
      <w:ind w:firstLine="641"/>
      <w:jc w:val="both"/>
    </w:pPr>
    <w:rPr>
      <w:rFonts w:ascii="仿宋_GB2312" w:hAnsi="仿宋_GB2312" w:eastAsia="楷体_GB2312"/>
      <w:b w:val="0"/>
      <w:bCs/>
      <w:sz w:val="32"/>
      <w:szCs w:val="32"/>
    </w:rPr>
  </w:style>
  <w:style w:type="paragraph" w:customStyle="1" w:styleId="555">
    <w:name w:val="Fußzeile ungerade"/>
    <w:basedOn w:val="37"/>
    <w:qFormat/>
    <w:uiPriority w:val="0"/>
    <w:pPr>
      <w:keepLines/>
      <w:widowControl/>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556">
    <w:name w:val="段落"/>
    <w:qFormat/>
    <w:uiPriority w:val="0"/>
    <w:pPr>
      <w:spacing w:line="310" w:lineRule="exact"/>
      <w:ind w:firstLine="200" w:firstLineChars="200"/>
    </w:pPr>
    <w:rPr>
      <w:rFonts w:ascii="Times New Roman" w:hAnsi="Times New Roman" w:eastAsia="宋体" w:cs="Times New Roman"/>
      <w:sz w:val="21"/>
      <w:lang w:val="en-US" w:eastAsia="zh-CN" w:bidi="ar-SA"/>
    </w:rPr>
  </w:style>
  <w:style w:type="paragraph" w:customStyle="1" w:styleId="557">
    <w:name w:val="CM101"/>
    <w:basedOn w:val="274"/>
    <w:next w:val="274"/>
    <w:qFormat/>
    <w:uiPriority w:val="0"/>
    <w:pPr>
      <w:spacing w:after="800"/>
    </w:pPr>
    <w:rPr>
      <w:rFonts w:ascii="宋体" w:eastAsia="宋体" w:cs="宋体"/>
      <w:color w:val="auto"/>
    </w:rPr>
  </w:style>
  <w:style w:type="paragraph" w:customStyle="1" w:styleId="558">
    <w:name w:val="CM29"/>
    <w:basedOn w:val="274"/>
    <w:next w:val="274"/>
    <w:qFormat/>
    <w:uiPriority w:val="0"/>
    <w:pPr>
      <w:spacing w:line="400" w:lineRule="atLeast"/>
    </w:pPr>
    <w:rPr>
      <w:rFonts w:ascii="宋体" w:eastAsia="宋体" w:cs="宋体"/>
      <w:color w:val="auto"/>
    </w:rPr>
  </w:style>
  <w:style w:type="paragraph" w:customStyle="1" w:styleId="559">
    <w:name w:val="Char Char Char Char Char Char Char"/>
    <w:basedOn w:val="1"/>
    <w:qFormat/>
    <w:uiPriority w:val="0"/>
    <w:pPr>
      <w:tabs>
        <w:tab w:val="left" w:pos="360"/>
      </w:tabs>
    </w:pPr>
    <w:rPr>
      <w:rFonts w:ascii="Times New Roman" w:hAnsi="Times New Roman"/>
      <w:szCs w:val="24"/>
    </w:rPr>
  </w:style>
  <w:style w:type="paragraph" w:customStyle="1" w:styleId="560">
    <w:name w:val="_Style 6"/>
    <w:basedOn w:val="1"/>
    <w:qFormat/>
    <w:uiPriority w:val="0"/>
    <w:pPr>
      <w:widowControl/>
      <w:spacing w:after="200" w:line="252" w:lineRule="auto"/>
      <w:ind w:left="720"/>
      <w:contextualSpacing/>
      <w:jc w:val="left"/>
    </w:pPr>
    <w:rPr>
      <w:rFonts w:ascii="Cambria" w:hAnsi="Cambria"/>
      <w:kern w:val="0"/>
      <w:sz w:val="22"/>
      <w:szCs w:val="24"/>
      <w:lang w:eastAsia="en-US" w:bidi="en-US"/>
    </w:rPr>
  </w:style>
  <w:style w:type="paragraph" w:customStyle="1" w:styleId="561">
    <w:name w:val="CM14"/>
    <w:basedOn w:val="274"/>
    <w:next w:val="274"/>
    <w:qFormat/>
    <w:uiPriority w:val="0"/>
    <w:pPr>
      <w:spacing w:line="278" w:lineRule="atLeast"/>
    </w:pPr>
    <w:rPr>
      <w:rFonts w:ascii="Century Gothic" w:hAnsi="Century Gothic" w:eastAsia="宋体" w:cs="Century Gothic"/>
      <w:color w:val="auto"/>
    </w:rPr>
  </w:style>
  <w:style w:type="paragraph" w:customStyle="1" w:styleId="562">
    <w:name w:val="默认段落字体 Para Char Char Char Char Char Char Char"/>
    <w:basedOn w:val="19"/>
    <w:qFormat/>
    <w:uiPriority w:val="0"/>
    <w:pPr>
      <w:adjustRightInd w:val="0"/>
      <w:spacing w:line="436" w:lineRule="exact"/>
      <w:ind w:left="357"/>
      <w:jc w:val="left"/>
      <w:outlineLvl w:val="3"/>
    </w:pPr>
    <w:rPr>
      <w:rFonts w:ascii="Tahoma" w:hAnsi="Tahoma"/>
      <w:b/>
      <w:sz w:val="24"/>
      <w:szCs w:val="24"/>
    </w:rPr>
  </w:style>
  <w:style w:type="paragraph" w:customStyle="1" w:styleId="563">
    <w:name w:val="默认段落字体 Para Char Char Char Char"/>
    <w:basedOn w:val="1"/>
    <w:qFormat/>
    <w:uiPriority w:val="0"/>
    <w:rPr>
      <w:rFonts w:ascii="Times New Roman" w:hAnsi="Times New Roman"/>
      <w:kern w:val="0"/>
      <w:sz w:val="24"/>
      <w:szCs w:val="20"/>
    </w:rPr>
  </w:style>
  <w:style w:type="paragraph" w:customStyle="1" w:styleId="564">
    <w:name w:val="Numerierung Ende"/>
    <w:basedOn w:val="432"/>
    <w:next w:val="24"/>
    <w:qFormat/>
    <w:uiPriority w:val="0"/>
    <w:pPr>
      <w:spacing w:after="240"/>
    </w:pPr>
  </w:style>
  <w:style w:type="paragraph" w:customStyle="1" w:styleId="565">
    <w:name w:val="WW-Liste 3"/>
    <w:basedOn w:val="18"/>
    <w:qFormat/>
    <w:uiPriority w:val="0"/>
    <w:pPr>
      <w:tabs>
        <w:tab w:val="left" w:pos="1440"/>
      </w:tabs>
      <w:suppressAutoHyphens/>
      <w:overflowPunct w:val="0"/>
      <w:autoSpaceDE w:val="0"/>
      <w:autoSpaceDN w:val="0"/>
      <w:spacing w:after="80" w:line="340" w:lineRule="atLeast"/>
      <w:ind w:left="1440" w:hanging="360"/>
      <w:jc w:val="both"/>
      <w:textAlignment w:val="baseline"/>
    </w:pPr>
    <w:rPr>
      <w:rFonts w:hint="default" w:ascii="Arial Narrow" w:hAnsi="Arial Narrow" w:cs="Arial Narrow"/>
      <w:sz w:val="22"/>
      <w:szCs w:val="22"/>
      <w:lang w:val="de-DE" w:eastAsia="de-DE"/>
    </w:rPr>
  </w:style>
  <w:style w:type="paragraph" w:customStyle="1" w:styleId="566">
    <w:name w:val="Numerierung Anfang"/>
    <w:basedOn w:val="432"/>
    <w:next w:val="432"/>
    <w:qFormat/>
    <w:uiPriority w:val="0"/>
    <w:pPr>
      <w:spacing w:before="80"/>
    </w:pPr>
  </w:style>
  <w:style w:type="paragraph" w:customStyle="1" w:styleId="567">
    <w:name w:val="Aufzählung Ende"/>
    <w:basedOn w:val="472"/>
    <w:next w:val="24"/>
    <w:qFormat/>
    <w:uiPriority w:val="0"/>
    <w:pPr>
      <w:spacing w:after="240"/>
    </w:pPr>
  </w:style>
  <w:style w:type="paragraph" w:customStyle="1" w:styleId="568">
    <w:name w:val="WW-Index 8"/>
    <w:basedOn w:val="1"/>
    <w:qFormat/>
    <w:uiPriority w:val="0"/>
    <w:pPr>
      <w:widowControl/>
      <w:tabs>
        <w:tab w:val="right" w:leader="dot" w:pos="3960"/>
      </w:tabs>
      <w:overflowPunct w:val="0"/>
      <w:autoSpaceDE w:val="0"/>
      <w:autoSpaceDN w:val="0"/>
      <w:adjustRightInd w:val="0"/>
      <w:spacing w:after="120" w:line="360" w:lineRule="auto"/>
      <w:ind w:left="2520" w:hanging="720"/>
      <w:textAlignment w:val="baseline"/>
    </w:pPr>
    <w:rPr>
      <w:rFonts w:ascii="Wund" w:hAnsi="Wund" w:cs="Wund"/>
      <w:kern w:val="0"/>
      <w:sz w:val="22"/>
      <w:lang w:val="de-DE" w:eastAsia="de-DE"/>
    </w:rPr>
  </w:style>
  <w:style w:type="paragraph" w:customStyle="1" w:styleId="569">
    <w:name w:val="CM24"/>
    <w:basedOn w:val="274"/>
    <w:next w:val="274"/>
    <w:qFormat/>
    <w:uiPriority w:val="0"/>
    <w:pPr>
      <w:spacing w:line="440" w:lineRule="atLeast"/>
    </w:pPr>
    <w:rPr>
      <w:rFonts w:ascii="宋体" w:eastAsia="宋体" w:cs="宋体"/>
      <w:color w:val="auto"/>
    </w:rPr>
  </w:style>
  <w:style w:type="paragraph" w:customStyle="1" w:styleId="570">
    <w:name w:val="正文文字缩进"/>
    <w:basedOn w:val="1"/>
    <w:next w:val="1"/>
    <w:qFormat/>
    <w:uiPriority w:val="0"/>
    <w:pPr>
      <w:widowControl/>
      <w:tabs>
        <w:tab w:val="left" w:pos="0"/>
        <w:tab w:val="left" w:pos="993"/>
        <w:tab w:val="left" w:pos="1134"/>
      </w:tabs>
      <w:spacing w:line="500" w:lineRule="exact"/>
      <w:ind w:firstLine="567"/>
    </w:pPr>
    <w:rPr>
      <w:rFonts w:ascii="宋体" w:hAnsi="Times New Roman"/>
      <w:color w:val="000000"/>
      <w:kern w:val="0"/>
      <w:sz w:val="28"/>
      <w:szCs w:val="20"/>
    </w:rPr>
  </w:style>
  <w:style w:type="paragraph" w:customStyle="1" w:styleId="571">
    <w:name w:val="Aufzählung 1 Anfang"/>
    <w:basedOn w:val="18"/>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72">
    <w:name w:val="CM26"/>
    <w:basedOn w:val="274"/>
    <w:next w:val="274"/>
    <w:qFormat/>
    <w:uiPriority w:val="0"/>
    <w:pPr>
      <w:spacing w:line="400" w:lineRule="atLeast"/>
    </w:pPr>
    <w:rPr>
      <w:rFonts w:ascii="宋体" w:eastAsia="宋体" w:cs="宋体"/>
      <w:color w:val="auto"/>
    </w:rPr>
  </w:style>
  <w:style w:type="paragraph" w:customStyle="1" w:styleId="573">
    <w:name w:val="Titel-Gutachten"/>
    <w:basedOn w:val="1"/>
    <w:qFormat/>
    <w:uiPriority w:val="0"/>
    <w:pPr>
      <w:widowControl/>
      <w:overflowPunct w:val="0"/>
      <w:autoSpaceDE w:val="0"/>
      <w:autoSpaceDN w:val="0"/>
      <w:adjustRightInd w:val="0"/>
      <w:spacing w:after="120" w:line="360" w:lineRule="auto"/>
      <w:jc w:val="center"/>
      <w:textAlignment w:val="baseline"/>
    </w:pPr>
    <w:rPr>
      <w:rFonts w:ascii="Wund" w:hAnsi="Wund" w:cs="Wund"/>
      <w:b/>
      <w:bCs/>
      <w:kern w:val="0"/>
      <w:sz w:val="36"/>
      <w:szCs w:val="36"/>
      <w:lang w:val="de-DE" w:eastAsia="de-DE"/>
    </w:rPr>
  </w:style>
  <w:style w:type="paragraph" w:customStyle="1" w:styleId="574">
    <w:name w:val="WW-Index 5"/>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75">
    <w:name w:val="CM85"/>
    <w:basedOn w:val="274"/>
    <w:next w:val="274"/>
    <w:qFormat/>
    <w:uiPriority w:val="0"/>
    <w:pPr>
      <w:spacing w:line="443" w:lineRule="atLeast"/>
    </w:pPr>
    <w:rPr>
      <w:rFonts w:ascii="宋体" w:eastAsia="宋体" w:cs="宋体"/>
      <w:color w:val="auto"/>
    </w:rPr>
  </w:style>
  <w:style w:type="paragraph" w:customStyle="1" w:styleId="576">
    <w:name w:val="CM104"/>
    <w:basedOn w:val="274"/>
    <w:next w:val="274"/>
    <w:qFormat/>
    <w:uiPriority w:val="0"/>
    <w:pPr>
      <w:spacing w:after="1318"/>
    </w:pPr>
    <w:rPr>
      <w:rFonts w:ascii="宋体" w:eastAsia="宋体" w:cs="宋体"/>
      <w:color w:val="auto"/>
    </w:rPr>
  </w:style>
  <w:style w:type="paragraph" w:customStyle="1" w:styleId="577">
    <w:name w:val="Zchn Zchn21"/>
    <w:basedOn w:val="19"/>
    <w:qFormat/>
    <w:uiPriority w:val="0"/>
    <w:rPr>
      <w:rFonts w:ascii="Calibri" w:hAnsi="Calibri"/>
      <w:kern w:val="0"/>
      <w:sz w:val="16"/>
      <w:szCs w:val="16"/>
      <w:lang w:val="de-DE" w:eastAsia="de-DE"/>
    </w:rPr>
  </w:style>
  <w:style w:type="paragraph" w:customStyle="1" w:styleId="578">
    <w:name w:val="WW-Makrotext"/>
    <w:basedOn w:val="24"/>
    <w:qFormat/>
    <w:uiPriority w:val="0"/>
    <w:pPr>
      <w:suppressAutoHyphens/>
      <w:overflowPunct w:val="0"/>
      <w:autoSpaceDE w:val="0"/>
      <w:autoSpaceDN w:val="0"/>
      <w:adjustRightInd w:val="0"/>
      <w:spacing w:line="340" w:lineRule="atLeast"/>
      <w:textAlignment w:val="baseline"/>
    </w:pPr>
    <w:rPr>
      <w:rFonts w:ascii="Courier New" w:hAnsi="Courier New" w:cs="Courier New"/>
      <w:kern w:val="0"/>
      <w:sz w:val="22"/>
      <w:szCs w:val="22"/>
      <w:lang w:val="de-DE" w:eastAsia="de-DE"/>
    </w:rPr>
  </w:style>
  <w:style w:type="paragraph" w:customStyle="1" w:styleId="579">
    <w:name w:val="CM30"/>
    <w:basedOn w:val="274"/>
    <w:next w:val="274"/>
    <w:qFormat/>
    <w:uiPriority w:val="0"/>
    <w:pPr>
      <w:spacing w:after="260"/>
    </w:pPr>
    <w:rPr>
      <w:rFonts w:ascii="Century Gothic" w:hAnsi="Century Gothic" w:eastAsia="宋体" w:cs="Century Gothic"/>
      <w:color w:val="auto"/>
    </w:rPr>
  </w:style>
  <w:style w:type="paragraph" w:customStyle="1" w:styleId="580">
    <w:name w:val="CM2"/>
    <w:basedOn w:val="274"/>
    <w:next w:val="274"/>
    <w:qFormat/>
    <w:uiPriority w:val="0"/>
    <w:pPr>
      <w:spacing w:line="500" w:lineRule="atLeast"/>
    </w:pPr>
    <w:rPr>
      <w:rFonts w:ascii="宋体" w:eastAsia="宋体" w:cs="宋体"/>
      <w:color w:val="auto"/>
    </w:rPr>
  </w:style>
  <w:style w:type="paragraph" w:customStyle="1" w:styleId="581">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582">
    <w:name w:val="Basis-Kopfzeile"/>
    <w:basedOn w:val="1"/>
    <w:qFormat/>
    <w:uiPriority w:val="0"/>
    <w:pPr>
      <w:keepLines/>
      <w:widowControl/>
      <w:tabs>
        <w:tab w:val="center" w:pos="4320"/>
        <w:tab w:val="righ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83">
    <w:name w:val="CM140"/>
    <w:basedOn w:val="274"/>
    <w:next w:val="274"/>
    <w:qFormat/>
    <w:uiPriority w:val="0"/>
    <w:pPr>
      <w:spacing w:after="115"/>
    </w:pPr>
    <w:rPr>
      <w:rFonts w:ascii="宋体" w:eastAsia="宋体" w:cs="宋体"/>
      <w:color w:val="auto"/>
    </w:rPr>
  </w:style>
  <w:style w:type="paragraph" w:customStyle="1" w:styleId="584">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585">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szCs w:val="24"/>
      <w:lang w:val="en-US" w:eastAsia="zh-CN" w:bidi="ar-SA"/>
    </w:rPr>
  </w:style>
  <w:style w:type="paragraph" w:customStyle="1" w:styleId="586">
    <w:name w:val="WW-Nachrichtenkopf"/>
    <w:basedOn w:val="24"/>
    <w:qFormat/>
    <w:uiPriority w:val="0"/>
    <w:pPr>
      <w:keepLines/>
      <w:tabs>
        <w:tab w:val="left" w:pos="3600"/>
        <w:tab w:val="left" w:pos="4680"/>
      </w:tabs>
      <w:suppressAutoHyphens/>
      <w:overflowPunct w:val="0"/>
      <w:autoSpaceDE w:val="0"/>
      <w:autoSpaceDN w:val="0"/>
      <w:adjustRightInd w:val="0"/>
      <w:spacing w:after="240" w:line="340" w:lineRule="atLeast"/>
      <w:ind w:left="1080" w:right="2880" w:hanging="1080"/>
      <w:textAlignment w:val="baseline"/>
    </w:pPr>
    <w:rPr>
      <w:rFonts w:ascii="Wund" w:hAnsi="Wund"/>
      <w:kern w:val="0"/>
      <w:sz w:val="22"/>
      <w:szCs w:val="22"/>
      <w:lang w:val="de-DE" w:eastAsia="de-DE"/>
    </w:rPr>
  </w:style>
  <w:style w:type="paragraph" w:customStyle="1" w:styleId="587">
    <w:name w:val="正文文本1"/>
    <w:basedOn w:val="1"/>
    <w:qFormat/>
    <w:uiPriority w:val="0"/>
    <w:pPr>
      <w:suppressAutoHyphens/>
      <w:overflowPunct w:val="0"/>
      <w:autoSpaceDE w:val="0"/>
      <w:autoSpaceDN w:val="0"/>
      <w:adjustRightInd w:val="0"/>
      <w:spacing w:after="160" w:line="56" w:lineRule="atLeast"/>
      <w:textAlignment w:val="baseline"/>
    </w:pPr>
    <w:rPr>
      <w:rFonts w:ascii="Arial Narrow" w:hAnsi="Arial Narrow" w:cs="Arial Narrow"/>
      <w:kern w:val="0"/>
      <w:sz w:val="24"/>
      <w:szCs w:val="24"/>
      <w:lang w:val="de-DE" w:eastAsia="de-DE"/>
    </w:rPr>
  </w:style>
  <w:style w:type="paragraph" w:customStyle="1" w:styleId="588">
    <w:name w:val="CM105"/>
    <w:basedOn w:val="274"/>
    <w:next w:val="274"/>
    <w:qFormat/>
    <w:uiPriority w:val="0"/>
    <w:pPr>
      <w:spacing w:after="1040"/>
    </w:pPr>
    <w:rPr>
      <w:rFonts w:ascii="宋体" w:eastAsia="宋体" w:cs="宋体"/>
      <w:color w:val="auto"/>
    </w:rPr>
  </w:style>
  <w:style w:type="paragraph" w:customStyle="1" w:styleId="589">
    <w:name w:val="SS正文首行缩进 +"/>
    <w:basedOn w:val="4"/>
    <w:qFormat/>
    <w:uiPriority w:val="0"/>
    <w:pPr>
      <w:spacing w:beforeLines="50" w:after="0" w:line="360" w:lineRule="auto"/>
      <w:ind w:firstLine="480" w:firstLineChars="200"/>
    </w:pPr>
    <w:rPr>
      <w:rFonts w:eastAsia="Times New Roman"/>
      <w:color w:val="000000"/>
      <w:sz w:val="24"/>
      <w:szCs w:val="24"/>
    </w:rPr>
  </w:style>
  <w:style w:type="paragraph" w:customStyle="1" w:styleId="590">
    <w:name w:val="正文缩进1"/>
    <w:qFormat/>
    <w:uiPriority w:val="0"/>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s>
      <w:spacing w:line="440" w:lineRule="exact"/>
      <w:ind w:firstLine="200"/>
      <w:jc w:val="center"/>
    </w:pPr>
    <w:rPr>
      <w:rFonts w:ascii="Lucida Grande" w:hAnsi="Lucida Grande" w:eastAsia="宋体" w:cs="Times New Roman"/>
      <w:b/>
      <w:color w:val="000000"/>
      <w:spacing w:val="14"/>
      <w:kern w:val="24"/>
      <w:sz w:val="21"/>
      <w:lang w:val="en-US" w:eastAsia="zh-CN" w:bidi="ar-SA"/>
    </w:rPr>
  </w:style>
  <w:style w:type="paragraph" w:customStyle="1" w:styleId="591">
    <w:name w:val="Betreff"/>
    <w:basedOn w:val="24"/>
    <w:next w:val="24"/>
    <w:qFormat/>
    <w:uiPriority w:val="0"/>
    <w:pPr>
      <w:suppressAutoHyphens/>
      <w:overflowPunct w:val="0"/>
      <w:autoSpaceDE w:val="0"/>
      <w:autoSpaceDN w:val="0"/>
      <w:adjustRightInd w:val="0"/>
      <w:spacing w:line="340" w:lineRule="atLeast"/>
      <w:textAlignment w:val="baseline"/>
    </w:pPr>
    <w:rPr>
      <w:rFonts w:ascii="Arial Narrow" w:hAnsi="Arial Narrow" w:cs="Arial Narrow"/>
      <w:i/>
      <w:iCs/>
      <w:kern w:val="0"/>
      <w:sz w:val="22"/>
      <w:szCs w:val="22"/>
      <w:u w:val="single"/>
      <w:lang w:val="de-DE" w:eastAsia="de-DE"/>
    </w:rPr>
  </w:style>
  <w:style w:type="paragraph" w:customStyle="1" w:styleId="592">
    <w:name w:val="Char161"/>
    <w:basedOn w:val="1"/>
    <w:qFormat/>
    <w:uiPriority w:val="0"/>
    <w:rPr>
      <w:rFonts w:ascii="Times New Roman" w:hAnsi="Times New Roman"/>
      <w:szCs w:val="20"/>
    </w:rPr>
  </w:style>
  <w:style w:type="paragraph" w:customStyle="1" w:styleId="593">
    <w:name w:val="CM172"/>
    <w:basedOn w:val="274"/>
    <w:next w:val="274"/>
    <w:qFormat/>
    <w:uiPriority w:val="0"/>
    <w:pPr>
      <w:spacing w:after="108"/>
    </w:pPr>
    <w:rPr>
      <w:rFonts w:ascii="宋体" w:eastAsia="宋体" w:cs="宋体"/>
      <w:color w:val="auto"/>
    </w:rPr>
  </w:style>
  <w:style w:type="paragraph" w:customStyle="1" w:styleId="594">
    <w:name w:val="Char Char Char1"/>
    <w:basedOn w:val="1"/>
    <w:qFormat/>
    <w:uiPriority w:val="0"/>
    <w:rPr>
      <w:rFonts w:ascii="Times New Roman" w:hAnsi="Times New Roman"/>
      <w:szCs w:val="20"/>
    </w:rPr>
  </w:style>
  <w:style w:type="paragraph" w:customStyle="1" w:styleId="595">
    <w:name w:val="CM42"/>
    <w:basedOn w:val="274"/>
    <w:next w:val="274"/>
    <w:qFormat/>
    <w:uiPriority w:val="0"/>
    <w:pPr>
      <w:spacing w:after="120"/>
    </w:pPr>
    <w:rPr>
      <w:rFonts w:ascii="Century Gothic" w:hAnsi="Century Gothic" w:eastAsia="宋体" w:cs="Century Gothic"/>
      <w:color w:val="auto"/>
    </w:rPr>
  </w:style>
  <w:style w:type="paragraph" w:customStyle="1" w:styleId="596">
    <w:name w:val="Aufzählung 1 Ende"/>
    <w:basedOn w:val="18"/>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7">
    <w:name w:val="Numerierung 1 Ende"/>
    <w:basedOn w:val="18"/>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8">
    <w:name w:val="WW-Listennummer 5"/>
    <w:basedOn w:val="432"/>
    <w:qFormat/>
    <w:uiPriority w:val="0"/>
    <w:pPr>
      <w:ind w:left="2160"/>
    </w:pPr>
  </w:style>
  <w:style w:type="paragraph" w:customStyle="1" w:styleId="599">
    <w:name w:val="CM54"/>
    <w:basedOn w:val="274"/>
    <w:next w:val="274"/>
    <w:qFormat/>
    <w:uiPriority w:val="0"/>
    <w:pPr>
      <w:spacing w:line="398" w:lineRule="atLeast"/>
    </w:pPr>
    <w:rPr>
      <w:rFonts w:ascii="宋体" w:eastAsia="宋体" w:cs="宋体"/>
      <w:color w:val="auto"/>
    </w:rPr>
  </w:style>
  <w:style w:type="paragraph" w:customStyle="1" w:styleId="600">
    <w:name w:val="Abschnittsbezeichnung"/>
    <w:basedOn w:val="467"/>
    <w:next w:val="24"/>
    <w:qFormat/>
    <w:uiPriority w:val="0"/>
    <w:pPr>
      <w:spacing w:after="360"/>
      <w:jc w:val="center"/>
    </w:pPr>
  </w:style>
  <w:style w:type="paragraph" w:customStyle="1" w:styleId="601">
    <w:name w:val="Rahmeninhalt"/>
    <w:basedOn w:val="24"/>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602">
    <w:name w:val="Char Char Char Char Char Char1"/>
    <w:basedOn w:val="1"/>
    <w:qFormat/>
    <w:uiPriority w:val="0"/>
    <w:rPr>
      <w:rFonts w:ascii="Tahoma" w:hAnsi="Tahoma"/>
      <w:sz w:val="24"/>
      <w:szCs w:val="20"/>
    </w:rPr>
  </w:style>
  <w:style w:type="paragraph" w:customStyle="1" w:styleId="603">
    <w:name w:val="WW-Liste 2"/>
    <w:basedOn w:val="18"/>
    <w:qFormat/>
    <w:uiPriority w:val="0"/>
    <w:pPr>
      <w:tabs>
        <w:tab w:val="left" w:pos="1080"/>
      </w:tabs>
      <w:suppressAutoHyphens/>
      <w:overflowPunct w:val="0"/>
      <w:autoSpaceDE w:val="0"/>
      <w:autoSpaceDN w:val="0"/>
      <w:spacing w:after="80" w:line="340" w:lineRule="atLeast"/>
      <w:ind w:left="1080" w:hanging="360"/>
      <w:jc w:val="both"/>
      <w:textAlignment w:val="baseline"/>
    </w:pPr>
    <w:rPr>
      <w:rFonts w:hint="default" w:ascii="Arial Narrow" w:hAnsi="Arial Narrow" w:cs="Arial Narrow"/>
      <w:sz w:val="22"/>
      <w:szCs w:val="22"/>
      <w:lang w:val="de-DE" w:eastAsia="de-DE"/>
    </w:rPr>
  </w:style>
  <w:style w:type="paragraph" w:customStyle="1" w:styleId="604">
    <w:name w:val="Numerierung 1"/>
    <w:basedOn w:val="18"/>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605">
    <w:name w:val="CM16"/>
    <w:basedOn w:val="274"/>
    <w:next w:val="274"/>
    <w:qFormat/>
    <w:uiPriority w:val="0"/>
    <w:pPr>
      <w:spacing w:line="276" w:lineRule="atLeast"/>
    </w:pPr>
    <w:rPr>
      <w:rFonts w:ascii="Century Gothic" w:hAnsi="Century Gothic" w:eastAsia="宋体" w:cs="Century Gothic"/>
      <w:color w:val="auto"/>
    </w:rPr>
  </w:style>
  <w:style w:type="paragraph" w:customStyle="1" w:styleId="606">
    <w:name w:val="Numerierung 1 Fortsetzung"/>
    <w:basedOn w:val="18"/>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607">
    <w:name w:val="CM38"/>
    <w:basedOn w:val="274"/>
    <w:next w:val="274"/>
    <w:qFormat/>
    <w:uiPriority w:val="0"/>
    <w:pPr>
      <w:spacing w:after="525"/>
    </w:pPr>
    <w:rPr>
      <w:rFonts w:ascii="Century Gothic" w:hAnsi="Century Gothic" w:eastAsia="宋体" w:cs="Century Gothic"/>
      <w:color w:val="auto"/>
    </w:rPr>
  </w:style>
  <w:style w:type="paragraph" w:customStyle="1" w:styleId="608">
    <w:name w:val="CM9"/>
    <w:basedOn w:val="274"/>
    <w:next w:val="274"/>
    <w:qFormat/>
    <w:uiPriority w:val="0"/>
    <w:pPr>
      <w:spacing w:line="323" w:lineRule="atLeast"/>
    </w:pPr>
    <w:rPr>
      <w:rFonts w:ascii="Century Gothic" w:hAnsi="Century Gothic" w:eastAsia="宋体" w:cs="Century Gothic"/>
      <w:color w:val="auto"/>
    </w:rPr>
  </w:style>
  <w:style w:type="paragraph" w:customStyle="1" w:styleId="609">
    <w:name w:val="WW-Listennummer 2"/>
    <w:basedOn w:val="432"/>
    <w:qFormat/>
    <w:uiPriority w:val="0"/>
    <w:pPr>
      <w:ind w:left="1080"/>
    </w:pPr>
  </w:style>
  <w:style w:type="paragraph" w:customStyle="1" w:styleId="610">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611">
    <w:name w:val="列出段落31"/>
    <w:basedOn w:val="1"/>
    <w:qFormat/>
    <w:uiPriority w:val="0"/>
    <w:pPr>
      <w:ind w:firstLine="420" w:firstLineChars="200"/>
    </w:pPr>
  </w:style>
  <w:style w:type="character" w:customStyle="1" w:styleId="612">
    <w:name w:val="username"/>
    <w:basedOn w:val="57"/>
    <w:qFormat/>
    <w:uiPriority w:val="0"/>
  </w:style>
  <w:style w:type="character" w:customStyle="1" w:styleId="613">
    <w:name w:val="title26"/>
    <w:basedOn w:val="57"/>
    <w:qFormat/>
    <w:uiPriority w:val="0"/>
  </w:style>
  <w:style w:type="character" w:customStyle="1" w:styleId="614">
    <w:name w:val="title24"/>
    <w:basedOn w:val="57"/>
    <w:qFormat/>
    <w:uiPriority w:val="0"/>
  </w:style>
  <w:style w:type="paragraph" w:customStyle="1" w:styleId="615">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17">
    <w:name w:val="PlainText"/>
    <w:basedOn w:val="1"/>
    <w:qFormat/>
    <w:uiPriority w:val="0"/>
    <w:rPr>
      <w:rFonts w:ascii="宋体" w:hAnsi="Courier New"/>
      <w:kern w:val="0"/>
      <w:sz w:val="20"/>
      <w:szCs w:val="20"/>
    </w:rPr>
  </w:style>
  <w:style w:type="paragraph" w:customStyle="1" w:styleId="618">
    <w:name w:val="正文文本3"/>
    <w:basedOn w:val="1"/>
    <w:qFormat/>
    <w:uiPriority w:val="0"/>
    <w:pPr>
      <w:shd w:val="clear" w:color="auto" w:fill="FFFFFF"/>
      <w:spacing w:line="0" w:lineRule="atLeast"/>
    </w:pPr>
    <w:rPr>
      <w:rFonts w:ascii="宋体" w:hAnsi="宋体" w:cs="宋体"/>
      <w:sz w:val="19"/>
      <w:szCs w:val="19"/>
    </w:rPr>
  </w:style>
  <w:style w:type="character" w:customStyle="1" w:styleId="6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5115-BC49-43F0-AFB5-E8FE9A309B79}">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68198</Words>
  <Characters>72806</Characters>
  <Lines>876</Lines>
  <Paragraphs>246</Paragraphs>
  <TotalTime>14</TotalTime>
  <ScaleCrop>false</ScaleCrop>
  <LinksUpToDate>false</LinksUpToDate>
  <CharactersWithSpaces>76130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2022-06-01T01:55:00Z</dcterms:created>
  <dc:creator>管理员</dc:creator>
  <cp:lastModifiedBy>WPS_1470985716</cp:lastModifiedBy>
  <cp:lastPrinted>2023-10-08T01:37:00Z</cp:lastPrinted>
  <dcterms:modified xsi:type="dcterms:W3CDTF">2023-10-08T02:58:02Z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A92A068718414BFE8A258B4D183A601B_13</vt:lpwstr>
  </property>
</Properties>
</file>