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s="Times New Roman"/>
          <w:color w:val="auto"/>
          <w:highlight w:val="none"/>
          <w:lang w:val="en-US" w:eastAsia="zh-CN"/>
        </w:rPr>
      </w:pPr>
      <w:r>
        <w:rPr>
          <w:rFonts w:ascii="宋体" w:hAnsi="宋体" w:cs="Times New Roman"/>
          <w:color w:val="auto"/>
          <w:highlight w:val="none"/>
          <w:lang w:val="en-US" w:eastAsia="zh-CN"/>
        </w:rPr>
        <w:t>第三章 评标办法</w:t>
      </w:r>
      <w:r>
        <w:rPr>
          <w:rFonts w:hint="eastAsia" w:ascii="宋体" w:hAnsi="宋体" w:cs="Times New Roman"/>
          <w:color w:val="auto"/>
          <w:highlight w:val="none"/>
          <w:lang w:val="en-US" w:eastAsia="zh-CN"/>
        </w:rPr>
        <w:t>（双信封的技术评分最低标价法）</w:t>
      </w:r>
    </w:p>
    <w:p>
      <w:pPr>
        <w:spacing w:line="212" w:lineRule="auto"/>
        <w:ind w:left="1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评标办法前附表</w:t>
      </w:r>
    </w:p>
    <w:tbl>
      <w:tblPr>
        <w:tblStyle w:val="12"/>
        <w:tblW w:w="91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139"/>
        <w:gridCol w:w="7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065" w:type="dxa"/>
            <w:gridSpan w:val="2"/>
            <w:vAlign w:val="top"/>
          </w:tcPr>
          <w:p>
            <w:pPr>
              <w:pStyle w:val="11"/>
              <w:spacing w:before="104" w:line="228" w:lineRule="auto"/>
              <w:ind w:left="726"/>
              <w:rPr>
                <w:color w:val="auto"/>
                <w:sz w:val="21"/>
                <w:szCs w:val="21"/>
                <w:highlight w:val="none"/>
              </w:rPr>
            </w:pPr>
            <w:r>
              <w:rPr>
                <w:b/>
                <w:bCs/>
                <w:color w:val="auto"/>
                <w:spacing w:val="5"/>
                <w:sz w:val="21"/>
                <w:szCs w:val="21"/>
                <w:highlight w:val="none"/>
              </w:rPr>
              <w:t>条款号</w:t>
            </w:r>
          </w:p>
        </w:tc>
        <w:tc>
          <w:tcPr>
            <w:tcW w:w="7051" w:type="dxa"/>
            <w:vAlign w:val="top"/>
          </w:tcPr>
          <w:p>
            <w:pPr>
              <w:pStyle w:val="11"/>
              <w:spacing w:before="104" w:line="228" w:lineRule="auto"/>
              <w:ind w:left="2582"/>
              <w:rPr>
                <w:color w:val="auto"/>
                <w:sz w:val="21"/>
                <w:szCs w:val="21"/>
                <w:highlight w:val="none"/>
              </w:rPr>
            </w:pPr>
            <w:r>
              <w:rPr>
                <w:b/>
                <w:bCs/>
                <w:color w:val="auto"/>
                <w:spacing w:val="7"/>
                <w:sz w:val="21"/>
                <w:szCs w:val="21"/>
                <w:highlight w:val="no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6" w:type="dxa"/>
            <w:vAlign w:val="top"/>
          </w:tcPr>
          <w:p>
            <w:pPr>
              <w:spacing w:line="257" w:lineRule="auto"/>
              <w:rPr>
                <w:rFonts w:ascii="Arial"/>
                <w:color w:val="auto"/>
                <w:sz w:val="21"/>
                <w:szCs w:val="21"/>
                <w:highlight w:val="none"/>
              </w:rPr>
            </w:pPr>
          </w:p>
          <w:p>
            <w:pPr>
              <w:spacing w:line="257" w:lineRule="auto"/>
              <w:rPr>
                <w:rFonts w:ascii="Arial"/>
                <w:color w:val="auto"/>
                <w:sz w:val="21"/>
                <w:szCs w:val="21"/>
                <w:highlight w:val="none"/>
              </w:rPr>
            </w:pPr>
          </w:p>
          <w:p>
            <w:pPr>
              <w:spacing w:line="258" w:lineRule="auto"/>
              <w:rPr>
                <w:rFonts w:ascii="Arial"/>
                <w:color w:val="auto"/>
                <w:sz w:val="21"/>
                <w:szCs w:val="21"/>
                <w:highlight w:val="none"/>
              </w:rPr>
            </w:pPr>
          </w:p>
          <w:p>
            <w:pPr>
              <w:spacing w:line="258" w:lineRule="auto"/>
              <w:rPr>
                <w:rFonts w:ascii="Arial"/>
                <w:color w:val="auto"/>
                <w:sz w:val="21"/>
                <w:szCs w:val="21"/>
                <w:highlight w:val="none"/>
              </w:rPr>
            </w:pPr>
          </w:p>
          <w:p>
            <w:pPr>
              <w:spacing w:line="258" w:lineRule="auto"/>
              <w:rPr>
                <w:rFonts w:ascii="Arial"/>
                <w:color w:val="auto"/>
                <w:sz w:val="21"/>
                <w:szCs w:val="21"/>
                <w:highlight w:val="none"/>
              </w:rPr>
            </w:pPr>
          </w:p>
          <w:p>
            <w:pPr>
              <w:spacing w:line="258" w:lineRule="auto"/>
              <w:rPr>
                <w:rFonts w:ascii="Arial"/>
                <w:color w:val="auto"/>
                <w:sz w:val="21"/>
                <w:szCs w:val="21"/>
                <w:highlight w:val="none"/>
              </w:rPr>
            </w:pPr>
          </w:p>
          <w:p>
            <w:pPr>
              <w:pStyle w:val="11"/>
              <w:spacing w:before="65" w:line="189" w:lineRule="auto"/>
              <w:ind w:left="430"/>
              <w:rPr>
                <w:color w:val="auto"/>
                <w:sz w:val="21"/>
                <w:szCs w:val="21"/>
                <w:highlight w:val="none"/>
              </w:rPr>
            </w:pPr>
            <w:r>
              <w:rPr>
                <w:color w:val="auto"/>
                <w:sz w:val="21"/>
                <w:szCs w:val="21"/>
                <w:highlight w:val="none"/>
              </w:rPr>
              <w:t>1</w:t>
            </w:r>
          </w:p>
        </w:tc>
        <w:tc>
          <w:tcPr>
            <w:tcW w:w="1139" w:type="dxa"/>
            <w:vAlign w:val="top"/>
          </w:tcPr>
          <w:p>
            <w:pPr>
              <w:spacing w:line="254" w:lineRule="auto"/>
              <w:rPr>
                <w:rFonts w:ascii="Arial"/>
                <w:color w:val="auto"/>
                <w:sz w:val="21"/>
                <w:szCs w:val="21"/>
                <w:highlight w:val="none"/>
              </w:rPr>
            </w:pPr>
          </w:p>
          <w:p>
            <w:pPr>
              <w:spacing w:line="254" w:lineRule="auto"/>
              <w:rPr>
                <w:rFonts w:ascii="Arial"/>
                <w:color w:val="auto"/>
                <w:sz w:val="21"/>
                <w:szCs w:val="21"/>
                <w:highlight w:val="none"/>
              </w:rPr>
            </w:pPr>
          </w:p>
          <w:p>
            <w:pPr>
              <w:spacing w:line="254" w:lineRule="auto"/>
              <w:rPr>
                <w:rFonts w:ascii="Arial"/>
                <w:color w:val="auto"/>
                <w:sz w:val="21"/>
                <w:szCs w:val="21"/>
                <w:highlight w:val="none"/>
              </w:rPr>
            </w:pPr>
          </w:p>
          <w:p>
            <w:pPr>
              <w:spacing w:line="254" w:lineRule="auto"/>
              <w:rPr>
                <w:rFonts w:ascii="Arial"/>
                <w:color w:val="auto"/>
                <w:sz w:val="21"/>
                <w:szCs w:val="21"/>
                <w:highlight w:val="none"/>
              </w:rPr>
            </w:pPr>
          </w:p>
          <w:p>
            <w:pPr>
              <w:spacing w:line="255" w:lineRule="auto"/>
              <w:rPr>
                <w:rFonts w:ascii="Arial"/>
                <w:color w:val="auto"/>
                <w:sz w:val="21"/>
                <w:szCs w:val="21"/>
                <w:highlight w:val="none"/>
              </w:rPr>
            </w:pPr>
          </w:p>
          <w:p>
            <w:pPr>
              <w:spacing w:line="255" w:lineRule="auto"/>
              <w:rPr>
                <w:rFonts w:ascii="Arial"/>
                <w:color w:val="auto"/>
                <w:sz w:val="21"/>
                <w:szCs w:val="21"/>
                <w:highlight w:val="none"/>
              </w:rPr>
            </w:pPr>
          </w:p>
          <w:p>
            <w:pPr>
              <w:pStyle w:val="11"/>
              <w:spacing w:before="65" w:line="228" w:lineRule="auto"/>
              <w:ind w:left="153"/>
              <w:rPr>
                <w:color w:val="auto"/>
                <w:sz w:val="21"/>
                <w:szCs w:val="21"/>
                <w:highlight w:val="none"/>
              </w:rPr>
            </w:pPr>
            <w:r>
              <w:rPr>
                <w:color w:val="auto"/>
                <w:spacing w:val="7"/>
                <w:sz w:val="21"/>
                <w:szCs w:val="21"/>
                <w:highlight w:val="none"/>
              </w:rPr>
              <w:t>评标方法</w:t>
            </w:r>
          </w:p>
        </w:tc>
        <w:tc>
          <w:tcPr>
            <w:tcW w:w="7051" w:type="dxa"/>
            <w:vAlign w:val="top"/>
          </w:tcPr>
          <w:p>
            <w:pPr>
              <w:pStyle w:val="11"/>
              <w:keepNext w:val="0"/>
              <w:keepLines w:val="0"/>
              <w:pageBreakBefore w:val="0"/>
              <w:widowControl w:val="0"/>
              <w:kinsoku/>
              <w:wordWrap/>
              <w:overflowPunct/>
              <w:topLinePunct w:val="0"/>
              <w:autoSpaceDE/>
              <w:autoSpaceDN/>
              <w:bidi w:val="0"/>
              <w:adjustRightInd/>
              <w:snapToGrid/>
              <w:spacing w:before="160" w:line="360" w:lineRule="auto"/>
              <w:ind w:left="141"/>
              <w:textAlignment w:val="auto"/>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评分</w:t>
            </w:r>
            <w:r>
              <w:rPr>
                <w:rFonts w:hint="eastAsia" w:cs="宋体"/>
                <w:color w:val="auto"/>
                <w:spacing w:val="8"/>
                <w:sz w:val="21"/>
                <w:szCs w:val="21"/>
                <w:highlight w:val="none"/>
                <w:lang w:val="en-US" w:eastAsia="zh-CN"/>
              </w:rPr>
              <w:t>价</w:t>
            </w:r>
            <w:r>
              <w:rPr>
                <w:rFonts w:ascii="宋体" w:hAnsi="宋体" w:eastAsia="宋体" w:cs="宋体"/>
                <w:color w:val="auto"/>
                <w:spacing w:val="8"/>
                <w:sz w:val="21"/>
                <w:szCs w:val="21"/>
                <w:highlight w:val="none"/>
              </w:rPr>
              <w:t>相等时，评标委员会依次按照以下优先顺序推荐中标候选人或确定中标人：</w:t>
            </w:r>
          </w:p>
          <w:p>
            <w:pPr>
              <w:keepNext w:val="0"/>
              <w:keepLines w:val="0"/>
              <w:widowControl/>
              <w:suppressLineNumbers w:val="0"/>
              <w:spacing w:line="360" w:lineRule="auto"/>
              <w:jc w:val="left"/>
              <w:rPr>
                <w:color w:val="auto"/>
                <w:highlight w:val="none"/>
              </w:rPr>
            </w:pPr>
            <w:r>
              <w:rPr>
                <w:rFonts w:hint="eastAsia" w:ascii="宋体" w:hAnsi="宋体" w:eastAsia="宋体" w:cs="宋体"/>
                <w:color w:val="auto"/>
                <w:sz w:val="21"/>
                <w:szCs w:val="21"/>
                <w:highlight w:val="none"/>
              </w:rPr>
              <w:t>(1)按招标文件规定被认定为最新年度广东省公路工程从业单位信用评价等级较高的投标人优先；</w:t>
            </w:r>
            <w:r>
              <w:rPr>
                <w:rStyle w:val="10"/>
                <w:rFonts w:hint="eastAsia" w:ascii="宋体" w:hAnsi="宋体" w:eastAsia="宋体" w:cs="宋体"/>
                <w:color w:val="auto"/>
                <w:sz w:val="21"/>
                <w:szCs w:val="21"/>
                <w:highlight w:val="none"/>
                <w:lang w:val="en-US" w:eastAsia="zh-CN"/>
              </w:rPr>
              <w:t>①</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【采用如下的优先顺序：承诺使用的AA级投标人、不承诺使用的AA级投标人、承诺使用的A级投标人、不承诺使用的A级投标人、B级投标人、未参评且被确定为B级投标人】</w:t>
            </w:r>
          </w:p>
          <w:p>
            <w:pPr>
              <w:autoSpaceDE w:val="0"/>
              <w:autoSpaceDN w:val="0"/>
              <w:adjustRightInd w:val="0"/>
              <w:spacing w:line="360" w:lineRule="auto"/>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(2)以投标人企业最新年度净资产较高的优先；</w:t>
            </w:r>
          </w:p>
          <w:p>
            <w:pPr>
              <w:pStyle w:val="11"/>
              <w:keepNext w:val="0"/>
              <w:keepLines w:val="0"/>
              <w:pageBreakBefore w:val="0"/>
              <w:widowControl w:val="0"/>
              <w:kinsoku/>
              <w:wordWrap/>
              <w:overflowPunct/>
              <w:topLinePunct w:val="0"/>
              <w:autoSpaceDE/>
              <w:autoSpaceDN/>
              <w:bidi w:val="0"/>
              <w:adjustRightInd/>
              <w:snapToGrid/>
              <w:spacing w:before="160" w:line="228" w:lineRule="auto"/>
              <w:ind w:left="0" w:leftChars="0" w:firstLine="0" w:firstLineChars="0"/>
              <w:textAlignment w:val="auto"/>
              <w:rPr>
                <w:color w:val="auto"/>
                <w:sz w:val="21"/>
                <w:szCs w:val="21"/>
                <w:highlight w:val="none"/>
              </w:rPr>
            </w:pPr>
            <w:r>
              <w:rPr>
                <w:rFonts w:hint="eastAsia" w:ascii="宋体" w:hAnsi="宋体" w:eastAsia="宋体" w:cs="宋体"/>
                <w:color w:val="auto"/>
                <w:sz w:val="21"/>
                <w:szCs w:val="21"/>
                <w:highlight w:val="none"/>
              </w:rPr>
              <w:t>(3)评标委员会视投标人情况综合比较，投票确定其名次。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1" w:hRule="atLeast"/>
        </w:trPr>
        <w:tc>
          <w:tcPr>
            <w:tcW w:w="926" w:type="dxa"/>
            <w:vAlign w:val="top"/>
          </w:tcPr>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spacing w:line="274" w:lineRule="auto"/>
              <w:rPr>
                <w:rFonts w:ascii="Arial"/>
                <w:color w:val="auto"/>
                <w:sz w:val="21"/>
                <w:szCs w:val="21"/>
                <w:highlight w:val="none"/>
              </w:rPr>
            </w:pPr>
          </w:p>
          <w:p>
            <w:pPr>
              <w:pStyle w:val="11"/>
              <w:spacing w:before="65" w:line="408" w:lineRule="exact"/>
              <w:ind w:left="208"/>
              <w:rPr>
                <w:color w:val="auto"/>
                <w:sz w:val="21"/>
                <w:szCs w:val="21"/>
                <w:highlight w:val="none"/>
              </w:rPr>
            </w:pPr>
            <w:r>
              <w:rPr>
                <w:color w:val="auto"/>
                <w:spacing w:val="2"/>
                <w:position w:val="18"/>
                <w:sz w:val="21"/>
                <w:szCs w:val="21"/>
                <w:highlight w:val="none"/>
              </w:rPr>
              <w:t>2.1.1</w:t>
            </w:r>
          </w:p>
          <w:p>
            <w:pPr>
              <w:pStyle w:val="11"/>
              <w:spacing w:line="189" w:lineRule="auto"/>
              <w:ind w:left="208"/>
              <w:rPr>
                <w:color w:val="auto"/>
                <w:sz w:val="21"/>
                <w:szCs w:val="21"/>
                <w:highlight w:val="none"/>
              </w:rPr>
            </w:pPr>
            <w:r>
              <w:rPr>
                <w:color w:val="auto"/>
                <w:spacing w:val="2"/>
                <w:sz w:val="21"/>
                <w:szCs w:val="21"/>
                <w:highlight w:val="none"/>
              </w:rPr>
              <w:t>2.1.3</w:t>
            </w:r>
          </w:p>
        </w:tc>
        <w:tc>
          <w:tcPr>
            <w:tcW w:w="1139" w:type="dxa"/>
            <w:vAlign w:val="top"/>
          </w:tcPr>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1" w:lineRule="auto"/>
              <w:rPr>
                <w:rFonts w:ascii="Arial"/>
                <w:color w:val="auto"/>
                <w:sz w:val="21"/>
                <w:szCs w:val="21"/>
                <w:highlight w:val="none"/>
              </w:rPr>
            </w:pPr>
          </w:p>
          <w:p>
            <w:pPr>
              <w:spacing w:line="282" w:lineRule="auto"/>
              <w:rPr>
                <w:rFonts w:ascii="Arial"/>
                <w:color w:val="auto"/>
                <w:sz w:val="21"/>
                <w:szCs w:val="21"/>
                <w:highlight w:val="none"/>
              </w:rPr>
            </w:pPr>
          </w:p>
          <w:p>
            <w:pPr>
              <w:pStyle w:val="11"/>
              <w:spacing w:before="65" w:line="377" w:lineRule="auto"/>
              <w:ind w:left="133" w:right="124" w:hanging="1"/>
              <w:jc w:val="both"/>
              <w:rPr>
                <w:color w:val="auto"/>
                <w:sz w:val="21"/>
                <w:szCs w:val="21"/>
                <w:highlight w:val="none"/>
              </w:rPr>
            </w:pPr>
            <w:r>
              <w:rPr>
                <w:rFonts w:hint="eastAsia" w:ascii="宋体" w:hAnsi="宋体" w:eastAsia="宋体" w:cs="宋体"/>
                <w:color w:val="auto"/>
                <w:kern w:val="0"/>
                <w:sz w:val="21"/>
                <w:szCs w:val="21"/>
                <w:highlight w:val="none"/>
                <w:lang w:val="en-US" w:eastAsia="zh-CN" w:bidi="ar-SA"/>
              </w:rPr>
              <w:t>形式评审与响应性评审标准</w:t>
            </w:r>
          </w:p>
        </w:tc>
        <w:tc>
          <w:tcPr>
            <w:tcW w:w="7051" w:type="dxa"/>
            <w:vAlign w:val="top"/>
          </w:tcPr>
          <w:p>
            <w:pPr>
              <w:autoSpaceDE w:val="0"/>
              <w:autoSpaceDN w:val="0"/>
              <w:adjustRightIn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第一个信封（商务及技术文件）评审标准：</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w:t>
            </w:r>
            <w:r>
              <w:rPr>
                <w:rFonts w:hint="eastAsia" w:ascii="宋体" w:hAnsi="宋体" w:eastAsia="宋体" w:cs="宋体"/>
                <w:color w:val="auto"/>
                <w:sz w:val="21"/>
                <w:szCs w:val="21"/>
                <w:highlight w:val="none"/>
                <w:lang w:val="zh-CN"/>
              </w:rPr>
              <w:t>文件</w:t>
            </w:r>
            <w:r>
              <w:rPr>
                <w:rFonts w:hint="eastAsia" w:ascii="宋体" w:hAnsi="宋体" w:eastAsia="宋体" w:cs="宋体"/>
                <w:color w:val="auto"/>
                <w:sz w:val="21"/>
                <w:szCs w:val="21"/>
                <w:highlight w:val="none"/>
              </w:rPr>
              <w:t>按照招标文件规定的格式、内容填写，字迹清晰可辨：</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a.投标函按招标文件规定填报了项目名称、标段号（如有)、补遗书编号（如有)、工期、工程质量要求及安全目标；</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）投标人法定代表人授权委托代理人签署投标文件的，需提交授权委托书，且授权人和被授权人均在授权委托书上签名，未使用印章、签名章或其他电子制版签名代替。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）投标人法定代表人亲自签署投标文件的，提供了法定代表人身份证明，且法定代表人在法定代表人身份证明上签名，未使用印章、签名章或其他电子制版签名代替。</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）投标人未以联合体形式进行投标。</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）投标人如有分包计划，符合招标文件第二章“投标人须知”第1.11款规定，且按招标文件第九章“投标文件格式”的要求填写了“拟分包项目情况表”。</w:t>
            </w:r>
          </w:p>
          <w:p>
            <w:pPr>
              <w:autoSpaceDE w:val="0"/>
              <w:autoSpaceDN w:val="0"/>
              <w:adjustRightInd w:val="0"/>
              <w:spacing w:line="360" w:lineRule="auto"/>
              <w:jc w:val="left"/>
              <w:rPr>
                <w:rFonts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）同一投标人未提交两个以上不同的投标文件，但招标文件要求提交备选投标的除外。</w:t>
            </w:r>
          </w:p>
        </w:tc>
      </w:tr>
    </w:tbl>
    <w:p>
      <w:pPr>
        <w:spacing w:before="59" w:line="229" w:lineRule="auto"/>
        <w:ind w:left="15" w:right="45"/>
        <w:rPr>
          <w:rFonts w:ascii="宋体" w:hAnsi="宋体" w:eastAsia="宋体" w:cs="宋体"/>
          <w:color w:val="auto"/>
          <w:sz w:val="18"/>
          <w:szCs w:val="18"/>
          <w:highlight w:val="none"/>
        </w:rPr>
      </w:pPr>
      <w:r>
        <w:rPr>
          <w:rFonts w:ascii="宋体" w:hAnsi="宋体" w:eastAsia="宋体" w:cs="宋体"/>
          <w:color w:val="auto"/>
          <w:spacing w:val="-1"/>
          <w:sz w:val="18"/>
          <w:szCs w:val="18"/>
          <w:highlight w:val="none"/>
        </w:rPr>
        <w:t>① 若出现投标人须知前附表</w:t>
      </w:r>
      <w:r>
        <w:rPr>
          <w:rFonts w:ascii="宋体" w:hAnsi="宋体" w:eastAsia="宋体" w:cs="宋体"/>
          <w:color w:val="auto"/>
          <w:spacing w:val="-21"/>
          <w:sz w:val="18"/>
          <w:szCs w:val="18"/>
          <w:highlight w:val="none"/>
        </w:rPr>
        <w:t xml:space="preserve"> </w:t>
      </w:r>
      <w:r>
        <w:rPr>
          <w:rFonts w:ascii="Times New Roman" w:hAnsi="Times New Roman" w:eastAsia="Times New Roman" w:cs="Times New Roman"/>
          <w:color w:val="auto"/>
          <w:spacing w:val="-1"/>
          <w:sz w:val="18"/>
          <w:szCs w:val="18"/>
          <w:highlight w:val="none"/>
        </w:rPr>
        <w:t xml:space="preserve">10.2.6 </w:t>
      </w:r>
      <w:r>
        <w:rPr>
          <w:rFonts w:ascii="宋体" w:hAnsi="宋体" w:eastAsia="宋体" w:cs="宋体"/>
          <w:color w:val="auto"/>
          <w:spacing w:val="-1"/>
          <w:sz w:val="18"/>
          <w:szCs w:val="18"/>
          <w:highlight w:val="none"/>
        </w:rPr>
        <w:t>项招标内容包含多个类别的情况，按该条款的原则计算最终信用等级得分，得分</w:t>
      </w:r>
      <w:r>
        <w:rPr>
          <w:rFonts w:ascii="宋体" w:hAnsi="宋体" w:eastAsia="宋体" w:cs="宋体"/>
          <w:color w:val="auto"/>
          <w:sz w:val="18"/>
          <w:szCs w:val="18"/>
          <w:highlight w:val="none"/>
        </w:rPr>
        <w:t xml:space="preserve"> </w:t>
      </w:r>
      <w:bookmarkStart w:id="0" w:name="bookmark135"/>
      <w:bookmarkEnd w:id="0"/>
      <w:r>
        <w:rPr>
          <w:rFonts w:ascii="宋体" w:hAnsi="宋体" w:eastAsia="宋体" w:cs="宋体"/>
          <w:color w:val="auto"/>
          <w:spacing w:val="-2"/>
          <w:sz w:val="18"/>
          <w:szCs w:val="18"/>
          <w:highlight w:val="none"/>
        </w:rPr>
        <w:t>较高的优先。</w:t>
      </w:r>
    </w:p>
    <w:p>
      <w:pPr>
        <w:spacing w:line="229" w:lineRule="auto"/>
        <w:rPr>
          <w:rFonts w:ascii="宋体" w:hAnsi="宋体" w:eastAsia="宋体" w:cs="宋体"/>
          <w:color w:val="auto"/>
          <w:sz w:val="18"/>
          <w:szCs w:val="18"/>
          <w:highlight w:val="none"/>
        </w:rPr>
        <w:sectPr>
          <w:pgSz w:w="11900" w:h="16839"/>
          <w:pgMar w:top="1417" w:right="1417" w:bottom="1417" w:left="1417" w:header="707" w:footer="924"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2"/>
        <w:tblW w:w="9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139"/>
        <w:gridCol w:w="7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065" w:type="dxa"/>
            <w:gridSpan w:val="2"/>
            <w:vAlign w:val="top"/>
          </w:tcPr>
          <w:p>
            <w:pPr>
              <w:pStyle w:val="11"/>
              <w:spacing w:before="104" w:line="228" w:lineRule="auto"/>
              <w:ind w:left="726"/>
              <w:rPr>
                <w:color w:val="auto"/>
                <w:sz w:val="21"/>
                <w:szCs w:val="21"/>
                <w:highlight w:val="none"/>
              </w:rPr>
            </w:pPr>
            <w:r>
              <w:rPr>
                <w:b/>
                <w:bCs/>
                <w:color w:val="auto"/>
                <w:spacing w:val="5"/>
                <w:sz w:val="21"/>
                <w:szCs w:val="21"/>
                <w:highlight w:val="none"/>
              </w:rPr>
              <w:t>条款号</w:t>
            </w:r>
          </w:p>
        </w:tc>
        <w:tc>
          <w:tcPr>
            <w:tcW w:w="7137" w:type="dxa"/>
            <w:vAlign w:val="top"/>
          </w:tcPr>
          <w:p>
            <w:pPr>
              <w:pStyle w:val="11"/>
              <w:spacing w:before="104" w:line="228" w:lineRule="auto"/>
              <w:ind w:left="2582"/>
              <w:rPr>
                <w:color w:val="auto"/>
                <w:sz w:val="21"/>
                <w:szCs w:val="21"/>
                <w:highlight w:val="none"/>
              </w:rPr>
            </w:pPr>
            <w:r>
              <w:rPr>
                <w:b/>
                <w:bCs/>
                <w:color w:val="auto"/>
                <w:spacing w:val="7"/>
                <w:sz w:val="21"/>
                <w:szCs w:val="21"/>
                <w:highlight w:val="no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3" w:hRule="atLeast"/>
        </w:trPr>
        <w:tc>
          <w:tcPr>
            <w:tcW w:w="926" w:type="dxa"/>
            <w:vAlign w:val="top"/>
          </w:tcPr>
          <w:p>
            <w:pPr>
              <w:pStyle w:val="11"/>
              <w:spacing w:line="189" w:lineRule="auto"/>
              <w:ind w:left="208"/>
              <w:rPr>
                <w:color w:val="auto"/>
                <w:sz w:val="21"/>
                <w:szCs w:val="21"/>
                <w:highlight w:val="none"/>
              </w:rPr>
            </w:pPr>
          </w:p>
        </w:tc>
        <w:tc>
          <w:tcPr>
            <w:tcW w:w="1139" w:type="dxa"/>
            <w:vAlign w:val="top"/>
          </w:tcPr>
          <w:p>
            <w:pPr>
              <w:pStyle w:val="11"/>
              <w:spacing w:line="228" w:lineRule="auto"/>
              <w:ind w:left="14" w:leftChars="0" w:right="73" w:rightChars="35" w:hanging="14" w:hangingChars="7"/>
              <w:jc w:val="center"/>
              <w:rPr>
                <w:color w:val="auto"/>
                <w:sz w:val="21"/>
                <w:szCs w:val="21"/>
                <w:highlight w:val="none"/>
              </w:rPr>
            </w:pPr>
          </w:p>
        </w:tc>
        <w:tc>
          <w:tcPr>
            <w:tcW w:w="7137" w:type="dxa"/>
            <w:vAlign w:val="top"/>
          </w:tcPr>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）投标文件中未出现有关投标报价的内容。</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）投标文件载明的招标项目完成期限未超过招标文件规定的时限。</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）投标文件对招标文件的实质性要求和条件作出响应。</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）权利义务符合招标文件规定：</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）投标文件未附有招标人不能接受的条件。</w:t>
            </w:r>
          </w:p>
          <w:p>
            <w:pPr>
              <w:widowControl/>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第二个信封（报价文件）评审标准：</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（1）投标文件按照招标文件规定的格式、内容填写，字迹清晰可辩：</w:t>
            </w:r>
          </w:p>
          <w:p>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a.</w:t>
            </w:r>
            <w:r>
              <w:rPr>
                <w:rFonts w:hint="eastAsia" w:ascii="宋体" w:hAnsi="宋体" w:eastAsia="宋体" w:cs="宋体"/>
                <w:color w:val="auto"/>
                <w:kern w:val="0"/>
                <w:sz w:val="21"/>
                <w:szCs w:val="21"/>
                <w:highlight w:val="none"/>
                <w:lang w:val="zh-CN"/>
              </w:rPr>
              <w:t>投标函按招标文件规定填报了项目名称、标段号（如有)、补遗书编号（如有)、投标总报价 (包括大写金额和小写金额)；</w:t>
            </w:r>
          </w:p>
          <w:p>
            <w:pPr>
              <w:widowControl/>
              <w:spacing w:line="360" w:lineRule="auto"/>
              <w:ind w:right="193" w:rightChars="0"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b.已标价工程量清单说明文字与招标文件规定一致，未进行实质性修改和删减；</w:t>
            </w:r>
          </w:p>
          <w:p>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c.投标文件组成齐全完整，内容均按规定填写。</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（2）投标文</w:t>
            </w:r>
            <w:r>
              <w:rPr>
                <w:rFonts w:hint="eastAsia" w:ascii="宋体" w:hAnsi="宋体" w:eastAsia="宋体" w:cs="宋体"/>
                <w:color w:val="auto"/>
                <w:kern w:val="0"/>
                <w:sz w:val="21"/>
                <w:szCs w:val="21"/>
                <w:highlight w:val="none"/>
              </w:rPr>
              <w:t>件上法定代表人或其委托代理人的签字、投标人的单位章盖章齐全，符合招标文件规定。</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（3）投标总报价或调价函中的报价未超过招标文件设定的最高投标限价(如有)及最高评标限价 (如有)。</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（4）投标报价或调价函中报价的大写金额能够确定具体数值。</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（5）同一投标人未提交两个以上不同的投标报价，但招标文件要求提交备选投标的除外。</w:t>
            </w:r>
          </w:p>
          <w:p>
            <w:pPr>
              <w:widowControl/>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（6）投标人若提交调价函，调价函符合招标文件第二章“投标人须知”第3.2.6项要求。</w:t>
            </w:r>
          </w:p>
          <w:p>
            <w:pPr>
              <w:pStyle w:val="11"/>
              <w:spacing w:before="65" w:line="316" w:lineRule="auto"/>
              <w:ind w:right="73"/>
              <w:rPr>
                <w:rFonts w:ascii="宋体" w:hAnsi="宋体" w:eastAsia="宋体" w:cs="宋体"/>
                <w:color w:val="auto"/>
                <w:spacing w:val="11"/>
                <w:sz w:val="21"/>
                <w:szCs w:val="21"/>
                <w:highlight w:val="none"/>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lang w:val="zh-CN"/>
              </w:rPr>
              <w:t>投标人若填写工程量固化清单，填写完毕的工程量固化清单未对工程量固化清单电子文件中的数据、格式和运算定义进行修改；工程量固化清单中的投标报价和投标函大写金额报价一致。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8" w:hRule="atLeast"/>
        </w:trPr>
        <w:tc>
          <w:tcPr>
            <w:tcW w:w="926" w:type="dxa"/>
            <w:vAlign w:val="center"/>
          </w:tcPr>
          <w:p>
            <w:pPr>
              <w:autoSpaceDE w:val="0"/>
              <w:autoSpaceDN w:val="0"/>
              <w:adjustRightInd w:val="0"/>
              <w:spacing w:beforeLines="0" w:afterLines="0" w:line="360" w:lineRule="auto"/>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2.1.2</w:t>
            </w:r>
          </w:p>
          <w:p>
            <w:pPr>
              <w:autoSpaceDE w:val="0"/>
              <w:autoSpaceDN w:val="0"/>
              <w:adjustRightInd w:val="0"/>
              <w:spacing w:beforeLines="0" w:afterLines="0" w:line="360" w:lineRule="auto"/>
              <w:jc w:val="center"/>
              <w:rPr>
                <w:color w:val="auto"/>
                <w:spacing w:val="2"/>
                <w:sz w:val="21"/>
                <w:szCs w:val="21"/>
                <w:highlight w:val="none"/>
              </w:rPr>
            </w:pPr>
          </w:p>
        </w:tc>
        <w:tc>
          <w:tcPr>
            <w:tcW w:w="1139" w:type="dxa"/>
            <w:vAlign w:val="center"/>
          </w:tcPr>
          <w:p>
            <w:pPr>
              <w:widowControl/>
              <w:spacing w:beforeLines="0" w:afterLines="0" w:line="360" w:lineRule="auto"/>
              <w:jc w:val="center"/>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资格评审</w:t>
            </w:r>
          </w:p>
          <w:p>
            <w:pPr>
              <w:widowControl/>
              <w:spacing w:beforeLines="0" w:afterLines="0" w:line="360" w:lineRule="auto"/>
              <w:jc w:val="center"/>
              <w:rPr>
                <w:rFonts w:hint="eastAsia"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rPr>
              <w:t>标准</w:t>
            </w:r>
          </w:p>
        </w:tc>
        <w:tc>
          <w:tcPr>
            <w:tcW w:w="7137" w:type="dxa"/>
            <w:vAlign w:val="top"/>
          </w:tcPr>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（1）投标人具备有效的营业执照、资质证书、安全生产许可证和基本账户开户许可证 (如企业所在地已取消企业银行账户许可而无法提供开户许可证的，则需附上开户银行出具的“基本存款账户信息”或“人民银行账户管理系统查询的基本账户信息截图”) ；</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（2）投标人的资质等级符合招标文件规定；</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（3）投标人的财务状况符合招标文件规定；</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（4）投标人的类似项目业绩符合招标文件规定；</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（5）投标人的信誉符合招标文件规定；</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（6）投标人的项目经理和项目总工资格（均含备选）、在岗情况符合招标文件规定，并按规定在投标文件中签字确认；</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hint="default"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rPr>
              <w:t>（7）投标人不存在第二章“投标人须知”第1.4.3项或第1.4.4项规定的任何一种情形；</w:t>
            </w:r>
          </w:p>
          <w:p>
            <w:pPr>
              <w:keepNext w:val="0"/>
              <w:keepLines w:val="0"/>
              <w:pageBreakBefore w:val="0"/>
              <w:widowControl/>
              <w:kinsoku/>
              <w:wordWrap/>
              <w:overflowPunct/>
              <w:topLinePunct w:val="0"/>
              <w:autoSpaceDE/>
              <w:autoSpaceDN/>
              <w:bidi w:val="0"/>
              <w:adjustRightInd/>
              <w:snapToGrid/>
              <w:spacing w:beforeLines="0" w:afterLines="0" w:line="324" w:lineRule="auto"/>
              <w:jc w:val="left"/>
              <w:textAlignment w:val="auto"/>
              <w:rPr>
                <w:rFonts w:ascii="宋体" w:hAnsi="宋体" w:eastAsia="宋体" w:cs="宋体"/>
                <w:color w:val="auto"/>
                <w:spacing w:val="11"/>
                <w:sz w:val="21"/>
                <w:szCs w:val="21"/>
                <w:highlight w:val="none"/>
              </w:rPr>
            </w:pPr>
            <w:r>
              <w:rPr>
                <w:rFonts w:hint="default" w:ascii="宋体" w:hAnsi="宋体" w:eastAsia="宋体" w:cs="宋体"/>
                <w:color w:val="auto"/>
                <w:kern w:val="0"/>
                <w:sz w:val="21"/>
                <w:szCs w:val="21"/>
                <w:highlight w:val="none"/>
              </w:rPr>
              <w:t>（8）投标人符合第二章“投标人须知”第1.4.5项规定；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9" w:hRule="atLeast"/>
        </w:trPr>
        <w:tc>
          <w:tcPr>
            <w:tcW w:w="926" w:type="dxa"/>
            <w:vAlign w:val="center"/>
          </w:tcPr>
          <w:p>
            <w:pPr>
              <w:spacing w:line="360" w:lineRule="auto"/>
              <w:jc w:val="center"/>
              <w:rPr>
                <w:color w:val="auto"/>
                <w:spacing w:val="2"/>
                <w:sz w:val="21"/>
                <w:szCs w:val="21"/>
                <w:highlight w:val="none"/>
              </w:rPr>
            </w:pPr>
            <w:r>
              <w:rPr>
                <w:rFonts w:hint="eastAsia" w:ascii="宋体" w:hAnsi="宋体" w:eastAsia="宋体" w:cs="宋体"/>
                <w:bCs/>
                <w:color w:val="auto"/>
                <w:kern w:val="0"/>
                <w:sz w:val="21"/>
                <w:szCs w:val="21"/>
                <w:highlight w:val="none"/>
              </w:rPr>
              <w:t>2.2.1</w:t>
            </w:r>
          </w:p>
        </w:tc>
        <w:tc>
          <w:tcPr>
            <w:tcW w:w="1139" w:type="dxa"/>
            <w:vAlign w:val="center"/>
          </w:tcPr>
          <w:p>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第一个信封评分分值构成</w:t>
            </w:r>
          </w:p>
          <w:p>
            <w:pPr>
              <w:widowControl/>
              <w:spacing w:line="360" w:lineRule="auto"/>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(总分100分）</w:t>
            </w:r>
          </w:p>
        </w:tc>
        <w:tc>
          <w:tcPr>
            <w:tcW w:w="7137" w:type="dxa"/>
            <w:vAlign w:val="center"/>
          </w:tcPr>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施工组织设计（A）：</w:t>
            </w:r>
            <w:r>
              <w:rPr>
                <w:rFonts w:hint="eastAsia" w:ascii="宋体" w:hAnsi="宋体" w:eastAsia="宋体" w:cs="宋体"/>
                <w:color w:val="auto"/>
                <w:sz w:val="21"/>
                <w:szCs w:val="21"/>
                <w:highlight w:val="none"/>
                <w:u w:val="single"/>
                <w:lang w:val="en-US" w:eastAsia="zh-CN" w:bidi="ar"/>
              </w:rPr>
              <w:t xml:space="preserve"> 40 </w:t>
            </w:r>
            <w:r>
              <w:rPr>
                <w:rFonts w:hint="eastAsia" w:ascii="宋体" w:hAnsi="宋体" w:eastAsia="宋体" w:cs="宋体"/>
                <w:color w:val="auto"/>
                <w:sz w:val="21"/>
                <w:szCs w:val="21"/>
                <w:highlight w:val="none"/>
                <w:lang w:bidi="ar"/>
              </w:rPr>
              <w:t>分</w:t>
            </w:r>
          </w:p>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主要人员（B）：</w:t>
            </w:r>
            <w:r>
              <w:rPr>
                <w:rFonts w:hint="eastAsia" w:ascii="宋体" w:hAnsi="宋体" w:eastAsia="宋体" w:cs="宋体"/>
                <w:color w:val="auto"/>
                <w:sz w:val="21"/>
                <w:szCs w:val="21"/>
                <w:highlight w:val="none"/>
                <w:u w:val="single"/>
                <w:lang w:val="en-US" w:eastAsia="zh-CN" w:bidi="ar"/>
              </w:rPr>
              <w:t xml:space="preserve"> 25 </w:t>
            </w:r>
            <w:r>
              <w:rPr>
                <w:rFonts w:hint="eastAsia" w:ascii="宋体" w:hAnsi="宋体" w:eastAsia="宋体" w:cs="宋体"/>
                <w:color w:val="auto"/>
                <w:sz w:val="21"/>
                <w:szCs w:val="21"/>
                <w:highlight w:val="none"/>
                <w:lang w:bidi="ar"/>
              </w:rPr>
              <w:t>分</w:t>
            </w:r>
          </w:p>
          <w:p>
            <w:pPr>
              <w:widowControl/>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其他因素（</w:t>
            </w:r>
            <w:r>
              <w:rPr>
                <w:rFonts w:hint="eastAsia" w:ascii="宋体" w:hAnsi="宋体" w:eastAsia="宋体" w:cs="宋体"/>
                <w:color w:val="auto"/>
                <w:sz w:val="21"/>
                <w:szCs w:val="21"/>
                <w:highlight w:val="none"/>
                <w:lang w:val="en-US" w:eastAsia="zh-CN" w:bidi="ar"/>
              </w:rPr>
              <w:t>C</w:t>
            </w:r>
            <w:r>
              <w:rPr>
                <w:rFonts w:hint="eastAsia" w:ascii="宋体" w:hAnsi="宋体" w:eastAsia="宋体" w:cs="宋体"/>
                <w:color w:val="auto"/>
                <w:sz w:val="21"/>
                <w:szCs w:val="21"/>
                <w:highlight w:val="none"/>
                <w:lang w:bidi="ar"/>
              </w:rPr>
              <w:t>）</w:t>
            </w:r>
          </w:p>
          <w:p>
            <w:pPr>
              <w:widowControl/>
              <w:spacing w:line="360" w:lineRule="auto"/>
              <w:ind w:firstLine="420" w:firstLineChars="20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技术能力：</w:t>
            </w:r>
            <w:r>
              <w:rPr>
                <w:rFonts w:hint="eastAsia" w:ascii="宋体" w:hAnsi="宋体" w:eastAsia="宋体" w:cs="宋体"/>
                <w:color w:val="auto"/>
                <w:sz w:val="21"/>
                <w:szCs w:val="21"/>
                <w:highlight w:val="none"/>
                <w:u w:val="single"/>
                <w:lang w:val="en-US" w:eastAsia="zh-CN" w:bidi="ar"/>
              </w:rPr>
              <w:t xml:space="preserve"> 20 </w:t>
            </w:r>
            <w:r>
              <w:rPr>
                <w:rFonts w:hint="eastAsia" w:ascii="宋体" w:hAnsi="宋体" w:eastAsia="宋体" w:cs="宋体"/>
                <w:color w:val="auto"/>
                <w:sz w:val="21"/>
                <w:szCs w:val="21"/>
                <w:highlight w:val="none"/>
                <w:lang w:bidi="ar"/>
              </w:rPr>
              <w:t>分</w:t>
            </w:r>
          </w:p>
          <w:p>
            <w:pPr>
              <w:widowControl/>
              <w:spacing w:line="360" w:lineRule="auto"/>
              <w:ind w:firstLine="420" w:firstLineChars="200"/>
              <w:rPr>
                <w:rFonts w:hint="default"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
              </w:rPr>
              <w:t>履约信誉：</w:t>
            </w:r>
            <w:r>
              <w:rPr>
                <w:rFonts w:hint="eastAsia" w:ascii="宋体" w:hAnsi="宋体" w:eastAsia="宋体" w:cs="宋体"/>
                <w:color w:val="auto"/>
                <w:sz w:val="21"/>
                <w:szCs w:val="21"/>
                <w:highlight w:val="none"/>
                <w:u w:val="single"/>
                <w:lang w:val="en-US" w:eastAsia="zh-CN" w:bidi="ar"/>
              </w:rPr>
              <w:t xml:space="preserve"> 15 </w:t>
            </w:r>
            <w:r>
              <w:rPr>
                <w:rFonts w:hint="eastAsia" w:ascii="宋体" w:hAnsi="宋体" w:eastAsia="宋体" w:cs="宋体"/>
                <w:color w:val="auto"/>
                <w:sz w:val="21"/>
                <w:szCs w:val="21"/>
                <w:highlight w:val="none"/>
                <w:lang w:bidi="ar"/>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0" w:hRule="atLeast"/>
        </w:trPr>
        <w:tc>
          <w:tcPr>
            <w:tcW w:w="926" w:type="dxa"/>
            <w:vAlign w:val="center"/>
          </w:tcPr>
          <w:p>
            <w:pPr>
              <w:pStyle w:val="13"/>
              <w:shd w:val="clear" w:color="auto" w:fill="auto"/>
              <w:spacing w:before="0" w:line="360" w:lineRule="auto"/>
              <w:jc w:val="center"/>
              <w:rPr>
                <w:color w:val="auto"/>
                <w:spacing w:val="2"/>
                <w:sz w:val="21"/>
                <w:szCs w:val="21"/>
                <w:highlight w:val="none"/>
              </w:rPr>
            </w:pPr>
            <w:r>
              <w:rPr>
                <w:rStyle w:val="14"/>
                <w:rFonts w:ascii="宋体" w:hAnsi="宋体" w:eastAsia="宋体"/>
                <w:color w:val="auto"/>
                <w:highlight w:val="none"/>
              </w:rPr>
              <w:t>2.2.3</w:t>
            </w:r>
          </w:p>
        </w:tc>
        <w:tc>
          <w:tcPr>
            <w:tcW w:w="1139" w:type="dxa"/>
            <w:vAlign w:val="center"/>
          </w:tcPr>
          <w:p>
            <w:pPr>
              <w:widowControl/>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第二个信</w:t>
            </w:r>
          </w:p>
          <w:p>
            <w:pPr>
              <w:widowControl/>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封详细评</w:t>
            </w:r>
          </w:p>
          <w:p>
            <w:pPr>
              <w:widowControl/>
              <w:spacing w:line="360" w:lineRule="auto"/>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审标准</w:t>
            </w:r>
          </w:p>
        </w:tc>
        <w:tc>
          <w:tcPr>
            <w:tcW w:w="7137" w:type="dxa"/>
            <w:vAlign w:val="center"/>
          </w:tcPr>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评标价的评审：</w:t>
            </w:r>
          </w:p>
          <w:p>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评标价计算公式：</w:t>
            </w:r>
          </w:p>
          <w:p>
            <w:pPr>
              <w:keepNext w:val="0"/>
              <w:keepLines w:val="0"/>
              <w:widowControl w:val="0"/>
              <w:suppressLineNumbers w:val="0"/>
              <w:spacing w:before="0" w:beforeAutospacing="0" w:after="0" w:afterAutospacing="0" w:line="360" w:lineRule="auto"/>
              <w:ind w:left="0" w:right="0"/>
              <w:jc w:val="both"/>
              <w:rPr>
                <w:color w:val="auto"/>
                <w:highlight w:val="none"/>
              </w:rPr>
            </w:pPr>
            <w:r>
              <w:rPr>
                <w:rFonts w:hint="eastAsia" w:ascii="宋体" w:hAnsi="宋体" w:eastAsia="宋体" w:cs="宋体"/>
                <w:color w:val="auto"/>
                <w:kern w:val="0"/>
                <w:sz w:val="21"/>
                <w:szCs w:val="21"/>
                <w:highlight w:val="none"/>
              </w:rPr>
              <w:t>评标价=投标函文字报价一暂估价一暂列金额（不含计日工总额）</w:t>
            </w:r>
            <w:r>
              <w:rPr>
                <w:rStyle w:val="15"/>
                <w:rFonts w:hint="eastAsia" w:ascii="宋体" w:hAnsi="宋体" w:eastAsia="宋体" w:cs="宋体"/>
                <w:color w:val="auto"/>
                <w:kern w:val="2"/>
                <w:sz w:val="21"/>
                <w:szCs w:val="21"/>
                <w:highlight w:val="none"/>
                <w:vertAlign w:val="superscript"/>
                <w:lang w:val="en-US" w:eastAsia="zh-CN" w:bidi="ar"/>
              </w:rPr>
              <w:t>①</w:t>
            </w:r>
          </w:p>
          <w:p>
            <w:pPr>
              <w:widowControl/>
              <w:spacing w:line="360" w:lineRule="auto"/>
              <w:ind w:firstLine="420" w:firstLineChars="20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926" w:type="dxa"/>
            <w:vAlign w:val="center"/>
          </w:tcPr>
          <w:p>
            <w:pPr>
              <w:pStyle w:val="13"/>
              <w:shd w:val="clear" w:color="auto" w:fill="auto"/>
              <w:spacing w:before="0" w:line="360" w:lineRule="auto"/>
              <w:jc w:val="center"/>
              <w:rPr>
                <w:color w:val="auto"/>
                <w:spacing w:val="2"/>
                <w:sz w:val="21"/>
                <w:szCs w:val="21"/>
                <w:highlight w:val="none"/>
              </w:rPr>
            </w:pPr>
            <w:r>
              <w:rPr>
                <w:rStyle w:val="14"/>
                <w:rFonts w:ascii="宋体" w:hAnsi="宋体" w:eastAsia="宋体"/>
                <w:color w:val="auto"/>
                <w:highlight w:val="none"/>
              </w:rPr>
              <w:t>3.2.4</w:t>
            </w:r>
          </w:p>
        </w:tc>
        <w:tc>
          <w:tcPr>
            <w:tcW w:w="1139" w:type="dxa"/>
            <w:vAlign w:val="center"/>
          </w:tcPr>
          <w:p>
            <w:pPr>
              <w:widowControl/>
              <w:spacing w:line="240" w:lineRule="auto"/>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通过第一个信封详细评审的投标人数量</w:t>
            </w:r>
          </w:p>
        </w:tc>
        <w:tc>
          <w:tcPr>
            <w:tcW w:w="7137" w:type="dxa"/>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zh-CN"/>
              </w:rPr>
              <w:t>按照投标人的商务和技术得分由高到低排序，选择</w:t>
            </w:r>
            <w:r>
              <w:rPr>
                <w:rFonts w:hint="eastAsia" w:ascii="宋体" w:hAnsi="宋体" w:eastAsia="宋体" w:cs="宋体"/>
                <w:color w:val="auto"/>
                <w:kern w:val="0"/>
                <w:sz w:val="20"/>
                <w:szCs w:val="20"/>
                <w:highlight w:val="none"/>
                <w:lang w:val="en-US" w:eastAsia="zh-CN" w:bidi="ar"/>
              </w:rPr>
              <w:t>择前5名（不少于3名但不足</w:t>
            </w:r>
          </w:p>
          <w:p>
            <w:pPr>
              <w:keepNext w:val="0"/>
              <w:keepLines w:val="0"/>
              <w:widowControl/>
              <w:suppressLineNumbers w:val="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0"/>
                <w:szCs w:val="20"/>
                <w:highlight w:val="none"/>
                <w:lang w:val="en-US" w:eastAsia="zh-CN" w:bidi="ar"/>
              </w:rPr>
              <w:t>5名时，按全部实际数量）</w:t>
            </w:r>
            <w:r>
              <w:rPr>
                <w:rFonts w:hint="eastAsia" w:ascii="宋体" w:hAnsi="宋体" w:eastAsia="宋体" w:cs="宋体"/>
                <w:color w:val="auto"/>
                <w:kern w:val="0"/>
                <w:sz w:val="21"/>
                <w:szCs w:val="21"/>
                <w:highlight w:val="none"/>
                <w:lang w:val="zh-CN"/>
              </w:rPr>
              <w:t>通过详细评审。</w:t>
            </w:r>
            <w:r>
              <w:rPr>
                <w:rStyle w:val="15"/>
                <w:rFonts w:hint="eastAsia" w:ascii="宋体" w:hAnsi="宋体" w:eastAsia="宋体" w:cs="宋体"/>
                <w:color w:val="auto"/>
                <w:kern w:val="2"/>
                <w:sz w:val="21"/>
                <w:szCs w:val="21"/>
                <w:highlight w:val="none"/>
                <w:vertAlign w:val="superscript"/>
                <w:lang w:val="en-US" w:eastAsia="zh-CN" w:bidi="ar"/>
              </w:rPr>
              <w:fldChar w:fldCharType="begin"/>
            </w:r>
            <w:r>
              <w:rPr>
                <w:rStyle w:val="15"/>
                <w:rFonts w:hint="eastAsia" w:ascii="宋体" w:hAnsi="宋体" w:eastAsia="宋体" w:cs="宋体"/>
                <w:color w:val="auto"/>
                <w:kern w:val="2"/>
                <w:sz w:val="21"/>
                <w:szCs w:val="21"/>
                <w:highlight w:val="none"/>
                <w:vertAlign w:val="superscript"/>
                <w:lang w:val="en-US" w:eastAsia="zh-CN" w:bidi="ar"/>
              </w:rPr>
              <w:instrText xml:space="preserve"> EQ \o\ac(○,2)</w:instrText>
            </w:r>
            <w:r>
              <w:rPr>
                <w:rStyle w:val="15"/>
                <w:rFonts w:hint="eastAsia" w:ascii="宋体" w:hAnsi="宋体" w:eastAsia="宋体" w:cs="宋体"/>
                <w:color w:val="auto"/>
                <w:kern w:val="2"/>
                <w:sz w:val="21"/>
                <w:szCs w:val="21"/>
                <w:highlight w:val="none"/>
                <w:vertAlign w:val="superscript"/>
                <w:lang w:val="en-US" w:eastAsia="zh-CN" w:bidi="ar"/>
              </w:rPr>
              <w:fldChar w:fldCharType="end"/>
            </w:r>
          </w:p>
        </w:tc>
      </w:tr>
    </w:tbl>
    <w:p>
      <w:pPr>
        <w:spacing w:line="257" w:lineRule="auto"/>
        <w:rPr>
          <w:rFonts w:ascii="Arial"/>
          <w:color w:val="auto"/>
          <w:sz w:val="21"/>
          <w:highlight w:val="none"/>
        </w:rPr>
      </w:pPr>
    </w:p>
    <w:p>
      <w:pPr>
        <w:keepNext w:val="0"/>
        <w:keepLines w:val="0"/>
        <w:widowControl/>
        <w:suppressLineNumbers w:val="0"/>
        <w:jc w:val="left"/>
        <w:rPr>
          <w:color w:val="auto"/>
          <w:highlight w:val="none"/>
        </w:rPr>
      </w:pPr>
      <w:bookmarkStart w:id="1" w:name="bookmark136"/>
      <w:bookmarkEnd w:id="1"/>
      <w:bookmarkStart w:id="2" w:name="bookmark137"/>
      <w:bookmarkEnd w:id="2"/>
      <w:r>
        <w:rPr>
          <w:color w:val="auto"/>
          <w:highlight w:val="none"/>
        </w:rPr>
        <w:t xml:space="preserve"> </w:t>
      </w:r>
      <w:r>
        <w:rPr>
          <w:rStyle w:val="15"/>
          <w:rFonts w:hint="eastAsia" w:ascii="宋体" w:hAnsi="宋体" w:eastAsia="宋体" w:cs="宋体"/>
          <w:color w:val="auto"/>
          <w:kern w:val="2"/>
          <w:sz w:val="21"/>
          <w:szCs w:val="21"/>
          <w:highlight w:val="none"/>
          <w:vertAlign w:val="superscript"/>
          <w:lang w:val="en-US" w:eastAsia="zh-CN" w:bidi="ar"/>
        </w:rPr>
        <w:t>①</w:t>
      </w:r>
      <w:r>
        <w:rPr>
          <w:rFonts w:hint="eastAsia" w:ascii="宋体" w:hAnsi="宋体" w:eastAsia="宋体" w:cs="宋体"/>
          <w:color w:val="auto"/>
          <w:kern w:val="0"/>
          <w:sz w:val="18"/>
          <w:szCs w:val="18"/>
          <w:highlight w:val="none"/>
          <w:lang w:val="en-US" w:eastAsia="zh-CN" w:bidi="ar"/>
        </w:rPr>
        <w:t xml:space="preserve">如本项目招标采用第二章“投标人须知”第 </w:t>
      </w:r>
      <w:r>
        <w:rPr>
          <w:rFonts w:hint="default" w:ascii="Times New Roman" w:hAnsi="Times New Roman" w:eastAsia="宋体" w:cs="Times New Roman"/>
          <w:color w:val="auto"/>
          <w:kern w:val="0"/>
          <w:sz w:val="18"/>
          <w:szCs w:val="18"/>
          <w:highlight w:val="none"/>
          <w:lang w:val="en-US" w:eastAsia="zh-CN" w:bidi="ar"/>
        </w:rPr>
        <w:t xml:space="preserve">3.2.1 </w:t>
      </w:r>
      <w:r>
        <w:rPr>
          <w:rFonts w:hint="eastAsia" w:ascii="宋体" w:hAnsi="宋体" w:eastAsia="宋体" w:cs="宋体"/>
          <w:color w:val="auto"/>
          <w:kern w:val="0"/>
          <w:sz w:val="18"/>
          <w:szCs w:val="18"/>
          <w:highlight w:val="none"/>
          <w:lang w:val="en-US" w:eastAsia="zh-CN" w:bidi="ar"/>
        </w:rPr>
        <w:t>项（</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）目规定的投标人按照招标人提供的工程量固化清单电子文件填写工程量清单的，无须按照本章第 </w:t>
      </w:r>
      <w:r>
        <w:rPr>
          <w:rFonts w:hint="default" w:ascii="Times New Roman" w:hAnsi="Times New Roman" w:eastAsia="宋体" w:cs="Times New Roman"/>
          <w:color w:val="auto"/>
          <w:kern w:val="0"/>
          <w:sz w:val="18"/>
          <w:szCs w:val="18"/>
          <w:highlight w:val="none"/>
          <w:lang w:val="en-US" w:eastAsia="zh-CN" w:bidi="ar"/>
        </w:rPr>
        <w:t xml:space="preserve">3.4.2 </w:t>
      </w:r>
      <w:r>
        <w:rPr>
          <w:rFonts w:hint="eastAsia" w:ascii="宋体" w:hAnsi="宋体" w:eastAsia="宋体" w:cs="宋体"/>
          <w:color w:val="auto"/>
          <w:kern w:val="0"/>
          <w:sz w:val="18"/>
          <w:szCs w:val="18"/>
          <w:highlight w:val="none"/>
          <w:lang w:val="en-US" w:eastAsia="zh-CN" w:bidi="ar"/>
        </w:rPr>
        <w:t xml:space="preserve">项和第 </w:t>
      </w:r>
      <w:r>
        <w:rPr>
          <w:rFonts w:hint="default" w:ascii="Times New Roman" w:hAnsi="Times New Roman" w:eastAsia="宋体" w:cs="Times New Roman"/>
          <w:color w:val="auto"/>
          <w:kern w:val="0"/>
          <w:sz w:val="18"/>
          <w:szCs w:val="18"/>
          <w:highlight w:val="none"/>
          <w:lang w:val="en-US" w:eastAsia="zh-CN" w:bidi="ar"/>
        </w:rPr>
        <w:t xml:space="preserve">3.4.3 </w:t>
      </w:r>
      <w:r>
        <w:rPr>
          <w:rFonts w:hint="eastAsia" w:ascii="宋体" w:hAnsi="宋体" w:eastAsia="宋体" w:cs="宋体"/>
          <w:color w:val="auto"/>
          <w:kern w:val="0"/>
          <w:sz w:val="18"/>
          <w:szCs w:val="18"/>
          <w:highlight w:val="none"/>
          <w:lang w:val="en-US" w:eastAsia="zh-CN" w:bidi="ar"/>
        </w:rPr>
        <w:t>项的规定对投标报价进行修正，经评审的投标价（评标价）</w:t>
      </w:r>
      <w:r>
        <w:rPr>
          <w:rFonts w:hint="default" w:ascii="Times New Roman" w:hAnsi="Times New Roman" w:eastAsia="宋体" w:cs="Times New Roman"/>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US" w:eastAsia="zh-CN" w:bidi="ar"/>
        </w:rPr>
        <w:t>投标函文字报价一暂估价一暂列金额（不含计日工总额）。</w:t>
      </w:r>
    </w:p>
    <w:p>
      <w:pPr>
        <w:pStyle w:val="7"/>
        <w:snapToGrid w:val="0"/>
        <w:rPr>
          <w:color w:val="auto"/>
          <w:highlight w:val="none"/>
        </w:rPr>
      </w:pPr>
      <w:r>
        <w:rPr>
          <w:color w:val="auto"/>
          <w:highlight w:val="none"/>
        </w:rPr>
        <w:t xml:space="preserve"> </w:t>
      </w:r>
      <w:r>
        <w:rPr>
          <w:rStyle w:val="15"/>
          <w:rFonts w:hint="eastAsia" w:ascii="宋体" w:hAnsi="宋体" w:eastAsia="宋体" w:cs="宋体"/>
          <w:color w:val="auto"/>
          <w:kern w:val="2"/>
          <w:sz w:val="21"/>
          <w:szCs w:val="21"/>
          <w:highlight w:val="none"/>
          <w:vertAlign w:val="superscript"/>
          <w:lang w:val="en-US" w:eastAsia="zh-CN" w:bidi="ar"/>
        </w:rPr>
        <w:fldChar w:fldCharType="begin"/>
      </w:r>
      <w:r>
        <w:rPr>
          <w:rStyle w:val="15"/>
          <w:rFonts w:hint="eastAsia" w:ascii="宋体" w:hAnsi="宋体" w:eastAsia="宋体" w:cs="宋体"/>
          <w:color w:val="auto"/>
          <w:kern w:val="2"/>
          <w:sz w:val="21"/>
          <w:szCs w:val="21"/>
          <w:highlight w:val="none"/>
          <w:vertAlign w:val="superscript"/>
          <w:lang w:val="en-US" w:eastAsia="zh-CN" w:bidi="ar"/>
        </w:rPr>
        <w:instrText xml:space="preserve"> EQ \o\ac(○,2)</w:instrText>
      </w:r>
      <w:r>
        <w:rPr>
          <w:rStyle w:val="15"/>
          <w:rFonts w:hint="eastAsia" w:ascii="宋体" w:hAnsi="宋体" w:eastAsia="宋体" w:cs="宋体"/>
          <w:color w:val="auto"/>
          <w:kern w:val="2"/>
          <w:sz w:val="21"/>
          <w:szCs w:val="21"/>
          <w:highlight w:val="none"/>
          <w:vertAlign w:val="superscript"/>
          <w:lang w:val="en-US" w:eastAsia="zh-CN" w:bidi="ar"/>
        </w:rPr>
        <w:fldChar w:fldCharType="end"/>
      </w:r>
      <w:r>
        <w:rPr>
          <w:rFonts w:ascii="宋体" w:hAnsi="宋体" w:eastAsia="宋体" w:cs="宋体"/>
          <w:color w:val="auto"/>
          <w:spacing w:val="4"/>
          <w:sz w:val="17"/>
          <w:szCs w:val="17"/>
          <w:highlight w:val="none"/>
        </w:rPr>
        <w:t>本条所述</w:t>
      </w:r>
      <w:r>
        <w:rPr>
          <w:rFonts w:ascii="宋体" w:hAnsi="宋体" w:eastAsia="宋体" w:cs="宋体"/>
          <w:color w:val="auto"/>
          <w:spacing w:val="3"/>
          <w:sz w:val="17"/>
          <w:szCs w:val="17"/>
          <w:highlight w:val="none"/>
        </w:rPr>
        <w:t>“</w:t>
      </w:r>
      <w:r>
        <w:rPr>
          <w:rFonts w:ascii="宋体" w:hAnsi="宋体" w:eastAsia="宋体" w:cs="宋体"/>
          <w:color w:val="auto"/>
          <w:spacing w:val="2"/>
          <w:sz w:val="17"/>
          <w:szCs w:val="17"/>
          <w:highlight w:val="none"/>
        </w:rPr>
        <w:t xml:space="preserve">名次”包含了并列的情况；如名次为 </w:t>
      </w:r>
      <w:r>
        <w:rPr>
          <w:rFonts w:ascii="Times New Roman" w:hAnsi="Times New Roman" w:eastAsia="Times New Roman" w:cs="Times New Roman"/>
          <w:color w:val="auto"/>
          <w:spacing w:val="2"/>
          <w:sz w:val="17"/>
          <w:szCs w:val="17"/>
          <w:highlight w:val="none"/>
        </w:rPr>
        <w:t xml:space="preserve">1, 1,3,4,5 </w:t>
      </w:r>
      <w:r>
        <w:rPr>
          <w:rFonts w:ascii="宋体" w:hAnsi="宋体" w:eastAsia="宋体" w:cs="宋体"/>
          <w:color w:val="auto"/>
          <w:spacing w:val="2"/>
          <w:sz w:val="17"/>
          <w:szCs w:val="17"/>
          <w:highlight w:val="none"/>
        </w:rPr>
        <w:t xml:space="preserve">，则前 </w:t>
      </w:r>
      <w:r>
        <w:rPr>
          <w:rFonts w:ascii="Times New Roman" w:hAnsi="Times New Roman" w:eastAsia="Times New Roman" w:cs="Times New Roman"/>
          <w:color w:val="auto"/>
          <w:spacing w:val="2"/>
          <w:sz w:val="17"/>
          <w:szCs w:val="17"/>
          <w:highlight w:val="none"/>
        </w:rPr>
        <w:t xml:space="preserve">5 </w:t>
      </w:r>
      <w:r>
        <w:rPr>
          <w:rFonts w:ascii="宋体" w:hAnsi="宋体" w:eastAsia="宋体" w:cs="宋体"/>
          <w:color w:val="auto"/>
          <w:spacing w:val="2"/>
          <w:sz w:val="17"/>
          <w:szCs w:val="17"/>
          <w:highlight w:val="none"/>
        </w:rPr>
        <w:t xml:space="preserve">名为 </w:t>
      </w:r>
      <w:r>
        <w:rPr>
          <w:rFonts w:ascii="Times New Roman" w:hAnsi="Times New Roman" w:eastAsia="Times New Roman" w:cs="Times New Roman"/>
          <w:color w:val="auto"/>
          <w:spacing w:val="2"/>
          <w:sz w:val="17"/>
          <w:szCs w:val="17"/>
          <w:highlight w:val="none"/>
        </w:rPr>
        <w:t xml:space="preserve">5 </w:t>
      </w:r>
      <w:r>
        <w:rPr>
          <w:rFonts w:ascii="宋体" w:hAnsi="宋体" w:eastAsia="宋体" w:cs="宋体"/>
          <w:color w:val="auto"/>
          <w:spacing w:val="2"/>
          <w:sz w:val="17"/>
          <w:szCs w:val="17"/>
          <w:highlight w:val="none"/>
        </w:rPr>
        <w:t xml:space="preserve">家投标人；如名次为 </w:t>
      </w:r>
      <w:r>
        <w:rPr>
          <w:rFonts w:ascii="Times New Roman" w:hAnsi="Times New Roman" w:eastAsia="Times New Roman" w:cs="Times New Roman"/>
          <w:color w:val="auto"/>
          <w:spacing w:val="2"/>
          <w:sz w:val="17"/>
          <w:szCs w:val="17"/>
          <w:highlight w:val="none"/>
        </w:rPr>
        <w:t xml:space="preserve">1,2,3,4,5,5 </w:t>
      </w:r>
      <w:r>
        <w:rPr>
          <w:rFonts w:ascii="宋体" w:hAnsi="宋体" w:eastAsia="宋体" w:cs="宋体"/>
          <w:color w:val="auto"/>
          <w:spacing w:val="2"/>
          <w:sz w:val="17"/>
          <w:szCs w:val="17"/>
          <w:highlight w:val="none"/>
        </w:rPr>
        <w:t xml:space="preserve">，则前 </w:t>
      </w:r>
      <w:r>
        <w:rPr>
          <w:rFonts w:ascii="Times New Roman" w:hAnsi="Times New Roman" w:eastAsia="Times New Roman" w:cs="Times New Roman"/>
          <w:color w:val="auto"/>
          <w:spacing w:val="2"/>
          <w:sz w:val="17"/>
          <w:szCs w:val="17"/>
          <w:highlight w:val="none"/>
        </w:rPr>
        <w:t>5</w:t>
      </w:r>
      <w:r>
        <w:rPr>
          <w:rFonts w:ascii="Times New Roman" w:hAnsi="Times New Roman" w:eastAsia="Times New Roman" w:cs="Times New Roman"/>
          <w:color w:val="auto"/>
          <w:sz w:val="17"/>
          <w:szCs w:val="17"/>
          <w:highlight w:val="none"/>
        </w:rPr>
        <w:t xml:space="preserve"> </w:t>
      </w:r>
      <w:r>
        <w:rPr>
          <w:rFonts w:ascii="宋体" w:hAnsi="宋体" w:eastAsia="宋体" w:cs="宋体"/>
          <w:color w:val="auto"/>
          <w:spacing w:val="6"/>
          <w:sz w:val="17"/>
          <w:szCs w:val="17"/>
          <w:highlight w:val="none"/>
        </w:rPr>
        <w:t xml:space="preserve">名为 </w:t>
      </w:r>
      <w:r>
        <w:rPr>
          <w:rFonts w:ascii="Times New Roman" w:hAnsi="Times New Roman" w:eastAsia="Times New Roman" w:cs="Times New Roman"/>
          <w:color w:val="auto"/>
          <w:spacing w:val="3"/>
          <w:sz w:val="17"/>
          <w:szCs w:val="17"/>
          <w:highlight w:val="none"/>
        </w:rPr>
        <w:t xml:space="preserve">6 </w:t>
      </w:r>
      <w:r>
        <w:rPr>
          <w:rFonts w:ascii="宋体" w:hAnsi="宋体" w:eastAsia="宋体" w:cs="宋体"/>
          <w:color w:val="auto"/>
          <w:spacing w:val="3"/>
          <w:sz w:val="17"/>
          <w:szCs w:val="17"/>
          <w:highlight w:val="none"/>
        </w:rPr>
        <w:t>家投标人，下同</w:t>
      </w:r>
    </w:p>
    <w:p>
      <w:pPr>
        <w:spacing w:before="58"/>
        <w:rPr>
          <w:color w:val="auto"/>
          <w:highlight w:val="none"/>
        </w:rPr>
      </w:pPr>
    </w:p>
    <w:tbl>
      <w:tblPr>
        <w:tblStyle w:val="12"/>
        <w:tblW w:w="93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08"/>
        <w:gridCol w:w="859"/>
        <w:gridCol w:w="1088"/>
        <w:gridCol w:w="765"/>
        <w:gridCol w:w="4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blHeader/>
        </w:trPr>
        <w:tc>
          <w:tcPr>
            <w:tcW w:w="4370" w:type="dxa"/>
            <w:gridSpan w:val="5"/>
            <w:vAlign w:val="center"/>
          </w:tcPr>
          <w:p>
            <w:pPr>
              <w:pStyle w:val="11"/>
              <w:spacing w:before="35" w:line="228" w:lineRule="auto"/>
              <w:ind w:left="1441"/>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评分因素与权重分值</w:t>
            </w:r>
          </w:p>
        </w:tc>
        <w:tc>
          <w:tcPr>
            <w:tcW w:w="4955" w:type="dxa"/>
            <w:vMerge w:val="restart"/>
            <w:tcBorders>
              <w:bottom w:val="nil"/>
            </w:tcBorders>
            <w:vAlign w:val="top"/>
          </w:tcPr>
          <w:p>
            <w:pPr>
              <w:spacing w:line="453" w:lineRule="auto"/>
              <w:rPr>
                <w:rFonts w:hint="eastAsia" w:ascii="宋体" w:hAnsi="宋体" w:eastAsia="宋体" w:cs="宋体"/>
                <w:color w:val="auto"/>
                <w:sz w:val="21"/>
                <w:szCs w:val="21"/>
                <w:highlight w:val="none"/>
              </w:rPr>
            </w:pPr>
          </w:p>
          <w:p>
            <w:pPr>
              <w:pStyle w:val="11"/>
              <w:spacing w:before="65" w:line="228" w:lineRule="auto"/>
              <w:ind w:left="1864"/>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blHeader/>
        </w:trPr>
        <w:tc>
          <w:tcPr>
            <w:tcW w:w="850" w:type="dxa"/>
            <w:vAlign w:val="center"/>
          </w:tcPr>
          <w:p>
            <w:pPr>
              <w:bidi w:val="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条款</w:t>
            </w:r>
            <w:r>
              <w:rPr>
                <w:rFonts w:hint="eastAsia" w:ascii="宋体" w:hAnsi="宋体" w:eastAsia="宋体" w:cs="宋体"/>
                <w:b/>
                <w:bCs/>
                <w:color w:val="auto"/>
                <w:spacing w:val="-3"/>
                <w:sz w:val="21"/>
                <w:szCs w:val="21"/>
                <w:highlight w:val="none"/>
              </w:rPr>
              <w:t>号</w:t>
            </w:r>
          </w:p>
        </w:tc>
        <w:tc>
          <w:tcPr>
            <w:tcW w:w="808" w:type="dxa"/>
            <w:vAlign w:val="top"/>
          </w:tcPr>
          <w:p>
            <w:pPr>
              <w:pStyle w:val="11"/>
              <w:spacing w:before="199" w:line="271" w:lineRule="exact"/>
              <w:ind w:left="257"/>
              <w:rPr>
                <w:rFonts w:hint="eastAsia" w:ascii="宋体" w:hAnsi="宋体" w:eastAsia="宋体" w:cs="宋体"/>
                <w:color w:val="auto"/>
                <w:sz w:val="21"/>
                <w:szCs w:val="21"/>
                <w:highlight w:val="none"/>
              </w:rPr>
            </w:pPr>
            <w:r>
              <w:rPr>
                <w:rFonts w:hint="eastAsia" w:ascii="宋体" w:hAnsi="宋体" w:eastAsia="宋体" w:cs="宋体"/>
                <w:b/>
                <w:bCs/>
                <w:color w:val="auto"/>
                <w:spacing w:val="4"/>
                <w:position w:val="4"/>
                <w:sz w:val="21"/>
                <w:szCs w:val="21"/>
                <w:highlight w:val="none"/>
              </w:rPr>
              <w:t>评分</w:t>
            </w:r>
          </w:p>
          <w:p>
            <w:pPr>
              <w:pStyle w:val="11"/>
              <w:spacing w:line="227" w:lineRule="auto"/>
              <w:ind w:left="27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因素</w:t>
            </w:r>
          </w:p>
        </w:tc>
        <w:tc>
          <w:tcPr>
            <w:tcW w:w="859" w:type="dxa"/>
            <w:vAlign w:val="center"/>
          </w:tcPr>
          <w:p>
            <w:pPr>
              <w:pStyle w:val="11"/>
              <w:spacing w:before="63" w:line="22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评分因</w:t>
            </w:r>
          </w:p>
          <w:p>
            <w:pPr>
              <w:pStyle w:val="11"/>
              <w:spacing w:before="25" w:line="22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素权重</w:t>
            </w:r>
          </w:p>
          <w:p>
            <w:pPr>
              <w:pStyle w:val="11"/>
              <w:spacing w:before="24" w:line="228"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分值</w:t>
            </w:r>
          </w:p>
        </w:tc>
        <w:tc>
          <w:tcPr>
            <w:tcW w:w="1088"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14" w:leftChars="0" w:right="115" w:hanging="14" w:firstLineChars="0"/>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各评分因</w:t>
            </w:r>
          </w:p>
          <w:p>
            <w:pPr>
              <w:pStyle w:val="11"/>
              <w:keepNext w:val="0"/>
              <w:keepLines w:val="0"/>
              <w:pageBreakBefore w:val="0"/>
              <w:widowControl w:val="0"/>
              <w:kinsoku/>
              <w:wordWrap/>
              <w:overflowPunct/>
              <w:topLinePunct w:val="0"/>
              <w:autoSpaceDE/>
              <w:autoSpaceDN/>
              <w:bidi w:val="0"/>
              <w:adjustRightInd/>
              <w:snapToGrid/>
              <w:spacing w:line="240" w:lineRule="auto"/>
              <w:ind w:left="14" w:leftChars="0" w:right="115" w:hanging="14"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素细分项</w:t>
            </w:r>
          </w:p>
        </w:tc>
        <w:tc>
          <w:tcPr>
            <w:tcW w:w="765" w:type="dxa"/>
            <w:vAlign w:val="center"/>
          </w:tcPr>
          <w:p>
            <w:pPr>
              <w:pStyle w:val="11"/>
              <w:spacing w:before="65" w:line="228" w:lineRule="auto"/>
              <w:ind w:left="151"/>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分值</w:t>
            </w:r>
          </w:p>
        </w:tc>
        <w:tc>
          <w:tcPr>
            <w:tcW w:w="4955" w:type="dxa"/>
            <w:vMerge w:val="continue"/>
            <w:tcBorders>
              <w:top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5" w:hRule="atLeast"/>
        </w:trPr>
        <w:tc>
          <w:tcPr>
            <w:tcW w:w="850" w:type="dxa"/>
            <w:vMerge w:val="restart"/>
            <w:vAlign w:val="top"/>
          </w:tcPr>
          <w:p>
            <w:pPr>
              <w:spacing w:line="248"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spacing w:line="249" w:lineRule="auto"/>
              <w:rPr>
                <w:rFonts w:hint="eastAsia" w:ascii="宋体" w:hAnsi="宋体" w:eastAsia="宋体" w:cs="宋体"/>
                <w:color w:val="auto"/>
                <w:sz w:val="21"/>
                <w:szCs w:val="21"/>
                <w:highlight w:val="none"/>
              </w:rPr>
            </w:pPr>
          </w:p>
          <w:p>
            <w:pPr>
              <w:pStyle w:val="11"/>
              <w:spacing w:before="65" w:line="375" w:lineRule="exact"/>
              <w:ind w:left="17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position w:val="16"/>
                <w:sz w:val="21"/>
                <w:szCs w:val="21"/>
                <w:highlight w:val="none"/>
              </w:rPr>
              <w:t>2.2.</w:t>
            </w:r>
            <w:r>
              <w:rPr>
                <w:rFonts w:hint="eastAsia" w:cs="宋体"/>
                <w:color w:val="auto"/>
                <w:spacing w:val="2"/>
                <w:position w:val="16"/>
                <w:sz w:val="21"/>
                <w:szCs w:val="21"/>
                <w:highlight w:val="none"/>
                <w:lang w:val="en-US" w:eastAsia="zh-CN"/>
              </w:rPr>
              <w:t>2</w:t>
            </w:r>
          </w:p>
          <w:p>
            <w:pPr>
              <w:pStyle w:val="11"/>
              <w:spacing w:line="230"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p>
        </w:tc>
        <w:tc>
          <w:tcPr>
            <w:tcW w:w="808" w:type="dxa"/>
            <w:vMerge w:val="restart"/>
            <w:vAlign w:val="top"/>
          </w:tcPr>
          <w:p>
            <w:pPr>
              <w:spacing w:line="247" w:lineRule="auto"/>
              <w:rPr>
                <w:rFonts w:hint="eastAsia" w:ascii="宋体" w:hAnsi="宋体" w:eastAsia="宋体" w:cs="宋体"/>
                <w:color w:val="auto"/>
                <w:sz w:val="21"/>
                <w:szCs w:val="21"/>
                <w:highlight w:val="none"/>
              </w:rPr>
            </w:pPr>
          </w:p>
          <w:p>
            <w:pPr>
              <w:spacing w:line="247" w:lineRule="auto"/>
              <w:rPr>
                <w:rFonts w:hint="eastAsia" w:ascii="宋体" w:hAnsi="宋体" w:eastAsia="宋体" w:cs="宋体"/>
                <w:color w:val="auto"/>
                <w:sz w:val="21"/>
                <w:szCs w:val="21"/>
                <w:highlight w:val="none"/>
              </w:rPr>
            </w:pPr>
          </w:p>
          <w:p>
            <w:pPr>
              <w:spacing w:line="247" w:lineRule="auto"/>
              <w:rPr>
                <w:rFonts w:hint="eastAsia" w:ascii="宋体" w:hAnsi="宋体" w:eastAsia="宋体" w:cs="宋体"/>
                <w:color w:val="auto"/>
                <w:sz w:val="21"/>
                <w:szCs w:val="21"/>
                <w:highlight w:val="none"/>
              </w:rPr>
            </w:pPr>
          </w:p>
          <w:p>
            <w:pPr>
              <w:spacing w:line="247" w:lineRule="auto"/>
              <w:rPr>
                <w:rFonts w:hint="eastAsia" w:ascii="宋体" w:hAnsi="宋体" w:eastAsia="宋体" w:cs="宋体"/>
                <w:color w:val="auto"/>
                <w:sz w:val="21"/>
                <w:szCs w:val="21"/>
                <w:highlight w:val="none"/>
              </w:rPr>
            </w:pPr>
          </w:p>
          <w:p>
            <w:pPr>
              <w:spacing w:line="247" w:lineRule="auto"/>
              <w:rPr>
                <w:rFonts w:hint="eastAsia" w:ascii="宋体" w:hAnsi="宋体" w:eastAsia="宋体" w:cs="宋体"/>
                <w:color w:val="auto"/>
                <w:sz w:val="21"/>
                <w:szCs w:val="21"/>
                <w:highlight w:val="none"/>
              </w:rPr>
            </w:pPr>
          </w:p>
          <w:p>
            <w:pPr>
              <w:spacing w:line="247"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spacing w:line="248" w:lineRule="auto"/>
              <w:rPr>
                <w:rFonts w:hint="eastAsia" w:ascii="宋体" w:hAnsi="宋体" w:eastAsia="宋体" w:cs="宋体"/>
                <w:color w:val="auto"/>
                <w:sz w:val="21"/>
                <w:szCs w:val="21"/>
                <w:highlight w:val="none"/>
              </w:rPr>
            </w:pPr>
          </w:p>
          <w:p>
            <w:pPr>
              <w:pStyle w:val="1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施工组</w:t>
            </w:r>
          </w:p>
          <w:p>
            <w:pPr>
              <w:pStyle w:val="16"/>
              <w:widowControl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织设计</w:t>
            </w:r>
          </w:p>
        </w:tc>
        <w:tc>
          <w:tcPr>
            <w:tcW w:w="859" w:type="dxa"/>
            <w:vMerge w:val="restart"/>
            <w:vAlign w:val="top"/>
          </w:tcPr>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5"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pStyle w:val="11"/>
              <w:spacing w:before="65" w:line="228" w:lineRule="auto"/>
              <w:jc w:val="center"/>
              <w:rPr>
                <w:rFonts w:hint="eastAsia" w:ascii="宋体" w:hAnsi="宋体" w:eastAsia="宋体" w:cs="宋体"/>
                <w:color w:val="auto"/>
                <w:sz w:val="21"/>
                <w:szCs w:val="21"/>
                <w:highlight w:val="none"/>
              </w:rPr>
            </w:pPr>
            <w:r>
              <w:rPr>
                <w:rFonts w:hint="eastAsia" w:cs="宋体"/>
                <w:color w:val="auto"/>
                <w:spacing w:val="1"/>
                <w:sz w:val="21"/>
                <w:szCs w:val="21"/>
                <w:highlight w:val="none"/>
                <w:u w:val="none" w:color="auto"/>
                <w:lang w:val="en-US" w:eastAsia="zh-CN"/>
              </w:rPr>
              <w:t>40</w:t>
            </w:r>
            <w:r>
              <w:rPr>
                <w:rFonts w:hint="eastAsia" w:ascii="宋体" w:hAnsi="宋体" w:eastAsia="宋体" w:cs="宋体"/>
                <w:color w:val="auto"/>
                <w:spacing w:val="-37"/>
                <w:sz w:val="21"/>
                <w:szCs w:val="21"/>
                <w:highlight w:val="none"/>
                <w:u w:val="none" w:color="auto"/>
              </w:rPr>
              <w:t xml:space="preserve"> </w:t>
            </w:r>
            <w:r>
              <w:rPr>
                <w:rFonts w:hint="eastAsia" w:ascii="宋体" w:hAnsi="宋体" w:eastAsia="宋体" w:cs="宋体"/>
                <w:color w:val="auto"/>
                <w:spacing w:val="1"/>
                <w:sz w:val="21"/>
                <w:szCs w:val="21"/>
                <w:highlight w:val="none"/>
              </w:rPr>
              <w:t>分</w:t>
            </w:r>
          </w:p>
        </w:tc>
        <w:tc>
          <w:tcPr>
            <w:tcW w:w="1088" w:type="dxa"/>
            <w:vAlign w:val="top"/>
          </w:tcPr>
          <w:p>
            <w:pPr>
              <w:spacing w:line="242" w:lineRule="auto"/>
              <w:rPr>
                <w:rFonts w:hint="eastAsia" w:ascii="宋体" w:hAnsi="宋体" w:eastAsia="宋体" w:cs="宋体"/>
                <w:color w:val="auto"/>
                <w:sz w:val="21"/>
                <w:szCs w:val="21"/>
                <w:highlight w:val="none"/>
              </w:rPr>
            </w:pPr>
          </w:p>
          <w:p>
            <w:pPr>
              <w:pStyle w:val="2"/>
              <w:rPr>
                <w:rFonts w:hint="eastAsia"/>
                <w:color w:val="auto"/>
                <w:highlight w:val="none"/>
              </w:rPr>
            </w:pPr>
          </w:p>
          <w:p>
            <w:pPr>
              <w:spacing w:line="242" w:lineRule="auto"/>
              <w:rPr>
                <w:rFonts w:hint="eastAsia" w:ascii="宋体" w:hAnsi="宋体" w:eastAsia="宋体" w:cs="宋体"/>
                <w:color w:val="auto"/>
                <w:sz w:val="21"/>
                <w:szCs w:val="21"/>
                <w:highlight w:val="none"/>
              </w:rPr>
            </w:pPr>
          </w:p>
          <w:p>
            <w:pPr>
              <w:jc w:val="center"/>
              <w:rPr>
                <w:rFonts w:hint="eastAsia" w:ascii="宋体" w:hAnsi="宋体" w:eastAsia="宋体" w:cs="宋体"/>
                <w:color w:val="auto"/>
                <w:sz w:val="21"/>
                <w:szCs w:val="21"/>
                <w:highlight w:val="none"/>
              </w:rPr>
            </w:pPr>
            <w:r>
              <w:rPr>
                <w:rFonts w:hint="eastAsia"/>
                <w:color w:val="auto"/>
                <w:highlight w:val="none"/>
              </w:rPr>
              <w:t>总体施工组织布置及规划</w:t>
            </w:r>
          </w:p>
        </w:tc>
        <w:tc>
          <w:tcPr>
            <w:tcW w:w="765" w:type="dxa"/>
            <w:vAlign w:val="top"/>
          </w:tcPr>
          <w:p>
            <w:pPr>
              <w:spacing w:line="260" w:lineRule="auto"/>
              <w:rPr>
                <w:rFonts w:hint="eastAsia" w:ascii="宋体" w:hAnsi="宋体" w:eastAsia="宋体" w:cs="宋体"/>
                <w:color w:val="auto"/>
                <w:sz w:val="21"/>
                <w:szCs w:val="21"/>
                <w:highlight w:val="none"/>
                <w:u w:val="none" w:color="auto"/>
              </w:rPr>
            </w:pPr>
          </w:p>
          <w:p>
            <w:pPr>
              <w:spacing w:line="260" w:lineRule="auto"/>
              <w:rPr>
                <w:rFonts w:hint="eastAsia" w:ascii="宋体" w:hAnsi="宋体" w:eastAsia="宋体" w:cs="宋体"/>
                <w:color w:val="auto"/>
                <w:sz w:val="21"/>
                <w:szCs w:val="21"/>
                <w:highlight w:val="none"/>
                <w:u w:val="none" w:color="auto"/>
              </w:rPr>
            </w:pPr>
          </w:p>
          <w:p>
            <w:pPr>
              <w:spacing w:line="260" w:lineRule="auto"/>
              <w:rPr>
                <w:rFonts w:hint="eastAsia" w:ascii="宋体" w:hAnsi="宋体" w:eastAsia="宋体" w:cs="宋体"/>
                <w:color w:val="auto"/>
                <w:sz w:val="21"/>
                <w:szCs w:val="21"/>
                <w:highlight w:val="none"/>
                <w:u w:val="none" w:color="auto"/>
              </w:rPr>
            </w:pPr>
          </w:p>
          <w:p>
            <w:pPr>
              <w:pStyle w:val="11"/>
              <w:tabs>
                <w:tab w:val="left" w:pos="315"/>
              </w:tabs>
              <w:spacing w:before="65" w:line="228" w:lineRule="auto"/>
              <w:jc w:val="center"/>
              <w:rPr>
                <w:rFonts w:hint="eastAsia" w:ascii="宋体" w:hAnsi="宋体" w:eastAsia="宋体" w:cs="宋体"/>
                <w:color w:val="auto"/>
                <w:sz w:val="21"/>
                <w:szCs w:val="21"/>
                <w:highlight w:val="none"/>
                <w:u w:val="none" w:color="auto"/>
              </w:rPr>
            </w:pP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c>
          <w:tcPr>
            <w:tcW w:w="4955" w:type="dxa"/>
            <w:vAlign w:val="top"/>
          </w:tcPr>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eastAsia="宋体" w:cs="宋体"/>
                <w:color w:val="auto"/>
                <w:szCs w:val="21"/>
                <w:highlight w:val="none"/>
                <w:lang w:val="en-US" w:eastAsia="zh-CN"/>
              </w:rPr>
              <w:t>12-15</w:t>
            </w:r>
            <w:r>
              <w:rPr>
                <w:rFonts w:hint="eastAsia" w:ascii="宋体" w:hAnsi="宋体" w:eastAsia="宋体" w:cs="宋体"/>
                <w:color w:val="auto"/>
                <w:highlight w:val="none"/>
              </w:rPr>
              <w:t>分；</w:t>
            </w:r>
          </w:p>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（2）满足工程建设需要，施工总体布置规划、施工进度计划基本可行，得</w:t>
            </w:r>
            <w:r>
              <w:rPr>
                <w:rFonts w:hint="eastAsia" w:ascii="宋体" w:hAnsi="宋体" w:eastAsia="宋体" w:cs="宋体"/>
                <w:color w:val="auto"/>
                <w:szCs w:val="21"/>
                <w:highlight w:val="none"/>
                <w:lang w:val="en-US" w:eastAsia="zh-CN"/>
              </w:rPr>
              <w:t>9-12</w:t>
            </w:r>
            <w:r>
              <w:rPr>
                <w:rFonts w:hint="eastAsia" w:ascii="宋体" w:hAnsi="宋体" w:eastAsia="宋体" w:cs="宋体"/>
                <w:color w:val="auto"/>
                <w:highlight w:val="none"/>
              </w:rPr>
              <w:t>分；</w:t>
            </w:r>
          </w:p>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（3）一般但不被评定为不响应的,得</w:t>
            </w:r>
            <w:r>
              <w:rPr>
                <w:rFonts w:hint="eastAsia" w:ascii="宋体" w:hAnsi="宋体" w:eastAsia="宋体" w:cs="宋体"/>
                <w:color w:val="auto"/>
                <w:szCs w:val="21"/>
                <w:highlight w:val="none"/>
                <w:lang w:val="en-US" w:eastAsia="zh-CN"/>
              </w:rPr>
              <w:t>9</w:t>
            </w:r>
            <w:r>
              <w:rPr>
                <w:rFonts w:hint="eastAsia" w:ascii="宋体" w:hAnsi="宋体" w:eastAsia="宋体" w:cs="宋体"/>
                <w:color w:val="auto"/>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6" w:hRule="atLeast"/>
        </w:trPr>
        <w:tc>
          <w:tcPr>
            <w:tcW w:w="850" w:type="dxa"/>
            <w:vMerge w:val="continue"/>
            <w:vAlign w:val="top"/>
          </w:tcPr>
          <w:p>
            <w:pPr>
              <w:rPr>
                <w:rFonts w:hint="eastAsia" w:ascii="宋体" w:hAnsi="宋体" w:eastAsia="宋体" w:cs="宋体"/>
                <w:color w:val="auto"/>
                <w:sz w:val="21"/>
                <w:szCs w:val="21"/>
                <w:highlight w:val="none"/>
              </w:rPr>
            </w:pPr>
          </w:p>
        </w:tc>
        <w:tc>
          <w:tcPr>
            <w:tcW w:w="808" w:type="dxa"/>
            <w:vMerge w:val="continue"/>
            <w:vAlign w:val="top"/>
          </w:tcPr>
          <w:p>
            <w:pPr>
              <w:rPr>
                <w:rFonts w:hint="eastAsia" w:ascii="宋体" w:hAnsi="宋体" w:eastAsia="宋体" w:cs="宋体"/>
                <w:color w:val="auto"/>
                <w:sz w:val="21"/>
                <w:szCs w:val="21"/>
                <w:highlight w:val="none"/>
              </w:rPr>
            </w:pPr>
          </w:p>
        </w:tc>
        <w:tc>
          <w:tcPr>
            <w:tcW w:w="859" w:type="dxa"/>
            <w:vMerge w:val="continue"/>
            <w:vAlign w:val="top"/>
          </w:tcPr>
          <w:p>
            <w:pPr>
              <w:rPr>
                <w:rFonts w:hint="eastAsia" w:ascii="宋体" w:hAnsi="宋体" w:eastAsia="宋体" w:cs="宋体"/>
                <w:color w:val="auto"/>
                <w:sz w:val="21"/>
                <w:szCs w:val="21"/>
                <w:highlight w:val="none"/>
              </w:rPr>
            </w:pPr>
          </w:p>
        </w:tc>
        <w:tc>
          <w:tcPr>
            <w:tcW w:w="1088" w:type="dxa"/>
            <w:vAlign w:val="top"/>
          </w:tcPr>
          <w:p>
            <w:pPr>
              <w:spacing w:line="245"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spacing w:line="246" w:lineRule="auto"/>
              <w:rPr>
                <w:rFonts w:hint="eastAsia" w:ascii="宋体" w:hAnsi="宋体" w:eastAsia="宋体" w:cs="宋体"/>
                <w:color w:val="auto"/>
                <w:sz w:val="21"/>
                <w:szCs w:val="21"/>
                <w:highlight w:val="none"/>
              </w:rPr>
            </w:pPr>
          </w:p>
          <w:p>
            <w:pPr>
              <w:bidi w:val="0"/>
              <w:rPr>
                <w:rFonts w:hint="eastAsia" w:ascii="宋体" w:hAnsi="宋体" w:eastAsia="宋体" w:cs="宋体"/>
                <w:color w:val="auto"/>
                <w:szCs w:val="21"/>
                <w:highlight w:val="none"/>
              </w:rPr>
            </w:pPr>
            <w:r>
              <w:rPr>
                <w:rFonts w:hint="eastAsia"/>
                <w:color w:val="auto"/>
                <w:highlight w:val="none"/>
              </w:rPr>
              <w:t>重点、难点和关键工程的施工方案与技术措施</w:t>
            </w:r>
          </w:p>
        </w:tc>
        <w:tc>
          <w:tcPr>
            <w:tcW w:w="765" w:type="dxa"/>
            <w:vAlign w:val="top"/>
          </w:tcPr>
          <w:p>
            <w:pPr>
              <w:spacing w:line="257" w:lineRule="auto"/>
              <w:rPr>
                <w:rFonts w:hint="eastAsia" w:ascii="宋体" w:hAnsi="宋体" w:eastAsia="宋体" w:cs="宋体"/>
                <w:color w:val="auto"/>
                <w:sz w:val="21"/>
                <w:szCs w:val="21"/>
                <w:highlight w:val="none"/>
                <w:u w:val="none" w:color="auto"/>
              </w:rPr>
            </w:pPr>
          </w:p>
          <w:p>
            <w:pPr>
              <w:spacing w:line="257" w:lineRule="auto"/>
              <w:rPr>
                <w:rFonts w:hint="eastAsia" w:ascii="宋体" w:hAnsi="宋体" w:eastAsia="宋体" w:cs="宋体"/>
                <w:color w:val="auto"/>
                <w:sz w:val="21"/>
                <w:szCs w:val="21"/>
                <w:highlight w:val="none"/>
                <w:u w:val="none" w:color="auto"/>
              </w:rPr>
            </w:pPr>
          </w:p>
          <w:p>
            <w:pPr>
              <w:spacing w:line="258" w:lineRule="auto"/>
              <w:rPr>
                <w:rFonts w:hint="eastAsia" w:ascii="宋体" w:hAnsi="宋体" w:eastAsia="宋体" w:cs="宋体"/>
                <w:color w:val="auto"/>
                <w:sz w:val="21"/>
                <w:szCs w:val="21"/>
                <w:highlight w:val="none"/>
                <w:u w:val="none" w:color="auto"/>
              </w:rPr>
            </w:pPr>
          </w:p>
          <w:p>
            <w:pPr>
              <w:pStyle w:val="2"/>
              <w:rPr>
                <w:rFonts w:hint="eastAsia" w:ascii="宋体" w:hAnsi="宋体" w:eastAsia="宋体" w:cs="宋体"/>
                <w:color w:val="auto"/>
                <w:highlight w:val="none"/>
              </w:rPr>
            </w:pPr>
          </w:p>
          <w:p>
            <w:pPr>
              <w:spacing w:line="258" w:lineRule="auto"/>
              <w:rPr>
                <w:rFonts w:hint="eastAsia" w:ascii="宋体" w:hAnsi="宋体" w:eastAsia="宋体" w:cs="宋体"/>
                <w:color w:val="auto"/>
                <w:sz w:val="21"/>
                <w:szCs w:val="21"/>
                <w:highlight w:val="none"/>
                <w:u w:val="none" w:color="auto"/>
              </w:rPr>
            </w:pPr>
          </w:p>
          <w:p>
            <w:pPr>
              <w:pStyle w:val="11"/>
              <w:tabs>
                <w:tab w:val="left" w:pos="315"/>
              </w:tabs>
              <w:spacing w:before="65" w:line="228" w:lineRule="auto"/>
              <w:ind w:left="104"/>
              <w:jc w:val="center"/>
              <w:rPr>
                <w:rFonts w:hint="eastAsia" w:ascii="宋体" w:hAnsi="宋体" w:eastAsia="宋体" w:cs="宋体"/>
                <w:color w:val="auto"/>
                <w:sz w:val="21"/>
                <w:szCs w:val="21"/>
                <w:highlight w:val="none"/>
                <w:u w:val="none" w:color="auto"/>
              </w:rPr>
            </w:pPr>
            <w:r>
              <w:rPr>
                <w:rFonts w:hint="eastAsia"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en-US" w:eastAsia="zh-CN" w:bidi="ar-SA"/>
              </w:rPr>
              <w:t>分</w:t>
            </w:r>
          </w:p>
        </w:tc>
        <w:tc>
          <w:tcPr>
            <w:tcW w:w="4955" w:type="dxa"/>
            <w:vAlign w:val="top"/>
          </w:tcPr>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 《公路工程施工安全防护设施技术指南》执行，得</w:t>
            </w:r>
            <w:r>
              <w:rPr>
                <w:rFonts w:hint="eastAsia" w:ascii="宋体" w:hAnsi="宋体" w:eastAsia="宋体" w:cs="宋体"/>
                <w:color w:val="auto"/>
                <w:highlight w:val="none"/>
                <w:lang w:val="en-US" w:eastAsia="zh-CN"/>
              </w:rPr>
              <w:t>12-15</w:t>
            </w:r>
            <w:r>
              <w:rPr>
                <w:rFonts w:hint="eastAsia" w:ascii="宋体" w:hAnsi="宋体" w:eastAsia="宋体" w:cs="宋体"/>
                <w:color w:val="auto"/>
                <w:highlight w:val="none"/>
              </w:rPr>
              <w:t>分；</w:t>
            </w:r>
          </w:p>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（2）对项目重点、难点和关键工程认识基本 到位，施工方案与技术措施基本可行，重点较为突出的，得</w:t>
            </w:r>
            <w:r>
              <w:rPr>
                <w:rFonts w:hint="eastAsia" w:ascii="宋体" w:hAnsi="宋体" w:eastAsia="宋体" w:cs="宋体"/>
                <w:color w:val="auto"/>
                <w:highlight w:val="none"/>
                <w:lang w:val="en-US" w:eastAsia="zh-CN"/>
              </w:rPr>
              <w:t>9-12</w:t>
            </w:r>
            <w:r>
              <w:rPr>
                <w:rFonts w:hint="eastAsia" w:ascii="宋体" w:hAnsi="宋体" w:eastAsia="宋体" w:cs="宋体"/>
                <w:color w:val="auto"/>
                <w:highlight w:val="none"/>
              </w:rPr>
              <w:t xml:space="preserve">分； </w:t>
            </w:r>
          </w:p>
          <w:p>
            <w:pPr>
              <w:bidi w:val="0"/>
              <w:ind w:right="136" w:rightChars="65"/>
              <w:rPr>
                <w:rFonts w:hint="eastAsia" w:ascii="宋体" w:hAnsi="宋体" w:eastAsia="宋体" w:cs="宋体"/>
                <w:color w:val="auto"/>
                <w:highlight w:val="none"/>
              </w:rPr>
            </w:pPr>
            <w:r>
              <w:rPr>
                <w:rFonts w:hint="eastAsia" w:ascii="宋体" w:hAnsi="宋体" w:eastAsia="宋体" w:cs="宋体"/>
                <w:color w:val="auto"/>
                <w:highlight w:val="none"/>
              </w:rPr>
              <w:t>（3）一般但不被评定为不响应的, 得</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3" w:hRule="atLeast"/>
        </w:trPr>
        <w:tc>
          <w:tcPr>
            <w:tcW w:w="850" w:type="dxa"/>
            <w:vMerge w:val="continue"/>
            <w:vAlign w:val="top"/>
          </w:tcPr>
          <w:p>
            <w:pPr>
              <w:rPr>
                <w:rFonts w:hint="eastAsia" w:ascii="宋体" w:hAnsi="宋体" w:eastAsia="宋体" w:cs="宋体"/>
                <w:color w:val="auto"/>
                <w:sz w:val="21"/>
                <w:highlight w:val="none"/>
              </w:rPr>
            </w:pPr>
          </w:p>
        </w:tc>
        <w:tc>
          <w:tcPr>
            <w:tcW w:w="808" w:type="dxa"/>
            <w:vMerge w:val="continue"/>
            <w:vAlign w:val="top"/>
          </w:tcPr>
          <w:p>
            <w:pPr>
              <w:rPr>
                <w:rFonts w:hint="eastAsia" w:ascii="宋体" w:hAnsi="宋体" w:eastAsia="宋体" w:cs="宋体"/>
                <w:color w:val="auto"/>
                <w:sz w:val="21"/>
                <w:highlight w:val="none"/>
              </w:rPr>
            </w:pPr>
          </w:p>
        </w:tc>
        <w:tc>
          <w:tcPr>
            <w:tcW w:w="859" w:type="dxa"/>
            <w:vMerge w:val="continue"/>
            <w:vAlign w:val="top"/>
          </w:tcPr>
          <w:p>
            <w:pPr>
              <w:rPr>
                <w:rFonts w:hint="eastAsia" w:ascii="宋体" w:hAnsi="宋体" w:eastAsia="宋体" w:cs="宋体"/>
                <w:color w:val="auto"/>
                <w:sz w:val="21"/>
                <w:highlight w:val="none"/>
              </w:rPr>
            </w:pPr>
          </w:p>
        </w:tc>
        <w:tc>
          <w:tcPr>
            <w:tcW w:w="1088" w:type="dxa"/>
            <w:vAlign w:val="center"/>
          </w:tcPr>
          <w:p>
            <w:pPr>
              <w:jc w:val="center"/>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工期、质量、安全、环保水保、文明</w:t>
            </w:r>
          </w:p>
          <w:p>
            <w:pPr>
              <w:jc w:val="center"/>
              <w:rPr>
                <w:rFonts w:hint="eastAsia" w:ascii="宋体" w:hAnsi="宋体" w:eastAsia="宋体" w:cs="宋体"/>
                <w:b w:val="0"/>
                <w:bCs w:val="0"/>
                <w:color w:val="auto"/>
                <w:spacing w:val="3"/>
                <w:sz w:val="21"/>
                <w:szCs w:val="21"/>
                <w:highlight w:val="none"/>
                <w:lang w:val="en-US" w:eastAsia="zh-CN"/>
              </w:rPr>
            </w:pPr>
            <w:r>
              <w:rPr>
                <w:rFonts w:hint="eastAsia" w:ascii="宋体" w:hAnsi="宋体" w:eastAsia="宋体" w:cs="宋体"/>
                <w:b w:val="0"/>
                <w:bCs w:val="0"/>
                <w:color w:val="auto"/>
                <w:spacing w:val="3"/>
                <w:sz w:val="21"/>
                <w:szCs w:val="21"/>
                <w:highlight w:val="none"/>
                <w:lang w:val="en-US" w:eastAsia="zh-CN"/>
              </w:rPr>
              <w:t>施工保证</w:t>
            </w:r>
          </w:p>
          <w:p>
            <w:pPr>
              <w:jc w:val="center"/>
              <w:rPr>
                <w:rFonts w:hint="eastAsia" w:ascii="宋体" w:hAnsi="宋体" w:eastAsia="宋体" w:cs="宋体"/>
                <w:color w:val="auto"/>
                <w:sz w:val="20"/>
                <w:szCs w:val="20"/>
                <w:highlight w:val="none"/>
              </w:rPr>
            </w:pPr>
            <w:r>
              <w:rPr>
                <w:rFonts w:hint="eastAsia" w:ascii="宋体" w:hAnsi="宋体" w:eastAsia="宋体" w:cs="宋体"/>
                <w:b w:val="0"/>
                <w:bCs w:val="0"/>
                <w:color w:val="auto"/>
                <w:spacing w:val="3"/>
                <w:sz w:val="21"/>
                <w:szCs w:val="21"/>
                <w:highlight w:val="none"/>
                <w:lang w:val="en-US" w:eastAsia="zh-CN"/>
              </w:rPr>
              <w:t>措施</w:t>
            </w:r>
          </w:p>
        </w:tc>
        <w:tc>
          <w:tcPr>
            <w:tcW w:w="765" w:type="dxa"/>
            <w:vAlign w:val="top"/>
          </w:tcPr>
          <w:p>
            <w:pPr>
              <w:spacing w:line="360" w:lineRule="auto"/>
              <w:rPr>
                <w:rFonts w:hint="eastAsia" w:ascii="宋体" w:hAnsi="宋体" w:eastAsia="宋体" w:cs="宋体"/>
                <w:color w:val="auto"/>
                <w:sz w:val="21"/>
                <w:highlight w:val="none"/>
              </w:rPr>
            </w:pPr>
          </w:p>
          <w:p>
            <w:pPr>
              <w:pStyle w:val="2"/>
              <w:rPr>
                <w:rFonts w:hint="eastAsia" w:ascii="宋体" w:hAnsi="宋体" w:eastAsia="宋体" w:cs="宋体"/>
                <w:color w:val="auto"/>
                <w:highlight w:val="none"/>
              </w:rPr>
            </w:pPr>
          </w:p>
          <w:p>
            <w:pPr>
              <w:spacing w:line="360" w:lineRule="auto"/>
              <w:rPr>
                <w:rFonts w:hint="eastAsia" w:ascii="宋体" w:hAnsi="宋体" w:eastAsia="宋体" w:cs="宋体"/>
                <w:color w:val="auto"/>
                <w:sz w:val="21"/>
                <w:highlight w:val="none"/>
              </w:rPr>
            </w:pPr>
          </w:p>
          <w:p>
            <w:pPr>
              <w:pStyle w:val="11"/>
              <w:tabs>
                <w:tab w:val="left" w:pos="315"/>
              </w:tabs>
              <w:spacing w:before="65" w:line="360" w:lineRule="auto"/>
              <w:ind w:left="104"/>
              <w:jc w:val="center"/>
              <w:rPr>
                <w:rFonts w:hint="eastAsia" w:ascii="宋体" w:hAnsi="宋体" w:eastAsia="宋体" w:cs="宋体"/>
                <w:color w:val="auto"/>
                <w:sz w:val="20"/>
                <w:szCs w:val="20"/>
                <w:highlight w:val="none"/>
              </w:rPr>
            </w:pPr>
            <w:r>
              <w:rPr>
                <w:rFonts w:hint="eastAsia"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分</w:t>
            </w:r>
          </w:p>
        </w:tc>
        <w:tc>
          <w:tcPr>
            <w:tcW w:w="4955" w:type="dxa"/>
            <w:vAlign w:val="top"/>
          </w:tcPr>
          <w:p>
            <w:pPr>
              <w:bidi w:val="0"/>
              <w:ind w:right="136" w:rightChars="65"/>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highlight w:val="none"/>
                <w:lang w:val="en-US" w:eastAsia="zh-CN"/>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-10分；</w:t>
            </w:r>
          </w:p>
          <w:p>
            <w:pPr>
              <w:bidi w:val="0"/>
              <w:ind w:right="136" w:rightChars="6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（2）对工期、质量、安全、环保、水保等风险有一定认识，预防保证措施基本可行，重点较为突出的，得6-8分；</w:t>
            </w:r>
          </w:p>
          <w:p>
            <w:pPr>
              <w:bidi w:val="0"/>
              <w:ind w:right="136" w:rightChars="65"/>
              <w:rPr>
                <w:rFonts w:hint="eastAsia" w:ascii="宋体" w:hAnsi="宋体" w:eastAsia="宋体" w:cs="宋体"/>
                <w:color w:val="auto"/>
                <w:sz w:val="20"/>
                <w:szCs w:val="20"/>
                <w:highlight w:val="none"/>
              </w:rPr>
            </w:pPr>
            <w:r>
              <w:rPr>
                <w:rFonts w:hint="eastAsia" w:ascii="宋体" w:hAnsi="宋体" w:eastAsia="宋体" w:cs="宋体"/>
                <w:color w:val="auto"/>
                <w:highlight w:val="none"/>
                <w:lang w:val="en-US" w:eastAsia="zh-CN"/>
              </w:rPr>
              <w:t>（3）一般但不被评定为不响应的, 得6分。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850"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808"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主要人员</w:t>
            </w:r>
          </w:p>
        </w:tc>
        <w:tc>
          <w:tcPr>
            <w:tcW w:w="859" w:type="dxa"/>
            <w:vMerge w:val="restart"/>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25</w:t>
            </w:r>
            <w:r>
              <w:rPr>
                <w:rFonts w:hint="eastAsia" w:ascii="宋体" w:hAnsi="宋体" w:eastAsia="宋体" w:cs="宋体"/>
                <w:color w:val="auto"/>
                <w:sz w:val="21"/>
                <w:szCs w:val="21"/>
                <w:highlight w:val="none"/>
                <w:lang w:val="en-US" w:eastAsia="zh-CN"/>
              </w:rPr>
              <w:t>分</w:t>
            </w:r>
          </w:p>
        </w:tc>
        <w:tc>
          <w:tcPr>
            <w:tcW w:w="1088" w:type="dxa"/>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项目经理</w:t>
            </w:r>
          </w:p>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任职资格</w:t>
            </w:r>
          </w:p>
          <w:p>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与业绩</w:t>
            </w:r>
          </w:p>
        </w:tc>
        <w:tc>
          <w:tcPr>
            <w:tcW w:w="765"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val="en-US" w:eastAsia="zh-CN"/>
              </w:rPr>
              <w:t>15分</w:t>
            </w:r>
          </w:p>
        </w:tc>
        <w:tc>
          <w:tcPr>
            <w:tcW w:w="4955" w:type="dxa"/>
            <w:vAlign w:val="center"/>
          </w:tcPr>
          <w:p>
            <w:pPr>
              <w:bidi w:val="0"/>
              <w:ind w:right="136" w:rightChars="65"/>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（1）满足资格审查条件（项目经理和项目总工最低要求）时，得9分；</w:t>
            </w:r>
          </w:p>
          <w:p>
            <w:pPr>
              <w:bidi w:val="0"/>
              <w:ind w:right="136" w:rightChars="65"/>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（2）项目经理及备选（如有）均具有高级工程师资格的，加6分。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850" w:type="dxa"/>
            <w:vMerge w:val="continue"/>
            <w:vAlign w:val="center"/>
          </w:tcPr>
          <w:p>
            <w:pPr>
              <w:tabs>
                <w:tab w:val="left" w:pos="925"/>
              </w:tabs>
              <w:bidi w:val="0"/>
              <w:jc w:val="left"/>
              <w:rPr>
                <w:color w:val="auto"/>
                <w:highlight w:val="none"/>
              </w:rPr>
            </w:pPr>
          </w:p>
        </w:tc>
        <w:tc>
          <w:tcPr>
            <w:tcW w:w="808" w:type="dxa"/>
            <w:vMerge w:val="continue"/>
            <w:vAlign w:val="center"/>
          </w:tcPr>
          <w:p>
            <w:pPr>
              <w:tabs>
                <w:tab w:val="left" w:pos="925"/>
              </w:tabs>
              <w:bidi w:val="0"/>
              <w:jc w:val="left"/>
              <w:rPr>
                <w:color w:val="auto"/>
                <w:highlight w:val="none"/>
              </w:rPr>
            </w:pPr>
          </w:p>
        </w:tc>
        <w:tc>
          <w:tcPr>
            <w:tcW w:w="859" w:type="dxa"/>
            <w:vMerge w:val="continue"/>
            <w:vAlign w:val="center"/>
          </w:tcPr>
          <w:p>
            <w:pPr>
              <w:tabs>
                <w:tab w:val="left" w:pos="925"/>
              </w:tabs>
              <w:bidi w:val="0"/>
              <w:jc w:val="left"/>
              <w:rPr>
                <w:color w:val="auto"/>
                <w:highlight w:val="none"/>
              </w:rPr>
            </w:pPr>
          </w:p>
        </w:tc>
        <w:tc>
          <w:tcPr>
            <w:tcW w:w="1088" w:type="dxa"/>
            <w:vAlign w:val="center"/>
          </w:tcPr>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项目总工</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任职资格</w:t>
            </w:r>
          </w:p>
          <w:p>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与业绩</w:t>
            </w:r>
          </w:p>
        </w:tc>
        <w:tc>
          <w:tcPr>
            <w:tcW w:w="765"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10分</w:t>
            </w:r>
          </w:p>
        </w:tc>
        <w:tc>
          <w:tcPr>
            <w:tcW w:w="4955" w:type="dxa"/>
            <w:vAlign w:val="center"/>
          </w:tcPr>
          <w:p>
            <w:pPr>
              <w:bidi w:val="0"/>
              <w:ind w:right="136" w:rightChars="65"/>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满足资格审查条件（项目经理和项目总工最低要求）时，得10分。</w:t>
            </w:r>
          </w:p>
        </w:tc>
      </w:tr>
    </w:tbl>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20" w:lineRule="auto"/>
        <w:rPr>
          <w:rFonts w:ascii="宋体" w:hAnsi="宋体" w:eastAsia="宋体" w:cs="宋体"/>
          <w:color w:val="auto"/>
          <w:sz w:val="18"/>
          <w:szCs w:val="18"/>
          <w:highlight w:val="none"/>
        </w:rPr>
        <w:sectPr>
          <w:headerReference r:id="rId3" w:type="default"/>
          <w:footerReference r:id="rId4" w:type="default"/>
          <w:pgSz w:w="11900" w:h="16839"/>
          <w:pgMar w:top="1417" w:right="1417" w:bottom="1417" w:left="1417" w:header="707" w:footer="924" w:gutter="0"/>
          <w:pgBorders>
            <w:top w:val="none" w:sz="0" w:space="0"/>
            <w:left w:val="none" w:sz="0" w:space="0"/>
            <w:bottom w:val="none" w:sz="0" w:space="0"/>
            <w:right w:val="none" w:sz="0" w:space="0"/>
          </w:pgBorders>
          <w:pgNumType w:fmt="decimal"/>
          <w:cols w:space="0" w:num="1"/>
          <w:rtlGutter w:val="0"/>
          <w:docGrid w:linePitch="0" w:charSpace="0"/>
        </w:sectPr>
      </w:pPr>
      <w:bookmarkStart w:id="3" w:name="bookmark140"/>
      <w:bookmarkEnd w:id="3"/>
    </w:p>
    <w:tbl>
      <w:tblPr>
        <w:tblStyle w:val="12"/>
        <w:tblW w:w="94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436"/>
        <w:gridCol w:w="369"/>
        <w:gridCol w:w="859"/>
        <w:gridCol w:w="6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6" w:hRule="atLeast"/>
        </w:trPr>
        <w:tc>
          <w:tcPr>
            <w:tcW w:w="853" w:type="dxa"/>
            <w:vMerge w:val="restart"/>
            <w:vAlign w:val="top"/>
          </w:tcPr>
          <w:p>
            <w:pPr>
              <w:spacing w:line="246" w:lineRule="auto"/>
              <w:rPr>
                <w:rFonts w:ascii="Arial"/>
                <w:color w:val="auto"/>
                <w:sz w:val="21"/>
                <w:szCs w:val="21"/>
                <w:highlight w:val="none"/>
              </w:rPr>
            </w:pPr>
          </w:p>
          <w:p>
            <w:pPr>
              <w:spacing w:line="246" w:lineRule="auto"/>
              <w:rPr>
                <w:rFonts w:ascii="Arial"/>
                <w:color w:val="auto"/>
                <w:sz w:val="21"/>
                <w:szCs w:val="21"/>
                <w:highlight w:val="none"/>
              </w:rPr>
            </w:pPr>
          </w:p>
          <w:p>
            <w:pPr>
              <w:spacing w:line="246" w:lineRule="auto"/>
              <w:rPr>
                <w:rFonts w:ascii="Arial"/>
                <w:color w:val="auto"/>
                <w:sz w:val="21"/>
                <w:szCs w:val="21"/>
                <w:highlight w:val="none"/>
              </w:rPr>
            </w:pPr>
          </w:p>
          <w:p>
            <w:pPr>
              <w:spacing w:line="246" w:lineRule="auto"/>
              <w:rPr>
                <w:rFonts w:ascii="Arial"/>
                <w:color w:val="auto"/>
                <w:sz w:val="21"/>
                <w:szCs w:val="21"/>
                <w:highlight w:val="none"/>
              </w:rPr>
            </w:pPr>
          </w:p>
          <w:p>
            <w:pPr>
              <w:spacing w:line="247" w:lineRule="auto"/>
              <w:rPr>
                <w:rFonts w:ascii="Arial"/>
                <w:color w:val="auto"/>
                <w:sz w:val="21"/>
                <w:szCs w:val="21"/>
                <w:highlight w:val="none"/>
              </w:rPr>
            </w:pPr>
          </w:p>
          <w:p>
            <w:pPr>
              <w:spacing w:line="247" w:lineRule="auto"/>
              <w:rPr>
                <w:rFonts w:ascii="Arial"/>
                <w:color w:val="auto"/>
                <w:sz w:val="21"/>
                <w:szCs w:val="21"/>
                <w:highlight w:val="none"/>
              </w:rPr>
            </w:pPr>
          </w:p>
          <w:p>
            <w:pPr>
              <w:spacing w:line="247" w:lineRule="auto"/>
              <w:rPr>
                <w:rFonts w:ascii="Arial"/>
                <w:color w:val="auto"/>
                <w:sz w:val="21"/>
                <w:szCs w:val="21"/>
                <w:highlight w:val="none"/>
              </w:rPr>
            </w:pPr>
          </w:p>
          <w:p>
            <w:pPr>
              <w:pStyle w:val="11"/>
              <w:spacing w:before="65" w:line="375" w:lineRule="exact"/>
              <w:ind w:left="170"/>
              <w:rPr>
                <w:color w:val="auto"/>
                <w:sz w:val="21"/>
                <w:szCs w:val="21"/>
                <w:highlight w:val="none"/>
              </w:rPr>
            </w:pPr>
            <w:r>
              <w:rPr>
                <w:color w:val="auto"/>
                <w:spacing w:val="2"/>
                <w:position w:val="16"/>
                <w:sz w:val="21"/>
                <w:szCs w:val="21"/>
                <w:highlight w:val="none"/>
              </w:rPr>
              <w:t>2.2.4</w:t>
            </w:r>
          </w:p>
          <w:p>
            <w:pPr>
              <w:pStyle w:val="11"/>
              <w:spacing w:line="230" w:lineRule="auto"/>
              <w:ind w:left="307"/>
              <w:rPr>
                <w:color w:val="auto"/>
                <w:sz w:val="21"/>
                <w:szCs w:val="21"/>
                <w:highlight w:val="none"/>
              </w:rPr>
            </w:pPr>
            <w:r>
              <w:rPr>
                <w:color w:val="auto"/>
                <w:spacing w:val="-10"/>
                <w:sz w:val="21"/>
                <w:szCs w:val="21"/>
                <w:highlight w:val="none"/>
              </w:rPr>
              <w:t>(4)</w:t>
            </w:r>
          </w:p>
        </w:tc>
        <w:tc>
          <w:tcPr>
            <w:tcW w:w="436" w:type="dxa"/>
            <w:vMerge w:val="restart"/>
            <w:textDirection w:val="tbRlV"/>
            <w:vAlign w:val="center"/>
          </w:tcPr>
          <w:p>
            <w:pPr>
              <w:bidi w:val="0"/>
              <w:jc w:val="center"/>
              <w:rPr>
                <w:color w:val="auto"/>
                <w:highlight w:val="none"/>
              </w:rPr>
            </w:pPr>
            <w:r>
              <w:rPr>
                <w:color w:val="auto"/>
                <w:highlight w:val="none"/>
              </w:rPr>
              <w:t>其 他 因 素</w:t>
            </w:r>
          </w:p>
        </w:tc>
        <w:tc>
          <w:tcPr>
            <w:tcW w:w="369" w:type="dxa"/>
            <w:vAlign w:val="center"/>
          </w:tcPr>
          <w:p>
            <w:pPr>
              <w:bidi w:val="0"/>
              <w:jc w:val="center"/>
              <w:rPr>
                <w:rFonts w:hint="eastAsia"/>
                <w:color w:val="auto"/>
                <w:highlight w:val="none"/>
              </w:rPr>
            </w:pPr>
            <w:r>
              <w:rPr>
                <w:rFonts w:hint="eastAsia"/>
                <w:color w:val="auto"/>
                <w:highlight w:val="none"/>
              </w:rPr>
              <w:t>技术</w:t>
            </w:r>
          </w:p>
          <w:p>
            <w:pPr>
              <w:bidi w:val="0"/>
              <w:jc w:val="center"/>
              <w:rPr>
                <w:color w:val="auto"/>
                <w:szCs w:val="21"/>
                <w:highlight w:val="none"/>
              </w:rPr>
            </w:pPr>
            <w:r>
              <w:rPr>
                <w:rFonts w:hint="eastAsia"/>
                <w:color w:val="auto"/>
                <w:highlight w:val="none"/>
              </w:rPr>
              <w:t>能力</w:t>
            </w:r>
          </w:p>
        </w:tc>
        <w:tc>
          <w:tcPr>
            <w:tcW w:w="859" w:type="dxa"/>
            <w:vAlign w:val="center"/>
          </w:tcPr>
          <w:p>
            <w:pPr>
              <w:pStyle w:val="11"/>
              <w:spacing w:before="65" w:line="228" w:lineRule="auto"/>
              <w:jc w:val="center"/>
              <w:rPr>
                <w:color w:val="auto"/>
                <w:sz w:val="21"/>
                <w:szCs w:val="21"/>
                <w:highlight w:val="none"/>
                <w:u w:val="none" w:color="auto"/>
              </w:rPr>
            </w:pPr>
            <w:r>
              <w:rPr>
                <w:rFonts w:hint="eastAsia" w:cs="宋体"/>
                <w:color w:val="auto"/>
                <w:sz w:val="21"/>
                <w:szCs w:val="21"/>
                <w:highlight w:val="none"/>
                <w:u w:val="single"/>
                <w:lang w:val="en-US" w:eastAsia="zh-CN"/>
              </w:rPr>
              <w:t>20</w:t>
            </w:r>
            <w:r>
              <w:rPr>
                <w:rFonts w:hint="eastAsia" w:ascii="宋体" w:hAnsi="宋体" w:eastAsia="宋体" w:cs="宋体"/>
                <w:color w:val="auto"/>
                <w:sz w:val="21"/>
                <w:szCs w:val="21"/>
                <w:highlight w:val="none"/>
                <w:lang w:val="en-US" w:eastAsia="zh-CN"/>
              </w:rPr>
              <w:t>分</w:t>
            </w:r>
          </w:p>
        </w:tc>
        <w:tc>
          <w:tcPr>
            <w:tcW w:w="6932" w:type="dxa"/>
            <w:vAlign w:val="center"/>
          </w:tcPr>
          <w:p>
            <w:pPr>
              <w:pStyle w:val="11"/>
              <w:numPr>
                <w:ilvl w:val="0"/>
                <w:numId w:val="1"/>
              </w:numPr>
              <w:spacing w:line="240" w:lineRule="auto"/>
              <w:ind w:left="18" w:leftChars="0" w:hanging="18" w:hangingChars="9"/>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投标人获得与项目施工有关</w:t>
            </w:r>
            <w:r>
              <w:rPr>
                <w:rStyle w:val="15"/>
                <w:rFonts w:hint="eastAsia" w:ascii="宋体" w:hAnsi="宋体" w:eastAsia="宋体" w:cs="宋体"/>
                <w:color w:val="auto"/>
                <w:kern w:val="2"/>
                <w:sz w:val="21"/>
                <w:szCs w:val="21"/>
                <w:highlight w:val="none"/>
                <w:vertAlign w:val="superscript"/>
                <w:lang w:val="en-US" w:eastAsia="zh-CN" w:bidi="ar"/>
              </w:rPr>
              <w:t>①</w:t>
            </w:r>
            <w:r>
              <w:rPr>
                <w:rFonts w:hint="eastAsia" w:ascii="宋体" w:hAnsi="宋体" w:eastAsia="宋体" w:cs="宋体"/>
                <w:color w:val="auto"/>
                <w:kern w:val="2"/>
                <w:sz w:val="21"/>
                <w:szCs w:val="21"/>
                <w:highlight w:val="none"/>
                <w:lang w:val="en-US" w:eastAsia="zh-CN" w:bidi="zh-CN"/>
              </w:rPr>
              <w:t>的国家级工法、专利（发明专利或实用新型专利）、国家级科学技术进步奖、鲁班奖、詹天佑奖，主编或参编过国家标准，每项加2分；</w:t>
            </w:r>
          </w:p>
          <w:p>
            <w:pPr>
              <w:pStyle w:val="11"/>
              <w:numPr>
                <w:ilvl w:val="0"/>
                <w:numId w:val="1"/>
              </w:numPr>
              <w:spacing w:line="240" w:lineRule="auto"/>
              <w:ind w:left="18" w:leftChars="0" w:hanging="18" w:hangingChars="9"/>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 xml:space="preserve">投标人获得省级科学技术进步奖，主编或参编过的行业或地方（指省级）标准，每项加1分； </w:t>
            </w:r>
          </w:p>
          <w:p>
            <w:pPr>
              <w:pStyle w:val="11"/>
              <w:numPr>
                <w:ilvl w:val="0"/>
                <w:numId w:val="0"/>
              </w:numPr>
              <w:spacing w:line="240" w:lineRule="auto"/>
              <w:jc w:val="left"/>
              <w:rPr>
                <w:color w:val="auto"/>
                <w:sz w:val="21"/>
                <w:szCs w:val="21"/>
                <w:highlight w:val="none"/>
              </w:rPr>
            </w:pPr>
            <w:r>
              <w:rPr>
                <w:rFonts w:hint="eastAsia" w:ascii="宋体" w:hAnsi="宋体" w:eastAsia="宋体" w:cs="宋体"/>
                <w:color w:val="auto"/>
                <w:kern w:val="2"/>
                <w:sz w:val="21"/>
                <w:szCs w:val="21"/>
                <w:highlight w:val="none"/>
                <w:lang w:val="en-US" w:eastAsia="zh-CN" w:bidi="zh-CN"/>
              </w:rPr>
              <w:t>注：技术能力加分最高20分，同一事项按较高分只计一次。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9" w:hRule="atLeast"/>
        </w:trPr>
        <w:tc>
          <w:tcPr>
            <w:tcW w:w="853" w:type="dxa"/>
            <w:vMerge w:val="continue"/>
            <w:vAlign w:val="top"/>
          </w:tcPr>
          <w:p>
            <w:pPr>
              <w:rPr>
                <w:rFonts w:ascii="Arial"/>
                <w:color w:val="auto"/>
                <w:sz w:val="21"/>
                <w:szCs w:val="21"/>
                <w:highlight w:val="none"/>
              </w:rPr>
            </w:pPr>
          </w:p>
        </w:tc>
        <w:tc>
          <w:tcPr>
            <w:tcW w:w="436" w:type="dxa"/>
            <w:vMerge w:val="continue"/>
            <w:textDirection w:val="tbRlV"/>
            <w:vAlign w:val="top"/>
          </w:tcPr>
          <w:p>
            <w:pPr>
              <w:pStyle w:val="11"/>
              <w:spacing w:line="227" w:lineRule="auto"/>
              <w:ind w:left="138"/>
              <w:rPr>
                <w:rFonts w:ascii="宋体" w:hAnsi="宋体" w:eastAsia="宋体" w:cs="宋体"/>
                <w:color w:val="auto"/>
                <w:sz w:val="21"/>
                <w:szCs w:val="21"/>
                <w:highlight w:val="none"/>
              </w:rPr>
            </w:pPr>
          </w:p>
        </w:tc>
        <w:tc>
          <w:tcPr>
            <w:tcW w:w="369" w:type="dxa"/>
            <w:vAlign w:val="center"/>
          </w:tcPr>
          <w:p>
            <w:pPr>
              <w:bidi w:val="0"/>
              <w:jc w:val="center"/>
              <w:rPr>
                <w:color w:val="auto"/>
                <w:highlight w:val="none"/>
                <w:lang w:val="en-US" w:eastAsia="zh-CN"/>
              </w:rPr>
            </w:pPr>
            <w:r>
              <w:rPr>
                <w:color w:val="auto"/>
                <w:highlight w:val="none"/>
                <w:lang w:val="en-US" w:eastAsia="zh-CN"/>
              </w:rPr>
              <w:t>履约</w:t>
            </w:r>
          </w:p>
          <w:p>
            <w:pPr>
              <w:bidi w:val="0"/>
              <w:jc w:val="center"/>
              <w:rPr>
                <w:rFonts w:ascii="宋体" w:hAnsi="宋体" w:eastAsia="宋体" w:cs="宋体"/>
                <w:color w:val="auto"/>
                <w:szCs w:val="21"/>
                <w:highlight w:val="none"/>
              </w:rPr>
            </w:pPr>
            <w:r>
              <w:rPr>
                <w:color w:val="auto"/>
                <w:highlight w:val="none"/>
                <w:lang w:val="en-US" w:eastAsia="zh-CN"/>
              </w:rPr>
              <w:t>信誉</w:t>
            </w:r>
          </w:p>
        </w:tc>
        <w:tc>
          <w:tcPr>
            <w:tcW w:w="859" w:type="dxa"/>
            <w:vAlign w:val="center"/>
          </w:tcPr>
          <w:p>
            <w:pPr>
              <w:pStyle w:val="11"/>
              <w:spacing w:before="65" w:line="228" w:lineRule="auto"/>
              <w:jc w:val="center"/>
              <w:rPr>
                <w:color w:val="auto"/>
                <w:spacing w:val="1"/>
                <w:sz w:val="21"/>
                <w:szCs w:val="21"/>
                <w:highlight w:val="none"/>
                <w:u w:val="none" w:color="auto"/>
              </w:rPr>
            </w:pPr>
            <w:r>
              <w:rPr>
                <w:color w:val="auto"/>
                <w:spacing w:val="-5"/>
                <w:sz w:val="21"/>
                <w:szCs w:val="21"/>
                <w:highlight w:val="none"/>
                <w:u w:val="none" w:color="auto"/>
              </w:rPr>
              <w:t>1</w:t>
            </w:r>
            <w:r>
              <w:rPr>
                <w:rFonts w:hint="eastAsia"/>
                <w:color w:val="auto"/>
                <w:spacing w:val="-5"/>
                <w:sz w:val="21"/>
                <w:szCs w:val="21"/>
                <w:highlight w:val="none"/>
                <w:u w:val="none" w:color="auto"/>
                <w:lang w:val="en-US" w:eastAsia="zh-CN"/>
              </w:rPr>
              <w:t>5</w:t>
            </w:r>
            <w:r>
              <w:rPr>
                <w:color w:val="auto"/>
                <w:spacing w:val="-5"/>
                <w:sz w:val="21"/>
                <w:szCs w:val="21"/>
                <w:highlight w:val="none"/>
                <w:u w:val="none" w:color="auto"/>
              </w:rPr>
              <w:t>分</w:t>
            </w:r>
          </w:p>
        </w:tc>
        <w:tc>
          <w:tcPr>
            <w:tcW w:w="6932" w:type="dxa"/>
            <w:vAlign w:val="center"/>
          </w:tcPr>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1.信用等级分值（</w:t>
            </w:r>
            <w:r>
              <w:rPr>
                <w:rFonts w:hint="eastAsia" w:ascii="宋体" w:hAnsi="宋体" w:eastAsia="宋体" w:cs="宋体"/>
                <w:color w:val="auto"/>
                <w:kern w:val="2"/>
                <w:sz w:val="21"/>
                <w:szCs w:val="21"/>
                <w:highlight w:val="none"/>
                <w:u w:val="single"/>
                <w:lang w:val="en-US" w:eastAsia="zh-CN" w:bidi="zh-CN"/>
              </w:rPr>
              <w:t>10分</w:t>
            </w:r>
            <w:r>
              <w:rPr>
                <w:rFonts w:hint="eastAsia" w:ascii="宋体" w:hAnsi="宋体" w:eastAsia="宋体" w:cs="宋体"/>
                <w:color w:val="auto"/>
                <w:kern w:val="2"/>
                <w:sz w:val="21"/>
                <w:szCs w:val="21"/>
                <w:highlight w:val="none"/>
                <w:lang w:val="en-US" w:eastAsia="zh-CN" w:bidi="zh-CN"/>
              </w:rPr>
              <w:t>）</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AA、A、B、C级单位的信用等级分得分分别为</w:t>
            </w:r>
            <w:r>
              <w:rPr>
                <w:rFonts w:hint="eastAsia" w:ascii="宋体" w:hAnsi="宋体" w:eastAsia="宋体" w:cs="宋体"/>
                <w:color w:val="auto"/>
                <w:kern w:val="2"/>
                <w:sz w:val="21"/>
                <w:szCs w:val="21"/>
                <w:highlight w:val="none"/>
                <w:u w:val="single"/>
                <w:lang w:val="en-US" w:eastAsia="zh-CN" w:bidi="zh-CN"/>
              </w:rPr>
              <w:t>10、9.5、8.9、7.3</w:t>
            </w:r>
            <w:r>
              <w:rPr>
                <w:rFonts w:hint="eastAsia" w:ascii="宋体" w:hAnsi="宋体" w:eastAsia="宋体" w:cs="宋体"/>
                <w:color w:val="auto"/>
                <w:kern w:val="2"/>
                <w:sz w:val="21"/>
                <w:szCs w:val="21"/>
                <w:highlight w:val="none"/>
                <w:lang w:val="en-US" w:eastAsia="zh-CN" w:bidi="zh-CN"/>
              </w:rPr>
              <w:t>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注：信用等级的确定原则遵循投标人须知前附表10.2款的规定。</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2.履约情况（</w:t>
            </w:r>
            <w:r>
              <w:rPr>
                <w:rFonts w:hint="eastAsia" w:ascii="宋体" w:hAnsi="宋体" w:eastAsia="宋体" w:cs="宋体"/>
                <w:color w:val="auto"/>
                <w:kern w:val="2"/>
                <w:sz w:val="21"/>
                <w:szCs w:val="21"/>
                <w:highlight w:val="none"/>
                <w:u w:val="single"/>
                <w:lang w:val="en-US" w:eastAsia="zh-CN" w:bidi="zh-CN"/>
              </w:rPr>
              <w:t>5分</w:t>
            </w:r>
            <w:r>
              <w:rPr>
                <w:rFonts w:hint="eastAsia" w:ascii="宋体" w:hAnsi="宋体" w:eastAsia="宋体" w:cs="宋体"/>
                <w:color w:val="auto"/>
                <w:kern w:val="2"/>
                <w:sz w:val="21"/>
                <w:szCs w:val="21"/>
                <w:highlight w:val="none"/>
                <w:lang w:val="en-US" w:eastAsia="zh-CN" w:bidi="zh-CN"/>
              </w:rPr>
              <w:t>）</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若没出现下述情形得满分；</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zh-CN" w:eastAsia="zh-CN" w:bidi="zh-CN"/>
              </w:rPr>
              <w:t>投标文件递交截止日前1年内，</w:t>
            </w:r>
            <w:r>
              <w:rPr>
                <w:rFonts w:hint="eastAsia" w:ascii="宋体" w:hAnsi="宋体" w:eastAsia="宋体" w:cs="宋体"/>
                <w:color w:val="auto"/>
                <w:kern w:val="2"/>
                <w:sz w:val="21"/>
                <w:szCs w:val="21"/>
                <w:highlight w:val="none"/>
                <w:lang w:val="en-US" w:eastAsia="zh-CN" w:bidi="zh-CN"/>
              </w:rPr>
              <w:t>投标人</w:t>
            </w:r>
            <w:r>
              <w:rPr>
                <w:rFonts w:hint="eastAsia" w:ascii="宋体" w:hAnsi="宋体" w:eastAsia="宋体" w:cs="宋体"/>
                <w:color w:val="auto"/>
                <w:kern w:val="2"/>
                <w:sz w:val="21"/>
                <w:szCs w:val="21"/>
                <w:highlight w:val="none"/>
                <w:lang w:val="zh-CN" w:eastAsia="zh-CN" w:bidi="zh-CN"/>
              </w:rPr>
              <w:t>因公路工程（含附属设施）质量、</w:t>
            </w:r>
            <w:r>
              <w:rPr>
                <w:rFonts w:hint="eastAsia" w:ascii="宋体" w:hAnsi="宋体" w:eastAsia="宋体" w:cs="宋体"/>
                <w:color w:val="auto"/>
                <w:kern w:val="2"/>
                <w:sz w:val="21"/>
                <w:szCs w:val="21"/>
                <w:highlight w:val="none"/>
                <w:lang w:val="en-US" w:eastAsia="zh-CN" w:bidi="zh-CN"/>
              </w:rPr>
              <w:t>安</w:t>
            </w:r>
            <w:r>
              <w:rPr>
                <w:rFonts w:hint="eastAsia" w:ascii="宋体" w:hAnsi="宋体" w:eastAsia="宋体" w:cs="宋体"/>
                <w:color w:val="auto"/>
                <w:kern w:val="2"/>
                <w:sz w:val="21"/>
                <w:szCs w:val="21"/>
                <w:highlight w:val="none"/>
                <w:lang w:val="zh-CN" w:eastAsia="zh-CN" w:bidi="zh-CN"/>
              </w:rPr>
              <w:t>全、履约或招标投标问题等原因被</w:t>
            </w:r>
            <w:r>
              <w:rPr>
                <w:rFonts w:hint="eastAsia" w:ascii="宋体" w:hAnsi="宋体" w:eastAsia="宋体" w:cs="宋体"/>
                <w:color w:val="auto"/>
                <w:kern w:val="2"/>
                <w:sz w:val="21"/>
                <w:szCs w:val="21"/>
                <w:highlight w:val="none"/>
                <w:lang w:val="en-US" w:eastAsia="zh-CN" w:bidi="zh-CN"/>
              </w:rPr>
              <w:t>：</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(1)交通运输部行政处罚的，扣5分/次。</w:t>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(2)广东省交通运输厅行政处罚的，扣3分/次。</w:t>
            </w:r>
            <w:r>
              <w:rPr>
                <w:rFonts w:hint="eastAsia" w:ascii="宋体" w:hAnsi="宋体" w:eastAsia="宋体" w:cs="宋体"/>
                <w:color w:val="auto"/>
                <w:kern w:val="2"/>
                <w:sz w:val="21"/>
                <w:szCs w:val="21"/>
                <w:highlight w:val="none"/>
                <w:lang w:val="en-US" w:eastAsia="zh-CN" w:bidi="zh-CN"/>
              </w:rPr>
              <w:tab/>
            </w:r>
          </w:p>
          <w:p>
            <w:pPr>
              <w:snapToGrid/>
              <w:spacing w:line="240" w:lineRule="auto"/>
              <w:ind w:left="0" w:right="0" w:rightChars="0" w:firstLine="0" w:firstLineChars="0"/>
              <w:jc w:val="left"/>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(3)广东省交通运输厅正式约谈的，扣0.1分/次。</w:t>
            </w:r>
          </w:p>
          <w:p>
            <w:pPr>
              <w:pStyle w:val="11"/>
              <w:spacing w:before="34" w:line="240" w:lineRule="auto"/>
              <w:ind w:left="240"/>
              <w:jc w:val="both"/>
              <w:rPr>
                <w:color w:val="auto"/>
                <w:spacing w:val="-1"/>
                <w:sz w:val="21"/>
                <w:szCs w:val="21"/>
                <w:highlight w:val="none"/>
              </w:rPr>
            </w:pPr>
            <w:r>
              <w:rPr>
                <w:rFonts w:hint="eastAsia" w:ascii="宋体" w:hAnsi="宋体" w:eastAsia="宋体" w:cs="宋体"/>
                <w:color w:val="auto"/>
                <w:kern w:val="2"/>
                <w:sz w:val="21"/>
                <w:szCs w:val="21"/>
                <w:highlight w:val="none"/>
                <w:lang w:val="en-US" w:eastAsia="zh-CN" w:bidi="zh-CN"/>
              </w:rPr>
              <w:t>同一事项同时被多个部门行政处罚或正式约谈只按最高的扣分计算1次</w:t>
            </w:r>
            <w:r>
              <w:rPr>
                <w:rStyle w:val="15"/>
                <w:rFonts w:hint="eastAsia" w:ascii="宋体" w:hAnsi="宋体" w:eastAsia="宋体" w:cs="宋体"/>
                <w:color w:val="auto"/>
                <w:kern w:val="2"/>
                <w:sz w:val="21"/>
                <w:szCs w:val="21"/>
                <w:highlight w:val="none"/>
                <w:vertAlign w:val="superscript"/>
                <w:lang w:val="en-US" w:eastAsia="zh-CN" w:bidi="ar"/>
              </w:rPr>
              <w:fldChar w:fldCharType="begin"/>
            </w:r>
            <w:r>
              <w:rPr>
                <w:rStyle w:val="15"/>
                <w:rFonts w:hint="eastAsia" w:ascii="宋体" w:hAnsi="宋体" w:eastAsia="宋体" w:cs="宋体"/>
                <w:color w:val="auto"/>
                <w:kern w:val="2"/>
                <w:sz w:val="21"/>
                <w:szCs w:val="21"/>
                <w:highlight w:val="none"/>
                <w:vertAlign w:val="superscript"/>
                <w:lang w:val="en-US" w:eastAsia="zh-CN" w:bidi="ar"/>
              </w:rPr>
              <w:instrText xml:space="preserve"> EQ \o\ac(○,2)</w:instrText>
            </w:r>
            <w:r>
              <w:rPr>
                <w:rStyle w:val="15"/>
                <w:rFonts w:hint="eastAsia" w:ascii="宋体" w:hAnsi="宋体" w:eastAsia="宋体" w:cs="宋体"/>
                <w:color w:val="auto"/>
                <w:kern w:val="2"/>
                <w:sz w:val="21"/>
                <w:szCs w:val="21"/>
                <w:highlight w:val="none"/>
                <w:vertAlign w:val="superscript"/>
                <w:lang w:val="en-US" w:eastAsia="zh-CN" w:bidi="ar"/>
              </w:rPr>
              <w:fldChar w:fldCharType="end"/>
            </w:r>
            <w:r>
              <w:rPr>
                <w:rFonts w:hint="eastAsia" w:ascii="宋体" w:hAnsi="宋体" w:eastAsia="宋体" w:cs="宋体"/>
                <w:color w:val="auto"/>
                <w:kern w:val="2"/>
                <w:sz w:val="21"/>
                <w:szCs w:val="21"/>
                <w:highlight w:val="none"/>
                <w:lang w:val="en-US" w:eastAsia="zh-CN" w:bidi="zh-CN"/>
              </w:rPr>
              <w:t>。如果扣完本项分值，可以从总分中扣。</w:t>
            </w:r>
          </w:p>
        </w:tc>
      </w:tr>
    </w:tbl>
    <w:p>
      <w:pPr>
        <w:spacing w:line="338" w:lineRule="auto"/>
        <w:rPr>
          <w:rFonts w:ascii="Arial"/>
          <w:color w:val="auto"/>
          <w:sz w:val="21"/>
          <w:highlight w:val="none"/>
        </w:rPr>
      </w:pPr>
    </w:p>
    <w:p>
      <w:pPr>
        <w:pStyle w:val="7"/>
        <w:snapToGrid w:val="0"/>
        <w:rPr>
          <w:color w:val="auto"/>
          <w:highlight w:val="none"/>
        </w:rPr>
      </w:pPr>
      <w:r>
        <w:rPr>
          <w:color w:val="auto"/>
          <w:highlight w:val="none"/>
        </w:rPr>
        <w:t xml:space="preserve"> </w:t>
      </w: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pStyle w:val="7"/>
        <w:snapToGrid w:val="0"/>
        <w:rPr>
          <w:color w:val="auto"/>
          <w:highlight w:val="none"/>
        </w:rPr>
      </w:pPr>
    </w:p>
    <w:p>
      <w:pPr>
        <w:keepNext w:val="0"/>
        <w:keepLines w:val="0"/>
        <w:widowControl/>
        <w:suppressLineNumbers w:val="0"/>
        <w:jc w:val="left"/>
        <w:rPr>
          <w:color w:val="auto"/>
          <w:highlight w:val="none"/>
        </w:rPr>
      </w:pPr>
      <w:r>
        <w:rPr>
          <w:rStyle w:val="15"/>
          <w:rFonts w:hint="eastAsia" w:ascii="宋体" w:hAnsi="宋体" w:eastAsia="宋体" w:cs="宋体"/>
          <w:color w:val="auto"/>
          <w:kern w:val="2"/>
          <w:sz w:val="21"/>
          <w:szCs w:val="21"/>
          <w:highlight w:val="none"/>
          <w:vertAlign w:val="superscript"/>
          <w:lang w:val="en-US" w:eastAsia="zh-CN" w:bidi="ar"/>
        </w:rPr>
        <w:t>①</w:t>
      </w:r>
      <w:r>
        <w:rPr>
          <w:rFonts w:hint="eastAsia" w:ascii="宋体" w:hAnsi="宋体" w:eastAsia="宋体" w:cs="宋体"/>
          <w:color w:val="auto"/>
          <w:kern w:val="0"/>
          <w:sz w:val="18"/>
          <w:szCs w:val="18"/>
          <w:highlight w:val="none"/>
          <w:lang w:val="en-US" w:eastAsia="zh-CN" w:bidi="ar"/>
        </w:rPr>
        <w:t>与项目施工有关是指与项目标类相对应，下同。</w:t>
      </w:r>
    </w:p>
    <w:p>
      <w:pPr>
        <w:pStyle w:val="7"/>
        <w:snapToGrid w:val="0"/>
        <w:rPr>
          <w:rFonts w:hint="eastAsia" w:eastAsia="宋体"/>
          <w:color w:val="auto"/>
          <w:highlight w:val="none"/>
          <w:lang w:eastAsia="zh-CN"/>
        </w:rPr>
      </w:pPr>
      <w:r>
        <w:rPr>
          <w:rStyle w:val="15"/>
          <w:rFonts w:hint="eastAsia" w:ascii="宋体" w:hAnsi="宋体" w:eastAsia="宋体" w:cs="宋体"/>
          <w:color w:val="auto"/>
          <w:kern w:val="2"/>
          <w:sz w:val="21"/>
          <w:szCs w:val="21"/>
          <w:highlight w:val="none"/>
          <w:vertAlign w:val="superscript"/>
          <w:lang w:val="en-US" w:eastAsia="zh-CN" w:bidi="ar"/>
        </w:rPr>
        <w:fldChar w:fldCharType="begin"/>
      </w:r>
      <w:r>
        <w:rPr>
          <w:rStyle w:val="15"/>
          <w:rFonts w:hint="eastAsia" w:ascii="宋体" w:hAnsi="宋体" w:eastAsia="宋体" w:cs="宋体"/>
          <w:color w:val="auto"/>
          <w:kern w:val="2"/>
          <w:sz w:val="21"/>
          <w:szCs w:val="21"/>
          <w:highlight w:val="none"/>
          <w:vertAlign w:val="superscript"/>
          <w:lang w:val="en-US" w:eastAsia="zh-CN" w:bidi="ar"/>
        </w:rPr>
        <w:instrText xml:space="preserve"> EQ \o\ac(○,2)</w:instrText>
      </w:r>
      <w:r>
        <w:rPr>
          <w:rStyle w:val="15"/>
          <w:rFonts w:hint="eastAsia" w:ascii="宋体" w:hAnsi="宋体" w:eastAsia="宋体" w:cs="宋体"/>
          <w:color w:val="auto"/>
          <w:kern w:val="2"/>
          <w:sz w:val="21"/>
          <w:szCs w:val="21"/>
          <w:highlight w:val="none"/>
          <w:vertAlign w:val="superscript"/>
          <w:lang w:val="en-US" w:eastAsia="zh-CN" w:bidi="ar"/>
        </w:rPr>
        <w:fldChar w:fldCharType="end"/>
      </w:r>
      <w:r>
        <w:rPr>
          <w:rFonts w:ascii="宋体" w:hAnsi="宋体" w:eastAsia="宋体" w:cs="宋体"/>
          <w:color w:val="auto"/>
          <w:spacing w:val="10"/>
          <w:sz w:val="17"/>
          <w:szCs w:val="17"/>
          <w:highlight w:val="none"/>
        </w:rPr>
        <w:t>本条内容所指的行政处罚和正式约谈是指本范本施行之日起发生的行政处罚和正式约谈。其中：正式约谈是指</w:t>
      </w:r>
      <w:r>
        <w:rPr>
          <w:rFonts w:ascii="宋体" w:hAnsi="宋体" w:eastAsia="宋体" w:cs="宋体"/>
          <w:color w:val="auto"/>
          <w:spacing w:val="4"/>
          <w:sz w:val="17"/>
          <w:szCs w:val="17"/>
          <w:highlight w:val="none"/>
        </w:rPr>
        <w:t>从</w:t>
      </w:r>
      <w:r>
        <w:rPr>
          <w:rFonts w:ascii="宋体" w:hAnsi="宋体" w:eastAsia="宋体" w:cs="宋体"/>
          <w:color w:val="auto"/>
          <w:spacing w:val="10"/>
          <w:sz w:val="17"/>
          <w:szCs w:val="17"/>
          <w:highlight w:val="none"/>
        </w:rPr>
        <w:t>业单位的企业法人因建设项目质量、安全、履约或招标投标等问题，被上述单位约谈的情形。行政处罚要以上述</w:t>
      </w:r>
      <w:r>
        <w:rPr>
          <w:rFonts w:ascii="宋体" w:hAnsi="宋体" w:eastAsia="宋体" w:cs="宋体"/>
          <w:color w:val="auto"/>
          <w:spacing w:val="4"/>
          <w:sz w:val="17"/>
          <w:szCs w:val="17"/>
          <w:highlight w:val="none"/>
        </w:rPr>
        <w:t>单</w:t>
      </w:r>
      <w:r>
        <w:rPr>
          <w:rFonts w:ascii="宋体" w:hAnsi="宋体" w:eastAsia="宋体" w:cs="宋体"/>
          <w:color w:val="auto"/>
          <w:spacing w:val="9"/>
          <w:sz w:val="17"/>
          <w:szCs w:val="17"/>
          <w:highlight w:val="none"/>
        </w:rPr>
        <w:t>位</w:t>
      </w:r>
      <w:r>
        <w:rPr>
          <w:rFonts w:ascii="宋体" w:hAnsi="宋体" w:eastAsia="宋体" w:cs="宋体"/>
          <w:color w:val="auto"/>
          <w:spacing w:val="8"/>
          <w:sz w:val="17"/>
          <w:szCs w:val="17"/>
          <w:highlight w:val="none"/>
        </w:rPr>
        <w:t>正式发文为依据， 以正式发文时间为准；正式约谈要以上述单位的书面通知和约谈会议纪要为依据，时间以约谈</w:t>
      </w:r>
      <w:r>
        <w:rPr>
          <w:rFonts w:ascii="宋体" w:hAnsi="宋体" w:eastAsia="宋体" w:cs="宋体"/>
          <w:color w:val="auto"/>
          <w:spacing w:val="14"/>
          <w:sz w:val="17"/>
          <w:szCs w:val="17"/>
          <w:highlight w:val="none"/>
        </w:rPr>
        <w:t>会</w:t>
      </w:r>
      <w:r>
        <w:rPr>
          <w:rFonts w:ascii="宋体" w:hAnsi="宋体" w:eastAsia="宋体" w:cs="宋体"/>
          <w:color w:val="auto"/>
          <w:spacing w:val="8"/>
          <w:sz w:val="17"/>
          <w:szCs w:val="17"/>
          <w:highlight w:val="none"/>
        </w:rPr>
        <w:t>议纪要发文时间为准</w:t>
      </w:r>
      <w:r>
        <w:rPr>
          <w:rFonts w:hint="eastAsia" w:ascii="宋体" w:hAnsi="宋体" w:eastAsia="宋体" w:cs="宋体"/>
          <w:color w:val="auto"/>
          <w:spacing w:val="8"/>
          <w:sz w:val="17"/>
          <w:szCs w:val="17"/>
          <w:highlight w:val="none"/>
          <w:lang w:eastAsia="zh-CN"/>
        </w:rPr>
        <w:t>。</w:t>
      </w:r>
    </w:p>
    <w:p>
      <w:pPr>
        <w:spacing w:line="220" w:lineRule="auto"/>
        <w:rPr>
          <w:rFonts w:ascii="宋体" w:hAnsi="宋体" w:eastAsia="宋体" w:cs="宋体"/>
          <w:color w:val="auto"/>
          <w:sz w:val="18"/>
          <w:szCs w:val="18"/>
          <w:highlight w:val="none"/>
        </w:rPr>
        <w:sectPr>
          <w:headerReference r:id="rId5" w:type="default"/>
          <w:footerReference r:id="rId6" w:type="default"/>
          <w:pgSz w:w="11900" w:h="16839"/>
          <w:pgMar w:top="947" w:right="1305" w:bottom="1084" w:left="1304" w:header="707" w:footer="922" w:gutter="0"/>
          <w:pgBorders>
            <w:top w:val="none" w:sz="0" w:space="0"/>
            <w:left w:val="none" w:sz="0" w:space="0"/>
            <w:bottom w:val="none" w:sz="0" w:space="0"/>
            <w:right w:val="none" w:sz="0" w:space="0"/>
          </w:pgBorders>
          <w:pgNumType w:fmt="decimal"/>
          <w:cols w:space="720" w:num="1"/>
        </w:sectPr>
      </w:pPr>
    </w:p>
    <w:tbl>
      <w:tblPr>
        <w:tblStyle w:val="1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7"/>
        <w:gridCol w:w="8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175" w:type="dxa"/>
            <w:gridSpan w:val="2"/>
            <w:vAlign w:val="top"/>
          </w:tcPr>
          <w:p>
            <w:pPr>
              <w:pStyle w:val="11"/>
              <w:spacing w:before="35" w:line="228" w:lineRule="auto"/>
              <w:ind w:left="246"/>
              <w:rPr>
                <w:color w:val="auto"/>
                <w:sz w:val="20"/>
                <w:szCs w:val="20"/>
                <w:highlight w:val="none"/>
              </w:rPr>
            </w:pPr>
            <w:r>
              <w:rPr>
                <w:b/>
                <w:bCs/>
                <w:color w:val="auto"/>
                <w:spacing w:val="5"/>
                <w:sz w:val="20"/>
                <w:szCs w:val="20"/>
                <w:highlight w:val="no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167" w:type="dxa"/>
            <w:vAlign w:val="top"/>
          </w:tcPr>
          <w:p>
            <w:pPr>
              <w:pStyle w:val="11"/>
              <w:spacing w:before="42" w:line="228" w:lineRule="auto"/>
              <w:ind w:left="378"/>
              <w:rPr>
                <w:color w:val="auto"/>
                <w:sz w:val="20"/>
                <w:szCs w:val="20"/>
                <w:highlight w:val="none"/>
              </w:rPr>
            </w:pPr>
            <w:r>
              <w:rPr>
                <w:b/>
                <w:bCs/>
                <w:color w:val="auto"/>
                <w:spacing w:val="5"/>
                <w:sz w:val="20"/>
                <w:szCs w:val="20"/>
                <w:highlight w:val="none"/>
              </w:rPr>
              <w:t>条款号</w:t>
            </w:r>
          </w:p>
        </w:tc>
        <w:tc>
          <w:tcPr>
            <w:tcW w:w="8008" w:type="dxa"/>
            <w:vAlign w:val="top"/>
          </w:tcPr>
          <w:p>
            <w:pPr>
              <w:pStyle w:val="11"/>
              <w:spacing w:before="42" w:line="228" w:lineRule="auto"/>
              <w:ind w:left="3065"/>
              <w:rPr>
                <w:color w:val="auto"/>
                <w:sz w:val="20"/>
                <w:szCs w:val="20"/>
                <w:highlight w:val="none"/>
              </w:rPr>
            </w:pPr>
            <w:r>
              <w:rPr>
                <w:b/>
                <w:bCs/>
                <w:color w:val="auto"/>
                <w:spacing w:val="7"/>
                <w:sz w:val="20"/>
                <w:szCs w:val="20"/>
                <w:highlight w:val="none"/>
              </w:rPr>
              <w:t>补充或修改的内容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0" w:hRule="atLeast"/>
        </w:trPr>
        <w:tc>
          <w:tcPr>
            <w:tcW w:w="1167" w:type="dxa"/>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11"/>
              <w:spacing w:before="65" w:line="189" w:lineRule="auto"/>
              <w:ind w:left="653"/>
              <w:rPr>
                <w:color w:val="auto"/>
                <w:sz w:val="20"/>
                <w:szCs w:val="20"/>
                <w:highlight w:val="none"/>
              </w:rPr>
            </w:pPr>
            <w:r>
              <w:rPr>
                <w:color w:val="auto"/>
                <w:sz w:val="20"/>
                <w:szCs w:val="20"/>
                <w:highlight w:val="none"/>
              </w:rPr>
              <w:t>1</w:t>
            </w:r>
          </w:p>
        </w:tc>
        <w:tc>
          <w:tcPr>
            <w:tcW w:w="8008" w:type="dxa"/>
            <w:vAlign w:val="top"/>
          </w:tcPr>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将评标办法原文第1条“评标方法”改为“评标方法、组织及工作程序”，原文内容修改如下：</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1.评标方法、组织及工作程序</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1.1评标方法</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前5名(不少于3名但不足5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1.2评标组织</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1.2.1协助工作组</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招标人可在评标工作开始前成立协助工作组，选派熟悉招标工作、政治素质高的人员组成，协助评标委员会工作。协助工作组人员的具体数量由招标人视评标工作量确定。</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招标人可以协助评标委员会开展下列工作并提供相关信息：</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(1)根据招标文件，编制评标使用的相应表格；</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(2)对投标报价进行算术性校核(如采用固化工程量清单，本步骤省略)；</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(3)以评标标准和方法为依据，列出投标文件相对于招标文件的所有偏差，并进行归类汇总；</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(4)查询公路建设市场信用信息管理系统，对投标人的资质、业绩、主要人员资历和目前在岗情况、信用等级进行核实。</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招标人不得对投标文件作出任何评价，不得故意遗漏或者片面摘录，不得在评标委员会对所有偏差定性之前透露存有偏差的投标人名称。</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1.2.2评标委员会</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评标委员会由招标人按国家、广东省等的有关规定依法组建。评标委员会的主要工作内容包括：</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(1)评标委员会开始评标工作之前，首先听取招标人、协助工作组关于工程情况和辅助工作的说明，并认真研读招标文件，获取评标所需的重要信息和数据；</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(2)对协助工作组提供的评标工作用表和评标内容进行核查。</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(3)按照以下1.3款程序进行各项评审工作。</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1.3评审工作程序</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(一)第一个信封(商务及技术文件)：</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l、初步评审：包括形式评审与响应性评审、资格评审(适用于未进行资格预审)；</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(二)第二个信封(报价文件)：</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1、初步评审：</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(1)只有对投标文件第一个信封通过详细评审的投标人的报价文件才能继续参加第二个信封报价文件的形式评审与响应性评审。</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(2)报价算术性修正(如采用固化工程量清单，本步骤省略)；</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2、详细评审：计算评标价。</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(三)投标文件相关信息的核查。</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(四)投标文件的澄清和说明(如有)</w:t>
            </w:r>
          </w:p>
          <w:p>
            <w:pPr>
              <w:pStyle w:val="11"/>
              <w:spacing w:before="164" w:line="220" w:lineRule="auto"/>
              <w:ind w:left="233" w:leftChars="111" w:firstLine="396" w:firstLineChars="189"/>
              <w:rPr>
                <w:color w:val="auto"/>
                <w:spacing w:val="-52"/>
                <w:sz w:val="20"/>
                <w:szCs w:val="20"/>
                <w:highlight w:val="none"/>
              </w:rPr>
            </w:pPr>
            <w:r>
              <w:rPr>
                <w:rFonts w:hint="eastAsia" w:ascii="宋体" w:hAnsi="宋体" w:eastAsia="宋体" w:cs="宋体"/>
                <w:color w:val="auto"/>
                <w:kern w:val="2"/>
                <w:sz w:val="21"/>
                <w:szCs w:val="21"/>
                <w:highlight w:val="none"/>
                <w:lang w:val="en-US" w:eastAsia="zh-CN" w:bidi="zh-CN"/>
              </w:rPr>
              <w:t>(五)按评标办法规定按照第二个信封的评标价由低到高的顺序推荐中标候选人，编写评标报告。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167" w:type="dxa"/>
            <w:vAlign w:val="top"/>
          </w:tcPr>
          <w:p>
            <w:pPr>
              <w:spacing w:line="476" w:lineRule="auto"/>
              <w:rPr>
                <w:rFonts w:ascii="Arial"/>
                <w:color w:val="auto"/>
                <w:sz w:val="21"/>
                <w:highlight w:val="none"/>
              </w:rPr>
            </w:pPr>
          </w:p>
          <w:p>
            <w:pPr>
              <w:pStyle w:val="11"/>
              <w:spacing w:before="65" w:line="189" w:lineRule="auto"/>
              <w:ind w:left="433" w:leftChars="0"/>
              <w:rPr>
                <w:color w:val="auto"/>
                <w:sz w:val="20"/>
                <w:szCs w:val="20"/>
                <w:highlight w:val="none"/>
              </w:rPr>
            </w:pPr>
            <w:r>
              <w:rPr>
                <w:color w:val="auto"/>
                <w:spacing w:val="2"/>
                <w:sz w:val="20"/>
                <w:szCs w:val="20"/>
                <w:highlight w:val="none"/>
              </w:rPr>
              <w:t>3.2.2</w:t>
            </w:r>
          </w:p>
        </w:tc>
        <w:tc>
          <w:tcPr>
            <w:tcW w:w="8008" w:type="dxa"/>
            <w:vAlign w:val="top"/>
          </w:tcPr>
          <w:p>
            <w:pPr>
              <w:pStyle w:val="11"/>
              <w:spacing w:before="103" w:line="228" w:lineRule="auto"/>
              <w:ind w:left="229"/>
              <w:rPr>
                <w:color w:val="auto"/>
                <w:sz w:val="20"/>
                <w:szCs w:val="20"/>
                <w:highlight w:val="none"/>
              </w:rPr>
            </w:pPr>
            <w:r>
              <w:rPr>
                <w:color w:val="auto"/>
                <w:spacing w:val="6"/>
                <w:sz w:val="20"/>
                <w:szCs w:val="20"/>
                <w:highlight w:val="none"/>
              </w:rPr>
              <w:t>将评标办法原文第</w:t>
            </w:r>
            <w:r>
              <w:rPr>
                <w:color w:val="auto"/>
                <w:spacing w:val="-30"/>
                <w:sz w:val="20"/>
                <w:szCs w:val="20"/>
                <w:highlight w:val="none"/>
              </w:rPr>
              <w:t xml:space="preserve"> </w:t>
            </w:r>
            <w:r>
              <w:rPr>
                <w:color w:val="auto"/>
                <w:spacing w:val="6"/>
                <w:sz w:val="20"/>
                <w:szCs w:val="20"/>
                <w:highlight w:val="none"/>
              </w:rPr>
              <w:t>3.2.2</w:t>
            </w:r>
            <w:r>
              <w:rPr>
                <w:color w:val="auto"/>
                <w:spacing w:val="-34"/>
                <w:sz w:val="20"/>
                <w:szCs w:val="20"/>
                <w:highlight w:val="none"/>
              </w:rPr>
              <w:t xml:space="preserve"> </w:t>
            </w:r>
            <w:r>
              <w:rPr>
                <w:color w:val="auto"/>
                <w:spacing w:val="6"/>
                <w:sz w:val="20"/>
                <w:szCs w:val="20"/>
                <w:highlight w:val="none"/>
              </w:rPr>
              <w:t>项修改如下：</w:t>
            </w:r>
          </w:p>
          <w:p>
            <w:pPr>
              <w:pStyle w:val="11"/>
              <w:spacing w:before="161" w:line="408" w:lineRule="exact"/>
              <w:ind w:left="233"/>
              <w:rPr>
                <w:color w:val="auto"/>
                <w:sz w:val="20"/>
                <w:szCs w:val="20"/>
                <w:highlight w:val="none"/>
              </w:rPr>
            </w:pPr>
            <w:r>
              <w:rPr>
                <w:color w:val="auto"/>
                <w:spacing w:val="9"/>
                <w:position w:val="15"/>
                <w:sz w:val="20"/>
                <w:szCs w:val="20"/>
                <w:highlight w:val="none"/>
              </w:rPr>
              <w:t>投标人的商务和技术得分分值计算保留小数点后三位，小数点</w:t>
            </w:r>
            <w:r>
              <w:rPr>
                <w:color w:val="auto"/>
                <w:spacing w:val="8"/>
                <w:position w:val="15"/>
                <w:sz w:val="20"/>
                <w:szCs w:val="20"/>
                <w:highlight w:val="none"/>
              </w:rPr>
              <w:t>后第四位“</w:t>
            </w:r>
            <w:r>
              <w:rPr>
                <w:color w:val="auto"/>
                <w:spacing w:val="-73"/>
                <w:position w:val="15"/>
                <w:sz w:val="20"/>
                <w:szCs w:val="20"/>
                <w:highlight w:val="none"/>
              </w:rPr>
              <w:t xml:space="preserve"> </w:t>
            </w:r>
            <w:r>
              <w:rPr>
                <w:color w:val="auto"/>
                <w:spacing w:val="8"/>
                <w:position w:val="15"/>
                <w:sz w:val="20"/>
                <w:szCs w:val="20"/>
                <w:highlight w:val="none"/>
              </w:rPr>
              <w:t>四舍五</w:t>
            </w:r>
          </w:p>
          <w:p>
            <w:pPr>
              <w:pStyle w:val="11"/>
              <w:spacing w:line="234" w:lineRule="auto"/>
              <w:ind w:left="230" w:leftChars="0"/>
              <w:rPr>
                <w:color w:val="auto"/>
                <w:spacing w:val="8"/>
                <w:sz w:val="20"/>
                <w:szCs w:val="20"/>
                <w:highlight w:val="none"/>
              </w:rPr>
            </w:pPr>
            <w:r>
              <w:rPr>
                <w:color w:val="auto"/>
                <w:spacing w:val="3"/>
                <w:sz w:val="20"/>
                <w:szCs w:val="20"/>
                <w:highlight w:val="none"/>
              </w:rPr>
              <w:t>入</w:t>
            </w:r>
            <w:r>
              <w:rPr>
                <w:color w:val="auto"/>
                <w:spacing w:val="-69"/>
                <w:sz w:val="20"/>
                <w:szCs w:val="20"/>
                <w:highlight w:val="none"/>
              </w:rPr>
              <w:t xml:space="preserve"> </w:t>
            </w:r>
            <w:r>
              <w:rPr>
                <w:color w:val="auto"/>
                <w:spacing w:val="3"/>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167"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11"/>
              <w:spacing w:before="65" w:line="227" w:lineRule="auto"/>
              <w:ind w:left="383" w:leftChars="0"/>
              <w:rPr>
                <w:color w:val="auto"/>
                <w:spacing w:val="2"/>
                <w:sz w:val="20"/>
                <w:szCs w:val="20"/>
                <w:highlight w:val="none"/>
              </w:rPr>
            </w:pPr>
            <w:r>
              <w:rPr>
                <w:color w:val="auto"/>
                <w:spacing w:val="2"/>
                <w:position w:val="-1"/>
                <w:sz w:val="20"/>
                <w:szCs w:val="20"/>
                <w:highlight w:val="none"/>
              </w:rPr>
              <w:t>3.2.3</w:t>
            </w:r>
          </w:p>
        </w:tc>
        <w:tc>
          <w:tcPr>
            <w:tcW w:w="8008" w:type="dxa"/>
            <w:vAlign w:val="top"/>
          </w:tcPr>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将评标办法范本原文第3.2.3项细化如下：</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投标人的商务和技术得分=A+B+C。</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取消其中1名评委所有评分的办法一(依次按照以下流程)：(1)对比上述出现技术评分总分差值最大值相等的评委的次大差值(次大差值＝某一评委技术评分总分的最高分－该评委技术评分总分的次低分)，取消次分差值最大的评委所有评分；(2)如次分差值仍相同，则按随机抽取的方式选定取消1名评委评分。</w:t>
            </w:r>
          </w:p>
          <w:p>
            <w:pPr>
              <w:pStyle w:val="11"/>
              <w:keepNext w:val="0"/>
              <w:keepLines w:val="0"/>
              <w:pageBreakBefore w:val="0"/>
              <w:widowControl w:val="0"/>
              <w:kinsoku/>
              <w:wordWrap/>
              <w:overflowPunct/>
              <w:topLinePunct w:val="0"/>
              <w:autoSpaceDE/>
              <w:autoSpaceDN/>
              <w:bidi w:val="0"/>
              <w:adjustRightInd/>
              <w:snapToGrid/>
              <w:spacing w:before="155" w:line="288" w:lineRule="auto"/>
              <w:ind w:left="230" w:right="228" w:firstLine="423"/>
              <w:jc w:val="both"/>
              <w:textAlignment w:val="auto"/>
              <w:rPr>
                <w:color w:val="auto"/>
                <w:spacing w:val="3"/>
                <w:sz w:val="20"/>
                <w:szCs w:val="20"/>
                <w:highlight w:val="none"/>
              </w:rPr>
            </w:pPr>
            <w:r>
              <w:rPr>
                <w:rFonts w:hint="eastAsia" w:ascii="宋体" w:hAnsi="宋体" w:eastAsia="宋体" w:cs="宋体"/>
                <w:color w:val="auto"/>
                <w:kern w:val="2"/>
                <w:sz w:val="21"/>
                <w:szCs w:val="21"/>
                <w:highlight w:val="none"/>
                <w:lang w:val="en-US" w:eastAsia="zh-CN" w:bidi="zh-CN"/>
              </w:rPr>
              <w:t>示例:同一评委对5名投标人技术评分总分分别为:6.65(最高分)、5.88、5.11、4.90(次低分)、4.55(最低分)，则其最大差值为2.1、次大差值为6.65-4.90=1.75)。</w:t>
            </w:r>
          </w:p>
        </w:tc>
      </w:tr>
    </w:tbl>
    <w:p>
      <w:pPr>
        <w:rPr>
          <w:rFonts w:ascii="Arial"/>
          <w:color w:val="auto"/>
          <w:sz w:val="21"/>
          <w:highlight w:val="none"/>
        </w:rPr>
      </w:pPr>
    </w:p>
    <w:p>
      <w:pPr>
        <w:pStyle w:val="2"/>
        <w:rPr>
          <w:rFonts w:ascii="Arial"/>
          <w:color w:val="auto"/>
          <w:sz w:val="21"/>
          <w:highlight w:val="none"/>
        </w:rPr>
      </w:pPr>
    </w:p>
    <w:p>
      <w:pPr>
        <w:rPr>
          <w:rFonts w:ascii="Arial" w:hAnsi="Arial" w:eastAsia="Arial" w:cs="Arial"/>
          <w:color w:val="auto"/>
          <w:sz w:val="21"/>
          <w:szCs w:val="21"/>
          <w:highlight w:val="none"/>
        </w:rPr>
        <w:sectPr>
          <w:headerReference r:id="rId7" w:type="default"/>
          <w:footerReference r:id="rId8" w:type="default"/>
          <w:pgSz w:w="11900" w:h="16839"/>
          <w:pgMar w:top="1417" w:right="1415" w:bottom="1417" w:left="1417" w:header="707" w:footer="924" w:gutter="0"/>
          <w:pgBorders>
            <w:top w:val="none" w:sz="0" w:space="0"/>
            <w:left w:val="none" w:sz="0" w:space="0"/>
            <w:bottom w:val="none" w:sz="0" w:space="0"/>
            <w:right w:val="none" w:sz="0" w:space="0"/>
          </w:pgBorders>
          <w:pgNumType w:fmt="decimal"/>
          <w:cols w:space="0" w:num="1"/>
          <w:rtlGutter w:val="0"/>
          <w:docGrid w:linePitch="0" w:charSpace="0"/>
        </w:sectPr>
      </w:pPr>
    </w:p>
    <w:tbl>
      <w:tblPr>
        <w:tblStyle w:val="12"/>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2"/>
        <w:gridCol w:w="78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1372" w:type="dxa"/>
            <w:vAlign w:val="center"/>
          </w:tcPr>
          <w:p>
            <w:pPr>
              <w:spacing w:line="360" w:lineRule="auto"/>
              <w:jc w:val="center"/>
              <w:rPr>
                <w:rFonts w:ascii="Arial"/>
                <w:color w:val="auto"/>
                <w:sz w:val="21"/>
                <w:highlight w:val="none"/>
              </w:rPr>
            </w:pPr>
            <w:r>
              <w:rPr>
                <w:rFonts w:hint="eastAsia" w:ascii="宋体" w:hAnsi="宋体"/>
                <w:color w:val="auto"/>
                <w:szCs w:val="21"/>
                <w:highlight w:val="none"/>
                <w:lang w:val="en-US" w:eastAsia="zh-CN"/>
              </w:rPr>
              <w:t>3.6</w:t>
            </w:r>
          </w:p>
        </w:tc>
        <w:tc>
          <w:tcPr>
            <w:tcW w:w="7803" w:type="dxa"/>
            <w:vAlign w:val="top"/>
          </w:tcPr>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3.6.2项(2)目末增加以下条款：</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g.当一家以上投标人评标价相同时，若各投标人工程量清单细目单价也相同，视为串标(一个标段仅一工作细目报价的除外)。</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h.广东省实施《中华人民共和国招标投标法》办法第十六条规定的情形。</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增加3.6.3项：</w:t>
            </w:r>
          </w:p>
          <w:p>
            <w:pPr>
              <w:tabs>
                <w:tab w:val="left" w:pos="1260"/>
              </w:tabs>
              <w:snapToGrid w:val="0"/>
              <w:spacing w:line="360" w:lineRule="exact"/>
              <w:ind w:left="208" w:leftChars="99" w:right="122" w:rightChars="58" w:firstLine="407" w:firstLineChars="194"/>
              <w:rPr>
                <w:color w:val="auto"/>
                <w:sz w:val="20"/>
                <w:szCs w:val="20"/>
                <w:highlight w:val="none"/>
              </w:rPr>
            </w:pPr>
            <w:r>
              <w:rPr>
                <w:rFonts w:hint="eastAsia" w:ascii="宋体" w:hAnsi="宋体" w:eastAsia="宋体" w:cs="宋体"/>
                <w:color w:val="auto"/>
                <w:kern w:val="2"/>
                <w:sz w:val="21"/>
                <w:szCs w:val="21"/>
                <w:highlight w:val="none"/>
                <w:lang w:val="en-US" w:eastAsia="zh-CN" w:bidi="zh-CN"/>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372" w:type="dxa"/>
            <w:vAlign w:val="center"/>
          </w:tcPr>
          <w:p>
            <w:pPr>
              <w:spacing w:line="360" w:lineRule="auto"/>
              <w:jc w:val="center"/>
              <w:rPr>
                <w:color w:val="auto"/>
                <w:sz w:val="20"/>
                <w:szCs w:val="20"/>
                <w:highlight w:val="none"/>
              </w:rPr>
            </w:pPr>
            <w:r>
              <w:rPr>
                <w:rFonts w:hint="eastAsia" w:ascii="宋体" w:hAnsi="宋体"/>
                <w:color w:val="auto"/>
                <w:szCs w:val="21"/>
                <w:highlight w:val="none"/>
                <w:lang w:val="en-US" w:eastAsia="zh-CN"/>
              </w:rPr>
              <w:t>3.9</w:t>
            </w:r>
          </w:p>
        </w:tc>
        <w:tc>
          <w:tcPr>
            <w:tcW w:w="7803" w:type="dxa"/>
            <w:vAlign w:val="center"/>
          </w:tcPr>
          <w:p>
            <w:pPr>
              <w:tabs>
                <w:tab w:val="left" w:pos="1260"/>
              </w:tabs>
              <w:snapToGrid w:val="0"/>
              <w:spacing w:line="360" w:lineRule="exact"/>
              <w:ind w:left="208" w:leftChars="99" w:right="122" w:rightChars="58" w:firstLine="407" w:firstLineChars="194"/>
              <w:rPr>
                <w:rFonts w:hint="default"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增加3.9.3-3.9.6项：</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3.9.3通过第一个信封商务及技术文件评审的投标人少于3个的，评标委员会应否决全部投标。</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3.9.4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3.9.5如果发生无法确定推荐中标候选人的其它意外情况，评标委员会可建议招标人重新招标。</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3.9.6本招标文件规定的否决投标条款包含在以下条款：</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(1)招标公告第3点投标人资格要求；</w:t>
            </w:r>
          </w:p>
          <w:p>
            <w:pPr>
              <w:tabs>
                <w:tab w:val="left" w:pos="1260"/>
              </w:tabs>
              <w:snapToGrid w:val="0"/>
              <w:spacing w:line="360" w:lineRule="exact"/>
              <w:ind w:left="208" w:leftChars="99" w:right="122" w:rightChars="58" w:firstLine="407" w:firstLineChars="194"/>
              <w:rPr>
                <w:rFonts w:hint="eastAsia" w:ascii="宋体" w:hAnsi="宋体" w:eastAsia="宋体" w:cs="宋体"/>
                <w:color w:val="auto"/>
                <w:kern w:val="2"/>
                <w:sz w:val="21"/>
                <w:szCs w:val="21"/>
                <w:highlight w:val="none"/>
                <w:lang w:val="en-US" w:eastAsia="zh-CN" w:bidi="zh-CN"/>
              </w:rPr>
            </w:pPr>
            <w:r>
              <w:rPr>
                <w:rFonts w:hint="eastAsia" w:ascii="宋体" w:hAnsi="宋体" w:eastAsia="宋体" w:cs="宋体"/>
                <w:color w:val="auto"/>
                <w:kern w:val="2"/>
                <w:sz w:val="21"/>
                <w:szCs w:val="21"/>
                <w:highlight w:val="none"/>
                <w:lang w:val="en-US" w:eastAsia="zh-CN" w:bidi="zh-CN"/>
              </w:rPr>
              <w:t>(2)投标人须知1.4.3项、1.4.4项、1.4.5项、1.11.1项、1.12.2项、3.4.2项、3.5.11项、3.6.1项；</w:t>
            </w:r>
          </w:p>
          <w:p>
            <w:pPr>
              <w:tabs>
                <w:tab w:val="left" w:pos="1260"/>
              </w:tabs>
              <w:snapToGrid w:val="0"/>
              <w:spacing w:line="360" w:lineRule="exact"/>
              <w:ind w:left="208" w:leftChars="99" w:right="122" w:rightChars="58" w:firstLine="407" w:firstLineChars="194"/>
              <w:rPr>
                <w:color w:val="auto"/>
                <w:sz w:val="20"/>
                <w:szCs w:val="20"/>
                <w:highlight w:val="none"/>
              </w:rPr>
            </w:pPr>
            <w:r>
              <w:rPr>
                <w:rFonts w:hint="eastAsia" w:ascii="宋体" w:hAnsi="宋体" w:eastAsia="宋体" w:cs="宋体"/>
                <w:color w:val="auto"/>
                <w:kern w:val="2"/>
                <w:sz w:val="21"/>
                <w:szCs w:val="21"/>
                <w:highlight w:val="none"/>
                <w:lang w:val="en-US" w:eastAsia="zh-CN" w:bidi="zh-CN"/>
              </w:rPr>
              <w:t>(3)本评标办法的否决条款。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372" w:type="dxa"/>
            <w:vAlign w:val="top"/>
          </w:tcPr>
          <w:p>
            <w:pPr>
              <w:spacing w:line="470" w:lineRule="auto"/>
              <w:rPr>
                <w:rFonts w:ascii="Arial"/>
                <w:color w:val="auto"/>
                <w:sz w:val="21"/>
                <w:highlight w:val="none"/>
              </w:rPr>
            </w:pPr>
          </w:p>
          <w:p>
            <w:pPr>
              <w:pStyle w:val="11"/>
              <w:spacing w:before="65" w:line="83" w:lineRule="exact"/>
              <w:ind w:left="240"/>
              <w:rPr>
                <w:color w:val="auto"/>
                <w:sz w:val="20"/>
                <w:szCs w:val="20"/>
                <w:highlight w:val="none"/>
              </w:rPr>
            </w:pPr>
            <w:r>
              <w:rPr>
                <w:color w:val="auto"/>
                <w:spacing w:val="4"/>
                <w:position w:val="1"/>
                <w:sz w:val="20"/>
                <w:szCs w:val="20"/>
                <w:highlight w:val="none"/>
              </w:rPr>
              <w:t>......</w:t>
            </w:r>
          </w:p>
        </w:tc>
        <w:tc>
          <w:tcPr>
            <w:tcW w:w="7803" w:type="dxa"/>
            <w:vAlign w:val="top"/>
          </w:tcPr>
          <w:p>
            <w:pPr>
              <w:rPr>
                <w:rFonts w:ascii="Arial"/>
                <w:color w:val="auto"/>
                <w:sz w:val="21"/>
                <w:highlight w:val="none"/>
              </w:rPr>
            </w:pPr>
          </w:p>
        </w:tc>
      </w:tr>
    </w:tbl>
    <w:p>
      <w:pPr>
        <w:spacing w:line="266" w:lineRule="auto"/>
        <w:rPr>
          <w:rFonts w:ascii="Arial"/>
          <w:color w:val="auto"/>
          <w:sz w:val="21"/>
          <w:highlight w:val="none"/>
        </w:rPr>
      </w:pPr>
    </w:p>
    <w:p>
      <w:pPr>
        <w:spacing w:line="266" w:lineRule="auto"/>
        <w:rPr>
          <w:rFonts w:ascii="Arial"/>
          <w:color w:val="auto"/>
          <w:sz w:val="21"/>
          <w:highlight w:val="none"/>
        </w:rPr>
      </w:pPr>
    </w:p>
    <w:p>
      <w:pPr>
        <w:pStyle w:val="4"/>
        <w:spacing w:before="101" w:line="226" w:lineRule="auto"/>
        <w:ind w:left="2572"/>
        <w:rPr>
          <w:b/>
          <w:bCs/>
          <w:color w:val="auto"/>
          <w:spacing w:val="33"/>
          <w:sz w:val="31"/>
          <w:szCs w:val="31"/>
          <w:highlight w:val="none"/>
        </w:rPr>
      </w:pPr>
    </w:p>
    <w:p>
      <w:pPr>
        <w:pStyle w:val="4"/>
        <w:spacing w:before="101" w:line="226" w:lineRule="auto"/>
        <w:ind w:left="2572"/>
        <w:rPr>
          <w:color w:val="auto"/>
          <w:sz w:val="31"/>
          <w:szCs w:val="31"/>
          <w:highlight w:val="none"/>
        </w:rPr>
      </w:pPr>
      <w:r>
        <w:rPr>
          <w:b/>
          <w:bCs/>
          <w:color w:val="auto"/>
          <w:spacing w:val="33"/>
          <w:sz w:val="31"/>
          <w:szCs w:val="31"/>
          <w:highlight w:val="none"/>
        </w:rPr>
        <w:t>第</w:t>
      </w:r>
      <w:r>
        <w:rPr>
          <w:color w:val="auto"/>
          <w:spacing w:val="-93"/>
          <w:sz w:val="31"/>
          <w:szCs w:val="31"/>
          <w:highlight w:val="none"/>
        </w:rPr>
        <w:t xml:space="preserve"> </w:t>
      </w:r>
      <w:r>
        <w:rPr>
          <w:b/>
          <w:bCs/>
          <w:color w:val="auto"/>
          <w:spacing w:val="33"/>
          <w:sz w:val="31"/>
          <w:szCs w:val="31"/>
          <w:highlight w:val="none"/>
        </w:rPr>
        <w:t>三章</w:t>
      </w:r>
      <w:r>
        <w:rPr>
          <w:color w:val="auto"/>
          <w:spacing w:val="98"/>
          <w:sz w:val="31"/>
          <w:szCs w:val="31"/>
          <w:highlight w:val="none"/>
        </w:rPr>
        <w:t xml:space="preserve"> </w:t>
      </w:r>
      <w:r>
        <w:rPr>
          <w:b/>
          <w:bCs/>
          <w:color w:val="auto"/>
          <w:spacing w:val="33"/>
          <w:sz w:val="31"/>
          <w:szCs w:val="31"/>
          <w:highlight w:val="none"/>
        </w:rPr>
        <w:t>评标办法正文详见</w:t>
      </w:r>
    </w:p>
    <w:p>
      <w:pPr>
        <w:pStyle w:val="4"/>
        <w:spacing w:before="244" w:line="227" w:lineRule="auto"/>
        <w:jc w:val="right"/>
        <w:rPr>
          <w:color w:val="auto"/>
          <w:sz w:val="28"/>
          <w:szCs w:val="28"/>
          <w:highlight w:val="none"/>
        </w:rPr>
      </w:pPr>
      <w:bookmarkStart w:id="4" w:name="bookmark145"/>
      <w:bookmarkEnd w:id="4"/>
      <w:bookmarkStart w:id="5" w:name="bookmark146"/>
      <w:bookmarkEnd w:id="5"/>
      <w:r>
        <w:rPr>
          <w:b/>
          <w:bCs/>
          <w:color w:val="auto"/>
          <w:spacing w:val="32"/>
          <w:sz w:val="28"/>
          <w:szCs w:val="28"/>
          <w:highlight w:val="none"/>
        </w:rPr>
        <w:t>交通运输部《</w:t>
      </w:r>
      <w:r>
        <w:rPr>
          <w:color w:val="auto"/>
          <w:spacing w:val="-77"/>
          <w:sz w:val="28"/>
          <w:szCs w:val="28"/>
          <w:highlight w:val="none"/>
        </w:rPr>
        <w:t xml:space="preserve"> </w:t>
      </w:r>
      <w:r>
        <w:rPr>
          <w:b/>
          <w:bCs/>
          <w:color w:val="auto"/>
          <w:spacing w:val="32"/>
          <w:sz w:val="28"/>
          <w:szCs w:val="28"/>
          <w:highlight w:val="none"/>
        </w:rPr>
        <w:t>公路工程标准施工招标文件（2018</w:t>
      </w:r>
      <w:r>
        <w:rPr>
          <w:color w:val="auto"/>
          <w:spacing w:val="-25"/>
          <w:sz w:val="28"/>
          <w:szCs w:val="28"/>
          <w:highlight w:val="none"/>
        </w:rPr>
        <w:t xml:space="preserve"> </w:t>
      </w:r>
      <w:r>
        <w:rPr>
          <w:b/>
          <w:bCs/>
          <w:color w:val="auto"/>
          <w:spacing w:val="32"/>
          <w:sz w:val="28"/>
          <w:szCs w:val="28"/>
          <w:highlight w:val="none"/>
        </w:rPr>
        <w:t>年版</w:t>
      </w:r>
      <w:r>
        <w:rPr>
          <w:color w:val="auto"/>
          <w:spacing w:val="-78"/>
          <w:sz w:val="28"/>
          <w:szCs w:val="28"/>
          <w:highlight w:val="none"/>
        </w:rPr>
        <w:t xml:space="preserve"> </w:t>
      </w:r>
      <w:r>
        <w:rPr>
          <w:b/>
          <w:bCs/>
          <w:color w:val="auto"/>
          <w:spacing w:val="31"/>
          <w:sz w:val="28"/>
          <w:szCs w:val="28"/>
          <w:highlight w:val="none"/>
        </w:rPr>
        <w:t>）</w:t>
      </w:r>
      <w:r>
        <w:rPr>
          <w:color w:val="auto"/>
          <w:spacing w:val="-87"/>
          <w:sz w:val="28"/>
          <w:szCs w:val="28"/>
          <w:highlight w:val="none"/>
        </w:rPr>
        <w:t xml:space="preserve"> </w:t>
      </w:r>
      <w:r>
        <w:rPr>
          <w:b/>
          <w:bCs/>
          <w:color w:val="auto"/>
          <w:spacing w:val="31"/>
          <w:sz w:val="28"/>
          <w:szCs w:val="28"/>
          <w:highlight w:val="none"/>
        </w:rPr>
        <w:t>》</w:t>
      </w:r>
    </w:p>
    <w:p>
      <w:bookmarkStart w:id="6" w:name="_GoBack"/>
      <w:bookmarkEnd w:id="6"/>
    </w:p>
    <w:sectPr>
      <w:pgSz w:w="11906" w:h="16838"/>
      <w:pgMar w:top="1440"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118"/>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4F21A5"/>
    <w:multiLevelType w:val="singleLevel"/>
    <w:tmpl w:val="424F21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3D776A7"/>
    <w:rsid w:val="43D7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UserStyle_0"/>
    <w:basedOn w:val="1"/>
    <w:qFormat/>
    <w:uiPriority w:val="0"/>
    <w:pPr>
      <w:jc w:val="center"/>
      <w:textAlignment w:val="baseline"/>
    </w:pPr>
    <w:rPr>
      <w:rFonts w:ascii="Times New Roman" w:hAnsi="Times New Roman" w:eastAsia="宋体"/>
      <w:b/>
      <w:kern w:val="2"/>
      <w:sz w:val="21"/>
      <w:szCs w:val="22"/>
      <w:lang w:val="en-US" w:eastAsia="zh-CN" w:bidi="ar-SA"/>
    </w:rPr>
  </w:style>
  <w:style w:type="paragraph" w:styleId="4">
    <w:name w:val="Body Text"/>
    <w:basedOn w:val="1"/>
    <w:qFormat/>
    <w:uiPriority w:val="0"/>
    <w:pPr>
      <w:spacing w:after="120"/>
    </w:pPr>
    <w:rPr>
      <w:rFonts w:ascii="Calibri" w:hAnsi="Calibri" w:eastAsia="Calibri" w:cs="Times New Roman"/>
    </w:rPr>
  </w:style>
  <w:style w:type="paragraph" w:styleId="5">
    <w:name w:val="footer"/>
    <w:basedOn w:val="1"/>
    <w:qFormat/>
    <w:uiPriority w:val="0"/>
    <w:pPr>
      <w:tabs>
        <w:tab w:val="center" w:pos="4153"/>
        <w:tab w:val="right" w:pos="8306"/>
      </w:tabs>
      <w:snapToGrid w:val="0"/>
      <w:jc w:val="left"/>
    </w:pPr>
    <w:rPr>
      <w:rFonts w:ascii="Calibri" w:hAnsi="Calibri" w:eastAsia="Calibri" w:cs="Times New Roman"/>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eastAsia="Calibri" w:cs="Times New Roman"/>
      <w:sz w:val="18"/>
      <w:szCs w:val="18"/>
    </w:rPr>
  </w:style>
  <w:style w:type="paragraph" w:styleId="7">
    <w:name w:val="footnote text"/>
    <w:basedOn w:val="1"/>
    <w:qFormat/>
    <w:uiPriority w:val="0"/>
    <w:pPr>
      <w:snapToGrid w:val="0"/>
      <w:jc w:val="left"/>
    </w:pPr>
    <w:rPr>
      <w:rFonts w:ascii="Calibri" w:hAnsi="Calibri" w:eastAsia="Calibri" w:cs="Times New Roman"/>
      <w:sz w:val="18"/>
      <w:szCs w:val="18"/>
    </w:rPr>
  </w:style>
  <w:style w:type="character" w:styleId="10">
    <w:name w:val="footnote reference"/>
    <w:basedOn w:val="9"/>
    <w:qFormat/>
    <w:uiPriority w:val="0"/>
    <w:rPr>
      <w:rFonts w:ascii="Calibri" w:hAnsi="Calibri" w:eastAsia="Calibri" w:cs="Times New Roman"/>
      <w:vertAlign w:val="superscript"/>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正文文本 (2)1"/>
    <w:basedOn w:val="1"/>
    <w:qFormat/>
    <w:uiPriority w:val="0"/>
    <w:pPr>
      <w:shd w:val="clear" w:color="auto" w:fill="FFFFFF"/>
      <w:spacing w:before="300" w:line="439" w:lineRule="exact"/>
      <w:jc w:val="distribute"/>
    </w:pPr>
    <w:rPr>
      <w:rFonts w:ascii="MingLiU" w:hAnsi="Calibri" w:eastAsia="MingLiU" w:cs="MingLiU"/>
      <w:spacing w:val="20"/>
      <w:kern w:val="0"/>
      <w:sz w:val="22"/>
    </w:rPr>
  </w:style>
  <w:style w:type="character" w:customStyle="1" w:styleId="14">
    <w:name w:val="正文文本 (2) + 10 pt34"/>
    <w:qFormat/>
    <w:uiPriority w:val="0"/>
    <w:rPr>
      <w:rFonts w:ascii="MingLiU" w:hAnsi="Calibri" w:eastAsia="MingLiU" w:cs="MingLiU"/>
      <w:spacing w:val="-20"/>
      <w:sz w:val="20"/>
      <w:szCs w:val="20"/>
      <w:u w:val="none"/>
      <w:lang w:val="en-US" w:eastAsia="en-US"/>
    </w:rPr>
  </w:style>
  <w:style w:type="character" w:customStyle="1" w:styleId="15">
    <w:name w:val="15"/>
    <w:basedOn w:val="9"/>
    <w:qFormat/>
    <w:uiPriority w:val="0"/>
    <w:rPr>
      <w:rFonts w:hint="default" w:ascii="Calibri" w:hAnsi="Calibri" w:cs="Times New Roman"/>
      <w:vertAlign w:val="superscript"/>
    </w:rPr>
  </w:style>
  <w:style w:type="paragraph" w:customStyle="1" w:styleId="16">
    <w:name w:val="正文3"/>
    <w:qFormat/>
    <w:uiPriority w:val="0"/>
    <w:pPr>
      <w:jc w:val="both"/>
    </w:pPr>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2023-09-28T09:45:00Z</dcterms:created>
  <dc:creator>pumpkin</dc:creator>
  <cp:lastModifiedBy>pumpkin</cp:lastModifiedBy>
  <dcterms:modified xsi:type="dcterms:W3CDTF">2023-09-28T09:45:55Z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93CE91192B484E658875F3016AF36B1D_11</vt:lpwstr>
  </property>
</Properties>
</file>