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cs="宋体"/>
          <w:color w:val="auto"/>
          <w:kern w:val="0"/>
          <w:sz w:val="24"/>
          <w:highlight w:val="none"/>
        </w:rPr>
      </w:pPr>
      <w:r>
        <w:rPr>
          <w:rFonts w:hint="eastAsia" w:ascii="宋体" w:cs="宋体"/>
          <w:b/>
          <w:color w:val="auto"/>
          <w:kern w:val="0"/>
          <w:sz w:val="24"/>
          <w:highlight w:val="none"/>
        </w:rPr>
        <w:t>附录</w:t>
      </w:r>
    </w:p>
    <w:p>
      <w:pPr>
        <w:autoSpaceDE w:val="0"/>
        <w:autoSpaceDN w:val="0"/>
        <w:adjustRightInd w:val="0"/>
        <w:spacing w:before="2" w:line="100" w:lineRule="exact"/>
        <w:jc w:val="left"/>
        <w:rPr>
          <w:rFonts w:ascii="宋体" w:cs="宋体"/>
          <w:color w:val="auto"/>
          <w:kern w:val="0"/>
          <w:sz w:val="10"/>
          <w:szCs w:val="10"/>
          <w:highlight w:val="none"/>
        </w:rPr>
      </w:pPr>
    </w:p>
    <w:p>
      <w:pPr>
        <w:spacing w:after="120" w:afterLines="50"/>
        <w:jc w:val="center"/>
        <w:rPr>
          <w:rFonts w:hint="eastAsia"/>
          <w:b/>
          <w:color w:val="auto"/>
          <w:sz w:val="24"/>
          <w:highlight w:val="none"/>
        </w:rPr>
      </w:pPr>
    </w:p>
    <w:p>
      <w:pPr>
        <w:spacing w:after="120" w:afterLines="50"/>
        <w:jc w:val="center"/>
        <w:rPr>
          <w:rFonts w:hint="eastAsia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附录1资格审查条件（资质最低条件）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1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黑体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施工企业资质等级要求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exact"/>
          <w:jc w:val="center"/>
        </w:trPr>
        <w:tc>
          <w:tcPr>
            <w:tcW w:w="918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1、中华人民共和国国内注册成立的独立企业法人；</w:t>
            </w:r>
          </w:p>
          <w:p>
            <w:pPr>
              <w:spacing w:line="360" w:lineRule="exact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2、具备建设行政主管部门核发的公路工程施工总承包二级（或以上）资质；</w:t>
            </w:r>
          </w:p>
          <w:p>
            <w:pPr>
              <w:spacing w:line="360" w:lineRule="exact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3、具有有效的安全生产许可证。</w:t>
            </w:r>
          </w:p>
        </w:tc>
      </w:tr>
    </w:tbl>
    <w:p>
      <w:pPr>
        <w:adjustRightInd w:val="0"/>
        <w:snapToGrid w:val="0"/>
        <w:spacing w:line="300" w:lineRule="exact"/>
        <w:ind w:left="210" w:leftChars="1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注：投标人应根据投标文件第二章“投标人须知”第 3.5.1 项的要求附相关证明材料。</w:t>
      </w:r>
    </w:p>
    <w:p>
      <w:pPr>
        <w:rPr>
          <w:color w:val="auto"/>
          <w:sz w:val="18"/>
          <w:szCs w:val="18"/>
          <w:highlight w:val="none"/>
        </w:rPr>
      </w:pPr>
    </w:p>
    <w:p>
      <w:pPr>
        <w:jc w:val="center"/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>
      <w:pPr>
        <w:spacing w:after="120" w:afterLines="50"/>
        <w:jc w:val="center"/>
        <w:rPr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附录2资格审查条件</w:t>
      </w:r>
      <w:r>
        <w:rPr>
          <w:rFonts w:hint="eastAsia"/>
          <w:color w:val="auto"/>
          <w:sz w:val="24"/>
          <w:highlight w:val="none"/>
        </w:rPr>
        <w:t>（财务最低要求）</w:t>
      </w:r>
    </w:p>
    <w:tbl>
      <w:tblPr>
        <w:tblStyle w:val="6"/>
        <w:tblW w:w="9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230" w:type="dxa"/>
            <w:noWrap w:val="0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财务要求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9230" w:type="dxa"/>
            <w:noWrap w:val="0"/>
            <w:vAlign w:val="center"/>
          </w:tcPr>
          <w:p>
            <w:pPr>
              <w:pStyle w:val="8"/>
              <w:spacing w:before="78" w:line="219" w:lineRule="auto"/>
              <w:ind w:firstLine="206" w:firstLineChars="1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1、企业净资产（总资产-总负债）不少于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u w:val="single" w:color="auto"/>
                <w:lang w:val="en-US" w:eastAsia="zh-CN"/>
              </w:rPr>
              <w:t>30000</w:t>
            </w:r>
            <w:r>
              <w:rPr>
                <w:color w:val="auto"/>
                <w:spacing w:val="-91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万元人民币。</w:t>
            </w:r>
          </w:p>
          <w:p>
            <w:pPr>
              <w:pStyle w:val="8"/>
              <w:spacing w:before="146" w:line="387" w:lineRule="auto"/>
              <w:ind w:firstLine="208" w:firstLineChars="1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2、营运资金（流动资产－流动负债）不少于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u w:val="single" w:color="auto"/>
                <w:lang w:val="en-US" w:eastAsia="zh-CN"/>
              </w:rPr>
              <w:t>30000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万元人民币。</w:t>
            </w:r>
          </w:p>
          <w:p>
            <w:pPr>
              <w:pStyle w:val="8"/>
              <w:spacing w:line="358" w:lineRule="auto"/>
              <w:ind w:firstLine="208" w:firstLineChars="1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3、近三个年度的年平均营业总收入不少于</w:t>
            </w: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u w:val="single" w:color="auto"/>
                <w:lang w:val="en-US" w:eastAsia="zh-CN"/>
              </w:rPr>
              <w:t>100000</w:t>
            </w:r>
            <w:r>
              <w:rPr>
                <w:color w:val="auto"/>
                <w:spacing w:val="-105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万元人民币。</w:t>
            </w:r>
          </w:p>
          <w:p>
            <w:pPr>
              <w:adjustRightInd w:val="0"/>
              <w:snapToGrid w:val="0"/>
              <w:spacing w:line="360" w:lineRule="auto"/>
              <w:ind w:firstLine="208" w:firstLineChars="100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en-US" w:bidi="ar-SA"/>
              </w:rPr>
              <w:t>4、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近三个年度至少有</w:t>
            </w:r>
            <w:r>
              <w:rPr>
                <w:color w:val="auto"/>
                <w:spacing w:val="-1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宋体"/>
                <w:color w:val="auto"/>
                <w:spacing w:val="20"/>
                <w:sz w:val="21"/>
                <w:szCs w:val="21"/>
                <w:highlight w:val="none"/>
                <w:u w:val="single" w:color="auto"/>
                <w:lang w:val="en-US" w:eastAsia="zh-CN"/>
              </w:rPr>
              <w:t>2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年盈利。</w:t>
            </w:r>
          </w:p>
        </w:tc>
      </w:tr>
    </w:tbl>
    <w:p>
      <w:pPr>
        <w:spacing w:before="154" w:line="221" w:lineRule="auto"/>
        <w:ind w:left="430" w:leftChars="0" w:hanging="430" w:hangingChars="201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注：1、企业净资产、营运资金是按交通运输部“全国公路建设市场信用信息管理系统</w:t>
      </w:r>
      <w:r>
        <w:rPr>
          <w:rFonts w:ascii="宋体" w:hAnsi="宋体" w:eastAsia="宋体" w:cs="宋体"/>
          <w:color w:val="auto"/>
          <w:spacing w:val="-5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”登记的最新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年度（近三个年度的最后一年，下同）数据计算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得出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"bookmark62"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 w:eastAsia="宋体" w:cs="宋体"/>
          <w:color w:val="auto"/>
          <w:spacing w:val="7"/>
          <w:position w:val="10"/>
          <w:sz w:val="10"/>
          <w:szCs w:val="10"/>
          <w:highlight w:val="none"/>
        </w:rPr>
        <w:t>③</w:t>
      </w:r>
      <w:r>
        <w:rPr>
          <w:rFonts w:ascii="宋体" w:hAnsi="宋体" w:eastAsia="宋体" w:cs="宋体"/>
          <w:color w:val="auto"/>
          <w:spacing w:val="7"/>
          <w:position w:val="10"/>
          <w:sz w:val="10"/>
          <w:szCs w:val="10"/>
          <w:highlight w:val="none"/>
        </w:rPr>
        <w:fldChar w:fldCharType="end"/>
      </w:r>
      <w:r>
        <w:rPr>
          <w:rFonts w:ascii="宋体" w:hAnsi="宋体" w:eastAsia="宋体" w:cs="宋体"/>
          <w:color w:val="auto"/>
          <w:spacing w:val="-22"/>
          <w:position w:val="10"/>
          <w:sz w:val="10"/>
          <w:szCs w:val="1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。近三个年度是指</w:t>
      </w:r>
      <w:r>
        <w:rPr>
          <w:rFonts w:ascii="宋体" w:hAnsi="宋体" w:eastAsia="宋体" w:cs="宋体"/>
          <w:color w:val="auto"/>
          <w:spacing w:val="-9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  <w:u w:val="single" w:color="auto"/>
          <w:lang w:val="en-US" w:eastAsia="zh-CN"/>
        </w:rPr>
        <w:t>2020-2022年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。</w:t>
      </w:r>
    </w:p>
    <w:p>
      <w:pPr>
        <w:spacing w:before="24" w:line="227" w:lineRule="auto"/>
        <w:ind w:left="431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、投标人应根据招标文件第二章“投标人须知</w:t>
      </w:r>
      <w:r>
        <w:rPr>
          <w:rFonts w:ascii="宋体" w:hAnsi="宋体" w:eastAsia="宋体" w:cs="宋体"/>
          <w:color w:val="auto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”第</w:t>
      </w:r>
      <w:r>
        <w:rPr>
          <w:rFonts w:ascii="宋体" w:hAnsi="宋体" w:eastAsia="宋体" w:cs="宋体"/>
          <w:color w:val="auto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3.5.2</w:t>
      </w:r>
      <w:r>
        <w:rPr>
          <w:rFonts w:ascii="宋体" w:hAnsi="宋体" w:eastAsia="宋体" w:cs="宋体"/>
          <w:color w:val="auto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项的要求附相关证明材料。</w:t>
      </w:r>
    </w:p>
    <w:p>
      <w:pPr>
        <w:spacing w:line="245" w:lineRule="auto"/>
        <w:rPr>
          <w:rFonts w:ascii="Arial"/>
          <w:color w:val="auto"/>
          <w:sz w:val="21"/>
          <w:highlight w:val="none"/>
        </w:rPr>
      </w:pPr>
    </w:p>
    <w:p>
      <w:pPr>
        <w:adjustRightInd w:val="0"/>
        <w:snapToGrid w:val="0"/>
        <w:spacing w:line="300" w:lineRule="exact"/>
        <w:ind w:left="210" w:leftChars="100"/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</w:pPr>
    </w:p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p>
      <w:pPr>
        <w:pStyle w:val="3"/>
        <w:rPr>
          <w:rFonts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color w:val="auto"/>
          <w:sz w:val="24"/>
          <w:highlight w:val="none"/>
        </w:rPr>
        <w:t>资格审查条件</w:t>
      </w:r>
      <w:r>
        <w:rPr>
          <w:rFonts w:hint="eastAsia" w:ascii="宋体" w:hAnsi="宋体"/>
          <w:color w:val="auto"/>
          <w:sz w:val="24"/>
          <w:highlight w:val="none"/>
        </w:rPr>
        <w:t>（业绩最低要求）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业绩要求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86" w:hRule="atLeast"/>
          <w:jc w:val="center"/>
        </w:trPr>
        <w:tc>
          <w:tcPr>
            <w:tcW w:w="900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近5年内（20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18年7月 1日至投标截止日）成功独立完成以下业绩：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新建或改、扩建一级或以上等级公路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路基桥涵工程至少2个标段，其中1个标段里程不少于3km，累计里程不少于6km；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新建或改、扩建一级或以上等级公路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桥长不小于400m的桥梁工程1座，且主孔单孔跨径不少于70m；</w:t>
            </w:r>
          </w:p>
          <w:p>
            <w:pPr>
              <w:spacing w:line="360" w:lineRule="exac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（3）单洞长（左洞加右洞，下同）不小于400m的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新建或改、扩建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一级或以上等级公路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隧道1 座。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注：1、本附录所要求的业绩仅限中华人民共和国境内业绩。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若投标人提供的业绩证明为联合体业绩，则按交通运输部“全国公路建设市场信用信息管理系统”业绩信息的网页截图体现其完成的相关专项工程的工程量认定，无法界定其完成的相关专项工程的工程量，此业绩不予认定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3、投标人应根据招标文件第二章“投标人须知”第3.5.3项的要求附相关证明材料。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4、近五年是指：2018年7月1日至投标文件递交截止之日止，以“全国公路建设市场信用信息管理系统”上的交工验收或未交工验收一次性竣工验收的时间为准。</w:t>
      </w:r>
    </w:p>
    <w:p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同一个标段业绩内容包含上述业绩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）、（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）、（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3）项的可累计认可。</w:t>
      </w:r>
    </w:p>
    <w:p>
      <w:pPr>
        <w:pStyle w:val="3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Style w:val="3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pStyle w:val="3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24"/>
          <w:highlight w:val="none"/>
        </w:rPr>
        <w:t>资格审查条件</w:t>
      </w:r>
      <w:r>
        <w:rPr>
          <w:rFonts w:hint="eastAsia" w:ascii="宋体" w:hAnsi="宋体"/>
          <w:color w:val="auto"/>
          <w:sz w:val="24"/>
          <w:highlight w:val="none"/>
        </w:rPr>
        <w:t>（信誉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最低</w:t>
      </w:r>
      <w:r>
        <w:rPr>
          <w:rFonts w:hint="eastAsia" w:ascii="宋体" w:hAnsi="宋体"/>
          <w:color w:val="auto"/>
          <w:sz w:val="24"/>
          <w:highlight w:val="none"/>
        </w:rPr>
        <w:t>要求）</w:t>
      </w:r>
    </w:p>
    <w:p>
      <w:pPr>
        <w:jc w:val="center"/>
        <w:rPr>
          <w:rFonts w:ascii="宋体" w:hAnsi="宋体"/>
          <w:color w:val="auto"/>
          <w:highlight w:val="none"/>
        </w:rPr>
      </w:pPr>
    </w:p>
    <w:tbl>
      <w:tblPr>
        <w:tblStyle w:val="6"/>
        <w:tblW w:w="89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信誉要求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8971" w:type="dxa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在最新年度广东省公路工程从业单位 (施工单位) 信用评价 (含无最新年度而上一年度有信用评价)中，信用等级未被评为 D 级；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初次进入广东省的投标人，在最新年度的全国公路从业单位 (施工单位) 信用评价结果中未被评为 D 级。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bookmarkStart w:id="0" w:name="_Toc24101"/>
      <w:bookmarkStart w:id="1" w:name="_Toc29604"/>
      <w:bookmarkStart w:id="2" w:name="_Toc510172709"/>
      <w:bookmarkStart w:id="3" w:name="_Toc510089796"/>
      <w:bookmarkStart w:id="4" w:name="_Toc7002"/>
      <w:bookmarkStart w:id="5" w:name="_Toc26582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注:</w:t>
      </w:r>
      <w:bookmarkEnd w:id="0"/>
      <w:bookmarkEnd w:id="1"/>
      <w:bookmarkStart w:id="6" w:name="_Toc27270"/>
      <w:bookmarkStart w:id="7" w:name="_Toc14557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信用等级的确定原则遵循投标人须知前附表10.2款的规定。</w:t>
      </w:r>
    </w:p>
    <w:p>
      <w:pPr>
        <w:spacing w:line="360" w:lineRule="auto"/>
        <w:ind w:left="840" w:leftChars="300" w:right="246" w:rightChars="117" w:hanging="210" w:hangingChars="1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2、投标人应根据第九章“投标文件格式”中“八、资格审查资料(五) 投标人的信誉情况表”填写情况说明。</w:t>
      </w:r>
    </w:p>
    <w:p>
      <w:pPr>
        <w:spacing w:line="360" w:lineRule="auto"/>
        <w:ind w:firstLine="840" w:firstLineChars="400"/>
        <w:rPr>
          <w:rFonts w:ascii="宋体" w:hAnsi="宋体" w:cs="宋体"/>
          <w:color w:val="auto"/>
          <w:kern w:val="0"/>
          <w:szCs w:val="21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  <w:sectPr>
          <w:footnotePr>
            <w:numFmt w:val="decimalEnclosedCircleChinese"/>
            <w:numRestart w:val="eachPage"/>
          </w:footnotePr>
          <w:pgSz w:w="11900" w:h="16840"/>
          <w:pgMar w:top="1417" w:right="1417" w:bottom="1417" w:left="1417" w:header="0" w:footer="6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jc w:val="center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auto"/>
          <w:sz w:val="24"/>
          <w:highlight w:val="none"/>
        </w:rPr>
        <w:t>资格审查条件</w:t>
      </w:r>
      <w:r>
        <w:rPr>
          <w:rFonts w:hint="eastAsia" w:ascii="宋体" w:hAnsi="宋体"/>
          <w:color w:val="auto"/>
          <w:sz w:val="24"/>
          <w:highlight w:val="none"/>
        </w:rPr>
        <w:t>（项目经理和项目总工最低要求）</w:t>
      </w:r>
    </w:p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tbl>
      <w:tblPr>
        <w:tblStyle w:val="6"/>
        <w:tblW w:w="8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50"/>
        <w:gridCol w:w="4976"/>
        <w:gridCol w:w="19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资格要求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在岗要求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  <w:t>项目经理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4976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工程师，担任类似工程项目经理（或项目副经理或项目总工）岗位累计24个月，并持有住房和城乡建设部颁发的公路工程</w:t>
            </w:r>
            <w:r>
              <w:rPr>
                <w:rFonts w:hint="eastAsia" w:ascii="宋体" w:hAnsi="宋体" w:eastAsia="Calibri"/>
                <w:color w:val="auto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宋体" w:hAnsi="宋体" w:eastAsia="Calibri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壹</w:t>
            </w:r>
            <w:r>
              <w:rPr>
                <w:rFonts w:hint="eastAsia" w:ascii="宋体" w:hAnsi="宋体" w:eastAsia="Calibri"/>
                <w:color w:val="auto"/>
                <w:sz w:val="21"/>
                <w:szCs w:val="21"/>
                <w:highlight w:val="none"/>
                <w:u w:val="none"/>
              </w:rPr>
              <w:t>级</w:t>
            </w:r>
            <w:r>
              <w:rPr>
                <w:rFonts w:hint="eastAsia" w:ascii="宋体" w:hAnsi="宋体" w:eastAsia="Calibri"/>
                <w:color w:val="auto"/>
                <w:sz w:val="21"/>
                <w:szCs w:val="21"/>
                <w:highlight w:val="none"/>
              </w:rPr>
              <w:t>建造师注册证书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，具有交通主管部门颁发的有效安全生产“三类人员”B类证书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无在岗项目（指目前未在其他项目上任职，或虽在其他项目上任职但本项目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中标公示后15天内能够从该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项目撤离）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项目经理备选人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97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项目总工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976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路桥相关专业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高级工程师，主管类似工程技术工作岗位累计24个月，具有交通主管部门颁发的有效安全生产“三类人员”B类证书。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项目总工备选人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76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tabs>
          <w:tab w:val="center" w:pos="4535"/>
          <w:tab w:val="left" w:pos="7740"/>
        </w:tabs>
        <w:spacing w:line="24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资格要求的人员建造师注册证书、安全生产“三类人员”B类证书均应在申请人所在单位，否则视为无效。</w:t>
      </w:r>
    </w:p>
    <w:p>
      <w:pPr>
        <w:tabs>
          <w:tab w:val="center" w:pos="4535"/>
          <w:tab w:val="left" w:pos="7740"/>
        </w:tabs>
        <w:spacing w:line="24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2、主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管技术工作指：担任过项目经理、项目副经理、总工程师、质检部门负责人、工程部门负责人。担任类似工程项目经理（或项目副经理或项目总工）岗位经验累计时间、主管类似工程技术工作岗位经验累计时间统计至月，计算时尾数如不少于15天的按1个月计，不足15天部分不计。</w:t>
      </w:r>
    </w:p>
    <w:p>
      <w:pPr>
        <w:tabs>
          <w:tab w:val="center" w:pos="4535"/>
          <w:tab w:val="left" w:pos="7740"/>
        </w:tabs>
        <w:spacing w:line="24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3、投标人应根据招标文件第二章“投标人须知”第3.5.5项的要求附相关证明材料。</w:t>
      </w:r>
    </w:p>
    <w:p>
      <w:pPr>
        <w:tabs>
          <w:tab w:val="center" w:pos="4535"/>
          <w:tab w:val="left" w:pos="7740"/>
        </w:tabs>
        <w:spacing w:line="24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路桥相关专业职称包括公路工程、桥梁工程、公路与桥梁工程、交通土建、市政路桥、隧道（地下结构）工程、交通工程、道路与桥梁工程等专业职称。</w:t>
      </w:r>
    </w:p>
    <w:p>
      <w:pPr>
        <w:bidi w:val="0"/>
        <w:rPr>
          <w:color w:val="auto"/>
          <w:highlight w:val="none"/>
          <w:lang w:val="en-US" w:eastAsia="zh-CN"/>
        </w:rPr>
      </w:pPr>
    </w:p>
    <w:p>
      <w:pPr>
        <w:pStyle w:val="2"/>
        <w:rPr>
          <w:color w:val="auto"/>
          <w:highlight w:val="none"/>
          <w:lang w:val="en-US" w:eastAsia="zh-CN"/>
        </w:rPr>
      </w:pPr>
    </w:p>
    <w:p>
      <w:pPr>
        <w:pStyle w:val="2"/>
        <w:rPr>
          <w:color w:val="auto"/>
          <w:highlight w:val="none"/>
          <w:lang w:val="en-US" w:eastAsia="zh-CN"/>
        </w:rPr>
      </w:pPr>
    </w:p>
    <w:p>
      <w:pPr>
        <w:pStyle w:val="2"/>
        <w:rPr>
          <w:color w:val="auto"/>
          <w:highlight w:val="none"/>
          <w:lang w:val="en-US" w:eastAsia="zh-CN"/>
        </w:rPr>
      </w:pPr>
    </w:p>
    <w:p>
      <w:pPr>
        <w:kinsoku/>
        <w:wordWrap w:val="0"/>
        <w:topLinePunct/>
        <w:autoSpaceDE/>
        <w:autoSpaceDN/>
        <w:adjustRightInd/>
        <w:snapToGrid/>
        <w:spacing w:line="418" w:lineRule="auto"/>
        <w:jc w:val="center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附录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资格审查条件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其他管理人员和技术人员最低要求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)</w:t>
      </w:r>
    </w:p>
    <w:tbl>
      <w:tblPr>
        <w:tblStyle w:val="6"/>
        <w:tblW w:w="90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07"/>
        <w:gridCol w:w="6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tblHeader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人</w:t>
            </w:r>
            <w:r>
              <w:rPr>
                <w:rFonts w:ascii="宋体" w:hAnsi="宋体" w:cs="宋体"/>
                <w:b/>
                <w:bCs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员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614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资</w:t>
            </w:r>
            <w:r>
              <w:rPr>
                <w:rFonts w:ascii="宋体" w:hAnsi="宋体" w:cs="宋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格</w:t>
            </w:r>
            <w:r>
              <w:rPr>
                <w:rFonts w:ascii="宋体" w:hAnsi="宋体" w:cs="宋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要</w:t>
            </w:r>
            <w:r>
              <w:rPr>
                <w:rFonts w:ascii="宋体" w:hAnsi="宋体" w:cs="宋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质检工程师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路桥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</w:t>
            </w: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年从事类似工程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计划工程师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路桥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</w:t>
            </w: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年从事类似工程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具有住房和城乡建设部颁发的注册造价工程师证书。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道路工程师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路桥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</w:t>
            </w: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年从事类似工程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桥梁工程师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路桥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</w:t>
            </w: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年从事类似工程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测量工程师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</w:t>
            </w: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年从事类似工程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专职安全生产管理人员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具有交通主管部门颁发的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有效安全生产“三类人员”</w:t>
            </w:r>
            <w:r>
              <w:rPr>
                <w:rFonts w:ascii="宋体" w:hAnsi="宋体" w:cs="宋体"/>
                <w:color w:val="auto"/>
                <w:highlight w:val="none"/>
              </w:rPr>
              <w:t>C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类证书，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累计3年从事类似工程经验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资料员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6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资料员，累计3年从事类似工作经验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</w:tr>
    </w:tbl>
    <w:p>
      <w:pPr>
        <w:kinsoku/>
        <w:wordWrap w:val="0"/>
        <w:topLinePunct/>
        <w:autoSpaceDE/>
        <w:autoSpaceDN/>
        <w:adjustRightInd/>
        <w:snapToGrid/>
        <w:jc w:val="both"/>
        <w:rPr>
          <w:rFonts w:ascii="宋体" w:cs="Times New Roman"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注：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、附录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6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所要求人员须按投标文件投标函的格式承诺，中标人在进场前向招标人提交实际投入的人员。</w:t>
      </w:r>
    </w:p>
    <w:p>
      <w:pPr>
        <w:kinsoku/>
        <w:wordWrap w:val="0"/>
        <w:topLinePunct/>
        <w:autoSpaceDE/>
        <w:autoSpaceDN/>
        <w:adjustRightInd/>
        <w:snapToGrid/>
        <w:ind w:left="0" w:leftChars="0" w:firstLine="419" w:firstLineChars="233"/>
        <w:jc w:val="both"/>
        <w:rPr>
          <w:rFonts w:ascii="宋体" w:cs="Times New Roman"/>
          <w:color w:val="auto"/>
          <w:sz w:val="18"/>
          <w:szCs w:val="18"/>
          <w:highlight w:val="none"/>
        </w:rPr>
      </w:pPr>
      <w:r>
        <w:rPr>
          <w:rFonts w:ascii="宋体" w:hAnsi="宋体" w:cs="宋体"/>
          <w:color w:val="auto"/>
          <w:sz w:val="18"/>
          <w:szCs w:val="18"/>
          <w:highlight w:val="none"/>
        </w:rPr>
        <w:t>2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、投标人中标后专职安全生产管理人员的配备应按照交通部《公路水运工程安全生产监督管理办法》的要求执行。招标人可根据项目的工期和进度，按规定设置最低的专职安全生产管理人员数量要求。</w:t>
      </w:r>
    </w:p>
    <w:p>
      <w:pPr>
        <w:kinsoku/>
        <w:wordWrap w:val="0"/>
        <w:topLinePunct/>
        <w:autoSpaceDE/>
        <w:autoSpaceDN/>
        <w:adjustRightInd/>
        <w:snapToGrid/>
        <w:ind w:left="0" w:leftChars="0" w:firstLine="419" w:firstLineChars="233"/>
        <w:rPr>
          <w:rFonts w:ascii="宋体" w:cs="Times New Roman"/>
          <w:color w:val="auto"/>
          <w:sz w:val="18"/>
          <w:szCs w:val="18"/>
          <w:highlight w:val="none"/>
        </w:rPr>
      </w:pPr>
      <w:r>
        <w:rPr>
          <w:rFonts w:ascii="宋体" w:hAnsi="宋体" w:cs="宋体"/>
          <w:color w:val="auto"/>
          <w:sz w:val="18"/>
          <w:szCs w:val="18"/>
          <w:highlight w:val="none"/>
        </w:rPr>
        <w:t>3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、依照《建筑业企业资质等级标准》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(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建市〔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2014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〕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159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号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)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，公路工程相关专业职称包括公路工程、桥梁工程、公路与桥梁工程、交通土建、市政路桥、隧道（地下结构）工程、交通工程等专业职称。</w:t>
      </w:r>
    </w:p>
    <w:p>
      <w:pPr>
        <w:kinsoku/>
        <w:wordWrap w:val="0"/>
        <w:topLinePunct/>
        <w:autoSpaceDE/>
        <w:autoSpaceDN/>
        <w:adjustRightInd/>
        <w:snapToGrid/>
        <w:spacing w:line="418" w:lineRule="auto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0" w:h="16839"/>
          <w:pgMar w:top="1417" w:right="1417" w:bottom="1417" w:left="1417" w:header="707" w:footer="9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bookmarkStart w:id="8" w:name="_bookmark70"/>
      <w:bookmarkEnd w:id="8"/>
    </w:p>
    <w:p>
      <w:pPr>
        <w:kinsoku/>
        <w:wordWrap w:val="0"/>
        <w:topLinePunct/>
        <w:autoSpaceDE/>
        <w:autoSpaceDN/>
        <w:adjustRightInd/>
        <w:snapToGrid/>
        <w:spacing w:line="418" w:lineRule="auto"/>
        <w:jc w:val="center"/>
        <w:rPr>
          <w:rFonts w:ascii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附录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7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资格审查条件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主要设备最低要求</w:t>
      </w:r>
      <w: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t>)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410"/>
        <w:gridCol w:w="2428"/>
        <w:gridCol w:w="981"/>
        <w:gridCol w:w="98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highlight w:val="none"/>
              </w:rPr>
              <w:t>设备要求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平地机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≥180KW</w:t>
            </w:r>
          </w:p>
          <w:p>
            <w:pPr>
              <w:topLinePunct/>
              <w:spacing w:line="240" w:lineRule="auto"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振动压路机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≥25T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装载机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≥2m</w:t>
            </w:r>
            <w:r>
              <w:rPr>
                <w:rFonts w:hint="eastAsia" w:asci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挖掘机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≥1.0m</w:t>
            </w:r>
          </w:p>
          <w:p>
            <w:pPr>
              <w:topLinePunct/>
              <w:spacing w:line="240" w:lineRule="auto"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推土机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≥165KW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架桥机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≥100T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auto"/>
                <w:highlight w:val="none"/>
                <w:lang w:val="en-US" w:eastAsia="zh-CN"/>
              </w:rPr>
              <w:t>塔式吊机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≥120T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套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冲击钻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highlight w:val="none"/>
                <w:lang w:val="en-US" w:eastAsia="zh-CN"/>
              </w:rPr>
              <w:t>最大D=2.8m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起重汽车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15t以上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辆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  <w:r>
              <w:rPr>
                <w:rFonts w:ascii="宋体" w:cs="宋体"/>
                <w:color w:val="auto"/>
                <w:highlight w:val="none"/>
              </w:rPr>
              <w:t>0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吊车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大于25T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稳定粒料拌和设备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≥500t/h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座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装载机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≥2m</w:t>
            </w:r>
            <w:r>
              <w:rPr>
                <w:rFonts w:hint="eastAsia" w:asci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混凝土搅拌运输车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≥6m</w:t>
            </w:r>
            <w:r>
              <w:rPr>
                <w:rFonts w:hint="eastAsia" w:ascii="宋体" w:eastAsia="宋体" w:cs="宋体"/>
                <w:color w:val="auto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辆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auto"/>
                <w:highlight w:val="none"/>
                <w:lang w:val="en-US" w:eastAsia="zh-CN"/>
              </w:rPr>
              <w:t>双钢轮压路机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≥10T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宋体"/>
                <w:color w:val="auto"/>
                <w:highlight w:val="none"/>
              </w:rPr>
            </w:pPr>
            <w:r>
              <w:rPr>
                <w:rFonts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default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放线设备</w:t>
            </w:r>
          </w:p>
        </w:tc>
        <w:tc>
          <w:tcPr>
            <w:tcW w:w="2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ascii="宋体" w:cs="Times New Roman"/>
                <w:color w:val="auto"/>
                <w:highlight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auto"/>
                <w:highlight w:val="none"/>
                <w:lang w:val="en-US" w:eastAsia="zh-CN"/>
              </w:rPr>
              <w:t>台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jc w:val="center"/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opLinePunct/>
              <w:rPr>
                <w:rFonts w:ascii="宋体" w:cs="Times New Roman"/>
                <w:color w:val="auto"/>
                <w:highlight w:val="none"/>
              </w:rPr>
            </w:pPr>
          </w:p>
        </w:tc>
      </w:tr>
    </w:tbl>
    <w:p>
      <w:pPr>
        <w:kinsoku/>
        <w:wordWrap w:val="0"/>
        <w:topLinePunct/>
        <w:autoSpaceDE/>
        <w:autoSpaceDN/>
        <w:adjustRightInd/>
        <w:snapToGrid/>
        <w:spacing w:line="232" w:lineRule="auto"/>
        <w:jc w:val="both"/>
        <w:rPr>
          <w:rFonts w:ascii="宋体" w:cs="Times New Roman"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注：</w:t>
      </w:r>
      <w:r>
        <w:rPr>
          <w:rFonts w:ascii="宋体" w:hAnsi="宋体" w:cs="宋体"/>
          <w:color w:val="auto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、投标人须按投标文件投标函的格式承诺。</w:t>
      </w:r>
    </w:p>
    <w:p>
      <w:pPr>
        <w:bidi w:val="0"/>
        <w:rPr>
          <w:color w:val="auto"/>
          <w:highlight w:val="none"/>
          <w:lang w:val="en-US" w:eastAsia="zh-CN"/>
        </w:rPr>
      </w:pPr>
      <w:r>
        <w:rPr>
          <w:rFonts w:ascii="宋体" w:hAnsi="宋体" w:cs="宋体"/>
          <w:color w:val="auto"/>
          <w:sz w:val="18"/>
          <w:szCs w:val="18"/>
          <w:highlight w:val="none"/>
        </w:rPr>
        <w:t>2</w:t>
      </w:r>
      <w:r>
        <w:rPr>
          <w:rFonts w:hint="eastAsia" w:ascii="宋体" w:hAnsi="宋体" w:cs="宋体"/>
          <w:color w:val="auto"/>
          <w:sz w:val="18"/>
          <w:szCs w:val="18"/>
          <w:highlight w:val="none"/>
        </w:rPr>
        <w:t>、招标人有权根据标段的工程特点、工程量及工程进度情况要求增加或调整相应的施工设备。</w:t>
      </w:r>
      <w:bookmarkStart w:id="9" w:name="_GoBack"/>
      <w:bookmarkEnd w:id="9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3EE0D0F"/>
    <w:rsid w:val="43E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jc w:val="center"/>
      <w:textAlignment w:val="baseline"/>
    </w:pPr>
    <w:rPr>
      <w:rFonts w:ascii="Times New Roman" w:hAnsi="Times New Roman" w:eastAsia="宋体"/>
      <w:b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Calibri" w:cs="Times New Roman"/>
      <w:color w:val="00000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Calibri" w:cs="Times New Roman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2023-09-28T09:14:00Z</dcterms:created>
  <dc:creator>pumpkin</dc:creator>
  <cp:lastModifiedBy>pumpkin</cp:lastModifiedBy>
  <dcterms:modified xsi:type="dcterms:W3CDTF">2023-09-28T09:15:54Z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4869911E5E7F4838A690801B46BB56A3_11</vt:lpwstr>
  </property>
</Properties>
</file>