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陆丰市新响等四宗中型灌区续建配套与节水</w:t>
      </w:r>
    </w:p>
    <w:p>
      <w:pPr>
        <w:autoSpaceDE w:val="0"/>
        <w:spacing w:line="360" w:lineRule="auto"/>
        <w:jc w:val="center"/>
        <w:rPr>
          <w:rFonts w:hint="default"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改造工程勘测设计</w:t>
      </w:r>
    </w:p>
    <w:p>
      <w:pPr>
        <w:autoSpaceDE w:val="0"/>
        <w:spacing w:line="360" w:lineRule="auto"/>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autoSpaceDE w:val="0"/>
        <w:spacing w:line="360" w:lineRule="auto"/>
        <w:rPr>
          <w:rFonts w:hint="eastAsia" w:ascii="宋体" w:hAnsi="宋体"/>
          <w:b/>
          <w:color w:val="auto"/>
          <w:sz w:val="48"/>
          <w:szCs w:val="48"/>
          <w:highlight w:val="none"/>
        </w:rPr>
      </w:pPr>
    </w:p>
    <w:p>
      <w:pPr>
        <w:autoSpaceDE w:val="0"/>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pPr>
        <w:autoSpaceDE w:val="0"/>
        <w:spacing w:line="360" w:lineRule="auto"/>
        <w:jc w:val="center"/>
        <w:rPr>
          <w:rFonts w:hint="eastAsia" w:ascii="宋体" w:hAnsi="宋体"/>
          <w:b/>
          <w:color w:val="auto"/>
          <w:sz w:val="24"/>
          <w:highlight w:val="none"/>
        </w:rPr>
      </w:pPr>
    </w:p>
    <w:p>
      <w:pPr>
        <w:autoSpaceDE w:val="0"/>
        <w:spacing w:line="360" w:lineRule="auto"/>
        <w:jc w:val="both"/>
        <w:rPr>
          <w:rFonts w:hint="eastAsia" w:ascii="宋体" w:hAnsi="宋体"/>
          <w:color w:val="auto"/>
          <w:sz w:val="24"/>
          <w:highlight w:val="none"/>
        </w:rPr>
      </w:pPr>
    </w:p>
    <w:p>
      <w:pPr>
        <w:autoSpaceDE w:val="0"/>
        <w:spacing w:line="360" w:lineRule="auto"/>
        <w:jc w:val="center"/>
        <w:rPr>
          <w:rFonts w:hint="eastAsia" w:ascii="宋体" w:hAnsi="宋体"/>
          <w:color w:val="auto"/>
          <w:sz w:val="24"/>
          <w:highlight w:val="none"/>
        </w:rPr>
      </w:pPr>
    </w:p>
    <w:p>
      <w:pPr>
        <w:autoSpaceDE w:val="0"/>
        <w:spacing w:line="360" w:lineRule="auto"/>
        <w:rPr>
          <w:rFonts w:hint="eastAsia" w:ascii="宋体" w:hAnsi="宋体"/>
          <w:color w:val="auto"/>
          <w:sz w:val="24"/>
          <w:highlight w:val="none"/>
        </w:rPr>
      </w:pPr>
    </w:p>
    <w:p>
      <w:pPr>
        <w:autoSpaceDE w:val="0"/>
        <w:spacing w:line="720" w:lineRule="auto"/>
        <w:rPr>
          <w:rFonts w:hint="eastAsia" w:ascii="宋体" w:hAnsi="宋体"/>
          <w:color w:val="auto"/>
          <w:sz w:val="24"/>
          <w:highlight w:val="none"/>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5"/>
        <w:rPr>
          <w:rFonts w:hint="eastAsia"/>
          <w:color w:val="auto"/>
          <w:highlight w:val="none"/>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highlight w:val="none"/>
          <w:u w:val="single"/>
        </w:rPr>
      </w:pPr>
    </w:p>
    <w:p>
      <w:pPr>
        <w:spacing w:line="360" w:lineRule="auto"/>
        <w:ind w:firstLine="964" w:firstLineChars="300"/>
        <w:jc w:val="center"/>
        <w:rPr>
          <w:rFonts w:hint="eastAsia" w:ascii="宋体" w:hAnsi="宋体"/>
          <w:color w:val="auto"/>
          <w:sz w:val="28"/>
          <w:szCs w:val="28"/>
          <w:highlight w:val="none"/>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9</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pStyle w:val="12"/>
        <w:autoSpaceDE w:val="0"/>
        <w:spacing w:line="440" w:lineRule="exact"/>
        <w:jc w:val="center"/>
        <w:rPr>
          <w:rFonts w:hAnsi="宋体" w:eastAsia="宋体"/>
          <w:color w:val="auto"/>
          <w:sz w:val="44"/>
          <w:highlight w:val="none"/>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pStyle w:val="12"/>
        <w:autoSpaceDE w:val="0"/>
        <w:spacing w:line="440" w:lineRule="exact"/>
        <w:jc w:val="center"/>
        <w:rPr>
          <w:rFonts w:hint="eastAsia" w:hAnsi="宋体" w:eastAsia="宋体"/>
          <w:color w:val="auto"/>
          <w:sz w:val="44"/>
          <w:highlight w:val="none"/>
        </w:rPr>
      </w:pPr>
      <w:r>
        <w:rPr>
          <w:rFonts w:hAnsi="宋体" w:eastAsia="宋体"/>
          <w:color w:val="auto"/>
          <w:sz w:val="44"/>
          <w:highlight w:val="none"/>
        </w:rPr>
        <w:t>目   录</w:t>
      </w:r>
    </w:p>
    <w:p>
      <w:pPr>
        <w:pStyle w:val="12"/>
        <w:autoSpaceDE w:val="0"/>
        <w:spacing w:line="440" w:lineRule="exact"/>
        <w:jc w:val="center"/>
        <w:rPr>
          <w:rFonts w:hint="eastAsia" w:hAnsi="宋体" w:eastAsia="宋体"/>
          <w:color w:val="auto"/>
          <w:sz w:val="44"/>
          <w:highlight w:val="none"/>
        </w:rPr>
      </w:pPr>
    </w:p>
    <w:p>
      <w:pPr>
        <w:pStyle w:val="12"/>
        <w:autoSpaceDE w:val="0"/>
        <w:spacing w:line="440" w:lineRule="exact"/>
        <w:jc w:val="center"/>
        <w:rPr>
          <w:rFonts w:hint="eastAsia" w:hAnsi="宋体" w:eastAsia="宋体"/>
          <w:color w:val="auto"/>
          <w:sz w:val="44"/>
          <w:highlight w:val="none"/>
        </w:rPr>
      </w:pPr>
    </w:p>
    <w:p>
      <w:pPr>
        <w:pStyle w:val="12"/>
        <w:autoSpaceDE w:val="0"/>
        <w:spacing w:line="440" w:lineRule="exact"/>
        <w:jc w:val="center"/>
        <w:rPr>
          <w:rFonts w:hint="eastAsia" w:hAnsi="宋体" w:eastAsia="宋体"/>
          <w:color w:val="auto"/>
          <w:sz w:val="44"/>
          <w:highlight w:val="none"/>
        </w:rPr>
      </w:pPr>
    </w:p>
    <w:sdt>
      <w:sdtPr>
        <w:rPr>
          <w:rFonts w:ascii="宋体" w:hAnsi="宋体" w:eastAsia="宋体" w:cs="Times New Roman"/>
          <w:color w:val="auto"/>
          <w:kern w:val="2"/>
          <w:sz w:val="21"/>
          <w:szCs w:val="24"/>
          <w:highlight w:val="none"/>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4"/>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p>
        <w:p>
          <w:pPr>
            <w:pStyle w:val="34"/>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 投标须知及投标须知前附表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eastAsia="zh-CN"/>
            </w:rPr>
            <w:t>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发包人要求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pPr>
            <w:pStyle w:val="34"/>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第六章</w:t>
          </w:r>
          <w:r>
            <w:rPr>
              <w:rFonts w:hint="eastAsia" w:ascii="宋体" w:hAnsi="宋体" w:eastAsia="宋体" w:cs="宋体"/>
              <w:color w:val="auto"/>
              <w:sz w:val="24"/>
              <w:szCs w:val="24"/>
              <w:highlight w:val="none"/>
            </w:rPr>
            <w:t xml:space="preserve"> 投标文件及格式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rPr>
              <w:color w:val="auto"/>
              <w:highlight w:val="none"/>
            </w:rPr>
          </w:pP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br w:type="page"/>
          </w:r>
        </w:p>
      </w:sdtContent>
    </w:sdt>
    <w:p>
      <w:pPr>
        <w:pStyle w:val="4"/>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534471618"/>
      <w:bookmarkStart w:id="2" w:name="_Toc534472020"/>
      <w:bookmarkStart w:id="3" w:name="_Toc15635"/>
      <w:r>
        <w:rPr>
          <w:rFonts w:hint="eastAsia"/>
          <w:color w:val="auto"/>
          <w:sz w:val="44"/>
          <w:szCs w:val="44"/>
          <w:highlight w:val="none"/>
        </w:rPr>
        <w:t>第一</w:t>
      </w:r>
      <w:r>
        <w:rPr>
          <w:rFonts w:hint="eastAsia"/>
          <w:color w:val="auto"/>
          <w:sz w:val="44"/>
          <w:szCs w:val="44"/>
          <w:highlight w:val="none"/>
          <w:lang w:val="en-US" w:eastAsia="zh-CN"/>
        </w:rPr>
        <w:t xml:space="preserve">章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陆丰市新响等四宗中型灌区续建配套与节水改造工程</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陆丰市新响等四宗中型灌区续建配套与节水改造工程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陆发改投审〔2023〕50号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申请上级补助及地方政府专项债券资金，不足部分由市财政配套解决</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陆丰市新响等四宗中型灌区续建配套与节水改造工程勘测设计。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strike w:val="0"/>
          <w:dstrike w:val="0"/>
          <w:color w:val="auto"/>
          <w:sz w:val="21"/>
          <w:szCs w:val="21"/>
          <w:highlight w:val="none"/>
          <w:lang w:val="en-US" w:eastAsia="zh-CN"/>
        </w:rPr>
        <w:t>工程估算批复</w:t>
      </w:r>
      <w:r>
        <w:rPr>
          <w:rFonts w:hint="eastAsia" w:ascii="宋体" w:hAnsi="宋体"/>
          <w:color w:val="auto"/>
          <w:sz w:val="21"/>
          <w:szCs w:val="21"/>
          <w:highlight w:val="none"/>
          <w:lang w:eastAsia="zh-CN"/>
        </w:rPr>
        <w:t>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16274.77万元，其中建安费11810.77万元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勘测设计费用</w:t>
      </w:r>
      <w:r>
        <w:rPr>
          <w:rFonts w:hint="eastAsia" w:ascii="宋体" w:hAnsi="宋体"/>
          <w:color w:val="auto"/>
          <w:sz w:val="21"/>
          <w:szCs w:val="21"/>
          <w:highlight w:val="none"/>
          <w:lang w:val="en-US" w:eastAsia="zh-CN"/>
        </w:rPr>
        <w:t>招标最高控制价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470.025万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其中勘察费招标最高控制价：227.005万元，设计费招标最高控制价：207.16万元，水土保持专项编制费招标最高控制价：35.86万元。</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及主要内容</w:t>
      </w:r>
      <w:r>
        <w:rPr>
          <w:rFonts w:hint="eastAsia" w:ascii="宋体" w:hAnsi="宋体"/>
          <w:color w:val="auto"/>
          <w:sz w:val="21"/>
          <w:szCs w:val="21"/>
          <w:highlight w:val="none"/>
        </w:rPr>
        <w:t>：项目建设规模为四宗中型灌区，新响灌区、西坑灌区（湖东）、头陂陂灌区和虎陂灌区建成后恢复灌溉面积分别为1.0万亩、1.50万亩、1.15万亩、1.7万亩，设计灌溉保证率为90%。工程的主要及次要建筑物的防洪标准为10年一遇，临时建筑物洪水标准为5年一遇。主要建设内容为：1. 新响灌区，主要包括改造干渠15.246km；改造支渠2.188km，渠道清淤14.895km；重建机耕路613m；2. 西坑灌区（湖东），主要包括改造干渠6.118km；改造灌溉支渠3.707km；渠道清淤1.07km；重建、维修渠系建筑物2座（重建西坑水库进水塔1座、维修加固渡槽1座57m）；重建机耕路1.864km；3. 头陂陂灌区，主要包括改造干渠27.655km、改造灌溉支渠4.81km、渠道清淤18.071km、重建渠系建筑物4座（节制闸2座、退水闸1座、机耕桥1座）；改造、新建提水泵站2座、排涝泵站1座；重建机耕路10.579km；4. 虎陂灌区，主要包括改造干渠 25.199km；改造灌溉支渠3.828km；渠道清淤28.707km；重建渠系建筑物进水闸1座；重建机耕路2.22km；5. 四个灌区建设水质水量监测、视频监控、网络通信动态智慧监控系统，建设灌区用水信息服务平台、管理及设备用房等。项目拟建设工期：14个月</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招标设计、施工图设计、概预算编制及水土保持方案编制，工程施工期间勘察、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w:t>
      </w:r>
      <w:r>
        <w:rPr>
          <w:rFonts w:hint="eastAsia" w:ascii="宋体" w:hAnsi="宋体"/>
          <w:color w:val="auto"/>
          <w:szCs w:val="21"/>
          <w:highlight w:val="none"/>
          <w:lang w:eastAsia="zh-CN"/>
        </w:rPr>
        <w:t>合同签订后</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0日历天内提交勘察成果报告</w:t>
      </w:r>
      <w:r>
        <w:rPr>
          <w:rFonts w:hint="eastAsia" w:ascii="宋体" w:hAnsi="宋体"/>
          <w:color w:val="auto"/>
          <w:szCs w:val="21"/>
          <w:highlight w:val="none"/>
        </w:rPr>
        <w:t>、初步设计报告及图纸、工程概算书等报审稿；②审批部门完成初步设计报告及概算审批后</w:t>
      </w:r>
      <w:r>
        <w:rPr>
          <w:rFonts w:hint="eastAsia" w:ascii="宋体" w:hAnsi="宋体"/>
          <w:color w:val="auto"/>
          <w:szCs w:val="21"/>
          <w:highlight w:val="none"/>
          <w:lang w:val="en-US" w:eastAsia="zh-CN"/>
        </w:rPr>
        <w:t>20</w:t>
      </w:r>
      <w:r>
        <w:rPr>
          <w:rFonts w:hint="eastAsia" w:ascii="宋体" w:hAnsi="宋体"/>
          <w:color w:val="auto"/>
          <w:szCs w:val="21"/>
          <w:highlight w:val="none"/>
        </w:rPr>
        <w:t>日历天内提交</w:t>
      </w:r>
      <w:r>
        <w:rPr>
          <w:rFonts w:hint="eastAsia" w:ascii="宋体" w:hAnsi="宋体"/>
          <w:color w:val="auto"/>
          <w:szCs w:val="21"/>
          <w:highlight w:val="none"/>
          <w:lang w:val="en-US" w:eastAsia="zh-CN"/>
        </w:rPr>
        <w:t>招标设计、</w:t>
      </w:r>
      <w:r>
        <w:rPr>
          <w:rFonts w:hint="eastAsia" w:ascii="宋体" w:hAnsi="宋体"/>
          <w:color w:val="auto"/>
          <w:szCs w:val="21"/>
          <w:highlight w:val="none"/>
        </w:rPr>
        <w:t>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（1）设计资质：须具备以下工程设计资质证书（具备以下①或②）：</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①工程设计综合甲级资质；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②</w:t>
      </w:r>
      <w:r>
        <w:rPr>
          <w:rFonts w:hint="eastAsia" w:ascii="宋体" w:hAnsi="宋体" w:cs="Times New Roman"/>
          <w:iCs/>
          <w:color w:val="auto"/>
          <w:sz w:val="21"/>
          <w:szCs w:val="21"/>
          <w:highlight w:val="none"/>
          <w:lang w:eastAsia="zh-CN"/>
        </w:rPr>
        <w:t>工程设计水利行业乙级（或以上）</w:t>
      </w:r>
      <w:r>
        <w:rPr>
          <w:rFonts w:hint="eastAsia" w:ascii="宋体" w:hAnsi="宋体" w:cs="Times New Roman"/>
          <w:iCs/>
          <w:color w:val="auto"/>
          <w:sz w:val="21"/>
          <w:szCs w:val="21"/>
          <w:highlight w:val="none"/>
          <w:lang w:val="en-US" w:eastAsia="zh-CN"/>
        </w:rPr>
        <w:t>或</w:t>
      </w:r>
      <w:r>
        <w:rPr>
          <w:rFonts w:hint="eastAsia" w:ascii="宋体" w:hAnsi="宋体" w:cs="Times New Roman"/>
          <w:iCs/>
          <w:color w:val="auto"/>
          <w:sz w:val="21"/>
          <w:szCs w:val="21"/>
          <w:highlight w:val="none"/>
          <w:lang w:eastAsia="zh-CN"/>
        </w:rPr>
        <w:t>工程设计水利行业（灌溉排涝）专业乙级（或以上）</w:t>
      </w:r>
      <w:r>
        <w:rPr>
          <w:rFonts w:hint="eastAsia" w:ascii="宋体" w:hAnsi="宋体" w:eastAsia="宋体" w:cs="Times New Roman"/>
          <w:i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（2）勘察资质：须具备以下工程勘察资质证书（具备以下①或②）：</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①工程勘察综合类甲级资质；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②工程勘察专业类（岩土工程(勘察)）乙级（或以上）和工程勘察专业类（工程测量）乙级（或以上）资质。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w:t>
      </w:r>
      <w:r>
        <w:rPr>
          <w:rFonts w:hint="eastAsia" w:ascii="宋体" w:hAnsi="宋体" w:cs="Times New Roman"/>
          <w:iCs/>
          <w:color w:val="auto"/>
          <w:sz w:val="21"/>
          <w:szCs w:val="21"/>
          <w:highlight w:val="none"/>
          <w:lang w:val="en-US" w:eastAsia="zh-CN"/>
        </w:rPr>
        <w:t>3</w:t>
      </w:r>
      <w:r>
        <w:rPr>
          <w:rFonts w:hint="eastAsia" w:ascii="宋体" w:hAnsi="宋体" w:eastAsia="宋体" w:cs="Times New Roman"/>
          <w:iCs/>
          <w:color w:val="auto"/>
          <w:sz w:val="21"/>
          <w:szCs w:val="21"/>
          <w:highlight w:val="none"/>
          <w:lang w:val="en-US" w:eastAsia="zh-CN"/>
        </w:rPr>
        <w:t>、在“信用中国”网站（http://www.creditchina.gov.cn/)中被列入失信被执行人名单的投标人，在国家企业信用信息公示系统（http://www.gsxt.gov.cn/）中被列入严重违法失信企业名单的投标人，均按否决投标处理。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w:t>
      </w:r>
      <w:r>
        <w:rPr>
          <w:rFonts w:hint="eastAsia" w:cs="Times New Roman"/>
          <w:iCs/>
          <w:color w:val="auto"/>
          <w:sz w:val="21"/>
          <w:szCs w:val="21"/>
          <w:highlight w:val="none"/>
          <w:lang w:val="en-US" w:eastAsia="zh-CN"/>
        </w:rPr>
        <w:t>4</w:t>
      </w:r>
      <w:r>
        <w:rPr>
          <w:rFonts w:hint="eastAsia" w:ascii="宋体" w:hAnsi="宋体"/>
          <w:iCs/>
          <w:color w:val="auto"/>
          <w:kern w:val="0"/>
          <w:sz w:val="21"/>
          <w:szCs w:val="21"/>
          <w:highlight w:val="none"/>
          <w:lang w:val="en-US" w:eastAsia="zh-CN" w:bidi="ar-SA"/>
        </w:rPr>
        <w:t>、</w:t>
      </w:r>
      <w:r>
        <w:rPr>
          <w:rFonts w:hint="eastAsia" w:cs="宋体"/>
          <w:iCs/>
          <w:color w:val="auto"/>
          <w:kern w:val="0"/>
          <w:sz w:val="21"/>
          <w:szCs w:val="21"/>
          <w:highlight w:val="none"/>
          <w:lang w:val="en-US" w:eastAsia="zh-CN" w:bidi="ar-SA"/>
        </w:rPr>
        <w:t>拟派项目负责人具有水利相关专业工程师（或以上）职称证书，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w:t>
      </w:r>
      <w:r>
        <w:rPr>
          <w:rFonts w:hint="eastAsia" w:cs="Times New Roman"/>
          <w:b w:val="0"/>
          <w:bCs/>
          <w:color w:val="auto"/>
          <w:sz w:val="21"/>
          <w:szCs w:val="21"/>
          <w:highlight w:val="none"/>
          <w:lang w:val="en-US" w:eastAsia="zh-CN"/>
        </w:rPr>
        <w:t>3个月</w:t>
      </w:r>
      <w:r>
        <w:rPr>
          <w:rFonts w:hint="eastAsia" w:ascii="宋体" w:hAnsi="宋体" w:eastAsia="宋体" w:cs="Times New Roman"/>
          <w:b w:val="0"/>
          <w:bCs/>
          <w:color w:val="auto"/>
          <w:sz w:val="21"/>
          <w:szCs w:val="21"/>
          <w:highlight w:val="none"/>
          <w:lang w:val="en-US" w:eastAsia="zh-CN"/>
        </w:rPr>
        <w:t>（不含开标当月）的社保缴费单</w:t>
      </w:r>
      <w:r>
        <w:rPr>
          <w:rFonts w:hint="eastAsia" w:cs="Times New Roman"/>
          <w:b w:val="0"/>
          <w:bCs/>
          <w:color w:val="auto"/>
          <w:sz w:val="21"/>
          <w:szCs w:val="21"/>
          <w:highlight w:val="none"/>
          <w:lang w:val="en-US" w:eastAsia="zh-CN"/>
        </w:rPr>
        <w:t>扫描件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default" w:ascii="宋体" w:hAnsi="宋体" w:eastAsia="宋体" w:cs="宋体"/>
          <w:iCs/>
          <w:color w:val="auto"/>
          <w:kern w:val="0"/>
          <w:sz w:val="21"/>
          <w:szCs w:val="21"/>
          <w:highlight w:val="none"/>
          <w:lang w:val="en-US" w:eastAsia="zh-CN" w:bidi="ar-SA"/>
        </w:rPr>
      </w:pPr>
      <w:r>
        <w:rPr>
          <w:rFonts w:hint="eastAsia" w:cs="宋体"/>
          <w:iCs/>
          <w:color w:val="auto"/>
          <w:kern w:val="0"/>
          <w:sz w:val="21"/>
          <w:szCs w:val="21"/>
          <w:highlight w:val="none"/>
          <w:lang w:val="en-US" w:eastAsia="zh-CN" w:bidi="ar-SA"/>
        </w:rPr>
        <w:t>3.5、拟派项目设计负责人具有水利相关专业工程师（或以上）职称证书，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w:t>
      </w:r>
      <w:r>
        <w:rPr>
          <w:rFonts w:hint="eastAsia" w:cs="Times New Roman"/>
          <w:b w:val="0"/>
          <w:bCs/>
          <w:color w:val="auto"/>
          <w:sz w:val="21"/>
          <w:szCs w:val="21"/>
          <w:highlight w:val="none"/>
          <w:lang w:val="en-US" w:eastAsia="zh-CN"/>
        </w:rPr>
        <w:t>3个月</w:t>
      </w:r>
      <w:r>
        <w:rPr>
          <w:rFonts w:hint="eastAsia" w:ascii="宋体" w:hAnsi="宋体" w:eastAsia="宋体" w:cs="Times New Roman"/>
          <w:b w:val="0"/>
          <w:bCs/>
          <w:color w:val="auto"/>
          <w:sz w:val="21"/>
          <w:szCs w:val="21"/>
          <w:highlight w:val="none"/>
          <w:lang w:val="en-US" w:eastAsia="zh-CN"/>
        </w:rPr>
        <w:t>（不含开标当月）的社保缴费单</w:t>
      </w:r>
      <w:r>
        <w:rPr>
          <w:rFonts w:hint="eastAsia" w:cs="Times New Roman"/>
          <w:b w:val="0"/>
          <w:bCs/>
          <w:color w:val="auto"/>
          <w:sz w:val="21"/>
          <w:szCs w:val="21"/>
          <w:highlight w:val="none"/>
          <w:lang w:val="en-US" w:eastAsia="zh-CN"/>
        </w:rPr>
        <w:t>扫描件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default" w:ascii="宋体" w:hAnsi="宋体" w:eastAsia="宋体" w:cs="宋体"/>
          <w:iCs/>
          <w:color w:val="auto"/>
          <w:kern w:val="0"/>
          <w:sz w:val="21"/>
          <w:szCs w:val="21"/>
          <w:highlight w:val="none"/>
          <w:lang w:val="en-US" w:eastAsia="zh-CN" w:bidi="ar-SA"/>
        </w:rPr>
      </w:pPr>
      <w:r>
        <w:rPr>
          <w:rFonts w:hint="eastAsia" w:cs="宋体"/>
          <w:iCs/>
          <w:color w:val="auto"/>
          <w:kern w:val="0"/>
          <w:sz w:val="21"/>
          <w:szCs w:val="21"/>
          <w:highlight w:val="none"/>
          <w:lang w:val="en-US" w:eastAsia="zh-CN" w:bidi="ar-SA"/>
        </w:rPr>
        <w:t>3.6、拟派项目勘察负责人应具有勘察类工程师（或以上）职称证书，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w:t>
      </w:r>
      <w:r>
        <w:rPr>
          <w:rFonts w:hint="eastAsia" w:cs="Times New Roman"/>
          <w:b w:val="0"/>
          <w:bCs/>
          <w:color w:val="auto"/>
          <w:sz w:val="21"/>
          <w:szCs w:val="21"/>
          <w:highlight w:val="none"/>
          <w:lang w:val="en-US" w:eastAsia="zh-CN"/>
        </w:rPr>
        <w:t>3个月</w:t>
      </w:r>
      <w:r>
        <w:rPr>
          <w:rFonts w:hint="eastAsia" w:ascii="宋体" w:hAnsi="宋体" w:eastAsia="宋体" w:cs="Times New Roman"/>
          <w:b w:val="0"/>
          <w:bCs/>
          <w:color w:val="auto"/>
          <w:sz w:val="21"/>
          <w:szCs w:val="21"/>
          <w:highlight w:val="none"/>
          <w:lang w:val="en-US" w:eastAsia="zh-CN"/>
        </w:rPr>
        <w:t>（不含开标当月）的社保缴费单</w:t>
      </w:r>
      <w:r>
        <w:rPr>
          <w:rFonts w:hint="eastAsia" w:cs="Times New Roman"/>
          <w:b w:val="0"/>
          <w:bCs/>
          <w:color w:val="auto"/>
          <w:sz w:val="21"/>
          <w:szCs w:val="21"/>
          <w:highlight w:val="none"/>
          <w:lang w:val="en-US" w:eastAsia="zh-CN"/>
        </w:rPr>
        <w:t>扫描件</w:t>
      </w:r>
      <w:r>
        <w:rPr>
          <w:rFonts w:hint="eastAsia" w:cs="宋体"/>
          <w:iCs/>
          <w:color w:val="auto"/>
          <w:kern w:val="0"/>
          <w:sz w:val="21"/>
          <w:szCs w:val="21"/>
          <w:highlight w:val="none"/>
          <w:lang w:val="en-US" w:eastAsia="zh-CN" w:bidi="ar-SA"/>
        </w:rPr>
        <w:t>。（如是联合体，应为具有勘察资质的成员一方）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招标文件于</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日发出，投标人自行登录广州公共资源交易中心(</w:t>
      </w:r>
      <w:r>
        <w:rPr>
          <w:rFonts w:hint="eastAsia" w:ascii="宋体" w:hAnsi="宋体" w:cs="Times New Roman"/>
          <w:color w:val="auto"/>
          <w:sz w:val="21"/>
          <w:szCs w:val="21"/>
          <w:highlight w:val="none"/>
        </w:rPr>
        <w:fldChar w:fldCharType="begin"/>
      </w:r>
      <w:r>
        <w:rPr>
          <w:rFonts w:hint="eastAsia" w:ascii="宋体" w:hAnsi="宋体" w:cs="Times New Roman"/>
          <w:color w:val="auto"/>
          <w:sz w:val="21"/>
          <w:szCs w:val="21"/>
          <w:highlight w:val="none"/>
        </w:rPr>
        <w:instrText xml:space="preserve"> HYPERLINK "http://ww.gzggzy.cn" </w:instrText>
      </w:r>
      <w:r>
        <w:rPr>
          <w:rFonts w:hint="eastAsia" w:ascii="宋体" w:hAnsi="宋体" w:cs="Times New Roman"/>
          <w:color w:val="auto"/>
          <w:sz w:val="21"/>
          <w:szCs w:val="21"/>
          <w:highlight w:val="none"/>
        </w:rPr>
        <w:fldChar w:fldCharType="separate"/>
      </w:r>
      <w:r>
        <w:rPr>
          <w:rFonts w:hint="eastAsia" w:ascii="宋体" w:hAnsi="宋体" w:cs="Times New Roman"/>
          <w:color w:val="auto"/>
          <w:sz w:val="21"/>
          <w:szCs w:val="21"/>
          <w:highlight w:val="none"/>
        </w:rPr>
        <w:t>http://ww</w:t>
      </w:r>
      <w:r>
        <w:rPr>
          <w:rFonts w:hint="eastAsia" w:ascii="宋体" w:hAnsi="宋体" w:cs="Times New Roman"/>
          <w:color w:val="auto"/>
          <w:sz w:val="21"/>
          <w:szCs w:val="21"/>
          <w:highlight w:val="none"/>
          <w:lang w:val="en-US" w:eastAsia="zh-CN"/>
        </w:rPr>
        <w:t>w</w:t>
      </w:r>
      <w:r>
        <w:rPr>
          <w:rFonts w:hint="eastAsia" w:ascii="宋体" w:hAnsi="宋体" w:cs="Times New Roman"/>
          <w:color w:val="auto"/>
          <w:sz w:val="21"/>
          <w:szCs w:val="21"/>
          <w:highlight w:val="none"/>
        </w:rPr>
        <w:t>.gzggzy.cn</w:t>
      </w:r>
      <w:r>
        <w:rPr>
          <w:rFonts w:hint="eastAsia" w:ascii="宋体" w:hAnsi="宋体" w:cs="Times New Roman"/>
          <w:color w:val="auto"/>
          <w:sz w:val="21"/>
          <w:szCs w:val="21"/>
          <w:highlight w:val="none"/>
        </w:rPr>
        <w:fldChar w:fldCharType="end"/>
      </w:r>
      <w:r>
        <w:rPr>
          <w:rFonts w:hint="eastAsia" w:ascii="宋体" w:hAnsi="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5.2</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开标时间：</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时</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5.3</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逾期</w:t>
      </w:r>
      <w:r>
        <w:rPr>
          <w:rFonts w:hint="eastAsia" w:ascii="宋体" w:hAnsi="宋体" w:cs="Times New Roman"/>
          <w:color w:val="auto"/>
          <w:sz w:val="21"/>
          <w:szCs w:val="21"/>
          <w:highlight w:val="none"/>
          <w:lang w:val="en-US" w:eastAsia="zh-CN"/>
        </w:rPr>
        <w:t>递交</w:t>
      </w:r>
      <w:r>
        <w:rPr>
          <w:rFonts w:hint="eastAsia" w:ascii="宋体" w:hAnsi="宋体" w:cs="Times New Roman"/>
          <w:color w:val="auto"/>
          <w:sz w:val="21"/>
          <w:szCs w:val="21"/>
          <w:highlight w:val="none"/>
        </w:rPr>
        <w:t>的或者未</w:t>
      </w:r>
      <w:r>
        <w:rPr>
          <w:rFonts w:hint="eastAsia" w:ascii="宋体" w:hAnsi="宋体" w:cs="Times New Roman"/>
          <w:color w:val="auto"/>
          <w:sz w:val="21"/>
          <w:szCs w:val="21"/>
          <w:highlight w:val="none"/>
          <w:lang w:val="en-US" w:eastAsia="zh-CN"/>
        </w:rPr>
        <w:t>按规定递交</w:t>
      </w:r>
      <w:r>
        <w:rPr>
          <w:rFonts w:hint="eastAsia" w:ascii="宋体" w:hAnsi="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投标人若对招标文件有疑问，在招标文件《投标人须知》规定时间内办理数字证书登陆广州公共资源交易中心</w:t>
      </w:r>
      <w:r>
        <w:rPr>
          <w:rFonts w:hint="eastAsia" w:ascii="宋体" w:hAnsi="宋体" w:cs="Times New Roman"/>
          <w:color w:val="auto"/>
          <w:sz w:val="21"/>
          <w:szCs w:val="21"/>
          <w:highlight w:val="none"/>
          <w:lang w:val="en-US" w:eastAsia="zh-CN"/>
        </w:rPr>
        <w:t>平台</w:t>
      </w:r>
      <w:r>
        <w:rPr>
          <w:rFonts w:hint="eastAsia" w:ascii="宋体" w:hAnsi="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未中标单位的经济补偿：</w:t>
      </w:r>
      <w:r>
        <w:rPr>
          <w:rFonts w:hint="eastAsia" w:ascii="宋体" w:hAnsi="宋体" w:cs="Times New Roman"/>
          <w:color w:val="auto"/>
          <w:sz w:val="21"/>
          <w:szCs w:val="21"/>
          <w:highlight w:val="none"/>
          <w:lang w:val="en-US" w:eastAsia="zh-CN"/>
        </w:rPr>
        <w:t>不补偿</w:t>
      </w:r>
      <w:r>
        <w:rPr>
          <w:rFonts w:hint="eastAsia" w:ascii="宋体" w:hAnsi="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5" w:name="_Toc234382576"/>
      <w:r>
        <w:rPr>
          <w:rFonts w:hint="eastAsia" w:ascii="宋体" w:hAnsi="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lang w:val="en-US" w:eastAsia="zh-CN"/>
        </w:rPr>
        <w:t>、联系方式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标</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人：</w:t>
      </w:r>
      <w:r>
        <w:rPr>
          <w:rFonts w:hint="eastAsia" w:ascii="宋体" w:hAnsi="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 xml:space="preserve">地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址：</w:t>
      </w:r>
      <w:r>
        <w:rPr>
          <w:rFonts w:hint="eastAsia" w:ascii="宋体" w:hAnsi="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系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人：</w:t>
      </w:r>
      <w:r>
        <w:rPr>
          <w:rFonts w:hint="eastAsia" w:ascii="宋体" w:hAnsi="宋体" w:cs="Times New Roman"/>
          <w:color w:val="auto"/>
          <w:sz w:val="21"/>
          <w:szCs w:val="21"/>
          <w:highlight w:val="none"/>
          <w:u w:val="none"/>
          <w:lang w:eastAsia="zh-CN"/>
        </w:rPr>
        <w:t>林工</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 xml:space="preserve">电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cs="Times New Roman"/>
          <w:color w:val="auto"/>
          <w:sz w:val="21"/>
          <w:szCs w:val="21"/>
          <w:highlight w:val="none"/>
          <w:u w:val="none"/>
          <w:lang w:val="en-US" w:eastAsia="zh-CN"/>
        </w:rPr>
      </w:pPr>
    </w:p>
    <w:p>
      <w:pPr>
        <w:spacing w:line="360" w:lineRule="auto"/>
        <w:jc w:val="both"/>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招标代理机构：</w:t>
      </w:r>
      <w:r>
        <w:rPr>
          <w:rFonts w:hint="eastAsia" w:ascii="宋体" w:hAnsi="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   系   人：</w:t>
      </w:r>
      <w:r>
        <w:rPr>
          <w:rFonts w:hint="eastAsia" w:ascii="宋体" w:hAnsi="宋体" w:cs="Times New Roman"/>
          <w:color w:val="auto"/>
          <w:sz w:val="21"/>
          <w:szCs w:val="21"/>
          <w:highlight w:val="none"/>
          <w:u w:val="none"/>
          <w:lang w:val="en-US" w:eastAsia="zh-CN"/>
        </w:rPr>
        <w:t>郑先生</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电        话：</w:t>
      </w:r>
      <w:r>
        <w:rPr>
          <w:rFonts w:hint="eastAsia" w:ascii="宋体" w:hAnsi="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highlight w:val="none"/>
        </w:rPr>
      </w:pPr>
      <w:r>
        <w:rPr>
          <w:rFonts w:hint="eastAsia" w:ascii="宋体" w:hAnsi="宋体" w:cs="宋体"/>
          <w:color w:val="auto"/>
          <w:highlight w:val="none"/>
        </w:rPr>
        <w:br w:type="page"/>
      </w:r>
    </w:p>
    <w:p>
      <w:pPr>
        <w:pStyle w:val="4"/>
        <w:numPr>
          <w:ilvl w:val="0"/>
          <w:numId w:val="0"/>
        </w:numPr>
        <w:autoSpaceDE w:val="0"/>
        <w:ind w:leftChars="0"/>
        <w:jc w:val="center"/>
        <w:outlineLvl w:val="0"/>
        <w:rPr>
          <w:rFonts w:hint="eastAsia" w:ascii="宋体" w:hAnsi="宋体"/>
          <w:b/>
          <w:color w:val="auto"/>
          <w:sz w:val="30"/>
          <w:szCs w:val="30"/>
          <w:highlight w:val="none"/>
        </w:rPr>
      </w:pPr>
      <w:bookmarkStart w:id="7" w:name="_Toc7667"/>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val="en-US" w:eastAsia="zh-CN"/>
        </w:rPr>
        <w:t>二</w:t>
      </w:r>
      <w:r>
        <w:rPr>
          <w:rFonts w:hint="eastAsia" w:ascii="宋体" w:hAnsi="宋体" w:eastAsia="宋体"/>
          <w:color w:val="auto"/>
          <w:sz w:val="36"/>
          <w:szCs w:val="36"/>
          <w:highlight w:val="none"/>
        </w:rPr>
        <w:t>章 投标须知</w:t>
      </w:r>
      <w:bookmarkEnd w:id="1"/>
      <w:bookmarkEnd w:id="2"/>
      <w:bookmarkEnd w:id="3"/>
      <w:r>
        <w:rPr>
          <w:rFonts w:hint="eastAsia" w:ascii="宋体" w:hAnsi="宋体" w:eastAsia="宋体"/>
          <w:color w:val="auto"/>
          <w:sz w:val="36"/>
          <w:szCs w:val="36"/>
          <w:highlight w:val="none"/>
        </w:rPr>
        <w:t>及投标须知前附表</w:t>
      </w:r>
      <w:bookmarkEnd w:id="7"/>
      <w:bookmarkStart w:id="8" w:name="_Toc17216785"/>
    </w:p>
    <w:p>
      <w:pPr>
        <w:autoSpaceDE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郑先生</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陆丰市新响等四宗中型灌区续建配套与节水改造工程勘测设计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建设规模</w:t>
            </w:r>
            <w:r>
              <w:rPr>
                <w:rFonts w:hint="eastAsia" w:ascii="宋体" w:hAnsi="宋体" w:cs="宋体"/>
                <w:color w:val="auto"/>
                <w:szCs w:val="21"/>
                <w:highlight w:val="none"/>
                <w:lang w:val="en-US" w:eastAsia="zh-CN"/>
              </w:rPr>
              <w:t>及主要内容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rPr>
              <w:t>项目建设规模为四宗中型灌区，新响灌区、西坑灌区（湖东）、头陂陂灌区和虎陂灌区建成后恢复灌溉面积分别为1.0万亩、1.50万亩、1.15万亩、1.7万亩，设计灌溉保证率为90%。工程的主要及次要建筑物的防洪标准为10年一遇，临时建筑物洪水标准为5年一遇。主要建设内容为：1. 新响灌区，主要包括改造干渠15.246km；改造支渠2.188km，渠道清淤14.895km；重建机耕路613m；2. 西坑灌区（湖东），主要包括改造干渠6.118km；改造灌溉支渠3.707km；渠道清淤1.07km；重建、维修渠系建筑物2座（重建西坑水库进水塔1座、维修加固渡槽1座57m）；重建机耕路1.864km；3. 头陂陂灌区，主要包括改造干渠27.655km、改造灌溉支渠4.81km、渠道清淤18.071km、重建渠系建筑物4座（节制闸2座、退水闸1座、机耕桥1座）；改造、新建提水泵站2座、排涝泵站1座；重建机耕路10.579km；4. 虎陂灌区，主要包括改造干渠 25.199km；改造灌溉支渠3.828km；渠道清淤28.707km；重建渠系建筑物进水闸1座；重建机耕路2.22km；5. 四个灌区建设水质水量监测、视频监控、网络通信动态智慧监控系统，建设灌区用水信息服务平台、管理及设备用房等。项目拟建设工期：14个月</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16274.77万元,其中建安费11810.77万元</w:t>
            </w: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7"/>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申请上级补助及地方政府专项债券资金，不足部分由市财政配套解决；</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8"/>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招标设计、施工图设计、概预算编制及水土保持方案编制，工程施工期间勘察、设计代表驻地服务、配合竣工验收服务及相应阶段的工程勘察相关工作以及按国家有关规程规范的要求应由勘察、设计单位完成的其他勘察设计服务。</w:t>
            </w:r>
          </w:p>
          <w:p>
            <w:pPr>
              <w:pStyle w:val="8"/>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20日历天内提交招标设计、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（1）设计资质：须具备以下工程设计资质证书（具备以下①或②）：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①工程设计综合甲级资质；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w:t>
            </w:r>
            <w:r>
              <w:rPr>
                <w:rFonts w:hint="eastAsia" w:ascii="宋体" w:hAnsi="宋体" w:cs="Times New Roman"/>
                <w:iCs/>
                <w:color w:val="auto"/>
                <w:sz w:val="21"/>
                <w:szCs w:val="21"/>
                <w:highlight w:val="none"/>
                <w:lang w:eastAsia="zh-CN"/>
              </w:rPr>
              <w:t>工程设计水利行业乙级（或以上）</w:t>
            </w:r>
            <w:r>
              <w:rPr>
                <w:rFonts w:hint="eastAsia" w:ascii="宋体" w:hAnsi="宋体" w:cs="Times New Roman"/>
                <w:iCs/>
                <w:color w:val="auto"/>
                <w:sz w:val="21"/>
                <w:szCs w:val="21"/>
                <w:highlight w:val="none"/>
                <w:lang w:val="en-US" w:eastAsia="zh-CN"/>
              </w:rPr>
              <w:t>或</w:t>
            </w:r>
            <w:r>
              <w:rPr>
                <w:rFonts w:hint="eastAsia" w:ascii="宋体" w:hAnsi="宋体" w:cs="Times New Roman"/>
                <w:iCs/>
                <w:color w:val="auto"/>
                <w:sz w:val="21"/>
                <w:szCs w:val="21"/>
                <w:highlight w:val="none"/>
                <w:lang w:eastAsia="zh-CN"/>
              </w:rPr>
              <w:t>工程设计水利行业（灌溉排涝）专业乙级（或以上）</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（2）勘察资质：须具备以下工程勘察资质证书（具备以下①或②）：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①工程勘察综合类甲级资质；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②工程勘察专业类（岩土工程(勘察)）乙级（或以上）和工程勘察专业类（工程测量）乙级（或以上）资质。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cs="宋体"/>
                <w:color w:val="auto"/>
                <w:sz w:val="21"/>
                <w:szCs w:val="21"/>
                <w:highlight w:val="none"/>
                <w:lang w:val="en-US" w:eastAsia="zh-CN"/>
              </w:rPr>
              <w:t>、在“信用中国”网站（http://www.creditchina.gov.cn/)中被列入失信被执行人名单的投标人，在国家企业信用信息公示系统（http://www.gsxt.gov.cn/）中被列入严重违法失信企业名单的投标人，均按否决投标处理。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cs="宋体"/>
                <w:color w:val="auto"/>
                <w:sz w:val="21"/>
                <w:szCs w:val="21"/>
                <w:highlight w:val="none"/>
                <w:lang w:val="en-US" w:eastAsia="zh-CN"/>
              </w:rPr>
              <w:t>拟派项目负责人具有水利相关专业工程师（或以上）职称证书，</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w:t>
            </w:r>
            <w:r>
              <w:rPr>
                <w:rFonts w:hint="eastAsia" w:cs="Times New Roman"/>
                <w:b w:val="0"/>
                <w:bCs/>
                <w:color w:val="auto"/>
                <w:sz w:val="21"/>
                <w:szCs w:val="21"/>
                <w:highlight w:val="none"/>
                <w:lang w:val="en-US" w:eastAsia="zh-CN"/>
              </w:rPr>
              <w:t>3个月</w:t>
            </w:r>
            <w:r>
              <w:rPr>
                <w:rFonts w:hint="eastAsia" w:ascii="宋体" w:hAnsi="宋体" w:eastAsia="宋体" w:cs="Times New Roman"/>
                <w:b w:val="0"/>
                <w:bCs/>
                <w:color w:val="auto"/>
                <w:sz w:val="21"/>
                <w:szCs w:val="21"/>
                <w:highlight w:val="none"/>
                <w:lang w:val="en-US" w:eastAsia="zh-CN"/>
              </w:rPr>
              <w:t>（不含开标当月）的社保缴费单</w:t>
            </w:r>
            <w:r>
              <w:rPr>
                <w:rFonts w:hint="eastAsia" w:cs="Times New Roman"/>
                <w:b w:val="0"/>
                <w:bCs/>
                <w:color w:val="auto"/>
                <w:sz w:val="21"/>
                <w:szCs w:val="21"/>
                <w:highlight w:val="none"/>
                <w:lang w:val="en-US" w:eastAsia="zh-CN"/>
              </w:rPr>
              <w:t>扫描</w:t>
            </w:r>
            <w:r>
              <w:rPr>
                <w:rFonts w:hint="eastAsia" w:ascii="宋体" w:hAnsi="宋体" w:eastAsia="宋体" w:cs="Times New Roman"/>
                <w:b w:val="0"/>
                <w:bCs/>
                <w:color w:val="auto"/>
                <w:sz w:val="21"/>
                <w:szCs w:val="21"/>
                <w:highlight w:val="none"/>
                <w:lang w:val="en-US" w:eastAsia="zh-CN"/>
              </w:rPr>
              <w:t>件</w:t>
            </w:r>
            <w:r>
              <w:rPr>
                <w:rFonts w:hint="eastAsia" w:ascii="宋体" w:hAnsi="宋体" w:cs="宋体"/>
                <w:color w:val="auto"/>
                <w:sz w:val="21"/>
                <w:szCs w:val="21"/>
                <w:highlight w:val="none"/>
                <w:lang w:val="en-US" w:eastAsia="zh-CN"/>
              </w:rPr>
              <w:t>。（如是联合体，应为具有设计资质的成员一方）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5、拟派</w:t>
            </w:r>
            <w:r>
              <w:rPr>
                <w:rFonts w:hint="eastAsia" w:cs="宋体"/>
                <w:iCs/>
                <w:color w:val="auto"/>
                <w:kern w:val="0"/>
                <w:sz w:val="21"/>
                <w:szCs w:val="21"/>
                <w:highlight w:val="none"/>
                <w:lang w:val="en-US" w:eastAsia="zh-CN" w:bidi="ar-SA"/>
              </w:rPr>
              <w:t>项目设计负责人具有水利相关专业工程师（或以上）职称证书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w:t>
            </w:r>
            <w:r>
              <w:rPr>
                <w:rFonts w:hint="eastAsia" w:cs="Times New Roman"/>
                <w:b w:val="0"/>
                <w:bCs/>
                <w:color w:val="auto"/>
                <w:sz w:val="21"/>
                <w:szCs w:val="21"/>
                <w:highlight w:val="none"/>
                <w:lang w:val="en-US" w:eastAsia="zh-CN"/>
              </w:rPr>
              <w:t>3个月</w:t>
            </w:r>
            <w:r>
              <w:rPr>
                <w:rFonts w:hint="eastAsia" w:ascii="宋体" w:hAnsi="宋体" w:eastAsia="宋体" w:cs="Times New Roman"/>
                <w:b w:val="0"/>
                <w:bCs/>
                <w:color w:val="auto"/>
                <w:sz w:val="21"/>
                <w:szCs w:val="21"/>
                <w:highlight w:val="none"/>
                <w:lang w:val="en-US" w:eastAsia="zh-CN"/>
              </w:rPr>
              <w:t>（不含开标当月）的社保缴费单</w:t>
            </w:r>
            <w:r>
              <w:rPr>
                <w:rFonts w:hint="eastAsia" w:cs="Times New Roman"/>
                <w:b w:val="0"/>
                <w:bCs/>
                <w:color w:val="auto"/>
                <w:sz w:val="21"/>
                <w:szCs w:val="21"/>
                <w:highlight w:val="none"/>
                <w:lang w:val="en-US" w:eastAsia="zh-CN"/>
              </w:rPr>
              <w:t>扫描</w:t>
            </w:r>
            <w:r>
              <w:rPr>
                <w:rFonts w:hint="eastAsia" w:ascii="宋体" w:hAnsi="宋体" w:eastAsia="宋体" w:cs="Times New Roman"/>
                <w:b w:val="0"/>
                <w:bCs/>
                <w:color w:val="auto"/>
                <w:sz w:val="21"/>
                <w:szCs w:val="21"/>
                <w:highlight w:val="none"/>
                <w:lang w:val="en-US" w:eastAsia="zh-CN"/>
              </w:rPr>
              <w:t>件</w:t>
            </w:r>
            <w:r>
              <w:rPr>
                <w:rFonts w:hint="eastAsia" w:ascii="宋体" w:hAnsi="宋体" w:cs="宋体"/>
                <w:color w:val="auto"/>
                <w:sz w:val="21"/>
                <w:szCs w:val="21"/>
                <w:highlight w:val="none"/>
                <w:lang w:val="en-US" w:eastAsia="zh-CN"/>
              </w:rPr>
              <w:t>。（如是联合体，应为具有设计资质的成员一方）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cs="宋体"/>
                <w:iCs/>
                <w:color w:val="auto"/>
                <w:kern w:val="0"/>
                <w:sz w:val="21"/>
                <w:szCs w:val="21"/>
                <w:highlight w:val="none"/>
                <w:lang w:val="en-US" w:eastAsia="zh-CN" w:bidi="ar-SA"/>
              </w:rPr>
              <w:t>拟派项目勘察负责人应具有勘察类工程师（或以上）职称证书，</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w:t>
            </w:r>
            <w:r>
              <w:rPr>
                <w:rFonts w:hint="eastAsia" w:cs="Times New Roman"/>
                <w:b w:val="0"/>
                <w:bCs/>
                <w:color w:val="auto"/>
                <w:sz w:val="21"/>
                <w:szCs w:val="21"/>
                <w:highlight w:val="none"/>
                <w:lang w:val="en-US" w:eastAsia="zh-CN"/>
              </w:rPr>
              <w:t>3个月</w:t>
            </w:r>
            <w:r>
              <w:rPr>
                <w:rFonts w:hint="eastAsia" w:ascii="宋体" w:hAnsi="宋体" w:eastAsia="宋体" w:cs="Times New Roman"/>
                <w:b w:val="0"/>
                <w:bCs/>
                <w:color w:val="auto"/>
                <w:sz w:val="21"/>
                <w:szCs w:val="21"/>
                <w:highlight w:val="none"/>
                <w:lang w:val="en-US" w:eastAsia="zh-CN"/>
              </w:rPr>
              <w:t>（不含开标当月）的社保缴费单</w:t>
            </w:r>
            <w:r>
              <w:rPr>
                <w:rFonts w:hint="eastAsia" w:cs="Times New Roman"/>
                <w:b w:val="0"/>
                <w:bCs/>
                <w:color w:val="auto"/>
                <w:sz w:val="21"/>
                <w:szCs w:val="21"/>
                <w:highlight w:val="none"/>
                <w:lang w:val="en-US" w:eastAsia="zh-CN"/>
              </w:rPr>
              <w:t>扫描</w:t>
            </w:r>
            <w:r>
              <w:rPr>
                <w:rFonts w:hint="eastAsia" w:ascii="宋体" w:hAnsi="宋体" w:eastAsia="宋体" w:cs="Times New Roman"/>
                <w:b w:val="0"/>
                <w:bCs/>
                <w:color w:val="auto"/>
                <w:sz w:val="21"/>
                <w:szCs w:val="21"/>
                <w:highlight w:val="none"/>
                <w:lang w:val="en-US" w:eastAsia="zh-CN"/>
              </w:rPr>
              <w:t>件</w:t>
            </w:r>
            <w:r>
              <w:rPr>
                <w:rFonts w:hint="eastAsia" w:cs="宋体"/>
                <w:iCs/>
                <w:color w:val="auto"/>
                <w:kern w:val="0"/>
                <w:sz w:val="21"/>
                <w:szCs w:val="21"/>
                <w:highlight w:val="none"/>
                <w:lang w:val="en-US" w:eastAsia="zh-CN" w:bidi="ar-SA"/>
              </w:rPr>
              <w:t>。（如是联合体，应为具有勘察资质的成员一方）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7"/>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7"/>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7"/>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7"/>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7"/>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7"/>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7</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测设计费最高控制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w:t>
            </w:r>
            <w:r>
              <w:rPr>
                <w:rFonts w:hint="eastAsia" w:ascii="宋体" w:hAnsi="宋体" w:cs="宋体"/>
                <w:color w:val="auto"/>
                <w:sz w:val="21"/>
                <w:szCs w:val="21"/>
                <w:highlight w:val="none"/>
                <w:lang w:eastAsia="zh-CN"/>
              </w:rPr>
              <w:t>最高控制价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eastAsia="zh-CN"/>
              </w:rPr>
              <w:t>勘测设计费用</w:t>
            </w:r>
            <w:r>
              <w:rPr>
                <w:rFonts w:hint="eastAsia" w:ascii="宋体" w:hAnsi="宋体"/>
                <w:color w:val="auto"/>
                <w:sz w:val="21"/>
                <w:szCs w:val="21"/>
                <w:highlight w:val="none"/>
                <w:lang w:val="en-US" w:eastAsia="zh-CN"/>
              </w:rPr>
              <w:t>招标最高控制价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470.025万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其中勘察费招标最高控制价：227.005万元，设计费招标最高控制价：207.16万元，水土保持专项编制费招标最高控制价：35.86万元。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w:t>
            </w:r>
            <w:r>
              <w:rPr>
                <w:rFonts w:hint="eastAsia" w:ascii="宋体" w:hAnsi="宋体" w:cs="宋体"/>
                <w:color w:val="auto"/>
                <w:kern w:val="0"/>
                <w:sz w:val="21"/>
                <w:szCs w:val="21"/>
                <w:highlight w:val="none"/>
                <w:u w:val="single"/>
              </w:rPr>
              <w:t>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玖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投标人应在投标文件中提交投标保函或投标保险等的扫描件并加盖投标人电子印章。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7"/>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份及电子文件1份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电子文件介质使用</w:t>
            </w:r>
            <w:r>
              <w:rPr>
                <w:rFonts w:hint="eastAsia" w:ascii="宋体" w:hAnsi="宋体" w:cs="宋体"/>
                <w:color w:val="auto"/>
                <w:sz w:val="21"/>
                <w:szCs w:val="21"/>
                <w:highlight w:val="none"/>
                <w:lang w:val="en-US" w:eastAsia="zh-CN"/>
              </w:rPr>
              <w:t>U盘</w:t>
            </w:r>
            <w:r>
              <w:rPr>
                <w:rFonts w:hint="eastAsia" w:ascii="宋体" w:hAnsi="宋体" w:eastAsia="宋体" w:cs="宋体"/>
                <w:color w:val="auto"/>
                <w:sz w:val="21"/>
                <w:szCs w:val="21"/>
                <w:highlight w:val="none"/>
              </w:rPr>
              <w:t>，所有电子文件不能采用压缩处理。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7"/>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5"/>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 xml:space="preserve">交易平台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w:t>
            </w:r>
            <w:r>
              <w:rPr>
                <w:rFonts w:hint="eastAsia" w:cs="Times New Roman"/>
                <w:color w:val="auto"/>
                <w:highlight w:val="none"/>
                <w:lang w:eastAsia="zh-CN"/>
              </w:rPr>
              <w:t>U盘</w:t>
            </w:r>
            <w:r>
              <w:rPr>
                <w:rFonts w:hint="eastAsia" w:ascii="Times New Roman" w:hAnsi="Times New Roman" w:eastAsia="宋体" w:cs="Times New Roman"/>
                <w:color w:val="auto"/>
                <w:highlight w:val="none"/>
              </w:rPr>
              <w:t>时间：2023年  月  日   时   分至2023年   月   日   时   分；递交地点：广州公共资源交易中心。</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Ansi="宋体"/>
                <w:b/>
                <w:color w:val="auto"/>
                <w:sz w:val="21"/>
                <w:szCs w:val="21"/>
                <w:highlight w:val="none"/>
              </w:rPr>
              <w:t>评标委员会构成：</w:t>
            </w:r>
            <w:r>
              <w:rPr>
                <w:rFonts w:hAnsi="宋体"/>
                <w:color w:val="auto"/>
                <w:sz w:val="21"/>
                <w:szCs w:val="21"/>
                <w:highlight w:val="none"/>
                <w:lang w:val="zh-CN"/>
              </w:rPr>
              <w:t>5</w:t>
            </w:r>
            <w:r>
              <w:rPr>
                <w:rFonts w:hint="eastAsia" w:hAnsi="宋体"/>
                <w:color w:val="auto"/>
                <w:sz w:val="21"/>
                <w:szCs w:val="21"/>
                <w:highlight w:val="none"/>
                <w:lang w:val="zh-CN"/>
              </w:rPr>
              <w:t>人</w:t>
            </w:r>
            <w:r>
              <w:rPr>
                <w:rFonts w:hAnsi="宋体"/>
                <w:color w:val="auto"/>
                <w:sz w:val="21"/>
                <w:szCs w:val="21"/>
                <w:highlight w:val="none"/>
                <w:lang w:val="zh-CN"/>
              </w:rPr>
              <w:t>组成</w:t>
            </w:r>
            <w:r>
              <w:rPr>
                <w:rFonts w:hint="eastAsia" w:hAnsi="宋体"/>
                <w:color w:val="auto"/>
                <w:sz w:val="21"/>
                <w:szCs w:val="21"/>
                <w:highlight w:val="none"/>
                <w:lang w:val="zh-CN"/>
              </w:rPr>
              <w:t>，其中招标人代表0人，评标专家5人</w:t>
            </w:r>
            <w:r>
              <w:rPr>
                <w:rFonts w:hAnsi="宋体"/>
                <w:color w:val="auto"/>
                <w:sz w:val="21"/>
                <w:szCs w:val="21"/>
                <w:highlight w:val="none"/>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7"/>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公示媒介：广东省招标投标监管网和</w:t>
            </w:r>
            <w:r>
              <w:rPr>
                <w:rFonts w:hint="eastAsia" w:ascii="宋体" w:hAnsi="宋体" w:cs="宋体"/>
                <w:color w:val="auto"/>
                <w:sz w:val="21"/>
                <w:szCs w:val="21"/>
                <w:highlight w:val="none"/>
                <w:u w:val="none"/>
                <w:lang w:val="en-US" w:eastAsia="zh-CN"/>
              </w:rPr>
              <w:t>广州公共资源交易中心网站</w:t>
            </w:r>
          </w:p>
          <w:p>
            <w:pPr>
              <w:pStyle w:val="27"/>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7"/>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7"/>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7"/>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w:t>
            </w:r>
            <w:r>
              <w:rPr>
                <w:rFonts w:hint="eastAsia" w:cs="Times New Roman"/>
                <w:color w:val="auto"/>
                <w:highlight w:val="none"/>
                <w:lang w:val="en-US" w:eastAsia="zh-CN"/>
              </w:rPr>
              <w:t>放入U盘</w:t>
            </w:r>
            <w:r>
              <w:rPr>
                <w:rFonts w:hint="default" w:ascii="Times New Roman" w:hAnsi="Times New Roman" w:eastAsia="宋体" w:cs="Times New Roman"/>
                <w:color w:val="auto"/>
                <w:highlight w:val="none"/>
                <w:lang w:val="en-US" w:eastAsia="zh-CN"/>
              </w:rPr>
              <w:t>（1份），在投标须知前附表第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项规定的时间、地点提交备用。备用</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密封在密封袋中，并在封口处加盖投标人单位公章。密封袋上应写明项目名称和招标人名称。递交的</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不得加密。</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无法读取或导入的，则视为未提交备用投标文件</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。如果投标人没有按规定通过交易平台网上递交电子投标文件的，不再读取提交的</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。投标人也可不提交备用</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内容，继续开标程序。评标委员会对其投标文件的评审以</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内容为准。因投标人之外原因解密失败且未递交电子</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，并按</w:t>
            </w:r>
            <w:r>
              <w:rPr>
                <w:rFonts w:hint="eastAsia" w:cs="Times New Roman"/>
                <w:color w:val="auto"/>
                <w:highlight w:val="none"/>
                <w:lang w:val="en-US" w:eastAsia="zh-CN"/>
              </w:rPr>
              <w:t>U盘</w:t>
            </w:r>
            <w:r>
              <w:rPr>
                <w:rFonts w:hint="default" w:ascii="Times New Roman" w:hAnsi="Times New Roman" w:eastAsia="宋体" w:cs="Times New Roman"/>
                <w:color w:val="auto"/>
                <w:highlight w:val="none"/>
                <w:lang w:val="en-US" w:eastAsia="zh-CN"/>
              </w:rPr>
              <w:t>内容进行评审。</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（3）除发生上述情况外，开标评标均以投标人通过交易平台网上递交的电子投标文件为准。</w:t>
            </w:r>
          </w:p>
        </w:tc>
      </w:tr>
    </w:tbl>
    <w:p>
      <w:pPr>
        <w:autoSpaceDE w:val="0"/>
        <w:spacing w:after="120" w:line="360" w:lineRule="auto"/>
        <w:rPr>
          <w:rFonts w:hint="eastAsia" w:ascii="宋体" w:hAnsi="宋体"/>
          <w:color w:val="auto"/>
          <w:sz w:val="24"/>
          <w:highlight w:val="none"/>
        </w:rPr>
        <w:sectPr>
          <w:footerReference r:id="rId5" w:type="default"/>
          <w:footnotePr>
            <w:numRestart w:val="eachPage"/>
          </w:footnotePr>
          <w:pgSz w:w="11907" w:h="16840"/>
          <w:pgMar w:top="1418" w:right="1134" w:bottom="1134" w:left="1134" w:header="680" w:footer="907" w:gutter="0"/>
          <w:pgNumType w:fmt="decimal" w:start="1"/>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highlight w:val="none"/>
        </w:rPr>
      </w:pPr>
      <w:bookmarkStart w:id="9" w:name="_Toc60537378"/>
      <w:r>
        <w:rPr>
          <w:rFonts w:hint="eastAsia" w:ascii="宋体" w:hAnsi="宋体"/>
          <w:b/>
          <w:color w:val="auto"/>
          <w:sz w:val="30"/>
          <w:szCs w:val="30"/>
          <w:highlight w:val="none"/>
        </w:rPr>
        <w:t>投标须知</w:t>
      </w:r>
      <w:bookmarkEnd w:id="9"/>
    </w:p>
    <w:p>
      <w:pPr>
        <w:autoSpaceDE w:val="0"/>
        <w:spacing w:line="520" w:lineRule="exact"/>
        <w:jc w:val="left"/>
        <w:rPr>
          <w:rFonts w:hint="eastAsia" w:ascii="宋体" w:hAnsi="宋体"/>
          <w:b/>
          <w:color w:val="auto"/>
          <w:sz w:val="28"/>
          <w:szCs w:val="28"/>
          <w:highlight w:val="none"/>
        </w:rPr>
      </w:pPr>
      <w:r>
        <w:rPr>
          <w:rFonts w:hint="eastAsia" w:ascii="宋体" w:hAnsi="宋体"/>
          <w:b/>
          <w:color w:val="auto"/>
          <w:sz w:val="28"/>
          <w:szCs w:val="28"/>
          <w:highlight w:val="none"/>
        </w:rPr>
        <w:t>1.总则</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1.1招标项目概况</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w:t>
      </w:r>
      <w:r>
        <w:rPr>
          <w:rFonts w:hint="eastAsia" w:ascii="宋体" w:hAnsi="宋体"/>
          <w:color w:val="auto"/>
          <w:szCs w:val="21"/>
          <w:highlight w:val="none"/>
          <w:lang w:val="en-US" w:eastAsia="zh-CN"/>
        </w:rPr>
        <w:t>勘测</w:t>
      </w:r>
      <w:r>
        <w:rPr>
          <w:rFonts w:hint="eastAsia" w:ascii="宋体" w:hAnsi="宋体"/>
          <w:color w:val="auto"/>
          <w:szCs w:val="21"/>
          <w:highlight w:val="none"/>
        </w:rPr>
        <w:t>设计进行招标。</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1.1.2招标人：见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1.1.3招标代理机构：见</w:t>
      </w:r>
      <w:r>
        <w:rPr>
          <w:rFonts w:hint="eastAsia" w:ascii="宋体" w:hAnsi="宋体"/>
          <w:color w:val="auto"/>
          <w:szCs w:val="21"/>
          <w:highlight w:val="none"/>
          <w:lang w:eastAsia="zh-CN"/>
        </w:rPr>
        <w:t>投标须知前附表。</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1.1.4项目名称：见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1.1.5建设地点：见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1.1.6建设规模：见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1.1.7项目投资估算：见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1.2  招标项目的资金来源和落实情况</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1.2.1资金来源：见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1.2.2资金落实情况：见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1.3招标范围和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1.3.3质量标准：见</w:t>
      </w:r>
      <w:r>
        <w:rPr>
          <w:rFonts w:hint="eastAsia" w:ascii="宋体" w:hAnsi="宋体"/>
          <w:color w:val="auto"/>
          <w:szCs w:val="21"/>
          <w:highlight w:val="none"/>
          <w:lang w:eastAsia="zh-CN"/>
        </w:rPr>
        <w:t>投标须知前附表。</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1.4投标人资格要求</w:t>
      </w:r>
    </w:p>
    <w:p>
      <w:pPr>
        <w:autoSpaceDE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投标人应具备承担本招标项目资质条件</w:t>
      </w:r>
      <w:r>
        <w:rPr>
          <w:rFonts w:hint="eastAsia" w:ascii="宋体" w:hAnsi="宋体" w:cs="宋体"/>
          <w:color w:val="auto"/>
          <w:szCs w:val="21"/>
          <w:highlight w:val="none"/>
          <w:lang w:val="en-US" w:eastAsia="zh-CN"/>
        </w:rPr>
        <w:t>等要求</w:t>
      </w:r>
      <w:r>
        <w:rPr>
          <w:rFonts w:hint="eastAsia" w:ascii="宋体" w:hAnsi="宋体" w:cs="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（1）资质要求：见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其他</w:t>
      </w:r>
      <w:r>
        <w:rPr>
          <w:rFonts w:hint="eastAsia" w:ascii="宋体" w:hAnsi="宋体"/>
          <w:color w:val="auto"/>
          <w:szCs w:val="21"/>
          <w:highlight w:val="none"/>
        </w:rPr>
        <w:t>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（9）被依法暂停或者取消投标资格；</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（10）被责令停产停业、暂扣或者吊销许可证、暂扣或者吊销执照；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1.5费用承担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1.6保密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1.7语言文字</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1.8 计量单位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1.9踏勘现场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第12项规定组织踏勘现场的，招标人按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1.9.2投标人踏勘现场发生的费用自理。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1.10 投标预备会</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规定召开投标预备会的，招标人按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规定的时间和地点召开投标预备会，澄清投标人提出的问题。</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1.10.2投标人应按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1.10.3投标预备会后，招标人将对投标人所提问题的澄清，以</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规定的形式通知</w:t>
      </w:r>
      <w:r>
        <w:rPr>
          <w:rFonts w:hint="eastAsia" w:ascii="宋体" w:hAnsi="宋体"/>
          <w:color w:val="auto"/>
          <w:szCs w:val="21"/>
          <w:highlight w:val="none"/>
          <w:lang w:val="en-US" w:eastAsia="zh-CN"/>
        </w:rPr>
        <w:t>潜在</w:t>
      </w:r>
      <w:r>
        <w:rPr>
          <w:rFonts w:hint="eastAsia" w:ascii="宋体" w:hAnsi="宋体"/>
          <w:color w:val="auto"/>
          <w:szCs w:val="21"/>
          <w:highlight w:val="none"/>
        </w:rPr>
        <w:t>的投标人。该澄清内容为招标文件的组成部分。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1.12响应和偏差</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1.12.3</w:t>
      </w:r>
      <w:r>
        <w:rPr>
          <w:rFonts w:hint="eastAsia" w:ascii="宋体" w:hAnsi="宋体"/>
          <w:color w:val="auto"/>
          <w:szCs w:val="21"/>
          <w:highlight w:val="none"/>
          <w:lang w:eastAsia="zh-CN"/>
        </w:rPr>
        <w:t>投标须知前附表</w:t>
      </w:r>
      <w:r>
        <w:rPr>
          <w:rFonts w:hint="eastAsia" w:ascii="宋体" w:hAnsi="宋体"/>
          <w:color w:val="auto"/>
          <w:szCs w:val="21"/>
          <w:highlight w:val="none"/>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highlight w:val="none"/>
        </w:rPr>
      </w:pPr>
      <w:r>
        <w:rPr>
          <w:rFonts w:hint="eastAsia" w:ascii="宋体" w:hAnsi="宋体"/>
          <w:b/>
          <w:bCs/>
          <w:color w:val="auto"/>
          <w:sz w:val="28"/>
          <w:szCs w:val="28"/>
          <w:highlight w:val="none"/>
        </w:rPr>
        <w:t>2.招标文件</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2.1招标文件的组成</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2.1.2除本须知第2.1条款内容外,招标人在投标截止时间</w:t>
      </w:r>
      <w:r>
        <w:rPr>
          <w:rFonts w:hint="eastAsia" w:ascii="宋体" w:hAnsi="宋体"/>
          <w:color w:val="auto"/>
          <w:szCs w:val="21"/>
          <w:highlight w:val="none"/>
          <w:u w:val="single"/>
        </w:rPr>
        <w:t>15</w:t>
      </w:r>
      <w:r>
        <w:rPr>
          <w:rFonts w:hint="eastAsia" w:ascii="宋体" w:hAnsi="宋体"/>
          <w:color w:val="auto"/>
          <w:szCs w:val="21"/>
          <w:highlight w:val="none"/>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2.1.3投标人获取招标文件后，应仔细检查招标文件的所有内容，如有残缺等问题</w:t>
      </w:r>
      <w:r>
        <w:rPr>
          <w:rFonts w:hint="eastAsia"/>
          <w:color w:val="auto"/>
          <w:szCs w:val="21"/>
          <w:highlight w:val="none"/>
        </w:rPr>
        <w:t>应</w:t>
      </w:r>
      <w:r>
        <w:rPr>
          <w:rFonts w:hint="eastAsia"/>
          <w:color w:val="auto"/>
          <w:szCs w:val="21"/>
          <w:highlight w:val="none"/>
          <w:lang w:val="en-US" w:eastAsia="zh-CN"/>
        </w:rPr>
        <w:t>及时</w:t>
      </w:r>
      <w:r>
        <w:rPr>
          <w:rFonts w:hint="eastAsia"/>
          <w:color w:val="auto"/>
          <w:szCs w:val="21"/>
          <w:highlight w:val="none"/>
        </w:rPr>
        <w:t>向招标人提出</w:t>
      </w:r>
      <w:r>
        <w:rPr>
          <w:rFonts w:hint="eastAsia" w:ascii="宋体" w:hAnsi="宋体"/>
          <w:color w:val="auto"/>
          <w:szCs w:val="21"/>
          <w:highlight w:val="none"/>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highlight w:val="none"/>
        </w:rPr>
      </w:pPr>
      <w:bookmarkStart w:id="10" w:name="_Toc17216796"/>
      <w:r>
        <w:rPr>
          <w:rFonts w:hint="eastAsia" w:ascii="宋体" w:hAnsi="宋体"/>
          <w:b/>
          <w:bCs/>
          <w:color w:val="auto"/>
          <w:szCs w:val="21"/>
          <w:highlight w:val="none"/>
        </w:rPr>
        <w:t>2.2招标文件的澄清</w:t>
      </w:r>
      <w:bookmarkEnd w:id="10"/>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2.2.2 招标文件的澄清以投标须知前附表规定的形式在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highlight w:val="none"/>
          <w:lang w:val="en-US" w:eastAsia="zh-CN"/>
        </w:rPr>
      </w:pPr>
      <w:r>
        <w:rPr>
          <w:rFonts w:hint="eastAsia" w:ascii="宋体" w:hAnsi="宋体"/>
          <w:strike w:val="0"/>
          <w:dstrike w:val="0"/>
          <w:color w:val="auto"/>
          <w:szCs w:val="21"/>
          <w:highlight w:val="none"/>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2.4 招标文件的异议</w:t>
      </w:r>
    </w:p>
    <w:p>
      <w:pPr>
        <w:autoSpaceDE w:val="0"/>
        <w:spacing w:line="500" w:lineRule="exact"/>
        <w:ind w:firstLine="420" w:firstLineChars="200"/>
        <w:rPr>
          <w:rFonts w:hint="eastAsia" w:ascii="宋体" w:hAnsi="宋体"/>
          <w:strike/>
          <w:dstrike w:val="0"/>
          <w:color w:val="auto"/>
          <w:szCs w:val="21"/>
          <w:highlight w:val="none"/>
        </w:rPr>
      </w:pPr>
      <w:r>
        <w:rPr>
          <w:rFonts w:hint="eastAsia" w:ascii="宋体" w:hAnsi="宋体"/>
          <w:strike w:val="0"/>
          <w:dstrike w:val="0"/>
          <w:color w:val="auto"/>
          <w:szCs w:val="21"/>
          <w:highlight w:val="none"/>
          <w:lang w:val="en-US" w:eastAsia="zh-CN"/>
        </w:rPr>
        <w:t>投标人或者其他利害关系人对招标文件有异议的，应当在投标截止时间10日前以书面形式向招标人一次性提出。招标人将在收到异议之日起 3 日内作出答复；作出答复前，将暂停招标投标活动。</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3.投标文件</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1</w:t>
      </w:r>
      <w:r>
        <w:rPr>
          <w:rFonts w:hint="eastAsia" w:ascii="宋体" w:hAnsi="宋体"/>
          <w:color w:val="auto"/>
          <w:szCs w:val="21"/>
          <w:highlight w:val="none"/>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highlight w:val="none"/>
          <w:lang w:val="en-US" w:eastAsia="zh-CN"/>
        </w:rPr>
        <w:t>投标文件不包括联合体协议书。</w:t>
      </w:r>
    </w:p>
    <w:p>
      <w:pPr>
        <w:autoSpaceDE w:val="0"/>
        <w:spacing w:line="440" w:lineRule="exact"/>
        <w:ind w:firstLine="420" w:firstLineChars="200"/>
        <w:rPr>
          <w:rFonts w:hint="eastAsia"/>
          <w:color w:val="auto"/>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投标须知前附表未要求提交投标保证金的，投标文件不包括本章第3.1.1（4）目所指的投标保证金。</w:t>
      </w:r>
    </w:p>
    <w:p>
      <w:pPr>
        <w:autoSpaceDE w:val="0"/>
        <w:spacing w:line="520" w:lineRule="exact"/>
        <w:ind w:firstLine="422" w:firstLineChars="200"/>
        <w:rPr>
          <w:rFonts w:hint="eastAsia" w:ascii="宋体" w:hAnsi="宋体"/>
          <w:color w:val="auto"/>
          <w:szCs w:val="21"/>
          <w:highlight w:val="none"/>
        </w:rPr>
      </w:pPr>
      <w:bookmarkStart w:id="11" w:name="_Toc17216800"/>
      <w:r>
        <w:rPr>
          <w:rFonts w:hint="eastAsia" w:ascii="宋体" w:hAnsi="宋体"/>
          <w:b/>
          <w:bCs/>
          <w:color w:val="auto"/>
          <w:szCs w:val="21"/>
          <w:highlight w:val="none"/>
        </w:rPr>
        <w:t>3.2投标文件格式</w:t>
      </w:r>
      <w:bookmarkEnd w:id="11"/>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投标人提交的投标文件应当使用招标文件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“投标文件及格式”所提供的投标文件全部格式（表格可以按同样格式扩展）。</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3.3投标报价</w:t>
      </w: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3.3.1报价内容</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投标报价为投标人在投标文件中提出的各项支付金额的总和，其中包括招标范围规定的</w:t>
      </w:r>
      <w:r>
        <w:rPr>
          <w:rFonts w:hint="eastAsia" w:ascii="宋体" w:hAnsi="宋体"/>
          <w:color w:val="auto"/>
          <w:szCs w:val="21"/>
          <w:highlight w:val="none"/>
          <w:lang w:val="en-US" w:eastAsia="zh-CN"/>
        </w:rPr>
        <w:t>勘测</w:t>
      </w:r>
      <w:r>
        <w:rPr>
          <w:rFonts w:hint="eastAsia" w:ascii="宋体" w:hAnsi="宋体"/>
          <w:color w:val="auto"/>
          <w:szCs w:val="21"/>
          <w:highlight w:val="none"/>
        </w:rPr>
        <w:t>设计及其配套技术服务的所有费用。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none"/>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w:t>
      </w:r>
      <w:r>
        <w:rPr>
          <w:rFonts w:hint="eastAsia" w:ascii="宋体" w:hAnsi="宋体" w:cs="宋体"/>
          <w:color w:val="auto"/>
          <w:highlight w:val="none"/>
          <w:lang w:eastAsia="zh-CN"/>
        </w:rPr>
        <w:t>最高控制价</w:t>
      </w:r>
      <w:r>
        <w:rPr>
          <w:rFonts w:hint="eastAsia" w:ascii="宋体" w:hAnsi="宋体" w:eastAsia="宋体" w:cs="宋体"/>
          <w:color w:val="auto"/>
          <w:highlight w:val="none"/>
        </w:rPr>
        <w:t>，</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勘测设计费用</w:t>
      </w:r>
      <w:r>
        <w:rPr>
          <w:rFonts w:hint="eastAsia" w:ascii="宋体" w:hAnsi="宋体"/>
          <w:color w:val="auto"/>
          <w:sz w:val="21"/>
          <w:szCs w:val="21"/>
          <w:highlight w:val="none"/>
          <w:lang w:val="en-US" w:eastAsia="zh-CN"/>
        </w:rPr>
        <w:t>招标最高控制价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w:t>
      </w:r>
      <w:r>
        <w:rPr>
          <w:rFonts w:ascii="宋体" w:hAnsi="宋体"/>
          <w:color w:val="auto"/>
          <w:szCs w:val="21"/>
          <w:highlight w:val="none"/>
        </w:rPr>
        <w:t>.2</w:t>
      </w:r>
      <w:r>
        <w:rPr>
          <w:rFonts w:hint="eastAsia" w:ascii="宋体" w:hAnsi="宋体"/>
          <w:color w:val="auto"/>
          <w:szCs w:val="21"/>
          <w:highlight w:val="none"/>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highlight w:val="none"/>
        </w:rPr>
      </w:pPr>
      <w:bookmarkStart w:id="12" w:name="_Toc17216802"/>
      <w:r>
        <w:rPr>
          <w:rFonts w:hint="eastAsia" w:ascii="宋体" w:hAnsi="宋体"/>
          <w:b/>
          <w:bCs/>
          <w:color w:val="auto"/>
          <w:szCs w:val="21"/>
          <w:highlight w:val="none"/>
        </w:rPr>
        <w:t>3.4投标货币</w:t>
      </w:r>
      <w:bookmarkEnd w:id="12"/>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本工程投标报价采用的币种：人民币。</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3.6投标保证金</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3.6.1投标人应在提交投标文件的同时，按有关规定提交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规定数额的投标担保，并作为其投标文件的一部分。</w:t>
      </w:r>
      <w:r>
        <w:rPr>
          <w:rFonts w:hint="eastAsia" w:ascii="宋体" w:hAnsi="宋体"/>
          <w:color w:val="auto"/>
          <w:szCs w:val="21"/>
          <w:highlight w:val="none"/>
          <w:lang w:val="en-US" w:eastAsia="zh-CN"/>
        </w:rPr>
        <w:t>联合体投标的，其投标保证金可以由牵头人递交，并</w:t>
      </w:r>
      <w:r>
        <w:rPr>
          <w:rFonts w:hint="eastAsia" w:ascii="宋体" w:hAnsi="宋体"/>
          <w:color w:val="auto"/>
          <w:szCs w:val="21"/>
          <w:highlight w:val="none"/>
        </w:rPr>
        <w:t>应符合</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3.6.2投标人应按要求提交投标保证金，投标保证金形式为：按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3.6.4未中标的投标人的投标保证金，将在中标通知书发出后5日内无息退还。</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3.6.5中标人的投标保证金，在招标人与中标人签订合同后5日内予以退还（不计利息）。</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3.6.6如投标人发生下列情况之一时，投标担保将被没收；</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（1）开标后投标人在投标有效期内撤回投标；</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中标人未能按招标文件的要求提交履约担保或与招标人签订合同协议</w:t>
      </w:r>
      <w:r>
        <w:rPr>
          <w:rFonts w:hint="eastAsia" w:ascii="宋体" w:hAnsi="宋体"/>
          <w:color w:val="auto"/>
          <w:szCs w:val="21"/>
          <w:highlight w:val="none"/>
        </w:rPr>
        <w:t>。</w:t>
      </w:r>
    </w:p>
    <w:p>
      <w:pPr>
        <w:autoSpaceDE w:val="0"/>
        <w:spacing w:line="44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7备选投标方案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.1 </w:t>
      </w:r>
      <w:r>
        <w:rPr>
          <w:rFonts w:hint="eastAsia" w:ascii="宋体" w:hAnsi="宋体"/>
          <w:color w:val="auto"/>
          <w:szCs w:val="21"/>
          <w:highlight w:val="none"/>
        </w:rPr>
        <w:t>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规定允许外，投标人不得递交备选投标方案，否则其投标将被否决。</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.2 </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.3 </w:t>
      </w:r>
      <w:r>
        <w:rPr>
          <w:rFonts w:hint="eastAsia" w:ascii="宋体" w:hAnsi="宋体"/>
          <w:color w:val="auto"/>
          <w:szCs w:val="21"/>
          <w:highlight w:val="none"/>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2336"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7"/>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w:t>
      </w:r>
      <w:r>
        <w:rPr>
          <w:rFonts w:hint="eastAsia" w:ascii="宋体" w:hAnsi="宋体"/>
          <w:color w:val="auto"/>
          <w:szCs w:val="21"/>
          <w:highlight w:val="none"/>
          <w:lang w:eastAsia="zh-CN"/>
        </w:rPr>
        <w:t>投标文件全部采用电子文档，投标文件所附证书证件均为原件清晰扫描件，并采用单位数字证书，按招标文件要求在相应位置加盖电子印章。投标文件需个人签字或盖章的，应加盖个人电子印章或在线下完成后扫描上传。按照广州公共资源交易中心交易平台关于全流程电子化项目的相关指南进行操作。</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2投标文件的密封要求按投标须知前附表的规定</w:t>
      </w:r>
      <w:r>
        <w:rPr>
          <w:rFonts w:hint="eastAsia" w:ascii="宋体" w:hAnsi="宋体"/>
          <w:strike w:val="0"/>
          <w:dstrike w:val="0"/>
          <w:color w:val="auto"/>
          <w:szCs w:val="21"/>
          <w:highlight w:val="none"/>
          <w:lang w:val="en-US" w:eastAsia="zh-CN"/>
        </w:rPr>
        <w:t>。</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条款的规定装订和注明标记及密封，招标人将予以拒绝。</w:t>
      </w:r>
    </w:p>
    <w:p>
      <w:pPr>
        <w:autoSpaceDE w:val="0"/>
        <w:spacing w:line="500" w:lineRule="exact"/>
        <w:ind w:firstLine="422" w:firstLineChars="200"/>
        <w:rPr>
          <w:rFonts w:ascii="宋体" w:hAnsi="宋体"/>
          <w:b/>
          <w:bCs/>
          <w:color w:val="auto"/>
          <w:szCs w:val="21"/>
          <w:highlight w:val="none"/>
        </w:rPr>
      </w:pPr>
      <w:bookmarkStart w:id="13" w:name="_Toc17216809"/>
      <w:r>
        <w:rPr>
          <w:rFonts w:hint="eastAsia" w:ascii="宋体" w:hAnsi="宋体"/>
          <w:b/>
          <w:bCs/>
          <w:color w:val="auto"/>
          <w:szCs w:val="21"/>
          <w:highlight w:val="none"/>
        </w:rPr>
        <w:t>4.2投标文件的提交</w:t>
      </w:r>
      <w:bookmarkEnd w:id="13"/>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所规定的地点，于截止时间前提交投标文件。</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4.2.2投标文件的截止时间按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的规定，招标人在投标截止时间以后收到的投标文件，将被拒绝。</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4.2.4到投标截止时间止，招标人收到的投标文件少于</w:t>
      </w:r>
      <w:r>
        <w:rPr>
          <w:rFonts w:ascii="宋体" w:hAnsi="宋体"/>
          <w:color w:val="auto"/>
          <w:szCs w:val="21"/>
          <w:highlight w:val="none"/>
        </w:rPr>
        <w:t>3</w:t>
      </w:r>
      <w:r>
        <w:rPr>
          <w:rFonts w:hint="eastAsia" w:ascii="宋体" w:hAnsi="宋体"/>
          <w:color w:val="auto"/>
          <w:szCs w:val="21"/>
          <w:highlight w:val="none"/>
        </w:rPr>
        <w:t>个的，招标人将依法重新组织招标。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4.3投标文件的补充、修改与撤回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4.3.2投标人对投标文件的补充、修改，应按本须知第4.1条款有关规定密封、标记和提交，并清楚标明“补充、修改”或“撤回”字样。</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4.3.3在投标截止时间之后，投标人不得补充、修改投标文件。</w:t>
      </w:r>
    </w:p>
    <w:p>
      <w:pPr>
        <w:autoSpaceDE w:val="0"/>
        <w:spacing w:line="500" w:lineRule="exact"/>
        <w:ind w:firstLine="420" w:firstLineChars="200"/>
        <w:rPr>
          <w:rFonts w:hint="eastAsia" w:ascii="宋体" w:hAnsi="宋体"/>
          <w:color w:val="auto"/>
          <w:sz w:val="24"/>
          <w:highlight w:val="none"/>
        </w:rPr>
      </w:pPr>
      <w:r>
        <w:rPr>
          <w:rFonts w:hint="eastAsia" w:ascii="宋体" w:hAnsi="宋体"/>
          <w:color w:val="auto"/>
          <w:szCs w:val="21"/>
          <w:highlight w:val="none"/>
        </w:rPr>
        <w:t>4.3.4在投标截止时间至投标有效期满之前，投标人不得撤回其投标文件</w:t>
      </w:r>
      <w:r>
        <w:rPr>
          <w:rFonts w:hint="eastAsia" w:ascii="宋体" w:hAnsi="宋体"/>
          <w:color w:val="auto"/>
          <w:sz w:val="24"/>
          <w:highlight w:val="none"/>
        </w:rPr>
        <w:t>。</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5.开标</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rPr>
        <w:t>5.1</w:t>
      </w:r>
      <w:r>
        <w:rPr>
          <w:rFonts w:hint="eastAsia" w:ascii="宋体" w:hAnsi="宋体"/>
          <w:b/>
          <w:bCs/>
          <w:color w:val="auto"/>
          <w:szCs w:val="21"/>
          <w:highlight w:val="none"/>
          <w:lang w:val="en-US" w:eastAsia="zh-CN"/>
        </w:rPr>
        <w:t>开标时间和地点</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招标人按</w:t>
      </w:r>
      <w:r>
        <w:rPr>
          <w:rFonts w:hint="eastAsia" w:ascii="宋体" w:hAnsi="宋体"/>
          <w:b w:val="0"/>
          <w:bCs w:val="0"/>
          <w:color w:val="auto"/>
          <w:szCs w:val="21"/>
          <w:highlight w:val="none"/>
          <w:lang w:eastAsia="zh-CN"/>
        </w:rPr>
        <w:t>投标须知前附表</w:t>
      </w:r>
      <w:r>
        <w:rPr>
          <w:rFonts w:hint="eastAsia" w:ascii="宋体" w:hAnsi="宋体"/>
          <w:b w:val="0"/>
          <w:bCs w:val="0"/>
          <w:color w:val="auto"/>
          <w:szCs w:val="21"/>
          <w:highlight w:val="none"/>
        </w:rPr>
        <w:t>所规定的时间和地点开标。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5.2按规定提交合格的撤回通知的投标文件不予开封。</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投标文件有下列情况之一的投标，招标人不予接受：</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（1）逾期送达的；</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（2）因投标人原因造成电子投标文件未解密或逾期解密的。</w:t>
      </w:r>
    </w:p>
    <w:p>
      <w:pPr>
        <w:autoSpaceDE w:val="0"/>
        <w:spacing w:line="500" w:lineRule="exact"/>
        <w:ind w:left="420" w:leftChars="200"/>
        <w:rPr>
          <w:rFonts w:hint="eastAsia" w:ascii="宋体" w:hAnsi="宋体"/>
          <w:b/>
          <w:bCs/>
          <w:color w:val="auto"/>
          <w:szCs w:val="21"/>
          <w:highlight w:val="none"/>
        </w:rPr>
      </w:pPr>
      <w:r>
        <w:rPr>
          <w:rFonts w:hint="eastAsia" w:ascii="宋体" w:hAnsi="宋体"/>
          <w:b/>
          <w:bCs/>
          <w:color w:val="auto"/>
          <w:szCs w:val="21"/>
          <w:highlight w:val="none"/>
        </w:rPr>
        <w:t>5.3开标程序：</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（1）宣布开标纪律；</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（2）公布在投标截止时间前递交投标文件的投标人名称；</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（3）宣布开标人、唱标人、记录人、监标人等有关人员姓名；</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（4）投标人通过电子招标投标交易平台对已递交的电子投标文件进行解密，公布招标项目名称、投标人名称、投标保证金的递交情况、投标报价、服务期限及其他内容，并记录在案；</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（5）投标人代表、招标人代表、监标人、记录人等有关人员在开标记录上签字确认；</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（6）开标结束。</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 xml:space="preserve"> 开标异议</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w:t>
      </w:r>
      <w:r>
        <w:rPr>
          <w:rFonts w:hint="eastAsia" w:ascii="宋体" w:hAnsi="宋体"/>
          <w:color w:val="auto"/>
          <w:szCs w:val="21"/>
          <w:highlight w:val="none"/>
          <w:lang w:eastAsia="zh-CN"/>
        </w:rPr>
        <w:t>最高控制价。</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6.评标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6.1评标委员会与评标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6.1.1招标人依法组建评标委员会，</w:t>
      </w:r>
      <w:r>
        <w:rPr>
          <w:rFonts w:hint="eastAsia" w:ascii="宋体" w:hAnsi="宋体"/>
          <w:color w:val="auto"/>
          <w:szCs w:val="21"/>
          <w:highlight w:val="none"/>
          <w:lang w:eastAsia="zh-CN"/>
        </w:rPr>
        <w:t>负责招标工程的评标工作，评委在开标会前在广东省综合评标专家库随机抽取</w:t>
      </w:r>
      <w:r>
        <w:rPr>
          <w:rFonts w:hint="eastAsia" w:ascii="宋体" w:hAnsi="宋体"/>
          <w:color w:val="auto"/>
          <w:szCs w:val="21"/>
          <w:highlight w:val="none"/>
        </w:rPr>
        <w:t>，主任评委在评标委员会委员中推荐产生。</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6.1.2评标委员会负责对投标文件进行审查、质疑、评估和比较。</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6.1.3 评标委员会成员有下列情形之一的，应当回避：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（5）与投标人有其他利害关系。</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6.2评标原则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评标完成后，评标委员会应当向招标人提交书面评标报告和中标候选人名单。评标委员会推荐中标候选人的人数见投标人须知前附表。</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7.合同授予</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7.1中标候选人公示</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招标人在收到评标报告之日起 3 日内，按照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7.2评标结果异议</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7.3中标候选人履约能力审查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7.4定标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7.5中标通知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7.6技术成果经济补偿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招标人对符合招标文件规定的未中标人的技术成果进行补偿的，招标人将按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7.7履约保证金</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章“合同条款”规定的或者事先经过招标人书面认可的履约保证金格式向招标人提交履约保证金。除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highlight w:val="none"/>
        </w:rPr>
        <w:t>联合体中牵头人的名义提交。</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7.8签订合同</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highlight w:val="none"/>
        </w:rPr>
      </w:pPr>
      <w:r>
        <w:rPr>
          <w:rFonts w:hint="eastAsia" w:ascii="宋体" w:hAnsi="宋体"/>
          <w:b/>
          <w:bCs/>
          <w:color w:val="auto"/>
          <w:sz w:val="28"/>
          <w:szCs w:val="28"/>
          <w:highlight w:val="none"/>
        </w:rPr>
        <w:t>8.纪律和监督</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8.1对招标人的纪律要求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8.2对投标人的纪律要求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8.3对评标委员会成员的纪律要求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评标办法</w:t>
      </w:r>
      <w:r>
        <w:rPr>
          <w:rFonts w:hint="eastAsia" w:ascii="宋体" w:hAnsi="宋体"/>
          <w:color w:val="auto"/>
          <w:szCs w:val="21"/>
          <w:highlight w:val="none"/>
        </w:rPr>
        <w:t>”没有规定的评审因素和标准进行评标。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8.4对与评标活动有关的工作人员的纪律要求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8.5 投诉</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highlight w:val="none"/>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9.是否采用电子招标投标 </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本招标项目是否采用电子招标投标方式，见投标须知前附表。</w:t>
      </w:r>
    </w:p>
    <w:p>
      <w:pPr>
        <w:autoSpaceDE w:val="0"/>
        <w:spacing w:line="500" w:lineRule="exact"/>
        <w:rPr>
          <w:rFonts w:hint="eastAsia" w:ascii="宋体" w:hAnsi="宋体"/>
          <w:color w:val="auto"/>
          <w:sz w:val="24"/>
          <w:highlight w:val="none"/>
        </w:rPr>
      </w:pPr>
      <w:r>
        <w:rPr>
          <w:rFonts w:hint="eastAsia" w:ascii="宋体" w:hAnsi="宋体"/>
          <w:b/>
          <w:bCs/>
          <w:color w:val="auto"/>
          <w:sz w:val="24"/>
          <w:highlight w:val="none"/>
          <w:lang w:val="en-US" w:eastAsia="zh-CN"/>
        </w:rPr>
        <w:t>10</w:t>
      </w:r>
      <w:r>
        <w:rPr>
          <w:rFonts w:hint="eastAsia" w:ascii="宋体" w:hAnsi="宋体"/>
          <w:b/>
          <w:bCs/>
          <w:color w:val="auto"/>
          <w:sz w:val="24"/>
          <w:highlight w:val="none"/>
        </w:rPr>
        <w:t>.需要补充的其他内容</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bookmarkStart w:id="14" w:name="_Toc534471619"/>
      <w:bookmarkStart w:id="15" w:name="_Toc534472023"/>
      <w:bookmarkStart w:id="16" w:name="_Toc31996"/>
    </w:p>
    <w:p>
      <w:pPr>
        <w:numPr>
          <w:ilvl w:val="0"/>
          <w:numId w:val="0"/>
        </w:numPr>
        <w:autoSpaceDE w:val="0"/>
        <w:spacing w:line="500" w:lineRule="exact"/>
        <w:ind w:leftChars="0"/>
        <w:jc w:val="center"/>
        <w:outlineLvl w:val="0"/>
        <w:rPr>
          <w:rFonts w:hint="eastAsia" w:ascii="宋体" w:hAnsi="宋体"/>
          <w:b/>
          <w:color w:val="auto"/>
          <w:sz w:val="44"/>
          <w:szCs w:val="44"/>
          <w:highlight w:val="none"/>
        </w:rPr>
      </w:pPr>
      <w:r>
        <w:rPr>
          <w:rFonts w:hint="eastAsia" w:ascii="宋体" w:hAnsi="宋体"/>
          <w:color w:val="auto"/>
          <w:szCs w:val="21"/>
          <w:highlight w:val="none"/>
        </w:rPr>
        <w:br w:type="page"/>
      </w:r>
      <w:bookmarkStart w:id="17" w:name="_Toc32412"/>
      <w:r>
        <w:rPr>
          <w:rFonts w:hint="eastAsia" w:ascii="宋体" w:hAnsi="宋体"/>
          <w:b/>
          <w:color w:val="auto"/>
          <w:sz w:val="44"/>
          <w:szCs w:val="44"/>
          <w:highlight w:val="none"/>
          <w:lang w:val="en-US" w:eastAsia="zh-CN"/>
        </w:rPr>
        <w:t xml:space="preserve">第三章 </w:t>
      </w:r>
      <w:r>
        <w:rPr>
          <w:rFonts w:hint="eastAsia" w:ascii="宋体" w:hAnsi="宋体"/>
          <w:b/>
          <w:color w:val="auto"/>
          <w:sz w:val="44"/>
          <w:szCs w:val="44"/>
          <w:highlight w:val="none"/>
        </w:rPr>
        <w:t>评标办法（综合评估法）</w:t>
      </w:r>
      <w:bookmarkEnd w:id="17"/>
    </w:p>
    <w:p>
      <w:pPr>
        <w:pStyle w:val="25"/>
        <w:numPr>
          <w:ilvl w:val="0"/>
          <w:numId w:val="0"/>
        </w:numPr>
        <w:ind w:leftChars="0"/>
        <w:rPr>
          <w:rFonts w:hint="eastAsia"/>
          <w:color w:val="auto"/>
          <w:highlight w:val="none"/>
        </w:rPr>
      </w:pPr>
    </w:p>
    <w:p>
      <w:pPr>
        <w:pStyle w:val="30"/>
        <w:spacing w:line="360" w:lineRule="auto"/>
        <w:jc w:val="center"/>
        <w:rPr>
          <w:rFonts w:hint="eastAsia"/>
          <w:b/>
          <w:bCs/>
          <w:color w:val="auto"/>
          <w:highlight w:val="none"/>
        </w:rPr>
      </w:pPr>
      <w:r>
        <w:rPr>
          <w:rFonts w:hint="eastAsia"/>
          <w:b/>
          <w:bCs/>
          <w:color w:val="auto"/>
          <w:highlight w:val="none"/>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w:t>
            </w:r>
            <w:r>
              <w:rPr>
                <w:rStyle w:val="31"/>
                <w:rFonts w:hint="eastAsia" w:ascii="宋体" w:hAnsi="宋体" w:cs="宋体"/>
                <w:color w:val="auto"/>
                <w:highlight w:val="none"/>
                <w:lang w:bidi="ar"/>
              </w:rPr>
              <w:t>“</w:t>
            </w:r>
            <w:r>
              <w:rPr>
                <w:rStyle w:val="32"/>
                <w:rFonts w:hint="default"/>
                <w:color w:val="auto"/>
                <w:highlight w:val="none"/>
                <w:lang w:bidi="ar"/>
              </w:rPr>
              <w:t>投标文件格式</w:t>
            </w:r>
            <w:r>
              <w:rPr>
                <w:rStyle w:val="31"/>
                <w:rFonts w:hint="eastAsia" w:ascii="宋体" w:hAnsi="宋体" w:cs="宋体"/>
                <w:color w:val="auto"/>
                <w:highlight w:val="none"/>
                <w:lang w:bidi="ar"/>
              </w:rPr>
              <w:t>”</w:t>
            </w:r>
            <w:r>
              <w:rPr>
                <w:rStyle w:val="32"/>
                <w:rFonts w:hint="default"/>
                <w:color w:val="auto"/>
                <w:highlight w:val="none"/>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2"/>
                <w:rFonts w:hint="default"/>
                <w:color w:val="auto"/>
                <w:highlight w:val="none"/>
                <w:lang w:bidi="ar"/>
              </w:rPr>
              <w:t>投标须知</w:t>
            </w:r>
            <w:r>
              <w:rPr>
                <w:rStyle w:val="31"/>
                <w:rFonts w:hint="eastAsia" w:ascii="宋体" w:hAnsi="宋体" w:cs="宋体"/>
                <w:color w:val="auto"/>
                <w:highlight w:val="none"/>
                <w:lang w:bidi="ar"/>
              </w:rPr>
              <w:t>”</w:t>
            </w:r>
            <w:r>
              <w:rPr>
                <w:rStyle w:val="32"/>
                <w:color w:val="auto"/>
                <w:highlight w:val="none"/>
                <w:lang w:bidi="ar"/>
              </w:rPr>
              <w:t>的</w:t>
            </w:r>
            <w:r>
              <w:rPr>
                <w:rStyle w:val="32"/>
                <w:rFonts w:hint="default"/>
                <w:color w:val="auto"/>
                <w:highlight w:val="none"/>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none"/>
              </w:rPr>
            </w:pPr>
            <w:r>
              <w:rPr>
                <w:rFonts w:hint="eastAsia" w:ascii="宋体" w:hAnsi="宋体" w:cs="宋体"/>
                <w:strike w:val="0"/>
                <w:dstrike w:val="0"/>
                <w:color w:val="auto"/>
                <w:kern w:val="0"/>
                <w:szCs w:val="21"/>
                <w:highlight w:val="none"/>
                <w:lang w:bidi="ar"/>
              </w:rPr>
              <w:t>符合第二章“</w:t>
            </w:r>
            <w:r>
              <w:rPr>
                <w:rStyle w:val="32"/>
                <w:rFonts w:hint="default"/>
                <w:strike w:val="0"/>
                <w:dstrike w:val="0"/>
                <w:color w:val="auto"/>
                <w:highlight w:val="none"/>
                <w:lang w:bidi="ar"/>
              </w:rPr>
              <w:t>投标须知</w:t>
            </w:r>
            <w:r>
              <w:rPr>
                <w:rStyle w:val="31"/>
                <w:rFonts w:hint="eastAsia" w:ascii="宋体" w:hAnsi="宋体" w:cs="宋体"/>
                <w:strike w:val="0"/>
                <w:dstrike w:val="0"/>
                <w:color w:val="auto"/>
                <w:highlight w:val="none"/>
                <w:lang w:bidi="ar"/>
              </w:rPr>
              <w:t>”</w:t>
            </w:r>
            <w:r>
              <w:rPr>
                <w:rStyle w:val="32"/>
                <w:strike w:val="0"/>
                <w:dstrike w:val="0"/>
                <w:color w:val="auto"/>
                <w:highlight w:val="none"/>
                <w:lang w:bidi="ar"/>
              </w:rPr>
              <w:t>的</w:t>
            </w:r>
            <w:r>
              <w:rPr>
                <w:rStyle w:val="31"/>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2"/>
                <w:rFonts w:hint="default"/>
                <w:color w:val="auto"/>
                <w:highlight w:val="none"/>
                <w:lang w:bidi="ar"/>
              </w:rPr>
              <w:t>投标须知</w:t>
            </w:r>
            <w:r>
              <w:rPr>
                <w:rStyle w:val="31"/>
                <w:rFonts w:hint="eastAsia" w:ascii="宋体" w:hAnsi="宋体" w:cs="宋体"/>
                <w:color w:val="auto"/>
                <w:highlight w:val="none"/>
                <w:lang w:bidi="ar"/>
              </w:rPr>
              <w:t>”的规</w:t>
            </w:r>
            <w:r>
              <w:rPr>
                <w:rStyle w:val="32"/>
                <w:rFonts w:hint="default"/>
                <w:color w:val="auto"/>
                <w:highlight w:val="none"/>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2"/>
                <w:rFonts w:hint="default"/>
                <w:color w:val="auto"/>
                <w:highlight w:val="none"/>
                <w:lang w:bidi="ar"/>
              </w:rPr>
              <w:t>投标须知</w:t>
            </w:r>
            <w:r>
              <w:rPr>
                <w:rStyle w:val="31"/>
                <w:rFonts w:hint="eastAsia" w:ascii="宋体" w:hAnsi="宋体" w:cs="宋体"/>
                <w:color w:val="auto"/>
                <w:highlight w:val="none"/>
                <w:lang w:bidi="ar"/>
              </w:rPr>
              <w:t>”</w:t>
            </w:r>
            <w:r>
              <w:rPr>
                <w:rStyle w:val="32"/>
                <w:color w:val="auto"/>
                <w:highlight w:val="none"/>
                <w:lang w:bidi="ar"/>
              </w:rPr>
              <w:t>的</w:t>
            </w:r>
            <w:r>
              <w:rPr>
                <w:rStyle w:val="32"/>
                <w:rFonts w:hint="default"/>
                <w:color w:val="auto"/>
                <w:highlight w:val="none"/>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2"/>
                <w:rFonts w:hint="default"/>
                <w:strike w:val="0"/>
                <w:dstrike w:val="0"/>
                <w:color w:val="auto"/>
                <w:highlight w:val="none"/>
                <w:lang w:bidi="ar"/>
              </w:rPr>
              <w:t>投标人资格要求</w:t>
            </w:r>
            <w:r>
              <w:rPr>
                <w:rStyle w:val="31"/>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2"/>
                <w:rFonts w:hint="default"/>
                <w:strike w:val="0"/>
                <w:dstrike w:val="0"/>
                <w:color w:val="auto"/>
                <w:highlight w:val="none"/>
                <w:lang w:bidi="ar"/>
              </w:rPr>
              <w:t>投标人资格要求</w:t>
            </w:r>
            <w:r>
              <w:rPr>
                <w:rStyle w:val="31"/>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2"/>
                <w:rFonts w:hint="default"/>
                <w:color w:val="auto"/>
                <w:highlight w:val="none"/>
                <w:lang w:bidi="ar"/>
              </w:rPr>
              <w:t>投标人资格要求</w:t>
            </w:r>
            <w:r>
              <w:rPr>
                <w:rStyle w:val="31"/>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2"/>
                <w:rFonts w:hint="default"/>
                <w:color w:val="auto"/>
                <w:highlight w:val="none"/>
                <w:lang w:bidi="ar"/>
              </w:rPr>
              <w:t>投标人资格要求</w:t>
            </w:r>
            <w:r>
              <w:rPr>
                <w:rStyle w:val="31"/>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7"/>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highlight w:val="none"/>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分值构成</w:t>
            </w:r>
          </w:p>
          <w:p>
            <w:pPr>
              <w:widowControl/>
              <w:snapToGrid w:val="0"/>
              <w:spacing w:line="460" w:lineRule="exact"/>
              <w:jc w:val="center"/>
              <w:textAlignment w:val="center"/>
              <w:rPr>
                <w:rFonts w:ascii="宋体" w:hAnsi="宋体" w:cs="宋体"/>
                <w:color w:val="auto"/>
                <w:szCs w:val="21"/>
                <w:highlight w:val="none"/>
              </w:rPr>
            </w:pPr>
            <w:r>
              <w:rPr>
                <w:rFonts w:hint="eastAsia" w:ascii="宋体" w:hAnsi="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1.技术标评分：40分；</w:t>
            </w:r>
          </w:p>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2.商务标评分：60分，其中：</w:t>
            </w:r>
          </w:p>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（1）商务部分：50分；</w:t>
            </w:r>
          </w:p>
          <w:p>
            <w:pPr>
              <w:widowControl/>
              <w:snapToGrid w:val="0"/>
              <w:spacing w:line="460" w:lineRule="exact"/>
              <w:jc w:val="left"/>
              <w:textAlignment w:val="center"/>
              <w:rPr>
                <w:rFonts w:ascii="宋体" w:hAnsi="宋体" w:cs="宋体"/>
                <w:color w:val="auto"/>
                <w:szCs w:val="21"/>
                <w:highlight w:val="none"/>
              </w:rPr>
            </w:pPr>
            <w:r>
              <w:rPr>
                <w:rFonts w:hint="eastAsia" w:ascii="宋体" w:hAnsi="宋体" w:cs="宋体"/>
                <w:color w:val="auto"/>
                <w:szCs w:val="21"/>
                <w:highlight w:val="none"/>
              </w:rPr>
              <w:t>（2）投标报价：10分。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技术标评分标准</w:t>
            </w:r>
          </w:p>
          <w:p>
            <w:pPr>
              <w:pStyle w:val="13"/>
              <w:ind w:left="0" w:firstLine="0"/>
              <w:rPr>
                <w:color w:val="auto"/>
                <w:highlight w:val="none"/>
              </w:rPr>
            </w:pPr>
            <w:r>
              <w:rPr>
                <w:rFonts w:hint="eastAsia" w:hAnsi="宋体"/>
                <w:color w:val="auto"/>
                <w:sz w:val="21"/>
                <w:szCs w:val="21"/>
                <w:highlight w:val="none"/>
              </w:rPr>
              <w:t>（40分）</w:t>
            </w:r>
          </w:p>
        </w:tc>
        <w:tc>
          <w:tcPr>
            <w:tcW w:w="1884" w:type="dxa"/>
            <w:vAlign w:val="center"/>
          </w:tcPr>
          <w:p>
            <w:pPr>
              <w:snapToGrid w:val="0"/>
              <w:spacing w:before="156" w:beforeLines="50" w:after="156" w:afterLines="50"/>
              <w:jc w:val="center"/>
              <w:rPr>
                <w:rFonts w:ascii="宋体" w:hAnsi="宋体" w:cs="宋体"/>
                <w:color w:val="auto"/>
                <w:szCs w:val="21"/>
                <w:highlight w:val="none"/>
              </w:rPr>
            </w:pPr>
            <w:r>
              <w:rPr>
                <w:rFonts w:hint="eastAsia" w:cs="宋体" w:asciiTheme="minorEastAsia" w:hAnsiTheme="minorEastAsia"/>
                <w:color w:val="auto"/>
                <w:szCs w:val="21"/>
                <w:highlight w:val="none"/>
              </w:rPr>
              <w:t>对工程的理解及重点难点分析 （1</w:t>
            </w:r>
            <w:r>
              <w:rPr>
                <w:rFonts w:cs="宋体" w:asciiTheme="minorEastAsia" w:hAnsiTheme="minorEastAsia"/>
                <w:color w:val="auto"/>
                <w:szCs w:val="21"/>
                <w:highlight w:val="none"/>
              </w:rPr>
              <w:t>0</w:t>
            </w:r>
            <w:r>
              <w:rPr>
                <w:rFonts w:hint="eastAsia" w:cs="宋体" w:asciiTheme="minorEastAsia" w:hAnsiTheme="minorEastAsia"/>
                <w:color w:val="auto"/>
                <w:szCs w:val="21"/>
                <w:highlight w:val="none"/>
              </w:rPr>
              <w:t>分）</w:t>
            </w:r>
          </w:p>
        </w:tc>
        <w:tc>
          <w:tcPr>
            <w:tcW w:w="6779" w:type="dxa"/>
            <w:vAlign w:val="center"/>
          </w:tcPr>
          <w:p>
            <w:pPr>
              <w:autoSpaceDE w:val="0"/>
              <w:autoSpaceDN w:val="0"/>
              <w:adjustRightInd w:val="0"/>
              <w:snapToGrid w:val="0"/>
              <w:spacing w:before="156" w:beforeLines="50" w:after="156" w:afterLines="50"/>
              <w:jc w:val="left"/>
              <w:rPr>
                <w:rFonts w:ascii="宋体" w:hAnsi="宋体" w:cs="宋体"/>
                <w:color w:val="auto"/>
                <w:szCs w:val="21"/>
                <w:highlight w:val="none"/>
              </w:rPr>
            </w:pPr>
            <w:r>
              <w:rPr>
                <w:rFonts w:hint="eastAsia" w:cs="宋体" w:asciiTheme="minorEastAsia" w:hAnsiTheme="minorEastAsia"/>
                <w:color w:val="auto"/>
                <w:szCs w:val="21"/>
                <w:highlight w:val="none"/>
              </w:rPr>
              <w:t>投标人</w:t>
            </w:r>
            <w:r>
              <w:rPr>
                <w:rFonts w:hint="eastAsia" w:cs="宋体" w:asciiTheme="minorEastAsia" w:hAnsiTheme="minorEastAsia"/>
                <w:color w:val="auto"/>
                <w:szCs w:val="21"/>
                <w:highlight w:val="none"/>
                <w:lang w:val="zh-CN"/>
              </w:rPr>
              <w:t>对工程</w:t>
            </w:r>
            <w:r>
              <w:rPr>
                <w:rFonts w:hint="eastAsia" w:cs="宋体" w:asciiTheme="minorEastAsia" w:hAnsiTheme="minorEastAsia"/>
                <w:color w:val="auto"/>
                <w:szCs w:val="21"/>
                <w:highlight w:val="none"/>
              </w:rPr>
              <w:t>的理解程度、对工程勘察设计作出的</w:t>
            </w:r>
            <w:r>
              <w:rPr>
                <w:rFonts w:hint="eastAsia" w:cs="宋体" w:asciiTheme="minorEastAsia" w:hAnsiTheme="minorEastAsia"/>
                <w:color w:val="auto"/>
                <w:szCs w:val="21"/>
                <w:highlight w:val="none"/>
                <w:lang w:val="zh-CN"/>
              </w:rPr>
              <w:t>的重难点及应对措施的有效性、针对性评分；优得</w:t>
            </w:r>
            <w:r>
              <w:rPr>
                <w:rFonts w:hint="eastAsia" w:cs="宋体" w:asciiTheme="minorEastAsia" w:hAnsiTheme="minorEastAsia"/>
                <w:color w:val="auto"/>
                <w:szCs w:val="21"/>
                <w:highlight w:val="none"/>
              </w:rPr>
              <w:t>10</w:t>
            </w:r>
            <w:r>
              <w:rPr>
                <w:rFonts w:hint="eastAsia" w:cs="宋体" w:asciiTheme="minorEastAsia" w:hAnsiTheme="minorEastAsia"/>
                <w:color w:val="auto"/>
                <w:szCs w:val="21"/>
                <w:highlight w:val="none"/>
                <w:lang w:val="zh-CN"/>
              </w:rPr>
              <w:t>分；良得</w:t>
            </w:r>
            <w:r>
              <w:rPr>
                <w:rFonts w:hint="eastAsia" w:cs="宋体" w:asciiTheme="minorEastAsia" w:hAnsiTheme="minorEastAsia"/>
                <w:color w:val="auto"/>
                <w:szCs w:val="21"/>
                <w:highlight w:val="none"/>
              </w:rPr>
              <w:t>8</w:t>
            </w:r>
            <w:r>
              <w:rPr>
                <w:rFonts w:hint="eastAsia" w:cs="宋体" w:asciiTheme="minorEastAsia" w:hAnsiTheme="minorEastAsia"/>
                <w:color w:val="auto"/>
                <w:szCs w:val="21"/>
                <w:highlight w:val="none"/>
                <w:lang w:val="zh-CN"/>
              </w:rPr>
              <w:t>分；一般得</w:t>
            </w:r>
            <w:r>
              <w:rPr>
                <w:rFonts w:hint="eastAsia" w:cs="宋体" w:asciiTheme="minorEastAsia" w:hAnsiTheme="minorEastAsia"/>
                <w:color w:val="auto"/>
                <w:szCs w:val="21"/>
                <w:highlight w:val="none"/>
                <w:lang w:val="en-US" w:eastAsia="zh-CN"/>
              </w:rPr>
              <w:t>6</w:t>
            </w:r>
            <w:r>
              <w:rPr>
                <w:rFonts w:hint="eastAsia" w:cs="宋体" w:asciiTheme="minorEastAsia" w:hAnsiTheme="minorEastAsia"/>
                <w:color w:val="auto"/>
                <w:szCs w:val="21"/>
                <w:highlight w:val="none"/>
                <w:lang w:val="zh-CN"/>
              </w:rPr>
              <w:t>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napToGrid w:val="0"/>
              <w:spacing w:before="156" w:beforeLines="50" w:after="156" w:afterLines="5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勘察、设计方案</w:t>
            </w:r>
          </w:p>
          <w:p>
            <w:pPr>
              <w:snapToGrid w:val="0"/>
              <w:spacing w:before="156" w:beforeLines="50" w:after="156" w:afterLines="50"/>
              <w:jc w:val="center"/>
              <w:rPr>
                <w:rFonts w:ascii="宋体" w:hAnsi="宋体" w:cs="宋体"/>
                <w:color w:val="auto"/>
                <w:szCs w:val="21"/>
                <w:highlight w:val="none"/>
              </w:rPr>
            </w:pPr>
            <w:r>
              <w:rPr>
                <w:rFonts w:hint="eastAsia" w:cs="宋体" w:asciiTheme="minorEastAsia" w:hAnsiTheme="minorEastAsia"/>
                <w:color w:val="auto"/>
                <w:szCs w:val="21"/>
                <w:highlight w:val="none"/>
              </w:rPr>
              <w:t>（1</w:t>
            </w:r>
            <w:r>
              <w:rPr>
                <w:rFonts w:cs="宋体" w:asciiTheme="minorEastAsia" w:hAnsiTheme="minorEastAsia"/>
                <w:color w:val="auto"/>
                <w:szCs w:val="21"/>
                <w:highlight w:val="none"/>
              </w:rPr>
              <w:t>5</w:t>
            </w:r>
            <w:r>
              <w:rPr>
                <w:rFonts w:hint="eastAsia" w:cs="宋体" w:asciiTheme="minorEastAsia" w:hAnsiTheme="minorEastAsia"/>
                <w:color w:val="auto"/>
                <w:szCs w:val="21"/>
                <w:highlight w:val="none"/>
              </w:rPr>
              <w:t>分）</w:t>
            </w:r>
          </w:p>
        </w:tc>
        <w:tc>
          <w:tcPr>
            <w:tcW w:w="6779" w:type="dxa"/>
            <w:vAlign w:val="center"/>
          </w:tcPr>
          <w:p>
            <w:pPr>
              <w:autoSpaceDE w:val="0"/>
              <w:autoSpaceDN w:val="0"/>
              <w:adjustRightInd w:val="0"/>
              <w:snapToGrid w:val="0"/>
              <w:spacing w:before="156" w:beforeLines="50" w:after="156" w:afterLines="50"/>
              <w:jc w:val="left"/>
              <w:rPr>
                <w:rFonts w:ascii="宋体" w:hAnsi="宋体" w:cs="宋体"/>
                <w:color w:val="auto"/>
                <w:szCs w:val="21"/>
                <w:highlight w:val="none"/>
              </w:rPr>
            </w:pPr>
            <w:r>
              <w:rPr>
                <w:rFonts w:hint="eastAsia" w:cs="宋体" w:asciiTheme="minorEastAsia" w:hAnsiTheme="minorEastAsia"/>
                <w:color w:val="auto"/>
                <w:szCs w:val="21"/>
                <w:highlight w:val="none"/>
                <w:lang w:val="zh-CN"/>
              </w:rPr>
              <w:t>对方案的合理性、科学性评分；优得</w:t>
            </w:r>
            <w:r>
              <w:rPr>
                <w:rFonts w:hint="eastAsia" w:cs="宋体" w:asciiTheme="minorEastAsia" w:hAnsiTheme="minorEastAsia"/>
                <w:color w:val="auto"/>
                <w:szCs w:val="21"/>
                <w:highlight w:val="none"/>
              </w:rPr>
              <w:t>15</w:t>
            </w:r>
            <w:r>
              <w:rPr>
                <w:rFonts w:hint="eastAsia" w:cs="宋体" w:asciiTheme="minorEastAsia" w:hAnsiTheme="minorEastAsia"/>
                <w:color w:val="auto"/>
                <w:szCs w:val="21"/>
                <w:highlight w:val="none"/>
                <w:lang w:val="zh-CN"/>
              </w:rPr>
              <w:t>分；良得</w:t>
            </w:r>
            <w:r>
              <w:rPr>
                <w:rFonts w:hint="eastAsia" w:cs="宋体" w:asciiTheme="minorEastAsia" w:hAnsiTheme="minorEastAsia"/>
                <w:color w:val="auto"/>
                <w:szCs w:val="21"/>
                <w:highlight w:val="none"/>
              </w:rPr>
              <w:t>12</w:t>
            </w:r>
            <w:r>
              <w:rPr>
                <w:rFonts w:hint="eastAsia" w:cs="宋体" w:asciiTheme="minorEastAsia" w:hAnsiTheme="minorEastAsia"/>
                <w:color w:val="auto"/>
                <w:szCs w:val="21"/>
                <w:highlight w:val="none"/>
                <w:lang w:val="zh-CN"/>
              </w:rPr>
              <w:t>分；一般得</w:t>
            </w:r>
            <w:r>
              <w:rPr>
                <w:rFonts w:hint="eastAsia" w:cs="宋体" w:asciiTheme="minorEastAsia" w:hAnsiTheme="minorEastAsia"/>
                <w:color w:val="auto"/>
                <w:szCs w:val="21"/>
                <w:highlight w:val="none"/>
                <w:lang w:val="en-US" w:eastAsia="zh-CN"/>
              </w:rPr>
              <w:t>9</w:t>
            </w:r>
            <w:r>
              <w:rPr>
                <w:rFonts w:hint="eastAsia" w:cs="宋体" w:asciiTheme="minorEastAsia" w:hAnsiTheme="minorEastAsia"/>
                <w:color w:val="auto"/>
                <w:szCs w:val="21"/>
                <w:highlight w:val="none"/>
                <w:lang w:val="zh-CN"/>
              </w:rPr>
              <w:t>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napToGrid w:val="0"/>
              <w:spacing w:before="156" w:beforeLines="50" w:after="156" w:afterLines="50"/>
              <w:jc w:val="center"/>
              <w:rPr>
                <w:rFonts w:ascii="宋体" w:hAnsi="宋体" w:cs="宋体"/>
                <w:color w:val="auto"/>
                <w:szCs w:val="21"/>
                <w:highlight w:val="none"/>
              </w:rPr>
            </w:pPr>
            <w:r>
              <w:rPr>
                <w:rFonts w:hint="eastAsia" w:cs="宋体" w:asciiTheme="minorEastAsia" w:hAnsiTheme="minorEastAsia"/>
                <w:color w:val="auto"/>
                <w:szCs w:val="21"/>
                <w:highlight w:val="none"/>
              </w:rPr>
              <w:t>进度计划及其保证措施（</w:t>
            </w:r>
            <w:r>
              <w:rPr>
                <w:rFonts w:cs="宋体" w:asciiTheme="minorEastAsia" w:hAnsiTheme="minorEastAsia"/>
                <w:color w:val="auto"/>
                <w:szCs w:val="21"/>
                <w:highlight w:val="none"/>
              </w:rPr>
              <w:t>5</w:t>
            </w:r>
            <w:r>
              <w:rPr>
                <w:rFonts w:hint="eastAsia" w:cs="宋体" w:asciiTheme="minorEastAsia" w:hAnsiTheme="minorEastAsia"/>
                <w:color w:val="auto"/>
                <w:szCs w:val="21"/>
                <w:highlight w:val="none"/>
              </w:rPr>
              <w:t>分）</w:t>
            </w:r>
          </w:p>
        </w:tc>
        <w:tc>
          <w:tcPr>
            <w:tcW w:w="6779" w:type="dxa"/>
            <w:vAlign w:val="center"/>
          </w:tcPr>
          <w:p>
            <w:pPr>
              <w:autoSpaceDE w:val="0"/>
              <w:autoSpaceDN w:val="0"/>
              <w:adjustRightInd w:val="0"/>
              <w:snapToGrid w:val="0"/>
              <w:spacing w:before="156" w:beforeLines="50" w:after="156" w:afterLines="50"/>
              <w:jc w:val="left"/>
              <w:rPr>
                <w:rFonts w:ascii="宋体" w:hAnsi="宋体" w:cs="宋体"/>
                <w:color w:val="auto"/>
                <w:szCs w:val="21"/>
                <w:highlight w:val="none"/>
              </w:rPr>
            </w:pPr>
            <w:r>
              <w:rPr>
                <w:rFonts w:hint="eastAsia" w:cs="宋体" w:asciiTheme="minorEastAsia" w:hAnsiTheme="minorEastAsia"/>
                <w:color w:val="auto"/>
                <w:szCs w:val="21"/>
                <w:highlight w:val="none"/>
                <w:lang w:val="zh-CN"/>
              </w:rPr>
              <w:t>对方案的合理性、科学性评分；优得</w:t>
            </w:r>
            <w:r>
              <w:rPr>
                <w:rFonts w:hint="eastAsia" w:cs="宋体" w:asciiTheme="minorEastAsia" w:hAnsiTheme="minorEastAsia"/>
                <w:color w:val="auto"/>
                <w:szCs w:val="21"/>
                <w:highlight w:val="none"/>
              </w:rPr>
              <w:t>5</w:t>
            </w:r>
            <w:r>
              <w:rPr>
                <w:rFonts w:hint="eastAsia" w:cs="宋体" w:asciiTheme="minorEastAsia" w:hAnsiTheme="minorEastAsia"/>
                <w:color w:val="auto"/>
                <w:szCs w:val="21"/>
                <w:highlight w:val="none"/>
                <w:lang w:val="zh-CN"/>
              </w:rPr>
              <w:t>分；良得</w:t>
            </w: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lang w:val="zh-CN"/>
              </w:rPr>
              <w:t>分；一般得</w:t>
            </w: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lang w:val="zh-CN"/>
              </w:rPr>
              <w:t>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napToGrid w:val="0"/>
              <w:spacing w:before="156" w:beforeLines="50" w:after="156" w:afterLines="50"/>
              <w:jc w:val="center"/>
              <w:rPr>
                <w:rFonts w:ascii="宋体" w:hAnsi="宋体" w:cs="宋体"/>
                <w:color w:val="auto"/>
                <w:szCs w:val="21"/>
                <w:highlight w:val="none"/>
              </w:rPr>
            </w:pPr>
            <w:r>
              <w:rPr>
                <w:rFonts w:hint="eastAsia" w:cs="宋体" w:asciiTheme="minorEastAsia" w:hAnsiTheme="minorEastAsia"/>
                <w:color w:val="auto"/>
                <w:szCs w:val="21"/>
                <w:highlight w:val="none"/>
              </w:rPr>
              <w:t>质量控制措施   （</w:t>
            </w:r>
            <w:r>
              <w:rPr>
                <w:rFonts w:cs="宋体" w:asciiTheme="minorEastAsia" w:hAnsiTheme="minorEastAsia"/>
                <w:color w:val="auto"/>
                <w:szCs w:val="21"/>
                <w:highlight w:val="none"/>
              </w:rPr>
              <w:t>5</w:t>
            </w:r>
            <w:r>
              <w:rPr>
                <w:rFonts w:hint="eastAsia" w:cs="宋体" w:asciiTheme="minorEastAsia" w:hAnsiTheme="minorEastAsia"/>
                <w:color w:val="auto"/>
                <w:szCs w:val="21"/>
                <w:highlight w:val="none"/>
              </w:rPr>
              <w:t>分）</w:t>
            </w:r>
          </w:p>
        </w:tc>
        <w:tc>
          <w:tcPr>
            <w:tcW w:w="6779" w:type="dxa"/>
            <w:vAlign w:val="center"/>
          </w:tcPr>
          <w:p>
            <w:pPr>
              <w:autoSpaceDE w:val="0"/>
              <w:autoSpaceDN w:val="0"/>
              <w:adjustRightInd w:val="0"/>
              <w:snapToGrid w:val="0"/>
              <w:spacing w:before="156" w:beforeLines="50" w:after="156" w:afterLines="50"/>
              <w:jc w:val="left"/>
              <w:rPr>
                <w:rFonts w:ascii="宋体" w:hAnsi="宋体" w:cs="宋体"/>
                <w:color w:val="auto"/>
                <w:szCs w:val="21"/>
                <w:highlight w:val="none"/>
              </w:rPr>
            </w:pPr>
            <w:r>
              <w:rPr>
                <w:rFonts w:hint="eastAsia" w:cs="宋体" w:asciiTheme="minorEastAsia" w:hAnsiTheme="minorEastAsia"/>
                <w:color w:val="auto"/>
                <w:szCs w:val="21"/>
                <w:highlight w:val="none"/>
                <w:lang w:val="zh-CN"/>
              </w:rPr>
              <w:t>对方案的合理性、科学性评分；优得</w:t>
            </w:r>
            <w:r>
              <w:rPr>
                <w:rFonts w:hint="eastAsia" w:cs="宋体" w:asciiTheme="minorEastAsia" w:hAnsiTheme="minorEastAsia"/>
                <w:color w:val="auto"/>
                <w:szCs w:val="21"/>
                <w:highlight w:val="none"/>
              </w:rPr>
              <w:t>5</w:t>
            </w:r>
            <w:r>
              <w:rPr>
                <w:rFonts w:hint="eastAsia" w:cs="宋体" w:asciiTheme="minorEastAsia" w:hAnsiTheme="minorEastAsia"/>
                <w:color w:val="auto"/>
                <w:szCs w:val="21"/>
                <w:highlight w:val="none"/>
                <w:lang w:val="zh-CN"/>
              </w:rPr>
              <w:t>分；良得</w:t>
            </w: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lang w:val="zh-CN"/>
              </w:rPr>
              <w:t>分；一般得</w:t>
            </w: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lang w:val="zh-CN"/>
              </w:rPr>
              <w:t>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napToGrid w:val="0"/>
              <w:spacing w:before="156" w:beforeLines="50" w:after="156" w:afterLines="50"/>
              <w:jc w:val="center"/>
              <w:rPr>
                <w:rFonts w:ascii="宋体" w:hAnsi="宋体" w:cs="宋体"/>
                <w:color w:val="auto"/>
                <w:szCs w:val="21"/>
                <w:highlight w:val="none"/>
              </w:rPr>
            </w:pPr>
            <w:r>
              <w:rPr>
                <w:rFonts w:hint="eastAsia" w:cs="宋体" w:asciiTheme="minorEastAsia" w:hAnsiTheme="minorEastAsia"/>
                <w:color w:val="auto"/>
                <w:szCs w:val="21"/>
                <w:highlight w:val="none"/>
              </w:rPr>
              <w:t>造价控制措施   （</w:t>
            </w:r>
            <w:r>
              <w:rPr>
                <w:rFonts w:cs="宋体" w:asciiTheme="minorEastAsia" w:hAnsiTheme="minorEastAsia"/>
                <w:color w:val="auto"/>
                <w:szCs w:val="21"/>
                <w:highlight w:val="none"/>
              </w:rPr>
              <w:t>5</w:t>
            </w:r>
            <w:r>
              <w:rPr>
                <w:rFonts w:hint="eastAsia" w:cs="宋体" w:asciiTheme="minorEastAsia" w:hAnsiTheme="minorEastAsia"/>
                <w:color w:val="auto"/>
                <w:szCs w:val="21"/>
                <w:highlight w:val="none"/>
              </w:rPr>
              <w:t>分）</w:t>
            </w:r>
          </w:p>
        </w:tc>
        <w:tc>
          <w:tcPr>
            <w:tcW w:w="6779" w:type="dxa"/>
            <w:vAlign w:val="center"/>
          </w:tcPr>
          <w:p>
            <w:pPr>
              <w:autoSpaceDE w:val="0"/>
              <w:autoSpaceDN w:val="0"/>
              <w:adjustRightInd w:val="0"/>
              <w:snapToGrid w:val="0"/>
              <w:spacing w:before="156" w:beforeLines="50" w:after="156" w:afterLines="50"/>
              <w:jc w:val="left"/>
              <w:rPr>
                <w:rFonts w:ascii="宋体" w:hAnsi="宋体" w:cs="宋体"/>
                <w:color w:val="auto"/>
                <w:szCs w:val="21"/>
                <w:highlight w:val="none"/>
              </w:rPr>
            </w:pPr>
            <w:r>
              <w:rPr>
                <w:rFonts w:hint="eastAsia" w:cs="宋体" w:asciiTheme="minorEastAsia" w:hAnsiTheme="minorEastAsia"/>
                <w:color w:val="auto"/>
                <w:szCs w:val="21"/>
                <w:highlight w:val="none"/>
                <w:lang w:val="zh-CN"/>
              </w:rPr>
              <w:t>对方案的合理性、科学性评分；优得</w:t>
            </w:r>
            <w:r>
              <w:rPr>
                <w:rFonts w:hint="eastAsia" w:cs="宋体" w:asciiTheme="minorEastAsia" w:hAnsiTheme="minorEastAsia"/>
                <w:color w:val="auto"/>
                <w:szCs w:val="21"/>
                <w:highlight w:val="none"/>
              </w:rPr>
              <w:t>5</w:t>
            </w:r>
            <w:r>
              <w:rPr>
                <w:rFonts w:hint="eastAsia" w:cs="宋体" w:asciiTheme="minorEastAsia" w:hAnsiTheme="minorEastAsia"/>
                <w:color w:val="auto"/>
                <w:szCs w:val="21"/>
                <w:highlight w:val="none"/>
                <w:lang w:val="zh-CN"/>
              </w:rPr>
              <w:t>分；良得</w:t>
            </w: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lang w:val="zh-CN"/>
              </w:rPr>
              <w:t>分；一般得</w:t>
            </w: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lang w:val="zh-CN"/>
              </w:rPr>
              <w:t>分；差或无不得分。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商务部分评分标准</w:t>
            </w:r>
          </w:p>
          <w:p>
            <w:pPr>
              <w:spacing w:line="336" w:lineRule="auto"/>
              <w:jc w:val="center"/>
              <w:rPr>
                <w:color w:val="auto"/>
                <w:highlight w:val="none"/>
              </w:rPr>
            </w:pPr>
            <w:r>
              <w:rPr>
                <w:rFonts w:hint="eastAsia" w:ascii="宋体" w:hAnsi="宋体" w:cs="宋体"/>
                <w:color w:val="auto"/>
                <w:szCs w:val="21"/>
                <w:highlight w:val="none"/>
              </w:rPr>
              <w:t>（50分）</w:t>
            </w:r>
          </w:p>
          <w:p>
            <w:pPr>
              <w:spacing w:line="336" w:lineRule="auto"/>
              <w:jc w:val="center"/>
              <w:rPr>
                <w:rFonts w:ascii="宋体" w:hAnsi="宋体"/>
                <w:color w:val="auto"/>
                <w:szCs w:val="21"/>
                <w:highlight w:val="none"/>
              </w:rPr>
            </w:pPr>
          </w:p>
        </w:tc>
        <w:tc>
          <w:tcPr>
            <w:tcW w:w="1884" w:type="dxa"/>
            <w:vAlign w:val="center"/>
          </w:tcPr>
          <w:p>
            <w:pPr>
              <w:widowControl/>
              <w:snapToGrid w:val="0"/>
              <w:spacing w:before="156" w:beforeLines="50" w:after="156" w:afterLines="50"/>
              <w:ind w:right="46" w:rightChars="22"/>
              <w:jc w:val="center"/>
              <w:rPr>
                <w:rFonts w:cs="宋体" w:asciiTheme="minorEastAsia" w:hAnsiTheme="minorEastAsia"/>
                <w:color w:val="auto"/>
                <w:kern w:val="0"/>
                <w:szCs w:val="21"/>
                <w:highlight w:val="none"/>
                <w:lang w:bidi="ar"/>
              </w:rPr>
            </w:pPr>
            <w:r>
              <w:rPr>
                <w:rFonts w:hint="eastAsia" w:cs="宋体" w:asciiTheme="minorEastAsia" w:hAnsiTheme="minorEastAsia"/>
                <w:color w:val="auto"/>
                <w:kern w:val="0"/>
                <w:szCs w:val="21"/>
                <w:highlight w:val="none"/>
                <w:lang w:bidi="ar"/>
              </w:rPr>
              <w:t xml:space="preserve">企业业绩    </w:t>
            </w:r>
          </w:p>
          <w:p>
            <w:pPr>
              <w:widowControl/>
              <w:snapToGrid w:val="0"/>
              <w:spacing w:before="156" w:beforeLines="50" w:after="156" w:afterLines="50"/>
              <w:ind w:right="46" w:rightChars="22"/>
              <w:jc w:val="center"/>
              <w:rPr>
                <w:rFonts w:ascii="宋体" w:hAnsi="宋体" w:cs="宋体"/>
                <w:color w:val="auto"/>
                <w:kern w:val="0"/>
                <w:szCs w:val="21"/>
                <w:highlight w:val="none"/>
                <w:lang w:bidi="ar"/>
              </w:rPr>
            </w:pPr>
            <w:r>
              <w:rPr>
                <w:rFonts w:hint="eastAsia" w:cs="宋体" w:asciiTheme="minorEastAsia" w:hAnsiTheme="minorEastAsia"/>
                <w:color w:val="auto"/>
                <w:kern w:val="0"/>
                <w:szCs w:val="21"/>
                <w:highlight w:val="none"/>
                <w:lang w:bidi="ar"/>
              </w:rPr>
              <w:t>（</w:t>
            </w:r>
            <w:r>
              <w:rPr>
                <w:rFonts w:cs="宋体" w:asciiTheme="minorEastAsia" w:hAnsiTheme="minorEastAsia"/>
                <w:color w:val="auto"/>
                <w:kern w:val="0"/>
                <w:szCs w:val="21"/>
                <w:highlight w:val="none"/>
                <w:lang w:bidi="ar"/>
              </w:rPr>
              <w:t>6</w:t>
            </w:r>
            <w:r>
              <w:rPr>
                <w:rFonts w:hint="eastAsia" w:cs="宋体" w:asciiTheme="minorEastAsia" w:hAnsiTheme="minorEastAsia"/>
                <w:color w:val="auto"/>
                <w:kern w:val="0"/>
                <w:szCs w:val="21"/>
                <w:highlight w:val="none"/>
                <w:lang w:bidi="ar"/>
              </w:rPr>
              <w:t>分）</w:t>
            </w:r>
          </w:p>
        </w:tc>
        <w:tc>
          <w:tcPr>
            <w:tcW w:w="6779" w:type="dxa"/>
            <w:vAlign w:val="center"/>
          </w:tcPr>
          <w:p>
            <w:pPr>
              <w:widowControl/>
              <w:snapToGrid w:val="0"/>
              <w:spacing w:before="156" w:beforeLines="50" w:after="156" w:afterLines="50"/>
              <w:jc w:val="left"/>
              <w:textAlignment w:val="center"/>
              <w:rPr>
                <w:rFonts w:hint="eastAsia" w:cs="宋体" w:asciiTheme="minorEastAsia" w:hAnsiTheme="minorEastAsia"/>
                <w:color w:val="auto"/>
                <w:kern w:val="0"/>
                <w:szCs w:val="21"/>
                <w:highlight w:val="none"/>
                <w:lang w:val="zh-CN" w:bidi="ar"/>
              </w:rPr>
            </w:pPr>
            <w:r>
              <w:rPr>
                <w:rFonts w:hint="eastAsia" w:cs="宋体" w:asciiTheme="minorEastAsia" w:hAnsiTheme="minorEastAsia"/>
                <w:color w:val="auto"/>
                <w:kern w:val="0"/>
                <w:szCs w:val="21"/>
                <w:highlight w:val="none"/>
                <w:lang w:val="zh-CN" w:bidi="ar"/>
              </w:rPr>
              <w:t>投标人</w:t>
            </w:r>
            <w:r>
              <w:rPr>
                <w:rFonts w:hint="eastAsia" w:cs="宋体" w:asciiTheme="minorEastAsia" w:hAnsiTheme="minorEastAsia"/>
                <w:color w:val="auto"/>
                <w:kern w:val="0"/>
                <w:szCs w:val="21"/>
                <w:highlight w:val="none"/>
                <w:lang w:bidi="ar"/>
              </w:rPr>
              <w:t>（或联合体牵头人）2019年</w:t>
            </w:r>
            <w:r>
              <w:rPr>
                <w:rFonts w:hint="eastAsia" w:cs="宋体" w:asciiTheme="minorEastAsia" w:hAnsiTheme="minorEastAsia"/>
                <w:color w:val="auto"/>
                <w:kern w:val="0"/>
                <w:szCs w:val="21"/>
                <w:highlight w:val="none"/>
                <w:lang w:val="zh-CN" w:bidi="ar"/>
              </w:rPr>
              <w:t>1月1日至今，参与过</w:t>
            </w:r>
            <w:r>
              <w:rPr>
                <w:rFonts w:hint="eastAsia" w:cs="宋体" w:asciiTheme="minorEastAsia" w:hAnsiTheme="minorEastAsia"/>
                <w:color w:val="auto"/>
                <w:kern w:val="0"/>
                <w:szCs w:val="21"/>
                <w:highlight w:val="none"/>
                <w:lang w:bidi="ar"/>
              </w:rPr>
              <w:t>水利类中型</w:t>
            </w:r>
            <w:r>
              <w:rPr>
                <w:rFonts w:hint="eastAsia" w:cs="宋体" w:asciiTheme="minorEastAsia" w:hAnsiTheme="minorEastAsia"/>
                <w:color w:val="auto"/>
                <w:kern w:val="0"/>
                <w:szCs w:val="21"/>
                <w:highlight w:val="none"/>
                <w:lang w:val="zh-CN" w:bidi="ar"/>
              </w:rPr>
              <w:t>灌区</w:t>
            </w:r>
            <w:r>
              <w:rPr>
                <w:rFonts w:hint="eastAsia" w:cs="宋体" w:asciiTheme="minorEastAsia" w:hAnsiTheme="minorEastAsia"/>
                <w:color w:val="auto"/>
                <w:kern w:val="0"/>
                <w:szCs w:val="21"/>
                <w:highlight w:val="none"/>
                <w:lang w:bidi="ar"/>
              </w:rPr>
              <w:t>勘察、设计</w:t>
            </w:r>
            <w:r>
              <w:rPr>
                <w:rFonts w:hint="eastAsia" w:cs="宋体" w:asciiTheme="minorEastAsia" w:hAnsiTheme="minorEastAsia"/>
                <w:color w:val="auto"/>
                <w:kern w:val="0"/>
                <w:szCs w:val="21"/>
                <w:highlight w:val="none"/>
                <w:lang w:val="zh-CN" w:bidi="ar"/>
              </w:rPr>
              <w:t>项目</w:t>
            </w:r>
            <w:r>
              <w:rPr>
                <w:rFonts w:hint="eastAsia" w:cs="宋体" w:asciiTheme="minorEastAsia" w:hAnsiTheme="minorEastAsia"/>
                <w:color w:val="auto"/>
                <w:kern w:val="0"/>
                <w:szCs w:val="21"/>
                <w:highlight w:val="none"/>
                <w:lang w:bidi="ar"/>
              </w:rPr>
              <w:t>，</w:t>
            </w:r>
            <w:r>
              <w:rPr>
                <w:rFonts w:hint="eastAsia" w:cs="宋体" w:asciiTheme="minorEastAsia" w:hAnsiTheme="minorEastAsia"/>
                <w:color w:val="auto"/>
                <w:kern w:val="0"/>
                <w:szCs w:val="21"/>
                <w:highlight w:val="none"/>
                <w:lang w:val="zh-CN" w:bidi="ar"/>
              </w:rPr>
              <w:t>每提供一项得</w:t>
            </w:r>
            <w:r>
              <w:rPr>
                <w:rFonts w:hint="eastAsia" w:cs="宋体" w:asciiTheme="minorEastAsia" w:hAnsiTheme="minorEastAsia"/>
                <w:color w:val="auto"/>
                <w:kern w:val="0"/>
                <w:szCs w:val="21"/>
                <w:highlight w:val="none"/>
                <w:lang w:val="en-US" w:eastAsia="zh-CN" w:bidi="ar"/>
              </w:rPr>
              <w:t>3</w:t>
            </w:r>
            <w:r>
              <w:rPr>
                <w:rFonts w:hint="eastAsia" w:cs="宋体" w:asciiTheme="minorEastAsia" w:hAnsiTheme="minorEastAsia"/>
                <w:color w:val="auto"/>
                <w:kern w:val="0"/>
                <w:szCs w:val="21"/>
                <w:highlight w:val="none"/>
                <w:lang w:val="zh-CN" w:bidi="ar"/>
              </w:rPr>
              <w:t>分；本小项最高得</w:t>
            </w:r>
            <w:r>
              <w:rPr>
                <w:rFonts w:hint="eastAsia" w:cs="宋体" w:asciiTheme="minorEastAsia" w:hAnsiTheme="minorEastAsia"/>
                <w:color w:val="auto"/>
                <w:kern w:val="0"/>
                <w:szCs w:val="21"/>
                <w:highlight w:val="none"/>
                <w:lang w:val="en-US" w:eastAsia="zh-CN" w:bidi="ar"/>
              </w:rPr>
              <w:t>6</w:t>
            </w:r>
            <w:r>
              <w:rPr>
                <w:rFonts w:hint="eastAsia" w:cs="宋体" w:asciiTheme="minorEastAsia" w:hAnsiTheme="minorEastAsia"/>
                <w:color w:val="auto"/>
                <w:kern w:val="0"/>
                <w:szCs w:val="21"/>
                <w:highlight w:val="none"/>
                <w:lang w:val="zh-CN" w:bidi="ar"/>
              </w:rPr>
              <w:t>分。</w:t>
            </w:r>
          </w:p>
          <w:p>
            <w:pPr>
              <w:widowControl/>
              <w:snapToGrid w:val="0"/>
              <w:spacing w:before="156" w:beforeLines="50" w:after="156" w:afterLines="50"/>
              <w:jc w:val="left"/>
              <w:textAlignment w:val="center"/>
              <w:rPr>
                <w:rFonts w:ascii="宋体" w:hAnsi="宋体" w:cs="宋体"/>
                <w:color w:val="auto"/>
                <w:kern w:val="0"/>
                <w:szCs w:val="21"/>
                <w:highlight w:val="none"/>
                <w:lang w:bidi="ar"/>
              </w:rPr>
            </w:pPr>
            <w:r>
              <w:rPr>
                <w:rFonts w:hint="eastAsia" w:cs="宋体" w:asciiTheme="minorEastAsia" w:hAnsiTheme="minorEastAsia"/>
                <w:color w:val="auto"/>
                <w:kern w:val="0"/>
                <w:szCs w:val="21"/>
                <w:highlight w:val="none"/>
                <w:lang w:bidi="ar"/>
              </w:rPr>
              <w:t>注：以上业绩</w:t>
            </w:r>
            <w:r>
              <w:rPr>
                <w:rFonts w:hint="eastAsia" w:cs="宋体" w:asciiTheme="minorEastAsia" w:hAnsiTheme="minorEastAsia"/>
                <w:color w:val="auto"/>
                <w:kern w:val="0"/>
                <w:szCs w:val="21"/>
                <w:highlight w:val="none"/>
                <w:lang w:val="en-US" w:eastAsia="zh-CN" w:bidi="ar"/>
              </w:rPr>
              <w:t>须</w:t>
            </w:r>
            <w:r>
              <w:rPr>
                <w:rFonts w:hint="eastAsia" w:cs="宋体" w:asciiTheme="minorEastAsia" w:hAnsiTheme="minorEastAsia"/>
                <w:color w:val="auto"/>
                <w:kern w:val="0"/>
                <w:szCs w:val="21"/>
                <w:highlight w:val="none"/>
                <w:lang w:bidi="ar"/>
              </w:rPr>
              <w:t>提供中标通知书或合同等材料扫描件</w:t>
            </w:r>
            <w:r>
              <w:rPr>
                <w:rFonts w:hint="eastAsia" w:cs="宋体" w:asciiTheme="minorEastAsia" w:hAnsiTheme="minorEastAsia"/>
                <w:color w:val="auto"/>
                <w:kern w:val="0"/>
                <w:szCs w:val="21"/>
                <w:highlight w:val="none"/>
                <w:lang w:eastAsia="zh-CN" w:bidi="ar"/>
              </w:rPr>
              <w:t>，</w:t>
            </w:r>
            <w:r>
              <w:rPr>
                <w:rFonts w:hint="eastAsia" w:cs="宋体" w:asciiTheme="minorEastAsia" w:hAnsiTheme="minorEastAsia"/>
                <w:color w:val="auto"/>
                <w:kern w:val="0"/>
                <w:szCs w:val="21"/>
                <w:highlight w:val="none"/>
                <w:lang w:bidi="ar"/>
              </w:rPr>
              <w:t>时间以合同签订时间为准</w:t>
            </w:r>
            <w:r>
              <w:rPr>
                <w:rFonts w:hint="eastAsia" w:cs="宋体" w:asciiTheme="minorEastAsia" w:hAnsiTheme="minorEastAsia"/>
                <w:color w:val="auto"/>
                <w:kern w:val="0"/>
                <w:szCs w:val="21"/>
                <w:highlight w:val="none"/>
                <w:lang w:eastAsia="zh-CN" w:bidi="ar"/>
              </w:rPr>
              <w:t>，</w:t>
            </w:r>
            <w:r>
              <w:rPr>
                <w:rFonts w:hint="eastAsia" w:cs="宋体" w:asciiTheme="minorEastAsia" w:hAnsiTheme="minorEastAsia"/>
                <w:color w:val="auto"/>
                <w:kern w:val="0"/>
                <w:szCs w:val="21"/>
                <w:highlight w:val="none"/>
                <w:lang w:val="en-US" w:eastAsia="zh-CN" w:bidi="ar"/>
              </w:rPr>
              <w:t>在合同或中标通知书中未体现工程规模为中型须提供相应的批复文件</w:t>
            </w:r>
            <w:r>
              <w:rPr>
                <w:rFonts w:hint="eastAsia" w:cs="宋体" w:asciiTheme="minorEastAsia" w:hAnsiTheme="minorEastAsia"/>
                <w:color w:val="auto"/>
                <w:kern w:val="0"/>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napToGrid w:val="0"/>
              <w:spacing w:before="156" w:beforeLines="50" w:after="156" w:afterLines="50"/>
              <w:ind w:left="105" w:leftChars="50" w:right="105" w:rightChars="50"/>
              <w:jc w:val="center"/>
              <w:rPr>
                <w:rFonts w:cs="宋体" w:asciiTheme="minorEastAsia" w:hAnsiTheme="minorEastAsia"/>
                <w:color w:val="auto"/>
                <w:kern w:val="0"/>
                <w:szCs w:val="21"/>
                <w:highlight w:val="none"/>
                <w:lang w:bidi="ar"/>
              </w:rPr>
            </w:pPr>
            <w:r>
              <w:rPr>
                <w:rFonts w:hint="eastAsia" w:cs="宋体" w:asciiTheme="minorEastAsia" w:hAnsiTheme="minorEastAsia"/>
                <w:color w:val="auto"/>
                <w:kern w:val="0"/>
                <w:szCs w:val="21"/>
                <w:highlight w:val="none"/>
                <w:lang w:bidi="ar"/>
              </w:rPr>
              <w:t xml:space="preserve">企业获奖   </w:t>
            </w:r>
          </w:p>
          <w:p>
            <w:pPr>
              <w:snapToGrid w:val="0"/>
              <w:spacing w:before="156" w:beforeLines="50" w:after="156" w:afterLines="50"/>
              <w:ind w:left="105" w:leftChars="50" w:right="105" w:rightChars="50"/>
              <w:jc w:val="center"/>
              <w:rPr>
                <w:rFonts w:ascii="宋体" w:hAnsi="宋体" w:cs="宋体"/>
                <w:color w:val="auto"/>
                <w:kern w:val="0"/>
                <w:szCs w:val="21"/>
                <w:highlight w:val="none"/>
                <w:lang w:bidi="ar"/>
              </w:rPr>
            </w:pPr>
            <w:r>
              <w:rPr>
                <w:rFonts w:hint="eastAsia" w:cs="宋体" w:asciiTheme="minorEastAsia" w:hAnsiTheme="minorEastAsia"/>
                <w:color w:val="auto"/>
                <w:kern w:val="0"/>
                <w:szCs w:val="21"/>
                <w:highlight w:val="none"/>
                <w:lang w:bidi="ar"/>
              </w:rPr>
              <w:t>（</w:t>
            </w:r>
            <w:r>
              <w:rPr>
                <w:rFonts w:hint="eastAsia" w:cs="宋体" w:asciiTheme="minorEastAsia" w:hAnsiTheme="minorEastAsia"/>
                <w:color w:val="auto"/>
                <w:kern w:val="0"/>
                <w:szCs w:val="21"/>
                <w:highlight w:val="none"/>
                <w:lang w:val="en-US" w:eastAsia="zh-CN" w:bidi="ar"/>
              </w:rPr>
              <w:t>7</w:t>
            </w:r>
            <w:r>
              <w:rPr>
                <w:rFonts w:hint="eastAsia" w:cs="宋体" w:asciiTheme="minorEastAsia" w:hAnsiTheme="minorEastAsia"/>
                <w:color w:val="auto"/>
                <w:kern w:val="0"/>
                <w:szCs w:val="21"/>
                <w:highlight w:val="none"/>
                <w:lang w:bidi="ar"/>
              </w:rPr>
              <w:t>分）</w:t>
            </w:r>
          </w:p>
        </w:tc>
        <w:tc>
          <w:tcPr>
            <w:tcW w:w="6779" w:type="dxa"/>
            <w:vAlign w:val="center"/>
          </w:tcPr>
          <w:p>
            <w:pPr>
              <w:snapToGrid w:val="0"/>
              <w:spacing w:before="156" w:beforeLines="50" w:after="156" w:afterLines="50"/>
              <w:ind w:left="105" w:leftChars="50" w:right="105" w:rightChars="50"/>
              <w:jc w:val="left"/>
              <w:rPr>
                <w:rFonts w:hint="eastAsia" w:cs="宋体" w:asciiTheme="minorEastAsia" w:hAnsiTheme="minorEastAsia" w:eastAsiaTheme="minorEastAsia"/>
                <w:b w:val="0"/>
                <w:i w:val="0"/>
                <w:color w:val="auto"/>
                <w:kern w:val="2"/>
                <w:sz w:val="21"/>
                <w:szCs w:val="21"/>
                <w:highlight w:val="none"/>
                <w:lang w:val="zh-CN"/>
              </w:rPr>
            </w:pPr>
            <w:r>
              <w:rPr>
                <w:rFonts w:hint="eastAsia" w:cs="宋体" w:asciiTheme="minorEastAsia" w:hAnsiTheme="minorEastAsia" w:eastAsiaTheme="minorEastAsia"/>
                <w:b w:val="0"/>
                <w:i w:val="0"/>
                <w:color w:val="auto"/>
                <w:kern w:val="2"/>
                <w:sz w:val="21"/>
                <w:szCs w:val="21"/>
                <w:highlight w:val="none"/>
                <w:lang w:val="en-US" w:eastAsia="zh-CN"/>
              </w:rPr>
              <w:t>1、</w:t>
            </w:r>
            <w:r>
              <w:rPr>
                <w:rFonts w:hint="eastAsia" w:cs="宋体" w:asciiTheme="minorEastAsia" w:hAnsiTheme="minorEastAsia" w:eastAsiaTheme="minorEastAsia"/>
                <w:b w:val="0"/>
                <w:i w:val="0"/>
                <w:color w:val="auto"/>
                <w:kern w:val="2"/>
                <w:sz w:val="21"/>
                <w:szCs w:val="21"/>
                <w:highlight w:val="none"/>
                <w:lang w:val="zh-CN"/>
              </w:rPr>
              <w:t>投标人（或联合体牵头人）提供自2019年1月1日至今获得国家级设计类奖项的得1分，</w:t>
            </w:r>
            <w:r>
              <w:rPr>
                <w:rFonts w:hint="eastAsia" w:cs="宋体" w:asciiTheme="minorEastAsia" w:hAnsiTheme="minorEastAsia" w:eastAsiaTheme="minorEastAsia"/>
                <w:b w:val="0"/>
                <w:i w:val="0"/>
                <w:color w:val="auto"/>
                <w:kern w:val="2"/>
                <w:sz w:val="21"/>
                <w:szCs w:val="21"/>
                <w:highlight w:val="none"/>
                <w:lang w:val="zh-CN" w:eastAsia="zh-CN"/>
              </w:rPr>
              <w:t>获得</w:t>
            </w:r>
            <w:r>
              <w:rPr>
                <w:rFonts w:hint="eastAsia" w:cs="宋体" w:asciiTheme="minorEastAsia" w:hAnsiTheme="minorEastAsia" w:eastAsiaTheme="minorEastAsia"/>
                <w:b w:val="0"/>
                <w:i w:val="0"/>
                <w:color w:val="auto"/>
                <w:kern w:val="2"/>
                <w:sz w:val="21"/>
                <w:szCs w:val="21"/>
                <w:highlight w:val="none"/>
                <w:lang w:val="zh-CN"/>
              </w:rPr>
              <w:t>省级设计类奖项的得0.5分，本小项最高得</w:t>
            </w:r>
            <w:r>
              <w:rPr>
                <w:rFonts w:hint="eastAsia" w:cs="宋体" w:asciiTheme="minorEastAsia" w:hAnsiTheme="minorEastAsia" w:eastAsiaTheme="minorEastAsia"/>
                <w:b w:val="0"/>
                <w:i w:val="0"/>
                <w:color w:val="auto"/>
                <w:kern w:val="2"/>
                <w:sz w:val="21"/>
                <w:szCs w:val="21"/>
                <w:highlight w:val="none"/>
                <w:lang w:val="zh-CN" w:eastAsia="zh-CN"/>
              </w:rPr>
              <w:t>3</w:t>
            </w:r>
            <w:r>
              <w:rPr>
                <w:rFonts w:hint="eastAsia" w:cs="宋体" w:asciiTheme="minorEastAsia" w:hAnsiTheme="minorEastAsia" w:eastAsiaTheme="minorEastAsia"/>
                <w:b w:val="0"/>
                <w:i w:val="0"/>
                <w:color w:val="auto"/>
                <w:kern w:val="2"/>
                <w:sz w:val="21"/>
                <w:szCs w:val="21"/>
                <w:highlight w:val="none"/>
                <w:lang w:val="zh-CN"/>
              </w:rPr>
              <w:t>分。</w:t>
            </w:r>
          </w:p>
          <w:p>
            <w:pPr>
              <w:snapToGrid w:val="0"/>
              <w:spacing w:before="156" w:beforeLines="50" w:after="156" w:afterLines="50"/>
              <w:ind w:left="105" w:leftChars="50" w:right="105" w:rightChars="50"/>
              <w:jc w:val="left"/>
              <w:rPr>
                <w:rFonts w:hint="eastAsia" w:cs="宋体" w:asciiTheme="minorEastAsia" w:hAnsiTheme="minorEastAsia" w:eastAsiaTheme="minorEastAsia"/>
                <w:b w:val="0"/>
                <w:i w:val="0"/>
                <w:color w:val="auto"/>
                <w:kern w:val="2"/>
                <w:sz w:val="21"/>
                <w:szCs w:val="21"/>
                <w:highlight w:val="none"/>
                <w:lang w:val="zh-CN" w:eastAsia="zh-CN"/>
              </w:rPr>
            </w:pPr>
            <w:r>
              <w:rPr>
                <w:rFonts w:hint="eastAsia" w:cs="宋体" w:asciiTheme="minorEastAsia" w:hAnsiTheme="minorEastAsia" w:eastAsiaTheme="minorEastAsia"/>
                <w:b w:val="0"/>
                <w:i w:val="0"/>
                <w:color w:val="auto"/>
                <w:kern w:val="2"/>
                <w:sz w:val="21"/>
                <w:szCs w:val="21"/>
                <w:highlight w:val="none"/>
                <w:lang w:val="en-US" w:eastAsia="zh-CN"/>
              </w:rPr>
              <w:t>2、</w:t>
            </w:r>
            <w:r>
              <w:rPr>
                <w:rFonts w:hint="eastAsia" w:cs="宋体" w:asciiTheme="minorEastAsia" w:hAnsiTheme="minorEastAsia" w:eastAsiaTheme="minorEastAsia"/>
                <w:b w:val="0"/>
                <w:i w:val="0"/>
                <w:color w:val="auto"/>
                <w:kern w:val="2"/>
                <w:sz w:val="21"/>
                <w:szCs w:val="21"/>
                <w:highlight w:val="none"/>
                <w:lang w:val="zh-CN"/>
              </w:rPr>
              <w:t>投标人（或联合体</w:t>
            </w:r>
            <w:r>
              <w:rPr>
                <w:rFonts w:hint="eastAsia" w:cs="宋体" w:asciiTheme="minorEastAsia" w:hAnsiTheme="minorEastAsia" w:eastAsiaTheme="minorEastAsia"/>
                <w:b w:val="0"/>
                <w:i w:val="0"/>
                <w:color w:val="auto"/>
                <w:kern w:val="2"/>
                <w:sz w:val="21"/>
                <w:szCs w:val="21"/>
                <w:highlight w:val="none"/>
                <w:lang w:val="zh-CN" w:eastAsia="zh-CN"/>
              </w:rPr>
              <w:t>成员</w:t>
            </w:r>
            <w:r>
              <w:rPr>
                <w:rFonts w:hint="eastAsia" w:cs="宋体" w:asciiTheme="minorEastAsia" w:hAnsiTheme="minorEastAsia" w:eastAsiaTheme="minorEastAsia"/>
                <w:b w:val="0"/>
                <w:i w:val="0"/>
                <w:color w:val="auto"/>
                <w:kern w:val="2"/>
                <w:sz w:val="21"/>
                <w:szCs w:val="21"/>
                <w:highlight w:val="none"/>
                <w:lang w:val="zh-CN"/>
              </w:rPr>
              <w:t>）提供自2019年1月1日至今获得国家级</w:t>
            </w:r>
            <w:r>
              <w:rPr>
                <w:rFonts w:hint="eastAsia" w:cs="宋体" w:asciiTheme="minorEastAsia" w:hAnsiTheme="minorEastAsia" w:eastAsiaTheme="minorEastAsia"/>
                <w:b w:val="0"/>
                <w:i w:val="0"/>
                <w:color w:val="auto"/>
                <w:kern w:val="2"/>
                <w:sz w:val="21"/>
                <w:szCs w:val="21"/>
                <w:highlight w:val="none"/>
                <w:lang w:val="zh-CN" w:eastAsia="zh-CN"/>
              </w:rPr>
              <w:t>勘察</w:t>
            </w:r>
            <w:r>
              <w:rPr>
                <w:rFonts w:hint="eastAsia" w:cs="宋体" w:asciiTheme="minorEastAsia" w:hAnsiTheme="minorEastAsia" w:eastAsiaTheme="minorEastAsia"/>
                <w:b w:val="0"/>
                <w:i w:val="0"/>
                <w:color w:val="auto"/>
                <w:kern w:val="2"/>
                <w:sz w:val="21"/>
                <w:szCs w:val="21"/>
                <w:highlight w:val="none"/>
                <w:lang w:val="zh-CN"/>
              </w:rPr>
              <w:t>类奖项的得1分，</w:t>
            </w:r>
            <w:r>
              <w:rPr>
                <w:rFonts w:hint="eastAsia" w:cs="宋体" w:asciiTheme="minorEastAsia" w:hAnsiTheme="minorEastAsia" w:eastAsiaTheme="minorEastAsia"/>
                <w:b w:val="0"/>
                <w:i w:val="0"/>
                <w:color w:val="auto"/>
                <w:kern w:val="2"/>
                <w:sz w:val="21"/>
                <w:szCs w:val="21"/>
                <w:highlight w:val="none"/>
                <w:lang w:val="zh-CN" w:eastAsia="zh-CN"/>
              </w:rPr>
              <w:t>获得</w:t>
            </w:r>
            <w:r>
              <w:rPr>
                <w:rFonts w:hint="eastAsia" w:cs="宋体" w:asciiTheme="minorEastAsia" w:hAnsiTheme="minorEastAsia" w:eastAsiaTheme="minorEastAsia"/>
                <w:b w:val="0"/>
                <w:i w:val="0"/>
                <w:color w:val="auto"/>
                <w:kern w:val="2"/>
                <w:sz w:val="21"/>
                <w:szCs w:val="21"/>
                <w:highlight w:val="none"/>
                <w:lang w:val="zh-CN"/>
              </w:rPr>
              <w:t>省级</w:t>
            </w:r>
            <w:r>
              <w:rPr>
                <w:rFonts w:hint="eastAsia" w:cs="宋体" w:asciiTheme="minorEastAsia" w:hAnsiTheme="minorEastAsia" w:eastAsiaTheme="minorEastAsia"/>
                <w:b w:val="0"/>
                <w:i w:val="0"/>
                <w:color w:val="auto"/>
                <w:kern w:val="2"/>
                <w:sz w:val="21"/>
                <w:szCs w:val="21"/>
                <w:highlight w:val="none"/>
                <w:lang w:val="zh-CN" w:eastAsia="zh-CN"/>
              </w:rPr>
              <w:t>勘察</w:t>
            </w:r>
            <w:r>
              <w:rPr>
                <w:rFonts w:hint="eastAsia" w:cs="宋体" w:asciiTheme="minorEastAsia" w:hAnsiTheme="minorEastAsia" w:eastAsiaTheme="minorEastAsia"/>
                <w:b w:val="0"/>
                <w:i w:val="0"/>
                <w:color w:val="auto"/>
                <w:kern w:val="2"/>
                <w:sz w:val="21"/>
                <w:szCs w:val="21"/>
                <w:highlight w:val="none"/>
                <w:lang w:val="zh-CN"/>
              </w:rPr>
              <w:t>类奖项的得0.5分，本小项最高得</w:t>
            </w:r>
            <w:r>
              <w:rPr>
                <w:rFonts w:hint="eastAsia" w:cs="宋体" w:asciiTheme="minorEastAsia" w:hAnsiTheme="minorEastAsia" w:eastAsiaTheme="minorEastAsia"/>
                <w:b w:val="0"/>
                <w:i w:val="0"/>
                <w:color w:val="auto"/>
                <w:kern w:val="2"/>
                <w:sz w:val="21"/>
                <w:szCs w:val="21"/>
                <w:highlight w:val="none"/>
                <w:lang w:val="zh-CN" w:eastAsia="zh-CN"/>
              </w:rPr>
              <w:t>1</w:t>
            </w:r>
            <w:r>
              <w:rPr>
                <w:rFonts w:hint="eastAsia" w:cs="宋体" w:asciiTheme="minorEastAsia" w:hAnsiTheme="minorEastAsia" w:eastAsiaTheme="minorEastAsia"/>
                <w:b w:val="0"/>
                <w:i w:val="0"/>
                <w:color w:val="auto"/>
                <w:kern w:val="2"/>
                <w:sz w:val="21"/>
                <w:szCs w:val="21"/>
                <w:highlight w:val="none"/>
                <w:lang w:val="zh-CN"/>
              </w:rPr>
              <w:t>分。</w:t>
            </w:r>
          </w:p>
          <w:p>
            <w:pPr>
              <w:snapToGrid w:val="0"/>
              <w:spacing w:before="156" w:beforeLines="50" w:after="156" w:afterLines="50"/>
              <w:ind w:left="105" w:leftChars="50" w:right="105" w:rightChars="50"/>
              <w:jc w:val="left"/>
              <w:rPr>
                <w:rFonts w:hint="eastAsia" w:cs="宋体" w:asciiTheme="minorEastAsia" w:hAnsiTheme="minorEastAsia" w:eastAsiaTheme="minorEastAsia"/>
                <w:b w:val="0"/>
                <w:i w:val="0"/>
                <w:color w:val="auto"/>
                <w:kern w:val="2"/>
                <w:sz w:val="21"/>
                <w:szCs w:val="21"/>
                <w:highlight w:val="none"/>
                <w:lang w:val="zh-CN"/>
              </w:rPr>
            </w:pPr>
            <w:r>
              <w:rPr>
                <w:rFonts w:hint="eastAsia" w:cs="宋体" w:asciiTheme="minorEastAsia" w:hAnsiTheme="minorEastAsia" w:eastAsiaTheme="minorEastAsia"/>
                <w:b w:val="0"/>
                <w:i w:val="0"/>
                <w:color w:val="auto"/>
                <w:kern w:val="2"/>
                <w:sz w:val="21"/>
                <w:szCs w:val="21"/>
                <w:highlight w:val="none"/>
                <w:lang w:val="en-US" w:eastAsia="zh-CN"/>
              </w:rPr>
              <w:t>3、</w:t>
            </w:r>
            <w:r>
              <w:rPr>
                <w:rFonts w:hint="eastAsia" w:cs="宋体" w:asciiTheme="minorEastAsia" w:hAnsiTheme="minorEastAsia" w:eastAsiaTheme="minorEastAsia"/>
                <w:b w:val="0"/>
                <w:i w:val="0"/>
                <w:color w:val="auto"/>
                <w:kern w:val="2"/>
                <w:sz w:val="21"/>
                <w:szCs w:val="21"/>
                <w:highlight w:val="none"/>
                <w:lang w:val="zh-CN"/>
              </w:rPr>
              <w:t>投标人（或联合体牵头人）2019年1月1日至今获得大禹水利科学技术奖的，每个得</w:t>
            </w:r>
            <w:r>
              <w:rPr>
                <w:rFonts w:hint="eastAsia" w:cs="宋体" w:asciiTheme="minorEastAsia" w:hAnsiTheme="minorEastAsia" w:eastAsiaTheme="minorEastAsia"/>
                <w:b w:val="0"/>
                <w:i w:val="0"/>
                <w:color w:val="auto"/>
                <w:kern w:val="2"/>
                <w:sz w:val="21"/>
                <w:szCs w:val="21"/>
                <w:highlight w:val="none"/>
                <w:lang w:val="zh-CN" w:eastAsia="zh-CN"/>
              </w:rPr>
              <w:t>3</w:t>
            </w:r>
            <w:r>
              <w:rPr>
                <w:rFonts w:hint="eastAsia" w:cs="宋体" w:asciiTheme="minorEastAsia" w:hAnsiTheme="minorEastAsia" w:eastAsiaTheme="minorEastAsia"/>
                <w:b w:val="0"/>
                <w:i w:val="0"/>
                <w:color w:val="auto"/>
                <w:kern w:val="2"/>
                <w:sz w:val="21"/>
                <w:szCs w:val="21"/>
                <w:highlight w:val="none"/>
                <w:lang w:val="zh-CN"/>
              </w:rPr>
              <w:t>分，本小项最高得</w:t>
            </w:r>
            <w:r>
              <w:rPr>
                <w:rFonts w:hint="eastAsia" w:cs="宋体" w:asciiTheme="minorEastAsia" w:hAnsiTheme="minorEastAsia" w:eastAsiaTheme="minorEastAsia"/>
                <w:b w:val="0"/>
                <w:i w:val="0"/>
                <w:color w:val="auto"/>
                <w:kern w:val="2"/>
                <w:sz w:val="21"/>
                <w:szCs w:val="21"/>
                <w:highlight w:val="none"/>
                <w:lang w:val="zh-CN" w:eastAsia="zh-CN"/>
              </w:rPr>
              <w:t>3</w:t>
            </w:r>
            <w:r>
              <w:rPr>
                <w:rFonts w:hint="eastAsia" w:cs="宋体" w:asciiTheme="minorEastAsia" w:hAnsiTheme="minorEastAsia" w:eastAsiaTheme="minorEastAsia"/>
                <w:b w:val="0"/>
                <w:i w:val="0"/>
                <w:color w:val="auto"/>
                <w:kern w:val="2"/>
                <w:sz w:val="21"/>
                <w:szCs w:val="21"/>
                <w:highlight w:val="none"/>
                <w:lang w:val="zh-CN"/>
              </w:rPr>
              <w:t>分。</w:t>
            </w:r>
          </w:p>
          <w:p>
            <w:pPr>
              <w:snapToGrid w:val="0"/>
              <w:spacing w:before="156" w:beforeLines="50" w:after="156" w:afterLines="50"/>
              <w:ind w:left="105" w:leftChars="50" w:right="105" w:rightChars="50"/>
              <w:jc w:val="left"/>
              <w:rPr>
                <w:rFonts w:ascii="宋体" w:hAnsi="宋体" w:cs="宋体"/>
                <w:color w:val="auto"/>
                <w:kern w:val="0"/>
                <w:szCs w:val="21"/>
                <w:highlight w:val="none"/>
                <w:lang w:bidi="ar"/>
              </w:rPr>
            </w:pPr>
            <w:r>
              <w:rPr>
                <w:rFonts w:hint="eastAsia" w:cs="宋体" w:asciiTheme="minorEastAsia" w:hAnsiTheme="minorEastAsia" w:eastAsiaTheme="minorEastAsia"/>
                <w:b w:val="0"/>
                <w:i w:val="0"/>
                <w:color w:val="auto"/>
                <w:kern w:val="2"/>
                <w:sz w:val="21"/>
                <w:szCs w:val="21"/>
                <w:highlight w:val="none"/>
                <w:lang w:val="zh-CN"/>
              </w:rPr>
              <w:t>注：本项最高得</w:t>
            </w:r>
            <w:r>
              <w:rPr>
                <w:rFonts w:hint="eastAsia" w:cs="宋体" w:asciiTheme="minorEastAsia" w:hAnsiTheme="minorEastAsia" w:eastAsiaTheme="minorEastAsia"/>
                <w:b w:val="0"/>
                <w:i w:val="0"/>
                <w:color w:val="auto"/>
                <w:kern w:val="2"/>
                <w:sz w:val="21"/>
                <w:szCs w:val="21"/>
                <w:highlight w:val="none"/>
                <w:lang w:val="en-US" w:eastAsia="zh-CN"/>
              </w:rPr>
              <w:t>7</w:t>
            </w:r>
            <w:r>
              <w:rPr>
                <w:rFonts w:hint="eastAsia" w:cs="宋体" w:asciiTheme="minorEastAsia" w:hAnsiTheme="minorEastAsia" w:eastAsiaTheme="minorEastAsia"/>
                <w:b w:val="0"/>
                <w:i w:val="0"/>
                <w:color w:val="auto"/>
                <w:kern w:val="2"/>
                <w:sz w:val="21"/>
                <w:szCs w:val="21"/>
                <w:highlight w:val="none"/>
                <w:lang w:val="zh-CN"/>
              </w:rPr>
              <w:t>分。同一工程获奖</w:t>
            </w:r>
            <w:r>
              <w:rPr>
                <w:rFonts w:hint="eastAsia" w:cs="宋体" w:asciiTheme="minorEastAsia" w:hAnsiTheme="minorEastAsia" w:eastAsiaTheme="minorEastAsia"/>
                <w:b w:val="0"/>
                <w:i w:val="0"/>
                <w:color w:val="auto"/>
                <w:kern w:val="2"/>
                <w:sz w:val="21"/>
                <w:szCs w:val="21"/>
                <w:highlight w:val="none"/>
                <w:lang w:val="zh-CN" w:eastAsia="zh-CN"/>
              </w:rPr>
              <w:t>不重复计分</w:t>
            </w:r>
            <w:r>
              <w:rPr>
                <w:rFonts w:hint="eastAsia" w:cs="宋体" w:asciiTheme="minorEastAsia" w:hAnsiTheme="minorEastAsia" w:eastAsiaTheme="minorEastAsia"/>
                <w:b w:val="0"/>
                <w:i w:val="0"/>
                <w:color w:val="auto"/>
                <w:kern w:val="2"/>
                <w:sz w:val="21"/>
                <w:szCs w:val="21"/>
                <w:highlight w:val="none"/>
                <w:lang w:val="zh-CN"/>
              </w:rPr>
              <w:t>。需要提供获奖证书或获奖公示文件等彩色扫描件。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企业信用</w:t>
            </w:r>
          </w:p>
          <w:p>
            <w:pPr>
              <w:snapToGrid w:val="0"/>
              <w:spacing w:line="360" w:lineRule="auto"/>
              <w:ind w:left="105" w:leftChars="50" w:right="105" w:rightChars="50"/>
              <w:jc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投标人企业信用得分=开标时在广东省水利建设市场信用信息平台“勘测设计资质”栏查询的投标人实时信用分数(超过100分按100分计)×10%。</w:t>
            </w:r>
            <w:r>
              <w:rPr>
                <w:rFonts w:hint="eastAsia" w:ascii="宋体" w:hAnsi="宋体" w:cs="宋体"/>
                <w:b/>
                <w:bCs/>
                <w:color w:val="auto"/>
                <w:szCs w:val="21"/>
                <w:highlight w:val="none"/>
              </w:rPr>
              <w:t>如是联合体的，</w:t>
            </w:r>
            <w:r>
              <w:rPr>
                <w:rFonts w:hint="eastAsia" w:ascii="宋体" w:hAnsi="宋体" w:cs="宋体"/>
                <w:color w:val="auto"/>
                <w:szCs w:val="21"/>
                <w:highlight w:val="none"/>
              </w:rPr>
              <w:t>以信用分值较低的联合体成员的信用分值计算信用得分，本项最高得10分。</w:t>
            </w:r>
          </w:p>
          <w:p>
            <w:pPr>
              <w:snapToGrid w:val="0"/>
              <w:spacing w:line="360" w:lineRule="auto"/>
              <w:ind w:left="105" w:leftChars="50" w:right="105" w:rightChars="50"/>
              <w:jc w:val="left"/>
              <w:rPr>
                <w:rFonts w:ascii="宋体" w:hAnsi="宋体" w:cs="宋体"/>
                <w:color w:val="auto"/>
                <w:kern w:val="0"/>
                <w:szCs w:val="21"/>
                <w:highlight w:val="none"/>
                <w:lang w:bidi="ar"/>
              </w:rPr>
            </w:pPr>
            <w:r>
              <w:rPr>
                <w:rFonts w:hint="eastAsia" w:ascii="宋体" w:hAnsi="宋体" w:cs="宋体"/>
                <w:color w:val="auto"/>
                <w:szCs w:val="21"/>
                <w:highlight w:val="none"/>
              </w:rPr>
              <w:t>注：本项由招标人或招标代理机构在开标现场实时查询，记录在开标现场登记表中。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Merge w:val="restart"/>
            <w:vAlign w:val="center"/>
          </w:tcPr>
          <w:p>
            <w:pPr>
              <w:adjustRightInd w:val="0"/>
              <w:snapToGrid w:val="0"/>
              <w:ind w:left="-21" w:leftChars="-10" w:firstLine="21" w:firstLineChars="1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企业资信     </w:t>
            </w:r>
          </w:p>
          <w:p>
            <w:pPr>
              <w:adjustRightInd w:val="0"/>
              <w:snapToGrid w:val="0"/>
              <w:ind w:left="-21" w:leftChars="-10" w:firstLine="21" w:firstLineChars="10"/>
              <w:jc w:val="center"/>
              <w:rPr>
                <w:rFonts w:ascii="宋体" w:hAnsi="宋体"/>
                <w:color w:val="auto"/>
                <w:szCs w:val="21"/>
                <w:highlight w:val="none"/>
              </w:rPr>
            </w:pP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tc>
        <w:tc>
          <w:tcPr>
            <w:tcW w:w="6779" w:type="dxa"/>
            <w:vAlign w:val="center"/>
          </w:tcPr>
          <w:p>
            <w:pPr>
              <w:snapToGrid w:val="0"/>
              <w:spacing w:before="156" w:beforeLines="50" w:after="156" w:afterLines="50"/>
              <w:ind w:right="105" w:rightChars="50"/>
              <w:rPr>
                <w:rFonts w:hint="eastAsia" w:eastAsia="宋体" w:cs="宋体" w:asciiTheme="minorEastAsia" w:hAnsiTheme="minorEastAsia"/>
                <w:color w:val="auto"/>
                <w:szCs w:val="21"/>
                <w:highlight w:val="none"/>
                <w:lang w:eastAsia="zh-CN"/>
              </w:rPr>
            </w:pPr>
            <w:r>
              <w:rPr>
                <w:rFonts w:hint="eastAsia" w:cs="宋体" w:asciiTheme="minorEastAsia" w:hAnsiTheme="minorEastAsia"/>
                <w:color w:val="auto"/>
                <w:szCs w:val="21"/>
                <w:highlight w:val="none"/>
              </w:rPr>
              <w:t>1、投标人（或联合体牵头人）具有全国水利建设市场监管平台（查询网址：</w:t>
            </w:r>
            <w:r>
              <w:rPr>
                <w:color w:val="auto"/>
                <w:highlight w:val="none"/>
              </w:rPr>
              <w:fldChar w:fldCharType="begin"/>
            </w:r>
            <w:r>
              <w:rPr>
                <w:color w:val="auto"/>
                <w:highlight w:val="none"/>
              </w:rPr>
              <w:instrText xml:space="preserve"> HYPERLINK "http://scjg.mwr.gov.cn/#/home）信用评价同时具有（类型：勘察类和设计类）AAA级以上得2" </w:instrText>
            </w:r>
            <w:r>
              <w:rPr>
                <w:color w:val="auto"/>
                <w:highlight w:val="none"/>
              </w:rPr>
              <w:fldChar w:fldCharType="separate"/>
            </w:r>
            <w:r>
              <w:rPr>
                <w:rStyle w:val="23"/>
                <w:rFonts w:hint="eastAsia" w:cs="宋体" w:asciiTheme="minorEastAsia" w:hAnsiTheme="minorEastAsia"/>
                <w:color w:val="auto"/>
                <w:szCs w:val="21"/>
                <w:highlight w:val="none"/>
              </w:rPr>
              <w:t>http://scjg.mwr.gov.cn/#/home）信用评价同时具有（类型：勘察类和设计类）</w:t>
            </w:r>
            <w:bookmarkStart w:id="740" w:name="_GoBack"/>
            <w:r>
              <w:rPr>
                <w:rStyle w:val="23"/>
                <w:rFonts w:hint="eastAsia" w:cs="宋体" w:asciiTheme="minorEastAsia" w:hAnsiTheme="minorEastAsia"/>
                <w:color w:val="auto"/>
                <w:szCs w:val="21"/>
                <w:highlight w:val="none"/>
                <w:u w:val="none"/>
              </w:rPr>
              <w:t>AAA级以上得</w:t>
            </w:r>
            <w:r>
              <w:rPr>
                <w:rStyle w:val="23"/>
                <w:rFonts w:hint="eastAsia" w:cs="宋体" w:asciiTheme="minorEastAsia" w:hAnsiTheme="minorEastAsia"/>
                <w:color w:val="auto"/>
                <w:szCs w:val="21"/>
                <w:highlight w:val="none"/>
                <w:u w:val="none"/>
                <w:lang w:val="en-US" w:eastAsia="zh-CN"/>
              </w:rPr>
              <w:t>3</w:t>
            </w:r>
            <w:bookmarkEnd w:id="740"/>
            <w:r>
              <w:rPr>
                <w:rStyle w:val="23"/>
                <w:rFonts w:cs="宋体" w:asciiTheme="minorEastAsia" w:hAnsiTheme="minorEastAsia"/>
                <w:color w:val="auto"/>
                <w:szCs w:val="21"/>
                <w:highlight w:val="none"/>
              </w:rPr>
              <w:fldChar w:fldCharType="end"/>
            </w:r>
            <w:r>
              <w:rPr>
                <w:rFonts w:hint="eastAsia" w:cs="宋体" w:asciiTheme="minorEastAsia" w:hAnsiTheme="minorEastAsia"/>
                <w:color w:val="auto"/>
                <w:szCs w:val="21"/>
                <w:highlight w:val="none"/>
              </w:rPr>
              <w:t>分；AA级得</w:t>
            </w:r>
            <w:r>
              <w:rPr>
                <w:rFonts w:hint="eastAsia" w:cs="宋体" w:asciiTheme="minorEastAsia" w:hAnsiTheme="minorEastAsia"/>
                <w:color w:val="auto"/>
                <w:szCs w:val="21"/>
                <w:highlight w:val="none"/>
                <w:lang w:val="en-US" w:eastAsia="zh-CN"/>
              </w:rPr>
              <w:t>2</w:t>
            </w:r>
            <w:r>
              <w:rPr>
                <w:rFonts w:hint="eastAsia" w:cs="宋体" w:asciiTheme="minorEastAsia" w:hAnsiTheme="minorEastAsia"/>
                <w:color w:val="auto"/>
                <w:szCs w:val="21"/>
                <w:highlight w:val="none"/>
              </w:rPr>
              <w:t>分；A级或以下得</w:t>
            </w: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rPr>
              <w:t>分。如是联合体的，以级别较低的联合体成员的级别计算得分，证书须在有效期内。</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spacing w:line="360" w:lineRule="auto"/>
              <w:ind w:left="105" w:leftChars="50" w:right="105" w:rightChars="50"/>
              <w:rPr>
                <w:rFonts w:ascii="宋体" w:hAnsi="宋体" w:cs="宋体"/>
                <w:color w:val="auto"/>
                <w:szCs w:val="21"/>
                <w:highlight w:val="none"/>
              </w:rPr>
            </w:pPr>
            <w:r>
              <w:rPr>
                <w:rFonts w:hint="eastAsia" w:cs="宋体" w:asciiTheme="minorEastAsia" w:hAnsiTheme="minorEastAsia"/>
                <w:color w:val="auto"/>
                <w:szCs w:val="21"/>
                <w:highlight w:val="none"/>
              </w:rPr>
              <w:t>注：提供网上截图并加盖公章。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1" w:type="dxa"/>
            <w:vMerge w:val="continue"/>
            <w:vAlign w:val="center"/>
          </w:tcPr>
          <w:p>
            <w:pPr>
              <w:widowControl/>
              <w:snapToGrid w:val="0"/>
              <w:spacing w:before="72" w:beforeLines="30" w:line="360" w:lineRule="auto"/>
              <w:ind w:left="105" w:leftChars="50" w:right="105" w:rightChars="50"/>
              <w:rPr>
                <w:color w:val="auto"/>
                <w:highlight w:val="none"/>
              </w:rPr>
            </w:pPr>
          </w:p>
        </w:tc>
        <w:tc>
          <w:tcPr>
            <w:tcW w:w="1086" w:type="dxa"/>
            <w:vMerge w:val="continue"/>
            <w:vAlign w:val="center"/>
          </w:tcPr>
          <w:p>
            <w:pPr>
              <w:widowControl/>
              <w:snapToGrid w:val="0"/>
              <w:spacing w:before="72" w:beforeLines="30" w:line="360" w:lineRule="auto"/>
              <w:ind w:left="105" w:leftChars="50" w:right="105" w:rightChars="50"/>
              <w:rPr>
                <w:color w:val="auto"/>
                <w:highlight w:val="none"/>
              </w:rPr>
            </w:pPr>
          </w:p>
        </w:tc>
        <w:tc>
          <w:tcPr>
            <w:tcW w:w="1884" w:type="dxa"/>
            <w:vMerge w:val="continue"/>
            <w:vAlign w:val="center"/>
          </w:tcPr>
          <w:p>
            <w:pPr>
              <w:adjustRightInd w:val="0"/>
              <w:snapToGrid w:val="0"/>
              <w:ind w:left="-199" w:leftChars="-95" w:firstLine="115" w:firstLineChars="55"/>
              <w:jc w:val="center"/>
              <w:rPr>
                <w:color w:val="auto"/>
                <w:highlight w:val="none"/>
              </w:rPr>
            </w:pPr>
          </w:p>
        </w:tc>
        <w:tc>
          <w:tcPr>
            <w:tcW w:w="6779" w:type="dxa"/>
            <w:vAlign w:val="center"/>
          </w:tcPr>
          <w:p>
            <w:pPr>
              <w:pStyle w:val="12"/>
              <w:snapToGrid w:val="0"/>
              <w:spacing w:before="156" w:beforeLines="50" w:after="156" w:afterLines="50"/>
              <w:rPr>
                <w:rFonts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rPr>
              <w:t>投标人(或联合体</w:t>
            </w:r>
            <w:r>
              <w:rPr>
                <w:rFonts w:hint="eastAsia" w:asciiTheme="minorEastAsia" w:hAnsiTheme="minorEastAsia" w:eastAsiaTheme="minorEastAsia"/>
                <w:color w:val="auto"/>
                <w:sz w:val="21"/>
                <w:szCs w:val="21"/>
                <w:highlight w:val="none"/>
                <w:lang w:eastAsia="zh-Hans"/>
              </w:rPr>
              <w:t>双方</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eastAsia="zh-Hans"/>
              </w:rPr>
              <w:t>同时具</w:t>
            </w:r>
            <w:r>
              <w:rPr>
                <w:rFonts w:hint="eastAsia" w:asciiTheme="minorEastAsia" w:hAnsiTheme="minorEastAsia" w:eastAsiaTheme="minorEastAsia"/>
                <w:color w:val="auto"/>
                <w:sz w:val="21"/>
                <w:szCs w:val="21"/>
                <w:highlight w:val="none"/>
              </w:rPr>
              <w:t>有</w:t>
            </w:r>
            <w:r>
              <w:rPr>
                <w:rFonts w:hint="eastAsia" w:asciiTheme="minorEastAsia" w:hAnsiTheme="minorEastAsia" w:eastAsiaTheme="minorEastAsia"/>
                <w:color w:val="auto"/>
                <w:sz w:val="21"/>
                <w:szCs w:val="21"/>
                <w:highlight w:val="none"/>
                <w:lang w:val="en-US" w:eastAsia="zh-CN"/>
              </w:rPr>
              <w:t>有效期内的</w:t>
            </w:r>
            <w:r>
              <w:rPr>
                <w:rFonts w:hint="eastAsia" w:asciiTheme="minorEastAsia" w:hAnsiTheme="minorEastAsia" w:eastAsiaTheme="minorEastAsia"/>
                <w:color w:val="auto"/>
                <w:sz w:val="21"/>
                <w:szCs w:val="21"/>
                <w:highlight w:val="none"/>
              </w:rPr>
              <w:t>质量管理体系认证证书、环境管理体系认证证书、职业健康安全管理体系认证证书</w:t>
            </w:r>
            <w:r>
              <w:rPr>
                <w:rFonts w:hint="eastAsia" w:asciiTheme="minorEastAsia" w:hAnsiTheme="minorEastAsia" w:eastAsiaTheme="minorEastAsia"/>
                <w:color w:val="auto"/>
                <w:sz w:val="21"/>
                <w:szCs w:val="21"/>
                <w:highlight w:val="none"/>
                <w:lang w:eastAsia="zh-Hans"/>
              </w:rPr>
              <w:t>的</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得</w:t>
            </w:r>
            <w:r>
              <w:rPr>
                <w:rFonts w:asciiTheme="minorEastAsia" w:hAnsiTheme="minorEastAsia" w:eastAsiaTheme="minorEastAsia"/>
                <w:color w:val="auto"/>
                <w:sz w:val="21"/>
                <w:szCs w:val="21"/>
                <w:highlight w:val="none"/>
                <w:lang w:eastAsia="zh-Hans"/>
              </w:rPr>
              <w:t>1分</w:t>
            </w:r>
            <w:r>
              <w:rPr>
                <w:rFonts w:hint="eastAsia" w:asciiTheme="minorEastAsia" w:hAnsiTheme="minorEastAsia" w:eastAsiaTheme="minorEastAsia"/>
                <w:color w:val="auto"/>
                <w:sz w:val="21"/>
                <w:szCs w:val="21"/>
                <w:highlight w:val="none"/>
              </w:rPr>
              <w:t>。</w:t>
            </w:r>
          </w:p>
          <w:p>
            <w:pPr>
              <w:spacing w:line="360" w:lineRule="auto"/>
              <w:ind w:left="105" w:leftChars="50" w:right="105" w:rightChars="50"/>
              <w:rPr>
                <w:rFonts w:ascii="宋体" w:hAnsi="宋体" w:cs="宋体"/>
                <w:color w:val="auto"/>
                <w:szCs w:val="21"/>
                <w:highlight w:val="none"/>
              </w:rPr>
            </w:pPr>
            <w:r>
              <w:rPr>
                <w:rFonts w:hint="eastAsia" w:cs="宋体" w:asciiTheme="minorEastAsia" w:hAnsiTheme="minorEastAsia"/>
                <w:color w:val="auto"/>
                <w:szCs w:val="21"/>
                <w:highlight w:val="none"/>
              </w:rPr>
              <w:t>注：提供相关证书</w:t>
            </w:r>
            <w:r>
              <w:rPr>
                <w:rFonts w:hint="eastAsia" w:cs="宋体" w:asciiTheme="minorEastAsia" w:hAnsiTheme="minorEastAsia"/>
                <w:color w:val="auto"/>
                <w:szCs w:val="21"/>
                <w:highlight w:val="none"/>
                <w:lang w:val="en-US" w:eastAsia="zh-CN"/>
              </w:rPr>
              <w:t>扫描</w:t>
            </w:r>
            <w:r>
              <w:rPr>
                <w:rFonts w:hint="eastAsia" w:cs="宋体" w:asciiTheme="minorEastAsia" w:hAnsiTheme="minorEastAsia"/>
                <w:color w:val="auto"/>
                <w:szCs w:val="21"/>
                <w:highlight w:val="none"/>
              </w:rPr>
              <w:t>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1" w:type="dxa"/>
            <w:vMerge w:val="continue"/>
            <w:vAlign w:val="center"/>
          </w:tcPr>
          <w:p>
            <w:pPr>
              <w:widowControl/>
              <w:snapToGrid w:val="0"/>
              <w:spacing w:before="72" w:beforeLines="30" w:line="360" w:lineRule="auto"/>
              <w:ind w:left="105" w:leftChars="50" w:right="105" w:rightChars="50"/>
              <w:rPr>
                <w:color w:val="auto"/>
                <w:highlight w:val="none"/>
              </w:rPr>
            </w:pPr>
          </w:p>
        </w:tc>
        <w:tc>
          <w:tcPr>
            <w:tcW w:w="1086" w:type="dxa"/>
            <w:vMerge w:val="continue"/>
            <w:vAlign w:val="center"/>
          </w:tcPr>
          <w:p>
            <w:pPr>
              <w:widowControl/>
              <w:snapToGrid w:val="0"/>
              <w:spacing w:before="72" w:beforeLines="30" w:line="360" w:lineRule="auto"/>
              <w:ind w:left="105" w:leftChars="50" w:right="105" w:rightChars="50"/>
              <w:rPr>
                <w:color w:val="auto"/>
                <w:highlight w:val="none"/>
              </w:rPr>
            </w:pPr>
          </w:p>
        </w:tc>
        <w:tc>
          <w:tcPr>
            <w:tcW w:w="1884" w:type="dxa"/>
            <w:vMerge w:val="continue"/>
            <w:vAlign w:val="center"/>
          </w:tcPr>
          <w:p>
            <w:pPr>
              <w:adjustRightInd w:val="0"/>
              <w:snapToGrid w:val="0"/>
              <w:ind w:left="-199" w:leftChars="-95" w:firstLine="115" w:firstLineChars="55"/>
              <w:jc w:val="center"/>
              <w:rPr>
                <w:color w:val="auto"/>
                <w:highlight w:val="none"/>
              </w:rPr>
            </w:pPr>
          </w:p>
        </w:tc>
        <w:tc>
          <w:tcPr>
            <w:tcW w:w="6779" w:type="dxa"/>
            <w:vAlign w:val="center"/>
          </w:tcPr>
          <w:p>
            <w:pPr>
              <w:snapToGrid w:val="0"/>
              <w:spacing w:before="156" w:beforeLines="50" w:after="156" w:afterLines="5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rPr>
              <w:t>、投标人（或联合体牵头人）具有</w:t>
            </w:r>
            <w:r>
              <w:rPr>
                <w:rFonts w:hint="eastAsia" w:asciiTheme="minorEastAsia" w:hAnsiTheme="minorEastAsia" w:eastAsiaTheme="minorEastAsia"/>
                <w:color w:val="auto"/>
                <w:sz w:val="21"/>
                <w:szCs w:val="21"/>
                <w:highlight w:val="none"/>
                <w:lang w:val="en-US" w:eastAsia="zh-CN"/>
              </w:rPr>
              <w:t>有效期内的</w:t>
            </w:r>
            <w:r>
              <w:rPr>
                <w:rFonts w:hint="eastAsia" w:cs="宋体" w:asciiTheme="minorEastAsia" w:hAnsiTheme="minorEastAsia"/>
                <w:color w:val="auto"/>
                <w:szCs w:val="21"/>
                <w:highlight w:val="none"/>
              </w:rPr>
              <w:t>知识产权管理体系认证证书、信息安全管理体系认证证书、信息技术服务管理体系认证证书、企业诚信管理体系认证证书、能源管理体系认证证书，每提供一项得1分，本项最高得</w:t>
            </w:r>
            <w:r>
              <w:rPr>
                <w:rFonts w:cs="宋体" w:asciiTheme="minorEastAsia" w:hAnsiTheme="minorEastAsia"/>
                <w:color w:val="auto"/>
                <w:szCs w:val="21"/>
                <w:highlight w:val="none"/>
              </w:rPr>
              <w:t>5</w:t>
            </w:r>
            <w:r>
              <w:rPr>
                <w:rFonts w:hint="eastAsia" w:cs="宋体" w:asciiTheme="minorEastAsia" w:hAnsiTheme="minorEastAsia"/>
                <w:color w:val="auto"/>
                <w:szCs w:val="21"/>
                <w:highlight w:val="none"/>
              </w:rPr>
              <w:t>分。</w:t>
            </w:r>
          </w:p>
          <w:p>
            <w:pPr>
              <w:spacing w:line="360" w:lineRule="auto"/>
              <w:ind w:left="105" w:leftChars="50" w:right="105" w:rightChars="50"/>
              <w:rPr>
                <w:rFonts w:hint="eastAsia" w:ascii="宋体" w:hAnsi="宋体" w:cs="宋体"/>
                <w:color w:val="auto"/>
                <w:szCs w:val="21"/>
                <w:highlight w:val="none"/>
              </w:rPr>
            </w:pPr>
            <w:r>
              <w:rPr>
                <w:rFonts w:hint="eastAsia" w:cs="宋体" w:asciiTheme="minorEastAsia" w:hAnsiTheme="minorEastAsia"/>
                <w:color w:val="auto"/>
                <w:szCs w:val="21"/>
                <w:highlight w:val="none"/>
              </w:rPr>
              <w:t>注：提供相关证书</w:t>
            </w:r>
            <w:r>
              <w:rPr>
                <w:rFonts w:hint="eastAsia" w:cs="宋体" w:asciiTheme="minorEastAsia" w:hAnsiTheme="minorEastAsia"/>
                <w:color w:val="auto"/>
                <w:szCs w:val="21"/>
                <w:highlight w:val="none"/>
                <w:lang w:eastAsia="zh-CN"/>
              </w:rPr>
              <w:t>扫描件</w:t>
            </w:r>
            <w:r>
              <w:rPr>
                <w:rFonts w:hint="eastAsia" w:cs="宋体" w:asciiTheme="minorEastAsia" w:hAnsiTheme="minorEastAsia"/>
                <w:color w:val="auto"/>
                <w:szCs w:val="21"/>
                <w:highlight w:val="none"/>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adjustRightInd w:val="0"/>
              <w:snapToGrid w:val="0"/>
              <w:spacing w:before="156" w:beforeLines="50" w:after="156" w:afterLines="50"/>
              <w:ind w:left="-21" w:leftChars="-10" w:firstLine="21" w:firstLineChars="10"/>
              <w:jc w:val="center"/>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拟投入本项目实施团队配置</w:t>
            </w:r>
          </w:p>
          <w:p>
            <w:pPr>
              <w:adjustRightInd w:val="0"/>
              <w:snapToGrid w:val="0"/>
              <w:spacing w:before="156" w:beforeLines="50" w:after="156" w:afterLines="50"/>
              <w:ind w:left="-21" w:leftChars="-10" w:firstLine="21" w:firstLineChars="10"/>
              <w:jc w:val="center"/>
              <w:rPr>
                <w:rFonts w:ascii="宋体" w:hAnsi="宋体" w:cs="宋体"/>
                <w:color w:val="auto"/>
                <w:kern w:val="0"/>
                <w:szCs w:val="21"/>
                <w:highlight w:val="none"/>
                <w:lang w:bidi="ar"/>
              </w:rPr>
            </w:pP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lang w:val="en-US" w:eastAsia="zh-CN"/>
              </w:rPr>
              <w:t>18</w:t>
            </w:r>
            <w:r>
              <w:rPr>
                <w:rFonts w:hint="eastAsia" w:cs="宋体" w:asciiTheme="minorEastAsia" w:hAnsiTheme="minorEastAsia"/>
                <w:color w:val="auto"/>
                <w:szCs w:val="21"/>
                <w:highlight w:val="none"/>
              </w:rPr>
              <w:t>分）</w:t>
            </w:r>
          </w:p>
        </w:tc>
        <w:tc>
          <w:tcPr>
            <w:tcW w:w="6779" w:type="dxa"/>
            <w:vAlign w:val="center"/>
          </w:tcPr>
          <w:p>
            <w:pPr>
              <w:pStyle w:val="2"/>
              <w:numPr>
                <w:ilvl w:val="1"/>
                <w:numId w:val="0"/>
              </w:numPr>
              <w:snapToGrid w:val="0"/>
              <w:spacing w:before="156" w:beforeLines="50" w:after="156" w:afterLines="50"/>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1</w:t>
            </w:r>
            <w:r>
              <w:rPr>
                <w:rFonts w:hint="eastAsia" w:cs="宋体" w:asciiTheme="minorEastAsia" w:hAnsiTheme="minorEastAsia" w:eastAsiaTheme="minorEastAsia"/>
                <w:b w:val="0"/>
                <w:i w:val="0"/>
                <w:color w:val="auto"/>
                <w:kern w:val="2"/>
                <w:sz w:val="21"/>
                <w:szCs w:val="21"/>
                <w:highlight w:val="none"/>
                <w:lang w:eastAsia="zh-CN"/>
              </w:rPr>
              <w:t>、</w:t>
            </w:r>
            <w:r>
              <w:rPr>
                <w:rFonts w:hint="eastAsia" w:cs="宋体" w:asciiTheme="minorEastAsia" w:hAnsiTheme="minorEastAsia" w:eastAsiaTheme="minorEastAsia"/>
                <w:b w:val="0"/>
                <w:i w:val="0"/>
                <w:color w:val="auto"/>
                <w:kern w:val="2"/>
                <w:sz w:val="21"/>
                <w:szCs w:val="21"/>
                <w:highlight w:val="none"/>
              </w:rPr>
              <w:t>拟派设计负责人要求：</w:t>
            </w:r>
          </w:p>
          <w:p>
            <w:pPr>
              <w:pStyle w:val="2"/>
              <w:numPr>
                <w:ilvl w:val="1"/>
                <w:numId w:val="0"/>
              </w:numPr>
              <w:snapToGrid w:val="0"/>
              <w:spacing w:before="156" w:beforeLines="50" w:after="156" w:afterLines="50"/>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（1）具有水利相关专业高级（或以上）技术职称的，得1分，其他情况不得分。</w:t>
            </w:r>
          </w:p>
          <w:p>
            <w:pPr>
              <w:pStyle w:val="2"/>
              <w:numPr>
                <w:ilvl w:val="1"/>
                <w:numId w:val="0"/>
              </w:numPr>
              <w:snapToGrid w:val="0"/>
              <w:spacing w:before="156" w:beforeLines="50" w:after="156" w:afterLines="50"/>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（2）具有注册土木工程师（水利水电工程-水利水电工程规划）资格，得</w:t>
            </w:r>
            <w:r>
              <w:rPr>
                <w:rFonts w:cs="宋体" w:asciiTheme="minorEastAsia" w:hAnsiTheme="minorEastAsia" w:eastAsiaTheme="minorEastAsia"/>
                <w:b w:val="0"/>
                <w:i w:val="0"/>
                <w:color w:val="auto"/>
                <w:kern w:val="2"/>
                <w:sz w:val="21"/>
                <w:szCs w:val="21"/>
                <w:highlight w:val="none"/>
              </w:rPr>
              <w:t>1</w:t>
            </w:r>
            <w:r>
              <w:rPr>
                <w:rFonts w:hint="eastAsia" w:cs="宋体"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ind w:left="575" w:hanging="575" w:hangingChars="274"/>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（3）具有注册咨询工程师（水利水电）资格，得</w:t>
            </w:r>
            <w:r>
              <w:rPr>
                <w:rFonts w:cs="宋体" w:asciiTheme="minorEastAsia" w:hAnsiTheme="minorEastAsia" w:eastAsiaTheme="minorEastAsia"/>
                <w:b w:val="0"/>
                <w:i w:val="0"/>
                <w:color w:val="auto"/>
                <w:kern w:val="2"/>
                <w:sz w:val="21"/>
                <w:szCs w:val="21"/>
                <w:highlight w:val="none"/>
              </w:rPr>
              <w:t>1</w:t>
            </w:r>
            <w:r>
              <w:rPr>
                <w:rFonts w:hint="eastAsia" w:cs="宋体"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jc w:val="both"/>
              <w:rPr>
                <w:rFonts w:cs="宋体" w:asciiTheme="minorEastAsia" w:hAnsiTheme="minorEastAsia" w:eastAsiaTheme="minorEastAsia"/>
                <w:bCs/>
                <w:i w:val="0"/>
                <w:color w:val="auto"/>
                <w:kern w:val="2"/>
                <w:sz w:val="21"/>
                <w:szCs w:val="21"/>
                <w:highlight w:val="none"/>
              </w:rPr>
            </w:pPr>
            <w:r>
              <w:rPr>
                <w:rFonts w:hint="eastAsia" w:cs="宋体" w:asciiTheme="minorEastAsia" w:hAnsiTheme="minorEastAsia" w:eastAsiaTheme="minorEastAsia"/>
                <w:bCs/>
                <w:i w:val="0"/>
                <w:color w:val="auto"/>
                <w:kern w:val="2"/>
                <w:sz w:val="21"/>
                <w:szCs w:val="21"/>
                <w:highlight w:val="none"/>
              </w:rPr>
              <w:t>注：本项最高得</w:t>
            </w:r>
            <w:r>
              <w:rPr>
                <w:rFonts w:hint="eastAsia" w:cs="宋体" w:asciiTheme="minorEastAsia" w:hAnsiTheme="minorEastAsia" w:eastAsiaTheme="minorEastAsia"/>
                <w:bCs/>
                <w:i w:val="0"/>
                <w:color w:val="auto"/>
                <w:kern w:val="2"/>
                <w:sz w:val="21"/>
                <w:szCs w:val="21"/>
                <w:highlight w:val="none"/>
                <w:lang w:val="en-US" w:eastAsia="zh-CN"/>
              </w:rPr>
              <w:t>3</w:t>
            </w:r>
            <w:r>
              <w:rPr>
                <w:rFonts w:hint="eastAsia" w:cs="宋体" w:asciiTheme="minorEastAsia" w:hAnsiTheme="minorEastAsia" w:eastAsiaTheme="minorEastAsia"/>
                <w:bCs/>
                <w:i w:val="0"/>
                <w:color w:val="auto"/>
                <w:kern w:val="2"/>
                <w:sz w:val="21"/>
                <w:szCs w:val="21"/>
                <w:highlight w:val="none"/>
              </w:rPr>
              <w:t>分。上述人员需同时提供：①毕业证书</w:t>
            </w:r>
            <w:r>
              <w:rPr>
                <w:rFonts w:hint="eastAsia" w:cs="宋体" w:asciiTheme="minorEastAsia" w:hAnsiTheme="minorEastAsia" w:eastAsiaTheme="minorEastAsia"/>
                <w:bCs/>
                <w:i w:val="0"/>
                <w:color w:val="auto"/>
                <w:kern w:val="2"/>
                <w:sz w:val="21"/>
                <w:szCs w:val="21"/>
                <w:highlight w:val="none"/>
                <w:lang w:eastAsia="zh-CN"/>
              </w:rPr>
              <w:t>扫描件</w:t>
            </w:r>
            <w:r>
              <w:rPr>
                <w:rFonts w:hint="eastAsia" w:cs="宋体" w:asciiTheme="minorEastAsia" w:hAnsiTheme="minorEastAsia" w:eastAsiaTheme="minorEastAsia"/>
                <w:bCs/>
                <w:i w:val="0"/>
                <w:color w:val="auto"/>
                <w:kern w:val="2"/>
                <w:sz w:val="21"/>
                <w:szCs w:val="21"/>
                <w:highlight w:val="none"/>
              </w:rPr>
              <w:t>；②职称证书及相关证书</w:t>
            </w:r>
            <w:r>
              <w:rPr>
                <w:rFonts w:hint="eastAsia" w:cs="宋体" w:asciiTheme="minorEastAsia" w:hAnsiTheme="minorEastAsia" w:eastAsiaTheme="minorEastAsia"/>
                <w:bCs/>
                <w:i w:val="0"/>
                <w:color w:val="auto"/>
                <w:kern w:val="2"/>
                <w:sz w:val="21"/>
                <w:szCs w:val="21"/>
                <w:highlight w:val="none"/>
                <w:lang w:eastAsia="zh-CN"/>
              </w:rPr>
              <w:t>扫描件</w:t>
            </w:r>
            <w:r>
              <w:rPr>
                <w:rFonts w:hint="eastAsia" w:cs="宋体" w:asciiTheme="minorEastAsia" w:hAnsiTheme="minorEastAsia" w:eastAsiaTheme="minorEastAsia"/>
                <w:bCs/>
                <w:i w:val="0"/>
                <w:color w:val="auto"/>
                <w:kern w:val="2"/>
                <w:sz w:val="21"/>
                <w:szCs w:val="21"/>
                <w:highlight w:val="none"/>
              </w:rPr>
              <w:t>；③身份证及近</w:t>
            </w:r>
            <w:r>
              <w:rPr>
                <w:rFonts w:hint="eastAsia" w:cs="宋体" w:asciiTheme="minorEastAsia" w:hAnsiTheme="minorEastAsia" w:eastAsiaTheme="minorEastAsia"/>
                <w:bCs/>
                <w:i w:val="0"/>
                <w:color w:val="auto"/>
                <w:kern w:val="2"/>
                <w:sz w:val="21"/>
                <w:szCs w:val="21"/>
                <w:highlight w:val="none"/>
                <w:lang w:eastAsia="zh-CN"/>
              </w:rPr>
              <w:t>3个月</w:t>
            </w:r>
            <w:r>
              <w:rPr>
                <w:rFonts w:hint="eastAsia" w:cs="宋体" w:asciiTheme="minorEastAsia" w:hAnsiTheme="minorEastAsia" w:eastAsiaTheme="minorEastAsia"/>
                <w:bCs/>
                <w:i w:val="0"/>
                <w:color w:val="auto"/>
                <w:kern w:val="2"/>
                <w:sz w:val="21"/>
                <w:szCs w:val="21"/>
                <w:highlight w:val="none"/>
              </w:rPr>
              <w:t>（不含开标当月）的社保证明的</w:t>
            </w:r>
            <w:r>
              <w:rPr>
                <w:rFonts w:hint="eastAsia" w:cs="宋体" w:asciiTheme="minorEastAsia" w:hAnsiTheme="minorEastAsia" w:eastAsiaTheme="minorEastAsia"/>
                <w:bCs/>
                <w:i w:val="0"/>
                <w:color w:val="auto"/>
                <w:kern w:val="2"/>
                <w:sz w:val="21"/>
                <w:szCs w:val="21"/>
                <w:highlight w:val="none"/>
                <w:lang w:eastAsia="zh-CN"/>
              </w:rPr>
              <w:t>扫描件</w:t>
            </w:r>
            <w:r>
              <w:rPr>
                <w:rFonts w:hint="eastAsia" w:cs="宋体" w:asciiTheme="minorEastAsia" w:hAnsiTheme="minorEastAsia" w:eastAsiaTheme="minorEastAsia"/>
                <w:bCs/>
                <w:i w:val="0"/>
                <w:color w:val="auto"/>
                <w:kern w:val="2"/>
                <w:sz w:val="21"/>
                <w:szCs w:val="21"/>
                <w:highlight w:val="none"/>
              </w:rPr>
              <w:t>；④说明：与水利相关的专业，包括水利规划、水文、农水、水工结构、水工建筑、水利水电等专业。</w:t>
            </w:r>
          </w:p>
          <w:p>
            <w:pPr>
              <w:pStyle w:val="2"/>
              <w:numPr>
                <w:ilvl w:val="1"/>
                <w:numId w:val="0"/>
              </w:numPr>
              <w:snapToGrid w:val="0"/>
              <w:spacing w:before="156" w:beforeLines="50" w:after="156" w:afterLines="50"/>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2</w:t>
            </w:r>
            <w:r>
              <w:rPr>
                <w:rFonts w:hint="eastAsia" w:cs="宋体" w:asciiTheme="minorEastAsia" w:hAnsiTheme="minorEastAsia" w:eastAsiaTheme="minorEastAsia"/>
                <w:b w:val="0"/>
                <w:i w:val="0"/>
                <w:color w:val="auto"/>
                <w:kern w:val="2"/>
                <w:sz w:val="21"/>
                <w:szCs w:val="21"/>
                <w:highlight w:val="none"/>
                <w:lang w:eastAsia="zh-CN"/>
              </w:rPr>
              <w:t>、</w:t>
            </w:r>
            <w:r>
              <w:rPr>
                <w:rFonts w:hint="eastAsia" w:cs="宋体" w:asciiTheme="minorEastAsia" w:hAnsiTheme="minorEastAsia" w:eastAsiaTheme="minorEastAsia"/>
                <w:b w:val="0"/>
                <w:i w:val="0"/>
                <w:color w:val="auto"/>
                <w:kern w:val="2"/>
                <w:sz w:val="21"/>
                <w:szCs w:val="21"/>
                <w:highlight w:val="none"/>
              </w:rPr>
              <w:t>拟派勘察负责人要求：</w:t>
            </w:r>
          </w:p>
          <w:p>
            <w:pPr>
              <w:pStyle w:val="2"/>
              <w:numPr>
                <w:ilvl w:val="1"/>
                <w:numId w:val="0"/>
              </w:numPr>
              <w:snapToGrid w:val="0"/>
              <w:spacing w:before="156" w:beforeLines="50" w:after="156" w:afterLines="50"/>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（1）具有岩土或地质类相关专业高级（或以上）技术职称的，得1分，其他情况不得分。</w:t>
            </w:r>
          </w:p>
          <w:p>
            <w:pPr>
              <w:pStyle w:val="2"/>
              <w:numPr>
                <w:ilvl w:val="1"/>
                <w:numId w:val="0"/>
              </w:numPr>
              <w:snapToGrid w:val="0"/>
              <w:spacing w:before="156" w:beforeLines="50" w:after="156" w:afterLines="50"/>
              <w:ind w:left="575" w:hanging="575" w:hangingChars="274"/>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（2）具有注册土木工程师（岩土）注册执业证书，得</w:t>
            </w:r>
            <w:r>
              <w:rPr>
                <w:rFonts w:cs="宋体" w:asciiTheme="minorEastAsia" w:hAnsiTheme="minorEastAsia" w:eastAsiaTheme="minorEastAsia"/>
                <w:b w:val="0"/>
                <w:i w:val="0"/>
                <w:color w:val="auto"/>
                <w:kern w:val="2"/>
                <w:sz w:val="21"/>
                <w:szCs w:val="21"/>
                <w:highlight w:val="none"/>
              </w:rPr>
              <w:t>1</w:t>
            </w:r>
            <w:r>
              <w:rPr>
                <w:rFonts w:hint="eastAsia" w:cs="宋体"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ind w:left="575" w:hanging="575" w:hangingChars="274"/>
              <w:jc w:val="both"/>
              <w:rPr>
                <w:rFonts w:cs="宋体"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 w:val="0"/>
                <w:i w:val="0"/>
                <w:color w:val="auto"/>
                <w:kern w:val="2"/>
                <w:sz w:val="21"/>
                <w:szCs w:val="21"/>
                <w:highlight w:val="none"/>
              </w:rPr>
              <w:t>（3）具有注册安全工程师执业资格证，得</w:t>
            </w:r>
            <w:r>
              <w:rPr>
                <w:rFonts w:cs="宋体" w:asciiTheme="minorEastAsia" w:hAnsiTheme="minorEastAsia" w:eastAsiaTheme="minorEastAsia"/>
                <w:b w:val="0"/>
                <w:i w:val="0"/>
                <w:color w:val="auto"/>
                <w:kern w:val="2"/>
                <w:sz w:val="21"/>
                <w:szCs w:val="21"/>
                <w:highlight w:val="none"/>
              </w:rPr>
              <w:t>1</w:t>
            </w:r>
            <w:r>
              <w:rPr>
                <w:rFonts w:hint="eastAsia" w:cs="宋体"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jc w:val="both"/>
              <w:rPr>
                <w:rFonts w:asciiTheme="minorEastAsia" w:hAnsiTheme="minorEastAsia" w:eastAsiaTheme="minorEastAsia"/>
                <w:b w:val="0"/>
                <w:i w:val="0"/>
                <w:color w:val="auto"/>
                <w:kern w:val="2"/>
                <w:sz w:val="21"/>
                <w:szCs w:val="21"/>
                <w:highlight w:val="none"/>
              </w:rPr>
            </w:pPr>
            <w:r>
              <w:rPr>
                <w:rFonts w:hint="eastAsia" w:cs="宋体" w:asciiTheme="minorEastAsia" w:hAnsiTheme="minorEastAsia" w:eastAsiaTheme="minorEastAsia"/>
                <w:bCs/>
                <w:i w:val="0"/>
                <w:color w:val="auto"/>
                <w:kern w:val="2"/>
                <w:sz w:val="21"/>
                <w:szCs w:val="21"/>
                <w:highlight w:val="none"/>
              </w:rPr>
              <w:t>注：本项最高得</w:t>
            </w:r>
            <w:r>
              <w:rPr>
                <w:rFonts w:hint="eastAsia" w:cs="宋体" w:asciiTheme="minorEastAsia" w:hAnsiTheme="minorEastAsia" w:eastAsiaTheme="minorEastAsia"/>
                <w:bCs/>
                <w:i w:val="0"/>
                <w:color w:val="auto"/>
                <w:kern w:val="2"/>
                <w:sz w:val="21"/>
                <w:szCs w:val="21"/>
                <w:highlight w:val="none"/>
                <w:lang w:val="en-US" w:eastAsia="zh-CN"/>
              </w:rPr>
              <w:t>3</w:t>
            </w:r>
            <w:r>
              <w:rPr>
                <w:rFonts w:hint="eastAsia" w:cs="宋体" w:asciiTheme="minorEastAsia" w:hAnsiTheme="minorEastAsia" w:eastAsiaTheme="minorEastAsia"/>
                <w:bCs/>
                <w:i w:val="0"/>
                <w:color w:val="auto"/>
                <w:kern w:val="2"/>
                <w:sz w:val="21"/>
                <w:szCs w:val="21"/>
                <w:highlight w:val="none"/>
              </w:rPr>
              <w:t>分。上述人员需同时提供：①毕业证书</w:t>
            </w:r>
            <w:r>
              <w:rPr>
                <w:rFonts w:hint="eastAsia" w:cs="宋体" w:asciiTheme="minorEastAsia" w:hAnsiTheme="minorEastAsia" w:eastAsiaTheme="minorEastAsia"/>
                <w:bCs/>
                <w:i w:val="0"/>
                <w:color w:val="auto"/>
                <w:kern w:val="2"/>
                <w:sz w:val="21"/>
                <w:szCs w:val="21"/>
                <w:highlight w:val="none"/>
                <w:lang w:eastAsia="zh-CN"/>
              </w:rPr>
              <w:t>扫描件</w:t>
            </w:r>
            <w:r>
              <w:rPr>
                <w:rFonts w:hint="eastAsia" w:cs="宋体" w:asciiTheme="minorEastAsia" w:hAnsiTheme="minorEastAsia" w:eastAsiaTheme="minorEastAsia"/>
                <w:bCs/>
                <w:i w:val="0"/>
                <w:color w:val="auto"/>
                <w:kern w:val="2"/>
                <w:sz w:val="21"/>
                <w:szCs w:val="21"/>
                <w:highlight w:val="none"/>
              </w:rPr>
              <w:t>；②职称证书及相关证书</w:t>
            </w:r>
            <w:r>
              <w:rPr>
                <w:rFonts w:hint="eastAsia" w:cs="宋体" w:asciiTheme="minorEastAsia" w:hAnsiTheme="minorEastAsia" w:eastAsiaTheme="minorEastAsia"/>
                <w:bCs/>
                <w:i w:val="0"/>
                <w:color w:val="auto"/>
                <w:kern w:val="2"/>
                <w:sz w:val="21"/>
                <w:szCs w:val="21"/>
                <w:highlight w:val="none"/>
                <w:lang w:eastAsia="zh-CN"/>
              </w:rPr>
              <w:t>扫描件</w:t>
            </w:r>
            <w:r>
              <w:rPr>
                <w:rFonts w:hint="eastAsia" w:cs="宋体" w:asciiTheme="minorEastAsia" w:hAnsiTheme="minorEastAsia" w:eastAsiaTheme="minorEastAsia"/>
                <w:bCs/>
                <w:i w:val="0"/>
                <w:color w:val="auto"/>
                <w:kern w:val="2"/>
                <w:sz w:val="21"/>
                <w:szCs w:val="21"/>
                <w:highlight w:val="none"/>
              </w:rPr>
              <w:t>；③身份证及近</w:t>
            </w:r>
            <w:r>
              <w:rPr>
                <w:rFonts w:hint="eastAsia" w:cs="宋体" w:asciiTheme="minorEastAsia" w:hAnsiTheme="minorEastAsia" w:eastAsiaTheme="minorEastAsia"/>
                <w:bCs/>
                <w:i w:val="0"/>
                <w:color w:val="auto"/>
                <w:kern w:val="2"/>
                <w:sz w:val="21"/>
                <w:szCs w:val="21"/>
                <w:highlight w:val="none"/>
                <w:lang w:eastAsia="zh-CN"/>
              </w:rPr>
              <w:t>3个月</w:t>
            </w:r>
            <w:r>
              <w:rPr>
                <w:rFonts w:hint="eastAsia" w:cs="宋体" w:asciiTheme="minorEastAsia" w:hAnsiTheme="minorEastAsia" w:eastAsiaTheme="minorEastAsia"/>
                <w:bCs/>
                <w:i w:val="0"/>
                <w:color w:val="auto"/>
                <w:kern w:val="2"/>
                <w:sz w:val="21"/>
                <w:szCs w:val="21"/>
                <w:highlight w:val="none"/>
              </w:rPr>
              <w:t>（不含开标当月）的社保证明的</w:t>
            </w:r>
            <w:r>
              <w:rPr>
                <w:rFonts w:hint="eastAsia" w:cs="宋体" w:asciiTheme="minorEastAsia" w:hAnsiTheme="minorEastAsia" w:eastAsiaTheme="minorEastAsia"/>
                <w:bCs/>
                <w:i w:val="0"/>
                <w:color w:val="auto"/>
                <w:kern w:val="2"/>
                <w:sz w:val="21"/>
                <w:szCs w:val="21"/>
                <w:highlight w:val="none"/>
                <w:lang w:eastAsia="zh-CN"/>
              </w:rPr>
              <w:t>扫描件</w:t>
            </w:r>
            <w:r>
              <w:rPr>
                <w:rFonts w:hint="eastAsia" w:cs="宋体" w:asciiTheme="minorEastAsia" w:hAnsiTheme="minorEastAsia" w:eastAsiaTheme="minorEastAsia"/>
                <w:bCs/>
                <w:i w:val="0"/>
                <w:color w:val="auto"/>
                <w:kern w:val="2"/>
                <w:sz w:val="21"/>
                <w:szCs w:val="21"/>
                <w:highlight w:val="none"/>
              </w:rPr>
              <w:t>。</w:t>
            </w:r>
          </w:p>
          <w:p>
            <w:pPr>
              <w:pStyle w:val="2"/>
              <w:numPr>
                <w:ilvl w:val="1"/>
                <w:numId w:val="0"/>
              </w:numPr>
              <w:snapToGrid w:val="0"/>
              <w:spacing w:before="156" w:beforeLines="50" w:after="156" w:afterLines="50"/>
              <w:jc w:val="both"/>
              <w:rPr>
                <w:rFonts w:asciiTheme="minorEastAsia" w:hAnsiTheme="minorEastAsia" w:eastAsiaTheme="minorEastAsia"/>
                <w:b w:val="0"/>
                <w:i w:val="0"/>
                <w:color w:val="auto"/>
                <w:kern w:val="2"/>
                <w:sz w:val="21"/>
                <w:szCs w:val="21"/>
                <w:highlight w:val="none"/>
              </w:rPr>
            </w:pPr>
            <w:r>
              <w:rPr>
                <w:rFonts w:asciiTheme="minorEastAsia" w:hAnsiTheme="minorEastAsia" w:eastAsiaTheme="minorEastAsia"/>
                <w:b w:val="0"/>
                <w:i w:val="0"/>
                <w:color w:val="auto"/>
                <w:kern w:val="2"/>
                <w:sz w:val="21"/>
                <w:szCs w:val="21"/>
                <w:highlight w:val="none"/>
              </w:rPr>
              <w:t>3</w:t>
            </w:r>
            <w:r>
              <w:rPr>
                <w:rFonts w:hint="eastAsia" w:asciiTheme="minorEastAsia" w:hAnsiTheme="minorEastAsia" w:eastAsiaTheme="minorEastAsia"/>
                <w:b w:val="0"/>
                <w:i w:val="0"/>
                <w:color w:val="auto"/>
                <w:kern w:val="2"/>
                <w:sz w:val="21"/>
                <w:szCs w:val="21"/>
                <w:highlight w:val="none"/>
                <w:lang w:eastAsia="zh-CN"/>
              </w:rPr>
              <w:t>、</w:t>
            </w:r>
            <w:r>
              <w:rPr>
                <w:rFonts w:hint="eastAsia" w:asciiTheme="minorEastAsia" w:hAnsiTheme="minorEastAsia" w:eastAsiaTheme="minorEastAsia"/>
                <w:b w:val="0"/>
                <w:i w:val="0"/>
                <w:color w:val="auto"/>
                <w:kern w:val="2"/>
                <w:sz w:val="21"/>
                <w:szCs w:val="21"/>
                <w:highlight w:val="none"/>
              </w:rPr>
              <w:t>投标人拟投入本项目团队人员情况（设计负责人、勘察负责人除外）：</w:t>
            </w:r>
          </w:p>
          <w:p>
            <w:pPr>
              <w:pStyle w:val="2"/>
              <w:numPr>
                <w:ilvl w:val="1"/>
                <w:numId w:val="0"/>
              </w:numPr>
              <w:snapToGrid w:val="0"/>
              <w:spacing w:before="156" w:beforeLines="50" w:after="156" w:afterLines="50"/>
              <w:jc w:val="both"/>
              <w:rPr>
                <w:rFonts w:asciiTheme="minorEastAsia" w:hAnsiTheme="minorEastAsia" w:eastAsiaTheme="minorEastAsia"/>
                <w:b w:val="0"/>
                <w:i w:val="0"/>
                <w:color w:val="auto"/>
                <w:kern w:val="2"/>
                <w:sz w:val="21"/>
                <w:szCs w:val="21"/>
                <w:highlight w:val="none"/>
              </w:rPr>
            </w:pPr>
            <w:r>
              <w:rPr>
                <w:rFonts w:hint="eastAsia" w:asciiTheme="minorEastAsia" w:hAnsiTheme="minorEastAsia" w:eastAsiaTheme="minorEastAsia"/>
                <w:b w:val="0"/>
                <w:i w:val="0"/>
                <w:color w:val="auto"/>
                <w:kern w:val="2"/>
                <w:sz w:val="21"/>
                <w:szCs w:val="21"/>
                <w:highlight w:val="none"/>
              </w:rPr>
              <w:t>（1）配备勘察专业人员：具备工程类高级工程师及以上职称得</w:t>
            </w:r>
            <w:r>
              <w:rPr>
                <w:rFonts w:asciiTheme="minorEastAsia" w:hAnsiTheme="minorEastAsia" w:eastAsiaTheme="minorEastAsia"/>
                <w:b w:val="0"/>
                <w:i w:val="0"/>
                <w:color w:val="auto"/>
                <w:kern w:val="2"/>
                <w:sz w:val="21"/>
                <w:szCs w:val="21"/>
                <w:highlight w:val="none"/>
              </w:rPr>
              <w:t>1</w:t>
            </w:r>
            <w:r>
              <w:rPr>
                <w:rFonts w:hint="eastAsia" w:asciiTheme="minorEastAsia" w:hAnsiTheme="minorEastAsia" w:eastAsiaTheme="minorEastAsia"/>
                <w:b w:val="0"/>
                <w:i w:val="0"/>
                <w:color w:val="auto"/>
                <w:kern w:val="2"/>
                <w:sz w:val="21"/>
                <w:szCs w:val="21"/>
                <w:highlight w:val="none"/>
              </w:rPr>
              <w:t>分，同时具备注册土木工程师（岩土）执业资格证书得1分，本项最高得2分。</w:t>
            </w:r>
          </w:p>
          <w:p>
            <w:pPr>
              <w:pStyle w:val="2"/>
              <w:numPr>
                <w:ilvl w:val="1"/>
                <w:numId w:val="0"/>
              </w:numPr>
              <w:snapToGrid w:val="0"/>
              <w:spacing w:before="156" w:beforeLines="50" w:after="156" w:afterLines="50"/>
              <w:jc w:val="both"/>
              <w:rPr>
                <w:rFonts w:asciiTheme="minorEastAsia" w:hAnsiTheme="minorEastAsia" w:eastAsiaTheme="minorEastAsia"/>
                <w:b w:val="0"/>
                <w:i w:val="0"/>
                <w:color w:val="auto"/>
                <w:kern w:val="2"/>
                <w:sz w:val="21"/>
                <w:szCs w:val="21"/>
                <w:highlight w:val="none"/>
              </w:rPr>
            </w:pPr>
            <w:r>
              <w:rPr>
                <w:rFonts w:hint="eastAsia" w:asciiTheme="minorEastAsia" w:hAnsiTheme="minorEastAsia" w:eastAsiaTheme="minorEastAsia"/>
                <w:b w:val="0"/>
                <w:i w:val="0"/>
                <w:color w:val="auto"/>
                <w:kern w:val="2"/>
                <w:sz w:val="21"/>
                <w:szCs w:val="21"/>
                <w:highlight w:val="none"/>
              </w:rPr>
              <w:t>（2）配备水利专业人员：具备水利工程类高级工程师及以上职称得</w:t>
            </w:r>
            <w:r>
              <w:rPr>
                <w:rFonts w:asciiTheme="minorEastAsia" w:hAnsiTheme="minorEastAsia" w:eastAsiaTheme="minorEastAsia"/>
                <w:b w:val="0"/>
                <w:i w:val="0"/>
                <w:color w:val="auto"/>
                <w:kern w:val="2"/>
                <w:sz w:val="21"/>
                <w:szCs w:val="21"/>
                <w:highlight w:val="none"/>
              </w:rPr>
              <w:t>1</w:t>
            </w:r>
            <w:r>
              <w:rPr>
                <w:rFonts w:hint="eastAsia" w:asciiTheme="minorEastAsia" w:hAnsiTheme="minorEastAsia" w:eastAsiaTheme="minorEastAsia"/>
                <w:b w:val="0"/>
                <w:i w:val="0"/>
                <w:color w:val="auto"/>
                <w:kern w:val="2"/>
                <w:sz w:val="21"/>
                <w:szCs w:val="21"/>
                <w:highlight w:val="none"/>
              </w:rPr>
              <w:t>分，同时具备注册土木工程师（水利水电工程）资格证书得1分，本项最高得</w:t>
            </w:r>
            <w:r>
              <w:rPr>
                <w:rFonts w:asciiTheme="minorEastAsia" w:hAnsiTheme="minorEastAsia" w:eastAsiaTheme="minorEastAsia"/>
                <w:b w:val="0"/>
                <w:i w:val="0"/>
                <w:color w:val="auto"/>
                <w:kern w:val="2"/>
                <w:sz w:val="21"/>
                <w:szCs w:val="21"/>
                <w:highlight w:val="none"/>
              </w:rPr>
              <w:t>2</w:t>
            </w:r>
            <w:r>
              <w:rPr>
                <w:rFonts w:hint="eastAsia"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jc w:val="both"/>
              <w:rPr>
                <w:rFonts w:asciiTheme="minorEastAsia" w:hAnsiTheme="minorEastAsia" w:eastAsiaTheme="minorEastAsia"/>
                <w:b w:val="0"/>
                <w:i w:val="0"/>
                <w:color w:val="auto"/>
                <w:kern w:val="2"/>
                <w:sz w:val="21"/>
                <w:szCs w:val="21"/>
                <w:highlight w:val="none"/>
              </w:rPr>
            </w:pPr>
            <w:r>
              <w:rPr>
                <w:rFonts w:hint="eastAsia" w:asciiTheme="minorEastAsia" w:hAnsiTheme="minorEastAsia" w:eastAsiaTheme="minorEastAsia"/>
                <w:b w:val="0"/>
                <w:i w:val="0"/>
                <w:color w:val="auto"/>
                <w:kern w:val="2"/>
                <w:sz w:val="21"/>
                <w:szCs w:val="21"/>
                <w:highlight w:val="none"/>
              </w:rPr>
              <w:t>（</w:t>
            </w:r>
            <w:r>
              <w:rPr>
                <w:rFonts w:asciiTheme="minorEastAsia" w:hAnsiTheme="minorEastAsia" w:eastAsiaTheme="minorEastAsia"/>
                <w:b w:val="0"/>
                <w:i w:val="0"/>
                <w:color w:val="auto"/>
                <w:kern w:val="2"/>
                <w:sz w:val="21"/>
                <w:szCs w:val="21"/>
                <w:highlight w:val="none"/>
              </w:rPr>
              <w:t>3</w:t>
            </w:r>
            <w:r>
              <w:rPr>
                <w:rFonts w:hint="eastAsia" w:asciiTheme="minorEastAsia" w:hAnsiTheme="minorEastAsia" w:eastAsiaTheme="minorEastAsia"/>
                <w:b w:val="0"/>
                <w:i w:val="0"/>
                <w:color w:val="auto"/>
                <w:kern w:val="2"/>
                <w:sz w:val="21"/>
                <w:szCs w:val="21"/>
                <w:highlight w:val="none"/>
              </w:rPr>
              <w:t>）配备水文水资源专业人员：具备水文水资源专业高级工程师及以上职称得</w:t>
            </w:r>
            <w:r>
              <w:rPr>
                <w:rFonts w:asciiTheme="minorEastAsia" w:hAnsiTheme="minorEastAsia" w:eastAsiaTheme="minorEastAsia"/>
                <w:b w:val="0"/>
                <w:i w:val="0"/>
                <w:color w:val="auto"/>
                <w:kern w:val="2"/>
                <w:sz w:val="21"/>
                <w:szCs w:val="21"/>
                <w:highlight w:val="none"/>
              </w:rPr>
              <w:t>1</w:t>
            </w:r>
            <w:r>
              <w:rPr>
                <w:rFonts w:hint="eastAsia" w:asciiTheme="minorEastAsia" w:hAnsiTheme="minorEastAsia" w:eastAsiaTheme="minorEastAsia"/>
                <w:b w:val="0"/>
                <w:i w:val="0"/>
                <w:color w:val="auto"/>
                <w:kern w:val="2"/>
                <w:sz w:val="21"/>
                <w:szCs w:val="21"/>
                <w:highlight w:val="none"/>
              </w:rPr>
              <w:t>分，同时具备注册土木工程师（水利水电工程）资格证书得1分，本项最高得</w:t>
            </w:r>
            <w:r>
              <w:rPr>
                <w:rFonts w:asciiTheme="minorEastAsia" w:hAnsiTheme="minorEastAsia" w:eastAsiaTheme="minorEastAsia"/>
                <w:b w:val="0"/>
                <w:i w:val="0"/>
                <w:color w:val="auto"/>
                <w:kern w:val="2"/>
                <w:sz w:val="21"/>
                <w:szCs w:val="21"/>
                <w:highlight w:val="none"/>
              </w:rPr>
              <w:t>2</w:t>
            </w:r>
            <w:r>
              <w:rPr>
                <w:rFonts w:hint="eastAsia"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jc w:val="both"/>
              <w:rPr>
                <w:rFonts w:asciiTheme="minorEastAsia" w:hAnsiTheme="minorEastAsia" w:eastAsiaTheme="minorEastAsia"/>
                <w:b w:val="0"/>
                <w:i w:val="0"/>
                <w:color w:val="auto"/>
                <w:kern w:val="2"/>
                <w:sz w:val="21"/>
                <w:szCs w:val="21"/>
                <w:highlight w:val="none"/>
              </w:rPr>
            </w:pPr>
            <w:r>
              <w:rPr>
                <w:rFonts w:hint="eastAsia" w:asciiTheme="minorEastAsia" w:hAnsiTheme="minorEastAsia" w:eastAsiaTheme="minorEastAsia"/>
                <w:b w:val="0"/>
                <w:i w:val="0"/>
                <w:color w:val="auto"/>
                <w:kern w:val="2"/>
                <w:sz w:val="21"/>
                <w:szCs w:val="21"/>
                <w:highlight w:val="none"/>
              </w:rPr>
              <w:t>（</w:t>
            </w:r>
            <w:r>
              <w:rPr>
                <w:rFonts w:asciiTheme="minorEastAsia" w:hAnsiTheme="minorEastAsia" w:eastAsiaTheme="minorEastAsia"/>
                <w:b w:val="0"/>
                <w:i w:val="0"/>
                <w:color w:val="auto"/>
                <w:kern w:val="2"/>
                <w:sz w:val="21"/>
                <w:szCs w:val="21"/>
                <w:highlight w:val="none"/>
              </w:rPr>
              <w:t>4</w:t>
            </w:r>
            <w:r>
              <w:rPr>
                <w:rFonts w:hint="eastAsia" w:asciiTheme="minorEastAsia" w:hAnsiTheme="minorEastAsia" w:eastAsiaTheme="minorEastAsia"/>
                <w:b w:val="0"/>
                <w:i w:val="0"/>
                <w:color w:val="auto"/>
                <w:kern w:val="2"/>
                <w:sz w:val="21"/>
                <w:szCs w:val="21"/>
                <w:highlight w:val="none"/>
              </w:rPr>
              <w:t>）配备水土保持专业人员：具备水土保持专业高级工程师及以上职称得</w:t>
            </w:r>
            <w:r>
              <w:rPr>
                <w:rFonts w:asciiTheme="minorEastAsia" w:hAnsiTheme="minorEastAsia" w:eastAsiaTheme="minorEastAsia"/>
                <w:b w:val="0"/>
                <w:i w:val="0"/>
                <w:color w:val="auto"/>
                <w:kern w:val="2"/>
                <w:sz w:val="21"/>
                <w:szCs w:val="21"/>
                <w:highlight w:val="none"/>
              </w:rPr>
              <w:t>1</w:t>
            </w:r>
            <w:r>
              <w:rPr>
                <w:rFonts w:hint="eastAsia" w:asciiTheme="minorEastAsia" w:hAnsiTheme="minorEastAsia" w:eastAsiaTheme="minorEastAsia"/>
                <w:b w:val="0"/>
                <w:i w:val="0"/>
                <w:color w:val="auto"/>
                <w:kern w:val="2"/>
                <w:sz w:val="21"/>
                <w:szCs w:val="21"/>
                <w:highlight w:val="none"/>
              </w:rPr>
              <w:t>分，同时具备注册土木工程师（水利水电工程水土保持）资格证书得1分，本项最高得</w:t>
            </w:r>
            <w:r>
              <w:rPr>
                <w:rFonts w:asciiTheme="minorEastAsia" w:hAnsiTheme="minorEastAsia" w:eastAsiaTheme="minorEastAsia"/>
                <w:b w:val="0"/>
                <w:i w:val="0"/>
                <w:color w:val="auto"/>
                <w:kern w:val="2"/>
                <w:sz w:val="21"/>
                <w:szCs w:val="21"/>
                <w:highlight w:val="none"/>
              </w:rPr>
              <w:t>2</w:t>
            </w:r>
            <w:r>
              <w:rPr>
                <w:rFonts w:hint="eastAsia" w:asciiTheme="minorEastAsia" w:hAnsiTheme="minorEastAsia" w:eastAsiaTheme="minorEastAsia"/>
                <w:b w:val="0"/>
                <w:i w:val="0"/>
                <w:color w:val="auto"/>
                <w:kern w:val="2"/>
                <w:sz w:val="21"/>
                <w:szCs w:val="21"/>
                <w:highlight w:val="none"/>
              </w:rPr>
              <w:t>分。</w:t>
            </w:r>
          </w:p>
          <w:p>
            <w:pPr>
              <w:pStyle w:val="2"/>
              <w:numPr>
                <w:ilvl w:val="1"/>
                <w:numId w:val="0"/>
              </w:numPr>
              <w:snapToGrid w:val="0"/>
              <w:spacing w:before="156" w:beforeLines="50" w:after="156" w:afterLines="50"/>
              <w:jc w:val="both"/>
              <w:rPr>
                <w:rFonts w:hint="eastAsia" w:asciiTheme="minorEastAsia" w:hAnsiTheme="minorEastAsia" w:eastAsiaTheme="minorEastAsia"/>
                <w:b w:val="0"/>
                <w:i w:val="0"/>
                <w:color w:val="auto"/>
                <w:kern w:val="2"/>
                <w:sz w:val="21"/>
                <w:szCs w:val="21"/>
                <w:highlight w:val="none"/>
              </w:rPr>
            </w:pPr>
            <w:r>
              <w:rPr>
                <w:rFonts w:hint="eastAsia" w:asciiTheme="minorEastAsia" w:hAnsiTheme="minorEastAsia" w:eastAsiaTheme="minorEastAsia"/>
                <w:b w:val="0"/>
                <w:i w:val="0"/>
                <w:color w:val="auto"/>
                <w:kern w:val="2"/>
                <w:sz w:val="21"/>
                <w:szCs w:val="21"/>
                <w:highlight w:val="none"/>
                <w:lang w:val="en-US" w:eastAsia="zh-CN"/>
              </w:rPr>
              <w:t>（5）配备</w:t>
            </w:r>
            <w:r>
              <w:rPr>
                <w:rFonts w:hint="eastAsia" w:asciiTheme="minorEastAsia" w:hAnsiTheme="minorEastAsia" w:eastAsiaTheme="minorEastAsia"/>
                <w:b w:val="0"/>
                <w:i w:val="0"/>
                <w:color w:val="auto"/>
                <w:kern w:val="2"/>
                <w:sz w:val="21"/>
                <w:szCs w:val="21"/>
                <w:highlight w:val="none"/>
                <w:lang w:val="zh-CN" w:eastAsia="zh-CN"/>
              </w:rPr>
              <w:t>水利水电信息及自动化</w:t>
            </w:r>
            <w:r>
              <w:rPr>
                <w:rFonts w:hint="eastAsia" w:asciiTheme="minorEastAsia" w:hAnsiTheme="minorEastAsia" w:eastAsiaTheme="minorEastAsia"/>
                <w:b w:val="0"/>
                <w:i w:val="0"/>
                <w:color w:val="auto"/>
                <w:kern w:val="2"/>
                <w:sz w:val="21"/>
                <w:szCs w:val="21"/>
                <w:highlight w:val="none"/>
                <w:lang w:val="en-US" w:eastAsia="zh-CN"/>
              </w:rPr>
              <w:t>专业人员：具备</w:t>
            </w:r>
            <w:r>
              <w:rPr>
                <w:rFonts w:hint="eastAsia" w:asciiTheme="minorEastAsia" w:hAnsiTheme="minorEastAsia" w:eastAsiaTheme="minorEastAsia"/>
                <w:b w:val="0"/>
                <w:i w:val="0"/>
                <w:color w:val="auto"/>
                <w:kern w:val="2"/>
                <w:sz w:val="21"/>
                <w:szCs w:val="21"/>
                <w:highlight w:val="none"/>
                <w:lang w:val="zh-CN" w:eastAsia="zh-CN"/>
              </w:rPr>
              <w:t>水利水电信息及自动化专业</w:t>
            </w:r>
            <w:r>
              <w:rPr>
                <w:rFonts w:hint="eastAsia" w:asciiTheme="minorEastAsia" w:hAnsiTheme="minorEastAsia" w:eastAsiaTheme="minorEastAsia"/>
                <w:b w:val="0"/>
                <w:i w:val="0"/>
                <w:color w:val="auto"/>
                <w:kern w:val="2"/>
                <w:sz w:val="21"/>
                <w:szCs w:val="21"/>
                <w:highlight w:val="none"/>
                <w:lang w:val="en-US" w:eastAsia="zh-CN"/>
              </w:rPr>
              <w:t>高级工程师及以上职称得1分，同时具备计算机技术与软件专业技术资格证书（信息系统项目管理师（高级））得1分，本项最高得2分。</w:t>
            </w:r>
            <w:r>
              <w:rPr>
                <w:rFonts w:hint="eastAsia" w:asciiTheme="minorEastAsia" w:hAnsiTheme="minorEastAsia" w:eastAsiaTheme="minorEastAsia"/>
                <w:b w:val="0"/>
                <w:i w:val="0"/>
                <w:color w:val="auto"/>
                <w:kern w:val="2"/>
                <w:sz w:val="21"/>
                <w:szCs w:val="21"/>
                <w:highlight w:val="none"/>
              </w:rPr>
              <w:t>（6）配备造价专业人员：具备</w:t>
            </w:r>
            <w:r>
              <w:rPr>
                <w:rFonts w:hint="eastAsia" w:asciiTheme="minorEastAsia" w:hAnsiTheme="minorEastAsia" w:eastAsiaTheme="minorEastAsia"/>
                <w:b w:val="0"/>
                <w:i w:val="0"/>
                <w:color w:val="auto"/>
                <w:kern w:val="2"/>
                <w:sz w:val="21"/>
                <w:szCs w:val="21"/>
                <w:highlight w:val="none"/>
                <w:lang w:val="en-US" w:eastAsia="zh-CN"/>
              </w:rPr>
              <w:t>水利</w:t>
            </w:r>
            <w:r>
              <w:rPr>
                <w:rFonts w:hint="eastAsia" w:asciiTheme="minorEastAsia" w:hAnsiTheme="minorEastAsia" w:eastAsiaTheme="minorEastAsia"/>
                <w:b w:val="0"/>
                <w:i w:val="0"/>
                <w:color w:val="auto"/>
                <w:kern w:val="2"/>
                <w:sz w:val="21"/>
                <w:szCs w:val="21"/>
                <w:highlight w:val="none"/>
              </w:rPr>
              <w:t>工程类高级工程师及以上职称得1分，同时具备一级注册造价工程师</w:t>
            </w:r>
            <w:r>
              <w:rPr>
                <w:rFonts w:hint="eastAsia" w:asciiTheme="minorEastAsia" w:hAnsiTheme="minorEastAsia" w:eastAsiaTheme="minorEastAsia"/>
                <w:b w:val="0"/>
                <w:i w:val="0"/>
                <w:color w:val="auto"/>
                <w:kern w:val="2"/>
                <w:sz w:val="21"/>
                <w:szCs w:val="21"/>
                <w:highlight w:val="none"/>
                <w:lang w:eastAsia="zh-CN"/>
              </w:rPr>
              <w:t>（</w:t>
            </w:r>
            <w:r>
              <w:rPr>
                <w:rFonts w:hint="eastAsia" w:asciiTheme="minorEastAsia" w:hAnsiTheme="minorEastAsia" w:eastAsiaTheme="minorEastAsia"/>
                <w:b w:val="0"/>
                <w:i w:val="0"/>
                <w:color w:val="auto"/>
                <w:kern w:val="2"/>
                <w:sz w:val="21"/>
                <w:szCs w:val="21"/>
                <w:highlight w:val="none"/>
                <w:lang w:val="en-US" w:eastAsia="zh-CN"/>
              </w:rPr>
              <w:t>水利工程</w:t>
            </w:r>
            <w:r>
              <w:rPr>
                <w:rFonts w:hint="eastAsia" w:asciiTheme="minorEastAsia" w:hAnsiTheme="minorEastAsia" w:eastAsiaTheme="minorEastAsia"/>
                <w:b w:val="0"/>
                <w:i w:val="0"/>
                <w:color w:val="auto"/>
                <w:kern w:val="2"/>
                <w:sz w:val="21"/>
                <w:szCs w:val="21"/>
                <w:highlight w:val="none"/>
                <w:lang w:eastAsia="zh-CN"/>
              </w:rPr>
              <w:t>）</w:t>
            </w:r>
            <w:r>
              <w:rPr>
                <w:rFonts w:hint="eastAsia" w:asciiTheme="minorEastAsia" w:hAnsiTheme="minorEastAsia" w:eastAsiaTheme="minorEastAsia"/>
                <w:b w:val="0"/>
                <w:i w:val="0"/>
                <w:color w:val="auto"/>
                <w:kern w:val="2"/>
                <w:sz w:val="21"/>
                <w:szCs w:val="21"/>
                <w:highlight w:val="none"/>
              </w:rPr>
              <w:t>执业资格证书得1分，本项最高得2分。</w:t>
            </w:r>
          </w:p>
          <w:p>
            <w:pPr>
              <w:pStyle w:val="2"/>
              <w:numPr>
                <w:ilvl w:val="1"/>
                <w:numId w:val="0"/>
              </w:numPr>
              <w:snapToGrid w:val="0"/>
              <w:spacing w:before="156" w:beforeLines="50" w:after="156" w:afterLines="50"/>
              <w:ind w:left="0" w:leftChars="0" w:firstLine="0" w:firstLineChars="0"/>
              <w:jc w:val="both"/>
              <w:rPr>
                <w:color w:val="auto"/>
                <w:highlight w:val="none"/>
              </w:rPr>
            </w:pPr>
            <w:r>
              <w:rPr>
                <w:rFonts w:hint="eastAsia" w:asciiTheme="minorEastAsia" w:hAnsiTheme="minorEastAsia" w:eastAsiaTheme="minorEastAsia"/>
                <w:b w:val="0"/>
                <w:i w:val="0"/>
                <w:color w:val="auto"/>
                <w:kern w:val="2"/>
                <w:sz w:val="21"/>
                <w:szCs w:val="21"/>
                <w:highlight w:val="none"/>
              </w:rPr>
              <w:t>注：本项最高得</w:t>
            </w:r>
            <w:r>
              <w:rPr>
                <w:rFonts w:hint="eastAsia" w:asciiTheme="minorEastAsia" w:hAnsiTheme="minorEastAsia" w:eastAsiaTheme="minorEastAsia"/>
                <w:b w:val="0"/>
                <w:i w:val="0"/>
                <w:color w:val="auto"/>
                <w:kern w:val="2"/>
                <w:sz w:val="21"/>
                <w:szCs w:val="21"/>
                <w:highlight w:val="none"/>
                <w:lang w:val="en-US" w:eastAsia="zh-CN"/>
              </w:rPr>
              <w:t>18</w:t>
            </w:r>
            <w:r>
              <w:rPr>
                <w:rFonts w:hint="eastAsia" w:asciiTheme="minorEastAsia" w:hAnsiTheme="minorEastAsia" w:eastAsiaTheme="minorEastAsia"/>
                <w:b w:val="0"/>
                <w:i w:val="0"/>
                <w:color w:val="auto"/>
                <w:kern w:val="2"/>
                <w:sz w:val="21"/>
                <w:szCs w:val="21"/>
                <w:highlight w:val="none"/>
              </w:rPr>
              <w:t>分。上述岗位人员每个岗位人员只能任职单一岗位，不得互相兼任。（须提供相关证书、身份证及近</w:t>
            </w:r>
            <w:r>
              <w:rPr>
                <w:rFonts w:hint="eastAsia" w:asciiTheme="minorEastAsia" w:hAnsiTheme="minorEastAsia" w:eastAsiaTheme="minorEastAsia"/>
                <w:b w:val="0"/>
                <w:i w:val="0"/>
                <w:color w:val="auto"/>
                <w:kern w:val="2"/>
                <w:sz w:val="21"/>
                <w:szCs w:val="21"/>
                <w:highlight w:val="none"/>
                <w:lang w:val="en-US" w:eastAsia="zh-CN"/>
              </w:rPr>
              <w:t>3个月</w:t>
            </w:r>
            <w:r>
              <w:rPr>
                <w:rFonts w:hint="eastAsia" w:asciiTheme="minorEastAsia" w:hAnsiTheme="minorEastAsia" w:eastAsiaTheme="minorEastAsia"/>
                <w:b w:val="0"/>
                <w:i w:val="0"/>
                <w:color w:val="auto"/>
                <w:kern w:val="2"/>
                <w:sz w:val="21"/>
                <w:szCs w:val="21"/>
                <w:highlight w:val="none"/>
              </w:rPr>
              <w:t>（不含开标当月）的社保缴费单的</w:t>
            </w:r>
            <w:r>
              <w:rPr>
                <w:rFonts w:hint="eastAsia" w:asciiTheme="minorEastAsia" w:hAnsiTheme="minorEastAsia" w:eastAsiaTheme="minorEastAsia"/>
                <w:b w:val="0"/>
                <w:i w:val="0"/>
                <w:color w:val="auto"/>
                <w:kern w:val="2"/>
                <w:sz w:val="21"/>
                <w:szCs w:val="21"/>
                <w:highlight w:val="none"/>
                <w:lang w:eastAsia="zh-CN"/>
              </w:rPr>
              <w:t>扫描件</w:t>
            </w:r>
            <w:r>
              <w:rPr>
                <w:rFonts w:hint="eastAsia" w:asciiTheme="minorEastAsia" w:hAnsiTheme="minorEastAsia" w:eastAsiaTheme="minorEastAsia"/>
                <w:b w:val="0"/>
                <w:i w:val="0"/>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投标报价评分标准</w:t>
            </w:r>
            <w:r>
              <w:rPr>
                <w:rFonts w:hint="eastAsia" w:ascii="宋体" w:hAnsi="宋体"/>
                <w:color w:val="auto"/>
                <w:szCs w:val="21"/>
                <w:highlight w:val="none"/>
              </w:rPr>
              <w:t>（10分）</w:t>
            </w:r>
          </w:p>
        </w:tc>
        <w:tc>
          <w:tcPr>
            <w:tcW w:w="1884"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投标报价</w:t>
            </w:r>
            <w:r>
              <w:rPr>
                <w:rFonts w:hint="eastAsia" w:ascii="宋体" w:hAnsi="宋体"/>
                <w:color w:val="auto"/>
                <w:szCs w:val="21"/>
                <w:highlight w:val="none"/>
              </w:rPr>
              <w:t xml:space="preserve">     （1</w:t>
            </w:r>
            <w:r>
              <w:rPr>
                <w:rFonts w:hint="eastAsia" w:ascii="宋体" w:hAnsi="宋体"/>
                <w:bCs/>
                <w:color w:val="auto"/>
                <w:szCs w:val="21"/>
                <w:highlight w:val="none"/>
              </w:rPr>
              <w:t>0分）</w:t>
            </w:r>
          </w:p>
        </w:tc>
        <w:tc>
          <w:tcPr>
            <w:tcW w:w="6779" w:type="dxa"/>
            <w:vAlign w:val="center"/>
          </w:tcPr>
          <w:p>
            <w:pPr>
              <w:pStyle w:val="27"/>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7"/>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2、评标基准价的确定：</w:t>
            </w:r>
          </w:p>
          <w:p>
            <w:pPr>
              <w:pStyle w:val="27"/>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7"/>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3、投标报价得分计算公式如下：</w:t>
            </w:r>
          </w:p>
          <w:p>
            <w:pPr>
              <w:pStyle w:val="27"/>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（1）当投标人的投标报价等于评标基准价时，投标报价得分=10分；</w:t>
            </w:r>
          </w:p>
          <w:p>
            <w:pPr>
              <w:pStyle w:val="27"/>
              <w:spacing w:before="120" w:beforeLines="50" w:line="312" w:lineRule="auto"/>
              <w:rPr>
                <w:rFonts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（2）当投标人的投标报价＞评标基准价时，投标报价得分=[10－0.2×100×（投标报价－评标基准价）/评标基准价]；</w:t>
            </w:r>
          </w:p>
          <w:p>
            <w:pPr>
              <w:autoSpaceDE w:val="0"/>
              <w:autoSpaceDN w:val="0"/>
              <w:spacing w:before="4" w:line="360" w:lineRule="auto"/>
              <w:ind w:right="128" w:rightChars="61"/>
              <w:jc w:val="left"/>
              <w:rPr>
                <w:rFonts w:ascii="宋体" w:hAnsi="宋体" w:cs="宋体"/>
                <w:bCs/>
                <w:color w:val="auto"/>
                <w:kern w:val="0"/>
                <w:szCs w:val="21"/>
                <w:highlight w:val="none"/>
              </w:rPr>
            </w:pPr>
            <w:r>
              <w:rPr>
                <w:rFonts w:hint="eastAsia" w:ascii="宋体" w:hAnsi="宋体" w:cs="宋体"/>
                <w:bCs/>
                <w:color w:val="auto"/>
                <w:kern w:val="0"/>
                <w:szCs w:val="21"/>
                <w:highlight w:val="none"/>
              </w:rPr>
              <w:t>（3）当投标人的投标报价＜评标基准价时，投标报价得分=[10-0.1×100×（评标基准价－投标报价）/评标基准价]。</w:t>
            </w:r>
          </w:p>
          <w:p>
            <w:pPr>
              <w:spacing w:line="336" w:lineRule="auto"/>
              <w:rPr>
                <w:rFonts w:ascii="宋体" w:hAnsi="宋体" w:cs="宋体"/>
                <w:color w:val="auto"/>
                <w:kern w:val="0"/>
                <w:szCs w:val="21"/>
                <w:highlight w:val="none"/>
              </w:rPr>
            </w:pPr>
            <w:r>
              <w:rPr>
                <w:rFonts w:hint="eastAsia" w:ascii="宋体" w:hAnsi="宋体" w:cs="宋体"/>
                <w:color w:val="auto"/>
                <w:szCs w:val="21"/>
                <w:highlight w:val="none"/>
              </w:rPr>
              <w:t>注：投标</w:t>
            </w:r>
            <w:r>
              <w:rPr>
                <w:rFonts w:hint="eastAsia" w:ascii="宋体" w:hAnsi="宋体" w:cs="宋体"/>
                <w:color w:val="auto"/>
                <w:kern w:val="0"/>
                <w:szCs w:val="21"/>
                <w:highlight w:val="none"/>
                <w:lang w:bidi="ar"/>
              </w:rPr>
              <w:t>报价得分计算保留小数点后两位，小数点后第三位“四舍五入”。</w:t>
            </w:r>
          </w:p>
        </w:tc>
      </w:tr>
    </w:tbl>
    <w:p>
      <w:pPr>
        <w:pStyle w:val="27"/>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highlight w:val="none"/>
        </w:rPr>
      </w:pPr>
      <w:r>
        <w:rPr>
          <w:rFonts w:hint="eastAsia" w:ascii="宋体" w:hAnsi="宋体" w:eastAsia="宋体" w:cs="Times New Roman"/>
          <w:b/>
          <w:bCs/>
          <w:color w:val="auto"/>
          <w:kern w:val="2"/>
          <w:sz w:val="28"/>
          <w:szCs w:val="32"/>
          <w:highlight w:val="none"/>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247527626"/>
      <w:bookmarkStart w:id="19" w:name="_Toc152045601"/>
      <w:bookmarkStart w:id="20" w:name="_Toc152042378"/>
      <w:bookmarkStart w:id="21" w:name="_Toc144974568"/>
      <w:bookmarkStart w:id="22" w:name="_Toc247514025"/>
      <w:bookmarkStart w:id="23" w:name="_Toc468539729"/>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highlight w:val="none"/>
          <w:lang w:val="en-US" w:eastAsia="zh-CN" w:bidi="ar-SA"/>
        </w:rPr>
      </w:pPr>
      <w:bookmarkStart w:id="24" w:name="_Toc16331"/>
      <w:bookmarkStart w:id="25" w:name="_Toc510196967"/>
      <w:bookmarkStart w:id="26" w:name="_Toc19395"/>
      <w:r>
        <w:rPr>
          <w:rFonts w:hint="eastAsia" w:ascii="宋体" w:hAnsi="宋体" w:eastAsia="宋体" w:cs="Times New Roman"/>
          <w:b/>
          <w:bCs/>
          <w:color w:val="auto"/>
          <w:kern w:val="2"/>
          <w:sz w:val="28"/>
          <w:szCs w:val="32"/>
          <w:highlight w:val="none"/>
          <w:lang w:val="en-US" w:eastAsia="zh-CN" w:bidi="ar-SA"/>
        </w:rPr>
        <w:t>2.评审标准</w:t>
      </w:r>
      <w:bookmarkEnd w:id="18"/>
      <w:bookmarkEnd w:id="19"/>
      <w:bookmarkEnd w:id="20"/>
      <w:bookmarkEnd w:id="21"/>
      <w:bookmarkEnd w:id="22"/>
      <w:bookmarkEnd w:id="23"/>
      <w:bookmarkEnd w:id="24"/>
      <w:bookmarkEnd w:id="25"/>
      <w:bookmarkEnd w:id="26"/>
    </w:p>
    <w:p>
      <w:pPr>
        <w:pStyle w:val="2"/>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highlight w:val="none"/>
          <w:lang w:val="en-US" w:eastAsia="zh-CN"/>
        </w:rPr>
      </w:pPr>
      <w:bookmarkStart w:id="27" w:name="_Toc14159"/>
      <w:bookmarkStart w:id="28" w:name="_Toc247514026"/>
      <w:bookmarkStart w:id="29" w:name="_Toc247527627"/>
      <w:bookmarkStart w:id="30" w:name="_Toc152045602"/>
      <w:bookmarkStart w:id="31" w:name="_Toc152042379"/>
      <w:bookmarkStart w:id="32" w:name="_Toc144974569"/>
      <w:bookmarkStart w:id="33" w:name="_Toc468539730"/>
      <w:bookmarkStart w:id="34" w:name="_Toc3429"/>
      <w:r>
        <w:rPr>
          <w:rFonts w:hint="eastAsia" w:ascii="宋体" w:hAnsi="宋体" w:eastAsia="宋体"/>
          <w:b/>
          <w:bCs/>
          <w:i w:val="0"/>
          <w:iCs/>
          <w:color w:val="auto"/>
          <w:kern w:val="2"/>
          <w:sz w:val="24"/>
          <w:szCs w:val="28"/>
          <w:highlight w:val="none"/>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 xml:space="preserve">2.1.1 </w:t>
      </w:r>
      <w:r>
        <w:rPr>
          <w:rFonts w:hint="eastAsia" w:ascii="宋体" w:hAnsi="宋体"/>
          <w:color w:val="auto"/>
          <w:highlight w:val="none"/>
          <w:u w:val="none"/>
          <w:lang w:val="en-US" w:eastAsia="zh-CN"/>
        </w:rPr>
        <w:t>符合性审查</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ascii="宋体" w:hAnsi="宋体"/>
          <w:color w:val="auto"/>
          <w:highlight w:val="none"/>
          <w:u w:val="none"/>
        </w:rPr>
        <w:t>2.1.2 资</w:t>
      </w:r>
      <w:r>
        <w:rPr>
          <w:rFonts w:hint="eastAsia"/>
          <w:color w:val="auto"/>
          <w:highlight w:val="none"/>
        </w:rPr>
        <w:t>格</w:t>
      </w:r>
      <w:r>
        <w:rPr>
          <w:rFonts w:hint="eastAsia"/>
          <w:color w:val="auto"/>
          <w:highlight w:val="none"/>
          <w:lang w:val="en-US" w:eastAsia="zh-CN"/>
        </w:rPr>
        <w:t>性审查</w:t>
      </w:r>
      <w:r>
        <w:rPr>
          <w:rFonts w:hint="eastAsia"/>
          <w:color w:val="auto"/>
          <w:highlight w:val="none"/>
        </w:rPr>
        <w:t>：见评标办法前附表。</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2"/>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3.1.2</w:t>
      </w:r>
      <w:r>
        <w:rPr>
          <w:rFonts w:hint="eastAsia" w:ascii="宋体" w:hAnsi="宋体"/>
          <w:color w:val="auto"/>
          <w:highlight w:val="none"/>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（2）总价金额与依据单价计算出的结果不一致的，以单价金额为准修正总价，但单价金额小数点有明显错误的除外。</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35" w:name="_Toc247514030"/>
      <w:bookmarkStart w:id="36" w:name="_Toc247527631"/>
      <w:bookmarkStart w:id="37" w:name="_Toc152045606"/>
      <w:bookmarkStart w:id="38" w:name="_Toc300835016"/>
      <w:bookmarkStart w:id="39" w:name="_Toc152042384"/>
      <w:bookmarkStart w:id="40" w:name="_Toc144974573"/>
      <w:r>
        <w:rPr>
          <w:rFonts w:hint="eastAsia" w:ascii="宋体" w:hAnsi="宋体" w:eastAsia="宋体"/>
          <w:color w:val="auto"/>
          <w:sz w:val="24"/>
          <w:szCs w:val="24"/>
          <w:highlight w:val="none"/>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3.2.3 投标人</w:t>
      </w:r>
      <w:r>
        <w:rPr>
          <w:rFonts w:hint="eastAsia" w:ascii="宋体" w:hAnsi="宋体" w:eastAsia="宋体"/>
          <w:color w:val="auto"/>
          <w:highlight w:val="none"/>
          <w:lang w:val="en-US" w:eastAsia="zh-CN"/>
        </w:rPr>
        <w:t>总</w:t>
      </w:r>
      <w:r>
        <w:rPr>
          <w:rFonts w:hint="eastAsia" w:ascii="宋体" w:hAnsi="宋体" w:eastAsia="宋体"/>
          <w:color w:val="auto"/>
          <w:highlight w:val="none"/>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 xml:space="preserve">3.2.4 </w:t>
      </w:r>
      <w:r>
        <w:rPr>
          <w:rFonts w:hint="eastAsia" w:ascii="宋体" w:hAnsi="宋体" w:eastAsia="宋体"/>
          <w:color w:val="auto"/>
          <w:highlight w:val="none"/>
          <w:lang w:val="en-US" w:eastAsia="zh-CN"/>
        </w:rPr>
        <w:t>如设有标底，</w:t>
      </w:r>
      <w:r>
        <w:rPr>
          <w:rFonts w:hint="eastAsia" w:ascii="宋体" w:hAnsi="宋体" w:eastAsia="宋体"/>
          <w:color w:val="auto"/>
          <w:highlight w:val="none"/>
        </w:rPr>
        <w:t>评标委员会发现投标人的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1" w:name="_Toc144974575"/>
      <w:bookmarkStart w:id="42" w:name="_Toc152045607"/>
      <w:bookmarkStart w:id="43" w:name="_Toc152042385"/>
      <w:bookmarkStart w:id="44" w:name="_Toc247527632"/>
      <w:bookmarkStart w:id="45" w:name="_Toc247514031"/>
      <w:bookmarkStart w:id="46" w:name="_Toc300835017"/>
      <w:r>
        <w:rPr>
          <w:rFonts w:hint="eastAsia" w:ascii="宋体" w:hAnsi="宋体" w:eastAsia="宋体"/>
          <w:color w:val="auto"/>
          <w:sz w:val="24"/>
          <w:szCs w:val="24"/>
          <w:highlight w:val="none"/>
        </w:rPr>
        <w:t>3.3 投标文件的澄清</w:t>
      </w:r>
      <w:bookmarkEnd w:id="41"/>
      <w:r>
        <w:rPr>
          <w:rFonts w:hint="eastAsia" w:ascii="宋体" w:hAnsi="宋体" w:eastAsia="宋体"/>
          <w:color w:val="auto"/>
          <w:sz w:val="24"/>
          <w:szCs w:val="24"/>
          <w:highlight w:val="none"/>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3.3.3 评标委员会对投标人提交的澄清、说明或补正有疑问的，可以要求投标人进一步澄清、说明或补正，直至满足评标委员会的要求。</w:t>
      </w:r>
    </w:p>
    <w:p>
      <w:pPr>
        <w:pStyle w:val="4"/>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7" w:name="_Toc300835018"/>
      <w:r>
        <w:rPr>
          <w:rFonts w:hint="eastAsia" w:ascii="宋体" w:hAnsi="宋体" w:eastAsia="宋体"/>
          <w:color w:val="auto"/>
          <w:sz w:val="24"/>
          <w:szCs w:val="24"/>
          <w:highlight w:val="none"/>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highlight w:val="none"/>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highlight w:val="none"/>
        </w:rPr>
      </w:pPr>
      <w:r>
        <w:rPr>
          <w:rFonts w:hint="eastAsia" w:ascii="宋体" w:hAnsi="宋体" w:eastAsia="宋体" w:cs="Times New Roman"/>
          <w:color w:val="auto"/>
          <w:highlight w:val="none"/>
        </w:rPr>
        <w:t xml:space="preserve">3.4.2 </w:t>
      </w:r>
      <w:r>
        <w:rPr>
          <w:rFonts w:hint="eastAsia"/>
          <w:color w:val="auto"/>
          <w:highlight w:val="none"/>
        </w:rPr>
        <w:t>评标委员会完成评标后，应当向招标人提交书面评标报告。</w:t>
      </w:r>
    </w:p>
    <w:p>
      <w:pPr>
        <w:keepNext/>
        <w:kinsoku w:val="0"/>
        <w:overflowPunct w:val="0"/>
        <w:spacing w:line="500" w:lineRule="exact"/>
        <w:jc w:val="center"/>
        <w:rPr>
          <w:rFonts w:hint="eastAsia"/>
          <w:b/>
          <w:bCs/>
          <w:color w:val="auto"/>
          <w:sz w:val="32"/>
          <w:szCs w:val="32"/>
          <w:highlight w:val="none"/>
        </w:rPr>
      </w:pPr>
    </w:p>
    <w:p>
      <w:pPr>
        <w:autoSpaceDE w:val="0"/>
        <w:spacing w:line="360" w:lineRule="auto"/>
        <w:ind w:firstLine="480" w:firstLineChars="200"/>
        <w:rPr>
          <w:rFonts w:hint="eastAsia" w:ascii="宋体" w:hAnsi="宋体"/>
          <w:color w:val="auto"/>
          <w:sz w:val="24"/>
          <w:highlight w:val="none"/>
        </w:rPr>
        <w:sectPr>
          <w:headerReference r:id="rId6" w:type="default"/>
          <w:footerReference r:id="rId7" w:type="default"/>
          <w:type w:val="continuous"/>
          <w:pgSz w:w="12240" w:h="15840"/>
          <w:pgMar w:top="1400" w:right="1580" w:bottom="579" w:left="1700" w:header="0" w:footer="901" w:gutter="0"/>
          <w:lnNumType w:countBy="0" w:distance="360"/>
          <w:pgNumType w:fmt="decimal"/>
          <w:cols w:space="720" w:num="1"/>
        </w:sectPr>
      </w:pPr>
    </w:p>
    <w:p>
      <w:pPr>
        <w:pStyle w:val="4"/>
        <w:numPr>
          <w:ilvl w:val="0"/>
          <w:numId w:val="0"/>
        </w:numPr>
        <w:autoSpaceDE w:val="0"/>
        <w:jc w:val="center"/>
        <w:outlineLvl w:val="0"/>
        <w:rPr>
          <w:rFonts w:hint="eastAsia" w:ascii="宋体" w:hAnsi="宋体" w:eastAsia="宋体" w:cs="宋体"/>
          <w:color w:val="auto"/>
          <w:sz w:val="36"/>
          <w:szCs w:val="36"/>
          <w:highlight w:val="none"/>
          <w:lang w:eastAsia="zh-CN"/>
        </w:rPr>
      </w:pPr>
      <w:bookmarkStart w:id="48" w:name="_Toc6951"/>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章  合同</w:t>
      </w:r>
      <w:bookmarkEnd w:id="14"/>
      <w:bookmarkEnd w:id="15"/>
      <w:bookmarkEnd w:id="16"/>
      <w:bookmarkEnd w:id="48"/>
      <w:r>
        <w:rPr>
          <w:rFonts w:hint="eastAsia" w:ascii="宋体" w:hAnsi="宋体" w:eastAsia="宋体" w:cs="宋体"/>
          <w:color w:val="auto"/>
          <w:sz w:val="36"/>
          <w:szCs w:val="36"/>
          <w:highlight w:val="none"/>
          <w:lang w:val="en-US" w:eastAsia="zh-CN"/>
        </w:rPr>
        <w:t>条款</w:t>
      </w:r>
    </w:p>
    <w:p>
      <w:pPr>
        <w:rPr>
          <w:rFonts w:hint="eastAsia" w:ascii="宋体" w:hAnsi="宋体" w:cs="宋体"/>
          <w:b/>
          <w:color w:val="auto"/>
          <w:sz w:val="28"/>
          <w:szCs w:val="28"/>
          <w:highlight w:val="none"/>
        </w:rPr>
      </w:pPr>
      <w:bookmarkStart w:id="49" w:name="_Toc351203480"/>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pStyle w:val="2"/>
        <w:numPr>
          <w:ilvl w:val="1"/>
          <w:numId w:val="0"/>
        </w:numPr>
        <w:spacing w:before="0" w:after="0" w:line="360" w:lineRule="auto"/>
        <w:ind w:leftChars="0"/>
        <w:jc w:val="center"/>
        <w:rPr>
          <w:rFonts w:ascii="宋体" w:hAnsi="宋体" w:eastAsia="宋体"/>
          <w:color w:val="auto"/>
          <w:highlight w:val="none"/>
        </w:rPr>
      </w:pPr>
      <w:r>
        <w:rPr>
          <w:rFonts w:ascii="宋体" w:hAnsi="宋体" w:cs="宋体"/>
          <w:b/>
          <w:color w:val="auto"/>
          <w:sz w:val="30"/>
          <w:szCs w:val="30"/>
          <w:highlight w:val="none"/>
        </w:rPr>
        <w:br w:type="column"/>
      </w:r>
      <w:bookmarkEnd w:id="49"/>
      <w:bookmarkStart w:id="50" w:name="_Toc32581"/>
      <w:bookmarkStart w:id="51" w:name="_Toc4631"/>
      <w:bookmarkStart w:id="52" w:name="_Toc509765899"/>
      <w:bookmarkStart w:id="53" w:name="_Toc534472071"/>
      <w:bookmarkStart w:id="54" w:name="_Toc60537389"/>
      <w:bookmarkStart w:id="55" w:name="_Toc534471632"/>
      <w:r>
        <w:rPr>
          <w:rFonts w:hint="eastAsia" w:ascii="宋体" w:hAnsi="宋体" w:eastAsia="宋体"/>
          <w:i w:val="0"/>
          <w:iCs/>
          <w:color w:val="auto"/>
          <w:sz w:val="30"/>
          <w:szCs w:val="30"/>
          <w:highlight w:val="none"/>
        </w:rPr>
        <w:t>第一节 通用合同条款</w:t>
      </w:r>
      <w:bookmarkEnd w:id="50"/>
      <w:bookmarkEnd w:id="51"/>
      <w:bookmarkEnd w:id="52"/>
    </w:p>
    <w:p>
      <w:pPr>
        <w:pStyle w:val="2"/>
        <w:numPr>
          <w:ilvl w:val="1"/>
          <w:numId w:val="0"/>
        </w:numPr>
        <w:spacing w:before="0" w:after="0" w:line="360" w:lineRule="auto"/>
        <w:ind w:left="681" w:leftChars="0"/>
        <w:rPr>
          <w:rFonts w:ascii="宋体" w:hAnsi="宋体" w:eastAsia="宋体"/>
          <w:i w:val="0"/>
          <w:iCs/>
          <w:color w:val="auto"/>
          <w:sz w:val="28"/>
          <w:szCs w:val="28"/>
          <w:highlight w:val="none"/>
        </w:rPr>
      </w:pPr>
      <w:bookmarkStart w:id="56" w:name="_Toc482188546"/>
      <w:bookmarkStart w:id="57" w:name="_Toc25249"/>
      <w:bookmarkStart w:id="58" w:name="_Toc12600"/>
      <w:bookmarkStart w:id="59" w:name="_Toc509765900"/>
      <w:r>
        <w:rPr>
          <w:rFonts w:ascii="宋体" w:hAnsi="宋体" w:eastAsia="宋体"/>
          <w:i w:val="0"/>
          <w:iCs/>
          <w:color w:val="auto"/>
          <w:sz w:val="28"/>
          <w:szCs w:val="28"/>
          <w:highlight w:val="none"/>
        </w:rPr>
        <w:t xml:space="preserve">1. </w:t>
      </w:r>
      <w:r>
        <w:rPr>
          <w:rFonts w:hint="eastAsia" w:ascii="宋体" w:hAnsi="宋体" w:eastAsia="宋体"/>
          <w:i w:val="0"/>
          <w:iCs/>
          <w:color w:val="auto"/>
          <w:sz w:val="28"/>
          <w:szCs w:val="28"/>
          <w:highlight w:val="none"/>
        </w:rPr>
        <w:t>一般约定</w:t>
      </w:r>
      <w:bookmarkEnd w:id="56"/>
      <w:bookmarkEnd w:id="57"/>
      <w:bookmarkEnd w:id="58"/>
      <w:bookmarkEnd w:id="59"/>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 w:name="_Toc509765901"/>
      <w:bookmarkStart w:id="61" w:name="_Toc482188547"/>
      <w:bookmarkStart w:id="62" w:name="_Toc2135"/>
      <w:bookmarkStart w:id="63" w:name="_Toc14862"/>
      <w:r>
        <w:rPr>
          <w:rFonts w:hint="eastAsia" w:ascii="宋体" w:hAnsi="宋体" w:eastAsia="宋体" w:cs="宋体"/>
          <w:b/>
          <w:bCs/>
          <w:color w:val="auto"/>
          <w:sz w:val="24"/>
          <w:szCs w:val="24"/>
          <w:highlight w:val="none"/>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1.1.1 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1.1.2 合同当事人和人员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合同当事人：指发包人和（或）勘察设计人。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发包人：指与勘察设计人签订合同协议书的当事人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勘察设计人：指与发包人签订合同协议书的当事人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1.1.3 工程和勘察设计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1.1.4 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 基准日：指投标截止时间前28天的日期。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1.1.5 合同价格和费用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1.1.6 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书面形式：指合同文件、信件和数据电文（包括电报、电传、传真、电子数据交换和电子邮件）等可以有形地表现所载内容的形式。</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4" w:name="_Toc17038"/>
      <w:bookmarkStart w:id="65" w:name="_Toc482188548"/>
      <w:bookmarkStart w:id="66" w:name="_Toc18437"/>
      <w:bookmarkStart w:id="67" w:name="_Toc509765902"/>
      <w:r>
        <w:rPr>
          <w:rFonts w:hint="eastAsia" w:ascii="宋体" w:hAnsi="宋体" w:eastAsia="宋体" w:cs="宋体"/>
          <w:b/>
          <w:bCs/>
          <w:color w:val="auto"/>
          <w:sz w:val="24"/>
          <w:szCs w:val="24"/>
          <w:highlight w:val="none"/>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合同使用的语言文字为中文。专用术语使用外文的，应附有中文注释。</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8" w:name="_Toc22008"/>
      <w:bookmarkStart w:id="69" w:name="_Toc509765903"/>
      <w:bookmarkStart w:id="70" w:name="_Toc482188549"/>
      <w:bookmarkStart w:id="71" w:name="_Toc32503"/>
      <w:r>
        <w:rPr>
          <w:rFonts w:hint="eastAsia" w:ascii="宋体" w:hAnsi="宋体" w:eastAsia="宋体" w:cs="宋体"/>
          <w:b/>
          <w:bCs/>
          <w:color w:val="auto"/>
          <w:sz w:val="24"/>
          <w:szCs w:val="24"/>
          <w:highlight w:val="none"/>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本合同适用的其他规范性文件，可在专用合同条款中约定。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2" w:name="_Toc26329"/>
      <w:bookmarkStart w:id="73" w:name="_Toc19254"/>
      <w:bookmarkStart w:id="74" w:name="_Toc509765904"/>
      <w:bookmarkStart w:id="75" w:name="_Toc482188550"/>
      <w:r>
        <w:rPr>
          <w:rFonts w:hint="eastAsia" w:ascii="宋体" w:hAnsi="宋体" w:eastAsia="宋体" w:cs="宋体"/>
          <w:b/>
          <w:bCs/>
          <w:color w:val="auto"/>
          <w:sz w:val="24"/>
          <w:szCs w:val="24"/>
          <w:highlight w:val="none"/>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（6）发包人要求；</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（7）勘察设计费用清单；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（8）勘察设计方案；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6" w:name="_Toc24313"/>
      <w:bookmarkStart w:id="77" w:name="_Toc6262"/>
      <w:bookmarkStart w:id="78" w:name="_Toc509765905"/>
      <w:bookmarkStart w:id="79" w:name="_Toc482188551"/>
      <w:r>
        <w:rPr>
          <w:rFonts w:hint="eastAsia" w:ascii="宋体" w:hAnsi="宋体" w:eastAsia="宋体" w:cs="宋体"/>
          <w:b/>
          <w:bCs/>
          <w:color w:val="auto"/>
          <w:sz w:val="24"/>
          <w:szCs w:val="24"/>
          <w:highlight w:val="none"/>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80" w:name="_Toc14184"/>
      <w:bookmarkStart w:id="81" w:name="_Toc509765906"/>
      <w:bookmarkStart w:id="82" w:name="_Toc482188552"/>
      <w:bookmarkStart w:id="83" w:name="_Toc9604"/>
      <w:r>
        <w:rPr>
          <w:rFonts w:hint="eastAsia" w:ascii="宋体" w:hAnsi="宋体" w:eastAsia="宋体" w:cs="宋体"/>
          <w:b/>
          <w:bCs/>
          <w:color w:val="auto"/>
          <w:sz w:val="24"/>
          <w:szCs w:val="24"/>
          <w:highlight w:val="none"/>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勘察设计文件的提供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 文件错误的通知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任何一方当事人发现文件中存在的明显错误或疏忽，均应及时通知对方当事人，并应立即采取适当的措施防止损失扩大。</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4" w:name="_Toc509765907"/>
      <w:bookmarkStart w:id="85" w:name="_Toc482188553"/>
      <w:bookmarkStart w:id="86" w:name="_Toc12399"/>
      <w:bookmarkStart w:id="87" w:name="_Toc30613"/>
      <w:r>
        <w:rPr>
          <w:rFonts w:hint="eastAsia" w:ascii="宋体" w:hAnsi="宋体" w:eastAsia="宋体" w:cs="宋体"/>
          <w:color w:val="auto"/>
          <w:sz w:val="24"/>
          <w:szCs w:val="24"/>
          <w:highlight w:val="none"/>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上述通知、批准、证明、证书、指示、要求、请求、同意、意见、确定和决定等来往函件，均应在合同约定的期限内送达指定的地点和指定的接收人，并办理签收手续。</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8" w:name="_Toc17913"/>
      <w:bookmarkStart w:id="89" w:name="_Toc482188554"/>
      <w:bookmarkStart w:id="90" w:name="_Toc14586"/>
      <w:bookmarkStart w:id="91" w:name="_Toc509765908"/>
      <w:r>
        <w:rPr>
          <w:rFonts w:hint="eastAsia" w:ascii="宋体" w:hAnsi="宋体" w:eastAsia="宋体" w:cs="宋体"/>
          <w:color w:val="auto"/>
          <w:sz w:val="24"/>
          <w:szCs w:val="24"/>
          <w:highlight w:val="none"/>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除专用合同条款另有约定外，未经对方当事人同意，一方当事人不得将合同权利全部或部分转让给第三人，也不得全部或部分转移合同义务。</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2" w:name="_Toc15595"/>
      <w:bookmarkStart w:id="93" w:name="_Toc509765909"/>
      <w:bookmarkStart w:id="94" w:name="_Toc5104"/>
      <w:bookmarkStart w:id="95" w:name="_Toc482188555"/>
      <w:r>
        <w:rPr>
          <w:rFonts w:hint="eastAsia" w:ascii="宋体" w:hAnsi="宋体" w:eastAsia="宋体" w:cs="宋体"/>
          <w:color w:val="auto"/>
          <w:sz w:val="24"/>
          <w:szCs w:val="24"/>
          <w:highlight w:val="none"/>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合同双方当事人不得以贿赂或变相贿赂的方式，谋取不当利益或损害对方权益。因贿赂造成对方当事人损失的，行为人应当赔偿损失，并承担相应的法律责任。</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6" w:name="_Toc509765910"/>
      <w:bookmarkStart w:id="97" w:name="_Toc5067"/>
      <w:bookmarkStart w:id="98" w:name="_Toc17682"/>
      <w:bookmarkStart w:id="99" w:name="_Toc482188556"/>
      <w:r>
        <w:rPr>
          <w:rFonts w:hint="eastAsia" w:ascii="宋体" w:hAnsi="宋体" w:eastAsia="宋体" w:cs="宋体"/>
          <w:color w:val="auto"/>
          <w:sz w:val="24"/>
          <w:szCs w:val="24"/>
          <w:highlight w:val="none"/>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勘察设计人在投标文件中采用专利技术、专有技术的，相应的使用费视为已包含在投标报价之中。</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0" w:name="_Toc22383"/>
      <w:bookmarkStart w:id="101" w:name="_Toc27287"/>
      <w:bookmarkStart w:id="102" w:name="_Toc482188557"/>
      <w:bookmarkStart w:id="103" w:name="_Toc509765911"/>
      <w:r>
        <w:rPr>
          <w:rFonts w:hint="eastAsia" w:ascii="宋体" w:hAnsi="宋体" w:eastAsia="宋体" w:cs="宋体"/>
          <w:color w:val="auto"/>
          <w:sz w:val="24"/>
          <w:szCs w:val="24"/>
          <w:highlight w:val="none"/>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未经对方同意，任何一方当事人不得将有关文件、技术秘密、需要保密的资料和信息泄露给他人或公开发表与引用。</w:t>
      </w:r>
    </w:p>
    <w:p>
      <w:pPr>
        <w:pStyle w:val="4"/>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4" w:name="_Toc509765912"/>
      <w:bookmarkStart w:id="105" w:name="_Toc482188558"/>
      <w:bookmarkStart w:id="106" w:name="_Toc29001"/>
      <w:bookmarkStart w:id="107" w:name="_Toc8857"/>
      <w:r>
        <w:rPr>
          <w:rFonts w:hint="eastAsia" w:ascii="宋体" w:hAnsi="宋体" w:eastAsia="宋体" w:cs="宋体"/>
          <w:color w:val="auto"/>
          <w:sz w:val="24"/>
          <w:szCs w:val="24"/>
          <w:highlight w:val="none"/>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勘察设计人应认真阅读、复核发包人要求，发现错误的，应及时书面通知发包人。无论是否存在错误，发包人均有权修改发包人要求，并在修改后3日内通知勘察设计人。除专用合同</w:t>
      </w:r>
      <w:bookmarkStart w:id="108" w:name="_Toc265955390"/>
      <w:bookmarkStart w:id="109" w:name="_Toc247514048"/>
      <w:bookmarkStart w:id="110" w:name="_Toc300835045"/>
      <w:bookmarkStart w:id="111" w:name="_Toc247527649"/>
      <w:r>
        <w:rPr>
          <w:rFonts w:hint="eastAsia" w:ascii="宋体" w:hAnsi="宋体" w:eastAsia="宋体" w:cs="宋体"/>
          <w:color w:val="auto"/>
          <w:sz w:val="21"/>
          <w:szCs w:val="21"/>
          <w:highlight w:val="none"/>
        </w:rPr>
        <w:t>条款另有约定外，由此</w:t>
      </w:r>
      <w:bookmarkEnd w:id="108"/>
      <w:bookmarkEnd w:id="109"/>
      <w:bookmarkEnd w:id="110"/>
      <w:bookmarkEnd w:id="111"/>
      <w:r>
        <w:rPr>
          <w:rFonts w:hint="eastAsia" w:ascii="宋体" w:hAnsi="宋体" w:eastAsia="宋体" w:cs="宋体"/>
          <w:color w:val="auto"/>
          <w:sz w:val="21"/>
          <w:szCs w:val="21"/>
          <w:highlight w:val="none"/>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发包人要求采用国外规范和标准进行勘察设计时，应由发包人负责提供该规范和标准的外国文本和中文译本，提供的时间、份数和其他要求在专用合同条款中约定。</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112" w:name="_Toc509765913"/>
      <w:bookmarkStart w:id="113" w:name="_Toc9186"/>
      <w:bookmarkStart w:id="114" w:name="_Toc8144"/>
      <w:bookmarkStart w:id="115" w:name="_Toc482188559"/>
      <w:r>
        <w:rPr>
          <w:rFonts w:ascii="宋体" w:hAnsi="宋体" w:eastAsia="宋体"/>
          <w:i w:val="0"/>
          <w:iCs/>
          <w:color w:val="auto"/>
          <w:sz w:val="28"/>
          <w:szCs w:val="28"/>
          <w:highlight w:val="none"/>
        </w:rPr>
        <w:t>2. 发包人义务</w:t>
      </w:r>
      <w:bookmarkEnd w:id="112"/>
      <w:bookmarkEnd w:id="113"/>
      <w:bookmarkEnd w:id="114"/>
      <w:bookmarkEnd w:id="115"/>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16" w:name="_Toc509765914"/>
      <w:bookmarkStart w:id="117" w:name="_Toc482188560"/>
      <w:bookmarkStart w:id="118" w:name="_Toc26938"/>
      <w:bookmarkStart w:id="119" w:name="_Toc29371"/>
      <w:r>
        <w:rPr>
          <w:rFonts w:ascii="宋体" w:hAnsi="宋体" w:eastAsia="宋体"/>
          <w:b/>
          <w:bCs/>
          <w:color w:val="auto"/>
          <w:sz w:val="24"/>
          <w:szCs w:val="24"/>
          <w:highlight w:val="none"/>
        </w:rPr>
        <w:t xml:space="preserve">2.1 </w:t>
      </w:r>
      <w:r>
        <w:rPr>
          <w:rFonts w:hint="eastAsia" w:ascii="宋体" w:hAnsi="宋体" w:eastAsia="宋体"/>
          <w:b/>
          <w:bCs/>
          <w:color w:val="auto"/>
          <w:sz w:val="24"/>
          <w:szCs w:val="24"/>
          <w:highlight w:val="none"/>
        </w:rPr>
        <w:t>遵守法律</w:t>
      </w:r>
      <w:bookmarkEnd w:id="116"/>
      <w:bookmarkEnd w:id="117"/>
      <w:bookmarkEnd w:id="118"/>
      <w:bookmarkEnd w:id="119"/>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发包人在履行合同过程中应遵守法律，并保证勘察设计人免于承担因发包人违反法律而引起的</w:t>
      </w:r>
      <w:bookmarkStart w:id="120" w:name="_Toc184635099"/>
      <w:bookmarkStart w:id="121" w:name="_Toc385942918"/>
      <w:bookmarkStart w:id="122" w:name="_Toc370281722"/>
      <w:bookmarkStart w:id="123" w:name="_Toc247527650"/>
      <w:bookmarkStart w:id="124" w:name="_Toc385592087"/>
      <w:bookmarkStart w:id="125" w:name="_Toc300835048"/>
      <w:bookmarkStart w:id="126" w:name="_Toc247514049"/>
      <w:r>
        <w:rPr>
          <w:rFonts w:ascii="宋体" w:hAnsi="宋体"/>
          <w:color w:val="auto"/>
          <w:sz w:val="21"/>
          <w:szCs w:val="21"/>
          <w:highlight w:val="none"/>
        </w:rPr>
        <w:t>任何责任。</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27" w:name="_Toc29244"/>
      <w:bookmarkStart w:id="128" w:name="_Toc25140"/>
      <w:bookmarkStart w:id="129" w:name="_Toc482188561"/>
      <w:bookmarkStart w:id="130" w:name="_Toc509765915"/>
      <w:r>
        <w:rPr>
          <w:rFonts w:ascii="宋体" w:hAnsi="宋体" w:eastAsia="宋体"/>
          <w:b/>
          <w:bCs/>
          <w:color w:val="auto"/>
          <w:sz w:val="24"/>
          <w:szCs w:val="24"/>
          <w:highlight w:val="none"/>
        </w:rPr>
        <w:t>2</w:t>
      </w:r>
      <w:bookmarkEnd w:id="120"/>
      <w:bookmarkEnd w:id="121"/>
      <w:bookmarkEnd w:id="122"/>
      <w:bookmarkEnd w:id="123"/>
      <w:bookmarkEnd w:id="124"/>
      <w:bookmarkEnd w:id="125"/>
      <w:bookmarkEnd w:id="126"/>
      <w:r>
        <w:rPr>
          <w:rFonts w:ascii="宋体" w:hAnsi="宋体" w:eastAsia="宋体"/>
          <w:b/>
          <w:bCs/>
          <w:color w:val="auto"/>
          <w:sz w:val="24"/>
          <w:szCs w:val="24"/>
          <w:highlight w:val="none"/>
        </w:rPr>
        <w:t>.2</w:t>
      </w:r>
      <w:bookmarkStart w:id="131" w:name="_Toc247514050"/>
      <w:bookmarkStart w:id="132" w:name="_Toc300835049"/>
      <w:bookmarkStart w:id="133" w:name="_Toc247527651"/>
      <w:bookmarkStart w:id="134" w:name="_Toc247527654"/>
      <w:bookmarkStart w:id="135" w:name="_Toc370281723"/>
      <w:bookmarkStart w:id="136" w:name="_Toc385942919"/>
      <w:bookmarkStart w:id="137" w:name="_Toc300835052"/>
      <w:bookmarkStart w:id="138" w:name="_Toc247514053"/>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发出开始勘察设计通</w:t>
      </w:r>
      <w:bookmarkEnd w:id="131"/>
      <w:bookmarkEnd w:id="132"/>
      <w:bookmarkEnd w:id="133"/>
      <w:r>
        <w:rPr>
          <w:rFonts w:hint="eastAsia" w:ascii="宋体" w:hAnsi="宋体" w:eastAsia="宋体"/>
          <w:b/>
          <w:bCs/>
          <w:color w:val="auto"/>
          <w:sz w:val="24"/>
          <w:szCs w:val="24"/>
          <w:highlight w:val="none"/>
        </w:rPr>
        <w:t>知</w:t>
      </w:r>
      <w:bookmarkEnd w:id="127"/>
      <w:bookmarkEnd w:id="128"/>
      <w:bookmarkEnd w:id="129"/>
      <w:bookmarkEnd w:id="13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w:t>
      </w:r>
      <w:r>
        <w:rPr>
          <w:rFonts w:hint="eastAsia" w:ascii="宋体" w:hAnsi="宋体"/>
          <w:color w:val="auto"/>
          <w:sz w:val="21"/>
          <w:szCs w:val="21"/>
          <w:highlight w:val="none"/>
        </w:rPr>
        <w:t>6</w:t>
      </w:r>
      <w:r>
        <w:rPr>
          <w:rFonts w:ascii="宋体" w:hAnsi="宋体"/>
          <w:color w:val="auto"/>
          <w:sz w:val="21"/>
          <w:szCs w:val="21"/>
          <w:highlight w:val="none"/>
        </w:rPr>
        <w:t>.1款的约定向勘察设计人发出开始勘察设计通知。</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39" w:name="_Toc4071"/>
      <w:bookmarkStart w:id="140" w:name="_Toc482188562"/>
      <w:bookmarkStart w:id="141" w:name="_Toc509765916"/>
      <w:bookmarkStart w:id="142" w:name="_Toc28193"/>
      <w:r>
        <w:rPr>
          <w:rFonts w:ascii="宋体" w:hAnsi="宋体" w:eastAsia="宋体"/>
          <w:b/>
          <w:bCs/>
          <w:color w:val="auto"/>
          <w:sz w:val="24"/>
          <w:szCs w:val="24"/>
          <w:highlight w:val="none"/>
        </w:rPr>
        <w:t>2.</w:t>
      </w:r>
      <w:bookmarkStart w:id="143" w:name="_Toc300835051"/>
      <w:bookmarkStart w:id="144" w:name="_Toc247527653"/>
      <w:bookmarkStart w:id="145" w:name="_Toc247514052"/>
      <w:r>
        <w:rPr>
          <w:rFonts w:ascii="宋体" w:hAnsi="宋体" w:eastAsia="宋体"/>
          <w:b/>
          <w:bCs/>
          <w:color w:val="auto"/>
          <w:sz w:val="24"/>
          <w:szCs w:val="24"/>
          <w:highlight w:val="none"/>
        </w:rPr>
        <w:t xml:space="preserve">3 </w:t>
      </w:r>
      <w:r>
        <w:rPr>
          <w:rFonts w:hint="eastAsia" w:ascii="宋体" w:hAnsi="宋体" w:eastAsia="宋体"/>
          <w:b/>
          <w:bCs/>
          <w:color w:val="auto"/>
          <w:sz w:val="24"/>
          <w:szCs w:val="24"/>
          <w:highlight w:val="none"/>
        </w:rPr>
        <w:t>办理证件</w:t>
      </w:r>
      <w:bookmarkEnd w:id="143"/>
      <w:bookmarkEnd w:id="144"/>
      <w:bookmarkEnd w:id="145"/>
      <w:r>
        <w:rPr>
          <w:rFonts w:hint="eastAsia" w:ascii="宋体" w:hAnsi="宋体" w:eastAsia="宋体"/>
          <w:b/>
          <w:bCs/>
          <w:color w:val="auto"/>
          <w:sz w:val="24"/>
          <w:szCs w:val="24"/>
          <w:highlight w:val="none"/>
        </w:rPr>
        <w:t>和批件</w:t>
      </w:r>
      <w:bookmarkEnd w:id="139"/>
      <w:bookmarkEnd w:id="140"/>
      <w:bookmarkEnd w:id="141"/>
      <w:bookmarkEnd w:id="1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法律规定和（或）合同约定由勘察设计人负责办理的勘察设计所需的证件和批件，发包人应给予必要的协助。</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46" w:name="_Toc509765917"/>
      <w:bookmarkStart w:id="147" w:name="_Toc482188563"/>
      <w:bookmarkStart w:id="148" w:name="_Toc8679"/>
      <w:bookmarkStart w:id="149" w:name="_Toc8612"/>
      <w:r>
        <w:rPr>
          <w:rFonts w:ascii="宋体" w:hAnsi="宋体" w:eastAsia="宋体"/>
          <w:b/>
          <w:bCs/>
          <w:color w:val="auto"/>
          <w:sz w:val="24"/>
          <w:szCs w:val="24"/>
          <w:highlight w:val="none"/>
        </w:rPr>
        <w:t xml:space="preserve">2.4 </w:t>
      </w:r>
      <w:r>
        <w:rPr>
          <w:rFonts w:hint="eastAsia" w:ascii="宋体" w:hAnsi="宋体" w:eastAsia="宋体"/>
          <w:b/>
          <w:bCs/>
          <w:color w:val="auto"/>
          <w:sz w:val="24"/>
          <w:szCs w:val="24"/>
          <w:highlight w:val="none"/>
        </w:rPr>
        <w:t>支付合同价款</w:t>
      </w:r>
      <w:bookmarkEnd w:id="146"/>
      <w:bookmarkEnd w:id="147"/>
      <w:bookmarkEnd w:id="148"/>
      <w:bookmarkEnd w:id="1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发包人应按合同约定向勘察设计人及时支付合同价款。</w:t>
      </w:r>
    </w:p>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50" w:name="_Toc482188564"/>
      <w:bookmarkStart w:id="151" w:name="_Toc509765918"/>
      <w:bookmarkStart w:id="152" w:name="_Toc474833987"/>
      <w:bookmarkStart w:id="153" w:name="_Toc3510"/>
      <w:bookmarkStart w:id="154" w:name="_Toc11340"/>
      <w:r>
        <w:rPr>
          <w:rFonts w:ascii="宋体" w:hAnsi="宋体" w:eastAsia="宋体"/>
          <w:b/>
          <w:bCs/>
          <w:color w:val="auto"/>
          <w:sz w:val="24"/>
          <w:szCs w:val="24"/>
          <w:highlight w:val="none"/>
        </w:rPr>
        <w:t xml:space="preserve">2.5 </w:t>
      </w:r>
      <w:r>
        <w:rPr>
          <w:rFonts w:hint="eastAsia" w:ascii="宋体" w:hAnsi="宋体" w:eastAsia="宋体"/>
          <w:b/>
          <w:bCs/>
          <w:color w:val="auto"/>
          <w:sz w:val="24"/>
          <w:szCs w:val="24"/>
          <w:highlight w:val="none"/>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发包人应按第1.6.2项的约定向勘察设计人提供勘察设计资料。</w:t>
      </w:r>
    </w:p>
    <w:bookmarkEnd w:id="134"/>
    <w:bookmarkEnd w:id="135"/>
    <w:bookmarkEnd w:id="136"/>
    <w:bookmarkEnd w:id="137"/>
    <w:bookmarkEnd w:id="138"/>
    <w:p>
      <w:pPr>
        <w:pStyle w:val="4"/>
        <w:numPr>
          <w:ilvl w:val="2"/>
          <w:numId w:val="0"/>
        </w:numPr>
        <w:spacing w:before="0" w:after="0" w:line="360" w:lineRule="auto"/>
        <w:ind w:left="838" w:leftChars="0"/>
        <w:rPr>
          <w:rFonts w:ascii="宋体" w:hAnsi="宋体" w:eastAsia="宋体"/>
          <w:b/>
          <w:bCs/>
          <w:color w:val="auto"/>
          <w:sz w:val="24"/>
          <w:szCs w:val="24"/>
          <w:highlight w:val="none"/>
        </w:rPr>
      </w:pPr>
      <w:bookmarkStart w:id="155" w:name="_Toc22237"/>
      <w:bookmarkStart w:id="156" w:name="_Toc284"/>
      <w:bookmarkStart w:id="157" w:name="_Toc482188565"/>
      <w:bookmarkStart w:id="158" w:name="_Toc509765919"/>
      <w:r>
        <w:rPr>
          <w:rFonts w:ascii="宋体" w:hAnsi="宋体" w:eastAsia="宋体"/>
          <w:b/>
          <w:bCs/>
          <w:color w:val="auto"/>
          <w:sz w:val="24"/>
          <w:szCs w:val="24"/>
          <w:highlight w:val="none"/>
        </w:rPr>
        <w:t xml:space="preserve">2.6 </w:t>
      </w:r>
      <w:r>
        <w:rPr>
          <w:rFonts w:hint="eastAsia" w:ascii="宋体" w:hAnsi="宋体" w:eastAsia="宋体"/>
          <w:b/>
          <w:bCs/>
          <w:color w:val="auto"/>
          <w:sz w:val="24"/>
          <w:szCs w:val="24"/>
          <w:highlight w:val="none"/>
        </w:rPr>
        <w:t>其他义务</w:t>
      </w:r>
      <w:bookmarkEnd w:id="155"/>
      <w:bookmarkEnd w:id="156"/>
      <w:bookmarkEnd w:id="157"/>
      <w:bookmarkEnd w:id="15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发包人应履行合同约定的其他义务</w:t>
      </w:r>
      <w:bookmarkStart w:id="159" w:name="_Toc370281728"/>
      <w:bookmarkStart w:id="160" w:name="_Toc385942924"/>
      <w:r>
        <w:rPr>
          <w:rFonts w:ascii="宋体" w:hAnsi="宋体"/>
          <w:color w:val="auto"/>
          <w:sz w:val="21"/>
          <w:szCs w:val="21"/>
          <w:highlight w:val="none"/>
        </w:rPr>
        <w:t>。</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161" w:name="_Toc24008"/>
      <w:bookmarkStart w:id="162" w:name="_Toc482188566"/>
      <w:bookmarkStart w:id="163" w:name="_Toc6432"/>
      <w:bookmarkStart w:id="164" w:name="_Toc509765920"/>
      <w:r>
        <w:rPr>
          <w:rFonts w:ascii="宋体" w:hAnsi="宋体" w:eastAsia="宋体"/>
          <w:i w:val="0"/>
          <w:iCs/>
          <w:color w:val="auto"/>
          <w:sz w:val="28"/>
          <w:szCs w:val="28"/>
          <w:highlight w:val="none"/>
        </w:rPr>
        <w:t>3. 发包人管</w:t>
      </w:r>
      <w:bookmarkEnd w:id="159"/>
      <w:bookmarkEnd w:id="160"/>
      <w:r>
        <w:rPr>
          <w:rFonts w:ascii="宋体" w:hAnsi="宋体" w:eastAsia="宋体"/>
          <w:i w:val="0"/>
          <w:iCs/>
          <w:color w:val="auto"/>
          <w:sz w:val="28"/>
          <w:szCs w:val="28"/>
          <w:highlight w:val="none"/>
        </w:rPr>
        <w:t>理</w:t>
      </w:r>
      <w:bookmarkEnd w:id="161"/>
      <w:bookmarkEnd w:id="162"/>
      <w:bookmarkEnd w:id="163"/>
      <w:bookmarkEnd w:id="164"/>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65" w:name="_Toc509765921"/>
      <w:bookmarkStart w:id="166" w:name="_Toc28389"/>
      <w:bookmarkStart w:id="167" w:name="_Toc482188567"/>
      <w:bookmarkStart w:id="168" w:name="_Toc18973"/>
      <w:r>
        <w:rPr>
          <w:rFonts w:hint="eastAsia" w:ascii="宋体" w:hAnsi="宋体" w:eastAsia="宋体" w:cs="宋体"/>
          <w:b/>
          <w:bCs/>
          <w:color w:val="auto"/>
          <w:sz w:val="24"/>
          <w:szCs w:val="24"/>
          <w:highlight w:val="none"/>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3.1.1除专用合同条款</w:t>
      </w:r>
      <w:bookmarkStart w:id="169" w:name="_Toc370281729"/>
      <w:bookmarkStart w:id="170" w:name="_Toc385942925"/>
      <w:bookmarkStart w:id="171" w:name="_Toc247514057"/>
      <w:bookmarkStart w:id="172" w:name="_Toc300835055"/>
      <w:bookmarkStart w:id="173" w:name="_Toc247527658"/>
      <w:r>
        <w:rPr>
          <w:rFonts w:hint="eastAsia" w:ascii="宋体" w:hAnsi="宋体" w:eastAsia="宋体" w:cs="宋体"/>
          <w:color w:val="auto"/>
          <w:sz w:val="21"/>
          <w:szCs w:val="21"/>
          <w:highlight w:val="none"/>
        </w:rPr>
        <w:t>另有约定外，发包</w:t>
      </w:r>
      <w:bookmarkEnd w:id="169"/>
      <w:bookmarkEnd w:id="170"/>
      <w:bookmarkEnd w:id="171"/>
      <w:bookmarkEnd w:id="172"/>
      <w:bookmarkEnd w:id="173"/>
      <w:r>
        <w:rPr>
          <w:rFonts w:hint="eastAsia" w:ascii="宋体" w:hAnsi="宋体" w:eastAsia="宋体" w:cs="宋体"/>
          <w:color w:val="auto"/>
          <w:sz w:val="21"/>
          <w:szCs w:val="21"/>
          <w:highlight w:val="none"/>
        </w:rPr>
        <w:t>人应在合同签订后14天内，将发包人代</w:t>
      </w:r>
      <w:bookmarkStart w:id="174" w:name="_Toc300835056"/>
      <w:bookmarkStart w:id="175" w:name="_Toc247527659"/>
      <w:bookmarkStart w:id="176" w:name="_Toc184635100"/>
      <w:bookmarkStart w:id="177" w:name="_Toc247514058"/>
      <w:r>
        <w:rPr>
          <w:rFonts w:hint="eastAsia" w:ascii="宋体" w:hAnsi="宋体" w:eastAsia="宋体" w:cs="宋体"/>
          <w:color w:val="auto"/>
          <w:sz w:val="21"/>
          <w:szCs w:val="21"/>
          <w:highlight w:val="none"/>
        </w:rPr>
        <w:t>表的姓名、职</w:t>
      </w:r>
      <w:bookmarkEnd w:id="174"/>
      <w:bookmarkEnd w:id="175"/>
      <w:bookmarkEnd w:id="176"/>
      <w:bookmarkEnd w:id="177"/>
      <w:r>
        <w:rPr>
          <w:rFonts w:hint="eastAsia" w:ascii="宋体" w:hAnsi="宋体" w:eastAsia="宋体" w:cs="宋体"/>
          <w:color w:val="auto"/>
          <w:sz w:val="21"/>
          <w:szCs w:val="21"/>
          <w:highlight w:val="none"/>
        </w:rPr>
        <w:t>务、联</w:t>
      </w:r>
      <w:bookmarkStart w:id="178" w:name="_Toc351203511"/>
      <w:r>
        <w:rPr>
          <w:rFonts w:hint="eastAsia" w:ascii="宋体" w:hAnsi="宋体" w:eastAsia="宋体" w:cs="宋体"/>
          <w:color w:val="auto"/>
          <w:sz w:val="21"/>
          <w:szCs w:val="21"/>
          <w:highlight w:val="none"/>
        </w:rPr>
        <w:t>系方式、授权范围和</w:t>
      </w:r>
      <w:bookmarkEnd w:id="178"/>
      <w:r>
        <w:rPr>
          <w:rFonts w:hint="eastAsia" w:ascii="宋体" w:hAnsi="宋体" w:eastAsia="宋体" w:cs="宋体"/>
          <w:color w:val="auto"/>
          <w:sz w:val="21"/>
          <w:szCs w:val="21"/>
          <w:highlight w:val="none"/>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发包人代表可以授权发包人的其他人员负责执行其指派的一项或多项工作。发包人代表应</w:t>
      </w:r>
      <w:bookmarkStart w:id="179" w:name="_Toc247514061"/>
      <w:bookmarkStart w:id="180" w:name="_Toc300835059"/>
      <w:bookmarkStart w:id="181" w:name="_Toc247527662"/>
      <w:r>
        <w:rPr>
          <w:rFonts w:hint="eastAsia" w:ascii="宋体" w:hAnsi="宋体" w:eastAsia="宋体" w:cs="宋体"/>
          <w:color w:val="auto"/>
          <w:sz w:val="21"/>
          <w:szCs w:val="21"/>
          <w:highlight w:val="none"/>
        </w:rPr>
        <w:t>将被授权人员的姓名及其</w:t>
      </w:r>
      <w:bookmarkEnd w:id="179"/>
      <w:bookmarkEnd w:id="180"/>
      <w:bookmarkEnd w:id="181"/>
      <w:r>
        <w:rPr>
          <w:rFonts w:hint="eastAsia" w:ascii="宋体" w:hAnsi="宋体" w:eastAsia="宋体" w:cs="宋体"/>
          <w:color w:val="auto"/>
          <w:sz w:val="21"/>
          <w:szCs w:val="21"/>
          <w:highlight w:val="none"/>
        </w:rPr>
        <w:t>授权范围通知勘察设计人。被授权人员在授权范围内发出的指示视为已得到发包人代表的同意，与发包人代表发出的指示具有同等效力。</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2" w:name="_Toc18753"/>
      <w:bookmarkStart w:id="183" w:name="_Toc509765922"/>
      <w:bookmarkStart w:id="184" w:name="_Toc482188568"/>
      <w:bookmarkStart w:id="185" w:name="_Toc12442"/>
      <w:r>
        <w:rPr>
          <w:rFonts w:hint="eastAsia" w:ascii="宋体" w:hAnsi="宋体" w:eastAsia="宋体" w:cs="宋体"/>
          <w:b/>
          <w:bCs/>
          <w:color w:val="auto"/>
          <w:sz w:val="24"/>
          <w:szCs w:val="24"/>
          <w:highlight w:val="none"/>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合同约定应由勘察设计人承担的义务和责任，不因监理人对勘察设计文件的审查或批准，以及为实施监理作出的指示等职务行为而减轻或解除。</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6" w:name="_Toc6236"/>
      <w:bookmarkStart w:id="187" w:name="_Toc482188569"/>
      <w:bookmarkStart w:id="188" w:name="_Toc24023"/>
      <w:bookmarkStart w:id="189" w:name="_Toc509765923"/>
      <w:r>
        <w:rPr>
          <w:rFonts w:hint="eastAsia" w:ascii="宋体" w:hAnsi="宋体" w:eastAsia="宋体" w:cs="宋体"/>
          <w:b/>
          <w:bCs/>
          <w:color w:val="auto"/>
          <w:sz w:val="24"/>
          <w:szCs w:val="24"/>
          <w:highlight w:val="none"/>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发包人应按合同约定向勘察设计人发出指示，发包人的指示应盖有发包人单位公章</w:t>
      </w:r>
      <w:bookmarkStart w:id="190" w:name="_Toc247527663"/>
      <w:bookmarkStart w:id="191" w:name="_Toc247514062"/>
      <w:bookmarkStart w:id="192" w:name="_Toc300835060"/>
      <w:r>
        <w:rPr>
          <w:rFonts w:hint="eastAsia" w:ascii="宋体" w:hAnsi="宋体" w:eastAsia="宋体" w:cs="宋体"/>
          <w:color w:val="auto"/>
          <w:sz w:val="21"/>
          <w:szCs w:val="21"/>
          <w:highlight w:val="none"/>
        </w:rPr>
        <w:t>，并由发</w:t>
      </w:r>
      <w:bookmarkEnd w:id="190"/>
      <w:bookmarkEnd w:id="191"/>
      <w:bookmarkEnd w:id="192"/>
      <w:r>
        <w:rPr>
          <w:rFonts w:hint="eastAsia" w:ascii="宋体" w:hAnsi="宋体" w:eastAsia="宋体" w:cs="宋体"/>
          <w:color w:val="auto"/>
          <w:sz w:val="21"/>
          <w:szCs w:val="21"/>
          <w:highlight w:val="none"/>
        </w:rPr>
        <w:t>包人代表签字确认。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由于发包人未能按合同约定发出指示、指示延误或指示错误而导致勘察设计人费用增加和（或）周期延误的，发包人应承担由此增加的费用和（或）周期延误。</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93" w:name="_Toc3777"/>
      <w:bookmarkStart w:id="194" w:name="_Toc482188570"/>
      <w:bookmarkStart w:id="195" w:name="_Toc14497"/>
      <w:bookmarkStart w:id="196" w:name="_Toc509765924"/>
      <w:r>
        <w:rPr>
          <w:rFonts w:hint="eastAsia" w:ascii="宋体" w:hAnsi="宋体" w:eastAsia="宋体" w:cs="宋体"/>
          <w:b/>
          <w:bCs/>
          <w:color w:val="auto"/>
          <w:sz w:val="24"/>
          <w:szCs w:val="24"/>
          <w:highlight w:val="none"/>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发包人在法律允许的范围内有权对勘察设计人的勘察设计工作和/或勘察设计文件作出处理决定</w:t>
      </w:r>
      <w:bookmarkStart w:id="197" w:name="_Toc385942926"/>
      <w:bookmarkStart w:id="198" w:name="_Toc370281730"/>
      <w:bookmarkStart w:id="199" w:name="_Toc184635101"/>
      <w:bookmarkStart w:id="200" w:name="_Toc385592088"/>
      <w:bookmarkStart w:id="201" w:name="_Toc300835062"/>
      <w:bookmarkStart w:id="202" w:name="_Toc247514064"/>
      <w:bookmarkStart w:id="203" w:name="_Toc247527665"/>
      <w:r>
        <w:rPr>
          <w:rFonts w:hint="eastAsia" w:ascii="宋体" w:hAnsi="宋体" w:eastAsia="宋体" w:cs="宋体"/>
          <w:color w:val="auto"/>
          <w:sz w:val="21"/>
          <w:szCs w:val="21"/>
          <w:highlight w:val="none"/>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发包人应在专用合同条款约定的时间之内，对勘察设计人书面提出的事项作出书面答复；逾期没有做出答复的，视为已获得发包人的批准。</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204" w:name="_Toc482188571"/>
      <w:bookmarkStart w:id="205" w:name="_Toc496"/>
      <w:bookmarkStart w:id="206" w:name="_Toc30370"/>
      <w:bookmarkStart w:id="207" w:name="_Toc509765925"/>
      <w:r>
        <w:rPr>
          <w:rFonts w:ascii="宋体" w:hAnsi="宋体" w:eastAsia="宋体"/>
          <w:i w:val="0"/>
          <w:iCs/>
          <w:color w:val="auto"/>
          <w:sz w:val="28"/>
          <w:szCs w:val="28"/>
          <w:highlight w:val="none"/>
        </w:rPr>
        <w:t>4. 勘察设计人义务</w:t>
      </w:r>
      <w:bookmarkEnd w:id="204"/>
      <w:bookmarkEnd w:id="205"/>
      <w:bookmarkEnd w:id="206"/>
      <w:bookmarkEnd w:id="20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08" w:name="_Toc24782"/>
      <w:bookmarkStart w:id="209" w:name="_Toc12256"/>
      <w:bookmarkStart w:id="210" w:name="_Toc509765926"/>
      <w:bookmarkStart w:id="211" w:name="_Toc482188572"/>
      <w:r>
        <w:rPr>
          <w:rFonts w:hint="eastAsia" w:ascii="宋体" w:hAnsi="宋体" w:eastAsia="宋体" w:cs="宋体"/>
          <w:b/>
          <w:bCs/>
          <w:color w:val="auto"/>
          <w:sz w:val="24"/>
          <w:szCs w:val="24"/>
          <w:highlight w:val="none"/>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 遵守法律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highlight w:val="none"/>
        </w:rPr>
        <w:t>勘察设计人</w:t>
      </w:r>
      <w:bookmarkStart w:id="212" w:name="_Toc247514065"/>
      <w:bookmarkStart w:id="213" w:name="_Toc300835063"/>
      <w:bookmarkStart w:id="214" w:name="_Toc385942927"/>
      <w:bookmarkStart w:id="215" w:name="_Toc370281731"/>
      <w:bookmarkStart w:id="216" w:name="_Toc247527666"/>
      <w:r>
        <w:rPr>
          <w:rFonts w:hint="eastAsia" w:ascii="宋体" w:hAnsi="宋体" w:eastAsia="宋体" w:cs="宋体"/>
          <w:color w:val="auto"/>
          <w:sz w:val="21"/>
          <w:szCs w:val="21"/>
          <w:highlight w:val="none"/>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 依法纳税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4.1.3 完成全部勘察设计工作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 其他义务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勘察设计人应履行合同约定的其他义务。</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17" w:name="_Toc31575"/>
      <w:bookmarkStart w:id="218" w:name="_Toc31846"/>
      <w:bookmarkStart w:id="219" w:name="_Toc485303383"/>
      <w:bookmarkStart w:id="220" w:name="_Toc382920065"/>
      <w:bookmarkStart w:id="221" w:name="_Toc509765927"/>
      <w:bookmarkStart w:id="222" w:name="_Toc13239"/>
      <w:bookmarkStart w:id="223" w:name="_Toc482188573"/>
      <w:bookmarkStart w:id="224" w:name="_Toc300835075"/>
      <w:bookmarkStart w:id="225" w:name="_Toc247527677"/>
      <w:bookmarkStart w:id="226" w:name="_Toc247514076"/>
      <w:bookmarkStart w:id="227" w:name="_Toc300835076"/>
      <w:r>
        <w:rPr>
          <w:rFonts w:hint="eastAsia" w:ascii="宋体" w:hAnsi="宋体" w:eastAsia="宋体" w:cs="宋体"/>
          <w:b/>
          <w:bCs/>
          <w:color w:val="auto"/>
          <w:sz w:val="24"/>
          <w:szCs w:val="24"/>
          <w:highlight w:val="none"/>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28" w:name="_Toc7347"/>
      <w:bookmarkStart w:id="229" w:name="_Toc509765928"/>
      <w:bookmarkStart w:id="230" w:name="_Toc141"/>
      <w:r>
        <w:rPr>
          <w:rFonts w:hint="eastAsia" w:ascii="宋体" w:hAnsi="宋体" w:eastAsia="宋体" w:cs="宋体"/>
          <w:b/>
          <w:bCs/>
          <w:color w:val="auto"/>
          <w:sz w:val="24"/>
          <w:szCs w:val="24"/>
          <w:highlight w:val="none"/>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分包人的资格能力应与其分包工作的标准和规模相适应，包括必要的企业资质、人员、设备和类似业绩等。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1" w:name="_Toc509765929"/>
      <w:bookmarkStart w:id="232" w:name="_Toc20345"/>
      <w:bookmarkStart w:id="233" w:name="_Toc4745"/>
      <w:bookmarkStart w:id="234" w:name="_Toc482188574"/>
      <w:r>
        <w:rPr>
          <w:rFonts w:hint="eastAsia" w:ascii="宋体" w:hAnsi="宋体" w:eastAsia="宋体" w:cs="宋体"/>
          <w:b/>
          <w:bCs/>
          <w:color w:val="auto"/>
          <w:sz w:val="24"/>
          <w:szCs w:val="24"/>
          <w:highlight w:val="none"/>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联合体牵头人或联合体授权的代表负责与发包人联系，并接受指示，负责组织联合体各成员全面履行合同。</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5" w:name="_Toc509765930"/>
      <w:bookmarkStart w:id="236" w:name="_Toc482188575"/>
      <w:bookmarkStart w:id="237" w:name="_Toc30035"/>
      <w:bookmarkStart w:id="238" w:name="_Toc11884"/>
      <w:r>
        <w:rPr>
          <w:rFonts w:hint="eastAsia" w:ascii="宋体" w:hAnsi="宋体" w:eastAsia="宋体" w:cs="宋体"/>
          <w:b/>
          <w:bCs/>
          <w:color w:val="auto"/>
          <w:sz w:val="24"/>
          <w:szCs w:val="24"/>
          <w:highlight w:val="none"/>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勘察设计人应按合同协议书的约定指派项目负责人，并在约定的期限内到职。勘察设计人更换项目负责</w:t>
      </w:r>
      <w:bookmarkStart w:id="239" w:name="_Toc247527670"/>
      <w:bookmarkStart w:id="240" w:name="_Toc247514069"/>
      <w:bookmarkStart w:id="241" w:name="_Toc300835067"/>
      <w:r>
        <w:rPr>
          <w:rFonts w:hint="eastAsia" w:ascii="宋体" w:hAnsi="宋体" w:eastAsia="宋体" w:cs="宋体"/>
          <w:color w:val="auto"/>
          <w:sz w:val="21"/>
          <w:szCs w:val="21"/>
          <w:highlight w:val="none"/>
        </w:rPr>
        <w:t>人应事先征得</w:t>
      </w:r>
      <w:bookmarkEnd w:id="239"/>
      <w:bookmarkEnd w:id="240"/>
      <w:bookmarkEnd w:id="241"/>
      <w:r>
        <w:rPr>
          <w:rFonts w:hint="eastAsia" w:ascii="宋体" w:hAnsi="宋体" w:eastAsia="宋体" w:cs="宋体"/>
          <w:color w:val="auto"/>
          <w:sz w:val="21"/>
          <w:szCs w:val="21"/>
          <w:highlight w:val="none"/>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highlight w:val="none"/>
        </w:rPr>
      </w:pPr>
      <w:bookmarkStart w:id="242" w:name="_Toc482188576"/>
      <w:r>
        <w:rPr>
          <w:rFonts w:hint="eastAsia" w:ascii="宋体" w:hAnsi="宋体" w:eastAsia="宋体" w:cs="宋体"/>
          <w:color w:val="auto"/>
          <w:sz w:val="21"/>
          <w:szCs w:val="21"/>
          <w:highlight w:val="none"/>
        </w:rPr>
        <w:t>4.5.4 按照专用合同条款约定，项目负责人可以授权其下属人员履行其某项职责，但事先应将这些人员的姓名和授权范围书面通知发包人。</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3" w:name="_Toc304"/>
      <w:bookmarkStart w:id="244" w:name="_Toc509765931"/>
      <w:bookmarkStart w:id="245" w:name="_Toc7606"/>
      <w:r>
        <w:rPr>
          <w:rFonts w:hint="eastAsia" w:ascii="宋体" w:hAnsi="宋体" w:eastAsia="宋体" w:cs="宋体"/>
          <w:b/>
          <w:bCs/>
          <w:color w:val="auto"/>
          <w:sz w:val="24"/>
          <w:szCs w:val="24"/>
          <w:highlight w:val="none"/>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 勘察设计人应在接到开始勘察设计通知之日起7天内，向发包人提交勘察设计项目机构以及</w:t>
      </w:r>
      <w:bookmarkStart w:id="246" w:name="_Toc247514070"/>
      <w:bookmarkStart w:id="247" w:name="_Toc247527671"/>
      <w:bookmarkStart w:id="248" w:name="_Toc300835068"/>
      <w:r>
        <w:rPr>
          <w:rFonts w:hint="eastAsia" w:ascii="宋体" w:hAnsi="宋体" w:eastAsia="宋体" w:cs="宋体"/>
          <w:color w:val="auto"/>
          <w:sz w:val="21"/>
          <w:szCs w:val="21"/>
          <w:highlight w:val="none"/>
        </w:rPr>
        <w:t>人员安排的报告，其内容应</w:t>
      </w:r>
      <w:bookmarkEnd w:id="246"/>
      <w:bookmarkEnd w:id="247"/>
      <w:bookmarkEnd w:id="248"/>
      <w:r>
        <w:rPr>
          <w:rFonts w:hint="eastAsia" w:ascii="宋体" w:hAnsi="宋体" w:eastAsia="宋体" w:cs="宋体"/>
          <w:color w:val="auto"/>
          <w:sz w:val="21"/>
          <w:szCs w:val="21"/>
          <w:highlight w:val="none"/>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4.6.4 国家规定应当持证上岗的工作人员均应持有相应的资格证明，发包人有权随时检查。发包人认为有必要时，可以进行现场考核。</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9" w:name="_Toc482188577"/>
      <w:bookmarkStart w:id="250" w:name="_Toc6507"/>
      <w:bookmarkStart w:id="251" w:name="_Toc509765932"/>
      <w:bookmarkStart w:id="252" w:name="_Toc461"/>
      <w:r>
        <w:rPr>
          <w:rFonts w:hint="eastAsia" w:ascii="宋体" w:hAnsi="宋体" w:eastAsia="宋体" w:cs="宋体"/>
          <w:b/>
          <w:bCs/>
          <w:color w:val="auto"/>
          <w:sz w:val="24"/>
          <w:szCs w:val="24"/>
          <w:highlight w:val="none"/>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勘察设计人应对其项目负责人和其他人员进行有效管理。发包人要求撤换不能胜任本职工作、行</w:t>
      </w:r>
      <w:bookmarkStart w:id="253" w:name="_Toc247514071"/>
      <w:bookmarkStart w:id="254" w:name="_Toc247527672"/>
      <w:bookmarkStart w:id="255" w:name="_Toc300835069"/>
      <w:r>
        <w:rPr>
          <w:rFonts w:hint="eastAsia" w:ascii="宋体" w:hAnsi="宋体" w:eastAsia="宋体" w:cs="宋体"/>
          <w:color w:val="auto"/>
          <w:sz w:val="21"/>
          <w:szCs w:val="21"/>
          <w:highlight w:val="none"/>
        </w:rPr>
        <w:t>为不端或玩忽职守的项目负责人和其</w:t>
      </w:r>
      <w:bookmarkEnd w:id="253"/>
      <w:bookmarkEnd w:id="254"/>
      <w:bookmarkEnd w:id="255"/>
      <w:r>
        <w:rPr>
          <w:rFonts w:hint="eastAsia" w:ascii="宋体" w:hAnsi="宋体" w:eastAsia="宋体" w:cs="宋体"/>
          <w:color w:val="auto"/>
          <w:sz w:val="21"/>
          <w:szCs w:val="21"/>
          <w:highlight w:val="none"/>
        </w:rPr>
        <w:t>他人员的，勘察设计人应予以撤换。</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56" w:name="_Toc509765933"/>
      <w:bookmarkStart w:id="257" w:name="_Toc482188578"/>
      <w:bookmarkStart w:id="258" w:name="_Toc4268"/>
      <w:bookmarkStart w:id="259" w:name="_Toc16292"/>
      <w:r>
        <w:rPr>
          <w:rFonts w:hint="eastAsia" w:ascii="宋体" w:hAnsi="宋体" w:eastAsia="宋体" w:cs="宋体"/>
          <w:b/>
          <w:bCs/>
          <w:color w:val="auto"/>
          <w:sz w:val="24"/>
          <w:szCs w:val="24"/>
          <w:highlight w:val="none"/>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4.8.2 勘察设计人应</w:t>
      </w:r>
      <w:bookmarkStart w:id="260" w:name="_Toc300835070"/>
      <w:bookmarkStart w:id="261" w:name="_Toc247514072"/>
      <w:bookmarkStart w:id="262" w:name="_Toc247527673"/>
      <w:r>
        <w:rPr>
          <w:rFonts w:hint="eastAsia" w:ascii="宋体" w:hAnsi="宋体" w:eastAsia="宋体" w:cs="宋体"/>
          <w:color w:val="auto"/>
          <w:sz w:val="21"/>
          <w:szCs w:val="21"/>
          <w:highlight w:val="none"/>
        </w:rPr>
        <w:t>按劳动法的规定安排工作时间</w:t>
      </w:r>
      <w:bookmarkEnd w:id="260"/>
      <w:bookmarkEnd w:id="261"/>
      <w:bookmarkEnd w:id="262"/>
      <w:r>
        <w:rPr>
          <w:rFonts w:hint="eastAsia" w:ascii="宋体" w:hAnsi="宋体" w:eastAsia="宋体" w:cs="宋体"/>
          <w:color w:val="auto"/>
          <w:sz w:val="21"/>
          <w:szCs w:val="21"/>
          <w:highlight w:val="none"/>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 勘察设计人应按有关法律规定和合同约定，为其雇佣人员办理保险。</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63" w:name="_Toc509765934"/>
      <w:bookmarkStart w:id="264" w:name="_Toc482188579"/>
      <w:bookmarkStart w:id="265" w:name="_Toc22815"/>
      <w:bookmarkStart w:id="266" w:name="_Toc32664"/>
      <w:r>
        <w:rPr>
          <w:rFonts w:hint="eastAsia" w:ascii="宋体" w:hAnsi="宋体" w:eastAsia="宋体" w:cs="宋体"/>
          <w:b/>
          <w:bCs/>
          <w:color w:val="auto"/>
          <w:sz w:val="24"/>
          <w:szCs w:val="24"/>
          <w:highlight w:val="none"/>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发包人按合同约定支付给勘察设计人的各项价款，应专用于合同勘察设计工作。</w:t>
      </w:r>
    </w:p>
    <w:bookmarkEnd w:id="224"/>
    <w:bookmarkEnd w:id="225"/>
    <w:bookmarkEnd w:id="226"/>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267" w:name="_Toc482188580"/>
      <w:bookmarkStart w:id="268" w:name="_Toc8104"/>
      <w:bookmarkStart w:id="269" w:name="_Toc509765935"/>
      <w:bookmarkStart w:id="270" w:name="_Toc14121"/>
      <w:r>
        <w:rPr>
          <w:rFonts w:ascii="宋体" w:hAnsi="宋体" w:eastAsia="宋体"/>
          <w:i w:val="0"/>
          <w:iCs/>
          <w:color w:val="auto"/>
          <w:sz w:val="28"/>
          <w:szCs w:val="28"/>
          <w:highlight w:val="none"/>
        </w:rPr>
        <w:t>5. 勘察设计要求</w:t>
      </w:r>
      <w:bookmarkEnd w:id="267"/>
      <w:bookmarkEnd w:id="268"/>
      <w:bookmarkEnd w:id="269"/>
      <w:bookmarkEnd w:id="270"/>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1" w:name="_Toc482188581"/>
      <w:bookmarkStart w:id="272" w:name="_Toc509765936"/>
      <w:bookmarkStart w:id="273" w:name="_Toc11470"/>
      <w:bookmarkStart w:id="274" w:name="_Toc16040"/>
      <w:r>
        <w:rPr>
          <w:rFonts w:hint="eastAsia" w:ascii="宋体" w:hAnsi="宋体" w:eastAsia="宋体" w:cs="宋体"/>
          <w:b/>
          <w:bCs/>
          <w:color w:val="auto"/>
          <w:sz w:val="24"/>
          <w:szCs w:val="24"/>
          <w:highlight w:val="none"/>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勘察设计人在勘察设计服务中选用的材料、设备，应当注明其规格、型号、性能等技术指标及适应性，满足质量、安全、节能、环保等要求。</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5" w:name="_Toc509765937"/>
      <w:bookmarkStart w:id="276" w:name="_Toc22029"/>
      <w:bookmarkStart w:id="277" w:name="_Toc482188582"/>
      <w:bookmarkStart w:id="278" w:name="_Toc11273"/>
      <w:r>
        <w:rPr>
          <w:rFonts w:hint="eastAsia" w:ascii="宋体" w:hAnsi="宋体" w:eastAsia="宋体" w:cs="宋体"/>
          <w:b/>
          <w:bCs/>
          <w:color w:val="auto"/>
          <w:sz w:val="24"/>
          <w:szCs w:val="24"/>
          <w:highlight w:val="none"/>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（2）与工程有关的规范、标准、规程；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（3）工程基础资料及其他文件；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（4）本勘察设计服务合同及补充合同；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（5）本工程勘察文件和施工需求；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（6）合同履行中与勘察设计服务有关的来往函件；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（7）其他勘察设计依据。</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9" w:name="_Toc482188583"/>
      <w:bookmarkStart w:id="280" w:name="_Toc27900"/>
      <w:bookmarkStart w:id="281" w:name="_Toc20334"/>
      <w:bookmarkStart w:id="282" w:name="_Toc509765938"/>
      <w:r>
        <w:rPr>
          <w:rFonts w:hint="eastAsia" w:ascii="宋体" w:hAnsi="宋体" w:eastAsia="宋体" w:cs="宋体"/>
          <w:b/>
          <w:bCs/>
          <w:color w:val="auto"/>
          <w:sz w:val="24"/>
          <w:szCs w:val="24"/>
          <w:highlight w:val="none"/>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工程范围指所勘察设计工程的建设内容，具体范围</w:t>
      </w:r>
      <w:r>
        <w:rPr>
          <w:rFonts w:hint="eastAsia" w:ascii="宋体" w:hAnsi="宋体" w:eastAsia="宋体" w:cs="宋体"/>
          <w:color w:val="auto"/>
          <w:kern w:val="0"/>
          <w:sz w:val="21"/>
          <w:szCs w:val="21"/>
          <w:highlight w:val="none"/>
        </w:rPr>
        <w:t>在专用合同条款中约定</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highlight w:val="none"/>
        </w:rPr>
      </w:pPr>
      <w:bookmarkStart w:id="283" w:name="_Toc482188584"/>
      <w:r>
        <w:rPr>
          <w:rFonts w:hint="eastAsia" w:ascii="宋体" w:hAnsi="宋体" w:eastAsia="宋体" w:cs="宋体"/>
          <w:color w:val="auto"/>
          <w:sz w:val="21"/>
          <w:szCs w:val="21"/>
          <w:highlight w:val="none"/>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84" w:name="_Toc4300"/>
      <w:bookmarkStart w:id="285" w:name="_Toc3676"/>
      <w:bookmarkStart w:id="286" w:name="_Toc509765939"/>
      <w:bookmarkStart w:id="287" w:name="_Toc482188591"/>
      <w:r>
        <w:rPr>
          <w:rFonts w:hint="eastAsia" w:ascii="宋体" w:hAnsi="宋体" w:eastAsia="宋体" w:cs="宋体"/>
          <w:b/>
          <w:bCs/>
          <w:color w:val="auto"/>
          <w:sz w:val="24"/>
          <w:szCs w:val="24"/>
          <w:highlight w:val="none"/>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勘察设计文件必须保证工程质量和施工安全等方面的要求，按照有关法律法规规定在勘察设计文件中提出保障施工作业人员安全和预防生产安全事故的措施建议。</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288" w:name="_Toc11155"/>
      <w:bookmarkStart w:id="289" w:name="_Toc28945"/>
      <w:bookmarkStart w:id="290" w:name="_Toc509765940"/>
      <w:r>
        <w:rPr>
          <w:rFonts w:ascii="宋体" w:hAnsi="宋体" w:eastAsia="宋体"/>
          <w:i w:val="0"/>
          <w:iCs/>
          <w:color w:val="auto"/>
          <w:sz w:val="28"/>
          <w:szCs w:val="28"/>
          <w:highlight w:val="none"/>
        </w:rPr>
        <w:t>6. 开始勘察设计和完成</w:t>
      </w:r>
      <w:bookmarkEnd w:id="287"/>
      <w:r>
        <w:rPr>
          <w:rFonts w:ascii="宋体" w:hAnsi="宋体" w:eastAsia="宋体"/>
          <w:i w:val="0"/>
          <w:iCs/>
          <w:color w:val="auto"/>
          <w:sz w:val="28"/>
          <w:szCs w:val="28"/>
          <w:highlight w:val="none"/>
        </w:rPr>
        <w:t>勘察设计</w:t>
      </w:r>
      <w:bookmarkEnd w:id="288"/>
      <w:bookmarkEnd w:id="289"/>
      <w:bookmarkEnd w:id="290"/>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91" w:name="_Toc482188592"/>
      <w:bookmarkStart w:id="292" w:name="_Toc18534"/>
      <w:bookmarkStart w:id="293" w:name="_Toc23052"/>
      <w:bookmarkStart w:id="294" w:name="_Toc509765941"/>
      <w:r>
        <w:rPr>
          <w:rFonts w:hint="eastAsia" w:ascii="宋体" w:hAnsi="宋体" w:eastAsia="宋体" w:cs="宋体"/>
          <w:b/>
          <w:bCs/>
          <w:color w:val="auto"/>
          <w:sz w:val="24"/>
          <w:szCs w:val="24"/>
          <w:highlight w:val="none"/>
        </w:rPr>
        <w:t>6.1 开始</w:t>
      </w:r>
      <w:bookmarkEnd w:id="291"/>
      <w:r>
        <w:rPr>
          <w:rFonts w:hint="eastAsia" w:ascii="宋体" w:hAnsi="宋体" w:eastAsia="宋体" w:cs="宋体"/>
          <w:b/>
          <w:bCs/>
          <w:color w:val="auto"/>
          <w:sz w:val="24"/>
          <w:szCs w:val="24"/>
          <w:highlight w:val="none"/>
        </w:rPr>
        <w:t>勘察设计</w:t>
      </w:r>
      <w:bookmarkEnd w:id="292"/>
      <w:bookmarkEnd w:id="293"/>
      <w:bookmarkEnd w:id="29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6.1.1符合专用合同条款约定的开始勘察设计条件的，发包人应提前7</w:t>
      </w:r>
      <w:bookmarkStart w:id="295" w:name="_Toc247527715"/>
      <w:bookmarkStart w:id="296" w:name="_Toc300835117"/>
      <w:bookmarkStart w:id="297" w:name="_Toc247514114"/>
      <w:bookmarkStart w:id="298" w:name="_Toc184635108"/>
      <w:r>
        <w:rPr>
          <w:rFonts w:ascii="宋体" w:hAnsi="宋体"/>
          <w:color w:val="auto"/>
          <w:sz w:val="21"/>
          <w:szCs w:val="21"/>
          <w:highlight w:val="none"/>
        </w:rPr>
        <w:t>天向勘察设计人发出开始</w:t>
      </w:r>
      <w:bookmarkEnd w:id="295"/>
      <w:bookmarkEnd w:id="296"/>
      <w:bookmarkEnd w:id="297"/>
      <w:bookmarkEnd w:id="298"/>
      <w:r>
        <w:rPr>
          <w:rFonts w:ascii="宋体" w:hAnsi="宋体"/>
          <w:color w:val="auto"/>
          <w:sz w:val="21"/>
          <w:szCs w:val="21"/>
          <w:highlight w:val="none"/>
        </w:rPr>
        <w:t>勘察设计通知。</w:t>
      </w:r>
      <w:bookmarkStart w:id="299" w:name="_Toc247527716"/>
      <w:bookmarkStart w:id="300" w:name="_Toc247514115"/>
      <w:bookmarkStart w:id="301" w:name="_Toc300835118"/>
      <w:bookmarkStart w:id="302" w:name="_Toc247514117"/>
      <w:bookmarkStart w:id="303" w:name="_Toc300835120"/>
      <w:bookmarkStart w:id="304" w:name="_Toc247527718"/>
      <w:r>
        <w:rPr>
          <w:rFonts w:ascii="宋体" w:hAnsi="宋体"/>
          <w:color w:val="auto"/>
          <w:sz w:val="21"/>
          <w:szCs w:val="21"/>
          <w:highlight w:val="none"/>
        </w:rPr>
        <w:t>勘察设计服务期限自开始</w:t>
      </w:r>
      <w:bookmarkEnd w:id="299"/>
      <w:bookmarkEnd w:id="300"/>
      <w:bookmarkEnd w:id="301"/>
      <w:r>
        <w:rPr>
          <w:rFonts w:ascii="宋体" w:hAnsi="宋体"/>
          <w:color w:val="auto"/>
          <w:sz w:val="21"/>
          <w:szCs w:val="21"/>
          <w:highlight w:val="none"/>
        </w:rPr>
        <w:t>勘察设计通知中载明的开始勘察设计日期起计算。</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5" w:name="_Toc27195"/>
      <w:bookmarkStart w:id="306" w:name="_Toc509765942"/>
      <w:bookmarkStart w:id="307" w:name="_Toc24034"/>
      <w:bookmarkStart w:id="308" w:name="_Toc482188593"/>
      <w:r>
        <w:rPr>
          <w:rFonts w:hint="eastAsia" w:ascii="宋体" w:hAnsi="宋体" w:eastAsia="宋体" w:cs="宋体"/>
          <w:b/>
          <w:bCs/>
          <w:color w:val="auto"/>
          <w:sz w:val="24"/>
          <w:szCs w:val="24"/>
          <w:highlight w:val="none"/>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bookmarkEnd w:id="302"/>
      <w:bookmarkEnd w:id="303"/>
      <w:bookmarkEnd w:id="30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（1）合同变更；</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（2）未按合同约定期限及时答复勘察设计事项；</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（3）因发包人原因导致的暂停勘察设计；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（4）未按合同约定及时支付勘察设计费用；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（5）发包人提供的基准资料错误；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（6）未及时按照履行合同约定的相关义务；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（7）未能按照合同约定期限对勘察设计文件进行审查；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（8）发包人造成周期延误的其他原因。</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9" w:name="_Toc509765943"/>
      <w:bookmarkStart w:id="310" w:name="_Toc16778"/>
      <w:bookmarkStart w:id="311" w:name="_Toc23215"/>
      <w:bookmarkStart w:id="312" w:name="_Toc482188595"/>
      <w:r>
        <w:rPr>
          <w:rFonts w:hint="eastAsia" w:ascii="宋体" w:hAnsi="宋体" w:eastAsia="宋体" w:cs="宋体"/>
          <w:b/>
          <w:bCs/>
          <w:color w:val="auto"/>
          <w:sz w:val="24"/>
          <w:szCs w:val="24"/>
          <w:highlight w:val="none"/>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由于勘察设计人原因造成周期延误，勘察设计人应支付逾期违约金。逾期违约金的计算方法和最高限额在专用合同条款中约定。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3" w:name="_Toc12874"/>
      <w:bookmarkStart w:id="314" w:name="_Toc482188596"/>
      <w:bookmarkStart w:id="315" w:name="_Toc24364"/>
      <w:bookmarkStart w:id="316" w:name="_Toc509765944"/>
      <w:bookmarkStart w:id="317" w:name="_Toc474834020"/>
      <w:r>
        <w:rPr>
          <w:rFonts w:hint="eastAsia" w:ascii="宋体" w:hAnsi="宋体" w:eastAsia="宋体" w:cs="宋体"/>
          <w:b/>
          <w:bCs/>
          <w:color w:val="auto"/>
          <w:sz w:val="24"/>
          <w:szCs w:val="24"/>
          <w:highlight w:val="none"/>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由于行政管理部门审查或其他第三人原因造成费用增加和（或）周期延误的，由发包人承担。</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8" w:name="_Toc482188597"/>
      <w:bookmarkStart w:id="319" w:name="_Toc509765945"/>
      <w:bookmarkStart w:id="320" w:name="_Toc2330"/>
      <w:bookmarkStart w:id="321" w:name="_Toc4438"/>
      <w:r>
        <w:rPr>
          <w:rFonts w:hint="eastAsia" w:ascii="宋体" w:hAnsi="宋体" w:eastAsia="宋体" w:cs="宋体"/>
          <w:b/>
          <w:bCs/>
          <w:color w:val="auto"/>
          <w:sz w:val="24"/>
          <w:szCs w:val="24"/>
          <w:highlight w:val="none"/>
        </w:rPr>
        <w:t>6.5 完成</w:t>
      </w:r>
      <w:bookmarkEnd w:id="318"/>
      <w:r>
        <w:rPr>
          <w:rFonts w:hint="eastAsia" w:ascii="宋体" w:hAnsi="宋体" w:eastAsia="宋体" w:cs="宋体"/>
          <w:b/>
          <w:bCs/>
          <w:color w:val="auto"/>
          <w:sz w:val="24"/>
          <w:szCs w:val="24"/>
          <w:highlight w:val="none"/>
        </w:rPr>
        <w:t>勘察设计</w:t>
      </w:r>
      <w:bookmarkEnd w:id="319"/>
      <w:bookmarkEnd w:id="320"/>
      <w:bookmarkEnd w:id="321"/>
      <w:r>
        <w:rPr>
          <w:rFonts w:hint="eastAsia" w:ascii="宋体" w:hAnsi="宋体" w:eastAsia="宋体" w:cs="宋体"/>
          <w:b/>
          <w:bCs/>
          <w:color w:val="auto"/>
          <w:sz w:val="24"/>
          <w:szCs w:val="24"/>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6.6.1 勘察设计人完成勘察设计服务之后，应当根据法律、规范标准、合同约定和发包人要</w:t>
      </w:r>
      <w:bookmarkStart w:id="322" w:name="_Toc247527754"/>
      <w:bookmarkStart w:id="323" w:name="_Toc184635115"/>
      <w:bookmarkStart w:id="324" w:name="_Toc300835157"/>
      <w:bookmarkStart w:id="325" w:name="_Toc247514153"/>
      <w:r>
        <w:rPr>
          <w:rFonts w:ascii="宋体" w:hAnsi="宋体"/>
          <w:color w:val="auto"/>
          <w:sz w:val="21"/>
          <w:szCs w:val="21"/>
          <w:highlight w:val="none"/>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w:t>
      </w:r>
      <w:bookmarkStart w:id="326" w:name="_Toc300835158"/>
      <w:bookmarkStart w:id="327" w:name="_Toc247527755"/>
      <w:bookmarkStart w:id="328" w:name="_Toc247514154"/>
      <w:r>
        <w:rPr>
          <w:rFonts w:ascii="宋体" w:hAnsi="宋体"/>
          <w:color w:val="auto"/>
          <w:sz w:val="21"/>
          <w:szCs w:val="21"/>
          <w:highlight w:val="none"/>
        </w:rPr>
        <w:t xml:space="preserve">.2 </w:t>
      </w:r>
      <w:bookmarkEnd w:id="326"/>
      <w:r>
        <w:rPr>
          <w:rFonts w:ascii="宋体" w:hAnsi="宋体"/>
          <w:color w:val="auto"/>
          <w:sz w:val="21"/>
          <w:szCs w:val="21"/>
          <w:highlight w:val="none"/>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highlight w:val="none"/>
        </w:rPr>
        <w:t>规范要求</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highlight w:val="none"/>
        </w:rPr>
        <w:t>单位公章和项目负责人注册执业印章；电子文件中的文字为WORD格式、图形为CAD格式，并应使用</w:t>
      </w:r>
      <w:r>
        <w:rPr>
          <w:rFonts w:hint="eastAsia" w:ascii="宋体" w:hAnsi="宋体"/>
          <w:color w:val="auto"/>
          <w:sz w:val="21"/>
          <w:szCs w:val="21"/>
          <w:highlight w:val="none"/>
          <w:lang w:eastAsia="zh-CN"/>
        </w:rPr>
        <w:t>U盘</w:t>
      </w:r>
      <w:r>
        <w:rPr>
          <w:rFonts w:ascii="宋体" w:hAnsi="宋体"/>
          <w:color w:val="auto"/>
          <w:sz w:val="21"/>
          <w:szCs w:val="21"/>
          <w:highlight w:val="none"/>
        </w:rPr>
        <w:t>贮存。</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29" w:name="_Toc482188598"/>
      <w:bookmarkStart w:id="330" w:name="_Toc509765946"/>
      <w:bookmarkStart w:id="331" w:name="_Toc4858"/>
      <w:bookmarkStart w:id="332" w:name="_Toc31317"/>
      <w:r>
        <w:rPr>
          <w:rFonts w:hint="eastAsia" w:ascii="宋体" w:hAnsi="宋体" w:eastAsia="宋体" w:cs="宋体"/>
          <w:b/>
          <w:bCs/>
          <w:color w:val="auto"/>
          <w:sz w:val="24"/>
          <w:szCs w:val="24"/>
          <w:highlight w:val="none"/>
        </w:rPr>
        <w:t>6.6 提前完成</w:t>
      </w:r>
      <w:bookmarkEnd w:id="329"/>
      <w:r>
        <w:rPr>
          <w:rFonts w:hint="eastAsia" w:ascii="宋体" w:hAnsi="宋体" w:eastAsia="宋体" w:cs="宋体"/>
          <w:b/>
          <w:bCs/>
          <w:color w:val="auto"/>
          <w:sz w:val="24"/>
          <w:szCs w:val="24"/>
          <w:highlight w:val="none"/>
        </w:rPr>
        <w:t>勘察设计</w:t>
      </w:r>
      <w:bookmarkEnd w:id="330"/>
      <w:bookmarkEnd w:id="331"/>
      <w:bookmarkEnd w:id="33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6.7.3 由于勘察设计人提前完成勘察设计而给发包人带来经济效益的，发包人可以在专用合同条款中约定勘察设计人因此获得的奖励内容。</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333" w:name="_Toc482188599"/>
      <w:bookmarkStart w:id="334" w:name="_Toc23042"/>
      <w:bookmarkStart w:id="335" w:name="_Toc22946"/>
      <w:bookmarkStart w:id="336" w:name="_Toc509765947"/>
      <w:r>
        <w:rPr>
          <w:rFonts w:ascii="宋体" w:hAnsi="宋体" w:eastAsia="宋体"/>
          <w:i w:val="0"/>
          <w:iCs/>
          <w:color w:val="auto"/>
          <w:sz w:val="28"/>
          <w:szCs w:val="28"/>
          <w:highlight w:val="none"/>
        </w:rPr>
        <w:t>7. 暂停</w:t>
      </w:r>
      <w:bookmarkEnd w:id="333"/>
      <w:r>
        <w:rPr>
          <w:rFonts w:ascii="宋体" w:hAnsi="宋体" w:eastAsia="宋体"/>
          <w:i w:val="0"/>
          <w:iCs/>
          <w:color w:val="auto"/>
          <w:sz w:val="28"/>
          <w:szCs w:val="28"/>
          <w:highlight w:val="none"/>
        </w:rPr>
        <w:t>勘察设计</w:t>
      </w:r>
      <w:bookmarkEnd w:id="334"/>
      <w:bookmarkEnd w:id="335"/>
      <w:bookmarkEnd w:id="336"/>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37" w:name="_Toc467651003"/>
      <w:bookmarkStart w:id="338" w:name="_Toc482188600"/>
      <w:bookmarkStart w:id="339" w:name="_Toc27423"/>
      <w:bookmarkStart w:id="340" w:name="_Toc24459"/>
      <w:bookmarkStart w:id="341" w:name="_Toc509765948"/>
      <w:r>
        <w:rPr>
          <w:rFonts w:hint="eastAsia" w:ascii="宋体" w:hAnsi="宋体" w:eastAsia="宋体" w:cs="宋体"/>
          <w:b/>
          <w:bCs/>
          <w:color w:val="auto"/>
          <w:sz w:val="24"/>
          <w:szCs w:val="24"/>
          <w:highlight w:val="none"/>
        </w:rPr>
        <w:t xml:space="preserve">7.1 </w:t>
      </w:r>
      <w:bookmarkEnd w:id="337"/>
      <w:r>
        <w:rPr>
          <w:rFonts w:hint="eastAsia" w:ascii="宋体" w:hAnsi="宋体" w:eastAsia="宋体" w:cs="宋体"/>
          <w:b/>
          <w:bCs/>
          <w:color w:val="auto"/>
          <w:sz w:val="24"/>
          <w:szCs w:val="24"/>
          <w:highlight w:val="none"/>
        </w:rPr>
        <w:t>发包人原因暂停</w:t>
      </w:r>
      <w:bookmarkEnd w:id="338"/>
      <w:r>
        <w:rPr>
          <w:rFonts w:hint="eastAsia" w:ascii="宋体" w:hAnsi="宋体" w:eastAsia="宋体" w:cs="宋体"/>
          <w:b/>
          <w:bCs/>
          <w:color w:val="auto"/>
          <w:sz w:val="24"/>
          <w:szCs w:val="24"/>
          <w:highlight w:val="none"/>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（1）发包人违约；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（3）合同约定由发包人承担责任的其他情形。</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42" w:name="_Toc482188601"/>
      <w:bookmarkStart w:id="343" w:name="_Toc467651004"/>
      <w:bookmarkStart w:id="344" w:name="_Toc28093"/>
      <w:bookmarkStart w:id="345" w:name="_Toc25903"/>
      <w:bookmarkStart w:id="346" w:name="_Toc509765949"/>
      <w:r>
        <w:rPr>
          <w:rFonts w:hint="eastAsia" w:ascii="宋体" w:hAnsi="宋体" w:eastAsia="宋体" w:cs="宋体"/>
          <w:b/>
          <w:bCs/>
          <w:color w:val="auto"/>
          <w:sz w:val="24"/>
          <w:szCs w:val="24"/>
          <w:highlight w:val="none"/>
        </w:rPr>
        <w:t>7.2 勘察设计人原因暂停</w:t>
      </w:r>
      <w:bookmarkEnd w:id="342"/>
      <w:bookmarkEnd w:id="343"/>
      <w:r>
        <w:rPr>
          <w:rFonts w:hint="eastAsia" w:ascii="宋体" w:hAnsi="宋体" w:eastAsia="宋体" w:cs="宋体"/>
          <w:b/>
          <w:bCs/>
          <w:color w:val="auto"/>
          <w:sz w:val="24"/>
          <w:szCs w:val="24"/>
          <w:highlight w:val="none"/>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合同约定由勘察设计人承担责任的其他情形。</w:t>
      </w:r>
      <w:bookmarkStart w:id="347" w:name="_Toc184635110"/>
      <w:bookmarkStart w:id="348" w:name="_Toc247527728"/>
      <w:bookmarkStart w:id="349" w:name="_Toc24751412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0" w:name="_Toc482188602"/>
      <w:bookmarkStart w:id="351" w:name="_Toc19024"/>
      <w:bookmarkStart w:id="352" w:name="_Toc509765950"/>
      <w:bookmarkStart w:id="353" w:name="_Toc17845"/>
      <w:r>
        <w:rPr>
          <w:rFonts w:hint="eastAsia" w:ascii="宋体" w:hAnsi="宋体" w:eastAsia="宋体" w:cs="宋体"/>
          <w:b/>
          <w:bCs/>
          <w:color w:val="auto"/>
          <w:sz w:val="24"/>
          <w:szCs w:val="24"/>
          <w:highlight w:val="none"/>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highlight w:val="none"/>
        </w:rPr>
        <w:t>增加的费用由责任方承担。</w:t>
      </w:r>
    </w:p>
    <w:bookmarkEnd w:id="354"/>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355" w:name="_Toc10820"/>
      <w:bookmarkStart w:id="356" w:name="_Toc29502"/>
      <w:bookmarkStart w:id="357" w:name="_Toc482188603"/>
      <w:bookmarkStart w:id="358" w:name="_Toc509765951"/>
      <w:r>
        <w:rPr>
          <w:rFonts w:ascii="宋体" w:hAnsi="宋体" w:eastAsia="宋体"/>
          <w:i w:val="0"/>
          <w:iCs/>
          <w:color w:val="auto"/>
          <w:sz w:val="28"/>
          <w:szCs w:val="28"/>
          <w:highlight w:val="none"/>
        </w:rPr>
        <w:t>8. 勘察设计文件</w:t>
      </w:r>
      <w:bookmarkEnd w:id="355"/>
      <w:bookmarkEnd w:id="356"/>
      <w:bookmarkEnd w:id="357"/>
      <w:bookmarkEnd w:id="358"/>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9" w:name="_Toc146"/>
      <w:bookmarkStart w:id="360" w:name="_Toc509765952"/>
      <w:bookmarkStart w:id="361" w:name="_Toc482188604"/>
      <w:bookmarkStart w:id="362" w:name="_Toc21255"/>
      <w:r>
        <w:rPr>
          <w:rFonts w:hint="eastAsia" w:ascii="宋体" w:hAnsi="宋体" w:eastAsia="宋体" w:cs="宋体"/>
          <w:b/>
          <w:bCs/>
          <w:color w:val="auto"/>
          <w:sz w:val="24"/>
          <w:szCs w:val="24"/>
          <w:highlight w:val="none"/>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8.1.2 发包人接收勘察设计文件时，应向勘察设计人出具文件签收凭证，凭证内容包括</w:t>
      </w:r>
      <w:r>
        <w:rPr>
          <w:rFonts w:hint="eastAsia" w:ascii="宋体" w:hAnsi="宋体"/>
          <w:color w:val="auto"/>
          <w:sz w:val="21"/>
          <w:szCs w:val="21"/>
          <w:highlight w:val="none"/>
        </w:rPr>
        <w:t>图纸</w:t>
      </w:r>
      <w:r>
        <w:rPr>
          <w:rFonts w:ascii="宋体" w:hAnsi="宋体"/>
          <w:color w:val="auto"/>
          <w:sz w:val="21"/>
          <w:szCs w:val="21"/>
          <w:highlight w:val="none"/>
        </w:rPr>
        <w:t>名称、</w:t>
      </w:r>
      <w:r>
        <w:rPr>
          <w:rFonts w:hint="eastAsia" w:ascii="宋体" w:hAnsi="宋体"/>
          <w:color w:val="auto"/>
          <w:sz w:val="21"/>
          <w:szCs w:val="21"/>
          <w:highlight w:val="none"/>
        </w:rPr>
        <w:t>图纸</w:t>
      </w:r>
      <w:r>
        <w:rPr>
          <w:rFonts w:ascii="宋体" w:hAnsi="宋体"/>
          <w:color w:val="auto"/>
          <w:sz w:val="21"/>
          <w:szCs w:val="21"/>
          <w:highlight w:val="none"/>
        </w:rPr>
        <w:t>内容、</w:t>
      </w:r>
      <w:r>
        <w:rPr>
          <w:rFonts w:hint="eastAsia" w:ascii="宋体" w:hAnsi="宋体"/>
          <w:color w:val="auto"/>
          <w:sz w:val="21"/>
          <w:szCs w:val="21"/>
          <w:highlight w:val="none"/>
        </w:rPr>
        <w:t>图纸</w:t>
      </w:r>
      <w:r>
        <w:rPr>
          <w:rFonts w:ascii="宋体" w:hAnsi="宋体"/>
          <w:color w:val="auto"/>
          <w:sz w:val="21"/>
          <w:szCs w:val="21"/>
          <w:highlight w:val="none"/>
        </w:rPr>
        <w:t>形式、份数、提交和接收日期、提交人与接收人的亲笔签名等。</w:t>
      </w:r>
    </w:p>
    <w:p>
      <w:pPr>
        <w:spacing w:line="360" w:lineRule="auto"/>
        <w:ind w:firstLine="420" w:firstLineChars="200"/>
        <w:rPr>
          <w:rFonts w:ascii="宋体" w:hAnsi="宋体"/>
          <w:color w:val="auto"/>
          <w:sz w:val="21"/>
          <w:szCs w:val="21"/>
          <w:highlight w:val="none"/>
        </w:rPr>
      </w:pPr>
      <w:bookmarkStart w:id="363" w:name="_Toc482188605"/>
      <w:r>
        <w:rPr>
          <w:rFonts w:ascii="宋体" w:hAnsi="宋体"/>
          <w:color w:val="auto"/>
          <w:sz w:val="21"/>
          <w:szCs w:val="21"/>
          <w:highlight w:val="none"/>
        </w:rPr>
        <w:t xml:space="preserve">8.1.3 </w:t>
      </w:r>
      <w:r>
        <w:rPr>
          <w:rFonts w:hint="eastAsia" w:ascii="宋体" w:hAnsi="宋体"/>
          <w:color w:val="auto"/>
          <w:sz w:val="21"/>
          <w:szCs w:val="21"/>
          <w:highlight w:val="none"/>
        </w:rPr>
        <w:t>勘察设计文件提交的份数、内容、纸幅、装订格式、电子文件、展板、模型、沙盘、动画等要求，在专用合同条款中约定。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4" w:name="_Toc509765953"/>
      <w:bookmarkStart w:id="365" w:name="_Toc21908"/>
      <w:bookmarkStart w:id="366" w:name="_Toc14705"/>
      <w:r>
        <w:rPr>
          <w:rFonts w:hint="eastAsia" w:ascii="宋体" w:hAnsi="宋体" w:eastAsia="宋体" w:cs="宋体"/>
          <w:b/>
          <w:bCs/>
          <w:color w:val="auto"/>
          <w:sz w:val="24"/>
          <w:szCs w:val="24"/>
          <w:highlight w:val="none"/>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7" w:name="_Toc482188606"/>
      <w:bookmarkStart w:id="368" w:name="_Toc509765954"/>
      <w:bookmarkStart w:id="369" w:name="_Toc30735"/>
      <w:bookmarkStart w:id="370" w:name="_Toc24442"/>
      <w:r>
        <w:rPr>
          <w:rFonts w:hint="eastAsia" w:ascii="宋体" w:hAnsi="宋体" w:eastAsia="宋体" w:cs="宋体"/>
          <w:b/>
          <w:bCs/>
          <w:color w:val="auto"/>
          <w:sz w:val="24"/>
          <w:szCs w:val="24"/>
          <w:highlight w:val="none"/>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8.3.1 勘察设计文件需经政府有关部门审查或批准的，发包人应在审查同意后，按照</w:t>
      </w:r>
      <w:r>
        <w:rPr>
          <w:rFonts w:hint="eastAsia" w:ascii="宋体" w:hAnsi="宋体"/>
          <w:color w:val="auto"/>
          <w:sz w:val="21"/>
          <w:szCs w:val="21"/>
          <w:highlight w:val="none"/>
        </w:rPr>
        <w:t>有关</w:t>
      </w:r>
      <w:r>
        <w:rPr>
          <w:rFonts w:ascii="宋体" w:hAnsi="宋体"/>
          <w:color w:val="auto"/>
          <w:sz w:val="21"/>
          <w:szCs w:val="21"/>
          <w:highlight w:val="none"/>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8.3.3 由于自身原因造成勘察设计文件未通过审查机构审查的，勘察设计人应当承担违约责任，采取补救措施直至达到合同约定的质量标准，并自行承担由此导致的费用增加和（或）周期延误。</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371" w:name="_Toc7444"/>
      <w:bookmarkStart w:id="372" w:name="_Toc13558"/>
      <w:bookmarkStart w:id="373" w:name="_Toc509765955"/>
      <w:bookmarkStart w:id="374" w:name="_Toc482188607"/>
      <w:r>
        <w:rPr>
          <w:rFonts w:ascii="宋体" w:hAnsi="宋体" w:eastAsia="宋体"/>
          <w:i w:val="0"/>
          <w:iCs/>
          <w:color w:val="auto"/>
          <w:sz w:val="28"/>
          <w:szCs w:val="28"/>
          <w:highlight w:val="none"/>
        </w:rPr>
        <w:t>9. 勘察设计责任与保险</w:t>
      </w:r>
      <w:bookmarkEnd w:id="371"/>
      <w:bookmarkEnd w:id="372"/>
      <w:bookmarkEnd w:id="373"/>
      <w:bookmarkEnd w:id="374"/>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75" w:name="_Toc10262"/>
      <w:bookmarkStart w:id="376" w:name="_Toc509765956"/>
      <w:bookmarkStart w:id="377" w:name="_Toc482188608"/>
      <w:bookmarkStart w:id="378" w:name="_Toc28963"/>
      <w:r>
        <w:rPr>
          <w:rFonts w:hint="eastAsia" w:ascii="宋体" w:hAnsi="宋体" w:eastAsia="宋体" w:cs="宋体"/>
          <w:b/>
          <w:bCs/>
          <w:color w:val="auto"/>
          <w:sz w:val="24"/>
          <w:szCs w:val="24"/>
          <w:highlight w:val="none"/>
        </w:rPr>
        <w:t>9.1 工作质量责任</w:t>
      </w:r>
      <w:bookmarkEnd w:id="375"/>
      <w:bookmarkEnd w:id="376"/>
      <w:bookmarkEnd w:id="377"/>
      <w:bookmarkEnd w:id="37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9.1.2 勘察设计人应做好勘察设计服务的质量与技术管理工作，建立健全内部质量</w:t>
      </w:r>
      <w:bookmarkStart w:id="379" w:name="_Toc300835131"/>
      <w:r>
        <w:rPr>
          <w:rFonts w:ascii="宋体" w:hAnsi="宋体"/>
          <w:color w:val="auto"/>
          <w:sz w:val="21"/>
          <w:szCs w:val="21"/>
          <w:highlight w:val="none"/>
        </w:rPr>
        <w:t>管理体系和质量责</w:t>
      </w:r>
      <w:bookmarkEnd w:id="379"/>
      <w:r>
        <w:rPr>
          <w:rFonts w:ascii="宋体" w:hAnsi="宋体"/>
          <w:color w:val="auto"/>
          <w:sz w:val="21"/>
          <w:szCs w:val="21"/>
          <w:highlight w:val="none"/>
        </w:rPr>
        <w:t>任</w:t>
      </w:r>
      <w:bookmarkStart w:id="380" w:name="_Toc247514128"/>
      <w:bookmarkStart w:id="381" w:name="_Toc300835132"/>
      <w:bookmarkStart w:id="382" w:name="_Toc247527729"/>
      <w:r>
        <w:rPr>
          <w:rFonts w:ascii="宋体" w:hAnsi="宋体"/>
          <w:color w:val="auto"/>
          <w:sz w:val="21"/>
          <w:szCs w:val="21"/>
          <w:highlight w:val="none"/>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3</w:t>
      </w:r>
      <w:r>
        <w:rPr>
          <w:rFonts w:ascii="宋体" w:hAnsi="宋体"/>
          <w:color w:val="auto"/>
          <w:sz w:val="21"/>
          <w:szCs w:val="21"/>
          <w:highlight w:val="none"/>
        </w:rPr>
        <w:t xml:space="preserve"> 勘察设计人应按合同约定对勘察设计服务进行全过程的质量检查和检验，并作详细记录，编制勘察设计工作质量报表</w:t>
      </w:r>
      <w:bookmarkStart w:id="383" w:name="_Toc247514130"/>
      <w:bookmarkStart w:id="384" w:name="_Toc247527731"/>
      <w:bookmarkStart w:id="385" w:name="_Toc300835133"/>
      <w:r>
        <w:rPr>
          <w:rFonts w:ascii="宋体" w:hAnsi="宋体"/>
          <w:color w:val="auto"/>
          <w:sz w:val="21"/>
          <w:szCs w:val="21"/>
          <w:highlight w:val="none"/>
        </w:rPr>
        <w:t>，报送发包人审查。</w:t>
      </w:r>
    </w:p>
    <w:bookmarkEnd w:id="383"/>
    <w:bookmarkEnd w:id="384"/>
    <w:bookmarkEnd w:id="385"/>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4</w:t>
      </w:r>
      <w:r>
        <w:rPr>
          <w:rFonts w:ascii="宋体" w:hAnsi="宋体"/>
          <w:color w:val="auto"/>
          <w:sz w:val="21"/>
          <w:szCs w:val="21"/>
          <w:highlight w:val="none"/>
        </w:rPr>
        <w:t xml:space="preserve"> 发包人有权对勘察设计工作质量进行检查和审核。勘察设计人应为发包人的检查和检验提供方便，包括发包人到</w:t>
      </w:r>
      <w:bookmarkStart w:id="386" w:name="_Toc247514131"/>
      <w:bookmarkStart w:id="387" w:name="_Toc300835134"/>
      <w:bookmarkStart w:id="388" w:name="_Toc247527732"/>
      <w:r>
        <w:rPr>
          <w:rFonts w:ascii="宋体" w:hAnsi="宋体"/>
          <w:color w:val="auto"/>
          <w:sz w:val="21"/>
          <w:szCs w:val="21"/>
          <w:highlight w:val="none"/>
        </w:rPr>
        <w:t>勘察设计场地或合同约定</w:t>
      </w:r>
      <w:bookmarkEnd w:id="386"/>
      <w:bookmarkEnd w:id="387"/>
      <w:bookmarkEnd w:id="388"/>
      <w:r>
        <w:rPr>
          <w:rFonts w:ascii="宋体" w:hAnsi="宋体"/>
          <w:color w:val="auto"/>
          <w:sz w:val="21"/>
          <w:szCs w:val="21"/>
          <w:highlight w:val="none"/>
        </w:rPr>
        <w:t>的其他地方进行察看，查阅、审核勘察设计的原始记录和其他文件。发包人的检查和审核，不免除勘察设计人按合同约定应负的责任。</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89" w:name="_Toc1068"/>
      <w:bookmarkStart w:id="390" w:name="_Toc509765957"/>
      <w:bookmarkStart w:id="391" w:name="_Toc717"/>
      <w:bookmarkStart w:id="392" w:name="_Toc482188609"/>
      <w:r>
        <w:rPr>
          <w:rFonts w:hint="eastAsia" w:ascii="宋体" w:hAnsi="宋体" w:eastAsia="宋体" w:cs="宋体"/>
          <w:b/>
          <w:bCs/>
          <w:color w:val="auto"/>
          <w:sz w:val="24"/>
          <w:szCs w:val="24"/>
          <w:highlight w:val="none"/>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9.2.1 勘察设计文件存在错误、遗漏、含混、矛盾、不充分之处或其他缺陷，无论勘察设计人是否通过了发包人审查或</w:t>
      </w:r>
      <w:bookmarkStart w:id="393" w:name="_Toc300835084"/>
      <w:bookmarkStart w:id="394" w:name="_Toc247527686"/>
      <w:bookmarkStart w:id="395" w:name="_Toc247514085"/>
      <w:r>
        <w:rPr>
          <w:rFonts w:ascii="宋体" w:hAnsi="宋体"/>
          <w:color w:val="auto"/>
          <w:sz w:val="21"/>
          <w:szCs w:val="21"/>
          <w:highlight w:val="none"/>
        </w:rPr>
        <w:t>审查机构审查，勘察设计人均</w:t>
      </w:r>
      <w:bookmarkEnd w:id="393"/>
      <w:bookmarkEnd w:id="394"/>
      <w:bookmarkEnd w:id="395"/>
      <w:r>
        <w:rPr>
          <w:rFonts w:ascii="宋体" w:hAnsi="宋体"/>
          <w:color w:val="auto"/>
          <w:sz w:val="21"/>
          <w:szCs w:val="21"/>
          <w:highlight w:val="none"/>
        </w:rPr>
        <w:t>应自费对前述问题带来的缺陷和工程问题进行改正，但因第1.6.2项</w:t>
      </w:r>
      <w:r>
        <w:rPr>
          <w:rFonts w:hint="eastAsia" w:ascii="宋体" w:hAnsi="宋体"/>
          <w:color w:val="auto"/>
          <w:sz w:val="21"/>
          <w:szCs w:val="21"/>
          <w:highlight w:val="none"/>
        </w:rPr>
        <w:t>约定由</w:t>
      </w:r>
      <w:r>
        <w:rPr>
          <w:rFonts w:ascii="宋体" w:hAnsi="宋体"/>
          <w:color w:val="auto"/>
          <w:sz w:val="21"/>
          <w:szCs w:val="21"/>
          <w:highlight w:val="none"/>
        </w:rPr>
        <w:t>发包人提供的文件错误导致的除外。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9.2.3 因发包人原因造成勘察设计文件不合格的，勘察设计人应当采取补救措施，直至达到合同要求的质量标准，由此造成的勘察设计费用增加和（或）勘察设计服务期限延误由发包人承担。</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96" w:name="_Toc509765958"/>
      <w:bookmarkStart w:id="397" w:name="_Toc482188610"/>
      <w:bookmarkStart w:id="398" w:name="_Toc423"/>
      <w:bookmarkStart w:id="399" w:name="_Toc15382"/>
      <w:r>
        <w:rPr>
          <w:rFonts w:hint="eastAsia" w:ascii="宋体" w:hAnsi="宋体" w:eastAsia="宋体" w:cs="宋体"/>
          <w:b/>
          <w:bCs/>
          <w:color w:val="auto"/>
          <w:sz w:val="24"/>
          <w:szCs w:val="24"/>
          <w:highlight w:val="none"/>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9.3.3 项目负责人应当在办理工程质量监督手续前签署工程质量终身责任承诺书，连同法定代表人出具的授权书，报工程质量监督机构备案。</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00" w:name="_Toc482188611"/>
      <w:bookmarkStart w:id="401" w:name="_Toc4490"/>
      <w:bookmarkStart w:id="402" w:name="_Toc509765959"/>
      <w:bookmarkStart w:id="403" w:name="_Toc10808"/>
      <w:r>
        <w:rPr>
          <w:rFonts w:hint="eastAsia" w:ascii="宋体" w:hAnsi="宋体" w:eastAsia="宋体" w:cs="宋体"/>
          <w:b/>
          <w:bCs/>
          <w:color w:val="auto"/>
          <w:sz w:val="24"/>
          <w:szCs w:val="24"/>
          <w:highlight w:val="none"/>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9.4.3 发生工程勘察设计保险事故后，勘察设计人应按保险人要求进行报告，并负责办理保险理赔业务；保险金不足以补偿损失的，由勘察设计人自行补偿。</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04" w:name="_Toc9060"/>
      <w:bookmarkStart w:id="405" w:name="_Toc509765960"/>
      <w:bookmarkStart w:id="406" w:name="_Toc482188612"/>
      <w:bookmarkStart w:id="407" w:name="_Toc20542"/>
      <w:r>
        <w:rPr>
          <w:rFonts w:ascii="宋体" w:hAnsi="宋体" w:eastAsia="宋体"/>
          <w:i w:val="0"/>
          <w:iCs/>
          <w:color w:val="auto"/>
          <w:sz w:val="28"/>
          <w:szCs w:val="28"/>
          <w:highlight w:val="none"/>
        </w:rPr>
        <w:t>10.</w:t>
      </w:r>
      <w:r>
        <w:rPr>
          <w:rFonts w:hint="eastAsia" w:ascii="宋体" w:hAnsi="宋体" w:eastAsia="宋体"/>
          <w:i w:val="0"/>
          <w:iCs/>
          <w:color w:val="auto"/>
          <w:sz w:val="28"/>
          <w:szCs w:val="28"/>
          <w:highlight w:val="none"/>
        </w:rPr>
        <w:t xml:space="preserve"> </w:t>
      </w:r>
      <w:r>
        <w:rPr>
          <w:rFonts w:ascii="宋体" w:hAnsi="宋体" w:eastAsia="宋体"/>
          <w:i w:val="0"/>
          <w:iCs/>
          <w:color w:val="auto"/>
          <w:sz w:val="28"/>
          <w:szCs w:val="28"/>
          <w:highlight w:val="none"/>
        </w:rPr>
        <w:t>施工期间配合</w:t>
      </w:r>
      <w:bookmarkEnd w:id="404"/>
      <w:bookmarkEnd w:id="405"/>
      <w:bookmarkEnd w:id="406"/>
      <w:bookmarkEnd w:id="40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w:t>
      </w:r>
      <w:r>
        <w:rPr>
          <w:rFonts w:ascii="宋体" w:hAnsi="宋体"/>
          <w:color w:val="auto"/>
          <w:sz w:val="21"/>
          <w:szCs w:val="21"/>
          <w:highlight w:val="none"/>
        </w:rPr>
        <w:t xml:space="preserve"> 施工配合指勘察设计人配合施工承包人，在施工期间</w:t>
      </w:r>
      <w:r>
        <w:rPr>
          <w:rFonts w:hint="eastAsia" w:ascii="宋体" w:hAnsi="宋体"/>
          <w:color w:val="auto"/>
          <w:sz w:val="21"/>
          <w:szCs w:val="21"/>
          <w:highlight w:val="none"/>
        </w:rPr>
        <w:t>提供的勘察设计服务</w:t>
      </w:r>
      <w:r>
        <w:rPr>
          <w:rFonts w:ascii="宋体" w:hAnsi="宋体"/>
          <w:color w:val="auto"/>
          <w:sz w:val="21"/>
          <w:szCs w:val="21"/>
          <w:highlight w:val="none"/>
        </w:rPr>
        <w:t>或其他配合工作，直至</w:t>
      </w:r>
      <w:bookmarkStart w:id="408" w:name="_Toc59900921"/>
      <w:bookmarkStart w:id="409" w:name="_Toc53290167"/>
      <w:bookmarkStart w:id="410" w:name="_Toc56139035"/>
      <w:bookmarkStart w:id="411" w:name="_Toc56141845"/>
      <w:bookmarkStart w:id="412" w:name="_Toc55654493"/>
      <w:bookmarkStart w:id="413" w:name="_Toc402386799"/>
      <w:bookmarkStart w:id="414" w:name="_Toc56409060"/>
      <w:bookmarkStart w:id="415" w:name="_Toc54372036"/>
      <w:bookmarkStart w:id="416" w:name="_Toc54368851"/>
      <w:bookmarkStart w:id="417" w:name="_Toc26108575"/>
      <w:bookmarkStart w:id="418" w:name="_Toc25930149"/>
      <w:bookmarkStart w:id="419" w:name="_Toc54372620"/>
      <w:bookmarkStart w:id="420" w:name="_Toc54329116"/>
      <w:bookmarkStart w:id="421" w:name="_Toc55705121"/>
      <w:bookmarkStart w:id="422" w:name="_Toc55707626"/>
      <w:bookmarkStart w:id="423" w:name="_Toc56153807"/>
      <w:bookmarkStart w:id="424" w:name="_Toc14102103"/>
      <w:bookmarkStart w:id="425" w:name="_Toc55639358"/>
      <w:bookmarkStart w:id="426" w:name="_Toc59896653"/>
      <w:bookmarkStart w:id="427" w:name="_Toc54372202"/>
      <w:bookmarkStart w:id="428" w:name="_Toc54330945"/>
      <w:r>
        <w:rPr>
          <w:rFonts w:ascii="宋体" w:hAnsi="宋体"/>
          <w:color w:val="auto"/>
          <w:sz w:val="21"/>
          <w:szCs w:val="21"/>
          <w:highlight w:val="none"/>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highlight w:val="none"/>
        </w:rPr>
        <w:t>竣工验收为止。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2</w:t>
      </w:r>
      <w:r>
        <w:rPr>
          <w:rFonts w:ascii="宋体" w:hAnsi="宋体"/>
          <w:color w:val="auto"/>
          <w:sz w:val="21"/>
          <w:szCs w:val="21"/>
          <w:highlight w:val="none"/>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10.3</w:t>
      </w:r>
      <w:r>
        <w:rPr>
          <w:rFonts w:hint="eastAsia" w:ascii="宋体" w:hAnsi="宋体"/>
          <w:color w:val="auto"/>
          <w:sz w:val="21"/>
          <w:szCs w:val="21"/>
          <w:highlight w:val="none"/>
        </w:rPr>
        <w:t>勘察设计人应在本工程的施工期间，积极提供勘察设计配合服务，包括并不限于勘察设计技术交底、施工现场服务、参与施工过程验收、参与投产试</w:t>
      </w:r>
      <w:r>
        <w:rPr>
          <w:rFonts w:ascii="宋体" w:hAnsi="宋体"/>
          <w:color w:val="auto"/>
          <w:sz w:val="21"/>
          <w:szCs w:val="21"/>
          <w:highlight w:val="none"/>
        </w:rPr>
        <w:t>车(试运行)</w:t>
      </w:r>
      <w:r>
        <w:rPr>
          <w:rFonts w:hint="eastAsia" w:ascii="宋体" w:hAnsi="宋体"/>
          <w:color w:val="auto"/>
          <w:sz w:val="21"/>
          <w:szCs w:val="21"/>
          <w:highlight w:val="none"/>
        </w:rPr>
        <w:t>、参与工程竣工验收等工作。</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10.5 工程施工完毕后，发包人应当组织投产试车（试运行）和工程竣工验收，勘察设计人参加验收并出具本单位的验收结论。</w:t>
      </w:r>
      <w:r>
        <w:rPr>
          <w:rFonts w:hint="eastAsia" w:ascii="宋体" w:hAnsi="宋体"/>
          <w:color w:val="auto"/>
          <w:sz w:val="21"/>
          <w:szCs w:val="21"/>
          <w:highlight w:val="none"/>
        </w:rPr>
        <w:t>如因勘察设计原因致使工程不合格的，勘察设计人应当承担违约责任，免费修改勘察设计文件和赔偿发包人由此产生的经济损失。</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29" w:name="_Toc509765961"/>
      <w:bookmarkStart w:id="430" w:name="_Toc7578"/>
      <w:bookmarkStart w:id="431" w:name="_Toc19963"/>
      <w:bookmarkStart w:id="432" w:name="_Toc482188615"/>
      <w:r>
        <w:rPr>
          <w:rFonts w:ascii="宋体" w:hAnsi="宋体" w:eastAsia="宋体"/>
          <w:i w:val="0"/>
          <w:iCs/>
          <w:color w:val="auto"/>
          <w:sz w:val="28"/>
          <w:szCs w:val="28"/>
          <w:highlight w:val="none"/>
        </w:rPr>
        <w:t>11. 合同变更</w:t>
      </w:r>
      <w:bookmarkEnd w:id="429"/>
      <w:bookmarkEnd w:id="430"/>
      <w:bookmarkEnd w:id="431"/>
      <w:bookmarkEnd w:id="432"/>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3" w:name="_Toc509765962"/>
      <w:bookmarkStart w:id="434" w:name="_Toc467651025"/>
      <w:bookmarkStart w:id="435" w:name="_Toc482188616"/>
      <w:bookmarkStart w:id="436" w:name="_Toc11380"/>
      <w:bookmarkStart w:id="437" w:name="_Toc22630"/>
      <w:r>
        <w:rPr>
          <w:rFonts w:hint="eastAsia" w:ascii="宋体" w:hAnsi="宋体" w:eastAsia="宋体" w:cs="宋体"/>
          <w:b/>
          <w:bCs/>
          <w:color w:val="auto"/>
          <w:sz w:val="24"/>
          <w:szCs w:val="24"/>
          <w:highlight w:val="none"/>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（1）勘察设计范围发生变化；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（2）除不可抗力外，非勘察设计人的原因引起的周期延误；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（3）非勘察设计人的原因，对工程同一部分重复进行勘察设计；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（4）非勘察设计人的原因，对工程暂停勘察设计及恢复勘察设计。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11.1.2 基准日后，因颁布新的或修订原有法律、法规、规范和标准等引发合同变更情形的，按照上述约定进行调整。</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8" w:name="_Toc482188617"/>
      <w:bookmarkStart w:id="439" w:name="_Toc15203"/>
      <w:bookmarkStart w:id="440" w:name="_Toc467651026"/>
      <w:bookmarkStart w:id="441" w:name="_Toc509765963"/>
      <w:bookmarkStart w:id="442" w:name="_Toc23219"/>
      <w:r>
        <w:rPr>
          <w:rFonts w:hint="eastAsia" w:ascii="宋体" w:hAnsi="宋体" w:eastAsia="宋体" w:cs="宋体"/>
          <w:b/>
          <w:bCs/>
          <w:color w:val="auto"/>
          <w:sz w:val="24"/>
          <w:szCs w:val="24"/>
          <w:highlight w:val="none"/>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11.2.2 勘察设计人提出的合理化建议降低了工程投资、缩短了施工期限或者提高了工程经济效益的，发包人应按专用合同条款中的约定给予奖励。</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43" w:name="_Toc82"/>
      <w:bookmarkStart w:id="444" w:name="_Toc509765964"/>
      <w:bookmarkStart w:id="445" w:name="_Toc482188618"/>
      <w:bookmarkStart w:id="446" w:name="_Toc10704"/>
      <w:r>
        <w:rPr>
          <w:rFonts w:ascii="宋体" w:hAnsi="宋体" w:eastAsia="宋体"/>
          <w:i w:val="0"/>
          <w:iCs/>
          <w:color w:val="auto"/>
          <w:sz w:val="28"/>
          <w:szCs w:val="28"/>
          <w:highlight w:val="none"/>
        </w:rPr>
        <w:t>12. 合同价格与支付</w:t>
      </w:r>
      <w:bookmarkEnd w:id="443"/>
      <w:bookmarkEnd w:id="444"/>
      <w:bookmarkEnd w:id="445"/>
      <w:bookmarkEnd w:id="446"/>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47" w:name="_Toc509765965"/>
      <w:bookmarkStart w:id="448" w:name="_Toc482188619"/>
      <w:bookmarkStart w:id="449" w:name="_Toc19040"/>
      <w:bookmarkStart w:id="450" w:name="_Toc12219"/>
      <w:r>
        <w:rPr>
          <w:rFonts w:hint="eastAsia" w:ascii="宋体" w:hAnsi="宋体" w:eastAsia="宋体" w:cs="宋体"/>
          <w:b/>
          <w:bCs/>
          <w:color w:val="auto"/>
          <w:sz w:val="24"/>
          <w:szCs w:val="24"/>
          <w:highlight w:val="none"/>
        </w:rPr>
        <w:t>12.1 合同价格</w:t>
      </w:r>
      <w:bookmarkEnd w:id="447"/>
      <w:bookmarkEnd w:id="448"/>
      <w:bookmarkEnd w:id="449"/>
      <w:bookmarkEnd w:id="45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12.1.1 </w:t>
      </w:r>
      <w:r>
        <w:rPr>
          <w:rFonts w:hint="eastAsia" w:ascii="宋体" w:hAnsi="宋体"/>
          <w:color w:val="auto"/>
          <w:sz w:val="21"/>
          <w:szCs w:val="21"/>
          <w:highlight w:val="none"/>
        </w:rPr>
        <w:t>本合同的价款确定方式、调整方式和风险范围划分，</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12.1.3</w:t>
      </w:r>
      <w:r>
        <w:rPr>
          <w:rFonts w:hint="eastAsia" w:ascii="宋体" w:hAnsi="宋体"/>
          <w:color w:val="auto"/>
          <w:sz w:val="21"/>
          <w:szCs w:val="21"/>
          <w:highlight w:val="none"/>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12.1.4 发包人要求勘察设计人进行外出考察、试验检测、专项咨询或专家评审时，相应费用不含在合同价格之中，由发包人另行支付。</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1" w:name="_Toc482188620"/>
      <w:bookmarkStart w:id="452" w:name="_Toc509765966"/>
      <w:bookmarkStart w:id="453" w:name="_Toc20269"/>
      <w:bookmarkStart w:id="454" w:name="_Toc27791"/>
      <w:r>
        <w:rPr>
          <w:rFonts w:hint="eastAsia" w:ascii="宋体" w:hAnsi="宋体" w:eastAsia="宋体" w:cs="宋体"/>
          <w:b/>
          <w:bCs/>
          <w:color w:val="auto"/>
          <w:sz w:val="24"/>
          <w:szCs w:val="24"/>
          <w:highlight w:val="none"/>
        </w:rPr>
        <w:t>12.2 定金</w:t>
      </w:r>
      <w:bookmarkEnd w:id="451"/>
      <w:r>
        <w:rPr>
          <w:rFonts w:hint="eastAsia" w:ascii="宋体" w:hAnsi="宋体" w:eastAsia="宋体" w:cs="宋体"/>
          <w:b/>
          <w:bCs/>
          <w:color w:val="auto"/>
          <w:sz w:val="24"/>
          <w:szCs w:val="24"/>
          <w:highlight w:val="none"/>
        </w:rPr>
        <w:t>或预付款</w:t>
      </w:r>
      <w:bookmarkEnd w:id="452"/>
      <w:bookmarkEnd w:id="453"/>
      <w:bookmarkEnd w:id="4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12.2.1</w:t>
      </w:r>
      <w:r>
        <w:rPr>
          <w:rFonts w:hint="eastAsia" w:ascii="宋体" w:hAnsi="宋体"/>
          <w:color w:val="auto"/>
          <w:sz w:val="21"/>
          <w:szCs w:val="21"/>
          <w:highlight w:val="none"/>
        </w:rPr>
        <w:t>定金或预付款应专用于本工程的勘察设计。定金或预付款的额度、支付方式及抵扣方式</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12.2.2 发包人应在收到定金</w:t>
      </w:r>
      <w:r>
        <w:rPr>
          <w:rFonts w:hint="eastAsia" w:ascii="宋体" w:hAnsi="宋体"/>
          <w:color w:val="auto"/>
          <w:sz w:val="21"/>
          <w:szCs w:val="21"/>
          <w:highlight w:val="none"/>
        </w:rPr>
        <w:t>或预付款</w:t>
      </w:r>
      <w:r>
        <w:rPr>
          <w:rFonts w:ascii="宋体" w:hAnsi="宋体"/>
          <w:color w:val="auto"/>
          <w:sz w:val="21"/>
          <w:szCs w:val="21"/>
          <w:highlight w:val="none"/>
        </w:rPr>
        <w:t>支付申请后28天内，将定金</w:t>
      </w:r>
      <w:r>
        <w:rPr>
          <w:rFonts w:hint="eastAsia" w:ascii="宋体" w:hAnsi="宋体"/>
          <w:color w:val="auto"/>
          <w:sz w:val="21"/>
          <w:szCs w:val="21"/>
          <w:highlight w:val="none"/>
        </w:rPr>
        <w:t>或预付款</w:t>
      </w:r>
      <w:r>
        <w:rPr>
          <w:rFonts w:ascii="宋体" w:hAnsi="宋体"/>
          <w:color w:val="auto"/>
          <w:sz w:val="21"/>
          <w:szCs w:val="21"/>
          <w:highlight w:val="none"/>
        </w:rPr>
        <w:t>支付给勘察设计人；勘察设计人应当提供等额的增值税发票。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12.2.3 勘察设计服务完成之前，由于不可抗力或其他非勘察设计人的原因解除合同时，定金不予退还。</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5" w:name="_Toc7357"/>
      <w:bookmarkStart w:id="456" w:name="_Toc17367"/>
      <w:bookmarkStart w:id="457" w:name="_Toc467651035"/>
      <w:bookmarkStart w:id="458" w:name="_Toc482188621"/>
      <w:bookmarkStart w:id="459" w:name="_Toc509765967"/>
      <w:r>
        <w:rPr>
          <w:rFonts w:hint="eastAsia" w:ascii="宋体" w:hAnsi="宋体" w:eastAsia="宋体" w:cs="宋体"/>
          <w:b/>
          <w:bCs/>
          <w:color w:val="auto"/>
          <w:sz w:val="24"/>
          <w:szCs w:val="24"/>
          <w:highlight w:val="none"/>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12.3.3 </w:t>
      </w:r>
      <w:r>
        <w:rPr>
          <w:rFonts w:ascii="宋体" w:hAnsi="宋体"/>
          <w:color w:val="auto"/>
          <w:spacing w:val="-10"/>
          <w:sz w:val="21"/>
          <w:szCs w:val="21"/>
          <w:highlight w:val="none"/>
        </w:rPr>
        <w:t>中期支付涉及政府投资资金的，按照国库集中支付等国家相关规定和专用合同条款的约定执行。</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0" w:name="_Toc12754"/>
      <w:bookmarkStart w:id="461" w:name="_Toc482188622"/>
      <w:bookmarkStart w:id="462" w:name="_Toc2021"/>
      <w:bookmarkStart w:id="463" w:name="_Toc509765968"/>
      <w:bookmarkStart w:id="464" w:name="_Toc467651036"/>
      <w:r>
        <w:rPr>
          <w:rFonts w:hint="eastAsia" w:ascii="宋体" w:hAnsi="宋体" w:eastAsia="宋体" w:cs="宋体"/>
          <w:b/>
          <w:bCs/>
          <w:color w:val="auto"/>
          <w:sz w:val="24"/>
          <w:szCs w:val="24"/>
          <w:highlight w:val="none"/>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12.4.4 最终结清付款涉及政府投资资金的，按第12.3.3项的约定执行。</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65" w:name="_Toc482188623"/>
      <w:bookmarkStart w:id="466" w:name="_Toc509765969"/>
      <w:bookmarkStart w:id="467" w:name="_Toc17526"/>
      <w:r>
        <w:rPr>
          <w:rFonts w:ascii="宋体" w:hAnsi="宋体" w:eastAsia="宋体"/>
          <w:i w:val="0"/>
          <w:iCs/>
          <w:color w:val="auto"/>
          <w:sz w:val="28"/>
          <w:szCs w:val="28"/>
          <w:highlight w:val="none"/>
        </w:rPr>
        <w:t>13. 不可抗力</w:t>
      </w:r>
      <w:bookmarkEnd w:id="465"/>
      <w:bookmarkEnd w:id="466"/>
      <w:bookmarkEnd w:id="46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8" w:name="_Toc509765970"/>
      <w:bookmarkStart w:id="469" w:name="_Toc30569"/>
      <w:bookmarkStart w:id="470" w:name="_Toc482188624"/>
      <w:bookmarkStart w:id="471" w:name="_Toc322"/>
      <w:r>
        <w:rPr>
          <w:rFonts w:hint="eastAsia" w:ascii="宋体" w:hAnsi="宋体" w:eastAsia="宋体" w:cs="宋体"/>
          <w:b/>
          <w:bCs/>
          <w:color w:val="auto"/>
          <w:sz w:val="24"/>
          <w:szCs w:val="24"/>
          <w:highlight w:val="none"/>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13.1.1 不可抗力是指勘察设计人和发包人在订立合同时不可预见，在履行合</w:t>
      </w:r>
      <w:bookmarkStart w:id="472" w:name="_Toc184635118"/>
      <w:bookmarkStart w:id="473" w:name="_Toc247514180"/>
      <w:bookmarkStart w:id="474" w:name="_Toc247527781"/>
      <w:bookmarkStart w:id="475" w:name="_Toc300835182"/>
      <w:r>
        <w:rPr>
          <w:rFonts w:ascii="宋体" w:hAnsi="宋体"/>
          <w:color w:val="auto"/>
          <w:sz w:val="21"/>
          <w:szCs w:val="21"/>
          <w:highlight w:val="none"/>
        </w:rPr>
        <w:t>同过程中不可避免</w:t>
      </w:r>
      <w:bookmarkEnd w:id="472"/>
      <w:bookmarkEnd w:id="473"/>
      <w:bookmarkEnd w:id="474"/>
      <w:bookmarkEnd w:id="475"/>
      <w:r>
        <w:rPr>
          <w:rFonts w:ascii="宋体" w:hAnsi="宋体"/>
          <w:color w:val="auto"/>
          <w:sz w:val="21"/>
          <w:szCs w:val="21"/>
          <w:highlight w:val="none"/>
        </w:rPr>
        <w:t>发</w:t>
      </w:r>
      <w:bookmarkStart w:id="476" w:name="_Toc247514181"/>
      <w:bookmarkStart w:id="477" w:name="_Toc300835183"/>
      <w:bookmarkStart w:id="478" w:name="_Toc247527782"/>
      <w:r>
        <w:rPr>
          <w:rFonts w:ascii="宋体" w:hAnsi="宋体"/>
          <w:color w:val="auto"/>
          <w:sz w:val="21"/>
          <w:szCs w:val="21"/>
          <w:highlight w:val="none"/>
        </w:rPr>
        <w:t>生并不能克服的自然灾害和</w:t>
      </w:r>
      <w:bookmarkEnd w:id="476"/>
      <w:bookmarkEnd w:id="477"/>
      <w:bookmarkEnd w:id="478"/>
      <w:r>
        <w:rPr>
          <w:rFonts w:ascii="宋体" w:hAnsi="宋体"/>
          <w:color w:val="auto"/>
          <w:sz w:val="21"/>
          <w:szCs w:val="21"/>
          <w:highlight w:val="none"/>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13.1.2 不可抗力发生后，发包人和勘察设计人应及时认真统计所造成的损失，收集不可抗力造成损失的证据。合同双方对是否属于不可抗力或其损失的意见不一致的，由合同双方协商确定。</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79" w:name="_Toc3413"/>
      <w:bookmarkStart w:id="480" w:name="_Toc16690"/>
      <w:bookmarkStart w:id="481" w:name="_Toc509765971"/>
      <w:bookmarkStart w:id="482" w:name="_Toc482188625"/>
      <w:r>
        <w:rPr>
          <w:rFonts w:hint="eastAsia" w:ascii="宋体" w:hAnsi="宋体" w:eastAsia="宋体" w:cs="宋体"/>
          <w:b/>
          <w:bCs/>
          <w:color w:val="auto"/>
          <w:sz w:val="24"/>
          <w:szCs w:val="24"/>
          <w:highlight w:val="none"/>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13.2.1 合同一方当事人遇到不可抗力事件，使其履行合同义务受到阻碍时，应立即通知合同</w:t>
      </w:r>
      <w:bookmarkStart w:id="483" w:name="_Toc247527783"/>
      <w:bookmarkStart w:id="484" w:name="_Toc247514182"/>
      <w:bookmarkStart w:id="485" w:name="_Toc300835184"/>
      <w:r>
        <w:rPr>
          <w:rFonts w:ascii="宋体" w:hAnsi="宋体"/>
          <w:color w:val="auto"/>
          <w:sz w:val="21"/>
          <w:szCs w:val="21"/>
          <w:highlight w:val="none"/>
        </w:rPr>
        <w:t>另一方当事人，书面说明不</w:t>
      </w:r>
      <w:bookmarkEnd w:id="483"/>
      <w:bookmarkEnd w:id="484"/>
      <w:bookmarkEnd w:id="485"/>
      <w:r>
        <w:rPr>
          <w:rFonts w:ascii="宋体" w:hAnsi="宋体"/>
          <w:color w:val="auto"/>
          <w:sz w:val="21"/>
          <w:szCs w:val="21"/>
          <w:highlight w:val="none"/>
        </w:rPr>
        <w:t>可抗力和受阻碍的详细情况，并提供必要的证明。</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13.2.2 如不可抗力持续发生，合同一方当事人应及时向合同另一方当事人提交中间报告，说明不可抗力和履行合同受阻的情况，并于不可抗力事件结束后28天内提交最终报告及有关资料。</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86" w:name="_Toc509765972"/>
      <w:bookmarkStart w:id="487" w:name="_Toc4669"/>
      <w:bookmarkStart w:id="488" w:name="_Toc482188626"/>
      <w:bookmarkStart w:id="489" w:name="_Toc5094"/>
      <w:r>
        <w:rPr>
          <w:rFonts w:hint="eastAsia" w:ascii="宋体" w:hAnsi="宋体" w:eastAsia="宋体" w:cs="宋体"/>
          <w:b/>
          <w:bCs/>
          <w:color w:val="auto"/>
          <w:sz w:val="24"/>
          <w:szCs w:val="24"/>
          <w:highlight w:val="none"/>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13.3.3 因一方当事人迟延履行合同义务，致使迟延履行期间遭遇不可抗力的，应由该当事人承担全部损失。</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490" w:name="_Toc509765973"/>
      <w:bookmarkStart w:id="491" w:name="_Toc482188627"/>
      <w:bookmarkStart w:id="492" w:name="_Toc2525"/>
      <w:bookmarkStart w:id="493" w:name="_Toc26945"/>
      <w:r>
        <w:rPr>
          <w:rFonts w:ascii="宋体" w:hAnsi="宋体" w:eastAsia="宋体"/>
          <w:i w:val="0"/>
          <w:iCs/>
          <w:color w:val="auto"/>
          <w:sz w:val="28"/>
          <w:szCs w:val="28"/>
          <w:highlight w:val="none"/>
        </w:rPr>
        <w:t>14. 违约</w:t>
      </w:r>
      <w:bookmarkEnd w:id="490"/>
      <w:bookmarkEnd w:id="491"/>
      <w:bookmarkEnd w:id="492"/>
      <w:bookmarkEnd w:id="493"/>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4" w:name="_Toc16616"/>
      <w:bookmarkStart w:id="495" w:name="_Toc509765974"/>
      <w:bookmarkStart w:id="496" w:name="_Toc482188628"/>
      <w:bookmarkStart w:id="497" w:name="_Toc12728"/>
      <w:r>
        <w:rPr>
          <w:rFonts w:hint="eastAsia" w:ascii="宋体" w:hAnsi="宋体" w:eastAsia="宋体" w:cs="宋体"/>
          <w:b/>
          <w:bCs/>
          <w:color w:val="auto"/>
          <w:sz w:val="24"/>
          <w:szCs w:val="24"/>
          <w:highlight w:val="none"/>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14.1.1合同履行中发生下列情况之一的，属勘察设计人违约：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（1）勘察设计文件不符合法律以及合同约定；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（2）勘察设计人转包、违法分包或者未经发包人同意擅自分包；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（3）勘察设计人未按合同计划完成勘察设计，从而造成工程损失；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（4）勘察设计人无法履行或停止履行合同；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（5）勘察设计人不履行合同约定的其他义务。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8" w:name="_Toc13226"/>
      <w:bookmarkStart w:id="499" w:name="_Toc482188629"/>
      <w:bookmarkStart w:id="500" w:name="_Toc509765975"/>
      <w:bookmarkStart w:id="501" w:name="_Toc26487"/>
      <w:r>
        <w:rPr>
          <w:rFonts w:hint="eastAsia" w:ascii="宋体" w:hAnsi="宋体" w:eastAsia="宋体" w:cs="宋体"/>
          <w:b/>
          <w:bCs/>
          <w:color w:val="auto"/>
          <w:sz w:val="24"/>
          <w:szCs w:val="24"/>
          <w:highlight w:val="none"/>
        </w:rPr>
        <w:t>14.2 发包人违约</w:t>
      </w:r>
      <w:bookmarkEnd w:id="498"/>
      <w:bookmarkEnd w:id="499"/>
      <w:bookmarkEnd w:id="500"/>
      <w:bookmarkEnd w:id="50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14.2.1合同履行中发生下列情况之一的，属发包人违约：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（1）发</w:t>
      </w:r>
      <w:bookmarkStart w:id="502" w:name="_Toc247514186"/>
      <w:bookmarkStart w:id="503" w:name="_Toc247527787"/>
      <w:bookmarkStart w:id="504" w:name="_Toc300835188"/>
      <w:r>
        <w:rPr>
          <w:rFonts w:ascii="宋体" w:hAnsi="宋体"/>
          <w:color w:val="auto"/>
          <w:sz w:val="21"/>
          <w:szCs w:val="21"/>
          <w:highlight w:val="none"/>
        </w:rPr>
        <w:t>包人未按合同约定支</w:t>
      </w:r>
      <w:bookmarkEnd w:id="502"/>
      <w:bookmarkEnd w:id="503"/>
      <w:bookmarkEnd w:id="504"/>
      <w:r>
        <w:rPr>
          <w:rFonts w:ascii="宋体" w:hAnsi="宋体"/>
          <w:color w:val="auto"/>
          <w:sz w:val="21"/>
          <w:szCs w:val="21"/>
          <w:highlight w:val="none"/>
        </w:rPr>
        <w:t>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（2）发包人原因造成勘察设计停止；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（3）发包人无法履行或停止履行合同；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（4）发包人不履行合同约定的其他义务。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05" w:name="_Toc482188630"/>
      <w:bookmarkStart w:id="506" w:name="_Toc509765976"/>
      <w:bookmarkStart w:id="507" w:name="_Toc24681"/>
      <w:bookmarkStart w:id="508" w:name="_Toc15617"/>
      <w:r>
        <w:rPr>
          <w:rFonts w:hint="eastAsia" w:ascii="宋体" w:hAnsi="宋体" w:eastAsia="宋体" w:cs="宋体"/>
          <w:b/>
          <w:bCs/>
          <w:color w:val="auto"/>
          <w:sz w:val="24"/>
          <w:szCs w:val="24"/>
          <w:highlight w:val="none"/>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在履行合同过程中，一方当事人因第三人的原因造成违约的，应当向对方当事人承担违约责任。一</w:t>
      </w:r>
      <w:bookmarkStart w:id="509" w:name="_Toc247514187"/>
      <w:bookmarkStart w:id="510" w:name="_Toc300835189"/>
      <w:bookmarkStart w:id="511" w:name="_Toc247527788"/>
      <w:r>
        <w:rPr>
          <w:rFonts w:ascii="宋体" w:hAnsi="宋体"/>
          <w:color w:val="auto"/>
          <w:sz w:val="21"/>
          <w:szCs w:val="21"/>
          <w:highlight w:val="none"/>
        </w:rPr>
        <w:t>方当事人和第三人之间的纠纷</w:t>
      </w:r>
      <w:bookmarkEnd w:id="509"/>
      <w:bookmarkEnd w:id="510"/>
      <w:bookmarkEnd w:id="511"/>
      <w:r>
        <w:rPr>
          <w:rFonts w:ascii="宋体" w:hAnsi="宋体"/>
          <w:color w:val="auto"/>
          <w:sz w:val="21"/>
          <w:szCs w:val="21"/>
          <w:highlight w:val="none"/>
        </w:rPr>
        <w:t>，依照法律规定或者按照约定解决。</w:t>
      </w:r>
    </w:p>
    <w:p>
      <w:pPr>
        <w:pStyle w:val="2"/>
        <w:numPr>
          <w:ilvl w:val="1"/>
          <w:numId w:val="0"/>
        </w:numPr>
        <w:spacing w:before="0" w:after="0" w:line="360" w:lineRule="auto"/>
        <w:ind w:leftChars="0"/>
        <w:rPr>
          <w:rFonts w:ascii="宋体" w:hAnsi="宋体" w:eastAsia="宋体"/>
          <w:i w:val="0"/>
          <w:iCs/>
          <w:color w:val="auto"/>
          <w:sz w:val="28"/>
          <w:szCs w:val="28"/>
          <w:highlight w:val="none"/>
        </w:rPr>
      </w:pPr>
      <w:bookmarkStart w:id="512" w:name="_Toc509765977"/>
      <w:bookmarkStart w:id="513" w:name="_Toc165"/>
      <w:bookmarkStart w:id="514" w:name="_Toc20455"/>
      <w:bookmarkStart w:id="515" w:name="_Toc482188631"/>
      <w:r>
        <w:rPr>
          <w:rFonts w:ascii="宋体" w:hAnsi="宋体" w:eastAsia="宋体"/>
          <w:i w:val="0"/>
          <w:iCs/>
          <w:color w:val="auto"/>
          <w:sz w:val="28"/>
          <w:szCs w:val="28"/>
          <w:highlight w:val="none"/>
        </w:rPr>
        <w:t>15. 争议的解决</w:t>
      </w:r>
      <w:bookmarkEnd w:id="512"/>
      <w:bookmarkEnd w:id="513"/>
      <w:bookmarkEnd w:id="514"/>
      <w:bookmarkEnd w:id="51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发包人和勘察设计人在履行合同中发生争议的，可以友好协商解决</w:t>
      </w:r>
      <w:bookmarkStart w:id="516" w:name="_Toc184635121"/>
      <w:bookmarkStart w:id="517" w:name="_Toc247514193"/>
      <w:bookmarkStart w:id="518" w:name="_Toc247527794"/>
      <w:bookmarkStart w:id="519" w:name="_Toc300835195"/>
      <w:r>
        <w:rPr>
          <w:rFonts w:ascii="宋体" w:hAnsi="宋体"/>
          <w:color w:val="auto"/>
          <w:sz w:val="21"/>
          <w:szCs w:val="21"/>
          <w:highlight w:val="none"/>
        </w:rPr>
        <w:t>。合同当事</w:t>
      </w:r>
      <w:bookmarkEnd w:id="516"/>
      <w:bookmarkEnd w:id="517"/>
      <w:bookmarkEnd w:id="518"/>
      <w:bookmarkEnd w:id="519"/>
      <w:r>
        <w:rPr>
          <w:rFonts w:ascii="宋体" w:hAnsi="宋体"/>
          <w:color w:val="auto"/>
          <w:sz w:val="21"/>
          <w:szCs w:val="21"/>
          <w:highlight w:val="none"/>
        </w:rPr>
        <w:t>人</w:t>
      </w:r>
      <w:bookmarkStart w:id="520" w:name="_Toc247527795"/>
      <w:bookmarkStart w:id="521" w:name="_Toc300835196"/>
      <w:bookmarkStart w:id="522" w:name="_Toc247514194"/>
      <w:r>
        <w:rPr>
          <w:rFonts w:ascii="宋体" w:hAnsi="宋体"/>
          <w:color w:val="auto"/>
          <w:sz w:val="21"/>
          <w:szCs w:val="21"/>
          <w:highlight w:val="none"/>
        </w:rPr>
        <w:t>友好协商解决不成</w:t>
      </w:r>
      <w:bookmarkEnd w:id="520"/>
      <w:bookmarkEnd w:id="521"/>
      <w:bookmarkEnd w:id="522"/>
      <w:r>
        <w:rPr>
          <w:rFonts w:ascii="宋体" w:hAnsi="宋体"/>
          <w:color w:val="auto"/>
          <w:sz w:val="21"/>
          <w:szCs w:val="21"/>
          <w:highlight w:val="none"/>
        </w:rPr>
        <w:t>的，可在专用合同条款中约定下列一种方式解决：</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（1）向约定的仲裁委员会申请仲裁；</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（2）向有管辖权的人民法院提起诉讼。</w:t>
      </w:r>
    </w:p>
    <w:p>
      <w:pPr>
        <w:rPr>
          <w:rFonts w:ascii="宋体" w:hAnsi="宋体"/>
          <w:color w:val="auto"/>
          <w:sz w:val="21"/>
          <w:szCs w:val="21"/>
          <w:highlight w:val="none"/>
        </w:rPr>
      </w:pPr>
      <w:r>
        <w:rPr>
          <w:rFonts w:ascii="宋体" w:hAnsi="宋体"/>
          <w:color w:val="auto"/>
          <w:sz w:val="21"/>
          <w:szCs w:val="21"/>
          <w:highlight w:val="none"/>
        </w:rPr>
        <w:br w:type="page"/>
      </w:r>
    </w:p>
    <w:p>
      <w:pPr>
        <w:pStyle w:val="7"/>
        <w:ind w:left="0" w:leftChars="0" w:firstLine="0" w:firstLineChars="0"/>
        <w:rPr>
          <w:color w:val="auto"/>
          <w:highlight w:val="none"/>
        </w:rPr>
      </w:pPr>
    </w:p>
    <w:p>
      <w:pPr>
        <w:widowControl/>
        <w:numPr>
          <w:ilvl w:val="0"/>
          <w:numId w:val="4"/>
        </w:numPr>
        <w:ind w:right="46" w:rightChars="22"/>
        <w:jc w:val="center"/>
        <w:outlineLvl w:val="0"/>
        <w:rPr>
          <w:rFonts w:ascii="Times New Roman" w:hAnsi="Times New Roman"/>
          <w:b/>
          <w:bCs/>
          <w:color w:val="auto"/>
          <w:sz w:val="28"/>
          <w:szCs w:val="32"/>
          <w:highlight w:val="none"/>
        </w:rPr>
      </w:pPr>
      <w:bookmarkStart w:id="523" w:name="_Toc509765978"/>
      <w:bookmarkStart w:id="524" w:name="_Toc32226"/>
      <w:bookmarkStart w:id="525" w:name="_Toc13605"/>
      <w:bookmarkStart w:id="526" w:name="_Toc14772"/>
      <w:bookmarkStart w:id="527" w:name="_Toc19435"/>
      <w:r>
        <w:rPr>
          <w:rFonts w:ascii="Times New Roman" w:hAnsi="Times New Roman"/>
          <w:b/>
          <w:bCs/>
          <w:color w:val="auto"/>
          <w:sz w:val="28"/>
          <w:szCs w:val="32"/>
          <w:highlight w:val="none"/>
        </w:rPr>
        <w:t>专用合同条款</w:t>
      </w:r>
      <w:bookmarkEnd w:id="523"/>
      <w:bookmarkEnd w:id="524"/>
      <w:bookmarkEnd w:id="525"/>
      <w:bookmarkEnd w:id="526"/>
      <w:bookmarkEnd w:id="527"/>
    </w:p>
    <w:p>
      <w:pPr>
        <w:pStyle w:val="4"/>
        <w:numPr>
          <w:ilvl w:val="2"/>
          <w:numId w:val="0"/>
        </w:numPr>
        <w:spacing w:before="0" w:after="0" w:line="360" w:lineRule="auto"/>
        <w:ind w:left="856" w:leftChars="0"/>
        <w:rPr>
          <w:rFonts w:ascii="宋体" w:hAnsi="宋体" w:eastAsia="宋体"/>
          <w:b/>
          <w:bCs/>
          <w:color w:val="auto"/>
          <w:sz w:val="28"/>
          <w:szCs w:val="28"/>
          <w:highlight w:val="none"/>
        </w:rPr>
      </w:pPr>
      <w:bookmarkStart w:id="528" w:name="_Toc27534"/>
      <w:bookmarkStart w:id="529" w:name="_Toc509765979"/>
      <w:bookmarkStart w:id="530" w:name="_Toc16025"/>
    </w:p>
    <w:p>
      <w:pPr>
        <w:pStyle w:val="4"/>
        <w:numPr>
          <w:ilvl w:val="2"/>
          <w:numId w:val="0"/>
        </w:numPr>
        <w:spacing w:before="0" w:after="0" w:line="360" w:lineRule="auto"/>
        <w:ind w:left="856" w:leftChars="0"/>
        <w:rPr>
          <w:rFonts w:ascii="宋体" w:hAnsi="宋体" w:eastAsia="宋体"/>
          <w:b/>
          <w:bCs/>
          <w:color w:val="auto"/>
          <w:sz w:val="24"/>
          <w:szCs w:val="24"/>
          <w:highlight w:val="none"/>
        </w:rPr>
      </w:pPr>
      <w:r>
        <w:rPr>
          <w:rFonts w:ascii="宋体" w:hAnsi="宋体" w:eastAsia="宋体"/>
          <w:b/>
          <w:bCs/>
          <w:color w:val="auto"/>
          <w:sz w:val="24"/>
          <w:szCs w:val="24"/>
          <w:highlight w:val="none"/>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工程和设计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1" w:name="_Toc509765980"/>
      <w:bookmarkStart w:id="532" w:name="_Toc5659"/>
      <w:bookmarkStart w:id="533" w:name="_Toc8133"/>
      <w:r>
        <w:rPr>
          <w:rFonts w:hint="eastAsia" w:ascii="宋体" w:hAnsi="宋体" w:eastAsia="宋体" w:cs="宋体"/>
          <w:b/>
          <w:bCs/>
          <w:color w:val="auto"/>
          <w:sz w:val="24"/>
          <w:szCs w:val="24"/>
          <w:highlight w:val="none"/>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4" w:name="_Toc509765981"/>
      <w:bookmarkStart w:id="535" w:name="_Toc27789"/>
      <w:bookmarkStart w:id="536" w:name="_Toc27784"/>
      <w:r>
        <w:rPr>
          <w:rFonts w:hint="eastAsia" w:ascii="宋体" w:hAnsi="宋体" w:eastAsia="宋体" w:cs="宋体"/>
          <w:b/>
          <w:bCs/>
          <w:color w:val="auto"/>
          <w:sz w:val="24"/>
          <w:szCs w:val="24"/>
          <w:highlight w:val="none"/>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招标设计、</w:t>
            </w: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color w:val="auto"/>
                <w:szCs w:val="21"/>
                <w:highlight w:val="none"/>
              </w:rPr>
              <w:t>审批部门完成初步设计审批</w:t>
            </w:r>
            <w:r>
              <w:rPr>
                <w:rFonts w:hint="eastAsia" w:ascii="宋体" w:hAnsi="宋体" w:eastAsia="宋体" w:cs="宋体"/>
                <w:bCs/>
                <w:color w:val="auto"/>
                <w:sz w:val="21"/>
                <w:szCs w:val="21"/>
                <w:highlight w:val="none"/>
              </w:rPr>
              <w:t>之日起</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以上设计文件及图纸</w:t>
            </w:r>
            <w:r>
              <w:rPr>
                <w:rFonts w:hint="eastAsia" w:ascii="宋体" w:hAnsi="宋体" w:cs="宋体"/>
                <w:bCs/>
                <w:color w:val="auto"/>
                <w:sz w:val="21"/>
                <w:szCs w:val="21"/>
                <w:highlight w:val="none"/>
                <w:lang w:val="en-US" w:eastAsia="zh-CN"/>
              </w:rPr>
              <w:t>光</w:t>
            </w:r>
            <w:r>
              <w:rPr>
                <w:rFonts w:hint="eastAsia" w:ascii="宋体" w:hAnsi="宋体" w:cs="宋体"/>
                <w:bCs/>
                <w:color w:val="auto"/>
                <w:sz w:val="21"/>
                <w:szCs w:val="21"/>
                <w:highlight w:val="none"/>
                <w:lang w:eastAsia="zh-CN"/>
              </w:rPr>
              <w:t>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w:t>
            </w:r>
            <w:r>
              <w:rPr>
                <w:rFonts w:hint="eastAsia" w:ascii="宋体" w:hAnsi="宋体" w:cs="宋体"/>
                <w:bCs/>
                <w:color w:val="auto"/>
                <w:sz w:val="21"/>
                <w:szCs w:val="21"/>
                <w:highlight w:val="none"/>
                <w:lang w:val="en-US" w:eastAsia="zh-CN"/>
              </w:rPr>
              <w:t>光</w:t>
            </w:r>
            <w:r>
              <w:rPr>
                <w:rFonts w:hint="eastAsia" w:ascii="宋体" w:hAnsi="宋体" w:cs="宋体"/>
                <w:bCs/>
                <w:color w:val="auto"/>
                <w:sz w:val="21"/>
                <w:szCs w:val="21"/>
                <w:highlight w:val="none"/>
                <w:lang w:eastAsia="zh-CN"/>
              </w:rPr>
              <w:t>盘</w:t>
            </w:r>
            <w:r>
              <w:rPr>
                <w:rFonts w:hint="eastAsia" w:ascii="宋体" w:hAnsi="宋体" w:eastAsia="宋体" w:cs="宋体"/>
                <w:bCs/>
                <w:color w:val="auto"/>
                <w:sz w:val="21"/>
                <w:szCs w:val="21"/>
                <w:highlight w:val="none"/>
              </w:rPr>
              <w:t>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09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份数</w:t>
            </w:r>
          </w:p>
        </w:tc>
        <w:tc>
          <w:tcPr>
            <w:tcW w:w="220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099" w:type="dxa"/>
            <w:noWrap w:val="0"/>
            <w:vAlign w:val="center"/>
          </w:tcPr>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水文、气象及涉及工程范围的当地社经资料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沿线的通信、供电、防汛、交通系统等资料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配合投资估算工作、经济评价基础资料等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7" w:name="_Toc8572"/>
      <w:bookmarkStart w:id="538" w:name="_Toc26803"/>
      <w:bookmarkStart w:id="539" w:name="_Toc509765982"/>
      <w:r>
        <w:rPr>
          <w:rFonts w:hint="eastAsia" w:ascii="宋体" w:hAnsi="宋体" w:eastAsia="宋体" w:cs="宋体"/>
          <w:b/>
          <w:bCs/>
          <w:color w:val="auto"/>
          <w:sz w:val="24"/>
          <w:szCs w:val="24"/>
          <w:highlight w:val="none"/>
        </w:rPr>
        <w:t>1.12 发包人要求</w:t>
      </w:r>
      <w:bookmarkEnd w:id="537"/>
      <w:bookmarkEnd w:id="538"/>
      <w:bookmarkEnd w:id="539"/>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发包人不要求采用国外规范和标准进行设计。</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0" w:name="_Toc11336"/>
      <w:bookmarkStart w:id="541" w:name="_Toc509765983"/>
      <w:bookmarkStart w:id="542" w:name="_Toc12491"/>
      <w:r>
        <w:rPr>
          <w:rFonts w:hint="eastAsia" w:ascii="宋体" w:hAnsi="宋体" w:eastAsia="宋体" w:cs="宋体"/>
          <w:b/>
          <w:bCs/>
          <w:color w:val="auto"/>
          <w:sz w:val="24"/>
          <w:szCs w:val="24"/>
          <w:highlight w:val="none"/>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发包人不委托监理人进行设计监理。</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3" w:name="_Toc23755"/>
      <w:bookmarkStart w:id="544" w:name="_Toc509765984"/>
      <w:bookmarkStart w:id="545" w:name="_Toc12774"/>
      <w:r>
        <w:rPr>
          <w:rFonts w:hint="eastAsia" w:ascii="宋体" w:hAnsi="宋体" w:eastAsia="宋体" w:cs="宋体"/>
          <w:b/>
          <w:bCs/>
          <w:color w:val="auto"/>
          <w:sz w:val="24"/>
          <w:szCs w:val="24"/>
          <w:highlight w:val="none"/>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发包人应在收到勘察设计人书面提出的事项后的</w:t>
      </w:r>
      <w:r>
        <w:rPr>
          <w:rFonts w:hint="eastAsia" w:ascii="宋体" w:hAnsi="宋体" w:eastAsia="宋体" w:cs="宋体"/>
          <w:color w:val="auto"/>
          <w:sz w:val="21"/>
          <w:szCs w:val="21"/>
          <w:highlight w:val="none"/>
          <w:u w:val="single"/>
        </w:rPr>
        <w:t xml:space="preserve"> 28日</w:t>
      </w:r>
      <w:r>
        <w:rPr>
          <w:rFonts w:hint="eastAsia" w:ascii="宋体" w:hAnsi="宋体" w:eastAsia="宋体" w:cs="宋体"/>
          <w:color w:val="auto"/>
          <w:sz w:val="21"/>
          <w:szCs w:val="21"/>
          <w:highlight w:val="none"/>
        </w:rPr>
        <w:t>之内，对勘察设计人书面提出的事项作出书面答复；逾期没有做出答复的，视为已获得发包人的批准。</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6" w:name="_Toc509765985"/>
      <w:bookmarkStart w:id="547" w:name="_Toc493082649"/>
      <w:bookmarkStart w:id="548" w:name="_Toc12152"/>
      <w:bookmarkStart w:id="549" w:name="_Toc13537"/>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勘察</w:t>
      </w:r>
      <w:r>
        <w:rPr>
          <w:rFonts w:hint="eastAsia" w:ascii="宋体" w:hAnsi="宋体" w:eastAsia="宋体" w:cs="宋体"/>
          <w:b/>
          <w:bCs/>
          <w:color w:val="auto"/>
          <w:sz w:val="24"/>
          <w:szCs w:val="24"/>
          <w:highlight w:val="none"/>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完成全部勘察</w:t>
      </w:r>
      <w:r>
        <w:rPr>
          <w:rFonts w:hint="eastAsia" w:ascii="宋体" w:hAnsi="宋体" w:cs="宋体"/>
          <w:bCs/>
          <w:color w:val="auto"/>
          <w:sz w:val="21"/>
          <w:szCs w:val="21"/>
          <w:highlight w:val="none"/>
          <w:lang w:val="en-US" w:eastAsia="zh-CN"/>
        </w:rPr>
        <w:t>设计</w:t>
      </w:r>
      <w:r>
        <w:rPr>
          <w:rFonts w:hint="eastAsia" w:ascii="宋体" w:hAnsi="宋体" w:eastAsia="宋体" w:cs="宋体"/>
          <w:bCs/>
          <w:color w:val="auto"/>
          <w:sz w:val="21"/>
          <w:szCs w:val="21"/>
          <w:highlight w:val="none"/>
        </w:rPr>
        <w:t>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 保证勘察作业规范、安全和环保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4.1.6 避免勘探对公众与他人的利益造成损害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0" w:name="_Toc509765986"/>
      <w:bookmarkStart w:id="551" w:name="_Toc8640"/>
      <w:bookmarkStart w:id="552" w:name="_Toc17921"/>
      <w:r>
        <w:rPr>
          <w:rFonts w:hint="eastAsia" w:ascii="宋体" w:hAnsi="宋体" w:eastAsia="宋体" w:cs="宋体"/>
          <w:b/>
          <w:bCs/>
          <w:color w:val="auto"/>
          <w:sz w:val="24"/>
          <w:szCs w:val="24"/>
          <w:highlight w:val="none"/>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4.5.4项目负责人授权其下属人员履行的职责：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8098"/>
      <w:bookmarkStart w:id="554" w:name="_Toc509765987"/>
      <w:bookmarkStart w:id="555" w:name="_Toc25892"/>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6" w:name="_Toc9906"/>
      <w:bookmarkStart w:id="557" w:name="_Toc29747"/>
      <w:bookmarkStart w:id="558" w:name="_Toc509765988"/>
      <w:r>
        <w:rPr>
          <w:rFonts w:hint="eastAsia" w:ascii="宋体" w:hAnsi="宋体" w:eastAsia="宋体" w:cs="宋体"/>
          <w:b/>
          <w:bCs/>
          <w:color w:val="auto"/>
          <w:sz w:val="24"/>
          <w:szCs w:val="24"/>
          <w:highlight w:val="none"/>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一切责任由勘察设计人自负</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9" w:name="_Toc911"/>
      <w:bookmarkStart w:id="560" w:name="_Toc25805"/>
      <w:bookmarkStart w:id="561" w:name="_Toc509765989"/>
      <w:r>
        <w:rPr>
          <w:rFonts w:hint="eastAsia" w:ascii="宋体" w:hAnsi="宋体" w:eastAsia="宋体" w:cs="宋体"/>
          <w:b/>
          <w:bCs/>
          <w:color w:val="auto"/>
          <w:sz w:val="24"/>
          <w:szCs w:val="24"/>
          <w:highlight w:val="none"/>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工程范围指所设计工程的建设内容，具体为：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四宗中型灌区的</w:t>
      </w:r>
      <w:r>
        <w:rPr>
          <w:rFonts w:hint="eastAsia" w:ascii="宋体" w:hAnsi="宋体" w:eastAsia="宋体" w:cs="宋体"/>
          <w:color w:val="auto"/>
          <w:sz w:val="21"/>
          <w:szCs w:val="21"/>
          <w:highlight w:val="none"/>
          <w:u w:val="single"/>
          <w:lang w:val="en-US" w:eastAsia="zh-CN"/>
        </w:rPr>
        <w:t>干</w:t>
      </w:r>
      <w:r>
        <w:rPr>
          <w:rFonts w:hint="eastAsia" w:ascii="宋体" w:hAnsi="宋体" w:cs="宋体"/>
          <w:color w:val="auto"/>
          <w:sz w:val="21"/>
          <w:szCs w:val="21"/>
          <w:highlight w:val="none"/>
          <w:u w:val="single"/>
          <w:lang w:val="en-US" w:eastAsia="zh-CN"/>
        </w:rPr>
        <w:t>支</w:t>
      </w:r>
      <w:r>
        <w:rPr>
          <w:rFonts w:hint="eastAsia" w:ascii="宋体" w:hAnsi="宋体" w:eastAsia="宋体" w:cs="宋体"/>
          <w:color w:val="auto"/>
          <w:sz w:val="21"/>
          <w:szCs w:val="21"/>
          <w:highlight w:val="none"/>
          <w:u w:val="single"/>
          <w:lang w:val="en-US" w:eastAsia="zh-CN"/>
        </w:rPr>
        <w:t>渠改造</w:t>
      </w:r>
      <w:r>
        <w:rPr>
          <w:rFonts w:hint="eastAsia" w:ascii="宋体" w:hAnsi="宋体" w:cs="宋体"/>
          <w:color w:val="auto"/>
          <w:sz w:val="21"/>
          <w:szCs w:val="21"/>
          <w:highlight w:val="none"/>
          <w:u w:val="single"/>
          <w:lang w:val="en-US" w:eastAsia="zh-CN"/>
        </w:rPr>
        <w:t>；</w:t>
      </w:r>
      <w:r>
        <w:rPr>
          <w:rFonts w:hint="eastAsia" w:ascii="宋体" w:hAnsi="宋体"/>
          <w:color w:val="auto"/>
          <w:sz w:val="21"/>
          <w:szCs w:val="21"/>
          <w:highlight w:val="none"/>
          <w:u w:val="single"/>
          <w:lang w:val="en-US" w:eastAsia="zh-CN"/>
        </w:rPr>
        <w:t>渠道清淤工程；重建、维修渠系建筑物；重建机耕路；水量监测、视频监控、网络通信动态智慧监控系统；灌区用水信息服务平台、配套管理及设备用房等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5.3.3 阶段范围指：</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w:t>
      </w:r>
      <w:r>
        <w:rPr>
          <w:rFonts w:hint="eastAsia" w:ascii="宋体" w:hAnsi="宋体" w:cs="宋体"/>
          <w:color w:val="auto"/>
          <w:szCs w:val="21"/>
          <w:highlight w:val="none"/>
          <w:u w:val="single"/>
        </w:rPr>
        <w:t>招标设计、</w:t>
      </w:r>
      <w:r>
        <w:rPr>
          <w:rFonts w:hint="eastAsia" w:ascii="宋体" w:hAnsi="宋体" w:eastAsia="宋体" w:cs="宋体"/>
          <w:color w:val="auto"/>
          <w:sz w:val="21"/>
          <w:szCs w:val="21"/>
          <w:highlight w:val="none"/>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5.3.4 工作范围指：</w:t>
      </w:r>
      <w:r>
        <w:rPr>
          <w:rFonts w:hint="eastAsia" w:ascii="宋体" w:hAnsi="宋体" w:eastAsia="宋体" w:cs="宋体"/>
          <w:color w:val="auto"/>
          <w:sz w:val="21"/>
          <w:szCs w:val="21"/>
          <w:highlight w:val="none"/>
          <w:u w:val="single"/>
        </w:rPr>
        <w:t>编制</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、地质勘察报告、工程测量成果及图纸、工程概算书、</w:t>
      </w:r>
      <w:r>
        <w:rPr>
          <w:rFonts w:hint="eastAsia" w:ascii="宋体" w:hAnsi="宋体" w:cs="宋体"/>
          <w:color w:val="auto"/>
          <w:szCs w:val="21"/>
          <w:highlight w:val="none"/>
          <w:u w:val="single"/>
        </w:rPr>
        <w:t>招标设计图纸、招标工程量清单及相应的技术规范和技术条款、</w:t>
      </w:r>
      <w:r>
        <w:rPr>
          <w:rFonts w:hint="eastAsia" w:ascii="宋体" w:hAnsi="宋体" w:eastAsia="宋体" w:cs="宋体"/>
          <w:color w:val="auto"/>
          <w:sz w:val="21"/>
          <w:szCs w:val="21"/>
          <w:highlight w:val="none"/>
          <w:u w:val="single"/>
        </w:rPr>
        <w:t>施工图设计阶段施工图纸、施工图预算、提供技术交底、施工配合、参加试车（试运行）、竣工验收和发包人委托的其他服务。</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62" w:name="_Toc23058"/>
      <w:bookmarkStart w:id="563" w:name="_Toc509765990"/>
      <w:bookmarkStart w:id="564" w:name="_Toc28742"/>
      <w:r>
        <w:rPr>
          <w:rFonts w:hint="eastAsia" w:ascii="宋体" w:hAnsi="宋体" w:eastAsia="宋体" w:cs="宋体"/>
          <w:b/>
          <w:bCs/>
          <w:color w:val="auto"/>
          <w:sz w:val="24"/>
          <w:szCs w:val="24"/>
          <w:highlight w:val="none"/>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5.4.5 测绘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5.4.6 勘探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取样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试验报告的格式应当符合 CMA 计量认证体系要求，加盖 CMA 章并由试验负责人签字确认；试验负责人应当通过计量认证考核，并由项目负责人授权许可。</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5" w:name="_Toc32106"/>
      <w:bookmarkStart w:id="566" w:name="_Toc509765991"/>
      <w:bookmarkStart w:id="567" w:name="_Toc23096"/>
      <w:r>
        <w:rPr>
          <w:rFonts w:hint="eastAsia" w:ascii="宋体" w:hAnsi="宋体" w:eastAsia="宋体" w:cs="宋体"/>
          <w:b/>
          <w:bCs/>
          <w:color w:val="auto"/>
          <w:sz w:val="24"/>
          <w:szCs w:val="24"/>
          <w:highlight w:val="none"/>
        </w:rPr>
        <w:t>5.5 勘察设备要求</w:t>
      </w:r>
      <w:bookmarkEnd w:id="565"/>
      <w:bookmarkEnd w:id="566"/>
      <w:bookmarkEnd w:id="567"/>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8" w:name="_Toc509765992"/>
      <w:bookmarkStart w:id="569" w:name="_Toc1158"/>
      <w:bookmarkStart w:id="570" w:name="_Toc23143"/>
      <w:r>
        <w:rPr>
          <w:rFonts w:hint="eastAsia" w:ascii="宋体" w:hAnsi="宋体" w:eastAsia="宋体" w:cs="宋体"/>
          <w:b/>
          <w:bCs/>
          <w:color w:val="auto"/>
          <w:sz w:val="24"/>
          <w:szCs w:val="24"/>
          <w:highlight w:val="none"/>
        </w:rPr>
        <w:t>5.6 临时占地和设施要求</w:t>
      </w:r>
      <w:bookmarkEnd w:id="568"/>
      <w:bookmarkEnd w:id="569"/>
      <w:bookmarkEnd w:id="570"/>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5.6.5 临时设施应当满足规范标准、发包人要求和行政管理部门的规定等。临时设施的修建、拆除和恢复费用由勘察设计人自行承担。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1" w:name="_Toc509765993"/>
      <w:bookmarkStart w:id="572" w:name="_Toc29922"/>
      <w:bookmarkStart w:id="573" w:name="_Toc27660"/>
      <w:r>
        <w:rPr>
          <w:rFonts w:hint="eastAsia" w:ascii="宋体" w:hAnsi="宋体" w:eastAsia="宋体" w:cs="宋体"/>
          <w:b/>
          <w:bCs/>
          <w:color w:val="auto"/>
          <w:sz w:val="24"/>
          <w:szCs w:val="24"/>
          <w:highlight w:val="none"/>
        </w:rPr>
        <w:t>5.7 安全作业要求</w:t>
      </w:r>
      <w:bookmarkEnd w:id="571"/>
      <w:bookmarkEnd w:id="572"/>
      <w:bookmarkEnd w:id="573"/>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5.7.7 由于勘察设计人原因在施工场地内及其毗邻地带造成的第三者人员伤亡和财产损失，由勘察设计人负责赔偿。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4" w:name="_Toc509765994"/>
      <w:bookmarkStart w:id="575" w:name="_Toc15752"/>
      <w:bookmarkStart w:id="576" w:name="_Toc26010"/>
      <w:r>
        <w:rPr>
          <w:rFonts w:hint="eastAsia" w:ascii="宋体" w:hAnsi="宋体" w:eastAsia="宋体" w:cs="宋体"/>
          <w:b/>
          <w:bCs/>
          <w:color w:val="auto"/>
          <w:sz w:val="24"/>
          <w:szCs w:val="24"/>
          <w:highlight w:val="none"/>
        </w:rPr>
        <w:t>5.8 环境保护要求</w:t>
      </w:r>
      <w:bookmarkEnd w:id="574"/>
      <w:bookmarkEnd w:id="575"/>
      <w:bookmarkEnd w:id="576"/>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5.8.3 勘察设计人应确保勘探过程中产生的气体排放物、粉尘、噪声、地面排水及排污等，符合法律规定和发包人要求。 </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7" w:name="_Toc8132"/>
      <w:bookmarkStart w:id="578" w:name="_Toc509765995"/>
      <w:bookmarkStart w:id="579" w:name="_Toc13434"/>
      <w:r>
        <w:rPr>
          <w:rFonts w:hint="eastAsia" w:ascii="宋体" w:hAnsi="宋体" w:eastAsia="宋体" w:cs="宋体"/>
          <w:b/>
          <w:bCs/>
          <w:color w:val="auto"/>
          <w:sz w:val="24"/>
          <w:szCs w:val="24"/>
          <w:highlight w:val="none"/>
        </w:rPr>
        <w:t>5.9 事故处理要求</w:t>
      </w:r>
      <w:bookmarkEnd w:id="577"/>
      <w:bookmarkEnd w:id="578"/>
      <w:bookmarkEnd w:id="579"/>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0" w:name="_Toc509765996"/>
      <w:bookmarkStart w:id="581" w:name="_Toc30520"/>
      <w:bookmarkStart w:id="582" w:name="_Toc29039"/>
      <w:r>
        <w:rPr>
          <w:rFonts w:hint="eastAsia" w:ascii="宋体" w:hAnsi="宋体" w:eastAsia="宋体" w:cs="宋体"/>
          <w:b/>
          <w:bCs/>
          <w:color w:val="auto"/>
          <w:sz w:val="24"/>
          <w:szCs w:val="24"/>
          <w:highlight w:val="none"/>
        </w:rPr>
        <w:t xml:space="preserve">6.2 </w:t>
      </w:r>
      <w:bookmarkEnd w:id="580"/>
      <w:r>
        <w:rPr>
          <w:rFonts w:hint="eastAsia" w:ascii="宋体" w:hAnsi="宋体" w:eastAsia="宋体" w:cs="宋体"/>
          <w:b/>
          <w:bCs/>
          <w:color w:val="auto"/>
          <w:sz w:val="24"/>
          <w:szCs w:val="24"/>
          <w:highlight w:val="none"/>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highlight w:val="none"/>
        </w:rPr>
      </w:pPr>
    </w:p>
    <w:p>
      <w:pPr>
        <w:pStyle w:val="4"/>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26948"/>
      <w:bookmarkStart w:id="584" w:name="_Toc509765997"/>
      <w:bookmarkStart w:id="585" w:name="_Toc7762"/>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color w:val="auto"/>
          <w:sz w:val="21"/>
          <w:szCs w:val="21"/>
          <w:highlight w:val="none"/>
        </w:rPr>
        <w:t>勘察设计人应支付逾期违约金</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highlight w:val="none"/>
        </w:rPr>
      </w:pP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86" w:name="_Toc13146"/>
      <w:bookmarkStart w:id="587" w:name="_Toc509765998"/>
      <w:bookmarkStart w:id="588" w:name="_Toc26838"/>
      <w:r>
        <w:rPr>
          <w:rFonts w:hint="eastAsia" w:ascii="宋体" w:hAnsi="宋体" w:eastAsia="宋体" w:cs="宋体"/>
          <w:b/>
          <w:bCs/>
          <w:color w:val="auto"/>
          <w:sz w:val="24"/>
          <w:szCs w:val="24"/>
          <w:highlight w:val="none"/>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highlight w:val="none"/>
        </w:rPr>
      </w:pPr>
      <w:bookmarkStart w:id="589" w:name="_Toc493082672"/>
      <w:r>
        <w:rPr>
          <w:rFonts w:hint="eastAsia" w:ascii="宋体" w:hAnsi="宋体" w:eastAsia="宋体" w:cs="宋体"/>
          <w:color w:val="auto"/>
          <w:sz w:val="21"/>
          <w:szCs w:val="21"/>
          <w:highlight w:val="none"/>
        </w:rPr>
        <w:t>6.4.1 非人为因素引起的周期延误</w:t>
      </w:r>
      <w:bookmarkEnd w:id="589"/>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6.4.1.2 勘察设计人发现地下文物或化石时，应按规定及时报告发包人和文物部门，并采取有效措施进行保护；勘察设计人有权要求发包人延长周期但不得要求增加费用。 </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0" w:name="_Toc18249"/>
      <w:bookmarkStart w:id="591" w:name="_Toc12608"/>
      <w:bookmarkStart w:id="592" w:name="_Toc509765999"/>
      <w:r>
        <w:rPr>
          <w:rFonts w:hint="eastAsia" w:ascii="宋体" w:hAnsi="宋体" w:eastAsia="宋体" w:cs="宋体"/>
          <w:b/>
          <w:bCs/>
          <w:color w:val="auto"/>
          <w:sz w:val="24"/>
          <w:szCs w:val="24"/>
          <w:highlight w:val="none"/>
        </w:rPr>
        <w:t>6.5 完成勘察设计</w:t>
      </w:r>
      <w:bookmarkEnd w:id="590"/>
      <w:bookmarkEnd w:id="5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 勘察设计文件提交的要求见专用合同条款1.6.1。</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3" w:name="_Toc24600"/>
      <w:bookmarkStart w:id="594" w:name="_Toc27087"/>
      <w:r>
        <w:rPr>
          <w:rFonts w:hint="eastAsia" w:ascii="宋体" w:hAnsi="宋体" w:eastAsia="宋体" w:cs="宋体"/>
          <w:b/>
          <w:bCs/>
          <w:color w:val="auto"/>
          <w:sz w:val="24"/>
          <w:szCs w:val="24"/>
          <w:highlight w:val="none"/>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 勘察设计人提前完成设计可获得的奖励：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5" w:name="_Toc509766000"/>
      <w:bookmarkStart w:id="596" w:name="_Toc11694"/>
      <w:bookmarkStart w:id="597" w:name="_Toc22085"/>
      <w:r>
        <w:rPr>
          <w:rFonts w:hint="eastAsia" w:ascii="宋体" w:hAnsi="宋体" w:eastAsia="宋体" w:cs="宋体"/>
          <w:b/>
          <w:bCs/>
          <w:color w:val="auto"/>
          <w:sz w:val="24"/>
          <w:szCs w:val="24"/>
          <w:highlight w:val="none"/>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 勘察设计文件提交的要求见专用合同条款1.6.1。</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8" w:name="_Toc28829"/>
      <w:bookmarkStart w:id="599" w:name="_Toc13984"/>
      <w:bookmarkStart w:id="600" w:name="_Toc509766001"/>
      <w:r>
        <w:rPr>
          <w:rFonts w:hint="eastAsia" w:ascii="宋体" w:hAnsi="宋体" w:eastAsia="宋体" w:cs="宋体"/>
          <w:b/>
          <w:bCs/>
          <w:color w:val="auto"/>
          <w:sz w:val="24"/>
          <w:szCs w:val="24"/>
          <w:highlight w:val="none"/>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发包人接收设计文件之后，可以自行或者组织专家会</w:t>
      </w:r>
      <w:r>
        <w:rPr>
          <w:rFonts w:hint="eastAsia" w:ascii="宋体" w:hAnsi="宋体" w:cs="宋体"/>
          <w:color w:val="auto"/>
          <w:sz w:val="21"/>
          <w:szCs w:val="21"/>
          <w:highlight w:val="none"/>
          <w:lang w:val="en-US" w:eastAsia="zh-CN"/>
        </w:rPr>
        <w:t>或委托审图单位</w:t>
      </w:r>
      <w:r>
        <w:rPr>
          <w:rFonts w:hint="eastAsia" w:ascii="宋体" w:hAnsi="宋体" w:eastAsia="宋体" w:cs="宋体"/>
          <w:color w:val="auto"/>
          <w:sz w:val="21"/>
          <w:szCs w:val="21"/>
          <w:highlight w:val="none"/>
        </w:rPr>
        <w:t>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审查的具体范围为：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1" w:name="_Toc32468"/>
      <w:bookmarkStart w:id="602" w:name="_Toc13981"/>
      <w:bookmarkStart w:id="603" w:name="_Toc509766002"/>
      <w:r>
        <w:rPr>
          <w:rFonts w:hint="eastAsia" w:ascii="宋体" w:hAnsi="宋体" w:eastAsia="宋体" w:cs="宋体"/>
          <w:b/>
          <w:bCs/>
          <w:color w:val="auto"/>
          <w:sz w:val="24"/>
          <w:szCs w:val="24"/>
          <w:highlight w:val="none"/>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4" w:name="_Toc18662"/>
      <w:bookmarkStart w:id="605" w:name="_Toc5275"/>
      <w:r>
        <w:rPr>
          <w:rFonts w:hint="eastAsia" w:ascii="宋体" w:hAnsi="宋体" w:eastAsia="宋体" w:cs="宋体"/>
          <w:b/>
          <w:bCs/>
          <w:color w:val="auto"/>
          <w:sz w:val="24"/>
          <w:szCs w:val="24"/>
          <w:highlight w:val="none"/>
        </w:rPr>
        <w:t>10 施工期间配合</w:t>
      </w:r>
      <w:bookmarkEnd w:id="604"/>
      <w:bookmarkEnd w:id="60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10.2 </w:t>
      </w:r>
      <w:r>
        <w:rPr>
          <w:rFonts w:hint="eastAsia" w:ascii="宋体" w:hAnsi="宋体" w:eastAsia="宋体" w:cs="宋体"/>
          <w:color w:val="auto"/>
          <w:sz w:val="21"/>
          <w:szCs w:val="21"/>
          <w:highlight w:val="none"/>
        </w:rPr>
        <w:t xml:space="preserve">勘察设计人应为勘察设计人派赴施工现场的工作人员，在施工期间提供办公房间、办公桌椅、互联网接口、冷暖设施、生活设施、进出现场交通服务和其他便利条件。 </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6" w:name="_Toc18833"/>
      <w:bookmarkStart w:id="607" w:name="_Toc509766003"/>
      <w:bookmarkStart w:id="608" w:name="_Toc29468"/>
      <w:r>
        <w:rPr>
          <w:rFonts w:hint="eastAsia" w:ascii="宋体" w:hAnsi="宋体" w:eastAsia="宋体" w:cs="宋体"/>
          <w:b/>
          <w:bCs/>
          <w:color w:val="auto"/>
          <w:sz w:val="24"/>
          <w:szCs w:val="24"/>
          <w:highlight w:val="none"/>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（1）勘察设计范围发生变化；</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9" w:name="_Toc509766004"/>
      <w:bookmarkStart w:id="610" w:name="_Toc17276"/>
      <w:bookmarkStart w:id="611" w:name="_Toc26490"/>
      <w:r>
        <w:rPr>
          <w:rFonts w:hint="eastAsia" w:ascii="宋体" w:hAnsi="宋体" w:eastAsia="宋体" w:cs="宋体"/>
          <w:b/>
          <w:bCs/>
          <w:color w:val="auto"/>
          <w:sz w:val="24"/>
          <w:szCs w:val="24"/>
          <w:highlight w:val="none"/>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11982"/>
      <w:bookmarkStart w:id="613" w:name="_Toc22592"/>
      <w:bookmarkStart w:id="614" w:name="_Toc509766005"/>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hint="eastAsia"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w:t>
      </w:r>
      <w:r>
        <w:rPr>
          <w:rFonts w:hint="eastAsia" w:ascii="宋体" w:hAnsi="宋体"/>
          <w:color w:val="auto"/>
          <w:highlight w:val="none"/>
          <w:lang w:eastAsia="zh-CN"/>
        </w:rPr>
        <w:t>最高控制价</w:t>
      </w:r>
      <w:r>
        <w:rPr>
          <w:rFonts w:hint="eastAsia" w:ascii="宋体" w:hAnsi="宋体"/>
          <w:color w:val="auto"/>
          <w:highlight w:val="none"/>
        </w:rPr>
        <w:t>×(1-中标下浮率)，其中勘察费签约合同价=勘察费</w:t>
      </w:r>
      <w:r>
        <w:rPr>
          <w:rFonts w:hint="eastAsia" w:ascii="宋体" w:hAnsi="宋体"/>
          <w:color w:val="auto"/>
          <w:highlight w:val="none"/>
          <w:lang w:eastAsia="zh-CN"/>
        </w:rPr>
        <w:t>最高控制价</w:t>
      </w:r>
      <w:r>
        <w:rPr>
          <w:rFonts w:hint="eastAsia" w:ascii="宋体" w:hAnsi="宋体"/>
          <w:color w:val="auto"/>
          <w:highlight w:val="none"/>
        </w:rPr>
        <w:t>×(1-中标下浮率)，设计费签约合同价=设计费</w:t>
      </w:r>
      <w:r>
        <w:rPr>
          <w:rFonts w:hint="eastAsia" w:ascii="宋体" w:hAnsi="宋体"/>
          <w:color w:val="auto"/>
          <w:highlight w:val="none"/>
          <w:lang w:eastAsia="zh-CN"/>
        </w:rPr>
        <w:t>最高控制价</w:t>
      </w:r>
      <w:r>
        <w:rPr>
          <w:rFonts w:hint="eastAsia" w:ascii="宋体" w:hAnsi="宋体"/>
          <w:color w:val="auto"/>
          <w:highlight w:val="none"/>
        </w:rPr>
        <w:t>×(1-中标下浮率)</w:t>
      </w:r>
      <w:r>
        <w:rPr>
          <w:rFonts w:hint="eastAsia" w:ascii="宋体" w:hAnsi="宋体"/>
          <w:color w:val="auto"/>
          <w:highlight w:val="none"/>
          <w:lang w:eastAsia="zh-CN"/>
        </w:rPr>
        <w:t>，</w:t>
      </w:r>
      <w:r>
        <w:rPr>
          <w:rFonts w:hint="eastAsia" w:ascii="宋体" w:hAnsi="宋体"/>
          <w:color w:val="auto"/>
          <w:highlight w:val="none"/>
          <w:lang w:val="en-US" w:eastAsia="zh-CN"/>
        </w:rPr>
        <w:t>水土保持专项编制</w:t>
      </w:r>
      <w:r>
        <w:rPr>
          <w:rFonts w:hint="eastAsia" w:ascii="宋体" w:hAnsi="宋体"/>
          <w:color w:val="auto"/>
          <w:highlight w:val="none"/>
        </w:rPr>
        <w:t>费签约合同价=</w:t>
      </w:r>
      <w:r>
        <w:rPr>
          <w:rFonts w:hint="eastAsia" w:ascii="宋体" w:hAnsi="宋体"/>
          <w:color w:val="auto"/>
          <w:highlight w:val="none"/>
          <w:lang w:val="en-US" w:eastAsia="zh-CN"/>
        </w:rPr>
        <w:t>水土保持专项编制</w:t>
      </w:r>
      <w:r>
        <w:rPr>
          <w:rFonts w:hint="eastAsia" w:ascii="宋体" w:hAnsi="宋体"/>
          <w:color w:val="auto"/>
          <w:highlight w:val="none"/>
          <w:lang w:eastAsia="zh-CN"/>
        </w:rPr>
        <w:t>最高控制价</w:t>
      </w:r>
      <w:r>
        <w:rPr>
          <w:rFonts w:hint="eastAsia" w:ascii="宋体" w:hAnsi="宋体"/>
          <w:color w:val="auto"/>
          <w:highlight w:val="none"/>
        </w:rPr>
        <w:t>×(1-中标下浮率)。</w:t>
      </w:r>
    </w:p>
    <w:p>
      <w:pPr>
        <w:spacing w:line="360" w:lineRule="auto"/>
        <w:ind w:firstLine="420" w:firstLineChars="200"/>
        <w:rPr>
          <w:rFonts w:hint="eastAsia"/>
          <w:b w:val="0"/>
          <w:bCs w:val="0"/>
          <w:color w:val="auto"/>
          <w:szCs w:val="21"/>
          <w:highlight w:val="none"/>
        </w:rPr>
      </w:pPr>
      <w:r>
        <w:rPr>
          <w:b w:val="0"/>
          <w:bCs w:val="0"/>
          <w:color w:val="auto"/>
          <w:szCs w:val="21"/>
          <w:highlight w:val="none"/>
        </w:rPr>
        <w:t>勘察费：</w:t>
      </w:r>
      <w:r>
        <w:rPr>
          <w:rFonts w:hint="eastAsia"/>
          <w:b w:val="0"/>
          <w:bCs w:val="0"/>
          <w:color w:val="auto"/>
          <w:szCs w:val="21"/>
          <w:highlight w:val="none"/>
        </w:rPr>
        <w:t>初步设计阶段的勘察费占比</w:t>
      </w:r>
      <w:r>
        <w:rPr>
          <w:rFonts w:hint="eastAsia"/>
          <w:b w:val="0"/>
          <w:bCs w:val="0"/>
          <w:color w:val="auto"/>
          <w:szCs w:val="21"/>
          <w:highlight w:val="none"/>
          <w:lang w:val="en-US" w:eastAsia="zh-CN"/>
        </w:rPr>
        <w:t>73</w:t>
      </w:r>
      <w:r>
        <w:rPr>
          <w:rFonts w:hint="eastAsia"/>
          <w:b w:val="0"/>
          <w:bCs w:val="0"/>
          <w:color w:val="auto"/>
          <w:szCs w:val="21"/>
          <w:highlight w:val="none"/>
        </w:rPr>
        <w:t>%，</w:t>
      </w:r>
      <w:r>
        <w:rPr>
          <w:rFonts w:hint="eastAsia"/>
          <w:b w:val="0"/>
          <w:bCs w:val="0"/>
          <w:color w:val="auto"/>
          <w:szCs w:val="21"/>
          <w:highlight w:val="none"/>
          <w:lang w:val="en-US" w:eastAsia="zh-CN"/>
        </w:rPr>
        <w:t>招标设计阶段</w:t>
      </w:r>
      <w:r>
        <w:rPr>
          <w:rFonts w:hint="eastAsia"/>
          <w:b w:val="0"/>
          <w:bCs w:val="0"/>
          <w:color w:val="auto"/>
          <w:szCs w:val="21"/>
          <w:highlight w:val="none"/>
        </w:rPr>
        <w:t>的勘察费占比</w:t>
      </w:r>
      <w:r>
        <w:rPr>
          <w:rFonts w:hint="eastAsia"/>
          <w:b w:val="0"/>
          <w:bCs w:val="0"/>
          <w:color w:val="auto"/>
          <w:szCs w:val="21"/>
          <w:highlight w:val="none"/>
          <w:lang w:val="en-US" w:eastAsia="zh-CN"/>
        </w:rPr>
        <w:t>3</w:t>
      </w:r>
      <w:r>
        <w:rPr>
          <w:rFonts w:hint="eastAsia"/>
          <w:b w:val="0"/>
          <w:bCs w:val="0"/>
          <w:color w:val="auto"/>
          <w:szCs w:val="21"/>
          <w:highlight w:val="none"/>
        </w:rPr>
        <w:t>%，施工图阶段的勘察费占比</w:t>
      </w:r>
      <w:r>
        <w:rPr>
          <w:rFonts w:hint="eastAsia"/>
          <w:b w:val="0"/>
          <w:bCs w:val="0"/>
          <w:color w:val="auto"/>
          <w:szCs w:val="21"/>
          <w:highlight w:val="none"/>
          <w:lang w:val="en-US" w:eastAsia="zh-CN"/>
        </w:rPr>
        <w:t>24</w:t>
      </w:r>
      <w:r>
        <w:rPr>
          <w:rFonts w:hint="eastAsia"/>
          <w:b w:val="0"/>
          <w:bCs w:val="0"/>
          <w:color w:val="auto"/>
          <w:szCs w:val="21"/>
          <w:highlight w:val="none"/>
        </w:rPr>
        <w:t>%；设计费：初步设计阶段的设计费占比</w:t>
      </w:r>
      <w:r>
        <w:rPr>
          <w:rFonts w:hint="eastAsia"/>
          <w:b w:val="0"/>
          <w:bCs w:val="0"/>
          <w:color w:val="auto"/>
          <w:szCs w:val="21"/>
          <w:highlight w:val="none"/>
          <w:lang w:val="en-US" w:eastAsia="zh-CN"/>
        </w:rPr>
        <w:t>45</w:t>
      </w:r>
      <w:r>
        <w:rPr>
          <w:rFonts w:hint="eastAsia"/>
          <w:b w:val="0"/>
          <w:bCs w:val="0"/>
          <w:color w:val="auto"/>
          <w:szCs w:val="21"/>
          <w:highlight w:val="none"/>
        </w:rPr>
        <w:t>%，</w:t>
      </w:r>
      <w:r>
        <w:rPr>
          <w:rFonts w:hint="eastAsia"/>
          <w:b w:val="0"/>
          <w:bCs w:val="0"/>
          <w:color w:val="auto"/>
          <w:szCs w:val="21"/>
          <w:highlight w:val="none"/>
          <w:lang w:val="en-US" w:eastAsia="zh-CN"/>
        </w:rPr>
        <w:t>招标设计阶段设计费占比20%，</w:t>
      </w:r>
      <w:r>
        <w:rPr>
          <w:rFonts w:hint="eastAsia"/>
          <w:b w:val="0"/>
          <w:bCs w:val="0"/>
          <w:color w:val="auto"/>
          <w:szCs w:val="21"/>
          <w:highlight w:val="none"/>
        </w:rPr>
        <w:t>施工图阶段设计费占比</w:t>
      </w:r>
      <w:r>
        <w:rPr>
          <w:rFonts w:hint="eastAsia"/>
          <w:b w:val="0"/>
          <w:bCs w:val="0"/>
          <w:color w:val="auto"/>
          <w:szCs w:val="21"/>
          <w:highlight w:val="none"/>
          <w:lang w:val="en-US" w:eastAsia="zh-CN"/>
        </w:rPr>
        <w:t>35</w:t>
      </w:r>
      <w:r>
        <w:rPr>
          <w:rFonts w:hint="eastAsia"/>
          <w:b w:val="0"/>
          <w:bCs w:val="0"/>
          <w:color w:val="auto"/>
          <w:szCs w:val="21"/>
          <w:highlight w:val="none"/>
        </w:rPr>
        <w:t>%。</w:t>
      </w:r>
    </w:p>
    <w:p>
      <w:pPr>
        <w:spacing w:line="360" w:lineRule="auto"/>
        <w:ind w:firstLine="420" w:firstLineChars="200"/>
        <w:rPr>
          <w:rFonts w:ascii="宋体" w:hAnsi="宋体"/>
          <w:b w:val="0"/>
          <w:bCs w:val="0"/>
          <w:color w:val="auto"/>
          <w:highlight w:val="none"/>
        </w:rPr>
      </w:pPr>
      <w:r>
        <w:rPr>
          <w:rFonts w:hint="eastAsia"/>
          <w:b w:val="0"/>
          <w:bCs w:val="0"/>
          <w:color w:val="auto"/>
          <w:szCs w:val="21"/>
          <w:highlight w:val="none"/>
        </w:rPr>
        <w:t>各阶段的勘察设计费按勘察费、设计费签约合同价*各阶段占比</w:t>
      </w:r>
      <w:r>
        <w:rPr>
          <w:rFonts w:ascii="宋体" w:hAnsi="宋体"/>
          <w:b w:val="0"/>
          <w:bCs w:val="0"/>
          <w:color w:val="auto"/>
          <w:highlight w:val="none"/>
        </w:rPr>
        <w:t>。</w:t>
      </w:r>
    </w:p>
    <w:p>
      <w:pPr>
        <w:pStyle w:val="25"/>
        <w:spacing w:line="380" w:lineRule="exact"/>
        <w:ind w:firstLine="420" w:firstLineChars="200"/>
        <w:rPr>
          <w:rFonts w:hint="default"/>
          <w:color w:val="auto"/>
          <w:highlight w:val="none"/>
          <w:lang w:val="en-US" w:eastAsia="zh-CN"/>
        </w:rPr>
      </w:pPr>
      <w:r>
        <w:rPr>
          <w:rFonts w:hint="eastAsia" w:hAnsi="宋体" w:cs="Times New Roman"/>
          <w:b w:val="0"/>
          <w:bCs w:val="0"/>
          <w:color w:val="auto"/>
          <w:kern w:val="2"/>
          <w:sz w:val="21"/>
          <w:highlight w:val="none"/>
          <w:lang w:val="en-US" w:eastAsia="zh-CN"/>
        </w:rPr>
        <w:t>勘察设计费最高控制价是根据工程估算的建安工程费为基数进行计算，工程初步设计概算批复的建安工程投资与估算的建安工程投资比较，减少超过10%的，相应对合同价按财审的勘察设计费标准进行调整</w:t>
      </w:r>
      <w:r>
        <w:rPr>
          <w:rFonts w:hint="eastAsia" w:hAnsi="宋体" w:cs="Times New Roman"/>
          <w:b w:val="0"/>
          <w:bCs w:val="0"/>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13112"/>
      <w:bookmarkStart w:id="616" w:name="_Toc509766006"/>
      <w:bookmarkStart w:id="617" w:name="_Toc27543"/>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hint="eastAsia"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0%作为预付款支付给勘察设计人。</w:t>
      </w:r>
      <w:bookmarkEnd w:id="618"/>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注：若勘察设计人为联合体，预付款由联合体勘察单位和联合体设计单位分别向发包人提出支付申请，发包人向财政申请直接支付给联合体勘察单位和联合体设计单位</w:t>
      </w:r>
      <w:r>
        <w:rPr>
          <w:rFonts w:hint="eastAsia" w:ascii="宋体" w:hAnsi="宋体" w:cs="宋体"/>
          <w:color w:val="auto"/>
          <w:sz w:val="21"/>
          <w:szCs w:val="21"/>
          <w:highlight w:val="none"/>
          <w:lang w:eastAsia="zh-CN"/>
        </w:rPr>
        <w:t>。</w:t>
      </w:r>
    </w:p>
    <w:p>
      <w:pPr>
        <w:pStyle w:val="14"/>
        <w:rPr>
          <w:rFonts w:hint="eastAsia"/>
          <w:color w:val="auto"/>
          <w:highlight w:val="none"/>
        </w:rPr>
      </w:pP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509766007"/>
      <w:bookmarkStart w:id="620" w:name="_Toc28956"/>
      <w:bookmarkStart w:id="621" w:name="_Toc32699"/>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auto"/>
        <w:ind w:firstLine="420" w:firstLineChars="200"/>
        <w:rPr>
          <w:rFonts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(2)初步设计报告经审批后15日历天内，发包人向勘察设计人付清初步设计阶段的勘察设计费（扣回预付款）。</w:t>
      </w:r>
    </w:p>
    <w:bookmarkEnd w:id="622"/>
    <w:p>
      <w:pPr>
        <w:pStyle w:val="14"/>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(3)勘察设计人提交施工图和施工图预算审批后15日历天内，发包人向勘察设计人支付本阶段的勘察设计费的</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0%。</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本项目施工图设计阶段若因资金到位原因进行分标段设计、施工，施工图设计阶段各标段的建安费之和与总预算(若无总预算按概算批复)中建安费比例进行控制支付。</w:t>
      </w:r>
    </w:p>
    <w:p>
      <w:pPr>
        <w:spacing w:line="360" w:lineRule="auto"/>
        <w:ind w:firstLine="420" w:firstLineChars="200"/>
        <w:rPr>
          <w:rFonts w:ascii="宋体" w:hAnsi="宋体" w:cs="宋体"/>
          <w:color w:val="auto"/>
          <w:kern w:val="2"/>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若勘察设计人为联合体，预付款由联合体勘察单位和联合体设计单位分别向发包人提出支付申请，发包人向财政申请直接支付给联合体勘察单位和联合体设计单位。</w:t>
      </w:r>
    </w:p>
    <w:p>
      <w:pPr>
        <w:pStyle w:val="14"/>
        <w:rPr>
          <w:rFonts w:hint="eastAsia"/>
          <w:color w:val="auto"/>
          <w:highlight w:val="none"/>
        </w:rPr>
      </w:pP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17570"/>
      <w:bookmarkStart w:id="624" w:name="_Toc509766008"/>
      <w:bookmarkStart w:id="625" w:name="_Toc4643"/>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9095"/>
      <w:bookmarkStart w:id="627" w:name="_Toc30145"/>
      <w:r>
        <w:rPr>
          <w:rFonts w:hint="eastAsia" w:ascii="宋体" w:hAnsi="宋体" w:eastAsia="宋体" w:cs="宋体"/>
          <w:b/>
          <w:bCs/>
          <w:color w:val="auto"/>
          <w:sz w:val="24"/>
          <w:szCs w:val="24"/>
          <w:highlight w:val="none"/>
        </w:rPr>
        <w:t>14. 违约</w:t>
      </w:r>
      <w:bookmarkEnd w:id="626"/>
      <w:bookmarkEnd w:id="627"/>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17461"/>
      <w:bookmarkStart w:id="629" w:name="_Toc6019"/>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color w:val="auto"/>
          <w:sz w:val="21"/>
          <w:szCs w:val="21"/>
          <w:highlight w:val="none"/>
        </w:rPr>
        <w:t>勘察设计人应支付</w:t>
      </w:r>
      <w:r>
        <w:rPr>
          <w:rFonts w:hint="eastAsia" w:ascii="宋体" w:hAnsi="宋体"/>
          <w:color w:val="auto"/>
          <w:sz w:val="21"/>
          <w:szCs w:val="21"/>
          <w:highlight w:val="none"/>
          <w:u w:val="single"/>
          <w:lang w:val="en-US" w:eastAsia="zh-CN"/>
        </w:rPr>
        <w:t>2000元/天</w:t>
      </w:r>
      <w:r>
        <w:rPr>
          <w:rFonts w:ascii="宋体" w:hAnsi="宋体"/>
          <w:color w:val="auto"/>
          <w:sz w:val="21"/>
          <w:szCs w:val="21"/>
          <w:highlight w:val="none"/>
        </w:rPr>
        <w:t>逾期违约金</w:t>
      </w:r>
      <w:r>
        <w:rPr>
          <w:rFonts w:hint="eastAsia" w:ascii="宋体" w:hAnsi="宋体"/>
          <w:color w:val="auto"/>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天），发现未驻地服务或驻地服务达不到要求的，勘察设计人应支付</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10832"/>
      <w:bookmarkStart w:id="631" w:name="_Toc602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4"/>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509766009"/>
      <w:bookmarkStart w:id="633" w:name="_Toc8626"/>
      <w:bookmarkStart w:id="634" w:name="_Toc863"/>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4"/>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19013"/>
      <w:bookmarkStart w:id="636" w:name="_Toc5818"/>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8497"/>
      <w:bookmarkStart w:id="638" w:name="_Toc16635"/>
      <w:bookmarkStart w:id="639" w:name="_Toc509766010"/>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4"/>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31356"/>
      <w:bookmarkStart w:id="641" w:name="_Toc509766011"/>
      <w:bookmarkStart w:id="642" w:name="_Toc23380"/>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水土保持专项编制</w:t>
      </w:r>
      <w:r>
        <w:rPr>
          <w:rFonts w:hint="eastAsia" w:ascii="宋体" w:hAnsi="宋体"/>
          <w:color w:val="auto"/>
          <w:szCs w:val="21"/>
          <w:highlight w:val="none"/>
        </w:rPr>
        <w:t>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hint="eastAsia"/>
          <w:color w:val="auto"/>
          <w:sz w:val="21"/>
          <w:highlight w:val="none"/>
          <w:u w:val="single"/>
          <w:lang w:val="en-US"/>
        </w:rPr>
        <w:t>自合同签订次日起</w:t>
      </w:r>
      <w:r>
        <w:rPr>
          <w:rFonts w:hint="eastAsia" w:ascii="宋体" w:hAnsi="宋体"/>
          <w:i w:val="0"/>
          <w:iCs/>
          <w:color w:val="auto"/>
          <w:sz w:val="21"/>
          <w:szCs w:val="21"/>
          <w:highlight w:val="none"/>
          <w:lang w:eastAsia="zh-CN"/>
        </w:rPr>
        <w:t>；</w:t>
      </w:r>
      <w:r>
        <w:rPr>
          <w:rFonts w:ascii="宋体" w:hAnsi="宋体"/>
          <w:iCs/>
          <w:color w:val="auto"/>
          <w:szCs w:val="21"/>
          <w:highlight w:val="none"/>
        </w:rPr>
        <w:t>勘察设计服务期限从</w:t>
      </w:r>
      <w:r>
        <w:rPr>
          <w:rFonts w:ascii="宋体" w:hAnsi="宋体"/>
          <w:iCs/>
          <w:color w:val="auto"/>
          <w:szCs w:val="21"/>
          <w:highlight w:val="none"/>
          <w:u w:val="single"/>
        </w:rPr>
        <w:t>签订合同之日起至项目竣工验收止</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bookmarkStart w:id="643" w:name="_Toc152042550"/>
      <w:bookmarkStart w:id="644" w:name="_Toc14497483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highlight w:val="none"/>
        </w:rPr>
      </w:pPr>
      <w:r>
        <w:rPr>
          <w:rFonts w:ascii="Times New Roman" w:hAnsi="Times New Roman"/>
          <w:i w:val="0"/>
          <w:iCs/>
          <w:color w:val="auto"/>
          <w:sz w:val="21"/>
          <w:szCs w:val="21"/>
          <w:highlight w:val="none"/>
        </w:rPr>
        <w:br w:type="page"/>
      </w:r>
      <w:bookmarkStart w:id="646" w:name="_Toc491798523"/>
      <w:bookmarkStart w:id="647" w:name="_Toc26688"/>
      <w:bookmarkStart w:id="648" w:name="_Toc509766012"/>
      <w:r>
        <w:rPr>
          <w:rFonts w:hint="eastAsia" w:ascii="宋体" w:hAnsi="宋体"/>
          <w:b/>
          <w:bCs/>
          <w:color w:val="auto"/>
          <w:sz w:val="24"/>
          <w:szCs w:val="24"/>
          <w:highlight w:val="none"/>
        </w:rPr>
        <w:t>附件二：履约保证金格式</w:t>
      </w:r>
      <w:bookmarkEnd w:id="646"/>
      <w:bookmarkEnd w:id="647"/>
      <w:bookmarkEnd w:id="648"/>
    </w:p>
    <w:p>
      <w:pPr>
        <w:spacing w:line="440" w:lineRule="exact"/>
        <w:ind w:right="46" w:rightChars="22"/>
        <w:rPr>
          <w:rFonts w:ascii="宋体" w:hAnsi="宋体"/>
          <w:color w:val="auto"/>
          <w:sz w:val="24"/>
          <w:szCs w:val="24"/>
          <w:highlight w:val="none"/>
        </w:rPr>
      </w:pPr>
      <w:r>
        <w:rPr>
          <w:rFonts w:ascii="宋体" w:hAnsi="宋体"/>
          <w:color w:val="auto"/>
          <w:sz w:val="24"/>
          <w:szCs w:val="24"/>
          <w:highlight w:val="none"/>
        </w:rPr>
        <w:t>如采用银行保函，</w:t>
      </w:r>
      <w:r>
        <w:rPr>
          <w:rFonts w:hint="eastAsia" w:ascii="宋体" w:hAnsi="宋体"/>
          <w:color w:val="auto"/>
          <w:sz w:val="24"/>
          <w:szCs w:val="24"/>
          <w:highlight w:val="none"/>
        </w:rPr>
        <w:t>参考</w:t>
      </w:r>
      <w:r>
        <w:rPr>
          <w:rFonts w:ascii="宋体" w:hAnsi="宋体"/>
          <w:color w:val="auto"/>
          <w:sz w:val="24"/>
          <w:szCs w:val="24"/>
          <w:highlight w:val="none"/>
        </w:rPr>
        <w:t>格式如下。</w:t>
      </w:r>
    </w:p>
    <w:p>
      <w:pPr>
        <w:pStyle w:val="35"/>
        <w:rPr>
          <w:color w:val="auto"/>
          <w:highlight w:val="none"/>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369531685"/>
      <w:bookmarkStart w:id="650" w:name="_Toc184635123"/>
      <w:bookmarkStart w:id="651" w:name="_Toc246997079"/>
      <w:bookmarkStart w:id="652" w:name="_Toc246996336"/>
      <w:bookmarkStart w:id="653" w:name="_Toc361231267"/>
      <w:bookmarkStart w:id="654" w:name="_Toc296602586"/>
      <w:bookmarkStart w:id="655" w:name="_Toc300835200"/>
      <w:bookmarkStart w:id="656" w:name="_Toc384308366"/>
      <w:bookmarkStart w:id="657" w:name="_Toc15620"/>
      <w:bookmarkStart w:id="658" w:name="_Toc361508743"/>
      <w:bookmarkStart w:id="659" w:name="_Toc247527799"/>
      <w:bookmarkStart w:id="660" w:name="_Toc247514198"/>
      <w:bookmarkStart w:id="661" w:name="_Toc247085851"/>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5746"/>
      <w:bookmarkStart w:id="663" w:name="_Toc152042547"/>
      <w:bookmarkStart w:id="664" w:name="_Toc246997080"/>
      <w:bookmarkStart w:id="665" w:name="_Toc247085852"/>
      <w:bookmarkStart w:id="666" w:name="_Toc361508744"/>
      <w:bookmarkStart w:id="667" w:name="_Toc247514199"/>
      <w:bookmarkStart w:id="668" w:name="_Toc246996337"/>
      <w:bookmarkStart w:id="669" w:name="_Toc361231268"/>
      <w:bookmarkStart w:id="670" w:name="_Toc384308367"/>
      <w:bookmarkStart w:id="671" w:name="_Toc369531686"/>
      <w:bookmarkStart w:id="672" w:name="_Toc247527800"/>
      <w:bookmarkStart w:id="673" w:name="_Toc152045768"/>
      <w:bookmarkStart w:id="674" w:name="_Toc300835201"/>
      <w:bookmarkStart w:id="675" w:name="_Toc144974827"/>
      <w:bookmarkStart w:id="676" w:name="_Toc179632786"/>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5"/>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 因本保函发生的纠纷，可由双方协商解决，协商不成的，任何一方均可</w:t>
      </w:r>
      <w:r>
        <w:rPr>
          <w:rFonts w:hint="eastAsia" w:ascii="宋体" w:hAnsi="宋体" w:cs="宋体"/>
          <w:color w:val="auto"/>
          <w:sz w:val="24"/>
          <w:szCs w:val="24"/>
          <w:highlight w:val="none"/>
          <w:lang w:val="en-US" w:eastAsia="zh-CN"/>
        </w:rPr>
        <w:t>向项目所在地人民法院提起诉讼。</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highlight w:val="none"/>
        </w:rPr>
      </w:pPr>
      <w:r>
        <w:rPr>
          <w:rFonts w:hint="eastAsia" w:ascii="宋体" w:hAnsi="宋体" w:cs="宋体"/>
          <w:b/>
          <w:color w:val="auto"/>
          <w:sz w:val="24"/>
          <w:szCs w:val="24"/>
          <w:highlight w:val="none"/>
        </w:rPr>
        <w:br w:type="page"/>
      </w:r>
    </w:p>
    <w:p>
      <w:pPr>
        <w:pStyle w:val="4"/>
        <w:pageBreakBefore/>
        <w:numPr>
          <w:ilvl w:val="2"/>
          <w:numId w:val="0"/>
        </w:numPr>
        <w:spacing w:line="413"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：廉政协议</w:t>
      </w:r>
    </w:p>
    <w:p>
      <w:pPr>
        <w:spacing w:before="120" w:beforeLines="50"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水利工程建设项目廉政建设责任书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工程项目名称：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工程项目地址： </w:t>
      </w:r>
    </w:p>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 xml:space="preserve">(甲方)： </w:t>
      </w:r>
    </w:p>
    <w:p>
      <w:pPr>
        <w:widowControl/>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勘察设计人</w:t>
      </w:r>
      <w:r>
        <w:rPr>
          <w:rFonts w:hint="eastAsia" w:ascii="宋体" w:hAnsi="宋体" w:eastAsia="宋体" w:cs="宋体"/>
          <w:color w:val="auto"/>
          <w:highlight w:val="none"/>
        </w:rPr>
        <w:t xml:space="preserve">(乙方)： </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本合同有效期为甲乙双方签署之日起至本合同工程所有工作已完成、付完全部款项后为止。</w:t>
      </w:r>
    </w:p>
    <w:p>
      <w:pPr>
        <w:pStyle w:val="10"/>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w:t>
      </w:r>
      <w:r>
        <w:rPr>
          <w:rFonts w:hint="eastAsia" w:ascii="宋体" w:hAnsi="宋体" w:cs="Times New Roman"/>
          <w:color w:val="auto"/>
          <w:kern w:val="2"/>
          <w:sz w:val="21"/>
          <w:szCs w:val="21"/>
          <w:highlight w:val="none"/>
          <w:lang w:val="en-US" w:eastAsia="zh-CN" w:bidi="ar-SA"/>
        </w:rPr>
        <w:t>六</w:t>
      </w:r>
      <w:r>
        <w:rPr>
          <w:rFonts w:hint="default" w:ascii="宋体" w:hAnsi="宋体" w:eastAsia="宋体" w:cs="Times New Roman"/>
          <w:color w:val="auto"/>
          <w:kern w:val="2"/>
          <w:sz w:val="21"/>
          <w:szCs w:val="21"/>
          <w:highlight w:val="none"/>
          <w:lang w:val="en-US" w:eastAsia="zh-CN" w:bidi="ar-SA"/>
        </w:rPr>
        <w:t>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2" w:firstLineChars="200"/>
        <w:rPr>
          <w:rFonts w:hint="eastAsia" w:ascii="宋体" w:hAnsi="宋体" w:eastAsia="宋体" w:cs="宋体"/>
          <w:b/>
          <w:strike/>
          <w:dstrike w:val="0"/>
          <w:color w:val="auto"/>
          <w:highlight w:val="none"/>
        </w:rPr>
      </w:pPr>
    </w:p>
    <w:p>
      <w:pPr>
        <w:spacing w:line="360" w:lineRule="auto"/>
        <w:ind w:left="645"/>
        <w:rPr>
          <w:rFonts w:hint="eastAsia" w:ascii="宋体" w:hAnsi="宋体" w:eastAsia="宋体" w:cs="宋体"/>
          <w:color w:val="auto"/>
          <w:highlight w:val="none"/>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联系地址： </w:t>
            </w:r>
          </w:p>
          <w:p>
            <w:pPr>
              <w:adjustRightInd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联系电话： </w:t>
            </w:r>
          </w:p>
          <w:p>
            <w:pPr>
              <w:adjustRightInd w:val="0"/>
              <w:snapToGrid w:val="0"/>
              <w:spacing w:line="360" w:lineRule="auto"/>
              <w:ind w:right="420"/>
              <w:jc w:val="right"/>
              <w:rPr>
                <w:rStyle w:val="36"/>
                <w:rFonts w:hint="eastAsia" w:ascii="宋体" w:hAnsi="宋体" w:eastAsia="宋体" w:cs="宋体"/>
                <w:iCs w:val="0"/>
                <w:color w:val="auto"/>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c>
          <w:tcPr>
            <w:tcW w:w="4320"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adjustRightInd w:val="0"/>
              <w:snapToGrid w:val="0"/>
              <w:spacing w:line="360" w:lineRule="auto"/>
              <w:ind w:right="315"/>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r>
    </w:tbl>
    <w:p>
      <w:pPr>
        <w:pStyle w:val="15"/>
        <w:ind w:left="0" w:leftChars="0" w:firstLine="0" w:firstLineChars="0"/>
        <w:rPr>
          <w:rFonts w:hint="eastAsia"/>
          <w:color w:val="auto"/>
          <w:highlight w:val="none"/>
        </w:rPr>
      </w:pPr>
    </w:p>
    <w:p>
      <w:pPr>
        <w:rPr>
          <w:rFonts w:ascii="Times New Roman" w:hAnsi="Times New Roman"/>
          <w:color w:val="auto"/>
          <w:highlight w:val="none"/>
        </w:rPr>
      </w:pPr>
      <w:r>
        <w:rPr>
          <w:rFonts w:ascii="Times New Roman" w:hAnsi="Times New Roman"/>
          <w:color w:val="auto"/>
          <w:highlight w:val="none"/>
        </w:rPr>
        <w:br w:type="page"/>
      </w:r>
    </w:p>
    <w:p>
      <w:pPr>
        <w:pStyle w:val="3"/>
        <w:spacing w:before="120" w:after="120" w:line="240" w:lineRule="auto"/>
        <w:ind w:right="46" w:rightChars="22"/>
        <w:jc w:val="center"/>
        <w:rPr>
          <w:rFonts w:ascii="宋体" w:hAnsi="宋体"/>
          <w:color w:val="auto"/>
          <w:sz w:val="32"/>
          <w:szCs w:val="32"/>
          <w:highlight w:val="none"/>
        </w:rPr>
      </w:pPr>
      <w:bookmarkStart w:id="677" w:name="_Toc509766013"/>
      <w:r>
        <w:rPr>
          <w:rFonts w:hint="eastAsia" w:ascii="宋体" w:hAnsi="宋体"/>
          <w:color w:val="auto"/>
          <w:sz w:val="44"/>
          <w:szCs w:val="44"/>
          <w:highlight w:val="none"/>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0"/>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初步设计报告、地质勘察报告、图纸及工程概算书等符合 </w:t>
      </w:r>
      <w:r>
        <w:rPr>
          <w:rFonts w:hint="eastAsia" w:ascii="宋体" w:hAnsi="宋体" w:eastAsia="宋体" w:cs="宋体"/>
          <w:color w:val="auto"/>
          <w:spacing w:val="-3"/>
          <w:sz w:val="21"/>
          <w:szCs w:val="21"/>
          <w:highlight w:val="none"/>
        </w:rPr>
        <w:t>SL</w:t>
      </w:r>
      <w:r>
        <w:rPr>
          <w:rFonts w:hint="eastAsia" w:ascii="宋体" w:hAnsi="宋体" w:eastAsia="宋体" w:cs="宋体"/>
          <w:color w:val="auto"/>
          <w:spacing w:val="-3"/>
          <w:sz w:val="21"/>
          <w:szCs w:val="21"/>
          <w:highlight w:val="none"/>
          <w:lang w:val="en-US"/>
        </w:rPr>
        <w:t>T</w:t>
      </w:r>
      <w:r>
        <w:rPr>
          <w:rFonts w:hint="eastAsia" w:ascii="宋体" w:hAnsi="宋体" w:eastAsia="宋体" w:cs="宋体"/>
          <w:color w:val="auto"/>
          <w:spacing w:val="-3"/>
          <w:sz w:val="21"/>
          <w:szCs w:val="21"/>
          <w:highlight w:val="none"/>
        </w:rPr>
        <w:t>619-20</w:t>
      </w:r>
      <w:r>
        <w:rPr>
          <w:rFonts w:hint="eastAsia" w:ascii="宋体" w:hAnsi="宋体" w:eastAsia="宋体" w:cs="宋体"/>
          <w:color w:val="auto"/>
          <w:spacing w:val="-3"/>
          <w:sz w:val="21"/>
          <w:szCs w:val="21"/>
          <w:highlight w:val="none"/>
          <w:lang w:val="en-US"/>
        </w:rPr>
        <w:t>21</w:t>
      </w:r>
      <w:r>
        <w:rPr>
          <w:rFonts w:hint="eastAsia" w:ascii="宋体" w:hAnsi="宋体" w:eastAsia="宋体" w:cs="宋体"/>
          <w:color w:val="auto"/>
          <w:spacing w:val="-3"/>
          <w:sz w:val="21"/>
          <w:szCs w:val="21"/>
          <w:highlight w:val="none"/>
        </w:rPr>
        <w:t>《水利水电工程初步设计</w:t>
      </w:r>
      <w:r>
        <w:rPr>
          <w:rFonts w:hint="eastAsia" w:ascii="宋体" w:hAnsi="宋体" w:eastAsia="宋体" w:cs="宋体"/>
          <w:color w:val="auto"/>
          <w:spacing w:val="-4"/>
          <w:sz w:val="21"/>
          <w:szCs w:val="21"/>
          <w:highlight w:val="none"/>
        </w:rPr>
        <w:t>报告编制规程》及国家和行业的规定，相应的技术规范和技术条款等其他成果资料符合现行国家和</w:t>
      </w:r>
      <w:r>
        <w:rPr>
          <w:rFonts w:hint="eastAsia" w:ascii="宋体" w:hAnsi="宋体" w:eastAsia="宋体" w:cs="宋体"/>
          <w:color w:val="auto"/>
          <w:spacing w:val="-3"/>
          <w:sz w:val="21"/>
          <w:szCs w:val="21"/>
          <w:highlight w:val="none"/>
        </w:rPr>
        <w:t>行业的规定。</w:t>
      </w:r>
    </w:p>
    <w:p>
      <w:pPr>
        <w:pStyle w:val="10"/>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现行的规程、规范技术标准，主要包括(但不限于，如有更新则执行最新标准)： </w:t>
      </w:r>
    </w:p>
    <w:p>
      <w:pPr>
        <w:pStyle w:val="10"/>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《防洪标准》GB50201-2014；</w:t>
      </w:r>
    </w:p>
    <w:p>
      <w:pPr>
        <w:pStyle w:val="10"/>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《水利水电工程等级划分及洪水标准》(SL252-2017)；</w:t>
      </w:r>
    </w:p>
    <w:p>
      <w:pPr>
        <w:pStyle w:val="10"/>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《堤防工程设计规范》(GB50286-2013)；</w:t>
      </w:r>
    </w:p>
    <w:p>
      <w:pPr>
        <w:pStyle w:val="10"/>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《水闸设计规范》(SL265-2016)；</w:t>
      </w:r>
    </w:p>
    <w:p>
      <w:pPr>
        <w:pStyle w:val="38"/>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《水工挡土墙设计规范》</w:t>
      </w:r>
      <w:r>
        <w:rPr>
          <w:rFonts w:hint="eastAsia" w:ascii="宋体" w:hAnsi="宋体" w:eastAsia="宋体" w:cs="宋体"/>
          <w:color w:val="auto"/>
          <w:sz w:val="21"/>
          <w:szCs w:val="21"/>
          <w:highlight w:val="none"/>
        </w:rPr>
        <w:t>(SL379-2007)；</w:t>
      </w:r>
    </w:p>
    <w:p>
      <w:pPr>
        <w:pStyle w:val="38"/>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《水工混凝土结构设计规范》</w:t>
      </w:r>
      <w:r>
        <w:rPr>
          <w:rFonts w:hint="eastAsia" w:ascii="宋体" w:hAnsi="宋体" w:eastAsia="宋体" w:cs="宋体"/>
          <w:color w:val="auto"/>
          <w:sz w:val="21"/>
          <w:szCs w:val="21"/>
          <w:highlight w:val="none"/>
        </w:rPr>
        <w:t>SL191-2008；</w:t>
      </w:r>
    </w:p>
    <w:p>
      <w:pPr>
        <w:pStyle w:val="38"/>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《水工建筑物抗震设计</w:t>
      </w:r>
      <w:r>
        <w:rPr>
          <w:rFonts w:hint="eastAsia" w:ascii="宋体" w:hAnsi="宋体" w:eastAsia="宋体" w:cs="宋体"/>
          <w:color w:val="auto"/>
          <w:spacing w:val="-3"/>
          <w:sz w:val="21"/>
          <w:szCs w:val="21"/>
          <w:highlight w:val="none"/>
          <w:lang w:val="en-US" w:eastAsia="zh-CN"/>
        </w:rPr>
        <w:t>标准</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GB51247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《水工建筑物荷载设计规范》</w:t>
      </w:r>
      <w:r>
        <w:rPr>
          <w:rFonts w:hint="eastAsia" w:ascii="宋体" w:hAnsi="宋体" w:eastAsia="宋体" w:cs="宋体"/>
          <w:color w:val="auto"/>
          <w:sz w:val="21"/>
          <w:szCs w:val="21"/>
          <w:highlight w:val="none"/>
        </w:rPr>
        <w:t>(DL5077-1997)；</w:t>
      </w:r>
    </w:p>
    <w:p>
      <w:pPr>
        <w:pStyle w:val="38"/>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《建筑地基基础设计规范》(</w:t>
      </w:r>
      <w:r>
        <w:rPr>
          <w:rFonts w:hint="eastAsia" w:ascii="宋体" w:hAnsi="宋体" w:eastAsia="宋体" w:cs="宋体"/>
          <w:color w:val="auto"/>
          <w:sz w:val="21"/>
          <w:szCs w:val="21"/>
          <w:highlight w:val="none"/>
        </w:rPr>
        <w:t>GB50007-2011)；</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《建筑地基处理技术规范》</w:t>
      </w:r>
      <w:r>
        <w:rPr>
          <w:rFonts w:hint="eastAsia" w:ascii="宋体" w:hAnsi="宋体" w:eastAsia="宋体" w:cs="宋体"/>
          <w:color w:val="auto"/>
          <w:sz w:val="21"/>
          <w:szCs w:val="21"/>
          <w:highlight w:val="none"/>
        </w:rPr>
        <w:t>(JGJ</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79-2012)；</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《建筑桩基技术规范》</w:t>
      </w:r>
      <w:r>
        <w:rPr>
          <w:rFonts w:hint="eastAsia" w:ascii="宋体" w:hAnsi="宋体" w:eastAsia="宋体" w:cs="宋体"/>
          <w:color w:val="auto"/>
          <w:sz w:val="21"/>
          <w:szCs w:val="21"/>
          <w:highlight w:val="none"/>
        </w:rPr>
        <w:t>(JGJ94-2008)；</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《水利水电工程设计工程量计算规定》(</w:t>
      </w:r>
      <w:r>
        <w:rPr>
          <w:rFonts w:hint="eastAsia" w:ascii="宋体" w:hAnsi="宋体" w:eastAsia="宋体" w:cs="宋体"/>
          <w:color w:val="auto"/>
          <w:sz w:val="21"/>
          <w:szCs w:val="21"/>
          <w:highlight w:val="none"/>
        </w:rPr>
        <w:t>SL328-2005)；</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《水利水电工程可行性研究报告编制规程》(</w:t>
      </w:r>
      <w:r>
        <w:rPr>
          <w:rFonts w:hint="eastAsia" w:ascii="宋体" w:hAnsi="宋体" w:eastAsia="宋体" w:cs="宋体"/>
          <w:color w:val="auto"/>
          <w:sz w:val="21"/>
          <w:szCs w:val="21"/>
          <w:highlight w:val="none"/>
        </w:rPr>
        <w:t>SL618-20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《中国地震动参数区划图》</w:t>
      </w:r>
      <w:r>
        <w:rPr>
          <w:rFonts w:hint="eastAsia" w:ascii="宋体" w:hAnsi="宋体" w:eastAsia="宋体" w:cs="宋体"/>
          <w:color w:val="auto"/>
          <w:sz w:val="21"/>
          <w:szCs w:val="21"/>
          <w:highlight w:val="none"/>
        </w:rPr>
        <w:t>(GB18306-2015)；</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《水利水电工程钢闸门设计规范》(</w:t>
      </w:r>
      <w:r>
        <w:rPr>
          <w:rFonts w:hint="eastAsia" w:ascii="宋体" w:hAnsi="宋体" w:eastAsia="宋体" w:cs="宋体"/>
          <w:color w:val="auto"/>
          <w:sz w:val="21"/>
          <w:szCs w:val="21"/>
          <w:highlight w:val="none"/>
        </w:rPr>
        <w:t>SL74-2013)；</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《水利水电工程启闭机设计规范》(</w:t>
      </w:r>
      <w:r>
        <w:rPr>
          <w:rFonts w:hint="eastAsia" w:ascii="宋体" w:hAnsi="宋体" w:eastAsia="宋体" w:cs="宋体"/>
          <w:color w:val="auto"/>
          <w:sz w:val="21"/>
          <w:szCs w:val="21"/>
          <w:highlight w:val="none"/>
        </w:rPr>
        <w:t>SL 41-201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《水利水电工程施工组织设计规范》</w:t>
      </w:r>
      <w:r>
        <w:rPr>
          <w:rFonts w:hint="eastAsia" w:ascii="宋体" w:hAnsi="宋体" w:eastAsia="宋体" w:cs="宋体"/>
          <w:color w:val="auto"/>
          <w:sz w:val="21"/>
          <w:szCs w:val="21"/>
          <w:highlight w:val="none"/>
        </w:rPr>
        <w:t>(SL303-20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《水电水利工程施工交通设计导则》</w:t>
      </w:r>
      <w:r>
        <w:rPr>
          <w:rFonts w:hint="eastAsia" w:ascii="宋体" w:hAnsi="宋体" w:eastAsia="宋体" w:cs="宋体"/>
          <w:color w:val="auto"/>
          <w:sz w:val="21"/>
          <w:szCs w:val="21"/>
          <w:highlight w:val="none"/>
        </w:rPr>
        <w:t>(DL/T5134-2001)；</w:t>
      </w:r>
    </w:p>
    <w:p>
      <w:pPr>
        <w:pStyle w:val="38"/>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《水利水电工程设计防火规范》</w:t>
      </w:r>
      <w:r>
        <w:rPr>
          <w:rFonts w:hint="eastAsia" w:ascii="宋体" w:hAnsi="宋体" w:eastAsia="宋体" w:cs="宋体"/>
          <w:color w:val="auto"/>
          <w:sz w:val="21"/>
          <w:szCs w:val="21"/>
          <w:highlight w:val="none"/>
        </w:rPr>
        <w:t>(GB50872-2014)；</w:t>
      </w:r>
    </w:p>
    <w:p>
      <w:pPr>
        <w:pStyle w:val="10"/>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《建筑设计防火规范》(GB50016-2014)；</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《水利水电工程环境保护设计规范》</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492-2011)；</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《水利水电工程环境保护概估算编制规程》(</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359-2006)；</w:t>
      </w:r>
      <w:r>
        <w:rPr>
          <w:rFonts w:hint="eastAsia" w:ascii="宋体" w:hAnsi="宋体" w:eastAsia="宋体" w:cs="宋体"/>
          <w:color w:val="auto"/>
          <w:sz w:val="21"/>
          <w:szCs w:val="21"/>
          <w:highlight w:val="none"/>
          <w:lang w:val="en-US" w:eastAsia="zh-CN"/>
        </w:rPr>
        <w:t xml:space="preserve">       </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《水利建设项目经济评价规范》</w:t>
      </w:r>
      <w:r>
        <w:rPr>
          <w:rFonts w:hint="eastAsia" w:ascii="宋体" w:hAnsi="宋体" w:eastAsia="宋体" w:cs="宋体"/>
          <w:color w:val="auto"/>
          <w:sz w:val="21"/>
          <w:szCs w:val="21"/>
          <w:highlight w:val="none"/>
        </w:rPr>
        <w:t>(SL72-2013)；</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《开发建设项目水土保持技术规范》</w:t>
      </w:r>
      <w:r>
        <w:rPr>
          <w:rFonts w:hint="eastAsia" w:ascii="宋体" w:hAnsi="宋体" w:eastAsia="宋体" w:cs="宋体"/>
          <w:color w:val="auto"/>
          <w:sz w:val="21"/>
          <w:szCs w:val="21"/>
          <w:highlight w:val="none"/>
        </w:rPr>
        <w:t>(GB50433-2008)；</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《水利水电工程水库淹没实物指标调查细则》；</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《水利水电工程劳动安全与工业卫生设计规范》</w:t>
      </w:r>
      <w:r>
        <w:rPr>
          <w:rFonts w:hint="eastAsia" w:ascii="宋体" w:hAnsi="宋体" w:eastAsia="宋体" w:cs="宋体"/>
          <w:color w:val="auto"/>
          <w:sz w:val="21"/>
          <w:szCs w:val="21"/>
          <w:highlight w:val="none"/>
        </w:rPr>
        <w:t>(GB50706-2011)；</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《水利工程设计概(估)算编制规定》(水利部 </w:t>
      </w:r>
      <w:r>
        <w:rPr>
          <w:rFonts w:hint="eastAsia" w:ascii="宋体" w:hAnsi="宋体" w:eastAsia="宋体" w:cs="宋体"/>
          <w:color w:val="auto"/>
          <w:sz w:val="21"/>
          <w:szCs w:val="21"/>
          <w:highlight w:val="none"/>
        </w:rPr>
        <w:t>2014</w:t>
      </w:r>
      <w:r>
        <w:rPr>
          <w:rFonts w:hint="eastAsia" w:ascii="宋体" w:hAnsi="宋体" w:eastAsia="宋体" w:cs="宋体"/>
          <w:color w:val="auto"/>
          <w:spacing w:val="-10"/>
          <w:sz w:val="21"/>
          <w:szCs w:val="21"/>
          <w:highlight w:val="none"/>
        </w:rPr>
        <w:t>年颁布)；</w:t>
      </w:r>
    </w:p>
    <w:p>
      <w:pPr>
        <w:pStyle w:val="38"/>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《广东省水利水电工程设计概(估) 算编制规定》(</w:t>
      </w:r>
      <w:r>
        <w:rPr>
          <w:rFonts w:hint="eastAsia" w:ascii="宋体" w:hAnsi="宋体" w:eastAsia="宋体" w:cs="宋体"/>
          <w:color w:val="auto"/>
          <w:spacing w:val="-3"/>
          <w:sz w:val="21"/>
          <w:szCs w:val="21"/>
          <w:highlight w:val="none"/>
          <w:lang w:val="en-US" w:eastAsia="zh-CN"/>
        </w:rPr>
        <w:t>2017</w:t>
      </w:r>
      <w:r>
        <w:rPr>
          <w:rFonts w:hint="eastAsia" w:ascii="宋体" w:hAnsi="宋体" w:eastAsia="宋体" w:cs="宋体"/>
          <w:color w:val="auto"/>
          <w:spacing w:val="-3"/>
          <w:sz w:val="21"/>
          <w:szCs w:val="21"/>
          <w:highlight w:val="none"/>
        </w:rPr>
        <w:t xml:space="preserve">)； </w:t>
      </w:r>
    </w:p>
    <w:p>
      <w:pPr>
        <w:pStyle w:val="38"/>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29)《水利水电工程初步设计报告编制规程》(</w:t>
      </w:r>
      <w:r>
        <w:rPr>
          <w:rFonts w:hint="eastAsia" w:ascii="宋体" w:hAnsi="宋体" w:eastAsia="宋体" w:cs="宋体"/>
          <w:color w:val="auto"/>
          <w:sz w:val="21"/>
          <w:szCs w:val="21"/>
          <w:highlight w:val="none"/>
        </w:rPr>
        <w:t>SL619-20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p>
      <w:pPr>
        <w:pStyle w:val="38"/>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《灌区改造技术</w:t>
      </w:r>
      <w:r>
        <w:rPr>
          <w:rFonts w:hint="eastAsia" w:ascii="宋体" w:hAnsi="宋体" w:cs="宋体"/>
          <w:color w:val="auto"/>
          <w:sz w:val="21"/>
          <w:szCs w:val="21"/>
          <w:highlight w:val="none"/>
          <w:lang w:val="en-US" w:eastAsia="zh-CN"/>
        </w:rPr>
        <w:t>标准</w:t>
      </w:r>
      <w:r>
        <w:rPr>
          <w:rFonts w:hint="eastAsia" w:ascii="宋体" w:hAnsi="宋体" w:eastAsia="宋体" w:cs="宋体"/>
          <w:color w:val="auto"/>
          <w:sz w:val="21"/>
          <w:szCs w:val="21"/>
          <w:highlight w:val="none"/>
          <w:lang w:val="en-US" w:eastAsia="zh-CN"/>
        </w:rPr>
        <w:t>》(GB</w:t>
      </w:r>
      <w:r>
        <w:rPr>
          <w:rFonts w:hint="eastAsia" w:ascii="宋体" w:hAnsi="宋体" w:cs="宋体"/>
          <w:color w:val="auto"/>
          <w:sz w:val="21"/>
          <w:szCs w:val="21"/>
          <w:highlight w:val="none"/>
          <w:lang w:val="en-US" w:eastAsia="zh-CN"/>
        </w:rPr>
        <w:t>/T</w:t>
      </w:r>
      <w:r>
        <w:rPr>
          <w:rFonts w:hint="eastAsia" w:ascii="宋体" w:hAnsi="宋体" w:eastAsia="宋体" w:cs="宋体"/>
          <w:color w:val="auto"/>
          <w:sz w:val="21"/>
          <w:szCs w:val="21"/>
          <w:highlight w:val="none"/>
          <w:lang w:val="en-US" w:eastAsia="zh-CN"/>
        </w:rPr>
        <w:t>50599-2020)</w:t>
      </w:r>
      <w:r>
        <w:rPr>
          <w:rFonts w:hint="eastAsia" w:ascii="宋体" w:hAnsi="宋体" w:cs="宋体"/>
          <w:color w:val="auto"/>
          <w:sz w:val="21"/>
          <w:szCs w:val="21"/>
          <w:highlight w:val="none"/>
          <w:lang w:val="en-US" w:eastAsia="zh-CN"/>
        </w:rPr>
        <w:t>；</w:t>
      </w:r>
    </w:p>
    <w:p>
      <w:pPr>
        <w:pStyle w:val="38"/>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《灌溉与排水工程设计标准》(GB 50288-2018)</w:t>
      </w:r>
      <w:r>
        <w:rPr>
          <w:rFonts w:hint="eastAsia" w:ascii="宋体" w:hAnsi="宋体" w:cs="宋体"/>
          <w:color w:val="auto"/>
          <w:sz w:val="21"/>
          <w:szCs w:val="21"/>
          <w:highlight w:val="none"/>
          <w:lang w:val="en-US" w:eastAsia="zh-CN"/>
        </w:rPr>
        <w:t>；</w:t>
      </w:r>
    </w:p>
    <w:p>
      <w:pPr>
        <w:pStyle w:val="14"/>
        <w:rPr>
          <w:rFonts w:hint="eastAsia"/>
          <w:color w:val="auto"/>
          <w:highlight w:val="none"/>
        </w:rPr>
      </w:pP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p>
    <w:p>
      <w:pPr>
        <w:spacing w:line="360" w:lineRule="auto"/>
        <w:ind w:firstLine="422" w:firstLineChars="200"/>
        <w:rPr>
          <w:rFonts w:ascii="宋体" w:hAnsi="宋体"/>
          <w:color w:val="auto"/>
          <w:szCs w:val="21"/>
          <w:highlight w:val="none"/>
        </w:rPr>
      </w:pPr>
      <w:r>
        <w:rPr>
          <w:rFonts w:hint="eastAsia"/>
          <w:b/>
          <w:bCs/>
          <w:color w:val="auto"/>
          <w:highlight w:val="none"/>
          <w:lang w:val="en-US" w:eastAsia="zh-CN"/>
        </w:rPr>
        <w:t>注：本项目为四宗中型灌区</w:t>
      </w:r>
      <w:r>
        <w:rPr>
          <w:rFonts w:hint="eastAsia" w:ascii="宋体" w:hAnsi="宋体" w:eastAsia="宋体" w:cs="宋体"/>
          <w:b/>
          <w:bCs/>
          <w:color w:val="auto"/>
          <w:spacing w:val="-3"/>
          <w:kern w:val="2"/>
          <w:sz w:val="21"/>
          <w:szCs w:val="21"/>
          <w:highlight w:val="none"/>
          <w:lang w:val="en-US" w:eastAsia="zh-CN" w:bidi="ar-SA"/>
        </w:rPr>
        <w:t>续建配套与节水改造工程</w:t>
      </w:r>
      <w:r>
        <w:rPr>
          <w:rFonts w:hint="eastAsia" w:ascii="宋体" w:hAnsi="宋体" w:cs="宋体"/>
          <w:b/>
          <w:bCs/>
          <w:color w:val="auto"/>
          <w:spacing w:val="-3"/>
          <w:kern w:val="2"/>
          <w:sz w:val="21"/>
          <w:szCs w:val="21"/>
          <w:highlight w:val="none"/>
          <w:lang w:val="en-US" w:eastAsia="zh-CN" w:bidi="ar-SA"/>
        </w:rPr>
        <w:t>，初步设计文件编制时，需分灌区分册编制初步设计报告、地质勘察报告及概算书及图纸再进行合并。</w:t>
      </w:r>
      <w:r>
        <w:rPr>
          <w:rFonts w:ascii="Times New Roman" w:hAnsi="Times New Roman"/>
          <w:color w:val="auto"/>
          <w:highlight w:val="none"/>
        </w:rPr>
        <w:br w:type="page"/>
      </w:r>
    </w:p>
    <w:p>
      <w:pPr>
        <w:pStyle w:val="25"/>
        <w:rPr>
          <w:color w:val="auto"/>
          <w:highlight w:val="none"/>
        </w:rPr>
      </w:pPr>
    </w:p>
    <w:p>
      <w:pPr>
        <w:pStyle w:val="4"/>
        <w:numPr>
          <w:ilvl w:val="0"/>
          <w:numId w:val="0"/>
        </w:numPr>
        <w:autoSpaceDE w:val="0"/>
        <w:spacing w:before="20" w:after="20"/>
        <w:jc w:val="both"/>
        <w:outlineLvl w:val="9"/>
        <w:rPr>
          <w:rFonts w:hint="eastAsia" w:ascii="宋体" w:hAnsi="宋体" w:eastAsia="宋体"/>
          <w:color w:val="auto"/>
          <w:sz w:val="36"/>
          <w:szCs w:val="36"/>
          <w:highlight w:val="none"/>
        </w:rPr>
      </w:pPr>
    </w:p>
    <w:p>
      <w:pPr>
        <w:pStyle w:val="4"/>
        <w:numPr>
          <w:ilvl w:val="0"/>
          <w:numId w:val="0"/>
        </w:numPr>
        <w:autoSpaceDE w:val="0"/>
        <w:spacing w:before="20" w:after="20"/>
        <w:ind w:left="1136" w:hanging="1140" w:hangingChars="258"/>
        <w:jc w:val="center"/>
        <w:outlineLvl w:val="0"/>
        <w:rPr>
          <w:rFonts w:hint="eastAsia" w:ascii="宋体" w:hAnsi="宋体" w:eastAsia="宋体"/>
          <w:color w:val="auto"/>
          <w:sz w:val="44"/>
          <w:szCs w:val="44"/>
          <w:highlight w:val="none"/>
        </w:rPr>
      </w:pPr>
      <w:bookmarkStart w:id="678" w:name="_Toc2220"/>
      <w:bookmarkStart w:id="679" w:name="_Toc24353"/>
      <w:r>
        <w:rPr>
          <w:rFonts w:hint="eastAsia" w:ascii="宋体" w:hAnsi="宋体" w:eastAsia="宋体"/>
          <w:color w:val="auto"/>
          <w:sz w:val="44"/>
          <w:szCs w:val="44"/>
          <w:highlight w:val="none"/>
          <w:lang w:eastAsia="zh-CN"/>
        </w:rPr>
        <w:t>第</w:t>
      </w:r>
      <w:r>
        <w:rPr>
          <w:rFonts w:hint="eastAsia" w:ascii="宋体" w:hAnsi="宋体" w:eastAsia="宋体"/>
          <w:color w:val="auto"/>
          <w:sz w:val="44"/>
          <w:szCs w:val="44"/>
          <w:highlight w:val="none"/>
          <w:lang w:val="en-US" w:eastAsia="zh-CN"/>
        </w:rPr>
        <w:t>六</w:t>
      </w:r>
      <w:r>
        <w:rPr>
          <w:rFonts w:hint="eastAsia" w:ascii="宋体" w:hAnsi="宋体" w:eastAsia="宋体"/>
          <w:color w:val="auto"/>
          <w:sz w:val="44"/>
          <w:szCs w:val="44"/>
          <w:highlight w:val="none"/>
          <w:lang w:eastAsia="zh-CN"/>
        </w:rPr>
        <w:t>章</w:t>
      </w:r>
      <w:r>
        <w:rPr>
          <w:rFonts w:hint="eastAsia" w:ascii="宋体" w:hAnsi="宋体" w:eastAsia="宋体"/>
          <w:color w:val="auto"/>
          <w:sz w:val="44"/>
          <w:szCs w:val="44"/>
          <w:highlight w:val="none"/>
        </w:rPr>
        <w:t xml:space="preserve"> 投标文件及格式</w:t>
      </w:r>
      <w:bookmarkEnd w:id="53"/>
      <w:bookmarkEnd w:id="54"/>
      <w:bookmarkEnd w:id="55"/>
      <w:bookmarkEnd w:id="678"/>
      <w:bookmarkEnd w:id="679"/>
    </w:p>
    <w:p>
      <w:pPr>
        <w:autoSpaceDE w:val="0"/>
        <w:jc w:val="center"/>
        <w:rPr>
          <w:rFonts w:hint="eastAsia" w:ascii="宋体" w:hAnsi="宋体"/>
          <w:color w:val="auto"/>
          <w:sz w:val="52"/>
          <w:highlight w:val="none"/>
        </w:rPr>
      </w:pPr>
    </w:p>
    <w:p>
      <w:pPr>
        <w:autoSpaceDE w:val="0"/>
        <w:rPr>
          <w:rFonts w:hint="eastAsia" w:ascii="宋体" w:hAnsi="宋体"/>
          <w:b/>
          <w:color w:val="auto"/>
          <w:sz w:val="44"/>
          <w:szCs w:val="44"/>
          <w:highlight w:val="none"/>
        </w:rPr>
      </w:pPr>
      <w:r>
        <w:rPr>
          <w:rFonts w:ascii="宋体" w:hAnsi="宋体"/>
          <w:color w:val="auto"/>
          <w:highlight w:val="none"/>
          <w:u w:val="single"/>
        </w:rPr>
        <w:br w:type="column"/>
      </w:r>
    </w:p>
    <w:p>
      <w:pPr>
        <w:autoSpaceDE w:val="0"/>
        <w:ind w:right="90" w:rightChars="43"/>
        <w:jc w:val="center"/>
        <w:rPr>
          <w:rFonts w:hint="eastAsia" w:ascii="宋体" w:hAnsi="宋体"/>
          <w:b/>
          <w:bCs/>
          <w:color w:val="auto"/>
          <w:sz w:val="32"/>
          <w:szCs w:val="32"/>
          <w:highlight w:val="none"/>
        </w:rPr>
      </w:pPr>
      <w:r>
        <w:rPr>
          <w:rFonts w:hint="eastAsia" w:ascii="宋体" w:hAnsi="宋体"/>
          <w:b/>
          <w:bCs/>
          <w:color w:val="auto"/>
          <w:sz w:val="44"/>
          <w:szCs w:val="44"/>
          <w:highlight w:val="none"/>
          <w:lang w:val="en-US" w:eastAsia="zh-CN"/>
        </w:rPr>
        <w:t>陆丰市新响等四宗中型灌区续建配套与节水改造工程勘测设计</w:t>
      </w: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outlineLvl w:val="0"/>
        <w:rPr>
          <w:rFonts w:hint="eastAsia" w:ascii="宋体" w:hAnsi="宋体"/>
          <w:b/>
          <w:bCs/>
          <w:color w:val="auto"/>
          <w:sz w:val="52"/>
          <w:szCs w:val="52"/>
          <w:highlight w:val="none"/>
        </w:rPr>
      </w:pPr>
      <w:bookmarkStart w:id="680" w:name="_Toc2232"/>
      <w:r>
        <w:rPr>
          <w:rFonts w:hint="eastAsia" w:ascii="宋体" w:hAnsi="宋体"/>
          <w:b/>
          <w:bCs/>
          <w:color w:val="auto"/>
          <w:sz w:val="52"/>
          <w:szCs w:val="52"/>
          <w:highlight w:val="none"/>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ascii="宋体" w:hAnsi="宋体"/>
          <w:color w:val="auto"/>
          <w:sz w:val="28"/>
          <w:szCs w:val="28"/>
          <w:highlight w:val="none"/>
        </w:rPr>
      </w:pPr>
    </w:p>
    <w:p>
      <w:pPr>
        <w:autoSpaceDE w:val="0"/>
        <w:autoSpaceDN w:val="0"/>
        <w:adjustRightInd w:val="0"/>
        <w:spacing w:line="720" w:lineRule="auto"/>
        <w:ind w:right="90" w:rightChars="43"/>
        <w:rPr>
          <w:rFonts w:hint="eastAsia" w:ascii="宋体" w:hAnsi="宋体"/>
          <w:color w:val="auto"/>
          <w:sz w:val="28"/>
          <w:szCs w:val="28"/>
          <w:highlight w:val="none"/>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工程名称：</w:t>
      </w:r>
      <w:r>
        <w:rPr>
          <w:rFonts w:hint="eastAsia" w:ascii="宋体" w:hAnsi="宋体"/>
          <w:color w:val="auto"/>
          <w:sz w:val="28"/>
          <w:szCs w:val="28"/>
          <w:highlight w:val="none"/>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highlight w:val="none"/>
          <w:u w:val="single"/>
        </w:rPr>
      </w:pPr>
      <w:r>
        <w:rPr>
          <w:rFonts w:hint="eastAsia" w:ascii="宋体" w:hAnsi="宋体"/>
          <w:color w:val="auto"/>
          <w:sz w:val="28"/>
          <w:szCs w:val="28"/>
          <w:highlight w:val="none"/>
          <w:lang w:val="zh-CN"/>
        </w:rPr>
        <w:t>投标人：</w:t>
      </w:r>
      <w:r>
        <w:rPr>
          <w:rFonts w:hint="eastAsia" w:ascii="宋体" w:hAnsi="宋体"/>
          <w:color w:val="auto"/>
          <w:sz w:val="28"/>
          <w:szCs w:val="28"/>
          <w:highlight w:val="none"/>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法定代表人（或委托代理人）：</w:t>
      </w:r>
      <w:r>
        <w:rPr>
          <w:rFonts w:hint="eastAsia" w:ascii="宋体" w:hAnsi="宋体"/>
          <w:color w:val="auto"/>
          <w:sz w:val="28"/>
          <w:szCs w:val="28"/>
          <w:highlight w:val="none"/>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highlight w:val="none"/>
          <w:u w:val="single"/>
        </w:rPr>
      </w:pPr>
      <w:r>
        <w:rPr>
          <w:rFonts w:hint="eastAsia" w:ascii="宋体" w:hAnsi="宋体"/>
          <w:color w:val="auto"/>
          <w:sz w:val="28"/>
          <w:szCs w:val="28"/>
          <w:highlight w:val="none"/>
          <w:lang w:val="zh-CN"/>
        </w:rPr>
        <w:t>年      月      日</w:t>
      </w:r>
      <w:bookmarkStart w:id="681" w:name="_Toc60537390"/>
    </w:p>
    <w:bookmarkEnd w:id="681"/>
    <w:p>
      <w:pPr>
        <w:autoSpaceDE w:val="0"/>
        <w:rPr>
          <w:rFonts w:hint="eastAsia"/>
          <w:color w:val="auto"/>
          <w:highlight w:val="none"/>
        </w:rPr>
      </w:pPr>
      <w:bookmarkStart w:id="682" w:name="_Toc60537391"/>
    </w:p>
    <w:p>
      <w:pPr>
        <w:pStyle w:val="4"/>
        <w:numPr>
          <w:ilvl w:val="0"/>
          <w:numId w:val="0"/>
        </w:numPr>
        <w:autoSpaceDE w:val="0"/>
        <w:jc w:val="center"/>
        <w:outlineLvl w:val="9"/>
        <w:rPr>
          <w:rFonts w:ascii="宋体" w:hAnsi="宋体" w:eastAsia="宋体"/>
          <w:color w:val="auto"/>
          <w:sz w:val="28"/>
          <w:szCs w:val="28"/>
          <w:highlight w:val="none"/>
        </w:rPr>
      </w:pPr>
      <w:bookmarkStart w:id="683" w:name="_Toc534471633"/>
      <w:bookmarkStart w:id="684" w:name="_Toc499225497"/>
      <w:bookmarkStart w:id="685" w:name="_Toc534472072"/>
      <w:bookmarkStart w:id="686" w:name="_Toc21159"/>
    </w:p>
    <w:p>
      <w:pPr>
        <w:rPr>
          <w:rFonts w:ascii="宋体" w:hAnsi="宋体"/>
          <w:color w:val="auto"/>
          <w:sz w:val="28"/>
          <w:szCs w:val="28"/>
          <w:highlight w:val="none"/>
        </w:rPr>
      </w:pPr>
      <w:r>
        <w:rPr>
          <w:rFonts w:ascii="宋体" w:hAnsi="宋体"/>
          <w:color w:val="auto"/>
          <w:sz w:val="28"/>
          <w:szCs w:val="28"/>
          <w:highlight w:val="none"/>
        </w:rPr>
        <w:br w:type="column"/>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outlineLvl w:val="0"/>
        <w:rPr>
          <w:rFonts w:ascii="宋体" w:hAnsi="宋体"/>
          <w:color w:val="auto"/>
          <w:sz w:val="28"/>
          <w:szCs w:val="28"/>
          <w:highlight w:val="none"/>
        </w:rPr>
      </w:pPr>
      <w:bookmarkStart w:id="687" w:name="_Toc15167"/>
      <w:r>
        <w:rPr>
          <w:rFonts w:hint="eastAsia" w:ascii="宋体" w:hAnsi="宋体"/>
          <w:b/>
          <w:bCs/>
          <w:color w:val="auto"/>
          <w:sz w:val="52"/>
          <w:szCs w:val="52"/>
          <w:highlight w:val="none"/>
          <w:u w:val="none"/>
          <w:lang w:val="zh-CN"/>
        </w:rPr>
        <w:t>商务部分</w:t>
      </w:r>
      <w:r>
        <w:rPr>
          <w:rFonts w:ascii="宋体" w:hAnsi="宋体"/>
          <w:color w:val="auto"/>
          <w:sz w:val="28"/>
          <w:szCs w:val="28"/>
          <w:highlight w:val="none"/>
        </w:rPr>
        <w:br w:type="page"/>
      </w:r>
      <w:bookmarkEnd w:id="687"/>
    </w:p>
    <w:p>
      <w:pPr>
        <w:pStyle w:val="13"/>
        <w:rPr>
          <w:color w:val="auto"/>
          <w:highlight w:val="none"/>
        </w:rPr>
      </w:pPr>
    </w:p>
    <w:p>
      <w:pPr>
        <w:jc w:val="center"/>
        <w:rPr>
          <w:rFonts w:hint="eastAsia" w:ascii="宋体" w:hAnsi="宋体"/>
          <w:color w:val="auto"/>
          <w:sz w:val="28"/>
          <w:szCs w:val="28"/>
          <w:highlight w:val="none"/>
        </w:rPr>
      </w:pPr>
      <w:r>
        <w:rPr>
          <w:rFonts w:hint="eastAsia" w:ascii="宋体" w:hAnsi="宋体"/>
          <w:color w:val="auto"/>
          <w:sz w:val="28"/>
          <w:szCs w:val="28"/>
          <w:highlight w:val="none"/>
        </w:rPr>
        <w:t>目录</w:t>
      </w:r>
    </w:p>
    <w:p>
      <w:pPr>
        <w:numPr>
          <w:ilvl w:val="0"/>
          <w:numId w:val="0"/>
        </w:numPr>
        <w:autoSpaceDE w:val="0"/>
        <w:spacing w:line="440" w:lineRule="exact"/>
        <w:outlineLvl w:val="0"/>
        <w:rPr>
          <w:rFonts w:hint="eastAsia" w:ascii="宋体" w:hAnsi="宋体"/>
          <w:color w:val="auto"/>
          <w:sz w:val="24"/>
          <w:highlight w:val="none"/>
        </w:rPr>
      </w:pPr>
      <w:bookmarkStart w:id="688" w:name="_Toc15255"/>
      <w:r>
        <w:rPr>
          <w:rFonts w:hint="eastAsia" w:ascii="宋体" w:hAnsi="宋体"/>
          <w:color w:val="auto"/>
          <w:sz w:val="24"/>
          <w:highlight w:val="none"/>
          <w:lang w:val="en-US" w:eastAsia="zh-CN"/>
        </w:rPr>
        <w:t>一</w:t>
      </w:r>
      <w:r>
        <w:rPr>
          <w:rFonts w:hint="eastAsia" w:ascii="宋体" w:hAnsi="宋体"/>
          <w:color w:val="auto"/>
          <w:sz w:val="24"/>
          <w:highlight w:val="none"/>
        </w:rPr>
        <w:t>、投标函</w:t>
      </w:r>
      <w:r>
        <w:rPr>
          <w:rFonts w:hint="eastAsia" w:ascii="宋体" w:hAnsi="宋体"/>
          <w:color w:val="auto"/>
          <w:sz w:val="24"/>
          <w:highlight w:val="none"/>
          <w:lang w:val="en-US" w:eastAsia="zh-CN"/>
        </w:rPr>
        <w:t>及</w:t>
      </w:r>
      <w:r>
        <w:rPr>
          <w:rFonts w:hint="eastAsia" w:ascii="宋体" w:hAnsi="宋体"/>
          <w:color w:val="auto"/>
          <w:sz w:val="24"/>
          <w:highlight w:val="none"/>
        </w:rPr>
        <w:t>投标函附</w:t>
      </w:r>
      <w:r>
        <w:rPr>
          <w:rFonts w:hint="eastAsia" w:ascii="宋体" w:hAnsi="宋体"/>
          <w:color w:val="auto"/>
          <w:sz w:val="24"/>
          <w:highlight w:val="none"/>
          <w:lang w:val="en-US" w:eastAsia="zh-CN"/>
        </w:rPr>
        <w:t>录</w:t>
      </w:r>
      <w:r>
        <w:rPr>
          <w:rFonts w:hint="eastAsia" w:ascii="宋体" w:hAnsi="宋体"/>
          <w:color w:val="auto"/>
          <w:sz w:val="24"/>
          <w:highlight w:val="none"/>
        </w:rPr>
        <w:t>；</w:t>
      </w:r>
    </w:p>
    <w:p>
      <w:pPr>
        <w:numPr>
          <w:ilvl w:val="0"/>
          <w:numId w:val="0"/>
        </w:numPr>
        <w:autoSpaceDE w:val="0"/>
        <w:spacing w:line="440" w:lineRule="exact"/>
        <w:outlineLvl w:val="0"/>
        <w:rPr>
          <w:rFonts w:hint="eastAsia"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bookmarkEnd w:id="688"/>
      <w:r>
        <w:rPr>
          <w:rFonts w:hint="eastAsia" w:ascii="宋体" w:hAnsi="宋体"/>
          <w:color w:val="auto"/>
          <w:sz w:val="24"/>
          <w:highlight w:val="none"/>
        </w:rPr>
        <w:t>法定代表人身份证明</w:t>
      </w:r>
      <w:bookmarkStart w:id="689" w:name="_Toc25368"/>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bookmarkEnd w:id="689"/>
    </w:p>
    <w:p>
      <w:pPr>
        <w:autoSpaceDE w:val="0"/>
        <w:spacing w:line="440" w:lineRule="exact"/>
        <w:outlineLvl w:val="0"/>
        <w:rPr>
          <w:rFonts w:hint="eastAsia" w:ascii="宋体" w:hAnsi="宋体"/>
          <w:color w:val="auto"/>
          <w:sz w:val="24"/>
          <w:highlight w:val="none"/>
        </w:rPr>
      </w:pPr>
      <w:bookmarkStart w:id="690" w:name="_Toc8950"/>
      <w:r>
        <w:rPr>
          <w:rFonts w:hint="eastAsia" w:ascii="宋体" w:hAnsi="宋体"/>
          <w:color w:val="auto"/>
          <w:sz w:val="24"/>
          <w:highlight w:val="none"/>
          <w:lang w:val="en-US" w:eastAsia="zh-CN"/>
        </w:rPr>
        <w:t>三</w:t>
      </w:r>
      <w:r>
        <w:rPr>
          <w:rFonts w:hint="eastAsia" w:ascii="宋体" w:hAnsi="宋体"/>
          <w:color w:val="auto"/>
          <w:sz w:val="24"/>
          <w:highlight w:val="none"/>
        </w:rPr>
        <w:t>、</w:t>
      </w:r>
      <w:bookmarkEnd w:id="690"/>
      <w:r>
        <w:rPr>
          <w:rFonts w:hint="eastAsia" w:ascii="宋体" w:hAnsi="宋体"/>
          <w:color w:val="auto"/>
          <w:sz w:val="24"/>
          <w:highlight w:val="none"/>
          <w:lang w:val="en-US" w:eastAsia="zh-CN"/>
        </w:rPr>
        <w:t>联合体协议书；</w:t>
      </w:r>
    </w:p>
    <w:p>
      <w:pPr>
        <w:autoSpaceDE w:val="0"/>
        <w:spacing w:line="440" w:lineRule="exact"/>
        <w:outlineLvl w:val="0"/>
        <w:rPr>
          <w:rFonts w:hint="eastAsia" w:eastAsia="宋体"/>
          <w:color w:val="auto"/>
          <w:highlight w:val="none"/>
          <w:lang w:eastAsia="zh-CN"/>
        </w:rPr>
      </w:pPr>
      <w:bookmarkStart w:id="691" w:name="_Toc29087"/>
      <w:r>
        <w:rPr>
          <w:rFonts w:hint="eastAsia" w:ascii="宋体" w:hAnsi="宋体"/>
          <w:color w:val="auto"/>
          <w:sz w:val="24"/>
          <w:highlight w:val="none"/>
          <w:lang w:val="en-US" w:eastAsia="zh-CN"/>
        </w:rPr>
        <w:t>四</w:t>
      </w:r>
      <w:r>
        <w:rPr>
          <w:rFonts w:hint="eastAsia" w:ascii="宋体" w:hAnsi="宋体"/>
          <w:color w:val="auto"/>
          <w:sz w:val="24"/>
          <w:highlight w:val="none"/>
        </w:rPr>
        <w:t>、投标保证金凭证；</w:t>
      </w:r>
      <w:bookmarkEnd w:id="691"/>
    </w:p>
    <w:p>
      <w:pPr>
        <w:autoSpaceDE w:val="0"/>
        <w:spacing w:line="440" w:lineRule="exact"/>
        <w:outlineLvl w:val="0"/>
        <w:rPr>
          <w:rFonts w:hint="eastAsia" w:ascii="宋体" w:hAnsi="宋体"/>
          <w:color w:val="auto"/>
          <w:sz w:val="24"/>
          <w:highlight w:val="none"/>
        </w:rPr>
      </w:pPr>
      <w:bookmarkStart w:id="692" w:name="_Toc1074"/>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勘察</w:t>
      </w:r>
      <w:r>
        <w:rPr>
          <w:rFonts w:hint="eastAsia" w:ascii="宋体" w:hAnsi="宋体"/>
          <w:color w:val="auto"/>
          <w:sz w:val="24"/>
          <w:highlight w:val="none"/>
        </w:rPr>
        <w:t>设计费投标报价表；</w:t>
      </w:r>
      <w:bookmarkEnd w:id="692"/>
    </w:p>
    <w:p>
      <w:pPr>
        <w:autoSpaceDE w:val="0"/>
        <w:spacing w:line="440" w:lineRule="exact"/>
        <w:outlineLvl w:val="0"/>
        <w:rPr>
          <w:rFonts w:hint="eastAsia" w:ascii="宋体" w:hAnsi="宋体"/>
          <w:color w:val="auto"/>
          <w:sz w:val="24"/>
          <w:highlight w:val="none"/>
        </w:rPr>
      </w:pPr>
      <w:bookmarkStart w:id="693" w:name="_Toc20791"/>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资格审查文件</w:t>
      </w:r>
      <w:r>
        <w:rPr>
          <w:rFonts w:hint="eastAsia" w:ascii="宋体" w:hAnsi="宋体"/>
          <w:color w:val="auto"/>
          <w:sz w:val="24"/>
          <w:highlight w:val="none"/>
        </w:rPr>
        <w:t>；</w:t>
      </w:r>
      <w:bookmarkEnd w:id="693"/>
    </w:p>
    <w:p>
      <w:pPr>
        <w:autoSpaceDE w:val="0"/>
        <w:spacing w:line="440" w:lineRule="exact"/>
        <w:outlineLvl w:val="0"/>
        <w:rPr>
          <w:rFonts w:hint="eastAsia" w:ascii="宋体" w:hAnsi="宋体"/>
          <w:color w:val="auto"/>
          <w:sz w:val="24"/>
          <w:highlight w:val="none"/>
        </w:rPr>
      </w:pPr>
      <w:bookmarkStart w:id="694" w:name="_Toc24158"/>
      <w:r>
        <w:rPr>
          <w:rFonts w:hint="eastAsia" w:ascii="宋体" w:hAnsi="宋体"/>
          <w:color w:val="auto"/>
          <w:sz w:val="24"/>
          <w:highlight w:val="none"/>
          <w:lang w:val="en-US" w:eastAsia="zh-CN"/>
        </w:rPr>
        <w:t>七</w:t>
      </w:r>
      <w:r>
        <w:rPr>
          <w:rFonts w:hint="eastAsia" w:ascii="宋体" w:hAnsi="宋体"/>
          <w:color w:val="auto"/>
          <w:sz w:val="24"/>
          <w:highlight w:val="none"/>
        </w:rPr>
        <w:t>、其它资料；</w:t>
      </w:r>
      <w:bookmarkEnd w:id="694"/>
    </w:p>
    <w:p>
      <w:pPr>
        <w:rPr>
          <w:rFonts w:ascii="宋体" w:hAnsi="宋体" w:eastAsia="宋体"/>
          <w:color w:val="auto"/>
          <w:sz w:val="28"/>
          <w:szCs w:val="28"/>
          <w:highlight w:val="none"/>
        </w:rPr>
      </w:pPr>
      <w:r>
        <w:rPr>
          <w:rFonts w:ascii="宋体" w:hAnsi="宋体" w:eastAsia="宋体"/>
          <w:color w:val="auto"/>
          <w:sz w:val="28"/>
          <w:szCs w:val="28"/>
          <w:highlight w:val="none"/>
        </w:rPr>
        <w:br w:type="page"/>
      </w:r>
    </w:p>
    <w:p>
      <w:pPr>
        <w:pStyle w:val="13"/>
        <w:ind w:left="0" w:leftChars="0" w:firstLine="0" w:firstLineChars="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一、投标函及投标函附录</w:t>
      </w:r>
    </w:p>
    <w:bookmarkEnd w:id="683"/>
    <w:bookmarkEnd w:id="684"/>
    <w:bookmarkEnd w:id="685"/>
    <w:bookmarkEnd w:id="686"/>
    <w:p>
      <w:pPr>
        <w:pStyle w:val="4"/>
        <w:numPr>
          <w:ilvl w:val="0"/>
          <w:numId w:val="0"/>
        </w:numPr>
        <w:autoSpaceDE w:val="0"/>
        <w:jc w:val="center"/>
        <w:outlineLvl w:val="0"/>
        <w:rPr>
          <w:rFonts w:hint="eastAsia" w:ascii="宋体" w:hAnsi="宋体" w:eastAsia="宋体" w:cs="Times New Roman"/>
          <w:color w:val="auto"/>
          <w:sz w:val="28"/>
          <w:szCs w:val="28"/>
          <w:highlight w:val="none"/>
        </w:rPr>
      </w:pPr>
      <w:bookmarkStart w:id="695" w:name="_Toc4852"/>
      <w:r>
        <w:rPr>
          <w:rFonts w:hint="eastAsia" w:ascii="宋体" w:hAnsi="宋体" w:eastAsia="宋体" w:cs="Times New Roman"/>
          <w:color w:val="auto"/>
          <w:sz w:val="28"/>
          <w:szCs w:val="28"/>
          <w:highlight w:val="none"/>
        </w:rPr>
        <w:t>（一）投标函</w:t>
      </w:r>
      <w:bookmarkEnd w:id="695"/>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pPr>
        <w:spacing w:line="440" w:lineRule="exact"/>
        <w:jc w:val="left"/>
        <w:rPr>
          <w:rFonts w:hint="eastAsia" w:ascii="宋体" w:hAnsi="宋体" w:eastAsia="宋体" w:cs="宋体"/>
          <w:color w:val="auto"/>
          <w:sz w:val="21"/>
          <w:szCs w:val="21"/>
          <w:highlight w:val="none"/>
        </w:rPr>
      </w:pPr>
    </w:p>
    <w:p>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；水土保持专项编制费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。按合同约定完成</w:t>
      </w:r>
      <w:r>
        <w:rPr>
          <w:rFonts w:hint="eastAsia" w:ascii="宋体" w:hAnsi="宋体" w:cs="宋体"/>
          <w:color w:val="auto"/>
          <w:sz w:val="21"/>
          <w:szCs w:val="21"/>
          <w:highlight w:val="none"/>
          <w:lang w:val="en-US" w:eastAsia="zh-CN"/>
        </w:rPr>
        <w:t>勘察</w:t>
      </w:r>
      <w:r>
        <w:rPr>
          <w:rFonts w:hint="eastAsia" w:ascii="宋体" w:hAnsi="宋体" w:eastAsia="宋体" w:cs="宋体"/>
          <w:color w:val="auto"/>
          <w:sz w:val="21"/>
          <w:szCs w:val="21"/>
          <w:highlight w:val="none"/>
        </w:rPr>
        <w:t>设计工作</w:t>
      </w:r>
      <w:r>
        <w:rPr>
          <w:rFonts w:hint="eastAsia" w:ascii="宋体" w:hAnsi="宋体" w:cs="宋体"/>
          <w:color w:val="auto"/>
          <w:sz w:val="21"/>
          <w:szCs w:val="21"/>
          <w:highlight w:val="none"/>
          <w:lang w:eastAsia="zh-CN"/>
        </w:rPr>
        <w:t>。</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3．随同本投标函提交投标保证金一份。</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w:t>
      </w:r>
    </w:p>
    <w:p>
      <w:pPr>
        <w:spacing w:line="440" w:lineRule="exact"/>
        <w:ind w:firstLine="718" w:firstLineChars="342"/>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5．我方在此声明，所递交的投标文件及有关资料内容完整、真实和准确，且不存在第二章“投标须知”第1.4.3项规定的任何一种情形。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pStyle w:val="25"/>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5"/>
        <w:rPr>
          <w:rFonts w:hint="eastAsia" w:ascii="宋体" w:hAnsi="宋体" w:cs="宋体"/>
          <w:color w:val="auto"/>
          <w:sz w:val="24"/>
          <w:highlight w:val="none"/>
        </w:rPr>
      </w:pPr>
    </w:p>
    <w:p>
      <w:pPr>
        <w:autoSpaceDE w:val="0"/>
        <w:rPr>
          <w:color w:val="auto"/>
          <w:highlight w:val="none"/>
        </w:rPr>
        <w:sectPr>
          <w:headerReference r:id="rId8" w:type="default"/>
          <w:footerReference r:id="rId9"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4"/>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bookmarkStart w:id="696" w:name="_Toc499225498"/>
      <w:bookmarkStart w:id="697" w:name="_Toc60537392"/>
      <w:bookmarkStart w:id="698" w:name="_Toc445219542"/>
      <w:bookmarkStart w:id="699" w:name="_Toc30461"/>
      <w:bookmarkStart w:id="700" w:name="_Toc534472073"/>
      <w:bookmarkStart w:id="701" w:name="_Toc534471634"/>
      <w:bookmarkStart w:id="702" w:name="_Toc30429"/>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投标函附</w:t>
      </w:r>
      <w:bookmarkEnd w:id="696"/>
      <w:bookmarkEnd w:id="697"/>
      <w:bookmarkEnd w:id="698"/>
      <w:bookmarkEnd w:id="699"/>
      <w:bookmarkEnd w:id="700"/>
      <w:bookmarkEnd w:id="701"/>
      <w:bookmarkEnd w:id="702"/>
      <w:r>
        <w:rPr>
          <w:rFonts w:hint="eastAsia" w:ascii="宋体" w:hAnsi="宋体" w:eastAsia="宋体"/>
          <w:color w:val="auto"/>
          <w:sz w:val="28"/>
          <w:szCs w:val="28"/>
          <w:highlight w:val="none"/>
          <w:lang w:val="en-US" w:eastAsia="zh-CN"/>
        </w:rPr>
        <w:t>录</w:t>
      </w:r>
    </w:p>
    <w:p>
      <w:pPr>
        <w:autoSpaceDE w:val="0"/>
        <w:rPr>
          <w:rFonts w:hint="eastAsia"/>
          <w:color w:val="auto"/>
          <w:highlight w:val="none"/>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highlight w:val="none"/>
        </w:rPr>
      </w:pP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投 标 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firstLine="4725" w:firstLineChars="2250"/>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152045791"/>
      <w:bookmarkStart w:id="704" w:name="_Toc152042580"/>
      <w:bookmarkStart w:id="705" w:name="_Toc468539911"/>
      <w:bookmarkStart w:id="706" w:name="_Toc247527831"/>
      <w:bookmarkStart w:id="707" w:name="_Toc144974860"/>
      <w:bookmarkStart w:id="708" w:name="_Toc247514283"/>
    </w:p>
    <w:p>
      <w:pPr>
        <w:pStyle w:val="25"/>
        <w:rPr>
          <w:rFonts w:hint="eastAsia"/>
          <w:color w:val="auto"/>
          <w:highlight w:val="none"/>
        </w:rPr>
      </w:pPr>
    </w:p>
    <w:p>
      <w:pPr>
        <w:pStyle w:val="18"/>
        <w:autoSpaceDE w:val="0"/>
        <w:rPr>
          <w:rFonts w:hint="default" w:eastAsia="宋体"/>
          <w:color w:val="auto"/>
          <w:sz w:val="28"/>
          <w:szCs w:val="28"/>
          <w:highlight w:val="none"/>
          <w:lang w:val="en-US" w:eastAsia="zh-CN"/>
        </w:rPr>
      </w:pPr>
      <w:bookmarkStart w:id="709" w:name="_Toc534471635"/>
      <w:bookmarkStart w:id="710" w:name="_Toc14420"/>
      <w:bookmarkStart w:id="711" w:name="_Toc499225499"/>
      <w:bookmarkStart w:id="712" w:name="_Toc17332"/>
      <w:bookmarkStart w:id="713" w:name="_Toc534472074"/>
      <w:r>
        <w:rPr>
          <w:rFonts w:hint="eastAsia"/>
          <w:color w:val="auto"/>
          <w:sz w:val="28"/>
          <w:szCs w:val="28"/>
          <w:highlight w:val="none"/>
          <w:lang w:val="en-US" w:eastAsia="zh-CN"/>
        </w:rPr>
        <w:t>二、法</w:t>
      </w:r>
      <w:r>
        <w:rPr>
          <w:color w:val="auto"/>
          <w:sz w:val="28"/>
          <w:szCs w:val="28"/>
          <w:highlight w:val="none"/>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highlight w:val="none"/>
        </w:rPr>
      </w:pP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投标人名称：</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单位性质：</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地址：</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经营期限：</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pPr>
        <w:autoSpaceDE w:val="0"/>
        <w:spacing w:line="440" w:lineRule="exact"/>
        <w:ind w:firstLine="1260" w:firstLineChars="600"/>
        <w:rPr>
          <w:rFonts w:ascii="宋体" w:hAnsi="宋体"/>
          <w:color w:val="auto"/>
          <w:szCs w:val="21"/>
          <w:highlight w:val="none"/>
        </w:rPr>
      </w:pPr>
      <w:r>
        <w:rPr>
          <w:rFonts w:ascii="宋体" w:hAnsi="宋体"/>
          <w:color w:val="auto"/>
          <w:szCs w:val="21"/>
          <w:highlight w:val="none"/>
        </w:rPr>
        <w:t>特此证明。</w:t>
      </w:r>
    </w:p>
    <w:p>
      <w:pPr>
        <w:autoSpaceDE w:val="0"/>
        <w:spacing w:line="440" w:lineRule="exact"/>
        <w:rPr>
          <w:rFonts w:ascii="宋体" w:hAnsi="宋体"/>
          <w:color w:val="auto"/>
          <w:szCs w:val="21"/>
          <w:highlight w:val="none"/>
        </w:rPr>
      </w:pP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p>
    <w:p>
      <w:pPr>
        <w:autoSpaceDE w:val="0"/>
        <w:spacing w:line="440" w:lineRule="exact"/>
        <w:ind w:firstLine="3885" w:firstLineChars="18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 日           </w:t>
      </w:r>
    </w:p>
    <w:p>
      <w:pPr>
        <w:autoSpaceDE w:val="0"/>
        <w:spacing w:line="440" w:lineRule="exact"/>
        <w:jc w:val="left"/>
        <w:rPr>
          <w:rFonts w:hint="eastAsia" w:ascii="宋体" w:hAnsi="宋体"/>
          <w:color w:val="auto"/>
          <w:szCs w:val="21"/>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highlight w:val="none"/>
        </w:rPr>
      </w:pPr>
      <w:r>
        <w:rPr>
          <w:rFonts w:hint="eastAsia" w:ascii="宋体" w:hAnsi="宋体"/>
          <w:color w:val="auto"/>
          <w:sz w:val="20"/>
          <w:szCs w:val="20"/>
          <w:highlight w:val="none"/>
        </w:rPr>
        <w:br w:type="page"/>
      </w:r>
      <w:bookmarkStart w:id="714" w:name="_Toc10839"/>
      <w:bookmarkStart w:id="715" w:name="_Toc534471636"/>
      <w:bookmarkStart w:id="716" w:name="_Toc534472075"/>
      <w:bookmarkStart w:id="717" w:name="_Toc499225500"/>
    </w:p>
    <w:p>
      <w:pPr>
        <w:pStyle w:val="18"/>
        <w:autoSpaceDE w:val="0"/>
        <w:rPr>
          <w:rFonts w:hint="eastAsia" w:eastAsia="宋体"/>
          <w:color w:val="auto"/>
          <w:sz w:val="28"/>
          <w:szCs w:val="28"/>
          <w:highlight w:val="none"/>
          <w:lang w:eastAsia="zh-CN"/>
        </w:rPr>
      </w:pPr>
      <w:bookmarkStart w:id="718" w:name="_Toc14473"/>
      <w:r>
        <w:rPr>
          <w:color w:val="auto"/>
          <w:sz w:val="28"/>
          <w:szCs w:val="28"/>
          <w:highlight w:val="none"/>
        </w:rPr>
        <w:t>授权委托书</w:t>
      </w:r>
      <w:bookmarkEnd w:id="714"/>
      <w:bookmarkEnd w:id="715"/>
      <w:bookmarkEnd w:id="716"/>
      <w:bookmarkEnd w:id="717"/>
      <w:bookmarkEnd w:id="718"/>
    </w:p>
    <w:p>
      <w:pPr>
        <w:autoSpaceDE w:val="0"/>
        <w:spacing w:line="440" w:lineRule="exact"/>
        <w:jc w:val="center"/>
        <w:rPr>
          <w:rFonts w:ascii="宋体" w:hAnsi="宋体"/>
          <w:color w:val="auto"/>
          <w:szCs w:val="21"/>
          <w:highlight w:val="none"/>
        </w:rPr>
      </w:pPr>
    </w:p>
    <w:p>
      <w:pPr>
        <w:topLinePunct/>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none"/>
        </w:rPr>
        <w:t>（项目名称）</w:t>
      </w:r>
      <w:r>
        <w:rPr>
          <w:rFonts w:ascii="宋体" w:hAnsi="宋体"/>
          <w:color w:val="auto"/>
          <w:szCs w:val="21"/>
          <w:highlight w:val="none"/>
        </w:rPr>
        <w:t>投标文件、签订合同和处理有关事宜，其法律后果由我方承担。</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委托期限：</w:t>
      </w:r>
      <w:r>
        <w:rPr>
          <w:rFonts w:ascii="宋体" w:hAnsi="宋体"/>
          <w:color w:val="auto"/>
          <w:szCs w:val="21"/>
          <w:highlight w:val="none"/>
          <w:u w:val="single"/>
        </w:rPr>
        <w:t xml:space="preserve">             </w:t>
      </w:r>
      <w:r>
        <w:rPr>
          <w:rFonts w:hint="eastAsia" w:ascii="宋体" w:hAnsi="宋体"/>
          <w:color w:val="auto"/>
          <w:szCs w:val="21"/>
          <w:highlight w:val="none"/>
        </w:rPr>
        <w:t>。</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代理人无转委托权。</w:t>
      </w:r>
    </w:p>
    <w:p>
      <w:pPr>
        <w:autoSpaceDE w:val="0"/>
        <w:spacing w:line="440" w:lineRule="exact"/>
        <w:ind w:firstLine="420" w:firstLineChars="200"/>
        <w:rPr>
          <w:rFonts w:hint="eastAsia" w:ascii="宋体" w:hAnsi="宋体"/>
          <w:color w:val="auto"/>
          <w:szCs w:val="21"/>
          <w:highlight w:val="none"/>
        </w:rPr>
      </w:pP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附：委托代理人身份证复印件</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firstLine="3780" w:firstLineChars="180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firstLine="4935" w:firstLineChars="235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pStyle w:val="25"/>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highlight w:val="none"/>
        </w:rPr>
      </w:pPr>
      <w:r>
        <w:rPr>
          <w:rFonts w:hint="eastAsia" w:ascii="宋体" w:hAnsi="宋体"/>
          <w:color w:val="auto"/>
          <w:sz w:val="24"/>
          <w:highlight w:val="none"/>
        </w:rPr>
        <w:br w:type="page"/>
      </w:r>
    </w:p>
    <w:p>
      <w:pPr>
        <w:pStyle w:val="25"/>
        <w:numPr>
          <w:ilvl w:val="0"/>
          <w:numId w:val="0"/>
        </w:numPr>
        <w:ind w:leftChars="0"/>
        <w:jc w:val="center"/>
        <w:rPr>
          <w:rFonts w:hint="eastAsia" w:ascii="宋体" w:hAnsi="宋体" w:eastAsia="宋体" w:cs="Times New Roman"/>
          <w:b/>
          <w:color w:val="auto"/>
          <w:kern w:val="0"/>
          <w:sz w:val="28"/>
          <w:szCs w:val="28"/>
          <w:highlight w:val="none"/>
          <w:lang w:val="en-US" w:eastAsia="zh-CN" w:bidi="ar-SA"/>
        </w:rPr>
      </w:pPr>
      <w:r>
        <w:rPr>
          <w:rFonts w:hint="eastAsia" w:hAnsi="宋体" w:cs="Times New Roman"/>
          <w:b/>
          <w:color w:val="auto"/>
          <w:kern w:val="0"/>
          <w:sz w:val="28"/>
          <w:szCs w:val="28"/>
          <w:highlight w:val="none"/>
          <w:lang w:val="en-US" w:eastAsia="zh-CN" w:bidi="ar-SA"/>
        </w:rPr>
        <w:t>三</w:t>
      </w:r>
      <w:r>
        <w:rPr>
          <w:rFonts w:hint="eastAsia" w:ascii="宋体" w:hAnsi="宋体" w:eastAsia="宋体" w:cs="Times New Roman"/>
          <w:b/>
          <w:color w:val="auto"/>
          <w:kern w:val="0"/>
          <w:sz w:val="28"/>
          <w:szCs w:val="28"/>
          <w:highlight w:val="none"/>
          <w:lang w:val="en-US" w:eastAsia="zh-CN" w:bidi="ar-SA"/>
        </w:rPr>
        <w:t>、联合体协议书</w:t>
      </w:r>
    </w:p>
    <w:p>
      <w:pPr>
        <w:pStyle w:val="25"/>
        <w:numPr>
          <w:ilvl w:val="0"/>
          <w:numId w:val="0"/>
        </w:numPr>
        <w:ind w:leftChars="0"/>
        <w:rPr>
          <w:rFonts w:hint="default"/>
          <w:color w:val="auto"/>
          <w:highlight w:val="none"/>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4"/>
        <w:numPr>
          <w:ilvl w:val="0"/>
          <w:numId w:val="0"/>
        </w:numPr>
        <w:autoSpaceDE w:val="0"/>
        <w:ind w:left="720" w:hanging="720"/>
        <w:jc w:val="center"/>
        <w:outlineLvl w:val="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zh-CN"/>
        </w:rPr>
        <w:t>投标保证金凭证</w:t>
      </w: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投标保证金汇入招标人指定帐户的回单凭证或保函、保证保险复印件</w:t>
      </w: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企业基本账户开户许可证</w:t>
      </w:r>
      <w:r>
        <w:rPr>
          <w:rFonts w:hint="eastAsia" w:ascii="宋体" w:hAnsi="宋体"/>
          <w:color w:val="auto"/>
          <w:szCs w:val="21"/>
          <w:highlight w:val="none"/>
          <w:lang w:val="en-US" w:eastAsia="zh-CN"/>
        </w:rPr>
        <w:t>或银行基本存款账号信息</w:t>
      </w:r>
      <w:r>
        <w:rPr>
          <w:rFonts w:hint="eastAsia" w:ascii="宋体" w:hAnsi="宋体"/>
          <w:color w:val="auto"/>
          <w:szCs w:val="21"/>
          <w:highlight w:val="none"/>
        </w:rPr>
        <w:t>复印件</w:t>
      </w:r>
    </w:p>
    <w:p>
      <w:pPr>
        <w:autoSpaceDE w:val="0"/>
        <w:autoSpaceDN w:val="0"/>
        <w:adjustRightInd w:val="0"/>
        <w:spacing w:line="720" w:lineRule="auto"/>
        <w:ind w:right="90" w:rightChars="43"/>
        <w:rPr>
          <w:rFonts w:hint="eastAsia" w:ascii="宋体" w:hAnsi="宋体"/>
          <w:b/>
          <w:color w:val="auto"/>
          <w:sz w:val="24"/>
          <w:highlight w:val="none"/>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highlight w:val="none"/>
        </w:rPr>
      </w:pPr>
      <w:r>
        <w:rPr>
          <w:rFonts w:hint="eastAsia" w:ascii="宋体" w:hAnsi="宋体" w:eastAsia="宋体" w:cs="宋体"/>
          <w:color w:val="auto"/>
          <w:kern w:val="2"/>
          <w:sz w:val="21"/>
          <w:szCs w:val="21"/>
          <w:highlight w:val="none"/>
          <w:lang w:val="en-US" w:eastAsia="zh-CN" w:bidi="ar-SA"/>
        </w:rPr>
        <w:br w:type="page"/>
      </w:r>
    </w:p>
    <w:p>
      <w:pPr>
        <w:pStyle w:val="4"/>
        <w:numPr>
          <w:ilvl w:val="0"/>
          <w:numId w:val="0"/>
        </w:numPr>
        <w:autoSpaceDE w:val="0"/>
        <w:jc w:val="center"/>
        <w:outlineLvl w:val="0"/>
        <w:rPr>
          <w:rFonts w:hint="eastAsia" w:ascii="宋体" w:hAnsi="宋体" w:eastAsia="宋体"/>
          <w:color w:val="auto"/>
          <w:sz w:val="28"/>
          <w:szCs w:val="28"/>
          <w:highlight w:val="none"/>
        </w:rPr>
      </w:pPr>
      <w:bookmarkStart w:id="720" w:name="_Toc534471638"/>
      <w:bookmarkStart w:id="721" w:name="_Toc499225502"/>
      <w:bookmarkStart w:id="722" w:name="_Toc14544"/>
      <w:bookmarkStart w:id="723" w:name="_Toc534472077"/>
      <w:bookmarkStart w:id="724" w:name="_Toc12042"/>
      <w:r>
        <w:rPr>
          <w:rFonts w:hint="eastAsia" w:ascii="宋体" w:hAnsi="宋体" w:eastAsia="宋体"/>
          <w:color w:val="auto"/>
          <w:sz w:val="28"/>
          <w:szCs w:val="28"/>
          <w:highlight w:val="none"/>
          <w:lang w:val="en-US" w:eastAsia="zh-CN"/>
        </w:rPr>
        <w:t>五</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勘察</w:t>
      </w:r>
      <w:r>
        <w:rPr>
          <w:rFonts w:hint="eastAsia" w:ascii="宋体" w:hAnsi="宋体" w:eastAsia="宋体"/>
          <w:color w:val="auto"/>
          <w:sz w:val="28"/>
          <w:szCs w:val="28"/>
          <w:highlight w:val="none"/>
        </w:rPr>
        <w:t>设计费投标报价表</w:t>
      </w:r>
      <w:bookmarkEnd w:id="719"/>
      <w:bookmarkEnd w:id="720"/>
      <w:bookmarkEnd w:id="721"/>
      <w:bookmarkEnd w:id="722"/>
      <w:bookmarkEnd w:id="723"/>
      <w:bookmarkEnd w:id="724"/>
    </w:p>
    <w:p>
      <w:pPr>
        <w:autoSpaceDE w:val="0"/>
        <w:rPr>
          <w:rFonts w:hint="eastAsia" w:ascii="宋体" w:hAnsi="宋体"/>
          <w:color w:val="auto"/>
          <w:highlight w:val="none"/>
        </w:rPr>
      </w:pPr>
    </w:p>
    <w:p>
      <w:pPr>
        <w:autoSpaceDE w:val="0"/>
        <w:rPr>
          <w:rFonts w:hint="eastAsia" w:ascii="宋体" w:hAnsi="宋体"/>
          <w:color w:val="auto"/>
          <w:highlight w:val="none"/>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序号</w:t>
            </w:r>
          </w:p>
        </w:tc>
        <w:tc>
          <w:tcPr>
            <w:tcW w:w="1102"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投标报价</w:t>
            </w:r>
          </w:p>
        </w:tc>
        <w:tc>
          <w:tcPr>
            <w:tcW w:w="1251"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设计费</w:t>
            </w:r>
          </w:p>
        </w:tc>
        <w:tc>
          <w:tcPr>
            <w:tcW w:w="1943" w:type="pct"/>
            <w:noWrap w:val="0"/>
            <w:vAlign w:val="center"/>
          </w:tcPr>
          <w:p>
            <w:pPr>
              <w:autoSpaceDE w:val="0"/>
              <w:ind w:left="630" w:hanging="630" w:hangingChars="300"/>
              <w:jc w:val="left"/>
              <w:rPr>
                <w:rFonts w:hint="default"/>
                <w:color w:val="auto"/>
                <w:highlight w:val="none"/>
                <w:lang w:val="en-US" w:eastAsia="zh-CN"/>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1102" w:type="pct"/>
            <w:noWrap w:val="0"/>
            <w:vAlign w:val="center"/>
          </w:tcPr>
          <w:p>
            <w:pPr>
              <w:autoSpaceDE w:val="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水土保持专项编制费</w:t>
            </w:r>
          </w:p>
        </w:tc>
        <w:tc>
          <w:tcPr>
            <w:tcW w:w="1943" w:type="pct"/>
            <w:noWrap w:val="0"/>
            <w:vAlign w:val="center"/>
          </w:tcPr>
          <w:p>
            <w:pPr>
              <w:autoSpaceDE w:val="0"/>
              <w:ind w:left="630" w:hanging="630" w:hangingChars="300"/>
              <w:jc w:val="left"/>
              <w:rPr>
                <w:rFonts w:hint="eastAsia"/>
                <w:color w:val="auto"/>
                <w:highlight w:val="none"/>
                <w:lang w:val="en-US" w:eastAsia="zh-CN"/>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投标总报价合计（1+2+3）</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highlight w:val="none"/>
        </w:rPr>
      </w:pPr>
    </w:p>
    <w:p>
      <w:pPr>
        <w:autoSpaceDE w:val="0"/>
        <w:rPr>
          <w:rFonts w:hint="eastAsia" w:ascii="宋体" w:hAnsi="宋体"/>
          <w:color w:val="auto"/>
          <w:szCs w:val="21"/>
          <w:highlight w:val="none"/>
        </w:rPr>
      </w:pPr>
    </w:p>
    <w:p>
      <w:pPr>
        <w:autoSpaceDE w:val="0"/>
        <w:rPr>
          <w:rFonts w:hint="eastAsia" w:ascii="宋体" w:hAnsi="宋体"/>
          <w:color w:val="auto"/>
          <w:szCs w:val="21"/>
          <w:highlight w:val="none"/>
        </w:rPr>
      </w:pPr>
    </w:p>
    <w:p>
      <w:pPr>
        <w:autoSpaceDE w:val="0"/>
        <w:spacing w:line="400" w:lineRule="atLeast"/>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pacing w:val="100"/>
          <w:szCs w:val="21"/>
          <w:highlight w:val="none"/>
        </w:rPr>
        <w:t>投标人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(单位全称、盖章)</w:t>
      </w:r>
      <w:r>
        <w:rPr>
          <w:rFonts w:ascii="宋体" w:hAnsi="宋体"/>
          <w:color w:val="auto"/>
          <w:szCs w:val="21"/>
          <w:highlight w:val="none"/>
          <w:u w:val="single"/>
        </w:rPr>
        <w:t xml:space="preserve"> </w:t>
      </w:r>
    </w:p>
    <w:p>
      <w:pPr>
        <w:autoSpaceDE w:val="0"/>
        <w:spacing w:line="400" w:lineRule="atLeast"/>
        <w:rPr>
          <w:rFonts w:hint="eastAsia" w:ascii="宋体" w:hAnsi="宋体"/>
          <w:color w:val="auto"/>
          <w:szCs w:val="21"/>
          <w:highlight w:val="none"/>
        </w:rPr>
      </w:pPr>
    </w:p>
    <w:p>
      <w:pPr>
        <w:autoSpaceDE w:val="0"/>
        <w:spacing w:line="400" w:lineRule="atLeast"/>
        <w:ind w:left="239" w:firstLine="3150" w:firstLineChars="1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pPr>
        <w:autoSpaceDE w:val="0"/>
        <w:spacing w:line="400" w:lineRule="atLeast"/>
        <w:ind w:firstLine="240"/>
        <w:rPr>
          <w:rFonts w:hint="eastAsia" w:ascii="宋体" w:hAnsi="宋体"/>
          <w:color w:val="auto"/>
          <w:szCs w:val="21"/>
          <w:highlight w:val="none"/>
        </w:rPr>
      </w:pPr>
    </w:p>
    <w:p>
      <w:pPr>
        <w:autoSpaceDE w:val="0"/>
        <w:spacing w:line="400" w:lineRule="atLeast"/>
        <w:ind w:firstLine="3387" w:firstLineChars="1613"/>
        <w:rPr>
          <w:rFonts w:hint="eastAsia"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autoSpaceDE w:val="0"/>
        <w:spacing w:line="400" w:lineRule="atLeast"/>
        <w:ind w:firstLine="240"/>
        <w:rPr>
          <w:rFonts w:hint="eastAsia" w:ascii="宋体" w:hAnsi="宋体"/>
          <w:color w:val="auto"/>
          <w:szCs w:val="21"/>
          <w:highlight w:val="none"/>
        </w:rPr>
      </w:pPr>
    </w:p>
    <w:p>
      <w:pPr>
        <w:autoSpaceDE w:val="0"/>
        <w:ind w:left="2833" w:firstLine="2100"/>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5"/>
        <w:jc w:val="center"/>
        <w:rPr>
          <w:rFonts w:hint="eastAsia"/>
          <w:b/>
          <w:bCs/>
          <w:color w:val="auto"/>
          <w:sz w:val="28"/>
          <w:szCs w:val="28"/>
          <w:highlight w:val="none"/>
          <w:lang w:val="en-US"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资格审查文件</w:t>
      </w:r>
    </w:p>
    <w:p>
      <w:pPr>
        <w:rPr>
          <w:rFonts w:hint="eastAsia" w:ascii="宋体" w:hAnsi="宋体"/>
          <w:color w:val="auto"/>
          <w:highlight w:val="none"/>
        </w:rPr>
      </w:pPr>
    </w:p>
    <w:p>
      <w:pPr>
        <w:pStyle w:val="10"/>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jc w:val="center"/>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jc w:val="center"/>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jc w:val="center"/>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0"/>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0"/>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0"/>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7"/>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7"/>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7"/>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7"/>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30"/>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spacing w:line="360" w:lineRule="auto"/>
        <w:rPr>
          <w:rFonts w:hint="eastAsia" w:ascii="宋体" w:hAnsi="宋体" w:eastAsia="宋体" w:cs="宋体"/>
          <w:b/>
          <w:color w:val="auto"/>
          <w:sz w:val="24"/>
          <w:szCs w:val="24"/>
          <w:highlight w:val="none"/>
          <w:lang w:val="en-US"/>
        </w:rPr>
      </w:pPr>
      <w:r>
        <w:rPr>
          <w:rFonts w:hint="eastAsia" w:ascii="宋体" w:hAnsi="宋体"/>
          <w:b/>
          <w:bCs/>
          <w:color w:val="auto"/>
          <w:sz w:val="24"/>
          <w:szCs w:val="24"/>
          <w:highlight w:val="none"/>
          <w:lang w:val="en-US" w:eastAsia="zh-CN"/>
        </w:rPr>
        <w:t>3.</w:t>
      </w:r>
      <w:r>
        <w:rPr>
          <w:rFonts w:hint="eastAsia" w:ascii="宋体" w:hAnsi="宋体" w:eastAsia="宋体" w:cs="Times New Roman"/>
          <w:b/>
          <w:bCs/>
          <w:color w:val="auto"/>
          <w:kern w:val="2"/>
          <w:sz w:val="24"/>
          <w:szCs w:val="24"/>
          <w:highlight w:val="none"/>
          <w:lang w:val="en-US" w:eastAsia="zh-CN" w:bidi="ar-SA"/>
        </w:rPr>
        <w:t>信用查询</w:t>
      </w:r>
    </w:p>
    <w:p>
      <w:pPr>
        <w:pStyle w:val="10"/>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其他资料</w:t>
      </w:r>
    </w:p>
    <w:p>
      <w:pPr>
        <w:pStyle w:val="25"/>
        <w:rPr>
          <w:rFonts w:hint="eastAsia"/>
          <w:color w:val="auto"/>
          <w:sz w:val="21"/>
          <w:szCs w:val="21"/>
          <w:highlight w:val="none"/>
          <w:lang w:val="en-US" w:eastAsia="zh-CN"/>
        </w:rPr>
      </w:pPr>
      <w:r>
        <w:rPr>
          <w:rFonts w:hint="eastAsia" w:ascii="宋体" w:hAnsi="宋体"/>
          <w:color w:val="auto"/>
          <w:sz w:val="21"/>
          <w:szCs w:val="21"/>
          <w:highlight w:val="none"/>
        </w:rPr>
        <w:t>附：投标人按招标文件要求认为应提交的其他资料</w:t>
      </w:r>
    </w:p>
    <w:p>
      <w:pPr>
        <w:pStyle w:val="7"/>
        <w:rPr>
          <w:color w:val="auto"/>
          <w:highlight w:val="none"/>
        </w:rPr>
      </w:pPr>
    </w:p>
    <w:p>
      <w:pPr>
        <w:pStyle w:val="30"/>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5"/>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highlight w:val="none"/>
        </w:rPr>
      </w:pPr>
      <w:r>
        <w:rPr>
          <w:rFonts w:hint="eastAsia"/>
          <w:color w:val="auto"/>
          <w:highlight w:val="none"/>
        </w:rPr>
        <w:br w:type="page"/>
      </w:r>
    </w:p>
    <w:p>
      <w:pPr>
        <w:pStyle w:val="7"/>
        <w:rPr>
          <w:rFonts w:hint="eastAsia"/>
          <w:color w:val="auto"/>
          <w:highlight w:val="none"/>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4"/>
        <w:numPr>
          <w:ilvl w:val="0"/>
          <w:numId w:val="0"/>
        </w:numPr>
        <w:autoSpaceDE w:val="0"/>
        <w:jc w:val="center"/>
        <w:outlineLvl w:val="0"/>
        <w:rPr>
          <w:rFonts w:hint="eastAsia" w:ascii="宋体" w:hAnsi="宋体" w:eastAsia="宋体"/>
          <w:color w:val="auto"/>
          <w:sz w:val="28"/>
          <w:szCs w:val="28"/>
          <w:highlight w:val="none"/>
        </w:rPr>
      </w:pPr>
      <w:bookmarkStart w:id="728" w:name="其他资料"/>
      <w:bookmarkEnd w:id="728"/>
      <w:bookmarkStart w:id="729" w:name="_Toc534471640"/>
      <w:bookmarkStart w:id="730" w:name="_Toc499225504"/>
      <w:bookmarkStart w:id="731" w:name="_Toc534472079"/>
      <w:bookmarkStart w:id="732" w:name="_Toc60537409"/>
      <w:bookmarkStart w:id="733" w:name="_Toc10939"/>
      <w:bookmarkStart w:id="734" w:name="_Toc166"/>
      <w:r>
        <w:rPr>
          <w:rFonts w:hint="eastAsia" w:ascii="宋体" w:hAnsi="宋体" w:eastAsia="宋体"/>
          <w:color w:val="auto"/>
          <w:sz w:val="28"/>
          <w:szCs w:val="28"/>
          <w:highlight w:val="none"/>
          <w:lang w:val="en-US" w:eastAsia="zh-CN"/>
        </w:rPr>
        <w:t>七</w:t>
      </w:r>
      <w:r>
        <w:rPr>
          <w:rFonts w:hint="eastAsia" w:ascii="宋体" w:hAnsi="宋体" w:eastAsia="宋体"/>
          <w:color w:val="auto"/>
          <w:sz w:val="28"/>
          <w:szCs w:val="28"/>
          <w:highlight w:val="none"/>
        </w:rPr>
        <w:t>、其它资料</w:t>
      </w:r>
      <w:bookmarkEnd w:id="729"/>
      <w:bookmarkEnd w:id="730"/>
      <w:bookmarkEnd w:id="731"/>
      <w:bookmarkEnd w:id="732"/>
      <w:bookmarkEnd w:id="733"/>
      <w:bookmarkEnd w:id="734"/>
    </w:p>
    <w:p>
      <w:pPr>
        <w:autoSpaceDE w:val="0"/>
        <w:spacing w:line="360" w:lineRule="auto"/>
        <w:jc w:val="center"/>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highlight w:val="none"/>
        </w:rPr>
        <w:t>资料</w:t>
      </w:r>
    </w:p>
    <w:p>
      <w:pPr>
        <w:autoSpaceDE w:val="0"/>
        <w:spacing w:line="360" w:lineRule="auto"/>
        <w:jc w:val="center"/>
        <w:outlineLvl w:val="0"/>
        <w:rPr>
          <w:rFonts w:hint="eastAsia" w:ascii="宋体" w:hAnsi="宋体" w:eastAsia="宋体"/>
          <w:color w:val="auto"/>
          <w:sz w:val="21"/>
          <w:szCs w:val="21"/>
          <w:highlight w:val="none"/>
          <w:lang w:val="en-US" w:eastAsia="zh-CN"/>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pStyle w:val="4"/>
        <w:numPr>
          <w:ilvl w:val="0"/>
          <w:numId w:val="0"/>
        </w:numPr>
        <w:autoSpaceDE w:val="0"/>
        <w:spacing w:before="20" w:after="20"/>
        <w:jc w:val="both"/>
        <w:outlineLvl w:val="9"/>
        <w:rPr>
          <w:rFonts w:hint="eastAsia" w:ascii="宋体" w:hAnsi="宋体" w:eastAsia="宋体"/>
          <w:color w:val="auto"/>
          <w:sz w:val="36"/>
          <w:szCs w:val="36"/>
          <w:highlight w:val="none"/>
        </w:rPr>
      </w:pPr>
      <w:bookmarkStart w:id="735" w:name="_Toc534471641"/>
      <w:bookmarkStart w:id="736" w:name="_Toc534472080"/>
      <w:bookmarkStart w:id="737" w:name="_Toc60537416"/>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autoSpaceDE w:val="0"/>
        <w:spacing w:line="360" w:lineRule="auto"/>
        <w:jc w:val="center"/>
        <w:outlineLvl w:val="0"/>
        <w:rPr>
          <w:rFonts w:hint="eastAsia" w:ascii="宋体" w:hAnsi="宋体"/>
          <w:b/>
          <w:bCs/>
          <w:color w:val="auto"/>
          <w:sz w:val="52"/>
          <w:szCs w:val="52"/>
          <w:highlight w:val="none"/>
        </w:rPr>
      </w:pPr>
      <w:bookmarkStart w:id="738" w:name="_Toc15449"/>
      <w:r>
        <w:rPr>
          <w:rFonts w:hint="eastAsia" w:ascii="宋体" w:hAnsi="宋体"/>
          <w:b/>
          <w:bCs/>
          <w:color w:val="auto"/>
          <w:sz w:val="52"/>
          <w:szCs w:val="52"/>
          <w:highlight w:val="none"/>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8"/>
    <w:p>
      <w:pPr>
        <w:spacing w:line="360" w:lineRule="auto"/>
        <w:rPr>
          <w:rFonts w:hint="eastAsia" w:ascii="宋体" w:hAnsi="宋体"/>
          <w:strike/>
          <w:dstrike w:val="0"/>
          <w:color w:val="auto"/>
          <w:szCs w:val="21"/>
          <w:highlight w:val="none"/>
        </w:rPr>
      </w:pPr>
    </w:p>
    <w:p>
      <w:pPr>
        <w:pStyle w:val="4"/>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bookmarkStart w:id="739" w:name="_Toc17558"/>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pStyle w:val="4"/>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4"/>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rPr>
          <w:rFonts w:hint="eastAsia"/>
          <w:color w:val="auto"/>
          <w:highlight w:val="none"/>
        </w:rPr>
      </w:pPr>
    </w:p>
    <w:bookmarkEnd w:id="735"/>
    <w:bookmarkEnd w:id="736"/>
    <w:bookmarkEnd w:id="737"/>
    <w:bookmarkEnd w:id="739"/>
    <w:p>
      <w:pPr>
        <w:rPr>
          <w:color w:val="auto"/>
          <w:highlight w:val="none"/>
        </w:rPr>
      </w:pPr>
    </w:p>
    <w:sectPr>
      <w:headerReference r:id="rId12" w:type="first"/>
      <w:footerReference r:id="rId15" w:type="first"/>
      <w:headerReference r:id="rId10" w:type="default"/>
      <w:footerReference r:id="rId13" w:type="default"/>
      <w:headerReference r:id="rId11" w:type="even"/>
      <w:footerReference r:id="rId14"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lvl>
    <w:lvl w:ilvl="3" w:tentative="0">
      <w:start w:val="1"/>
      <w:numFmt w:val="decimal"/>
      <w:pStyle w:val="5"/>
      <w:lvlText w:val="5.2.%4"/>
      <w:lvlJc w:val="left"/>
      <w:pPr>
        <w:tabs>
          <w:tab w:val="left" w:pos="1080"/>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AA67C9"/>
    <w:rsid w:val="01C5574B"/>
    <w:rsid w:val="01D54D19"/>
    <w:rsid w:val="01DA23AF"/>
    <w:rsid w:val="01E274B5"/>
    <w:rsid w:val="01EA5B99"/>
    <w:rsid w:val="0223285E"/>
    <w:rsid w:val="022E1DE2"/>
    <w:rsid w:val="0252713F"/>
    <w:rsid w:val="027117C5"/>
    <w:rsid w:val="028506F8"/>
    <w:rsid w:val="028C57A6"/>
    <w:rsid w:val="02902A6D"/>
    <w:rsid w:val="038606A0"/>
    <w:rsid w:val="03BB7FBE"/>
    <w:rsid w:val="03DB7FB7"/>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5A80F2C"/>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D32FE4"/>
    <w:rsid w:val="0A014FE8"/>
    <w:rsid w:val="0A4725AB"/>
    <w:rsid w:val="0A6441B3"/>
    <w:rsid w:val="0A764C3F"/>
    <w:rsid w:val="0A8E55D0"/>
    <w:rsid w:val="0ACD1B99"/>
    <w:rsid w:val="0B4E5BBB"/>
    <w:rsid w:val="0B517646"/>
    <w:rsid w:val="0B6965DA"/>
    <w:rsid w:val="0B9335CE"/>
    <w:rsid w:val="0BA41A90"/>
    <w:rsid w:val="0BAD28E2"/>
    <w:rsid w:val="0BB43C70"/>
    <w:rsid w:val="0BB62B41"/>
    <w:rsid w:val="0BBC6DB9"/>
    <w:rsid w:val="0BD87233"/>
    <w:rsid w:val="0BE107DE"/>
    <w:rsid w:val="0BF03398"/>
    <w:rsid w:val="0C146CD0"/>
    <w:rsid w:val="0C267B5A"/>
    <w:rsid w:val="0C686809"/>
    <w:rsid w:val="0C782EF0"/>
    <w:rsid w:val="0C876B38"/>
    <w:rsid w:val="0C895801"/>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9D3F72"/>
    <w:rsid w:val="0FCA450C"/>
    <w:rsid w:val="0FD24FCC"/>
    <w:rsid w:val="0FDF14C1"/>
    <w:rsid w:val="0FEA38D8"/>
    <w:rsid w:val="0FF705D0"/>
    <w:rsid w:val="101F1692"/>
    <w:rsid w:val="10242A85"/>
    <w:rsid w:val="10271AE5"/>
    <w:rsid w:val="10311F64"/>
    <w:rsid w:val="10725EA8"/>
    <w:rsid w:val="109A0F5B"/>
    <w:rsid w:val="10A800F7"/>
    <w:rsid w:val="10AB4366"/>
    <w:rsid w:val="10AC760C"/>
    <w:rsid w:val="10E04EBD"/>
    <w:rsid w:val="10EB1FB3"/>
    <w:rsid w:val="110B357F"/>
    <w:rsid w:val="11101ECF"/>
    <w:rsid w:val="11162CD7"/>
    <w:rsid w:val="11292A0B"/>
    <w:rsid w:val="112B3BD1"/>
    <w:rsid w:val="1130750A"/>
    <w:rsid w:val="1134301E"/>
    <w:rsid w:val="113E522A"/>
    <w:rsid w:val="11D73061"/>
    <w:rsid w:val="11FC356C"/>
    <w:rsid w:val="1213495F"/>
    <w:rsid w:val="12165459"/>
    <w:rsid w:val="122272CD"/>
    <w:rsid w:val="12436A7A"/>
    <w:rsid w:val="12B8694C"/>
    <w:rsid w:val="12C51FC9"/>
    <w:rsid w:val="12CA5B28"/>
    <w:rsid w:val="12FC7CAB"/>
    <w:rsid w:val="13077FB9"/>
    <w:rsid w:val="130858E0"/>
    <w:rsid w:val="13184FA3"/>
    <w:rsid w:val="13307A58"/>
    <w:rsid w:val="13314807"/>
    <w:rsid w:val="13536AFE"/>
    <w:rsid w:val="138E761A"/>
    <w:rsid w:val="139E4797"/>
    <w:rsid w:val="13A570AB"/>
    <w:rsid w:val="13B16CE7"/>
    <w:rsid w:val="13D037EB"/>
    <w:rsid w:val="13DC1FB6"/>
    <w:rsid w:val="13DC4EDC"/>
    <w:rsid w:val="13EA3E94"/>
    <w:rsid w:val="143B7653"/>
    <w:rsid w:val="14742233"/>
    <w:rsid w:val="14D44347"/>
    <w:rsid w:val="14DF1632"/>
    <w:rsid w:val="14EB2A48"/>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8F65CC4"/>
    <w:rsid w:val="19472F5A"/>
    <w:rsid w:val="197A705F"/>
    <w:rsid w:val="197E58BE"/>
    <w:rsid w:val="19871871"/>
    <w:rsid w:val="19E636C9"/>
    <w:rsid w:val="1A145B6D"/>
    <w:rsid w:val="1A37028A"/>
    <w:rsid w:val="1A76020E"/>
    <w:rsid w:val="1A93555E"/>
    <w:rsid w:val="1AB1400D"/>
    <w:rsid w:val="1AB5530F"/>
    <w:rsid w:val="1AC47300"/>
    <w:rsid w:val="1AC756D5"/>
    <w:rsid w:val="1AD734D7"/>
    <w:rsid w:val="1AD93D10"/>
    <w:rsid w:val="1ADF1A49"/>
    <w:rsid w:val="1AEE041B"/>
    <w:rsid w:val="1B3D68D1"/>
    <w:rsid w:val="1B79458F"/>
    <w:rsid w:val="1B8C7796"/>
    <w:rsid w:val="1BA4071F"/>
    <w:rsid w:val="1BB04ED2"/>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573019"/>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716F7"/>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2F61103"/>
    <w:rsid w:val="231A78B0"/>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35025D"/>
    <w:rsid w:val="25480351"/>
    <w:rsid w:val="256703CA"/>
    <w:rsid w:val="256A0AA0"/>
    <w:rsid w:val="257F40F4"/>
    <w:rsid w:val="25865671"/>
    <w:rsid w:val="25D71B3C"/>
    <w:rsid w:val="25F25669"/>
    <w:rsid w:val="25F50CB6"/>
    <w:rsid w:val="25F5455C"/>
    <w:rsid w:val="25FF2699"/>
    <w:rsid w:val="26310685"/>
    <w:rsid w:val="26377520"/>
    <w:rsid w:val="264E426F"/>
    <w:rsid w:val="2676279C"/>
    <w:rsid w:val="26CB5E5E"/>
    <w:rsid w:val="26CF59AB"/>
    <w:rsid w:val="26CF789C"/>
    <w:rsid w:val="26D210A2"/>
    <w:rsid w:val="274D495D"/>
    <w:rsid w:val="27A44741"/>
    <w:rsid w:val="27BE5AEA"/>
    <w:rsid w:val="27CE13B8"/>
    <w:rsid w:val="27E2526A"/>
    <w:rsid w:val="27F37477"/>
    <w:rsid w:val="280166BC"/>
    <w:rsid w:val="281411E8"/>
    <w:rsid w:val="285D1488"/>
    <w:rsid w:val="28745F2A"/>
    <w:rsid w:val="287C121A"/>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B73169"/>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737A02"/>
    <w:rsid w:val="31D13FE7"/>
    <w:rsid w:val="321443BD"/>
    <w:rsid w:val="321A5D38"/>
    <w:rsid w:val="322F2A2C"/>
    <w:rsid w:val="322F7A5D"/>
    <w:rsid w:val="326675A7"/>
    <w:rsid w:val="327B181C"/>
    <w:rsid w:val="32896EC7"/>
    <w:rsid w:val="32A53B87"/>
    <w:rsid w:val="32D64474"/>
    <w:rsid w:val="32ED1692"/>
    <w:rsid w:val="334223F2"/>
    <w:rsid w:val="33704071"/>
    <w:rsid w:val="338833B7"/>
    <w:rsid w:val="339B67B0"/>
    <w:rsid w:val="339B7340"/>
    <w:rsid w:val="33B95D8C"/>
    <w:rsid w:val="33E278B0"/>
    <w:rsid w:val="33EA2A7A"/>
    <w:rsid w:val="33F04676"/>
    <w:rsid w:val="34333D66"/>
    <w:rsid w:val="34383A30"/>
    <w:rsid w:val="343B5BBD"/>
    <w:rsid w:val="34735BC7"/>
    <w:rsid w:val="34C87BDA"/>
    <w:rsid w:val="34D436AF"/>
    <w:rsid w:val="35004CDD"/>
    <w:rsid w:val="351031C1"/>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A02BC9"/>
    <w:rsid w:val="38AA5930"/>
    <w:rsid w:val="38C42E95"/>
    <w:rsid w:val="38C70290"/>
    <w:rsid w:val="38F90665"/>
    <w:rsid w:val="39131E86"/>
    <w:rsid w:val="392508F1"/>
    <w:rsid w:val="392576AC"/>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CE119ED"/>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692FDA"/>
    <w:rsid w:val="41913C67"/>
    <w:rsid w:val="41AF045B"/>
    <w:rsid w:val="41BD1D7E"/>
    <w:rsid w:val="41CA2B9F"/>
    <w:rsid w:val="41FA4A23"/>
    <w:rsid w:val="420F2CA7"/>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2255BC"/>
    <w:rsid w:val="464772DA"/>
    <w:rsid w:val="466D10C5"/>
    <w:rsid w:val="467A4511"/>
    <w:rsid w:val="469F17F0"/>
    <w:rsid w:val="46BA7686"/>
    <w:rsid w:val="46DD4403"/>
    <w:rsid w:val="46E6047B"/>
    <w:rsid w:val="471E5199"/>
    <w:rsid w:val="47264F1F"/>
    <w:rsid w:val="475278BE"/>
    <w:rsid w:val="4773335F"/>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AFA65FF"/>
    <w:rsid w:val="4B2C3E54"/>
    <w:rsid w:val="4B42237A"/>
    <w:rsid w:val="4B77246C"/>
    <w:rsid w:val="4B8447DA"/>
    <w:rsid w:val="4B884861"/>
    <w:rsid w:val="4C013661"/>
    <w:rsid w:val="4C030D78"/>
    <w:rsid w:val="4C0E1EFB"/>
    <w:rsid w:val="4C1712A7"/>
    <w:rsid w:val="4C182230"/>
    <w:rsid w:val="4CB30DFF"/>
    <w:rsid w:val="4CC87A07"/>
    <w:rsid w:val="4CDC65DC"/>
    <w:rsid w:val="4D3B2BA3"/>
    <w:rsid w:val="4DA30E74"/>
    <w:rsid w:val="4DC1754C"/>
    <w:rsid w:val="4DEB6377"/>
    <w:rsid w:val="4DFB55DB"/>
    <w:rsid w:val="4DFE42FC"/>
    <w:rsid w:val="4E0533EB"/>
    <w:rsid w:val="4E1C1720"/>
    <w:rsid w:val="4E4446C6"/>
    <w:rsid w:val="4E8A0739"/>
    <w:rsid w:val="4EA01857"/>
    <w:rsid w:val="4EA44A01"/>
    <w:rsid w:val="4EB64BD7"/>
    <w:rsid w:val="4EC63E69"/>
    <w:rsid w:val="4EEB6BD4"/>
    <w:rsid w:val="4EFD57A9"/>
    <w:rsid w:val="4EFD79A0"/>
    <w:rsid w:val="50045CBF"/>
    <w:rsid w:val="503C4C0D"/>
    <w:rsid w:val="50517B45"/>
    <w:rsid w:val="50857EB7"/>
    <w:rsid w:val="508A6E38"/>
    <w:rsid w:val="50B40843"/>
    <w:rsid w:val="50B90060"/>
    <w:rsid w:val="50BD4D0C"/>
    <w:rsid w:val="50E8625E"/>
    <w:rsid w:val="50EA256F"/>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6C35EEB"/>
    <w:rsid w:val="57002FB0"/>
    <w:rsid w:val="57047689"/>
    <w:rsid w:val="57250B4B"/>
    <w:rsid w:val="57444E15"/>
    <w:rsid w:val="57671164"/>
    <w:rsid w:val="57787C23"/>
    <w:rsid w:val="5782298A"/>
    <w:rsid w:val="57BB35B0"/>
    <w:rsid w:val="583568EE"/>
    <w:rsid w:val="585B7C18"/>
    <w:rsid w:val="585C5B58"/>
    <w:rsid w:val="589E1A0A"/>
    <w:rsid w:val="58A97DBC"/>
    <w:rsid w:val="58BA221B"/>
    <w:rsid w:val="58E816CF"/>
    <w:rsid w:val="58F419FA"/>
    <w:rsid w:val="58F72073"/>
    <w:rsid w:val="58F8556E"/>
    <w:rsid w:val="58FA2D4E"/>
    <w:rsid w:val="59503D81"/>
    <w:rsid w:val="595B0854"/>
    <w:rsid w:val="598751B5"/>
    <w:rsid w:val="5A626FE9"/>
    <w:rsid w:val="5AD909D9"/>
    <w:rsid w:val="5B184523"/>
    <w:rsid w:val="5B35258E"/>
    <w:rsid w:val="5B8F2A37"/>
    <w:rsid w:val="5BA27B68"/>
    <w:rsid w:val="5BAF6AAE"/>
    <w:rsid w:val="5BB3605C"/>
    <w:rsid w:val="5BCD3884"/>
    <w:rsid w:val="5BDF5F06"/>
    <w:rsid w:val="5BE30FD5"/>
    <w:rsid w:val="5BE379AC"/>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DE1076E"/>
    <w:rsid w:val="5E4915C3"/>
    <w:rsid w:val="5E4A0913"/>
    <w:rsid w:val="5E4F2952"/>
    <w:rsid w:val="5E793037"/>
    <w:rsid w:val="5E914D18"/>
    <w:rsid w:val="5EBD3748"/>
    <w:rsid w:val="5EE841A7"/>
    <w:rsid w:val="5EEF4199"/>
    <w:rsid w:val="5F0C25F1"/>
    <w:rsid w:val="5F683CCB"/>
    <w:rsid w:val="5F8623A3"/>
    <w:rsid w:val="5FB707AE"/>
    <w:rsid w:val="5FD3691E"/>
    <w:rsid w:val="604148B0"/>
    <w:rsid w:val="6075547A"/>
    <w:rsid w:val="60957D57"/>
    <w:rsid w:val="60AE2C5A"/>
    <w:rsid w:val="60D333C6"/>
    <w:rsid w:val="60DE687F"/>
    <w:rsid w:val="610F4FD1"/>
    <w:rsid w:val="61271964"/>
    <w:rsid w:val="61363955"/>
    <w:rsid w:val="61573F5A"/>
    <w:rsid w:val="61D218D0"/>
    <w:rsid w:val="61FA6CDE"/>
    <w:rsid w:val="622B7232"/>
    <w:rsid w:val="627E3805"/>
    <w:rsid w:val="62911749"/>
    <w:rsid w:val="629152E7"/>
    <w:rsid w:val="62B41D62"/>
    <w:rsid w:val="63212B0F"/>
    <w:rsid w:val="634B7B8C"/>
    <w:rsid w:val="636B397A"/>
    <w:rsid w:val="63816D67"/>
    <w:rsid w:val="63A830B1"/>
    <w:rsid w:val="63BF2452"/>
    <w:rsid w:val="63C464CF"/>
    <w:rsid w:val="63CA432B"/>
    <w:rsid w:val="63F7431A"/>
    <w:rsid w:val="641E4715"/>
    <w:rsid w:val="644C6EE4"/>
    <w:rsid w:val="6454481E"/>
    <w:rsid w:val="646B7DB9"/>
    <w:rsid w:val="648115A5"/>
    <w:rsid w:val="648157A3"/>
    <w:rsid w:val="6486074F"/>
    <w:rsid w:val="64A07A63"/>
    <w:rsid w:val="64BA36C3"/>
    <w:rsid w:val="64C574CA"/>
    <w:rsid w:val="64CD5585"/>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6EB0DCE"/>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BB6F2A"/>
    <w:rsid w:val="6CBC081A"/>
    <w:rsid w:val="6CD02860"/>
    <w:rsid w:val="6CE824D1"/>
    <w:rsid w:val="6D2E412A"/>
    <w:rsid w:val="6D5B082B"/>
    <w:rsid w:val="6D8A0074"/>
    <w:rsid w:val="6D8F27FB"/>
    <w:rsid w:val="6DC320E8"/>
    <w:rsid w:val="6DE07122"/>
    <w:rsid w:val="6E190DC1"/>
    <w:rsid w:val="6E1B45FE"/>
    <w:rsid w:val="6E3D2E95"/>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223A22"/>
    <w:rsid w:val="70337CAA"/>
    <w:rsid w:val="70470E71"/>
    <w:rsid w:val="704C3DC9"/>
    <w:rsid w:val="70714D0A"/>
    <w:rsid w:val="707F2C23"/>
    <w:rsid w:val="709A3F00"/>
    <w:rsid w:val="70FE36DC"/>
    <w:rsid w:val="715B75FC"/>
    <w:rsid w:val="7195188A"/>
    <w:rsid w:val="71CF5972"/>
    <w:rsid w:val="71FC1D41"/>
    <w:rsid w:val="725F0D4F"/>
    <w:rsid w:val="72BB7B79"/>
    <w:rsid w:val="73491BB0"/>
    <w:rsid w:val="73774146"/>
    <w:rsid w:val="73AF2AF6"/>
    <w:rsid w:val="73C2382E"/>
    <w:rsid w:val="74185868"/>
    <w:rsid w:val="74404DBF"/>
    <w:rsid w:val="744A79EB"/>
    <w:rsid w:val="74600FBD"/>
    <w:rsid w:val="7473634F"/>
    <w:rsid w:val="74A85D11"/>
    <w:rsid w:val="74BF645B"/>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A559BB"/>
    <w:rsid w:val="78C44F7C"/>
    <w:rsid w:val="78E7331B"/>
    <w:rsid w:val="78ED6C6A"/>
    <w:rsid w:val="790C238F"/>
    <w:rsid w:val="79353A56"/>
    <w:rsid w:val="794C66AF"/>
    <w:rsid w:val="79607369"/>
    <w:rsid w:val="79B64568"/>
    <w:rsid w:val="79CD0EA3"/>
    <w:rsid w:val="79D6734C"/>
    <w:rsid w:val="79DC2E94"/>
    <w:rsid w:val="79FB16FB"/>
    <w:rsid w:val="7A036672"/>
    <w:rsid w:val="7A0F7856"/>
    <w:rsid w:val="7A292182"/>
    <w:rsid w:val="7A376159"/>
    <w:rsid w:val="7A3C3932"/>
    <w:rsid w:val="7A523156"/>
    <w:rsid w:val="7A923E9A"/>
    <w:rsid w:val="7A9814B1"/>
    <w:rsid w:val="7A9A3BF0"/>
    <w:rsid w:val="7AA716F4"/>
    <w:rsid w:val="7B1F2B23"/>
    <w:rsid w:val="7B7610C6"/>
    <w:rsid w:val="7BAB5214"/>
    <w:rsid w:val="7BBB101B"/>
    <w:rsid w:val="7BD56555"/>
    <w:rsid w:val="7C2407F5"/>
    <w:rsid w:val="7C2B3C5E"/>
    <w:rsid w:val="7C2F7997"/>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7A5397"/>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2">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4">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6">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Body Text 3"/>
    <w:basedOn w:val="1"/>
    <w:qFormat/>
    <w:uiPriority w:val="0"/>
    <w:rPr>
      <w:rFonts w:ascii="宋体" w:hAnsi="Calibri"/>
      <w:sz w:val="24"/>
      <w:szCs w:val="20"/>
    </w:rPr>
  </w:style>
  <w:style w:type="paragraph" w:styleId="10">
    <w:name w:val="Body Text"/>
    <w:basedOn w:val="1"/>
    <w:next w:val="1"/>
    <w:qFormat/>
    <w:uiPriority w:val="0"/>
    <w:rPr>
      <w:sz w:val="32"/>
      <w:szCs w:val="20"/>
    </w:rPr>
  </w:style>
  <w:style w:type="paragraph" w:styleId="11">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2">
    <w:name w:val="Plain Text"/>
    <w:basedOn w:val="1"/>
    <w:next w:val="1"/>
    <w:qFormat/>
    <w:uiPriority w:val="0"/>
    <w:rPr>
      <w:rFonts w:ascii="宋体" w:hAnsi="Courier New" w:eastAsia="华文宋体"/>
      <w:sz w:val="28"/>
      <w:szCs w:val="20"/>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unhideWhenUsed/>
    <w:qFormat/>
    <w:uiPriority w:val="99"/>
    <w:rPr>
      <w:color w:val="0563C1" w:themeColor="hyperlink"/>
      <w:u w:val="single"/>
      <w14:textFill>
        <w14:solidFill>
          <w14:schemeClr w14:val="hlink"/>
        </w14:solidFill>
      </w14:textFill>
    </w:rPr>
  </w:style>
  <w:style w:type="paragraph" w:customStyle="1" w:styleId="24">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p0"/>
    <w:basedOn w:val="1"/>
    <w:qFormat/>
    <w:uiPriority w:val="0"/>
    <w:pPr>
      <w:widowControl/>
      <w:jc w:val="left"/>
    </w:pPr>
    <w:rPr>
      <w:kern w:val="0"/>
      <w:sz w:val="24"/>
    </w:rPr>
  </w:style>
  <w:style w:type="paragraph" w:customStyle="1" w:styleId="27">
    <w:name w:val="Table Paragraph"/>
    <w:basedOn w:val="1"/>
    <w:next w:val="28"/>
    <w:qFormat/>
    <w:uiPriority w:val="1"/>
    <w:pPr>
      <w:jc w:val="left"/>
    </w:pPr>
    <w:rPr>
      <w:rFonts w:ascii="Calibri" w:hAnsi="Calibri" w:eastAsia="宋体" w:cs="Times New Roman"/>
      <w:kern w:val="0"/>
      <w:sz w:val="22"/>
      <w:szCs w:val="22"/>
      <w:lang w:eastAsia="en-US"/>
    </w:rPr>
  </w:style>
  <w:style w:type="paragraph" w:customStyle="1" w:styleId="28">
    <w:name w:val="xl91"/>
    <w:basedOn w:val="1"/>
    <w:next w:val="29"/>
    <w:qFormat/>
    <w:uiPriority w:val="99"/>
    <w:pPr>
      <w:widowControl/>
      <w:spacing w:before="280" w:after="280"/>
      <w:jc w:val="center"/>
    </w:pPr>
    <w:rPr>
      <w:color w:val="FF0000"/>
      <w:sz w:val="24"/>
    </w:rPr>
  </w:style>
  <w:style w:type="paragraph" w:customStyle="1" w:styleId="29">
    <w:name w:val="目录 92"/>
    <w:basedOn w:val="1"/>
    <w:next w:val="1"/>
    <w:qFormat/>
    <w:uiPriority w:val="99"/>
    <w:pPr>
      <w:ind w:left="1680"/>
    </w:pPr>
  </w:style>
  <w:style w:type="paragraph" w:customStyle="1" w:styleId="30">
    <w:name w:val="样式 宋体 小四 行距: 1.5 倍行距"/>
    <w:basedOn w:val="1"/>
    <w:qFormat/>
    <w:uiPriority w:val="0"/>
    <w:rPr>
      <w:rFonts w:ascii="宋体" w:hAnsi="宋体" w:cs="宋体"/>
      <w:sz w:val="28"/>
    </w:rPr>
  </w:style>
  <w:style w:type="character" w:customStyle="1" w:styleId="31">
    <w:name w:val="font41"/>
    <w:basedOn w:val="20"/>
    <w:qFormat/>
    <w:uiPriority w:val="0"/>
    <w:rPr>
      <w:rFonts w:hint="default" w:ascii="Times New Roman" w:hAnsi="Times New Roman" w:cs="Times New Roman"/>
      <w:color w:val="000000"/>
      <w:sz w:val="21"/>
      <w:szCs w:val="21"/>
      <w:u w:val="none"/>
    </w:rPr>
  </w:style>
  <w:style w:type="character" w:customStyle="1" w:styleId="32">
    <w:name w:val="font31"/>
    <w:basedOn w:val="20"/>
    <w:qFormat/>
    <w:uiPriority w:val="0"/>
    <w:rPr>
      <w:rFonts w:hint="eastAsia" w:ascii="宋体" w:hAnsi="宋体" w:eastAsia="宋体" w:cs="宋体"/>
      <w:color w:val="000000"/>
      <w:sz w:val="21"/>
      <w:szCs w:val="21"/>
      <w:u w:val="none"/>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样式 宋体 行距: 1.5 倍行距"/>
    <w:basedOn w:val="1"/>
    <w:qFormat/>
    <w:uiPriority w:val="0"/>
    <w:pPr>
      <w:jc w:val="center"/>
    </w:pPr>
    <w:rPr>
      <w:rFonts w:ascii="Times New Roman" w:hAnsi="Times New Roman"/>
      <w:b/>
    </w:rPr>
  </w:style>
  <w:style w:type="character" w:customStyle="1" w:styleId="36">
    <w:name w:val="标题 3 Char Char"/>
    <w:qFormat/>
    <w:uiPriority w:val="0"/>
    <w:rPr>
      <w:rFonts w:ascii="Verdana" w:hAnsi="Verdana" w:eastAsia="宋体"/>
      <w:b/>
      <w:bCs/>
      <w:iCs/>
      <w:color w:val="000000"/>
      <w:kern w:val="2"/>
      <w:sz w:val="24"/>
      <w:szCs w:val="32"/>
      <w:lang w:val="en-US" w:eastAsia="zh-CN" w:bidi="ar-SA"/>
    </w:rPr>
  </w:style>
  <w:style w:type="paragraph" w:customStyle="1" w:styleId="37">
    <w:name w:val="标题 41"/>
    <w:basedOn w:val="1"/>
    <w:qFormat/>
    <w:uiPriority w:val="1"/>
    <w:pPr>
      <w:ind w:left="916" w:hanging="562"/>
      <w:outlineLvl w:val="4"/>
    </w:pPr>
    <w:rPr>
      <w:sz w:val="28"/>
      <w:szCs w:val="28"/>
    </w:rPr>
  </w:style>
  <w:style w:type="paragraph" w:styleId="38">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46516</Words>
  <Characters>49874</Characters>
  <Lines>0</Lines>
  <Paragraphs>0</Paragraphs>
  <TotalTime>7</TotalTime>
  <ScaleCrop>false</ScaleCrop>
  <LinksUpToDate>false</LinksUpToDate>
  <CharactersWithSpaces>54607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回归线</cp:lastModifiedBy>
  <cp:lastPrinted>2023-03-07T06:43:00Z</cp:lastPrinted>
  <dcterms:modified xsi:type="dcterms:W3CDTF">2023-09-28T07:32:15Z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457B48991CDA4981979F08181D0B032E_13</vt:lpwstr>
  </property>
  <property fmtid="{D5CDD505-2E9C-101B-9397-08002B2CF9AE}" pid="4" name="commondata">
    <vt:lpwstr>eyJoZGlkIjoiNTQwZDYwMTNhMDI1NDVhMTQ0ZGE0MGQ1NjNlMjBlZTMifQ==</vt:lpwstr>
  </property>
</Properties>
</file>