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36"/>
          <w:szCs w:val="36"/>
          <w14:textFill>
            <w14:solidFill>
              <w14:schemeClr w14:val="tx1"/>
            </w14:solidFill>
          </w14:textFill>
        </w:rPr>
      </w:pPr>
      <w:bookmarkStart w:id="0" w:name="_Toc514757448"/>
      <w:bookmarkStart w:id="1" w:name="_Toc503235805"/>
      <w:r>
        <w:rPr>
          <w:rFonts w:ascii="宋体" w:hAnsi="宋体" w:eastAsia="宋体" w:cs="宋体"/>
          <w:b/>
          <w:color w:val="000000" w:themeColor="text1"/>
          <w:sz w:val="36"/>
          <w:szCs w:val="36"/>
          <w14:textFill>
            <w14:solidFill>
              <w14:schemeClr w14:val="tx1"/>
            </w14:solidFill>
          </w14:textFill>
        </w:rPr>
        <w:t>第三章  评标办法（综合评估法）</w:t>
      </w:r>
      <w:bookmarkEnd w:id="0"/>
      <w:bookmarkEnd w:id="1"/>
    </w:p>
    <w:p>
      <w:pPr>
        <w:rPr>
          <w:rFonts w:ascii="宋体" w:hAnsi="宋体" w:eastAsia="宋体"/>
          <w:b/>
          <w:color w:val="000000" w:themeColor="text1"/>
          <w14:textFill>
            <w14:solidFill>
              <w14:schemeClr w14:val="tx1"/>
            </w14:solidFill>
          </w14:textFill>
        </w:rPr>
      </w:pPr>
      <w:bookmarkStart w:id="2" w:name="_Toc503235806"/>
      <w:bookmarkStart w:id="3" w:name="_Toc20233"/>
      <w:bookmarkStart w:id="4" w:name="_Toc514757449"/>
      <w:bookmarkStart w:id="5" w:name="_Toc21370397"/>
      <w:r>
        <w:rPr>
          <w:rFonts w:ascii="宋体" w:hAnsi="宋体" w:eastAsia="宋体"/>
          <w:b/>
          <w:color w:val="000000" w:themeColor="text1"/>
          <w14:textFill>
            <w14:solidFill>
              <w14:schemeClr w14:val="tx1"/>
            </w14:solidFill>
          </w14:textFill>
        </w:rPr>
        <w:t>评标办法前附表</w:t>
      </w:r>
      <w:bookmarkEnd w:id="2"/>
      <w:bookmarkEnd w:id="3"/>
      <w:bookmarkEnd w:id="4"/>
      <w:bookmarkEnd w:id="5"/>
    </w:p>
    <w:tbl>
      <w:tblPr>
        <w:tblStyle w:val="7"/>
        <w:tblW w:w="97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34"/>
        <w:gridCol w:w="7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84" w:type="dxa"/>
            <w:gridSpan w:val="2"/>
            <w:vAlign w:val="center"/>
          </w:tcPr>
          <w:p>
            <w:pPr>
              <w:spacing w:line="440" w:lineRule="exact"/>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条款号</w:t>
            </w:r>
          </w:p>
        </w:tc>
        <w:tc>
          <w:tcPr>
            <w:tcW w:w="7626" w:type="dxa"/>
            <w:vAlign w:val="center"/>
          </w:tcPr>
          <w:p>
            <w:pPr>
              <w:spacing w:line="440" w:lineRule="exact"/>
              <w:jc w:val="center"/>
              <w:rPr>
                <w:rFonts w:ascii="宋体" w:hAnsi="宋体" w:eastAsia="宋体" w:cs="宋体"/>
                <w:b/>
                <w:color w:val="000000" w:themeColor="text1"/>
                <w:spacing w:val="4"/>
                <w:szCs w:val="21"/>
                <w14:textFill>
                  <w14:solidFill>
                    <w14:schemeClr w14:val="tx1"/>
                  </w14:solidFill>
                </w14:textFill>
              </w:rPr>
            </w:pPr>
            <w:r>
              <w:rPr>
                <w:rFonts w:hint="eastAsia" w:ascii="宋体" w:hAnsi="宋体" w:eastAsia="宋体" w:cs="宋体"/>
                <w:b/>
                <w:color w:val="000000" w:themeColor="text1"/>
                <w:spacing w:val="4"/>
                <w:szCs w:val="21"/>
                <w14:textFill>
                  <w14:solidFill>
                    <w14:schemeClr w14:val="tx1"/>
                  </w14:solidFill>
                </w14:textFill>
              </w:rPr>
              <w:t>评审因素与评审标准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Align w:val="center"/>
          </w:tcPr>
          <w:p>
            <w:pPr>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134" w:type="dxa"/>
            <w:vAlign w:val="center"/>
          </w:tcPr>
          <w:p>
            <w:pPr>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评标方法</w:t>
            </w:r>
          </w:p>
        </w:tc>
        <w:tc>
          <w:tcPr>
            <w:tcW w:w="7626" w:type="dxa"/>
            <w:vAlign w:val="center"/>
          </w:tcPr>
          <w:p>
            <w:pPr>
              <w:spacing w:line="440" w:lineRule="exac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综合评分相等时</w:t>
            </w:r>
            <w:r>
              <w:rPr>
                <w:rFonts w:hint="eastAsia" w:ascii="宋体" w:hAnsi="宋体" w:eastAsia="宋体" w:cs="Malgun Gothic Semilight"/>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评标委员会依次按照以下优先顺序推荐中标候选人或确定中标人</w:t>
            </w:r>
            <w:r>
              <w:rPr>
                <w:rFonts w:hint="eastAsia" w:ascii="宋体" w:hAnsi="宋体" w:eastAsia="宋体" w:cs="Malgun Gothic Semilight"/>
                <w:color w:val="000000" w:themeColor="text1"/>
                <w:szCs w:val="21"/>
                <w14:textFill>
                  <w14:solidFill>
                    <w14:schemeClr w14:val="tx1"/>
                  </w14:solidFill>
                </w14:textFill>
              </w:rPr>
              <w:t>：</w:t>
            </w:r>
          </w:p>
          <w:p>
            <w:pPr>
              <w:spacing w:line="44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评标价低的投标人优先</w:t>
            </w:r>
            <w:r>
              <w:rPr>
                <w:rFonts w:hint="eastAsia" w:ascii="宋体" w:hAnsi="宋体" w:eastAsia="宋体" w:cs="Malgun Gothic Semilight"/>
                <w:color w:val="000000" w:themeColor="text1"/>
                <w:szCs w:val="21"/>
                <w14:textFill>
                  <w14:solidFill>
                    <w14:schemeClr w14:val="tx1"/>
                  </w14:solidFill>
                </w14:textFill>
              </w:rPr>
              <w:t>；</w:t>
            </w:r>
          </w:p>
          <w:p>
            <w:pPr>
              <w:spacing w:line="440" w:lineRule="exac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商务得分较高的投标人优先</w:t>
            </w:r>
            <w:r>
              <w:rPr>
                <w:rFonts w:hint="eastAsia" w:ascii="宋体" w:hAnsi="宋体" w:eastAsia="宋体" w:cs="Malgun Gothic Semilight"/>
                <w:color w:val="000000" w:themeColor="text1"/>
                <w:szCs w:val="21"/>
                <w14:textFill>
                  <w14:solidFill>
                    <w14:schemeClr w14:val="tx1"/>
                  </w14:solidFill>
                </w14:textFill>
              </w:rPr>
              <w:t>；</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由评标委员会视投标人情况综合比较</w:t>
            </w:r>
            <w:r>
              <w:rPr>
                <w:rFonts w:hint="eastAsia" w:ascii="宋体" w:hAnsi="宋体" w:eastAsia="宋体" w:cs="Malgun Gothic Semilight"/>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投票确定其名次</w:t>
            </w:r>
            <w:r>
              <w:rPr>
                <w:rFonts w:hint="eastAsia" w:ascii="宋体" w:hAnsi="宋体" w:eastAsia="宋体" w:cs="Malgun Gothic Semilight"/>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950" w:type="dxa"/>
            <w:vAlign w:val="center"/>
          </w:tcPr>
          <w:p>
            <w:pPr>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w:t>
            </w:r>
          </w:p>
          <w:p>
            <w:pPr>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2.1.3</w:t>
            </w:r>
          </w:p>
        </w:tc>
        <w:tc>
          <w:tcPr>
            <w:tcW w:w="1134" w:type="dxa"/>
            <w:vAlign w:val="center"/>
          </w:tcPr>
          <w:p>
            <w:pPr>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形式评审与响应性评审标准</w:t>
            </w:r>
          </w:p>
        </w:tc>
        <w:tc>
          <w:tcPr>
            <w:tcW w:w="7626" w:type="dxa"/>
            <w:vAlign w:val="center"/>
          </w:tcPr>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第一个信封（商务及技术建议书）评审标准：</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⑴投标文件按照招标文件规定的格式、内容填写，字迹清晰可辨：</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a.投标函按招标文件规定填报了项目名称、补遗书编号（如有）、服务期限；</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b.投标文件组成齐全完整，内容均按规定填写。</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⑵投标文件上法定代表人或其委托代理人的签字、投标人的单位章盖章齐全，符合招标文件规定。</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⑶投标人按照招标文件的规定提供了投标保证金：</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a.投标保证金金额符合招标文件规定的金额，且投标保证金有效期不少于投标有效期；</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b.若投标保证金采用现金或支票提交，</w:t>
            </w:r>
            <w:r>
              <w:rPr>
                <w:rFonts w:hint="eastAsia" w:ascii="宋体" w:hAnsi="宋体" w:eastAsia="宋体" w:cs="宋体"/>
                <w:color w:val="000000" w:themeColor="text1"/>
                <w14:textFill>
                  <w14:solidFill>
                    <w14:schemeClr w14:val="tx1"/>
                  </w14:solidFill>
                </w14:textFill>
              </w:rPr>
              <w:t>投标人应在投标人须知3.4.1项规定的时间</w:t>
            </w:r>
            <w:r>
              <w:rPr>
                <w:rFonts w:hint="eastAsia" w:ascii="宋体" w:hAnsi="宋体" w:eastAsia="宋体" w:cs="宋体"/>
                <w:color w:val="000000" w:themeColor="text1"/>
                <w:szCs w:val="21"/>
                <w14:textFill>
                  <w14:solidFill>
                    <w14:schemeClr w14:val="tx1"/>
                  </w14:solidFill>
                </w14:textFill>
              </w:rPr>
              <w:t>，将投标保证金由投标人的基本账户转入招标人指定账户；</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w:t>
            </w:r>
            <w:r>
              <w:rPr>
                <w:rFonts w:hint="eastAsia" w:ascii="宋体" w:hAnsi="宋体" w:eastAsia="宋体" w:cs="宋体"/>
                <w:color w:val="000000" w:themeColor="text1"/>
                <w14:textFill>
                  <w14:solidFill>
                    <w14:schemeClr w14:val="tx1"/>
                  </w14:solidFill>
                </w14:textFill>
              </w:rPr>
              <w:t>若投标保证金采用银行保函或投标人须知前附表3.4.1项规定的其他形式提交，则满足招标文件要求</w:t>
            </w:r>
            <w:r>
              <w:rPr>
                <w:rFonts w:hint="eastAsia" w:ascii="宋体" w:hAnsi="宋体" w:eastAsia="宋体" w:cs="宋体"/>
                <w:color w:val="000000" w:themeColor="text1"/>
                <w:szCs w:val="21"/>
                <w14:textFill>
                  <w14:solidFill>
                    <w14:schemeClr w14:val="tx1"/>
                  </w14:solidFill>
                </w14:textFill>
              </w:rPr>
              <w:t>。</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⑷投标人法定代表人授权委托代理人签署投标文件的，须提交授权委托书，且授权人和被授权人均在授权委托书上签名，未使用印章、签名章或其他电子制版签名代替。</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⑸投标人法定代表人亲自签署投标文件的，提供了法定代表人身份证明，且法定代表人在法定代表人身份证明上签名，未使用印章、签名章或其他电子制版签名代替。</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⑹</w:t>
            </w:r>
            <w:r>
              <w:rPr>
                <w:rFonts w:hint="eastAsia" w:ascii="宋体" w:hAnsi="宋体" w:eastAsia="宋体"/>
                <w:color w:val="000000" w:themeColor="text1"/>
                <w14:textFill>
                  <w14:solidFill>
                    <w14:schemeClr w14:val="tx1"/>
                  </w14:solidFill>
                </w14:textFill>
              </w:rPr>
              <w:t>投标人以联合体形式投标时，联合体满足招标文件的要求，且按照招标文件提供的格式签订了联合体协议书，明确各方承担连带责任，并明确了联合体牵头人</w:t>
            </w:r>
            <w:r>
              <w:rPr>
                <w:rFonts w:hint="eastAsia" w:ascii="宋体" w:hAnsi="宋体" w:eastAsia="宋体" w:cs="宋体"/>
                <w:color w:val="000000" w:themeColor="text1"/>
                <w:szCs w:val="21"/>
                <w14:textFill>
                  <w14:solidFill>
                    <w14:schemeClr w14:val="tx1"/>
                  </w14:solidFill>
                </w14:textFill>
              </w:rPr>
              <w:t>。</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⑺同一投标人未提交两个以上不同的投标文件。</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⑻投标文件中未出现有关投标报价的内容。</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⑼投标文件载明的招标项目完成期限未超过招标文件规定的时限。</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⑽投标文件对招标文件的实质性要求和条件作出响应。</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⑾权利义务符合招标文件规定：</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a.投标人应接受招标文件规定的风险划分原则，未提出新的风险划分办法；</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b.投标人未增加委托人的责任范围，或减少投标人义务；</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c.投标人未提出不同的支付办法；</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d.投标人对合同纠纷、事故处理办法未提出异议；</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e.投标人在投标活动中无欺诈行为；</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f.投标人未对合同条款有重要保留。</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第二个信封（报价文件）评审标准：</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⑴投标文件按照招标文件规定的格式、内容填写，字迹清晰可辨，内容齐全完整：</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a.投标函按招标文件规定填报了项目名称、补遗书编号（如有）、投标价（包括大写金额和小写金额、投标下浮率）；</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b.已标价报价清单说明文字与招标文件规定一致，未进行实质性修改和删减；</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c.投标文件组成齐全完整，内容均按规定填写。</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⑵投标文件上法定代表人或其委托代理人的签字、投标人的单位章盖章齐全，符合招标文件规定。</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⑶投标报价未超过招标文件设定的最高投标限价。</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⑷投标报价的大写金额能够确定具体数值。</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⑸同一投标人未提交两个以上不同的投标报价。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950" w:type="dxa"/>
            <w:vAlign w:val="center"/>
          </w:tcPr>
          <w:p>
            <w:pPr>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2.1.2</w:t>
            </w:r>
          </w:p>
        </w:tc>
        <w:tc>
          <w:tcPr>
            <w:tcW w:w="1134" w:type="dxa"/>
            <w:vAlign w:val="center"/>
          </w:tcPr>
          <w:p>
            <w:pPr>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资格评审标准</w:t>
            </w:r>
          </w:p>
        </w:tc>
        <w:tc>
          <w:tcPr>
            <w:tcW w:w="7626" w:type="dxa"/>
            <w:vAlign w:val="center"/>
          </w:tcPr>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⑴投标人具备有效的企业法人营业执照（或事业单位法人证书）</w:t>
            </w:r>
            <w:r>
              <w:rPr>
                <w:rFonts w:hint="eastAsia" w:ascii="宋体" w:hAnsi="宋体" w:eastAsia="宋体" w:cs="宋体"/>
                <w:snapToGrid w:val="0"/>
                <w:color w:val="000000" w:themeColor="text1"/>
                <w:szCs w:val="21"/>
                <w14:textFill>
                  <w14:solidFill>
                    <w14:schemeClr w14:val="tx1"/>
                  </w14:solidFill>
                </w14:textFill>
              </w:rPr>
              <w:t>、</w:t>
            </w:r>
            <w:r>
              <w:rPr>
                <w:rStyle w:val="9"/>
                <w:rFonts w:hint="eastAsia" w:ascii="宋体" w:hAnsi="宋体" w:eastAsia="宋体" w:cs="宋体"/>
                <w:color w:val="000000" w:themeColor="text1"/>
                <w:sz w:val="21"/>
                <w:szCs w:val="21"/>
                <w:lang w:val="zh-CN"/>
                <w14:textFill>
                  <w14:solidFill>
                    <w14:schemeClr w14:val="tx1"/>
                  </w14:solidFill>
                </w14:textFill>
              </w:rPr>
              <w:t>基本账户开户许可证（如企业所在地已取消企业银行账户许可而无法提供开户许可证的，则需附上</w:t>
            </w:r>
            <w:r>
              <w:rPr>
                <w:rStyle w:val="9"/>
                <w:rFonts w:ascii="宋体" w:hAnsi="宋体" w:eastAsia="宋体" w:cs="宋体"/>
                <w:color w:val="000000" w:themeColor="text1"/>
                <w:sz w:val="21"/>
                <w:szCs w:val="21"/>
                <w:lang w:val="zh-CN"/>
                <w14:textFill>
                  <w14:solidFill>
                    <w14:schemeClr w14:val="tx1"/>
                  </w14:solidFill>
                </w14:textFill>
              </w:rPr>
              <w:t xml:space="preserve"> “基本存款</w:t>
            </w:r>
            <w:r>
              <w:rPr>
                <w:rStyle w:val="9"/>
                <w:rFonts w:hint="eastAsia" w:ascii="宋体" w:hAnsi="宋体" w:eastAsia="宋体" w:cs="宋体"/>
                <w:color w:val="000000" w:themeColor="text1"/>
                <w:sz w:val="21"/>
                <w:szCs w:val="21"/>
                <w:lang w:val="zh-CN"/>
                <w14:textFill>
                  <w14:solidFill>
                    <w14:schemeClr w14:val="tx1"/>
                  </w14:solidFill>
                </w14:textFill>
              </w:rPr>
              <w:t>账户信息”或“人民银行账户管理系统查询的基本账户信息截图”）的扫描件</w:t>
            </w:r>
            <w:r>
              <w:rPr>
                <w:rFonts w:hint="eastAsia" w:ascii="宋体" w:hAnsi="宋体" w:eastAsia="宋体" w:cs="宋体"/>
                <w:color w:val="000000" w:themeColor="text1"/>
                <w:szCs w:val="21"/>
                <w14:textFill>
                  <w14:solidFill>
                    <w14:schemeClr w14:val="tx1"/>
                  </w14:solidFill>
                </w14:textFill>
              </w:rPr>
              <w:t>。</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⑵投标人的资格符合招标文件规定。</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⑶投标人的业绩符合招标文件规定。</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⑷投标人的</w:t>
            </w:r>
            <w:r>
              <w:rPr>
                <w:rFonts w:hint="eastAsia" w:ascii="宋体" w:hAnsi="宋体" w:eastAsia="宋体" w:cs="宋体"/>
                <w:snapToGrid w:val="0"/>
                <w:color w:val="000000" w:themeColor="text1"/>
                <w:szCs w:val="21"/>
                <w14:textFill>
                  <w14:solidFill>
                    <w14:schemeClr w14:val="tx1"/>
                  </w14:solidFill>
                </w14:textFill>
              </w:rPr>
              <w:t>主要人员</w:t>
            </w:r>
            <w:r>
              <w:rPr>
                <w:rFonts w:hint="eastAsia" w:ascii="宋体" w:hAnsi="宋体" w:eastAsia="宋体" w:cs="宋体"/>
                <w:color w:val="000000" w:themeColor="text1"/>
                <w:szCs w:val="21"/>
                <w14:textFill>
                  <w14:solidFill>
                    <w14:schemeClr w14:val="tx1"/>
                  </w14:solidFill>
                </w14:textFill>
              </w:rPr>
              <w:t>符合招标文件规定。</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⑸投标人不存在第二章“投标人须知”第1.4.3项或第1.4.4项规定的任何一种情形。</w:t>
            </w:r>
          </w:p>
        </w:tc>
      </w:tr>
    </w:tbl>
    <w:p>
      <w:pPr>
        <w:jc w:val="right"/>
        <w:rPr>
          <w:rFonts w:ascii="宋体" w:hAnsi="宋体" w:eastAsia="宋体"/>
          <w:color w:val="000000" w:themeColor="text1"/>
          <w:sz w:val="24"/>
          <w14:textFill>
            <w14:solidFill>
              <w14:schemeClr w14:val="tx1"/>
            </w14:solidFill>
          </w14:textFill>
        </w:rPr>
      </w:pPr>
      <w:r>
        <w:rPr>
          <w:rFonts w:ascii="宋体" w:hAnsi="宋体" w:eastAsia="宋体"/>
          <w:color w:val="000000" w:themeColor="text1"/>
          <w14:textFill>
            <w14:solidFill>
              <w14:schemeClr w14:val="tx1"/>
            </w14:solidFill>
          </w14:textFill>
        </w:rPr>
        <w:br w:type="page"/>
      </w:r>
      <w:r>
        <w:rPr>
          <w:rFonts w:ascii="宋体" w:hAnsi="宋体" w:eastAsia="宋体"/>
          <w:color w:val="000000" w:themeColor="text1"/>
          <w:spacing w:val="4"/>
          <w:sz w:val="24"/>
          <w14:textFill>
            <w14:solidFill>
              <w14:schemeClr w14:val="tx1"/>
            </w14:solidFill>
          </w14:textFill>
        </w:rPr>
        <w:t>续上表</w:t>
      </w: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306"/>
        <w:gridCol w:w="6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tcBorders>
              <w:top w:val="single" w:color="auto" w:sz="4" w:space="0"/>
              <w:left w:val="single" w:color="auto" w:sz="12" w:space="0"/>
              <w:bottom w:val="single" w:color="auto" w:sz="4" w:space="0"/>
              <w:right w:val="single" w:color="auto" w:sz="4"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条款号</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条款内容</w:t>
            </w:r>
          </w:p>
        </w:tc>
        <w:tc>
          <w:tcPr>
            <w:tcW w:w="6757" w:type="dxa"/>
            <w:tcBorders>
              <w:top w:val="single" w:color="auto" w:sz="4" w:space="0"/>
              <w:left w:val="single" w:color="auto" w:sz="4" w:space="0"/>
              <w:bottom w:val="single" w:color="auto" w:sz="4" w:space="0"/>
              <w:right w:val="single" w:color="auto" w:sz="12"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tcBorders>
              <w:top w:val="single" w:color="auto" w:sz="4" w:space="0"/>
              <w:left w:val="single" w:color="auto" w:sz="12" w:space="0"/>
              <w:bottom w:val="single" w:color="auto" w:sz="4" w:space="0"/>
              <w:right w:val="single" w:color="auto" w:sz="4"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2.2.1</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分值构成</w:t>
            </w:r>
          </w:p>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（总分100分）</w:t>
            </w:r>
          </w:p>
        </w:tc>
        <w:tc>
          <w:tcPr>
            <w:tcW w:w="6757" w:type="dxa"/>
            <w:tcBorders>
              <w:top w:val="single" w:color="auto" w:sz="4" w:space="0"/>
              <w:left w:val="single" w:color="auto" w:sz="4" w:space="0"/>
              <w:bottom w:val="single" w:color="auto" w:sz="4" w:space="0"/>
              <w:right w:val="single" w:color="auto" w:sz="12" w:space="0"/>
            </w:tcBorders>
            <w:vAlign w:val="center"/>
          </w:tcPr>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第一个信封（商务及技术建议书）评分分值构成：</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技术建议书：1</w:t>
            </w:r>
            <w:r>
              <w:rPr>
                <w:rFonts w:ascii="宋体" w:hAnsi="宋体" w:eastAsia="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分</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主要人员：</w:t>
            </w:r>
            <w:r>
              <w:rPr>
                <w:rFonts w:ascii="宋体" w:hAnsi="宋体" w:eastAsia="宋体" w:cs="宋体"/>
                <w:color w:val="000000" w:themeColor="text1"/>
                <w:szCs w:val="21"/>
                <w14:textFill>
                  <w14:solidFill>
                    <w14:schemeClr w14:val="tx1"/>
                  </w14:solidFill>
                </w14:textFill>
              </w:rPr>
              <w:t>25</w:t>
            </w:r>
            <w:r>
              <w:rPr>
                <w:rFonts w:hint="eastAsia" w:ascii="宋体" w:hAnsi="宋体" w:eastAsia="宋体" w:cs="宋体"/>
                <w:color w:val="000000" w:themeColor="text1"/>
                <w:szCs w:val="21"/>
                <w14:textFill>
                  <w14:solidFill>
                    <w14:schemeClr w14:val="tx1"/>
                  </w14:solidFill>
                </w14:textFill>
              </w:rPr>
              <w:t>分</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技术能力：</w:t>
            </w:r>
            <w:r>
              <w:rPr>
                <w:rFonts w:ascii="宋体" w:hAnsi="宋体" w:eastAsia="宋体" w:cs="宋体"/>
                <w:color w:val="000000" w:themeColor="text1"/>
                <w:szCs w:val="21"/>
                <w14:textFill>
                  <w14:solidFill>
                    <w14:schemeClr w14:val="tx1"/>
                  </w14:solidFill>
                </w14:textFill>
              </w:rPr>
              <w:t>15</w:t>
            </w:r>
            <w:r>
              <w:rPr>
                <w:rFonts w:hint="eastAsia" w:ascii="宋体" w:hAnsi="宋体" w:eastAsia="宋体" w:cs="宋体"/>
                <w:color w:val="000000" w:themeColor="text1"/>
                <w:szCs w:val="21"/>
                <w14:textFill>
                  <w14:solidFill>
                    <w14:schemeClr w14:val="tx1"/>
                  </w14:solidFill>
                </w14:textFill>
              </w:rPr>
              <w:t>分</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业绩：30分</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平台系统：</w:t>
            </w:r>
            <w:r>
              <w:rPr>
                <w:rFonts w:ascii="宋体" w:hAnsi="宋体" w:eastAsia="宋体" w:cs="宋体"/>
                <w:color w:val="000000" w:themeColor="text1"/>
                <w:szCs w:val="21"/>
                <w14:textFill>
                  <w14:solidFill>
                    <w14:schemeClr w14:val="tx1"/>
                  </w14:solidFill>
                </w14:textFill>
              </w:rPr>
              <w:t>5分</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履约信誉：5分</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第二个信封（报价文件）评分分值构成：</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评标价：10分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tcBorders>
              <w:top w:val="single" w:color="auto" w:sz="4" w:space="0"/>
              <w:left w:val="single" w:color="auto" w:sz="12" w:space="0"/>
              <w:bottom w:val="single" w:color="auto" w:sz="4" w:space="0"/>
              <w:right w:val="single" w:color="auto" w:sz="4"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2.2.2</w:t>
            </w:r>
          </w:p>
        </w:tc>
        <w:tc>
          <w:tcPr>
            <w:tcW w:w="1306"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评标基准价计算方法</w:t>
            </w:r>
          </w:p>
        </w:tc>
        <w:tc>
          <w:tcPr>
            <w:tcW w:w="6757" w:type="dxa"/>
            <w:tcBorders>
              <w:top w:val="single" w:color="auto" w:sz="4" w:space="0"/>
              <w:left w:val="single" w:color="auto" w:sz="4" w:space="0"/>
              <w:bottom w:val="single" w:color="auto" w:sz="4" w:space="0"/>
              <w:right w:val="single" w:color="auto" w:sz="12" w:space="0"/>
            </w:tcBorders>
            <w:vAlign w:val="center"/>
          </w:tcPr>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评标基准价的计算：</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在开标现场，招标人将当场计算并宣布评标基准价。</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评标价的确定：</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评标价＝投标函文字报价</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2）最高</w:t>
            </w:r>
            <w:r>
              <w:rPr>
                <w:rFonts w:hint="eastAsia" w:ascii="宋体" w:hAnsi="宋体" w:eastAsia="宋体" w:cs="宋体"/>
                <w:color w:val="000000" w:themeColor="text1"/>
                <w:szCs w:val="21"/>
                <w14:textFill>
                  <w14:solidFill>
                    <w14:schemeClr w14:val="tx1"/>
                  </w14:solidFill>
                </w14:textFill>
              </w:rPr>
              <w:t>评标限价的计算：</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①最高投标限价的确定</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下浮率在开标前在开标现场采取摇珠方式确定。摇珠操作办法如下：在下浮率区间的摇珠范围内，以</w:t>
            </w:r>
            <w:r>
              <w:rPr>
                <w:rFonts w:ascii="宋体" w:hAnsi="宋体" w:eastAsia="宋体" w:cs="宋体"/>
                <w:color w:val="000000" w:themeColor="text1"/>
                <w:szCs w:val="21"/>
                <w14:textFill>
                  <w14:solidFill>
                    <w14:schemeClr w14:val="tx1"/>
                  </w14:solidFill>
                </w14:textFill>
              </w:rPr>
              <w:t>0.1%</w:t>
            </w:r>
            <w:r>
              <w:rPr>
                <w:rFonts w:hint="eastAsia" w:ascii="宋体" w:hAnsi="宋体" w:eastAsia="宋体" w:cs="宋体"/>
                <w:color w:val="000000" w:themeColor="text1"/>
                <w:szCs w:val="21"/>
                <w14:textFill>
                  <w14:solidFill>
                    <w14:schemeClr w14:val="tx1"/>
                  </w14:solidFill>
                </w14:textFill>
              </w:rPr>
              <w:t>为一档次增序确定摇珠号码，</w:t>
            </w:r>
            <w:r>
              <w:rPr>
                <w:rFonts w:ascii="宋体" w:hAnsi="宋体" w:eastAsia="宋体" w:cs="宋体"/>
                <w:color w:val="000000" w:themeColor="text1"/>
                <w:szCs w:val="21"/>
                <w14:textFill>
                  <w14:solidFill>
                    <w14:schemeClr w14:val="tx1"/>
                  </w14:solidFill>
                </w14:textFill>
              </w:rPr>
              <w:t xml:space="preserve"> 31</w:t>
            </w:r>
            <w:r>
              <w:rPr>
                <w:rFonts w:hint="eastAsia" w:ascii="宋体" w:hAnsi="宋体" w:eastAsia="宋体" w:cs="宋体"/>
                <w:color w:val="000000" w:themeColor="text1"/>
                <w:szCs w:val="21"/>
                <w14:textFill>
                  <w14:solidFill>
                    <w14:schemeClr w14:val="tx1"/>
                  </w14:solidFill>
                </w14:textFill>
              </w:rPr>
              <w:t>个球，依次摇出</w:t>
            </w:r>
            <w:r>
              <w:rPr>
                <w:rFonts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个球</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摇出的珠不放回</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摇出</w:t>
            </w:r>
            <w:r>
              <w:rPr>
                <w:rFonts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个球对应的下浮率的平均值即为本项目招标的下浮率（注：下浮率摇珠范围为</w:t>
            </w:r>
            <w:r>
              <w:rPr>
                <w:rFonts w:ascii="宋体" w:hAnsi="宋体" w:eastAsia="宋体" w:cs="宋体"/>
                <w:color w:val="000000" w:themeColor="text1"/>
                <w:szCs w:val="21"/>
                <w14:textFill>
                  <w14:solidFill>
                    <w14:schemeClr w14:val="tx1"/>
                  </w14:solidFill>
                </w14:textFill>
              </w:rPr>
              <w:t>0%～3%（含界值），</w:t>
            </w:r>
            <w:r>
              <w:rPr>
                <w:rFonts w:hint="eastAsia" w:ascii="宋体" w:hAnsi="宋体" w:eastAsia="宋体" w:cs="宋体"/>
                <w:color w:val="000000" w:themeColor="text1"/>
                <w:szCs w:val="21"/>
                <w14:textFill>
                  <w14:solidFill>
                    <w14:schemeClr w14:val="tx1"/>
                  </w14:solidFill>
                </w14:textFill>
              </w:rPr>
              <w:t>摇出</w:t>
            </w:r>
            <w:r>
              <w:rPr>
                <w:rFonts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个下浮率的平均值四舍五入取整到</w:t>
            </w:r>
            <w:r>
              <w:rPr>
                <w:rFonts w:ascii="宋体" w:hAnsi="宋体" w:eastAsia="宋体" w:cs="宋体"/>
                <w:color w:val="000000" w:themeColor="text1"/>
                <w:szCs w:val="21"/>
                <w14:textFill>
                  <w14:solidFill>
                    <w14:schemeClr w14:val="tx1"/>
                  </w14:solidFill>
                </w14:textFill>
              </w:rPr>
              <w:t>0.001％）。</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②最高评标限价</w:t>
            </w:r>
            <w:r>
              <w:rPr>
                <w:rFonts w:ascii="宋体" w:hAnsi="宋体" w:eastAsia="宋体" w:cs="宋体"/>
                <w:color w:val="000000" w:themeColor="text1"/>
                <w:szCs w:val="21"/>
                <w14:textFill>
                  <w14:solidFill>
                    <w14:schemeClr w14:val="tx1"/>
                  </w14:solidFill>
                </w14:textFill>
              </w:rPr>
              <w:t>=最高投</w:t>
            </w:r>
            <w:r>
              <w:rPr>
                <w:rFonts w:hint="eastAsia" w:ascii="宋体" w:hAnsi="宋体" w:eastAsia="宋体" w:cs="宋体"/>
                <w:color w:val="000000" w:themeColor="text1"/>
                <w:szCs w:val="21"/>
                <w14:textFill>
                  <w14:solidFill>
                    <w14:schemeClr w14:val="tx1"/>
                  </w14:solidFill>
                </w14:textFill>
              </w:rPr>
              <w:t>标限价×（</w:t>
            </w:r>
            <w:r>
              <w:rPr>
                <w:rFonts w:ascii="宋体" w:hAnsi="宋体" w:eastAsia="宋体" w:cs="宋体"/>
                <w:color w:val="000000" w:themeColor="text1"/>
                <w:szCs w:val="21"/>
                <w14:textFill>
                  <w14:solidFill>
                    <w14:schemeClr w14:val="tx1"/>
                  </w14:solidFill>
                </w14:textFill>
              </w:rPr>
              <w:t>1-最高投</w:t>
            </w:r>
            <w:r>
              <w:rPr>
                <w:rFonts w:hint="eastAsia" w:ascii="宋体" w:hAnsi="宋体" w:eastAsia="宋体" w:cs="宋体"/>
                <w:color w:val="000000" w:themeColor="text1"/>
                <w:szCs w:val="21"/>
                <w14:textFill>
                  <w14:solidFill>
                    <w14:schemeClr w14:val="tx1"/>
                  </w14:solidFill>
                </w14:textFill>
              </w:rPr>
              <w:t>标限价下浮率）</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有效评标价范围：不大于最高评标限价的评标价为有效评标价。若大于最高评标限价的评标价，其评标价得分为</w:t>
            </w:r>
            <w:r>
              <w:rPr>
                <w:rFonts w:ascii="宋体" w:hAnsi="宋体" w:eastAsia="宋体" w:cs="宋体"/>
                <w:color w:val="000000" w:themeColor="text1"/>
                <w:szCs w:val="21"/>
                <w14:textFill>
                  <w14:solidFill>
                    <w14:schemeClr w14:val="tx1"/>
                  </w14:solidFill>
                </w14:textFill>
              </w:rPr>
              <w:t>0分。</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评标基准下浮率的确定：</w:t>
            </w:r>
          </w:p>
          <w:p>
            <w:pPr>
              <w:spacing w:line="380" w:lineRule="atLeas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将最高评标限价下浮</w:t>
            </w:r>
            <w:r>
              <w:rPr>
                <w:rFonts w:ascii="宋体" w:hAnsi="宋体" w:eastAsia="宋体" w:cs="宋体"/>
                <w:color w:val="000000" w:themeColor="text1"/>
                <w:szCs w:val="21"/>
                <w14:textFill>
                  <w14:solidFill>
                    <w14:schemeClr w14:val="tx1"/>
                  </w14:solidFill>
                </w14:textFill>
              </w:rPr>
              <w:t>2.0 %，作</w:t>
            </w:r>
            <w:r>
              <w:rPr>
                <w:rFonts w:hint="eastAsia" w:ascii="宋体" w:hAnsi="宋体" w:eastAsia="宋体" w:cs="宋体"/>
                <w:color w:val="000000" w:themeColor="text1"/>
                <w:szCs w:val="21"/>
                <w14:textFill>
                  <w14:solidFill>
                    <w14:schemeClr w14:val="tx1"/>
                  </w14:solidFill>
                </w14:textFill>
              </w:rPr>
              <w:t>为评标基准下浮率。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tcBorders>
              <w:top w:val="single" w:color="auto" w:sz="4" w:space="0"/>
              <w:left w:val="single" w:color="auto" w:sz="12" w:space="0"/>
              <w:bottom w:val="single" w:color="auto" w:sz="12" w:space="0"/>
              <w:right w:val="single" w:color="auto" w:sz="4"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2.2.3</w:t>
            </w:r>
          </w:p>
        </w:tc>
        <w:tc>
          <w:tcPr>
            <w:tcW w:w="1306" w:type="dxa"/>
            <w:tcBorders>
              <w:top w:val="single" w:color="auto" w:sz="4" w:space="0"/>
              <w:left w:val="single" w:color="auto" w:sz="4" w:space="0"/>
              <w:bottom w:val="single" w:color="auto" w:sz="12" w:space="0"/>
              <w:right w:val="single" w:color="auto" w:sz="4"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评标价的偏差率计算公式</w:t>
            </w:r>
          </w:p>
        </w:tc>
        <w:tc>
          <w:tcPr>
            <w:tcW w:w="6757" w:type="dxa"/>
            <w:tcBorders>
              <w:top w:val="single" w:color="auto" w:sz="4" w:space="0"/>
              <w:left w:val="single" w:color="auto" w:sz="4" w:space="0"/>
              <w:bottom w:val="single" w:color="auto" w:sz="12" w:space="0"/>
              <w:right w:val="single" w:color="auto" w:sz="12" w:space="0"/>
            </w:tcBorders>
            <w:vAlign w:val="center"/>
          </w:tcPr>
          <w:p>
            <w:pPr>
              <w:spacing w:line="380" w:lineRule="atLeas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偏差率</w:t>
            </w:r>
            <w:r>
              <w:rPr>
                <w:rFonts w:ascii="宋体" w:hAnsi="宋体" w:eastAsia="宋体" w:cs="宋体"/>
                <w:color w:val="000000" w:themeColor="text1"/>
                <w:szCs w:val="21"/>
                <w14:textFill>
                  <w14:solidFill>
                    <w14:schemeClr w14:val="tx1"/>
                  </w14:solidFill>
                </w14:textFill>
              </w:rPr>
              <w:t>=100%×(投</w:t>
            </w:r>
            <w:r>
              <w:rPr>
                <w:rFonts w:hint="eastAsia" w:ascii="宋体" w:hAnsi="宋体" w:eastAsia="宋体" w:cs="宋体"/>
                <w:color w:val="000000" w:themeColor="text1"/>
                <w:szCs w:val="21"/>
                <w14:textFill>
                  <w14:solidFill>
                    <w14:schemeClr w14:val="tx1"/>
                  </w14:solidFill>
                </w14:textFill>
              </w:rPr>
              <w:t>标下浮率－评标基准下浮率）</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评标基准下浮率。</w:t>
            </w:r>
          </w:p>
        </w:tc>
      </w:tr>
    </w:tbl>
    <w:p>
      <w:pPr>
        <w:widowControl/>
        <w:jc w:val="left"/>
        <w:rPr>
          <w:rFonts w:ascii="宋体" w:hAnsi="宋体" w:eastAsia="宋体"/>
          <w:color w:val="000000" w:themeColor="text1"/>
          <w14:textFill>
            <w14:solidFill>
              <w14:schemeClr w14:val="tx1"/>
            </w14:solidFill>
          </w14:textFill>
        </w:rPr>
      </w:pPr>
    </w:p>
    <w:p>
      <w:pPr>
        <w:jc w:val="right"/>
        <w:rPr>
          <w:rFonts w:ascii="宋体" w:hAnsi="宋体" w:eastAsia="宋体"/>
          <w:color w:val="000000" w:themeColor="text1"/>
          <w14:textFill>
            <w14:solidFill>
              <w14:schemeClr w14:val="tx1"/>
            </w14:solidFill>
          </w14:textFill>
        </w:rPr>
      </w:pPr>
      <w:r>
        <w:rPr>
          <w:rFonts w:ascii="宋体" w:hAnsi="宋体" w:eastAsia="宋体"/>
          <w:color w:val="000000" w:themeColor="text1"/>
          <w:sz w:val="27"/>
          <w:szCs w:val="27"/>
          <w14:textFill>
            <w14:solidFill>
              <w14:schemeClr w14:val="tx1"/>
            </w14:solidFill>
          </w14:textFill>
        </w:rPr>
        <w:br w:type="page"/>
      </w:r>
      <w:r>
        <w:rPr>
          <w:rFonts w:ascii="宋体" w:hAnsi="宋体" w:eastAsia="宋体"/>
          <w:color w:val="000000" w:themeColor="text1"/>
          <w:spacing w:val="4"/>
          <w:sz w:val="24"/>
          <w:szCs w:val="21"/>
          <w14:textFill>
            <w14:solidFill>
              <w14:schemeClr w14:val="tx1"/>
            </w14:solidFill>
          </w14:textFill>
        </w:rPr>
        <w:t>续上表</w:t>
      </w:r>
    </w:p>
    <w:tbl>
      <w:tblPr>
        <w:tblStyle w:val="7"/>
        <w:tblW w:w="93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5"/>
        <w:gridCol w:w="668"/>
        <w:gridCol w:w="667"/>
        <w:gridCol w:w="867"/>
        <w:gridCol w:w="1432"/>
        <w:gridCol w:w="631"/>
        <w:gridCol w:w="41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5210" w:type="dxa"/>
            <w:gridSpan w:val="6"/>
          </w:tcPr>
          <w:p>
            <w:pPr>
              <w:spacing w:line="380" w:lineRule="atLeast"/>
              <w:jc w:val="center"/>
              <w:rPr>
                <w:rFonts w:ascii="宋体" w:hAnsi="宋体" w:eastAsia="宋体" w:cs="宋体"/>
                <w:b/>
                <w:szCs w:val="21"/>
              </w:rPr>
            </w:pPr>
            <w:r>
              <w:rPr>
                <w:rFonts w:hint="eastAsia" w:ascii="宋体" w:hAnsi="宋体" w:eastAsia="宋体" w:cs="宋体"/>
                <w:b/>
                <w:szCs w:val="21"/>
              </w:rPr>
              <w:t>评分因素与权重分值</w:t>
            </w:r>
          </w:p>
        </w:tc>
        <w:tc>
          <w:tcPr>
            <w:tcW w:w="4175" w:type="dxa"/>
            <w:vMerge w:val="restart"/>
            <w:vAlign w:val="center"/>
          </w:tcPr>
          <w:p>
            <w:pPr>
              <w:spacing w:line="380" w:lineRule="atLeast"/>
              <w:jc w:val="center"/>
              <w:rPr>
                <w:rFonts w:ascii="宋体" w:hAnsi="宋体" w:eastAsia="宋体" w:cs="宋体"/>
                <w:b/>
                <w:szCs w:val="21"/>
              </w:rPr>
            </w:pPr>
            <w:r>
              <w:rPr>
                <w:rFonts w:hint="eastAsia" w:ascii="宋体" w:hAnsi="宋体" w:eastAsia="宋体" w:cs="宋体"/>
                <w:b/>
                <w:szCs w:val="21"/>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blHeader/>
          <w:jc w:val="center"/>
        </w:trPr>
        <w:tc>
          <w:tcPr>
            <w:tcW w:w="945" w:type="dxa"/>
            <w:vAlign w:val="center"/>
          </w:tcPr>
          <w:p>
            <w:pPr>
              <w:spacing w:line="276" w:lineRule="auto"/>
              <w:jc w:val="center"/>
              <w:rPr>
                <w:rFonts w:ascii="宋体" w:hAnsi="宋体" w:eastAsia="宋体" w:cs="宋体"/>
                <w:b/>
                <w:szCs w:val="21"/>
              </w:rPr>
            </w:pPr>
            <w:r>
              <w:rPr>
                <w:rFonts w:hint="eastAsia" w:ascii="宋体" w:hAnsi="宋体" w:eastAsia="宋体" w:cs="宋体"/>
                <w:b/>
                <w:szCs w:val="21"/>
              </w:rPr>
              <w:t>条款号</w:t>
            </w:r>
          </w:p>
        </w:tc>
        <w:tc>
          <w:tcPr>
            <w:tcW w:w="1335" w:type="dxa"/>
            <w:gridSpan w:val="2"/>
            <w:vAlign w:val="center"/>
          </w:tcPr>
          <w:p>
            <w:pPr>
              <w:spacing w:line="276" w:lineRule="auto"/>
              <w:jc w:val="center"/>
              <w:rPr>
                <w:rFonts w:ascii="宋体" w:hAnsi="宋体" w:eastAsia="宋体" w:cs="宋体"/>
                <w:b/>
                <w:szCs w:val="21"/>
              </w:rPr>
            </w:pPr>
            <w:r>
              <w:rPr>
                <w:rFonts w:hint="eastAsia" w:ascii="宋体" w:hAnsi="宋体" w:eastAsia="宋体" w:cs="宋体"/>
                <w:b/>
                <w:szCs w:val="21"/>
              </w:rPr>
              <w:t>评分因素</w:t>
            </w:r>
          </w:p>
        </w:tc>
        <w:tc>
          <w:tcPr>
            <w:tcW w:w="867" w:type="dxa"/>
            <w:vAlign w:val="center"/>
          </w:tcPr>
          <w:p>
            <w:pPr>
              <w:spacing w:line="276" w:lineRule="auto"/>
              <w:ind w:left="-105" w:leftChars="-50" w:right="-105" w:rightChars="-50"/>
              <w:jc w:val="center"/>
              <w:rPr>
                <w:rFonts w:ascii="宋体" w:hAnsi="宋体" w:eastAsia="宋体" w:cs="宋体"/>
                <w:b/>
                <w:szCs w:val="21"/>
              </w:rPr>
            </w:pPr>
            <w:r>
              <w:rPr>
                <w:rFonts w:hint="eastAsia" w:ascii="宋体" w:hAnsi="宋体" w:eastAsia="宋体" w:cs="宋体"/>
                <w:b/>
                <w:szCs w:val="21"/>
              </w:rPr>
              <w:t>评分因素权重分值</w:t>
            </w:r>
          </w:p>
        </w:tc>
        <w:tc>
          <w:tcPr>
            <w:tcW w:w="1432" w:type="dxa"/>
            <w:vAlign w:val="center"/>
          </w:tcPr>
          <w:p>
            <w:pPr>
              <w:spacing w:line="276" w:lineRule="auto"/>
              <w:jc w:val="center"/>
              <w:rPr>
                <w:rFonts w:ascii="宋体" w:hAnsi="宋体" w:eastAsia="宋体" w:cs="宋体"/>
                <w:b/>
                <w:szCs w:val="21"/>
              </w:rPr>
            </w:pPr>
            <w:r>
              <w:rPr>
                <w:rFonts w:hint="eastAsia" w:ascii="宋体" w:hAnsi="宋体" w:eastAsia="宋体" w:cs="宋体"/>
                <w:b/>
                <w:szCs w:val="21"/>
              </w:rPr>
              <w:t>各评分因素细分项</w:t>
            </w:r>
          </w:p>
        </w:tc>
        <w:tc>
          <w:tcPr>
            <w:tcW w:w="631" w:type="dxa"/>
            <w:vAlign w:val="center"/>
          </w:tcPr>
          <w:p>
            <w:pPr>
              <w:spacing w:line="276" w:lineRule="auto"/>
              <w:jc w:val="center"/>
              <w:rPr>
                <w:rFonts w:ascii="宋体" w:hAnsi="宋体" w:eastAsia="宋体" w:cs="宋体"/>
                <w:b/>
                <w:szCs w:val="21"/>
              </w:rPr>
            </w:pPr>
            <w:r>
              <w:rPr>
                <w:rFonts w:hint="eastAsia" w:ascii="宋体" w:hAnsi="宋体" w:eastAsia="宋体" w:cs="宋体"/>
                <w:b/>
                <w:szCs w:val="21"/>
              </w:rPr>
              <w:t>分值</w:t>
            </w:r>
          </w:p>
        </w:tc>
        <w:tc>
          <w:tcPr>
            <w:tcW w:w="4175" w:type="dxa"/>
            <w:vMerge w:val="continue"/>
          </w:tcPr>
          <w:p>
            <w:pPr>
              <w:spacing w:line="380" w:lineRule="atLeast"/>
              <w:jc w:val="center"/>
              <w:rPr>
                <w:rFonts w:ascii="宋体" w:hAnsi="宋体" w:eastAsia="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4" w:hRule="atLeast"/>
          <w:jc w:val="center"/>
        </w:trPr>
        <w:tc>
          <w:tcPr>
            <w:tcW w:w="945" w:type="dxa"/>
            <w:vAlign w:val="center"/>
          </w:tcPr>
          <w:p>
            <w:pPr>
              <w:spacing w:line="380" w:lineRule="atLeast"/>
              <w:jc w:val="center"/>
              <w:rPr>
                <w:rFonts w:ascii="宋体" w:hAnsi="宋体" w:eastAsia="宋体" w:cs="宋体"/>
                <w:szCs w:val="21"/>
              </w:rPr>
            </w:pPr>
            <w:r>
              <w:rPr>
                <w:rFonts w:hint="eastAsia" w:ascii="宋体" w:hAnsi="宋体" w:eastAsia="宋体" w:cs="宋体"/>
                <w:szCs w:val="21"/>
              </w:rPr>
              <w:t>2.2.4⑴</w:t>
            </w:r>
          </w:p>
        </w:tc>
        <w:tc>
          <w:tcPr>
            <w:tcW w:w="1335" w:type="dxa"/>
            <w:gridSpan w:val="2"/>
            <w:vAlign w:val="center"/>
          </w:tcPr>
          <w:p>
            <w:pPr>
              <w:spacing w:line="380" w:lineRule="atLeast"/>
              <w:rPr>
                <w:rFonts w:ascii="宋体" w:hAnsi="宋体" w:eastAsia="宋体" w:cs="宋体"/>
                <w:szCs w:val="21"/>
              </w:rPr>
            </w:pPr>
            <w:r>
              <w:rPr>
                <w:rFonts w:hint="eastAsia" w:ascii="宋体" w:hAnsi="宋体" w:eastAsia="宋体" w:cs="宋体"/>
                <w:szCs w:val="21"/>
              </w:rPr>
              <w:t>技术建议书</w:t>
            </w:r>
          </w:p>
        </w:tc>
        <w:tc>
          <w:tcPr>
            <w:tcW w:w="867" w:type="dxa"/>
            <w:vAlign w:val="center"/>
          </w:tcPr>
          <w:p>
            <w:pPr>
              <w:spacing w:line="380" w:lineRule="atLeast"/>
              <w:jc w:val="center"/>
              <w:rPr>
                <w:rFonts w:ascii="宋体" w:hAnsi="宋体" w:eastAsia="宋体" w:cs="宋体"/>
                <w:szCs w:val="21"/>
                <w:u w:val="single"/>
              </w:rPr>
            </w:pPr>
            <w:r>
              <w:rPr>
                <w:rFonts w:ascii="宋体" w:hAnsi="宋体" w:eastAsia="宋体" w:cs="宋体"/>
                <w:szCs w:val="21"/>
                <w:u w:val="single"/>
              </w:rPr>
              <w:t>10</w:t>
            </w:r>
            <w:r>
              <w:rPr>
                <w:rFonts w:hint="eastAsia" w:ascii="宋体" w:hAnsi="宋体" w:eastAsia="宋体" w:cs="宋体"/>
                <w:szCs w:val="21"/>
              </w:rPr>
              <w:t>分</w:t>
            </w:r>
          </w:p>
        </w:tc>
        <w:tc>
          <w:tcPr>
            <w:tcW w:w="1432" w:type="dxa"/>
            <w:vAlign w:val="center"/>
          </w:tcPr>
          <w:p>
            <w:pPr>
              <w:jc w:val="center"/>
              <w:rPr>
                <w:rFonts w:ascii="宋体" w:hAnsi="宋体" w:eastAsia="宋体" w:cs="宋体"/>
                <w:snapToGrid w:val="0"/>
                <w:szCs w:val="21"/>
              </w:rPr>
            </w:pPr>
            <w:r>
              <w:rPr>
                <w:rFonts w:hint="eastAsia" w:ascii="宋体" w:hAnsi="宋体" w:eastAsia="宋体"/>
                <w:szCs w:val="21"/>
              </w:rPr>
              <w:t>服务实施方案</w:t>
            </w:r>
          </w:p>
        </w:tc>
        <w:tc>
          <w:tcPr>
            <w:tcW w:w="631" w:type="dxa"/>
            <w:vAlign w:val="center"/>
          </w:tcPr>
          <w:p>
            <w:pPr>
              <w:jc w:val="center"/>
              <w:rPr>
                <w:rFonts w:ascii="宋体" w:hAnsi="宋体" w:eastAsia="宋体" w:cs="宋体"/>
                <w:snapToGrid w:val="0"/>
                <w:szCs w:val="21"/>
              </w:rPr>
            </w:pPr>
            <w:r>
              <w:rPr>
                <w:rFonts w:ascii="宋体" w:hAnsi="宋体" w:eastAsia="宋体"/>
                <w:szCs w:val="21"/>
                <w:u w:val="single"/>
              </w:rPr>
              <w:t>10</w:t>
            </w:r>
            <w:r>
              <w:rPr>
                <w:rFonts w:hint="eastAsia" w:ascii="宋体" w:hAnsi="宋体" w:eastAsia="宋体"/>
                <w:szCs w:val="21"/>
              </w:rPr>
              <w:t>分</w:t>
            </w:r>
          </w:p>
        </w:tc>
        <w:tc>
          <w:tcPr>
            <w:tcW w:w="4175" w:type="dxa"/>
            <w:vAlign w:val="center"/>
          </w:tcPr>
          <w:p>
            <w:pPr>
              <w:spacing w:line="380" w:lineRule="atLeast"/>
              <w:rPr>
                <w:rFonts w:ascii="宋体" w:hAnsi="宋体" w:eastAsia="宋体" w:cs="宋体"/>
                <w:szCs w:val="21"/>
              </w:rPr>
            </w:pPr>
            <w:r>
              <w:rPr>
                <w:rFonts w:hint="eastAsia" w:ascii="宋体" w:hAnsi="宋体" w:eastAsia="宋体" w:cs="宋体"/>
                <w:szCs w:val="21"/>
              </w:rPr>
              <w:t>根据投标人提供的服务方案（包括但不限于服务计划、服务质量保障措施、项目档案管理、内部管理方案等）进行综合评分，非常好的，得</w:t>
            </w:r>
            <w:r>
              <w:rPr>
                <w:rFonts w:ascii="宋体" w:hAnsi="宋体" w:eastAsia="宋体" w:cs="宋体"/>
                <w:szCs w:val="21"/>
              </w:rPr>
              <w:t>9.</w:t>
            </w:r>
            <w:r>
              <w:rPr>
                <w:rFonts w:hint="eastAsia" w:ascii="宋体" w:hAnsi="宋体" w:eastAsia="宋体" w:cs="宋体"/>
                <w:szCs w:val="21"/>
              </w:rPr>
              <w:t>1</w:t>
            </w:r>
            <w:r>
              <w:rPr>
                <w:rFonts w:ascii="宋体" w:hAnsi="宋体" w:eastAsia="宋体" w:cs="宋体"/>
                <w:szCs w:val="21"/>
              </w:rPr>
              <w:t>～10.0分；中等的，得8.1～9.</w:t>
            </w:r>
            <w:r>
              <w:rPr>
                <w:rFonts w:hint="eastAsia" w:ascii="宋体" w:hAnsi="宋体" w:eastAsia="宋体" w:cs="宋体"/>
                <w:szCs w:val="21"/>
              </w:rPr>
              <w:t>0</w:t>
            </w:r>
            <w:r>
              <w:rPr>
                <w:rFonts w:ascii="宋体" w:hAnsi="宋体" w:eastAsia="宋体" w:cs="宋体"/>
                <w:szCs w:val="21"/>
              </w:rPr>
              <w:t>分，</w:t>
            </w:r>
            <w:r>
              <w:rPr>
                <w:rFonts w:hint="eastAsia" w:ascii="宋体" w:hAnsi="宋体" w:eastAsia="宋体" w:cs="宋体"/>
                <w:szCs w:val="21"/>
              </w:rPr>
              <w:t>一般</w:t>
            </w:r>
            <w:r>
              <w:rPr>
                <w:rFonts w:ascii="宋体" w:hAnsi="宋体" w:eastAsia="宋体" w:cs="宋体"/>
                <w:szCs w:val="21"/>
              </w:rPr>
              <w:t>但不被评定为不响应</w:t>
            </w:r>
            <w:r>
              <w:rPr>
                <w:rFonts w:hint="eastAsia" w:ascii="宋体" w:hAnsi="宋体" w:eastAsia="宋体" w:cs="宋体"/>
                <w:szCs w:val="21"/>
              </w:rPr>
              <w:t>的，得</w:t>
            </w:r>
            <w:r>
              <w:rPr>
                <w:rFonts w:ascii="宋体" w:hAnsi="宋体" w:eastAsia="宋体" w:cs="宋体"/>
                <w:szCs w:val="21"/>
              </w:rPr>
              <w:t>8.0分</w:t>
            </w:r>
            <w:r>
              <w:rPr>
                <w:rFonts w:hint="eastAsia" w:ascii="宋体" w:hAnsi="宋体" w:eastAsia="宋体" w:cs="宋体"/>
                <w:szCs w:val="21"/>
              </w:rPr>
              <w:t>；不提供相应方案内容得</w:t>
            </w:r>
            <w:r>
              <w:rPr>
                <w:rFonts w:ascii="宋体" w:hAnsi="宋体" w:eastAsia="宋体" w:cs="宋体"/>
                <w:szCs w:val="21"/>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7" w:hRule="atLeast"/>
          <w:jc w:val="center"/>
        </w:trPr>
        <w:tc>
          <w:tcPr>
            <w:tcW w:w="945" w:type="dxa"/>
            <w:vAlign w:val="center"/>
          </w:tcPr>
          <w:p>
            <w:pPr>
              <w:spacing w:line="360" w:lineRule="atLeast"/>
              <w:ind w:left="-92" w:leftChars="-44" w:right="-88" w:rightChars="-42"/>
              <w:jc w:val="center"/>
              <w:rPr>
                <w:rFonts w:ascii="宋体" w:hAnsi="宋体" w:eastAsia="宋体" w:cs="宋体"/>
                <w:szCs w:val="21"/>
              </w:rPr>
            </w:pPr>
            <w:r>
              <w:rPr>
                <w:rFonts w:hint="eastAsia" w:ascii="宋体" w:hAnsi="宋体" w:eastAsia="宋体" w:cs="宋体"/>
                <w:szCs w:val="21"/>
              </w:rPr>
              <w:t>2.2.4⑵</w:t>
            </w:r>
          </w:p>
        </w:tc>
        <w:tc>
          <w:tcPr>
            <w:tcW w:w="1335" w:type="dxa"/>
            <w:gridSpan w:val="2"/>
            <w:vAlign w:val="center"/>
          </w:tcPr>
          <w:p>
            <w:pPr>
              <w:spacing w:line="360" w:lineRule="atLeast"/>
              <w:jc w:val="center"/>
              <w:rPr>
                <w:rFonts w:ascii="宋体" w:hAnsi="宋体" w:eastAsia="宋体" w:cs="宋体"/>
                <w:szCs w:val="21"/>
              </w:rPr>
            </w:pPr>
            <w:r>
              <w:rPr>
                <w:rFonts w:hint="eastAsia" w:ascii="宋体" w:hAnsi="宋体" w:eastAsia="宋体" w:cs="宋体"/>
                <w:szCs w:val="21"/>
              </w:rPr>
              <w:t>主要人员</w:t>
            </w:r>
          </w:p>
        </w:tc>
        <w:tc>
          <w:tcPr>
            <w:tcW w:w="867" w:type="dxa"/>
            <w:vAlign w:val="center"/>
          </w:tcPr>
          <w:p>
            <w:pPr>
              <w:spacing w:line="380" w:lineRule="atLeast"/>
              <w:jc w:val="right"/>
              <w:rPr>
                <w:rFonts w:ascii="宋体" w:hAnsi="宋体" w:eastAsia="宋体" w:cs="宋体"/>
                <w:szCs w:val="21"/>
                <w:u w:val="single"/>
              </w:rPr>
            </w:pPr>
            <w:r>
              <w:rPr>
                <w:rFonts w:ascii="宋体" w:hAnsi="宋体" w:eastAsia="宋体" w:cs="宋体"/>
                <w:szCs w:val="21"/>
                <w:u w:val="single"/>
              </w:rPr>
              <w:t>25</w:t>
            </w:r>
            <w:r>
              <w:rPr>
                <w:rFonts w:hint="eastAsia" w:ascii="宋体" w:hAnsi="宋体" w:eastAsia="宋体" w:cs="宋体"/>
                <w:szCs w:val="21"/>
              </w:rPr>
              <w:t>分</w:t>
            </w:r>
          </w:p>
        </w:tc>
        <w:tc>
          <w:tcPr>
            <w:tcW w:w="1432" w:type="dxa"/>
            <w:vAlign w:val="center"/>
          </w:tcPr>
          <w:p>
            <w:pPr>
              <w:spacing w:line="380" w:lineRule="atLeast"/>
              <w:jc w:val="center"/>
              <w:rPr>
                <w:rFonts w:ascii="宋体" w:hAnsi="宋体" w:eastAsia="宋体"/>
                <w:szCs w:val="21"/>
              </w:rPr>
            </w:pPr>
            <w:r>
              <w:rPr>
                <w:rFonts w:hint="eastAsia" w:ascii="宋体" w:hAnsi="宋体" w:eastAsia="宋体" w:cs="宋体"/>
                <w:szCs w:val="21"/>
              </w:rPr>
              <w:t>主要人员</w:t>
            </w:r>
          </w:p>
        </w:tc>
        <w:tc>
          <w:tcPr>
            <w:tcW w:w="631" w:type="dxa"/>
            <w:vAlign w:val="center"/>
          </w:tcPr>
          <w:p>
            <w:pPr>
              <w:spacing w:line="380" w:lineRule="atLeast"/>
              <w:jc w:val="left"/>
              <w:rPr>
                <w:rFonts w:ascii="宋体" w:hAnsi="宋体" w:eastAsia="宋体"/>
                <w:szCs w:val="21"/>
                <w:u w:val="single"/>
              </w:rPr>
            </w:pPr>
            <w:r>
              <w:rPr>
                <w:rFonts w:ascii="宋体" w:hAnsi="宋体" w:eastAsia="宋体"/>
                <w:u w:val="single"/>
              </w:rPr>
              <w:t>25</w:t>
            </w:r>
            <w:r>
              <w:rPr>
                <w:rFonts w:hint="eastAsia" w:ascii="宋体" w:hAnsi="宋体" w:eastAsia="宋体"/>
              </w:rPr>
              <w:t>分</w:t>
            </w:r>
          </w:p>
        </w:tc>
        <w:tc>
          <w:tcPr>
            <w:tcW w:w="4175" w:type="dxa"/>
            <w:vAlign w:val="center"/>
          </w:tcPr>
          <w:p>
            <w:pPr>
              <w:pStyle w:val="3"/>
              <w:ind w:firstLine="0" w:firstLineChars="0"/>
              <w:rPr>
                <w:rFonts w:ascii="宋体" w:hAnsi="宋体" w:eastAsia="宋体"/>
              </w:rPr>
            </w:pPr>
            <w:r>
              <w:rPr>
                <w:rFonts w:hint="eastAsia" w:ascii="宋体" w:hAnsi="宋体" w:eastAsia="宋体"/>
              </w:rPr>
              <w:t>满足招标文件附录3满足资格审查条件（主要人员最低要求），得</w:t>
            </w:r>
            <w:r>
              <w:rPr>
                <w:rFonts w:ascii="宋体" w:hAnsi="宋体" w:eastAsia="宋体"/>
              </w:rPr>
              <w:t>15</w:t>
            </w:r>
            <w:r>
              <w:rPr>
                <w:rFonts w:hint="eastAsia" w:ascii="宋体" w:hAnsi="宋体" w:eastAsia="宋体"/>
              </w:rPr>
              <w:t>分。在此基础上：</w:t>
            </w:r>
          </w:p>
          <w:p>
            <w:pPr>
              <w:pStyle w:val="3"/>
              <w:ind w:firstLine="0" w:firstLineChars="0"/>
              <w:rPr>
                <w:rFonts w:ascii="宋体" w:hAnsi="宋体" w:eastAsia="宋体" w:cs="宋体"/>
                <w:b/>
                <w:szCs w:val="21"/>
              </w:rPr>
            </w:pPr>
            <w:r>
              <w:rPr>
                <w:rFonts w:hint="eastAsia" w:ascii="宋体" w:hAnsi="宋体" w:eastAsiaTheme="minorEastAsia"/>
                <w:b/>
                <w:szCs w:val="21"/>
              </w:rPr>
              <w:t>1.</w:t>
            </w:r>
            <w:r>
              <w:rPr>
                <w:rFonts w:hint="eastAsia" w:ascii="宋体" w:hAnsi="宋体" w:eastAsia="宋体" w:cs="宋体"/>
                <w:b/>
                <w:szCs w:val="21"/>
              </w:rPr>
              <w:t>项目负责人：</w:t>
            </w:r>
          </w:p>
          <w:p>
            <w:pPr>
              <w:pStyle w:val="3"/>
              <w:ind w:firstLine="0" w:firstLineChars="0"/>
              <w:rPr>
                <w:rFonts w:ascii="宋体" w:hAnsi="宋体" w:eastAsia="宋体"/>
              </w:rPr>
            </w:pPr>
            <w:r>
              <w:rPr>
                <w:rFonts w:hint="eastAsia" w:ascii="宋体" w:hAnsi="宋体" w:eastAsia="宋体" w:cs="宋体"/>
              </w:rPr>
              <w:t>（1）</w:t>
            </w:r>
            <w:r>
              <w:rPr>
                <w:rFonts w:hint="eastAsia" w:ascii="宋体" w:hAnsi="宋体" w:eastAsia="宋体"/>
              </w:rPr>
              <w:t>具有路桥专业高级工程师及以上职称的，加</w:t>
            </w:r>
            <w:r>
              <w:rPr>
                <w:rFonts w:ascii="宋体" w:hAnsi="宋体" w:eastAsia="宋体"/>
              </w:rPr>
              <w:t>2分；</w:t>
            </w:r>
            <w:r>
              <w:rPr>
                <w:rFonts w:ascii="宋体" w:hAnsi="宋体" w:eastAsia="宋体"/>
              </w:rPr>
              <w:cr/>
            </w:r>
            <w:r>
              <w:rPr>
                <w:rFonts w:hint="eastAsia" w:ascii="宋体" w:hAnsi="宋体" w:eastAsia="宋体" w:cs="宋体"/>
              </w:rPr>
              <w:t>（2）共同</w:t>
            </w:r>
            <w:r>
              <w:rPr>
                <w:rFonts w:hint="eastAsia" w:ascii="宋体" w:hAnsi="宋体" w:eastAsia="宋体"/>
              </w:rPr>
              <w:t>具有以下“①和②” 的</w:t>
            </w:r>
            <w:r>
              <w:rPr>
                <w:rFonts w:ascii="宋体" w:hAnsi="宋体" w:eastAsia="宋体"/>
              </w:rPr>
              <w:t xml:space="preserve">，加 </w:t>
            </w:r>
            <w:r>
              <w:rPr>
                <w:rFonts w:hint="eastAsia" w:ascii="宋体" w:hAnsi="宋体" w:eastAsia="宋体"/>
              </w:rPr>
              <w:t>2</w:t>
            </w:r>
            <w:r>
              <w:rPr>
                <w:rFonts w:ascii="宋体" w:hAnsi="宋体" w:eastAsia="宋体"/>
              </w:rPr>
              <w:t>分</w:t>
            </w:r>
            <w:r>
              <w:rPr>
                <w:rFonts w:hint="eastAsia" w:ascii="宋体" w:hAnsi="宋体" w:eastAsia="宋体"/>
              </w:rPr>
              <w:t>：</w:t>
            </w:r>
          </w:p>
          <w:p>
            <w:pPr>
              <w:pStyle w:val="3"/>
              <w:ind w:firstLine="0" w:firstLineChars="0"/>
              <w:rPr>
                <w:rFonts w:ascii="宋体" w:hAnsi="宋体" w:eastAsia="宋体"/>
              </w:rPr>
            </w:pPr>
            <w:r>
              <w:rPr>
                <w:rFonts w:hint="eastAsia" w:ascii="宋体" w:hAnsi="宋体" w:eastAsia="宋体"/>
              </w:rPr>
              <w:t>①具有招标师职业水平证书或中级及以上招标采购从业人员专业技术能力评价证书；</w:t>
            </w:r>
          </w:p>
          <w:p>
            <w:pPr>
              <w:pStyle w:val="3"/>
              <w:ind w:firstLine="0" w:firstLineChars="0"/>
              <w:rPr>
                <w:rFonts w:ascii="宋体" w:hAnsi="宋体" w:eastAsia="宋体"/>
              </w:rPr>
            </w:pPr>
            <w:r>
              <w:rPr>
                <w:rFonts w:hint="eastAsia" w:ascii="宋体" w:hAnsi="宋体" w:eastAsia="宋体"/>
              </w:rPr>
              <w:t>②国家人力资源部和住建部颁发的造价工程师证或一级造价工程师注册证（土建专业）或交通运输部</w:t>
            </w:r>
            <w:r>
              <w:rPr>
                <w:rFonts w:ascii="宋体" w:hAnsi="宋体" w:eastAsia="宋体"/>
              </w:rPr>
              <w:t>(原交通部)</w:t>
            </w:r>
            <w:r>
              <w:rPr>
                <w:rFonts w:hint="eastAsia" w:ascii="宋体" w:hAnsi="宋体" w:eastAsia="宋体"/>
              </w:rPr>
              <w:t>颁发的甲级造价人员证书或一级造价工程师注册证</w:t>
            </w:r>
            <w:r>
              <w:rPr>
                <w:rFonts w:ascii="宋体" w:hAnsi="宋体" w:eastAsia="宋体"/>
              </w:rPr>
              <w:t>(交通</w:t>
            </w:r>
            <w:r>
              <w:rPr>
                <w:rFonts w:hint="eastAsia" w:ascii="宋体" w:hAnsi="宋体" w:eastAsia="宋体"/>
              </w:rPr>
              <w:t>运输工程专业</w:t>
            </w:r>
            <w:r>
              <w:rPr>
                <w:rFonts w:ascii="宋体" w:hAnsi="宋体" w:eastAsia="宋体"/>
              </w:rPr>
              <w:t>)</w:t>
            </w:r>
            <w:r>
              <w:rPr>
                <w:rFonts w:hint="eastAsia" w:ascii="宋体" w:hAnsi="宋体" w:eastAsia="宋体"/>
              </w:rPr>
              <w:t>；</w:t>
            </w:r>
          </w:p>
          <w:p>
            <w:pPr>
              <w:pStyle w:val="3"/>
              <w:ind w:firstLine="0" w:firstLineChars="0"/>
              <w:rPr>
                <w:rFonts w:ascii="宋体" w:hAnsi="宋体" w:eastAsia="宋体"/>
                <w:b/>
              </w:rPr>
            </w:pPr>
            <w:r>
              <w:rPr>
                <w:rFonts w:hint="eastAsia" w:ascii="宋体" w:hAnsi="宋体" w:eastAsia="宋体"/>
                <w:b/>
              </w:rPr>
              <w:t>注：本项最多加4</w:t>
            </w:r>
            <w:r>
              <w:rPr>
                <w:rFonts w:ascii="宋体" w:hAnsi="宋体" w:eastAsia="宋体"/>
                <w:b/>
              </w:rPr>
              <w:t>分。</w:t>
            </w:r>
          </w:p>
          <w:p>
            <w:pPr>
              <w:rPr>
                <w:rFonts w:eastAsiaTheme="minorEastAsia"/>
              </w:rPr>
            </w:pPr>
          </w:p>
          <w:p>
            <w:pPr>
              <w:pStyle w:val="4"/>
              <w:adjustRightInd w:val="0"/>
              <w:snapToGrid w:val="0"/>
              <w:spacing w:after="0"/>
              <w:rPr>
                <w:rFonts w:ascii="宋体" w:hAnsi="宋体"/>
                <w:b/>
                <w:szCs w:val="21"/>
              </w:rPr>
            </w:pPr>
            <w:r>
              <w:rPr>
                <w:rFonts w:hint="eastAsia" w:ascii="宋体" w:hAnsi="宋体"/>
                <w:b/>
                <w:szCs w:val="21"/>
              </w:rPr>
              <w:t>2.招标代理人员：</w:t>
            </w:r>
          </w:p>
          <w:p>
            <w:pPr>
              <w:pStyle w:val="3"/>
              <w:ind w:firstLine="0" w:firstLineChars="0"/>
              <w:rPr>
                <w:rFonts w:ascii="宋体" w:hAnsi="宋体" w:eastAsia="宋体"/>
              </w:rPr>
            </w:pPr>
            <w:r>
              <w:rPr>
                <w:rFonts w:hint="eastAsia" w:ascii="宋体" w:hAnsi="宋体" w:eastAsia="宋体"/>
              </w:rPr>
              <w:t>（1）每增加一人同时具有以下“①和②”的，加3分；具有以下“①或②”的，加1分，最多加3分：</w:t>
            </w:r>
          </w:p>
          <w:p>
            <w:pPr>
              <w:pStyle w:val="3"/>
              <w:ind w:firstLine="0" w:firstLineChars="0"/>
              <w:rPr>
                <w:rFonts w:ascii="宋体" w:hAnsi="宋体" w:eastAsia="宋体"/>
              </w:rPr>
            </w:pPr>
            <w:r>
              <w:rPr>
                <w:rFonts w:hint="eastAsia" w:ascii="宋体" w:hAnsi="宋体" w:eastAsia="宋体"/>
              </w:rPr>
              <w:t>①路桥专业高级工程师及以上职称；</w:t>
            </w:r>
          </w:p>
          <w:p>
            <w:pPr>
              <w:pStyle w:val="3"/>
              <w:ind w:firstLine="0" w:firstLineChars="0"/>
              <w:rPr>
                <w:rFonts w:ascii="宋体" w:hAnsi="宋体" w:eastAsia="宋体"/>
              </w:rPr>
            </w:pPr>
            <w:r>
              <w:rPr>
                <w:rFonts w:hint="eastAsia" w:ascii="宋体" w:hAnsi="宋体" w:eastAsia="宋体"/>
              </w:rPr>
              <w:t>②省级人力资源和社会保障厅签发的招标师职业水平证书</w:t>
            </w:r>
            <w:r>
              <w:rPr>
                <w:rFonts w:hint="eastAsia" w:ascii="宋体" w:hAnsi="宋体" w:eastAsia="宋体" w:cs="宋体"/>
              </w:rPr>
              <w:t>或</w:t>
            </w:r>
            <w:r>
              <w:rPr>
                <w:rFonts w:hint="eastAsia" w:ascii="宋体" w:hAnsi="宋体" w:eastAsia="宋体"/>
              </w:rPr>
              <w:t>中国招标投标协会颁发的中级及以上招标采购从业人员专业技术能力评价证书。</w:t>
            </w:r>
          </w:p>
          <w:p>
            <w:pPr>
              <w:pStyle w:val="3"/>
              <w:ind w:firstLine="0" w:firstLineChars="0"/>
              <w:rPr>
                <w:rFonts w:ascii="宋体" w:hAnsi="宋体" w:eastAsia="宋体"/>
              </w:rPr>
            </w:pPr>
            <w:r>
              <w:rPr>
                <w:rFonts w:hint="eastAsia" w:ascii="宋体" w:hAnsi="宋体" w:cs="宋体"/>
                <w:szCs w:val="21"/>
              </w:rPr>
              <w:t>（2）</w:t>
            </w:r>
            <w:r>
              <w:rPr>
                <w:rFonts w:hint="eastAsia" w:ascii="宋体" w:hAnsi="宋体" w:eastAsia="宋体"/>
              </w:rPr>
              <w:t>每增加一人同时具有以下“①、②”的，加1分，最多加1分：</w:t>
            </w:r>
          </w:p>
          <w:p>
            <w:pPr>
              <w:pStyle w:val="3"/>
              <w:ind w:firstLine="0" w:firstLineChars="0"/>
              <w:rPr>
                <w:rFonts w:ascii="宋体" w:hAnsi="宋体" w:eastAsia="宋体"/>
              </w:rPr>
            </w:pPr>
            <w:r>
              <w:rPr>
                <w:rFonts w:hint="eastAsia" w:ascii="宋体" w:hAnsi="宋体" w:eastAsia="宋体"/>
              </w:rPr>
              <w:t>①路桥专业工程师及以上职称；</w:t>
            </w:r>
          </w:p>
          <w:p>
            <w:pPr>
              <w:pStyle w:val="3"/>
              <w:ind w:firstLine="0" w:firstLineChars="0"/>
              <w:rPr>
                <w:rFonts w:ascii="宋体" w:hAnsi="宋体" w:eastAsia="宋体"/>
              </w:rPr>
            </w:pPr>
            <w:r>
              <w:rPr>
                <w:rFonts w:hint="eastAsia" w:ascii="宋体" w:hAnsi="宋体" w:eastAsia="宋体"/>
              </w:rPr>
              <w:t>②中国招标投标协会颁发的初级招标采购从业人员专业技术能力评价证书。</w:t>
            </w:r>
          </w:p>
          <w:p>
            <w:pPr>
              <w:pStyle w:val="3"/>
              <w:ind w:firstLine="0" w:firstLineChars="0"/>
              <w:rPr>
                <w:rFonts w:ascii="宋体" w:hAnsi="宋体" w:eastAsia="宋体"/>
                <w:b/>
              </w:rPr>
            </w:pPr>
            <w:r>
              <w:rPr>
                <w:rFonts w:hint="eastAsia" w:ascii="宋体" w:hAnsi="宋体" w:eastAsia="宋体"/>
                <w:b/>
              </w:rPr>
              <w:t>注：本项最多加3</w:t>
            </w:r>
            <w:r>
              <w:rPr>
                <w:rFonts w:ascii="宋体" w:hAnsi="宋体" w:eastAsia="宋体"/>
                <w:b/>
              </w:rPr>
              <w:t>分。</w:t>
            </w:r>
          </w:p>
          <w:p>
            <w:pPr>
              <w:rPr>
                <w:rFonts w:eastAsiaTheme="minorEastAsia"/>
              </w:rPr>
            </w:pPr>
          </w:p>
          <w:p>
            <w:pPr>
              <w:pStyle w:val="3"/>
              <w:ind w:firstLine="0" w:firstLineChars="0"/>
              <w:rPr>
                <w:rFonts w:ascii="宋体" w:hAnsi="宋体"/>
                <w:b/>
              </w:rPr>
            </w:pPr>
            <w:r>
              <w:rPr>
                <w:rFonts w:hint="eastAsia" w:ascii="宋体" w:hAnsi="宋体" w:eastAsia="宋体" w:cs="宋体"/>
                <w:b/>
                <w:szCs w:val="21"/>
              </w:rPr>
              <w:t>3.</w:t>
            </w:r>
            <w:r>
              <w:rPr>
                <w:rFonts w:hint="eastAsia" w:ascii="宋体" w:hAnsi="宋体" w:eastAsia="宋体"/>
                <w:b/>
                <w:szCs w:val="21"/>
              </w:rPr>
              <w:t>造价咨询人员</w:t>
            </w:r>
            <w:r>
              <w:rPr>
                <w:rFonts w:hint="eastAsia" w:ascii="宋体" w:hAnsi="宋体" w:eastAsia="宋体" w:cs="宋体"/>
                <w:b/>
                <w:szCs w:val="21"/>
              </w:rPr>
              <w:t>：</w:t>
            </w:r>
          </w:p>
          <w:p>
            <w:pPr>
              <w:pStyle w:val="3"/>
              <w:ind w:firstLine="0" w:firstLineChars="0"/>
              <w:rPr>
                <w:rFonts w:ascii="宋体" w:hAnsi="宋体" w:eastAsia="宋体"/>
              </w:rPr>
            </w:pPr>
            <w:r>
              <w:rPr>
                <w:rFonts w:hint="eastAsia" w:ascii="宋体" w:hAnsi="宋体" w:eastAsia="宋体"/>
              </w:rPr>
              <w:t>（1）每增加一人同时具有以下“①、②、</w:t>
            </w:r>
            <w:r>
              <w:rPr>
                <w:rFonts w:hint="eastAsia" w:ascii="宋体" w:hAnsi="宋体" w:eastAsia="宋体" w:cs="宋体"/>
              </w:rPr>
              <w:t>③</w:t>
            </w:r>
            <w:r>
              <w:rPr>
                <w:rFonts w:hint="eastAsia" w:ascii="宋体" w:hAnsi="宋体" w:eastAsia="宋体"/>
              </w:rPr>
              <w:t>”的，加1.5分，同时具有以下“①、②”或“①、</w:t>
            </w:r>
            <w:r>
              <w:rPr>
                <w:rFonts w:hint="eastAsia" w:ascii="宋体" w:hAnsi="宋体" w:eastAsia="宋体" w:cs="宋体"/>
              </w:rPr>
              <w:t>③</w:t>
            </w:r>
            <w:r>
              <w:rPr>
                <w:rFonts w:ascii="宋体" w:hAnsi="宋体" w:eastAsia="宋体"/>
              </w:rPr>
              <w:t>”</w:t>
            </w:r>
            <w:r>
              <w:rPr>
                <w:rFonts w:hint="eastAsia" w:ascii="宋体" w:hAnsi="宋体" w:eastAsia="宋体"/>
              </w:rPr>
              <w:t>的，加1分，其他情况不得分，最多加3分：</w:t>
            </w:r>
          </w:p>
          <w:p>
            <w:pPr>
              <w:pStyle w:val="3"/>
              <w:ind w:firstLine="0" w:firstLineChars="0"/>
              <w:rPr>
                <w:rFonts w:ascii="宋体" w:hAnsi="宋体" w:eastAsia="宋体"/>
              </w:rPr>
            </w:pPr>
            <w:r>
              <w:rPr>
                <w:rFonts w:hint="eastAsia" w:ascii="宋体" w:hAnsi="宋体" w:eastAsia="宋体"/>
              </w:rPr>
              <w:t>①路桥专业高级工程师及以上职称；</w:t>
            </w:r>
          </w:p>
          <w:p>
            <w:pPr>
              <w:pStyle w:val="3"/>
              <w:ind w:firstLine="0" w:firstLineChars="0"/>
              <w:rPr>
                <w:rFonts w:ascii="宋体" w:hAnsi="宋体" w:eastAsia="宋体"/>
              </w:rPr>
            </w:pPr>
            <w:r>
              <w:rPr>
                <w:rFonts w:hint="eastAsia" w:ascii="宋体" w:hAnsi="宋体" w:eastAsia="宋体"/>
              </w:rPr>
              <w:t>②有效的国家人力资源部和住建部颁发的造价工程师证或一级造价工程师注册证（土建专业）；</w:t>
            </w:r>
          </w:p>
          <w:p>
            <w:pPr>
              <w:pStyle w:val="3"/>
              <w:ind w:firstLine="0" w:firstLineChars="0"/>
              <w:rPr>
                <w:rFonts w:ascii="宋体" w:hAnsi="宋体"/>
              </w:rPr>
            </w:pPr>
            <w:r>
              <w:rPr>
                <w:rFonts w:hint="eastAsia" w:ascii="宋体" w:hAnsi="宋体" w:eastAsia="宋体" w:cs="宋体"/>
              </w:rPr>
              <w:t>③</w:t>
            </w:r>
            <w:r>
              <w:rPr>
                <w:rFonts w:ascii="宋体" w:hAnsi="宋体" w:eastAsia="宋体"/>
              </w:rPr>
              <w:t>交通</w:t>
            </w:r>
            <w:r>
              <w:rPr>
                <w:rFonts w:hint="eastAsia" w:ascii="宋体" w:hAnsi="宋体" w:eastAsia="宋体"/>
              </w:rPr>
              <w:t>运输部</w:t>
            </w:r>
            <w:r>
              <w:rPr>
                <w:rFonts w:ascii="宋体" w:hAnsi="宋体" w:eastAsia="宋体"/>
              </w:rPr>
              <w:t>(原交通部)</w:t>
            </w:r>
            <w:r>
              <w:rPr>
                <w:rFonts w:hint="eastAsia" w:ascii="宋体" w:hAnsi="宋体" w:eastAsia="宋体"/>
              </w:rPr>
              <w:t>颁发的甲级造价人员证书或一级造价工程师注册证</w:t>
            </w:r>
            <w:r>
              <w:rPr>
                <w:rFonts w:ascii="宋体" w:hAnsi="宋体" w:eastAsia="宋体"/>
              </w:rPr>
              <w:t>(交通</w:t>
            </w:r>
            <w:r>
              <w:rPr>
                <w:rFonts w:hint="eastAsia" w:ascii="宋体" w:hAnsi="宋体" w:eastAsia="宋体"/>
              </w:rPr>
              <w:t>运输工程专业</w:t>
            </w:r>
            <w:r>
              <w:rPr>
                <w:rFonts w:ascii="宋体" w:hAnsi="宋体" w:eastAsia="宋体"/>
              </w:rPr>
              <w:t>)</w:t>
            </w:r>
          </w:p>
          <w:p>
            <w:pPr>
              <w:pStyle w:val="4"/>
              <w:adjustRightInd w:val="0"/>
              <w:snapToGrid w:val="0"/>
              <w:spacing w:after="0"/>
              <w:rPr>
                <w:rFonts w:ascii="宋体" w:hAnsi="宋体"/>
              </w:rPr>
            </w:pPr>
            <w:r>
              <w:rPr>
                <w:rFonts w:hint="eastAsia" w:ascii="宋体" w:hAnsi="宋体" w:cs="宋体"/>
                <w:szCs w:val="21"/>
              </w:rPr>
              <w:t>（2）</w:t>
            </w:r>
            <w:r>
              <w:rPr>
                <w:rFonts w:hint="eastAsia" w:ascii="宋体" w:hAnsi="宋体"/>
              </w:rPr>
              <w:t>每增加一人同时具有以下“①、②”或“①、</w:t>
            </w:r>
            <w:r>
              <w:rPr>
                <w:rFonts w:hint="eastAsia" w:ascii="宋体" w:hAnsi="宋体" w:cs="宋体"/>
              </w:rPr>
              <w:t>③</w:t>
            </w:r>
            <w:r>
              <w:rPr>
                <w:rFonts w:ascii="宋体" w:hAnsi="宋体"/>
              </w:rPr>
              <w:t>”</w:t>
            </w:r>
            <w:r>
              <w:rPr>
                <w:rFonts w:hint="eastAsia" w:ascii="宋体" w:hAnsi="宋体"/>
              </w:rPr>
              <w:t>的，加0.5</w:t>
            </w:r>
            <w:r>
              <w:rPr>
                <w:rFonts w:ascii="宋体" w:hAnsi="宋体"/>
              </w:rPr>
              <w:t>分，最多加1分</w:t>
            </w:r>
            <w:r>
              <w:rPr>
                <w:rFonts w:hint="eastAsia" w:ascii="宋体" w:hAnsi="宋体"/>
              </w:rPr>
              <w:t>。</w:t>
            </w:r>
            <w:r>
              <w:rPr>
                <w:rFonts w:ascii="宋体" w:hAnsi="宋体"/>
              </w:rPr>
              <w:t>：</w:t>
            </w:r>
          </w:p>
          <w:p>
            <w:pPr>
              <w:pStyle w:val="4"/>
              <w:adjustRightInd w:val="0"/>
              <w:snapToGrid w:val="0"/>
              <w:spacing w:after="0"/>
              <w:rPr>
                <w:rFonts w:ascii="宋体" w:hAnsi="宋体"/>
              </w:rPr>
            </w:pPr>
            <w:r>
              <w:rPr>
                <w:rFonts w:hint="eastAsia" w:ascii="宋体" w:hAnsi="宋体"/>
              </w:rPr>
              <w:t>①路桥专业工程师职称；</w:t>
            </w:r>
          </w:p>
          <w:p>
            <w:pPr>
              <w:pStyle w:val="4"/>
              <w:adjustRightInd w:val="0"/>
              <w:snapToGrid w:val="0"/>
              <w:spacing w:after="0"/>
              <w:rPr>
                <w:rFonts w:ascii="宋体" w:hAnsi="宋体"/>
              </w:rPr>
            </w:pPr>
            <w:r>
              <w:rPr>
                <w:rFonts w:hint="eastAsia" w:ascii="宋体" w:hAnsi="宋体"/>
              </w:rPr>
              <w:t>②有效的人力资源主管部门和住建部门颁发的造价工程师证或二级及以上造价工程师注册证（土建专业）；</w:t>
            </w:r>
          </w:p>
          <w:p>
            <w:pPr>
              <w:pStyle w:val="4"/>
              <w:adjustRightInd w:val="0"/>
              <w:snapToGrid w:val="0"/>
              <w:spacing w:after="0"/>
              <w:rPr>
                <w:rFonts w:ascii="宋体" w:hAnsi="宋体"/>
              </w:rPr>
            </w:pPr>
            <w:r>
              <w:rPr>
                <w:rFonts w:hint="eastAsia" w:ascii="宋体" w:hAnsi="宋体" w:cs="宋体"/>
              </w:rPr>
              <w:t>③</w:t>
            </w:r>
            <w:r>
              <w:rPr>
                <w:rFonts w:ascii="宋体" w:hAnsi="宋体"/>
              </w:rPr>
              <w:t>交通</w:t>
            </w:r>
            <w:r>
              <w:rPr>
                <w:rFonts w:hint="eastAsia" w:ascii="宋体" w:hAnsi="宋体"/>
              </w:rPr>
              <w:t>运输部门颁发的二级及以上造价工程师注册证</w:t>
            </w:r>
            <w:r>
              <w:rPr>
                <w:rFonts w:ascii="宋体" w:hAnsi="宋体"/>
              </w:rPr>
              <w:t>(交通</w:t>
            </w:r>
            <w:r>
              <w:rPr>
                <w:rFonts w:hint="eastAsia" w:ascii="宋体" w:hAnsi="宋体"/>
              </w:rPr>
              <w:t>运输工程专业</w:t>
            </w:r>
            <w:r>
              <w:rPr>
                <w:rFonts w:ascii="宋体" w:hAnsi="宋体"/>
              </w:rPr>
              <w:t>)或交通</w:t>
            </w:r>
            <w:r>
              <w:rPr>
                <w:rFonts w:hint="eastAsia" w:ascii="宋体" w:hAnsi="宋体"/>
              </w:rPr>
              <w:t>运输部门颁发的乙级及以上造价人员证书</w:t>
            </w:r>
          </w:p>
          <w:p>
            <w:pPr>
              <w:pStyle w:val="3"/>
              <w:ind w:firstLine="0" w:firstLineChars="0"/>
              <w:rPr>
                <w:rFonts w:ascii="宋体" w:hAnsi="宋体" w:eastAsia="宋体"/>
                <w:b/>
              </w:rPr>
            </w:pPr>
            <w:r>
              <w:rPr>
                <w:rFonts w:hint="eastAsia" w:ascii="宋体" w:hAnsi="宋体" w:eastAsia="宋体"/>
                <w:b/>
              </w:rPr>
              <w:t>注：本项最多加3</w:t>
            </w:r>
            <w:r>
              <w:rPr>
                <w:rFonts w:ascii="宋体" w:hAnsi="宋体" w:eastAsia="宋体"/>
                <w:b/>
              </w:rPr>
              <w:t>分。</w:t>
            </w:r>
          </w:p>
          <w:p>
            <w:pPr>
              <w:pStyle w:val="4"/>
              <w:adjustRightInd w:val="0"/>
              <w:snapToGrid w:val="0"/>
              <w:spacing w:after="0"/>
              <w:rPr>
                <w:rFonts w:ascii="宋体" w:hAnsi="宋体"/>
              </w:rPr>
            </w:pPr>
          </w:p>
          <w:p>
            <w:pPr>
              <w:pStyle w:val="3"/>
              <w:ind w:firstLine="0" w:firstLineChars="0"/>
              <w:rPr>
                <w:rFonts w:ascii="宋体" w:hAnsi="宋体" w:eastAsia="宋体"/>
              </w:rPr>
            </w:pPr>
            <w:r>
              <w:rPr>
                <w:rFonts w:hint="eastAsia" w:ascii="宋体" w:hAnsi="宋体" w:eastAsia="宋体"/>
              </w:rPr>
              <w:t>注：同一人同时满足上述</w:t>
            </w:r>
            <w:r>
              <w:rPr>
                <w:rFonts w:ascii="宋体" w:hAnsi="宋体" w:eastAsia="宋体"/>
              </w:rPr>
              <w:t>多</w:t>
            </w:r>
            <w:r>
              <w:rPr>
                <w:rFonts w:hint="eastAsia" w:ascii="宋体" w:hAnsi="宋体" w:eastAsia="宋体"/>
              </w:rPr>
              <w:t>项的，按最高档得分，不可累计加分；</w:t>
            </w:r>
          </w:p>
          <w:p>
            <w:pPr>
              <w:pStyle w:val="3"/>
              <w:ind w:firstLine="0" w:firstLineChars="0"/>
              <w:rPr>
                <w:rFonts w:ascii="宋体" w:hAnsi="宋体" w:eastAsia="宋体" w:cs="宋体"/>
                <w:szCs w:val="21"/>
              </w:rPr>
            </w:pPr>
            <w:r>
              <w:rPr>
                <w:rFonts w:hint="eastAsia" w:ascii="宋体" w:hAnsi="宋体" w:eastAsia="宋体"/>
              </w:rPr>
              <w:t>上述加分项需按招标文件要求提供</w:t>
            </w:r>
            <w:r>
              <w:rPr>
                <w:rFonts w:ascii="宋体" w:hAnsi="宋体" w:eastAsia="宋体"/>
              </w:rPr>
              <w:t>相</w:t>
            </w:r>
            <w:r>
              <w:rPr>
                <w:rFonts w:hint="eastAsia" w:ascii="宋体" w:hAnsi="宋体" w:eastAsia="宋体"/>
              </w:rPr>
              <w:t>关证件的扫描件，否则不加分</w:t>
            </w:r>
            <w:r>
              <w:rPr>
                <w:rFonts w:hint="eastAsia" w:ascii="宋体" w:hAnsi="宋体" w:eastAsia="宋体"/>
                <w:kern w:val="0"/>
                <w:sz w:val="24"/>
                <w:szCs w:val="20"/>
              </w:rPr>
              <w:t>；</w:t>
            </w:r>
            <w:r>
              <w:rPr>
                <w:rFonts w:hint="eastAsia" w:ascii="宋体" w:hAnsi="宋体" w:eastAsia="宋体"/>
              </w:rPr>
              <w:t>若为联合体投标，联合体成员任意一方满足即可得分。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5" w:hRule="atLeast"/>
          <w:jc w:val="center"/>
        </w:trPr>
        <w:tc>
          <w:tcPr>
            <w:tcW w:w="945" w:type="dxa"/>
            <w:vAlign w:val="center"/>
          </w:tcPr>
          <w:p>
            <w:pPr>
              <w:spacing w:line="380" w:lineRule="atLeast"/>
              <w:jc w:val="center"/>
              <w:rPr>
                <w:rFonts w:ascii="宋体" w:hAnsi="宋体" w:eastAsia="宋体" w:cs="宋体"/>
                <w:szCs w:val="21"/>
              </w:rPr>
            </w:pPr>
            <w:r>
              <w:rPr>
                <w:rFonts w:hint="eastAsia" w:ascii="宋体" w:hAnsi="宋体" w:eastAsia="宋体" w:cs="宋体"/>
                <w:szCs w:val="21"/>
              </w:rPr>
              <w:t>2.2.4⑶</w:t>
            </w:r>
          </w:p>
        </w:tc>
        <w:tc>
          <w:tcPr>
            <w:tcW w:w="1335" w:type="dxa"/>
            <w:gridSpan w:val="2"/>
            <w:vAlign w:val="center"/>
          </w:tcPr>
          <w:p>
            <w:pPr>
              <w:spacing w:line="380" w:lineRule="atLeast"/>
              <w:jc w:val="center"/>
              <w:rPr>
                <w:rFonts w:ascii="宋体" w:hAnsi="宋体" w:eastAsia="宋体" w:cs="宋体"/>
                <w:szCs w:val="21"/>
              </w:rPr>
            </w:pPr>
            <w:r>
              <w:rPr>
                <w:rFonts w:hint="eastAsia" w:ascii="宋体" w:hAnsi="宋体" w:eastAsia="宋体" w:cs="宋体"/>
                <w:szCs w:val="21"/>
              </w:rPr>
              <w:t>评标价</w:t>
            </w:r>
          </w:p>
        </w:tc>
        <w:tc>
          <w:tcPr>
            <w:tcW w:w="867" w:type="dxa"/>
            <w:vAlign w:val="center"/>
          </w:tcPr>
          <w:p>
            <w:pPr>
              <w:spacing w:line="380" w:lineRule="atLeast"/>
              <w:jc w:val="center"/>
              <w:rPr>
                <w:rFonts w:ascii="宋体" w:hAnsi="宋体" w:eastAsia="宋体" w:cs="宋体"/>
                <w:szCs w:val="21"/>
              </w:rPr>
            </w:pPr>
            <w:r>
              <w:rPr>
                <w:rFonts w:hint="eastAsia" w:ascii="宋体" w:hAnsi="宋体" w:eastAsia="宋体" w:cs="宋体"/>
                <w:szCs w:val="21"/>
                <w:u w:val="single"/>
              </w:rPr>
              <w:t>10</w:t>
            </w:r>
            <w:r>
              <w:rPr>
                <w:rFonts w:hint="eastAsia" w:ascii="宋体" w:hAnsi="宋体" w:eastAsia="宋体" w:cs="宋体"/>
                <w:szCs w:val="21"/>
              </w:rPr>
              <w:t>分</w:t>
            </w:r>
          </w:p>
        </w:tc>
        <w:tc>
          <w:tcPr>
            <w:tcW w:w="6238" w:type="dxa"/>
            <w:gridSpan w:val="3"/>
            <w:vAlign w:val="center"/>
          </w:tcPr>
          <w:p>
            <w:pPr>
              <w:pStyle w:val="4"/>
              <w:adjustRightInd w:val="0"/>
              <w:snapToGrid w:val="0"/>
              <w:spacing w:after="0"/>
              <w:jc w:val="left"/>
              <w:rPr>
                <w:rFonts w:ascii="宋体" w:hAnsi="宋体" w:cs="宋体"/>
                <w:szCs w:val="21"/>
              </w:rPr>
            </w:pPr>
            <w:r>
              <w:rPr>
                <w:rFonts w:ascii="宋体" w:hAnsi="宋体" w:cs="宋体"/>
                <w:szCs w:val="21"/>
              </w:rPr>
              <w:t>评标价得分计算公式示例：</w:t>
            </w:r>
          </w:p>
          <w:p>
            <w:pPr>
              <w:pStyle w:val="4"/>
              <w:adjustRightInd w:val="0"/>
              <w:snapToGrid w:val="0"/>
              <w:spacing w:after="0"/>
              <w:jc w:val="left"/>
              <w:rPr>
                <w:rFonts w:ascii="宋体" w:hAnsi="宋体" w:cs="宋体"/>
                <w:szCs w:val="21"/>
              </w:rPr>
            </w:pPr>
            <w:r>
              <w:rPr>
                <w:rFonts w:hint="eastAsia" w:ascii="宋体" w:hAnsi="宋体" w:cs="宋体"/>
                <w:szCs w:val="21"/>
              </w:rPr>
              <w:t>（1）</w:t>
            </w:r>
            <w:r>
              <w:rPr>
                <w:rFonts w:ascii="宋体" w:hAnsi="宋体" w:cs="宋体"/>
                <w:szCs w:val="21"/>
              </w:rPr>
              <w:t>如果投标人的评标价&gt;评标基准价，则评标价得分＝F－偏差率×100×E1；</w:t>
            </w:r>
          </w:p>
          <w:p>
            <w:pPr>
              <w:pStyle w:val="4"/>
              <w:adjustRightInd w:val="0"/>
              <w:snapToGrid w:val="0"/>
              <w:spacing w:after="0"/>
              <w:jc w:val="left"/>
              <w:rPr>
                <w:rFonts w:ascii="宋体" w:hAnsi="宋体" w:cs="宋体"/>
                <w:szCs w:val="21"/>
              </w:rPr>
            </w:pPr>
            <w:r>
              <w:rPr>
                <w:rFonts w:hint="eastAsia" w:ascii="宋体" w:hAnsi="宋体" w:cs="宋体"/>
                <w:szCs w:val="21"/>
              </w:rPr>
              <w:t>（2）</w:t>
            </w:r>
            <w:r>
              <w:rPr>
                <w:rFonts w:ascii="宋体" w:hAnsi="宋体" w:cs="宋体"/>
                <w:szCs w:val="21"/>
              </w:rPr>
              <w:t>如果投标人的评标价≤评标基准价，则评标价得分＝F＋偏差率×100×E2。</w:t>
            </w:r>
          </w:p>
          <w:p>
            <w:pPr>
              <w:pStyle w:val="4"/>
              <w:jc w:val="left"/>
              <w:rPr>
                <w:rFonts w:ascii="宋体" w:hAnsi="宋体"/>
                <w:szCs w:val="21"/>
              </w:rPr>
            </w:pPr>
            <w:r>
              <w:rPr>
                <w:rFonts w:hint="eastAsia" w:ascii="宋体" w:hAnsi="宋体" w:cs="宋体"/>
                <w:szCs w:val="21"/>
              </w:rPr>
              <w:t>其中：</w:t>
            </w:r>
            <w:r>
              <w:rPr>
                <w:rFonts w:ascii="宋体" w:hAnsi="宋体" w:cs="宋体"/>
                <w:szCs w:val="21"/>
              </w:rPr>
              <w:t>F=10，E1=0.2，E2=0.1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1" w:hRule="atLeast"/>
          <w:jc w:val="center"/>
        </w:trPr>
        <w:tc>
          <w:tcPr>
            <w:tcW w:w="945" w:type="dxa"/>
            <w:vMerge w:val="restart"/>
            <w:vAlign w:val="center"/>
          </w:tcPr>
          <w:p>
            <w:pPr>
              <w:spacing w:line="380" w:lineRule="atLeast"/>
              <w:jc w:val="center"/>
              <w:rPr>
                <w:rFonts w:ascii="宋体" w:hAnsi="宋体" w:eastAsia="宋体"/>
                <w:szCs w:val="21"/>
              </w:rPr>
            </w:pPr>
            <w:r>
              <w:rPr>
                <w:rFonts w:hint="eastAsia" w:ascii="宋体" w:hAnsi="宋体" w:eastAsia="宋体" w:cs="宋体"/>
                <w:szCs w:val="21"/>
              </w:rPr>
              <w:t>2.2.4⑷</w:t>
            </w:r>
          </w:p>
        </w:tc>
        <w:tc>
          <w:tcPr>
            <w:tcW w:w="668" w:type="dxa"/>
            <w:vMerge w:val="restart"/>
            <w:vAlign w:val="center"/>
          </w:tcPr>
          <w:p>
            <w:pPr>
              <w:spacing w:line="380" w:lineRule="atLeast"/>
              <w:jc w:val="center"/>
              <w:rPr>
                <w:rFonts w:ascii="宋体" w:hAnsi="宋体" w:eastAsia="宋体" w:cs="宋体"/>
                <w:szCs w:val="21"/>
              </w:rPr>
            </w:pPr>
            <w:r>
              <w:rPr>
                <w:rFonts w:hint="eastAsia" w:ascii="宋体" w:hAnsi="宋体" w:eastAsia="宋体" w:cs="宋体"/>
                <w:szCs w:val="21"/>
              </w:rPr>
              <w:t>其他因素</w:t>
            </w:r>
          </w:p>
        </w:tc>
        <w:tc>
          <w:tcPr>
            <w:tcW w:w="667" w:type="dxa"/>
            <w:vAlign w:val="center"/>
          </w:tcPr>
          <w:p>
            <w:pPr>
              <w:spacing w:line="380" w:lineRule="atLeast"/>
              <w:jc w:val="center"/>
              <w:rPr>
                <w:rFonts w:ascii="宋体" w:hAnsi="宋体" w:eastAsia="宋体" w:cs="宋体"/>
                <w:szCs w:val="21"/>
              </w:rPr>
            </w:pPr>
            <w:r>
              <w:rPr>
                <w:rFonts w:hint="eastAsia" w:ascii="宋体" w:hAnsi="宋体" w:eastAsia="宋体" w:cs="宋体"/>
                <w:szCs w:val="21"/>
              </w:rPr>
              <w:t>技术能力</w:t>
            </w:r>
          </w:p>
        </w:tc>
        <w:tc>
          <w:tcPr>
            <w:tcW w:w="867" w:type="dxa"/>
            <w:vAlign w:val="center"/>
          </w:tcPr>
          <w:p>
            <w:pPr>
              <w:spacing w:line="380" w:lineRule="atLeast"/>
              <w:jc w:val="center"/>
              <w:rPr>
                <w:rFonts w:ascii="宋体" w:hAnsi="宋体" w:eastAsia="宋体" w:cs="宋体"/>
                <w:szCs w:val="21"/>
              </w:rPr>
            </w:pPr>
            <w:r>
              <w:rPr>
                <w:rFonts w:ascii="宋体" w:hAnsi="宋体" w:eastAsia="宋体" w:cs="宋体"/>
                <w:szCs w:val="21"/>
                <w:u w:val="single"/>
              </w:rPr>
              <w:t>15</w:t>
            </w:r>
            <w:r>
              <w:rPr>
                <w:rFonts w:hint="eastAsia" w:ascii="宋体" w:hAnsi="宋体" w:eastAsia="宋体" w:cs="宋体"/>
                <w:szCs w:val="21"/>
              </w:rPr>
              <w:t>分</w:t>
            </w:r>
          </w:p>
        </w:tc>
        <w:tc>
          <w:tcPr>
            <w:tcW w:w="6238" w:type="dxa"/>
            <w:gridSpan w:val="3"/>
            <w:vAlign w:val="center"/>
          </w:tcPr>
          <w:p>
            <w:pPr>
              <w:spacing w:line="276"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2020年9月1日至投</w:t>
            </w:r>
            <w:r>
              <w:rPr>
                <w:rFonts w:hint="eastAsia" w:ascii="宋体" w:hAnsi="宋体" w:eastAsia="宋体" w:cs="宋体"/>
                <w:szCs w:val="21"/>
              </w:rPr>
              <w:t>标文件递交截止日止，投标人曾参编过省级（含副省级）或以上行业主管部门印发的公路工程相关招标范本，每个得</w:t>
            </w:r>
            <w:r>
              <w:rPr>
                <w:rFonts w:ascii="宋体" w:hAnsi="宋体" w:eastAsia="宋体" w:cs="宋体"/>
                <w:szCs w:val="21"/>
              </w:rPr>
              <w:t>3分</w:t>
            </w:r>
            <w:r>
              <w:rPr>
                <w:rFonts w:hint="eastAsia" w:ascii="宋体" w:hAnsi="宋体" w:eastAsia="宋体" w:cs="宋体"/>
                <w:szCs w:val="21"/>
              </w:rPr>
              <w:t>，最高得15分</w:t>
            </w:r>
            <w:r>
              <w:rPr>
                <w:rFonts w:ascii="宋体" w:hAnsi="宋体" w:eastAsia="宋体" w:cs="宋体"/>
                <w:szCs w:val="21"/>
              </w:rPr>
              <w:t>；</w:t>
            </w:r>
          </w:p>
          <w:p>
            <w:pPr>
              <w:spacing w:line="276" w:lineRule="auto"/>
              <w:rPr>
                <w:rFonts w:ascii="宋体" w:hAnsi="宋体" w:eastAsia="宋体" w:cs="宋体"/>
                <w:szCs w:val="21"/>
              </w:rPr>
            </w:pPr>
            <w:r>
              <w:rPr>
                <w:rFonts w:hint="eastAsia" w:ascii="宋体" w:hAnsi="宋体" w:eastAsia="宋体" w:cs="宋体"/>
                <w:szCs w:val="21"/>
              </w:rPr>
              <w:t>注：</w:t>
            </w:r>
            <w:r>
              <w:rPr>
                <w:rFonts w:ascii="宋体" w:hAnsi="宋体" w:eastAsia="宋体" w:cs="宋体"/>
                <w:szCs w:val="21"/>
              </w:rPr>
              <w:t>需提供范本文件封面及</w:t>
            </w:r>
            <w:r>
              <w:rPr>
                <w:rFonts w:hint="eastAsia" w:ascii="宋体" w:hAnsi="宋体" w:eastAsia="宋体" w:cs="宋体"/>
                <w:szCs w:val="21"/>
              </w:rPr>
              <w:t>参编页截图，否则其业绩不予认定；</w:t>
            </w:r>
            <w:r>
              <w:rPr>
                <w:rFonts w:hint="eastAsia" w:ascii="宋体" w:hAnsi="宋体" w:eastAsia="宋体"/>
                <w:szCs w:val="21"/>
              </w:rPr>
              <w:t>若为联合体投标，联合体成员任意一方满足即可得分。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1" w:hRule="atLeast"/>
          <w:jc w:val="center"/>
        </w:trPr>
        <w:tc>
          <w:tcPr>
            <w:tcW w:w="945" w:type="dxa"/>
            <w:vMerge w:val="continue"/>
            <w:vAlign w:val="center"/>
          </w:tcPr>
          <w:p>
            <w:pPr>
              <w:spacing w:line="380" w:lineRule="atLeast"/>
              <w:jc w:val="center"/>
              <w:rPr>
                <w:rFonts w:ascii="宋体" w:hAnsi="宋体" w:eastAsia="宋体" w:cs="宋体"/>
                <w:szCs w:val="21"/>
              </w:rPr>
            </w:pPr>
          </w:p>
        </w:tc>
        <w:tc>
          <w:tcPr>
            <w:tcW w:w="668" w:type="dxa"/>
            <w:vMerge w:val="continue"/>
            <w:vAlign w:val="center"/>
          </w:tcPr>
          <w:p>
            <w:pPr>
              <w:spacing w:line="380" w:lineRule="atLeast"/>
              <w:jc w:val="center"/>
              <w:rPr>
                <w:rFonts w:ascii="宋体" w:hAnsi="宋体" w:eastAsia="宋体" w:cs="宋体"/>
                <w:szCs w:val="21"/>
              </w:rPr>
            </w:pPr>
          </w:p>
        </w:tc>
        <w:tc>
          <w:tcPr>
            <w:tcW w:w="667" w:type="dxa"/>
            <w:vAlign w:val="center"/>
          </w:tcPr>
          <w:p>
            <w:pPr>
              <w:spacing w:line="380" w:lineRule="atLeast"/>
              <w:jc w:val="center"/>
              <w:rPr>
                <w:rFonts w:ascii="宋体" w:hAnsi="宋体" w:eastAsia="宋体" w:cs="宋体"/>
                <w:szCs w:val="21"/>
              </w:rPr>
            </w:pPr>
            <w:r>
              <w:rPr>
                <w:rFonts w:hint="eastAsia" w:ascii="宋体" w:hAnsi="宋体" w:eastAsia="宋体" w:cs="宋体"/>
                <w:szCs w:val="21"/>
              </w:rPr>
              <w:t>平台系统</w:t>
            </w:r>
          </w:p>
        </w:tc>
        <w:tc>
          <w:tcPr>
            <w:tcW w:w="867" w:type="dxa"/>
            <w:vAlign w:val="center"/>
          </w:tcPr>
          <w:p>
            <w:pPr>
              <w:spacing w:line="380" w:lineRule="atLeast"/>
              <w:jc w:val="center"/>
              <w:rPr>
                <w:rFonts w:ascii="宋体" w:hAnsi="宋体" w:eastAsia="宋体" w:cs="宋体"/>
                <w:szCs w:val="21"/>
                <w:u w:val="single"/>
              </w:rPr>
            </w:pPr>
            <w:r>
              <w:rPr>
                <w:rFonts w:hint="eastAsia" w:ascii="宋体" w:hAnsi="宋体" w:eastAsia="宋体" w:cs="宋体"/>
                <w:szCs w:val="21"/>
                <w:u w:val="single"/>
              </w:rPr>
              <w:t>5</w:t>
            </w:r>
            <w:r>
              <w:rPr>
                <w:rFonts w:hint="eastAsia" w:ascii="宋体" w:hAnsi="宋体" w:eastAsia="宋体" w:cs="宋体"/>
                <w:szCs w:val="21"/>
              </w:rPr>
              <w:t>分</w:t>
            </w:r>
          </w:p>
        </w:tc>
        <w:tc>
          <w:tcPr>
            <w:tcW w:w="6238" w:type="dxa"/>
            <w:gridSpan w:val="3"/>
            <w:vAlign w:val="center"/>
          </w:tcPr>
          <w:p>
            <w:pPr>
              <w:spacing w:line="300" w:lineRule="exact"/>
              <w:rPr>
                <w:rFonts w:ascii="宋体" w:hAnsi="宋体" w:eastAsia="宋体"/>
                <w:szCs w:val="21"/>
              </w:rPr>
            </w:pPr>
            <w:r>
              <w:rPr>
                <w:rFonts w:hint="eastAsia" w:ascii="宋体" w:hAnsi="宋体" w:eastAsia="宋体"/>
                <w:szCs w:val="21"/>
              </w:rPr>
              <w:t>（</w:t>
            </w:r>
            <w:r>
              <w:rPr>
                <w:rFonts w:ascii="宋体" w:hAnsi="宋体" w:eastAsia="宋体"/>
                <w:szCs w:val="21"/>
              </w:rPr>
              <w:t>1）投</w:t>
            </w:r>
            <w:r>
              <w:rPr>
                <w:rFonts w:hint="eastAsia" w:ascii="宋体" w:hAnsi="宋体" w:eastAsia="宋体"/>
                <w:szCs w:val="21"/>
              </w:rPr>
              <w:t>标人具有自有版权的电子招标投标系统的，得</w:t>
            </w:r>
            <w:r>
              <w:rPr>
                <w:rFonts w:ascii="宋体" w:hAnsi="宋体" w:eastAsia="宋体"/>
                <w:szCs w:val="21"/>
              </w:rPr>
              <w:t xml:space="preserve"> 5分；</w:t>
            </w:r>
          </w:p>
          <w:p>
            <w:pPr>
              <w:spacing w:line="300" w:lineRule="exact"/>
              <w:rPr>
                <w:rFonts w:ascii="宋体" w:hAnsi="宋体" w:eastAsia="宋体"/>
                <w:szCs w:val="21"/>
              </w:rPr>
            </w:pPr>
            <w:r>
              <w:rPr>
                <w:rFonts w:hint="eastAsia" w:ascii="宋体" w:hAnsi="宋体" w:eastAsia="宋体"/>
                <w:szCs w:val="21"/>
              </w:rPr>
              <w:t>（</w:t>
            </w:r>
            <w:r>
              <w:rPr>
                <w:rFonts w:ascii="宋体" w:hAnsi="宋体" w:eastAsia="宋体"/>
                <w:szCs w:val="21"/>
              </w:rPr>
              <w:t>2）投</w:t>
            </w:r>
            <w:r>
              <w:rPr>
                <w:rFonts w:hint="eastAsia" w:ascii="宋体" w:hAnsi="宋体" w:eastAsia="宋体"/>
                <w:szCs w:val="21"/>
              </w:rPr>
              <w:t>标人只有自有版权的电子评标系统的，得</w:t>
            </w:r>
            <w:r>
              <w:rPr>
                <w:rFonts w:ascii="宋体" w:hAnsi="宋体" w:eastAsia="宋体"/>
                <w:szCs w:val="21"/>
              </w:rPr>
              <w:t xml:space="preserve"> 3 分；</w:t>
            </w:r>
          </w:p>
          <w:p>
            <w:pPr>
              <w:spacing w:line="300" w:lineRule="exact"/>
              <w:rPr>
                <w:rFonts w:ascii="宋体" w:hAnsi="宋体" w:eastAsia="宋体"/>
                <w:szCs w:val="21"/>
              </w:rPr>
            </w:pPr>
            <w:r>
              <w:rPr>
                <w:rFonts w:hint="eastAsia" w:ascii="宋体" w:hAnsi="宋体" w:eastAsia="宋体"/>
                <w:szCs w:val="21"/>
              </w:rPr>
              <w:t>（</w:t>
            </w:r>
            <w:r>
              <w:rPr>
                <w:rFonts w:ascii="宋体" w:hAnsi="宋体" w:eastAsia="宋体"/>
                <w:szCs w:val="21"/>
              </w:rPr>
              <w:t>3）投</w:t>
            </w:r>
            <w:r>
              <w:rPr>
                <w:rFonts w:hint="eastAsia" w:ascii="宋体" w:hAnsi="宋体" w:eastAsia="宋体"/>
                <w:szCs w:val="21"/>
              </w:rPr>
              <w:t>标人使用的平台系统非自有版权的，得</w:t>
            </w:r>
            <w:r>
              <w:rPr>
                <w:rFonts w:ascii="宋体" w:hAnsi="宋体" w:eastAsia="宋体"/>
                <w:szCs w:val="21"/>
              </w:rPr>
              <w:t xml:space="preserve"> 1 分；</w:t>
            </w:r>
          </w:p>
          <w:p>
            <w:pPr>
              <w:spacing w:line="300" w:lineRule="exact"/>
              <w:rPr>
                <w:rFonts w:ascii="宋体" w:hAnsi="宋体" w:eastAsia="宋体"/>
                <w:szCs w:val="21"/>
              </w:rPr>
            </w:pPr>
            <w:r>
              <w:rPr>
                <w:rFonts w:hint="eastAsia" w:ascii="宋体" w:hAnsi="宋体" w:eastAsia="宋体"/>
                <w:szCs w:val="21"/>
              </w:rPr>
              <w:t>注：同一事项，不重复加分，按较高分只计一次，</w:t>
            </w:r>
            <w:r>
              <w:rPr>
                <w:rFonts w:hint="eastAsia" w:ascii="宋体" w:hAnsi="宋体" w:eastAsia="宋体" w:cs="宋体"/>
                <w:szCs w:val="21"/>
              </w:rPr>
              <w:t>最高得5分</w:t>
            </w:r>
            <w:r>
              <w:rPr>
                <w:rFonts w:hint="eastAsia" w:ascii="宋体" w:hAnsi="宋体" w:eastAsia="宋体"/>
                <w:szCs w:val="21"/>
              </w:rPr>
              <w:t>。</w:t>
            </w:r>
          </w:p>
          <w:p>
            <w:pPr>
              <w:spacing w:line="300" w:lineRule="exact"/>
              <w:rPr>
                <w:rFonts w:ascii="宋体" w:hAnsi="宋体" w:eastAsia="宋体"/>
                <w:szCs w:val="21"/>
              </w:rPr>
            </w:pPr>
            <w:r>
              <w:rPr>
                <w:rFonts w:hint="eastAsia" w:ascii="宋体" w:hAnsi="宋体" w:eastAsia="宋体"/>
                <w:szCs w:val="21"/>
              </w:rPr>
              <w:t>注：须提供网址、能反映版权所有人页面截图、登录界面网页截图及系统、电子招标投标系统认证证书；</w:t>
            </w:r>
          </w:p>
          <w:p>
            <w:pPr>
              <w:spacing w:line="276" w:lineRule="auto"/>
              <w:rPr>
                <w:rFonts w:ascii="宋体" w:hAnsi="宋体" w:eastAsia="宋体" w:cs="宋体"/>
                <w:szCs w:val="21"/>
              </w:rPr>
            </w:pPr>
            <w:r>
              <w:rPr>
                <w:rFonts w:hint="eastAsia" w:ascii="宋体" w:hAnsi="宋体" w:eastAsia="宋体"/>
                <w:szCs w:val="21"/>
              </w:rPr>
              <w:t>若为联合体投标，联合体成员任意一方满足即可得分。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3" w:hRule="atLeast"/>
          <w:jc w:val="center"/>
        </w:trPr>
        <w:tc>
          <w:tcPr>
            <w:tcW w:w="945" w:type="dxa"/>
            <w:vMerge w:val="restart"/>
            <w:vAlign w:val="center"/>
          </w:tcPr>
          <w:p>
            <w:pPr>
              <w:spacing w:line="380" w:lineRule="atLeast"/>
              <w:jc w:val="center"/>
              <w:rPr>
                <w:rFonts w:ascii="宋体" w:hAnsi="宋体" w:eastAsia="宋体" w:cs="宋体"/>
                <w:szCs w:val="21"/>
              </w:rPr>
            </w:pPr>
            <w:r>
              <w:rPr>
                <w:rFonts w:hint="eastAsia" w:ascii="宋体" w:hAnsi="宋体" w:eastAsia="宋体" w:cs="宋体"/>
                <w:szCs w:val="21"/>
              </w:rPr>
              <w:t>2.2.4⑷</w:t>
            </w:r>
          </w:p>
        </w:tc>
        <w:tc>
          <w:tcPr>
            <w:tcW w:w="668" w:type="dxa"/>
            <w:vMerge w:val="restart"/>
            <w:vAlign w:val="center"/>
          </w:tcPr>
          <w:p>
            <w:pPr>
              <w:spacing w:line="380" w:lineRule="atLeast"/>
              <w:jc w:val="center"/>
              <w:rPr>
                <w:rFonts w:ascii="宋体" w:hAnsi="宋体" w:eastAsia="宋体" w:cs="宋体"/>
                <w:szCs w:val="21"/>
              </w:rPr>
            </w:pPr>
            <w:r>
              <w:rPr>
                <w:rFonts w:hint="eastAsia" w:ascii="宋体" w:hAnsi="宋体" w:eastAsia="宋体" w:cs="宋体"/>
                <w:szCs w:val="21"/>
              </w:rPr>
              <w:t>其他因素</w:t>
            </w:r>
          </w:p>
        </w:tc>
        <w:tc>
          <w:tcPr>
            <w:tcW w:w="667" w:type="dxa"/>
            <w:vAlign w:val="center"/>
          </w:tcPr>
          <w:p>
            <w:pPr>
              <w:spacing w:line="380" w:lineRule="atLeast"/>
              <w:jc w:val="center"/>
              <w:rPr>
                <w:rFonts w:ascii="宋体" w:hAnsi="宋体" w:eastAsia="宋体" w:cs="宋体"/>
                <w:szCs w:val="21"/>
              </w:rPr>
            </w:pPr>
            <w:r>
              <w:rPr>
                <w:rFonts w:hint="eastAsia" w:ascii="宋体" w:hAnsi="宋体" w:eastAsia="宋体" w:cs="宋体"/>
                <w:szCs w:val="21"/>
              </w:rPr>
              <w:t>业绩</w:t>
            </w:r>
          </w:p>
        </w:tc>
        <w:tc>
          <w:tcPr>
            <w:tcW w:w="867" w:type="dxa"/>
            <w:vAlign w:val="center"/>
          </w:tcPr>
          <w:p>
            <w:pPr>
              <w:spacing w:line="380" w:lineRule="atLeast"/>
              <w:jc w:val="center"/>
              <w:rPr>
                <w:rFonts w:ascii="宋体" w:hAnsi="宋体" w:eastAsia="宋体" w:cs="宋体"/>
                <w:szCs w:val="21"/>
                <w:u w:val="single"/>
              </w:rPr>
            </w:pPr>
            <w:r>
              <w:rPr>
                <w:rFonts w:hint="eastAsia" w:ascii="宋体" w:hAnsi="宋体" w:eastAsia="宋体" w:cs="宋体"/>
                <w:szCs w:val="21"/>
                <w:u w:val="single"/>
              </w:rPr>
              <w:t>30</w:t>
            </w:r>
            <w:r>
              <w:rPr>
                <w:rFonts w:hint="eastAsia" w:ascii="宋体" w:hAnsi="宋体" w:eastAsia="宋体" w:cs="宋体"/>
                <w:szCs w:val="21"/>
              </w:rPr>
              <w:t>分</w:t>
            </w:r>
          </w:p>
        </w:tc>
        <w:tc>
          <w:tcPr>
            <w:tcW w:w="1432" w:type="dxa"/>
            <w:vAlign w:val="center"/>
          </w:tcPr>
          <w:p>
            <w:pPr>
              <w:spacing w:line="380" w:lineRule="atLeast"/>
              <w:jc w:val="center"/>
              <w:rPr>
                <w:rFonts w:ascii="宋体" w:hAnsi="宋体" w:eastAsia="宋体" w:cs="宋体"/>
                <w:szCs w:val="21"/>
              </w:rPr>
            </w:pPr>
            <w:r>
              <w:rPr>
                <w:rFonts w:hint="eastAsia" w:ascii="宋体" w:hAnsi="宋体" w:eastAsia="宋体" w:cs="宋体"/>
                <w:szCs w:val="21"/>
              </w:rPr>
              <w:t>业绩</w:t>
            </w:r>
          </w:p>
        </w:tc>
        <w:tc>
          <w:tcPr>
            <w:tcW w:w="631" w:type="dxa"/>
            <w:vAlign w:val="center"/>
          </w:tcPr>
          <w:p>
            <w:pPr>
              <w:spacing w:line="380" w:lineRule="atLeast"/>
              <w:rPr>
                <w:rFonts w:ascii="宋体" w:hAnsi="宋体" w:eastAsia="宋体" w:cs="宋体"/>
                <w:szCs w:val="21"/>
              </w:rPr>
            </w:pPr>
            <w:r>
              <w:rPr>
                <w:rFonts w:ascii="宋体" w:hAnsi="宋体" w:eastAsia="宋体" w:cs="宋体"/>
                <w:szCs w:val="21"/>
                <w:u w:val="single"/>
              </w:rPr>
              <w:t>30</w:t>
            </w:r>
            <w:r>
              <w:rPr>
                <w:rFonts w:hint="eastAsia" w:ascii="宋体" w:hAnsi="宋体" w:eastAsia="宋体" w:cs="宋体"/>
                <w:szCs w:val="21"/>
              </w:rPr>
              <w:t>分</w:t>
            </w:r>
          </w:p>
        </w:tc>
        <w:tc>
          <w:tcPr>
            <w:tcW w:w="4175" w:type="dxa"/>
            <w:vAlign w:val="center"/>
          </w:tcPr>
          <w:p>
            <w:pPr>
              <w:spacing w:line="276" w:lineRule="auto"/>
              <w:rPr>
                <w:rFonts w:ascii="宋体" w:hAnsi="宋体" w:eastAsia="宋体" w:cs="宋体"/>
                <w:szCs w:val="21"/>
              </w:rPr>
            </w:pPr>
            <w:r>
              <w:rPr>
                <w:rFonts w:hint="eastAsia" w:ascii="宋体" w:hAnsi="宋体" w:eastAsia="宋体" w:cs="宋体"/>
                <w:szCs w:val="21"/>
              </w:rPr>
              <w:t>满足资格审查条件附录2（业绩最低要求），得</w:t>
            </w:r>
            <w:r>
              <w:rPr>
                <w:rFonts w:ascii="宋体" w:hAnsi="宋体" w:eastAsia="宋体" w:cs="宋体"/>
                <w:szCs w:val="21"/>
              </w:rPr>
              <w:t>18分。</w:t>
            </w:r>
            <w:r>
              <w:rPr>
                <w:rFonts w:hint="eastAsia" w:ascii="宋体" w:hAnsi="宋体" w:eastAsia="宋体" w:cs="宋体"/>
                <w:szCs w:val="21"/>
              </w:rPr>
              <w:t>在此基础上：</w:t>
            </w:r>
          </w:p>
          <w:p>
            <w:pPr>
              <w:spacing w:line="300" w:lineRule="exact"/>
              <w:rPr>
                <w:rFonts w:ascii="宋体" w:hAnsi="宋体" w:eastAsia="宋体" w:cs="宋体"/>
                <w:szCs w:val="21"/>
              </w:rPr>
            </w:pPr>
            <w:r>
              <w:rPr>
                <w:rFonts w:hint="eastAsia" w:ascii="宋体" w:hAnsi="宋体" w:eastAsia="宋体" w:cs="宋体"/>
                <w:szCs w:val="21"/>
              </w:rPr>
              <w:t>（1）招标（采购）代理类项目业绩：</w:t>
            </w:r>
          </w:p>
          <w:p>
            <w:pPr>
              <w:spacing w:line="300" w:lineRule="exact"/>
              <w:rPr>
                <w:rFonts w:ascii="宋体" w:hAnsi="宋体" w:eastAsia="宋体" w:cs="宋体"/>
                <w:szCs w:val="21"/>
              </w:rPr>
            </w:pPr>
            <w:r>
              <w:rPr>
                <w:rFonts w:hint="eastAsia" w:ascii="宋体" w:hAnsi="宋体" w:eastAsia="宋体" w:cs="宋体"/>
                <w:szCs w:val="21"/>
              </w:rPr>
              <w:t>①</w:t>
            </w:r>
            <w:r>
              <w:rPr>
                <w:rFonts w:ascii="宋体" w:hAnsi="宋体" w:eastAsia="宋体" w:cs="宋体"/>
                <w:szCs w:val="21"/>
              </w:rPr>
              <w:t xml:space="preserve"> 2020年9月1日至投</w:t>
            </w:r>
            <w:r>
              <w:rPr>
                <w:rFonts w:hint="eastAsia" w:ascii="宋体" w:hAnsi="宋体" w:eastAsia="宋体" w:cs="宋体"/>
                <w:szCs w:val="21"/>
              </w:rPr>
              <w:t>标递交截止日止，每增加独立完成</w:t>
            </w:r>
            <w:r>
              <w:rPr>
                <w:rFonts w:ascii="宋体" w:hAnsi="宋体" w:eastAsia="宋体" w:cs="宋体"/>
                <w:szCs w:val="21"/>
              </w:rPr>
              <w:t>1</w:t>
            </w:r>
            <w:r>
              <w:rPr>
                <w:rFonts w:hint="eastAsia" w:ascii="宋体" w:hAnsi="宋体" w:eastAsia="宋体" w:cs="宋体"/>
                <w:szCs w:val="21"/>
              </w:rPr>
              <w:t>个通过公共资源交易中心平台的公路工程的招标代理项目，加</w:t>
            </w:r>
            <w:r>
              <w:rPr>
                <w:rFonts w:ascii="宋体" w:hAnsi="宋体" w:eastAsia="宋体" w:cs="宋体"/>
                <w:szCs w:val="21"/>
              </w:rPr>
              <w:t>0.3分，最多</w:t>
            </w:r>
            <w:r>
              <w:rPr>
                <w:rFonts w:hint="eastAsia" w:ascii="宋体" w:hAnsi="宋体" w:eastAsia="宋体" w:cs="宋体"/>
                <w:szCs w:val="21"/>
              </w:rPr>
              <w:t>加</w:t>
            </w:r>
            <w:r>
              <w:rPr>
                <w:rFonts w:ascii="宋体" w:hAnsi="宋体" w:eastAsia="宋体" w:cs="宋体"/>
                <w:szCs w:val="21"/>
              </w:rPr>
              <w:t>3分；</w:t>
            </w:r>
          </w:p>
          <w:p>
            <w:pPr>
              <w:spacing w:line="300" w:lineRule="exact"/>
              <w:rPr>
                <w:rFonts w:ascii="宋体" w:hAnsi="宋体" w:eastAsia="宋体" w:cs="宋体"/>
                <w:szCs w:val="21"/>
              </w:rPr>
            </w:pPr>
            <w:r>
              <w:rPr>
                <w:rFonts w:hint="eastAsia" w:ascii="宋体" w:hAnsi="宋体" w:eastAsia="宋体" w:cs="宋体"/>
                <w:szCs w:val="21"/>
              </w:rPr>
              <w:t>②</w:t>
            </w:r>
            <w:r>
              <w:rPr>
                <w:rFonts w:ascii="宋体" w:hAnsi="宋体" w:eastAsia="宋体" w:cs="宋体"/>
                <w:szCs w:val="21"/>
              </w:rPr>
              <w:t xml:space="preserve"> 2020年9月1日至投</w:t>
            </w:r>
            <w:r>
              <w:rPr>
                <w:rFonts w:hint="eastAsia" w:ascii="宋体" w:hAnsi="宋体" w:eastAsia="宋体" w:cs="宋体"/>
                <w:szCs w:val="21"/>
              </w:rPr>
              <w:t>标递交截止日止，投标人每增加独立完成过</w:t>
            </w:r>
            <w:r>
              <w:rPr>
                <w:rFonts w:ascii="宋体" w:hAnsi="宋体" w:eastAsia="宋体" w:cs="宋体"/>
                <w:szCs w:val="21"/>
              </w:rPr>
              <w:t>1</w:t>
            </w:r>
            <w:r>
              <w:rPr>
                <w:rFonts w:hint="eastAsia" w:ascii="宋体" w:hAnsi="宋体" w:eastAsia="宋体" w:cs="宋体"/>
                <w:szCs w:val="21"/>
              </w:rPr>
              <w:t>个通过市级以上政府采购平台交易的公路工程的采购代理项目，加</w:t>
            </w:r>
            <w:r>
              <w:rPr>
                <w:rFonts w:ascii="宋体" w:hAnsi="宋体" w:eastAsia="宋体" w:cs="宋体"/>
                <w:szCs w:val="21"/>
              </w:rPr>
              <w:t>0.3分，最多</w:t>
            </w:r>
            <w:r>
              <w:rPr>
                <w:rFonts w:hint="eastAsia" w:ascii="宋体" w:hAnsi="宋体" w:eastAsia="宋体" w:cs="宋体"/>
                <w:szCs w:val="21"/>
              </w:rPr>
              <w:t>加</w:t>
            </w:r>
            <w:r>
              <w:rPr>
                <w:rFonts w:ascii="宋体" w:hAnsi="宋体" w:eastAsia="宋体" w:cs="宋体"/>
                <w:szCs w:val="21"/>
              </w:rPr>
              <w:t xml:space="preserve">3分； </w:t>
            </w:r>
          </w:p>
          <w:p>
            <w:pPr>
              <w:pStyle w:val="3"/>
              <w:ind w:firstLine="0" w:firstLineChars="0"/>
              <w:rPr>
                <w:rFonts w:ascii="宋体" w:hAnsi="宋体" w:eastAsia="宋体" w:cs="宋体"/>
                <w:szCs w:val="21"/>
              </w:rPr>
            </w:pPr>
            <w:r>
              <w:rPr>
                <w:rFonts w:hint="eastAsia" w:ascii="宋体" w:hAnsi="宋体" w:eastAsia="宋体" w:cs="宋体"/>
                <w:szCs w:val="21"/>
              </w:rPr>
              <w:t>③</w:t>
            </w:r>
            <w:r>
              <w:rPr>
                <w:rFonts w:ascii="宋体" w:hAnsi="宋体" w:eastAsia="宋体" w:cs="宋体"/>
                <w:szCs w:val="21"/>
              </w:rPr>
              <w:t>2020年9月1日至投</w:t>
            </w:r>
            <w:r>
              <w:rPr>
                <w:rFonts w:hint="eastAsia" w:ascii="宋体" w:hAnsi="宋体" w:eastAsia="宋体" w:cs="宋体"/>
                <w:szCs w:val="21"/>
              </w:rPr>
              <w:t>标递交截止日止，投标人每增加独立完成过</w:t>
            </w:r>
            <w:r>
              <w:rPr>
                <w:rFonts w:ascii="宋体" w:hAnsi="宋体" w:eastAsia="宋体" w:cs="宋体"/>
                <w:szCs w:val="21"/>
              </w:rPr>
              <w:t>1</w:t>
            </w:r>
            <w:r>
              <w:rPr>
                <w:rFonts w:hint="eastAsia" w:ascii="宋体" w:hAnsi="宋体" w:eastAsia="宋体" w:cs="宋体"/>
                <w:szCs w:val="21"/>
              </w:rPr>
              <w:t>个通过公共资源交易中心平台或市级以上政府采购平台交易的市政道路类招标</w:t>
            </w:r>
            <w:r>
              <w:rPr>
                <w:rFonts w:ascii="宋体" w:hAnsi="宋体" w:eastAsia="宋体" w:cs="宋体"/>
                <w:szCs w:val="21"/>
              </w:rPr>
              <w:t>/采</w:t>
            </w:r>
            <w:r>
              <w:rPr>
                <w:rFonts w:hint="eastAsia" w:ascii="宋体" w:hAnsi="宋体" w:eastAsia="宋体" w:cs="宋体"/>
                <w:szCs w:val="21"/>
              </w:rPr>
              <w:t>购代理项目，加</w:t>
            </w:r>
            <w:r>
              <w:rPr>
                <w:rFonts w:ascii="宋体" w:hAnsi="宋体" w:eastAsia="宋体" w:cs="宋体"/>
                <w:szCs w:val="21"/>
              </w:rPr>
              <w:t>0.3分，最多</w:t>
            </w:r>
            <w:r>
              <w:rPr>
                <w:rFonts w:hint="eastAsia" w:ascii="宋体" w:hAnsi="宋体" w:eastAsia="宋体" w:cs="宋体"/>
                <w:szCs w:val="21"/>
              </w:rPr>
              <w:t>加</w:t>
            </w:r>
            <w:r>
              <w:rPr>
                <w:rFonts w:ascii="宋体" w:hAnsi="宋体" w:eastAsia="宋体" w:cs="宋体"/>
                <w:szCs w:val="21"/>
              </w:rPr>
              <w:t>3分；</w:t>
            </w:r>
          </w:p>
          <w:p>
            <w:pPr>
              <w:spacing w:line="300" w:lineRule="exact"/>
              <w:rPr>
                <w:rFonts w:ascii="宋体" w:hAnsi="宋体" w:eastAsia="宋体" w:cs="宋体"/>
                <w:szCs w:val="21"/>
              </w:rPr>
            </w:pPr>
            <w:r>
              <w:rPr>
                <w:rFonts w:hint="eastAsia" w:ascii="宋体" w:hAnsi="宋体" w:eastAsia="宋体" w:cs="宋体"/>
                <w:szCs w:val="21"/>
              </w:rPr>
              <w:t>本小项最多加</w:t>
            </w:r>
            <w:r>
              <w:rPr>
                <w:rFonts w:ascii="宋体" w:hAnsi="宋体" w:eastAsia="宋体" w:cs="宋体"/>
                <w:szCs w:val="21"/>
              </w:rPr>
              <w:t>9分。</w:t>
            </w:r>
          </w:p>
          <w:p>
            <w:pPr>
              <w:spacing w:line="300" w:lineRule="exact"/>
              <w:rPr>
                <w:rFonts w:ascii="宋体" w:hAnsi="宋体" w:eastAsia="宋体" w:cs="宋体"/>
                <w:szCs w:val="21"/>
              </w:rPr>
            </w:pPr>
            <w:r>
              <w:rPr>
                <w:rFonts w:hint="eastAsia" w:ascii="宋体" w:hAnsi="宋体" w:eastAsia="宋体" w:cs="宋体"/>
                <w:szCs w:val="21"/>
              </w:rPr>
              <w:t>注：需提供招标（采购）代理合同协议书复印件或项目业绩中标通知书复印件，否则，其业绩不予认定。如合同协议书或中标通知书不能反映相关数据指标，还应提供能反映相应指标的相关部门的有效证明材料复印件（相关部门指招标项目业主或项目监督部门）；业绩时间以中标通知书落款时间为准。</w:t>
            </w:r>
          </w:p>
          <w:p>
            <w:pPr>
              <w:spacing w:line="300" w:lineRule="exact"/>
              <w:rPr>
                <w:rFonts w:ascii="宋体" w:hAnsi="宋体" w:eastAsia="宋体" w:cs="宋体"/>
                <w:szCs w:val="21"/>
              </w:rPr>
            </w:pPr>
            <w:r>
              <w:rPr>
                <w:rFonts w:hint="eastAsia" w:ascii="宋体" w:hAnsi="宋体" w:eastAsia="宋体" w:cs="宋体"/>
                <w:szCs w:val="21"/>
              </w:rPr>
              <w:t>（2）造价咨询类项目业绩：</w:t>
            </w:r>
          </w:p>
          <w:p>
            <w:pPr>
              <w:spacing w:line="300" w:lineRule="exact"/>
              <w:rPr>
                <w:rFonts w:ascii="宋体" w:hAnsi="宋体" w:eastAsia="宋体" w:cs="宋体"/>
                <w:szCs w:val="21"/>
              </w:rPr>
            </w:pPr>
            <w:r>
              <w:rPr>
                <w:rFonts w:hint="eastAsia" w:ascii="宋体" w:hAnsi="宋体" w:eastAsia="宋体" w:cs="宋体"/>
                <w:szCs w:val="21"/>
              </w:rPr>
              <w:t>①</w:t>
            </w:r>
            <w:r>
              <w:rPr>
                <w:rFonts w:ascii="宋体" w:hAnsi="宋体" w:eastAsia="宋体" w:cs="宋体"/>
                <w:szCs w:val="21"/>
              </w:rPr>
              <w:t xml:space="preserve"> 2020年9月1日投</w:t>
            </w:r>
            <w:r>
              <w:rPr>
                <w:rFonts w:hint="eastAsia" w:ascii="宋体" w:hAnsi="宋体" w:eastAsia="宋体" w:cs="宋体"/>
                <w:szCs w:val="21"/>
              </w:rPr>
              <w:t>标递交截止日止，每增加独立完成</w:t>
            </w:r>
            <w:r>
              <w:rPr>
                <w:rFonts w:ascii="宋体" w:hAnsi="宋体" w:eastAsia="宋体" w:cs="宋体"/>
                <w:szCs w:val="21"/>
              </w:rPr>
              <w:t>1</w:t>
            </w:r>
            <w:r>
              <w:rPr>
                <w:rFonts w:hint="eastAsia" w:ascii="宋体" w:hAnsi="宋体" w:eastAsia="宋体" w:cs="宋体"/>
                <w:szCs w:val="21"/>
              </w:rPr>
              <w:t>个公路工程造价咨询项目的，加</w:t>
            </w:r>
            <w:r>
              <w:rPr>
                <w:rFonts w:ascii="宋体" w:hAnsi="宋体" w:eastAsia="宋体" w:cs="宋体"/>
                <w:szCs w:val="21"/>
              </w:rPr>
              <w:t>0.3分，最多</w:t>
            </w:r>
            <w:r>
              <w:rPr>
                <w:rFonts w:hint="eastAsia" w:ascii="宋体" w:hAnsi="宋体" w:eastAsia="宋体" w:cs="宋体"/>
                <w:szCs w:val="21"/>
              </w:rPr>
              <w:t>加</w:t>
            </w:r>
            <w:r>
              <w:rPr>
                <w:rFonts w:ascii="宋体" w:hAnsi="宋体" w:eastAsia="宋体" w:cs="宋体"/>
                <w:szCs w:val="21"/>
              </w:rPr>
              <w:t>3分；</w:t>
            </w:r>
          </w:p>
          <w:p>
            <w:pPr>
              <w:spacing w:line="300" w:lineRule="exact"/>
              <w:rPr>
                <w:rFonts w:ascii="宋体" w:hAnsi="宋体" w:eastAsia="宋体" w:cs="宋体"/>
                <w:szCs w:val="21"/>
              </w:rPr>
            </w:pPr>
            <w:r>
              <w:rPr>
                <w:rFonts w:hint="eastAsia" w:ascii="宋体" w:hAnsi="宋体" w:eastAsia="宋体" w:cs="宋体"/>
                <w:szCs w:val="21"/>
              </w:rPr>
              <w:t>本小项最高加</w:t>
            </w:r>
            <w:r>
              <w:rPr>
                <w:rFonts w:ascii="宋体" w:hAnsi="宋体" w:eastAsia="宋体" w:cs="宋体"/>
                <w:szCs w:val="21"/>
              </w:rPr>
              <w:t>3分。</w:t>
            </w:r>
          </w:p>
          <w:p>
            <w:pPr>
              <w:spacing w:line="300" w:lineRule="exact"/>
              <w:rPr>
                <w:rFonts w:ascii="宋体" w:hAnsi="宋体" w:eastAsia="宋体" w:cs="宋体"/>
                <w:szCs w:val="21"/>
              </w:rPr>
            </w:pPr>
            <w:r>
              <w:rPr>
                <w:rFonts w:hint="eastAsia" w:ascii="宋体" w:hAnsi="宋体" w:eastAsia="宋体" w:cs="宋体"/>
                <w:szCs w:val="21"/>
              </w:rPr>
              <w:t>注：造价咨询指清单预算编制或工程量清单编制或审核预算造价（同一个造价咨询业绩同时含清单预算编制、工程量清单编制和审核预算造价内容的只计分一次，不重复加分）；业绩须同时提供合同协议书和委托单位出具的工作评价意见书的扫描件，否则视为无效业绩；业绩时间以工作评价意见书中注明的完成时间为准。</w:t>
            </w:r>
          </w:p>
          <w:p>
            <w:pPr>
              <w:pStyle w:val="3"/>
              <w:rPr>
                <w:rFonts w:eastAsiaTheme="minorEastAsia"/>
              </w:rPr>
            </w:pPr>
            <w:r>
              <w:rPr>
                <w:rFonts w:hint="eastAsia" w:ascii="宋体" w:hAnsi="宋体" w:eastAsia="宋体" w:cs="宋体"/>
                <w:szCs w:val="21"/>
              </w:rPr>
              <w:t>若为联合体投标，</w:t>
            </w:r>
            <w:r>
              <w:rPr>
                <w:rFonts w:hint="eastAsia" w:ascii="宋体" w:hAnsi="宋体" w:eastAsia="宋体"/>
                <w:szCs w:val="21"/>
              </w:rPr>
              <w:t>联合体成员任意一方满足即可得分。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4" w:hRule="atLeast"/>
          <w:jc w:val="center"/>
        </w:trPr>
        <w:tc>
          <w:tcPr>
            <w:tcW w:w="945" w:type="dxa"/>
            <w:vMerge w:val="continue"/>
            <w:vAlign w:val="center"/>
          </w:tcPr>
          <w:p>
            <w:pPr>
              <w:spacing w:line="380" w:lineRule="atLeast"/>
              <w:jc w:val="center"/>
              <w:rPr>
                <w:rFonts w:ascii="宋体" w:hAnsi="宋体" w:eastAsia="宋体" w:cs="宋体"/>
                <w:szCs w:val="21"/>
              </w:rPr>
            </w:pPr>
          </w:p>
        </w:tc>
        <w:tc>
          <w:tcPr>
            <w:tcW w:w="668" w:type="dxa"/>
            <w:vMerge w:val="continue"/>
            <w:vAlign w:val="center"/>
          </w:tcPr>
          <w:p>
            <w:pPr>
              <w:spacing w:line="380" w:lineRule="atLeast"/>
              <w:jc w:val="center"/>
              <w:rPr>
                <w:rFonts w:ascii="宋体" w:hAnsi="宋体" w:eastAsia="宋体" w:cs="宋体"/>
                <w:szCs w:val="21"/>
              </w:rPr>
            </w:pPr>
          </w:p>
        </w:tc>
        <w:tc>
          <w:tcPr>
            <w:tcW w:w="667" w:type="dxa"/>
            <w:vAlign w:val="center"/>
          </w:tcPr>
          <w:p>
            <w:pPr>
              <w:spacing w:line="380" w:lineRule="atLeast"/>
              <w:ind w:left="-105" w:leftChars="-50" w:right="-105" w:rightChars="-50"/>
              <w:jc w:val="center"/>
              <w:rPr>
                <w:rFonts w:ascii="宋体" w:hAnsi="宋体" w:eastAsia="宋体" w:cs="宋体"/>
                <w:szCs w:val="21"/>
              </w:rPr>
            </w:pPr>
            <w:r>
              <w:rPr>
                <w:rFonts w:hint="eastAsia" w:ascii="宋体" w:hAnsi="宋体" w:eastAsia="宋体" w:cs="宋体"/>
                <w:szCs w:val="21"/>
              </w:rPr>
              <w:t>履约信誉</w:t>
            </w:r>
          </w:p>
        </w:tc>
        <w:tc>
          <w:tcPr>
            <w:tcW w:w="867" w:type="dxa"/>
            <w:vAlign w:val="center"/>
          </w:tcPr>
          <w:p>
            <w:pPr>
              <w:spacing w:line="380" w:lineRule="atLeast"/>
              <w:jc w:val="center"/>
              <w:rPr>
                <w:rFonts w:ascii="宋体" w:hAnsi="宋体" w:eastAsia="宋体" w:cs="宋体"/>
                <w:szCs w:val="21"/>
                <w:u w:val="single"/>
              </w:rPr>
            </w:pPr>
            <w:r>
              <w:rPr>
                <w:rFonts w:hint="eastAsia" w:ascii="宋体" w:hAnsi="宋体" w:eastAsia="宋体" w:cs="宋体"/>
                <w:szCs w:val="21"/>
                <w:u w:val="single"/>
              </w:rPr>
              <w:t>5</w:t>
            </w:r>
          </w:p>
          <w:p>
            <w:pPr>
              <w:spacing w:line="380" w:lineRule="atLeast"/>
              <w:jc w:val="center"/>
              <w:rPr>
                <w:rFonts w:ascii="宋体" w:hAnsi="宋体" w:eastAsia="宋体" w:cs="宋体"/>
                <w:szCs w:val="21"/>
              </w:rPr>
            </w:pPr>
            <w:r>
              <w:rPr>
                <w:rFonts w:hint="eastAsia" w:ascii="宋体" w:hAnsi="宋体" w:eastAsia="宋体" w:cs="宋体"/>
                <w:szCs w:val="21"/>
              </w:rPr>
              <w:t>分</w:t>
            </w:r>
          </w:p>
        </w:tc>
        <w:tc>
          <w:tcPr>
            <w:tcW w:w="1432" w:type="dxa"/>
            <w:vAlign w:val="center"/>
          </w:tcPr>
          <w:p>
            <w:pPr>
              <w:spacing w:line="380" w:lineRule="atLeast"/>
              <w:jc w:val="center"/>
              <w:rPr>
                <w:rFonts w:ascii="宋体" w:hAnsi="宋体" w:eastAsia="宋体" w:cs="宋体"/>
                <w:szCs w:val="21"/>
              </w:rPr>
            </w:pPr>
            <w:r>
              <w:rPr>
                <w:rFonts w:hint="eastAsia" w:ascii="宋体" w:hAnsi="宋体" w:eastAsia="宋体" w:cs="宋体"/>
                <w:szCs w:val="21"/>
              </w:rPr>
              <w:t>履约信誉</w:t>
            </w:r>
          </w:p>
        </w:tc>
        <w:tc>
          <w:tcPr>
            <w:tcW w:w="631" w:type="dxa"/>
            <w:vAlign w:val="center"/>
          </w:tcPr>
          <w:p>
            <w:pPr>
              <w:spacing w:line="380" w:lineRule="atLeast"/>
              <w:jc w:val="center"/>
              <w:rPr>
                <w:rFonts w:ascii="宋体" w:hAnsi="宋体" w:eastAsia="宋体" w:cs="宋体"/>
                <w:szCs w:val="21"/>
              </w:rPr>
            </w:pPr>
            <w:r>
              <w:rPr>
                <w:rFonts w:hint="eastAsia" w:ascii="宋体" w:hAnsi="宋体" w:eastAsia="宋体" w:cs="宋体"/>
                <w:szCs w:val="21"/>
                <w:u w:val="single"/>
              </w:rPr>
              <w:t>5</w:t>
            </w:r>
            <w:r>
              <w:rPr>
                <w:rFonts w:hint="eastAsia" w:ascii="宋体" w:hAnsi="宋体" w:eastAsia="宋体" w:cs="宋体"/>
                <w:szCs w:val="21"/>
              </w:rPr>
              <w:t>分</w:t>
            </w:r>
          </w:p>
        </w:tc>
        <w:tc>
          <w:tcPr>
            <w:tcW w:w="4175" w:type="dxa"/>
            <w:vAlign w:val="center"/>
          </w:tcPr>
          <w:p>
            <w:pPr>
              <w:spacing w:line="300" w:lineRule="exact"/>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1）</w:t>
            </w:r>
            <w:r>
              <w:rPr>
                <w:rFonts w:hint="eastAsia" w:ascii="宋体" w:hAnsi="宋体" w:eastAsia="宋体" w:cs="宋体"/>
                <w:szCs w:val="21"/>
              </w:rPr>
              <w:t>履约得分（</w:t>
            </w:r>
            <w:r>
              <w:rPr>
                <w:rFonts w:ascii="宋体" w:hAnsi="宋体" w:eastAsia="宋体" w:cs="宋体"/>
                <w:szCs w:val="21"/>
              </w:rPr>
              <w:t>5</w:t>
            </w:r>
            <w:r>
              <w:rPr>
                <w:rFonts w:hint="eastAsia" w:ascii="宋体" w:hAnsi="宋体" w:eastAsia="宋体" w:cs="宋体"/>
                <w:szCs w:val="21"/>
              </w:rPr>
              <w:t>分）</w:t>
            </w:r>
          </w:p>
          <w:p>
            <w:pPr>
              <w:spacing w:line="300" w:lineRule="exact"/>
              <w:rPr>
                <w:rFonts w:ascii="宋体" w:hAnsi="宋体" w:eastAsia="宋体" w:cs="宋体"/>
                <w:szCs w:val="21"/>
              </w:rPr>
            </w:pPr>
            <w:r>
              <w:rPr>
                <w:rFonts w:hint="eastAsia" w:ascii="宋体" w:hAnsi="宋体" w:eastAsia="宋体" w:cs="宋体"/>
                <w:szCs w:val="21"/>
              </w:rPr>
              <w:t>未出现下述情形的得</w:t>
            </w:r>
            <w:r>
              <w:rPr>
                <w:rFonts w:ascii="宋体" w:hAnsi="宋体" w:eastAsia="宋体" w:cs="宋体"/>
                <w:szCs w:val="21"/>
              </w:rPr>
              <w:t>5分；</w:t>
            </w:r>
          </w:p>
          <w:p>
            <w:pPr>
              <w:spacing w:line="300" w:lineRule="exact"/>
              <w:rPr>
                <w:rFonts w:ascii="宋体" w:hAnsi="宋体" w:eastAsia="宋体" w:cs="宋体"/>
                <w:szCs w:val="21"/>
              </w:rPr>
            </w:pPr>
            <w:r>
              <w:rPr>
                <w:rFonts w:hint="eastAsia" w:ascii="宋体" w:hAnsi="宋体" w:eastAsia="宋体" w:cs="宋体"/>
                <w:szCs w:val="21"/>
              </w:rPr>
              <w:t>出现下列情形时按如下扣分：</w:t>
            </w:r>
          </w:p>
          <w:p>
            <w:pPr>
              <w:spacing w:line="300" w:lineRule="exact"/>
              <w:rPr>
                <w:rFonts w:ascii="宋体" w:hAnsi="宋体" w:eastAsia="宋体" w:cs="宋体"/>
                <w:szCs w:val="21"/>
              </w:rPr>
            </w:pPr>
            <w:r>
              <w:rPr>
                <w:rFonts w:hint="eastAsia" w:ascii="宋体" w:hAnsi="宋体" w:eastAsia="宋体" w:cs="宋体"/>
                <w:szCs w:val="21"/>
              </w:rPr>
              <w:t>投标人在投标文件递交截止日前</w:t>
            </w:r>
            <w:r>
              <w:rPr>
                <w:rFonts w:ascii="宋体" w:hAnsi="宋体" w:eastAsia="宋体" w:cs="宋体"/>
                <w:szCs w:val="21"/>
              </w:rPr>
              <w:t>1</w:t>
            </w:r>
            <w:r>
              <w:rPr>
                <w:rFonts w:hint="eastAsia" w:ascii="宋体" w:hAnsi="宋体" w:eastAsia="宋体" w:cs="宋体"/>
                <w:szCs w:val="21"/>
              </w:rPr>
              <w:t>年内，被：</w:t>
            </w:r>
          </w:p>
          <w:p>
            <w:pPr>
              <w:spacing w:line="300" w:lineRule="exact"/>
              <w:rPr>
                <w:rFonts w:ascii="宋体" w:hAnsi="宋体" w:eastAsia="宋体" w:cs="宋体"/>
                <w:szCs w:val="21"/>
              </w:rPr>
            </w:pPr>
            <w:r>
              <w:rPr>
                <w:rFonts w:hint="eastAsia" w:ascii="宋体" w:hAnsi="宋体" w:eastAsia="宋体" w:cs="宋体"/>
                <w:szCs w:val="21"/>
              </w:rPr>
              <w:t>①交通运输部行政处罚的，扣</w:t>
            </w:r>
            <w:r>
              <w:rPr>
                <w:rFonts w:ascii="宋体" w:hAnsi="宋体" w:eastAsia="宋体" w:cs="宋体"/>
                <w:szCs w:val="21"/>
              </w:rPr>
              <w:t>2.5</w:t>
            </w:r>
            <w:r>
              <w:rPr>
                <w:rFonts w:hint="eastAsia" w:ascii="宋体" w:hAnsi="宋体" w:eastAsia="宋体" w:cs="宋体"/>
                <w:szCs w:val="21"/>
              </w:rPr>
              <w:t>分</w:t>
            </w:r>
            <w:r>
              <w:rPr>
                <w:rFonts w:ascii="宋体" w:hAnsi="宋体" w:eastAsia="宋体" w:cs="宋体"/>
                <w:szCs w:val="21"/>
              </w:rPr>
              <w:t>/</w:t>
            </w:r>
            <w:r>
              <w:rPr>
                <w:rFonts w:hint="eastAsia" w:ascii="宋体" w:hAnsi="宋体" w:eastAsia="宋体" w:cs="宋体"/>
                <w:szCs w:val="21"/>
              </w:rPr>
              <w:t>次；</w:t>
            </w:r>
          </w:p>
          <w:p>
            <w:pPr>
              <w:spacing w:line="300" w:lineRule="exact"/>
              <w:rPr>
                <w:rFonts w:ascii="宋体" w:hAnsi="宋体" w:eastAsia="宋体" w:cs="宋体"/>
                <w:szCs w:val="21"/>
              </w:rPr>
            </w:pPr>
            <w:r>
              <w:rPr>
                <w:rFonts w:hint="eastAsia" w:ascii="宋体" w:hAnsi="宋体" w:eastAsia="宋体" w:cs="宋体"/>
                <w:szCs w:val="21"/>
              </w:rPr>
              <w:t>②广东省交通运输厅行政处罚的，扣</w:t>
            </w:r>
            <w:r>
              <w:rPr>
                <w:rFonts w:ascii="宋体" w:hAnsi="宋体" w:eastAsia="宋体" w:cs="宋体"/>
                <w:szCs w:val="21"/>
              </w:rPr>
              <w:t>1.5分/</w:t>
            </w:r>
            <w:r>
              <w:rPr>
                <w:rFonts w:hint="eastAsia" w:ascii="宋体" w:hAnsi="宋体" w:eastAsia="宋体" w:cs="宋体"/>
                <w:szCs w:val="21"/>
              </w:rPr>
              <w:t>次。</w:t>
            </w:r>
          </w:p>
          <w:p>
            <w:pPr>
              <w:spacing w:line="300" w:lineRule="exact"/>
              <w:rPr>
                <w:rFonts w:ascii="宋体" w:hAnsi="宋体" w:eastAsia="宋体" w:cs="宋体"/>
                <w:szCs w:val="21"/>
              </w:rPr>
            </w:pPr>
            <w:r>
              <w:rPr>
                <w:rFonts w:hint="eastAsia" w:ascii="宋体" w:hAnsi="宋体" w:eastAsia="宋体"/>
                <w:szCs w:val="21"/>
              </w:rPr>
              <w:t>注：</w:t>
            </w:r>
            <w:r>
              <w:rPr>
                <w:rFonts w:hint="eastAsia" w:ascii="宋体" w:hAnsi="宋体" w:eastAsia="宋体" w:cs="宋体"/>
                <w:szCs w:val="21"/>
              </w:rPr>
              <w:t>同一事项同时被多部门行政处罚的只按最高的扣分计算</w:t>
            </w:r>
            <w:r>
              <w:rPr>
                <w:rFonts w:ascii="宋体" w:hAnsi="宋体" w:eastAsia="宋体" w:cs="宋体"/>
                <w:szCs w:val="21"/>
              </w:rPr>
              <w:t>1</w:t>
            </w:r>
            <w:r>
              <w:rPr>
                <w:rFonts w:hint="eastAsia" w:ascii="宋体" w:hAnsi="宋体" w:eastAsia="宋体" w:cs="宋体"/>
                <w:szCs w:val="21"/>
              </w:rPr>
              <w:t>次；如果扣完本项分值，可以从总分（</w:t>
            </w:r>
            <w:r>
              <w:rPr>
                <w:rFonts w:ascii="宋体" w:hAnsi="宋体" w:eastAsia="宋体" w:cs="宋体"/>
                <w:szCs w:val="21"/>
              </w:rPr>
              <w:t>100</w:t>
            </w:r>
            <w:r>
              <w:rPr>
                <w:rFonts w:hint="eastAsia" w:ascii="宋体" w:hAnsi="宋体" w:eastAsia="宋体" w:cs="宋体"/>
                <w:szCs w:val="21"/>
              </w:rPr>
              <w:t>分）中扣；若为联合体投标，联合体成员各方均应按上述履约信誉评分标准计算。</w:t>
            </w:r>
          </w:p>
        </w:tc>
      </w:tr>
    </w:tbl>
    <w:p>
      <w:pPr>
        <w:widowControl/>
        <w:spacing w:before="240" w:after="240"/>
        <w:jc w:val="left"/>
        <w:rPr>
          <w:rFonts w:ascii="宋体" w:hAnsi="宋体" w:eastAsia="宋体" w:cs="宋体"/>
          <w:b/>
          <w:color w:val="000000" w:themeColor="text1"/>
          <w:sz w:val="23"/>
          <w:szCs w:val="23"/>
          <w14:textFill>
            <w14:solidFill>
              <w14:schemeClr w14:val="tx1"/>
            </w14:solidFill>
          </w14:textFill>
        </w:rPr>
      </w:pPr>
    </w:p>
    <w:p>
      <w:pPr>
        <w:widowControl/>
        <w:spacing w:before="240" w:after="240"/>
        <w:jc w:val="left"/>
        <w:rPr>
          <w:rFonts w:ascii="宋体" w:hAnsi="宋体" w:eastAsia="宋体" w:cs="宋体"/>
          <w:b/>
          <w:color w:val="000000" w:themeColor="text1"/>
          <w:sz w:val="23"/>
          <w:szCs w:val="23"/>
          <w14:textFill>
            <w14:solidFill>
              <w14:schemeClr w14:val="tx1"/>
            </w14:solidFill>
          </w14:textFill>
        </w:rPr>
        <w:sectPr>
          <w:headerReference r:id="rId4" w:type="first"/>
          <w:headerReference r:id="rId3" w:type="even"/>
          <w:footerReference r:id="rId5" w:type="even"/>
          <w:footnotePr>
            <w:numFmt w:val="decimalEnclosedCircleChinese"/>
          </w:footnotePr>
          <w:pgSz w:w="11907" w:h="16840"/>
          <w:pgMar w:top="1304" w:right="1304" w:bottom="1304" w:left="1304" w:header="851" w:footer="851" w:gutter="0"/>
          <w:cols w:space="720" w:num="1"/>
          <w:docGrid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8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51" w:type="dxa"/>
            <w:gridSpan w:val="2"/>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21" w:type="dxa"/>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条款号</w:t>
            </w:r>
          </w:p>
        </w:tc>
        <w:tc>
          <w:tcPr>
            <w:tcW w:w="8530" w:type="dxa"/>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321" w:type="dxa"/>
            <w:vAlign w:val="center"/>
          </w:tcPr>
          <w:p>
            <w:pPr>
              <w:widowControl/>
              <w:spacing w:before="240" w:after="24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8530" w:type="dxa"/>
          </w:tcPr>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1.1评标方法</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次评标采用双信封的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1.2评标组织</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1.2.1协助工作组</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招标人可在评标工作开始前成立协助工作组，选派熟悉招标工作、政治素质高的人员组成，协助评标委员会工作。协助工作组人员的具体数量由招标人视评标工作量确定。</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招标人可以协助评标委员会开展下列工作并提供相关信息：</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（1）根据招标文件，编制评标使用的相应表格；</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（2）对投标报价进行算术性校核；</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（3）以评标标准和方法为依据，列出投标文件相对于招标文件的所有偏差，并进行归类汇总。</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招标人不得对投标文件作出任何评价，不得故意遗漏或者片面摘录，不得在评标委员会对所有偏差定性之前透露存有偏差的投标人名称。</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1.2.2评标委员会</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评标委员会由招标人按国家、广东省等的有关规定依法组建。评标委员人数参见本招标文件“投标人须知前附表第6.1.1。评标委员会的主要工作内容包括：</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（1）评标委员会开始评标工作之前，首先听取招标人、协助工作组关于工程情况和辅助工作的说明，并认真研读招标文件，获取评标所需的重要信息和数据；</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（2）对协助工作组提供的评标工作用表和评标内容进行核查。</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（3）按照以下1.3款程序进行各项评审工作。</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1.3评审工作程序</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（一）第一信封（商务及技术建议书）：</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l、初步评审：包括形式评审与响应性评审、资格评审；</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2、详细评审（评审打分）：评标委员会首先对通过初步评审的投标文件第一个信封（商务及技术文件）进行详细评审，对投标人的技术建议书、主要人员、其他因素等分别评审打分。</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（二）第二信封（报价文件）：</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1、初步评审：</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（1）只有投标文件第一个信封通过详细评审的投标人才能继续参加第二信封报价文件的形式评审与响应性评审；</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（2）报价算术性修正；</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2、详细评审：计算评标基准价、评标价得分及综合得分；</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（三）投标文件相关信息的核查。</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（四）投标文件的澄清和说明（如有）</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21" w:type="dxa"/>
            <w:vAlign w:val="center"/>
          </w:tcPr>
          <w:p>
            <w:pPr>
              <w:widowControl/>
              <w:spacing w:before="240" w:after="24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3.3.2</w:t>
            </w:r>
          </w:p>
        </w:tc>
        <w:tc>
          <w:tcPr>
            <w:tcW w:w="8530" w:type="dxa"/>
            <w:vAlign w:val="center"/>
          </w:tcPr>
          <w:p>
            <w:pPr>
              <w:spacing w:line="340" w:lineRule="exact"/>
              <w:ind w:firstLine="379" w:firstLineChars="18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原3.2.2条款补充细化如下：</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评标委员会在第一个信封详细评审时，各评分因素（技术能力、履约信誉除外）得分一般不得低于该权重分值的60%，评标委员会成员对某一项评分因素的评分低于权重值60%的，应当在评标报告中作出说明。</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21"/>
                <w:szCs w:val="21"/>
                <w14:textFill>
                  <w14:solidFill>
                    <w14:schemeClr w14:val="tx1"/>
                  </w14:solidFill>
                </w14:textFill>
              </w:rPr>
              <w:t>商务评分（主要人员、其他因素）得分应以评标委员会各成员的算术平均值确定。计算投标人技术得分时，若评委委员会人数为五人时，技术得分以评标委员会各成员技术总分的算术平均值确定，平均值计算四舍五入保留小数点后两位。若评委委员会人数为七人或以上时，对各评委的技术总分取消一个最高、一个最低分后计算算术平均值为投标人的最终技术得分，平均值计算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321" w:type="dxa"/>
            <w:vAlign w:val="center"/>
          </w:tcPr>
          <w:p>
            <w:pPr>
              <w:widowControl/>
              <w:spacing w:before="240" w:after="24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3.6.3</w:t>
            </w:r>
          </w:p>
        </w:tc>
        <w:tc>
          <w:tcPr>
            <w:tcW w:w="8530" w:type="dxa"/>
            <w:vAlign w:val="center"/>
          </w:tcPr>
          <w:p>
            <w:pPr>
              <w:spacing w:line="340" w:lineRule="exact"/>
              <w:ind w:firstLine="379" w:firstLineChars="18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增加3.6.3项：</w:t>
            </w:r>
          </w:p>
          <w:p>
            <w:pPr>
              <w:spacing w:line="340" w:lineRule="exact"/>
              <w:ind w:firstLine="378" w:firstLineChars="180"/>
              <w:rPr>
                <w:rFonts w:ascii="宋体" w:hAnsi="宋体" w:eastAsia="宋体" w:cs="宋体"/>
                <w:color w:val="000000" w:themeColor="text1"/>
                <w:kern w:val="2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jc w:val="center"/>
        </w:trPr>
        <w:tc>
          <w:tcPr>
            <w:tcW w:w="1321" w:type="dxa"/>
            <w:vAlign w:val="center"/>
          </w:tcPr>
          <w:p>
            <w:pPr>
              <w:widowControl/>
              <w:spacing w:before="240" w:after="24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w:t>
            </w:r>
          </w:p>
        </w:tc>
        <w:tc>
          <w:tcPr>
            <w:tcW w:w="8530" w:type="dxa"/>
          </w:tcPr>
          <w:p>
            <w:pPr>
              <w:spacing w:line="340" w:lineRule="exact"/>
              <w:ind w:firstLine="422" w:firstLineChars="200"/>
              <w:rPr>
                <w:rFonts w:ascii="宋体" w:hAnsi="宋体" w:eastAsia="宋体" w:cs="宋体"/>
                <w:b/>
                <w:color w:val="000000" w:themeColor="text1"/>
                <w:kern w:val="21"/>
                <w:szCs w:val="21"/>
                <w14:textFill>
                  <w14:solidFill>
                    <w14:schemeClr w14:val="tx1"/>
                  </w14:solidFill>
                </w14:textFill>
              </w:rPr>
            </w:pPr>
            <w:r>
              <w:rPr>
                <w:rFonts w:hint="eastAsia" w:ascii="宋体" w:hAnsi="宋体" w:eastAsia="宋体" w:cs="宋体"/>
                <w:b/>
                <w:color w:val="000000" w:themeColor="text1"/>
                <w:kern w:val="21"/>
                <w:szCs w:val="21"/>
                <w14:textFill>
                  <w14:solidFill>
                    <w14:schemeClr w14:val="tx1"/>
                  </w14:solidFill>
                </w14:textFill>
              </w:rPr>
              <w:t>增加3.9.3、3.9.4、3.9.5条款后增加：</w:t>
            </w:r>
          </w:p>
          <w:p>
            <w:pPr>
              <w:spacing w:line="340" w:lineRule="exact"/>
              <w:ind w:firstLine="420" w:firstLineChars="200"/>
              <w:rPr>
                <w:rFonts w:ascii="宋体" w:hAnsi="宋体" w:eastAsia="宋体" w:cs="宋体"/>
                <w:color w:val="000000" w:themeColor="text1"/>
                <w:kern w:val="21"/>
                <w:szCs w:val="21"/>
                <w14:textFill>
                  <w14:solidFill>
                    <w14:schemeClr w14:val="tx1"/>
                  </w14:solidFill>
                </w14:textFill>
              </w:rPr>
            </w:pPr>
            <w:r>
              <w:rPr>
                <w:rFonts w:hint="eastAsia" w:ascii="宋体" w:hAnsi="宋体" w:eastAsia="宋体" w:cs="宋体"/>
                <w:color w:val="000000" w:themeColor="text1"/>
                <w:kern w:val="21"/>
                <w:szCs w:val="21"/>
                <w14:textFill>
                  <w14:solidFill>
                    <w14:schemeClr w14:val="tx1"/>
                  </w14:solidFill>
                </w14:textFill>
              </w:rPr>
              <w:t>3.9.3 通过第一个信封商务和技术文件评审的投标人少于3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pPr>
              <w:spacing w:line="340" w:lineRule="exact"/>
              <w:ind w:firstLine="420" w:firstLineChars="200"/>
              <w:rPr>
                <w:rFonts w:ascii="宋体" w:hAnsi="宋体" w:eastAsia="宋体" w:cs="宋体"/>
                <w:color w:val="000000" w:themeColor="text1"/>
                <w:kern w:val="21"/>
                <w:szCs w:val="21"/>
                <w14:textFill>
                  <w14:solidFill>
                    <w14:schemeClr w14:val="tx1"/>
                  </w14:solidFill>
                </w14:textFill>
              </w:rPr>
            </w:pPr>
            <w:r>
              <w:rPr>
                <w:rFonts w:hint="eastAsia" w:ascii="宋体" w:hAnsi="宋体" w:eastAsia="宋体" w:cs="宋体"/>
                <w:color w:val="000000" w:themeColor="text1"/>
                <w:kern w:val="21"/>
                <w:szCs w:val="21"/>
                <w14:textFill>
                  <w14:solidFill>
                    <w14:schemeClr w14:val="tx1"/>
                  </w14:solidFill>
                </w14:textFill>
              </w:rPr>
              <w:t>3.9.4 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spacing w:line="340" w:lineRule="exact"/>
              <w:ind w:firstLine="378" w:firstLineChars="18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21"/>
                <w:szCs w:val="21"/>
                <w14:textFill>
                  <w14:solidFill>
                    <w14:schemeClr w14:val="tx1"/>
                  </w14:solidFill>
                </w14:textFill>
              </w:rPr>
              <w:t>3.9.5 如果发生无法确定推荐中标候选人的其它意外情况，评标委员会可建议招标人重新招标。</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00" w:lineRule="exact"/>
        <w:jc w:val="center"/>
        <w:rPr>
          <w:rFonts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
          <w:bCs/>
          <w:color w:val="000000" w:themeColor="text1"/>
          <w:sz w:val="30"/>
          <w:szCs w:val="30"/>
          <w14:textFill>
            <w14:solidFill>
              <w14:schemeClr w14:val="tx1"/>
            </w14:solidFill>
          </w14:textFill>
        </w:rPr>
        <w:t>评标办法（正文）</w:t>
      </w:r>
    </w:p>
    <w:p>
      <w:pPr>
        <w:spacing w:line="400" w:lineRule="exact"/>
        <w:jc w:val="left"/>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1. 评标方法</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2. 评审标准</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2.1 初步评审标准</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2.1.1形式评审标准：见评标办法前附表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2.1.2 资格评审标准：见评标办法前附表（适用于未进行资格预审的）。</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2.1.2 资格评审标准：见资格预审文件第三章“资格审查办法”详细审查标准（适用于已进行资格预审的）。</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2.1.3响应性评审标准：见评标办法前附表</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2.2 分值构成与评分标准</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2.2.1 分值构成</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⑴技术建议书：见评标办法前附表；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⑵主要人员：见评标办法前附表；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⑶评标价：见评标办法前附表；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⑷其他评分因素：见评标办法前附表。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2.2.2  评标基准价计算</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评标基准价计算方法：见评标办法前附表。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2.2.3  评标价的偏差率计算</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评标价的偏差率计算公式：见评标办法前附表。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2.2.4  评分标准</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⑴技术建议书评分标准：见评标办法前附表；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⑵主要人员评分标准：见评标办法前附表；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⑶评标价评分标准：见评标办法前附表；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⑷其他评分因素评分标准：见评标办法前附表。</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 评标程序</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3.1 第一个信封初步评审</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3.2 第一个信封详细评审</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3.2.1 评标委员会按本章第2.2款规定的量化因素和分值进行打分，并计算出各投标人的商务和技术得分。</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⑴按本章第 2.2.4⑴目规定的评审因素和分值对技术建议书部分计算出得分 A；</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⑵按本章第 2.2.4⑵目规定的评审因素和分值对主要人员计算出得分 B；</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⑶按本章第 2.2.4⑷目规定的评审因素和分值对其他部分计算出得分 D。</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3.2.2 评分分值计算保留小数点后两位，小数点后第三位“四舍五入”。</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3.2.3 投标人得分=A+B+D。</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3.3第二个信封开标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第一个信封（商务及技术建议书）评审结束后，招标人将按照第二章“投标人须知”第5.1款规定的时间和地点对通过投标文件第一个信封（商务及技术建议书）评审的投标文件第二个信封（报价文件）进行开标。</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3.4第二个信封初步评审</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3.4.1评标委员会依据本章第2.1.1项、第2.1.3项规定的评审标准对投标文件第二个信封（报价文件）进行初步评审。有一项不符合评审标准的，评标委员会应否决其投标。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3.4.2投标报价有算术错误的，评标委员会按以下原则对投标报价进行修正，修正的价格经投标人书面确认后具有约束力。投标人不接受修正价格的，评标委员会应否决其投标。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⑴投标文件中的大写金额与小写金额不一致的，以大写金额为准；</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⑵总价金额与依据单价计算出的结果不一致的，以单价金额为准修正总价，但单价金额小数点有明显错误的除外；</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⑶当单价与数量相乘不等于合价时，以单价计算为准，如果单价有明显的小数点位置差错，应以标出的合价为准，同时对单价予以修正；</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⑷当各子目的合价累计不等于总价时，应以各子目合价累计数为准，修正总价、</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3.4.3修正后的最终投标报价若超过最高评标限价（如有），评标委员会应否决其投标。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3.4.4修正后的最终投标报价仅作为签订合同的一个依据，不参与评标价得分的计算。</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3.5第二个信封详细评审</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3.5.1评标委员会按本章第2.2.4项⑶目规定的评审因素和分值对评标价计算出得分C。评标价得分分值计算保留小数点后两位，小数点后第三位“四舍五入”。</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3.5.2投标人综合得分=投标人的商务和技术得分+C。</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3.5.3评标委员会发向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价竞标，并否决其投标。</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3.6 投标文件相关信息的核查</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3.6.1在评标过程中，评标委员会应对投标人的资质、业绩、主要人员资历和目前的在岗情况、信用等级等信息进行核实。若投标文件载明的信息不符，使得投标人的资格条件不符合招标文件规定的，评标委员会应否决其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3.6.2评标委员会应对在评标过程中发现的投标人与投标人之间、投标人与投标人之间存在的串通投标的情形进行评审和认定。投标人存在串通投标、弄虚作假、行贿等违法行为的，评标委员会应否决其投标。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⑴有下列情形之一的，属于投标人相互串通：</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a.投标人之间协商投标报价等投标文件的实质性内容；</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b.投标人之间约定中标人；</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c.投标人之间约定部分投标人放弃投标或中标；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d.属于同一集团、协会、商会等组织成员的投标人按照该组织要求协同投标；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e.投标人之间为谋取中标或排斥特定投标人而采取的其他联合行动。</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⑵有下列情形之一的，视为投标人相互串通投标：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a.不同投标人的投标文件由同一个单位或个人编制；</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b.不同投标人委托同一单位或个人办理投标事宜；</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c.不同投标人的投标文件载明的项目管理成员为同一人；</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d.不同投标人的投标文件异常一致或投标报价成规律性差异；</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e.不同投标人的投标文件互相混装；</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f.不同投标人的投标保证金从同一个单位或个人的账户转出。</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⑶有下列情形之一的，属于招标人与投标人串通投标：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a.招标人在开标前开启投标文件并将有关信息泄露给其他投标人；</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b.招标人直接或间接向投标人泄露标底、评标委员会成员等信息；</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c.招标人明示或暗示投标人压低或抬高投标报价；</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d.招标人授意投标人撤换、修改投标文件；</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e.招标人明示或暗示投标人为特定投标人中标提供方便；</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f.招标人与投标人为谋求特定投标人中标而采取的其他串通行为。</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⑷投标人有下列情形之一的，属于弄虚作假的行为：</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a.使用通过受让或租借等方式获取的资格、资质证书投标；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b.使用伪造、变造的许可证件；</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c.提供虚假的财务状况或业绩；</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d.提供虚假的项目负责人或主要技术人员简历、劳动关系证明；</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e.提供虚假的信用状况；</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f.其他弄虚作假的行为。</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3.7 投标文件的澄清和说明</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3.7.2 澄清和说明不得超出投标文件的范围或改变投标文件的实质性内容（算术性错误修正的除外）。投标人的书面澄清、说明属于投标文件的组成部分。</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3.7.3 评标委员会不得暗示或诱导投标人作出澄清、说明，对投标人提交的澄清、说明有疑问的，可以要求投标人进一步澄清或说明，直至满足评标委员会的要求。</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3.7.4 凡超出招标文件规定的或给委托人带来未曾要求的利益的变化、偏差或其他因素在评标时不予考虑。</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3.8不得否决投标的情形</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投标文件存在第二章“投标人须知”第1.12.3项所列情形的，均视为细微偏差，评标委员会不得否决投标人的投标，应按照第二章“投标人须知”第1.12.4项规定的原则处理。</w:t>
      </w:r>
    </w:p>
    <w:p>
      <w:pPr>
        <w:spacing w:line="400" w:lineRule="exact"/>
        <w:jc w:val="lef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3.9 评标结果</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3.9.1 除第二章“投标人须知”前附表授权直接确定中标人外，评标委员会按照得分由高到低的顺序推荐中标候选人，并标明排序。</w:t>
      </w:r>
    </w:p>
    <w:p>
      <w:pPr>
        <w:spacing w:line="400" w:lineRule="exact"/>
        <w:ind w:firstLine="371" w:firstLineChars="177"/>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3.9.2 评标委员会完成评标后，应当向招标人提交书面评标报告。</w:t>
      </w:r>
    </w:p>
    <w:p>
      <w:pPr>
        <w:pStyle w:val="2"/>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Malgun Gothic Semilight">
    <w:panose1 w:val="020B0502040204020203"/>
    <w:charset w:val="86"/>
    <w:family w:val="swiss"/>
    <w:pitch w:val="default"/>
    <w:sig w:usb0="900002AF" w:usb1="01D77CFB" w:usb2="00000012" w:usb3="00000000" w:csb0="203E01BD" w:csb1="D7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DY1MjJmNDMwZWQ3NDIwMTMyYTM3ZGVkMGM3ODYifQ=="/>
  </w:docVars>
  <w:rsids>
    <w:rsidRoot w:val="00000000"/>
    <w:rsid w:val="29087874"/>
    <w:rsid w:val="644A7EFF"/>
    <w:rsid w:val="74D5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MingLiU_HKSCS" w:hAnsi="MingLiU_HKSCS" w:eastAsia="MingLiU_HKSCS"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0"/>
    </w:rPr>
  </w:style>
  <w:style w:type="paragraph" w:styleId="3">
    <w:name w:val="Normal Indent"/>
    <w:basedOn w:val="1"/>
    <w:next w:val="1"/>
    <w:qFormat/>
    <w:uiPriority w:val="0"/>
    <w:pPr>
      <w:ind w:firstLine="420" w:firstLineChars="200"/>
    </w:pPr>
  </w:style>
  <w:style w:type="paragraph" w:styleId="4">
    <w:name w:val="Body Text"/>
    <w:basedOn w:val="1"/>
    <w:qFormat/>
    <w:uiPriority w:val="0"/>
    <w:pPr>
      <w:spacing w:after="120"/>
    </w:pPr>
    <w:rPr>
      <w:rFonts w:ascii="Times New Roman" w:hAnsi="Times New Roman" w:eastAsia="宋体"/>
    </w:rPr>
  </w:style>
  <w:style w:type="paragraph" w:styleId="5">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99"/>
    <w:pPr>
      <w:tabs>
        <w:tab w:val="center" w:pos="4153"/>
        <w:tab w:val="right" w:pos="8306"/>
      </w:tabs>
      <w:snapToGrid w:val="0"/>
      <w:jc w:val="center"/>
    </w:pPr>
    <w:rPr>
      <w:rFonts w:ascii="Times New Roman" w:hAnsi="Times New Roman" w:eastAsia="宋体"/>
      <w:sz w:val="18"/>
      <w:szCs w:val="18"/>
    </w:rPr>
  </w:style>
  <w:style w:type="character" w:customStyle="1" w:styleId="9">
    <w:name w:val="正文文本 (5)_"/>
    <w:link w:val="10"/>
    <w:qFormat/>
    <w:locked/>
    <w:uiPriority w:val="99"/>
    <w:rPr>
      <w:rFonts w:ascii="MingLiU" w:hAnsi="Times New Roman" w:eastAsia="MingLiU"/>
      <w:kern w:val="0"/>
      <w:sz w:val="20"/>
      <w:szCs w:val="20"/>
    </w:rPr>
  </w:style>
  <w:style w:type="paragraph" w:customStyle="1" w:styleId="10">
    <w:name w:val="正文文本 (5)1"/>
    <w:basedOn w:val="1"/>
    <w:link w:val="9"/>
    <w:uiPriority w:val="99"/>
    <w:pPr>
      <w:shd w:val="clear" w:color="auto" w:fill="FFFFFF"/>
      <w:spacing w:before="5100" w:line="240" w:lineRule="atLeast"/>
      <w:jc w:val="left"/>
    </w:pPr>
    <w:rPr>
      <w:rFonts w:ascii="MingLiU" w:hAnsi="Times New Roman" w:eastAsia="MingLiU"/>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2023-09-28T05:40:00Z</dcterms:created>
  <dcterms:modified xsi:type="dcterms:W3CDTF">2023-09-28T07:53:26Z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C8A29E2190814983BD36C29A2A9E176B_12</vt:lpwstr>
  </property>
</Properties>
</file>