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jc w:val="left"/>
        <w:pStyle w:val="a7"/>
      </w:pPr>
      <w:bookmarkStart w:id="0" w:name="_Toc0"/>
      <w:r>
        <w:rPr>
          <w:rFonts w:ascii="宋体" w:eastAsia="宋体" w:hint="eastAsia"/>
          <w:b w:val="0"/>
          <w:sz w:val="48"/>
          <w:szCs w:val="48"/>
          <w:color w:val="000000"/>
          <w:shd w:val="clear" w:color="auto" w:fill="ffffff"/>
        </w:rPr>
        <w:t xml:space="preserve">            抗浮验算结果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一、基本信息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参考规范：《建筑与市政地基基础通用规范》(GB55003-2021)、《建筑工程抗浮技术标准》JGJ476-2019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抗浮设计等级：乙级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抗浮稳定安全系数：1.05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抗浮力组合系数：</w:t>
      </w:r>
    </w:p>
    <w:tbl>
      <w:tblPr>
        <w:tblStyle w:val="sdTabBorderHeadWide_OutlineWide_1"/>
        <w:tblW w:w="6350" w:type="dxa"/>
        <w:jc w:val="center"/>
      </w:tblPr>
      <w:tblGrid>
        <w:gridCol w:w="907"/>
        <w:gridCol w:w="1360"/>
        <w:gridCol w:w="1360"/>
        <w:gridCol w:w="1360"/>
        <w:gridCol w:w="1360"/>
      </w:tblGrid>
      <w:tr>
        <w:trPr>
          <w:tblHeader/>
        </w:trPr>
        <w:tc>
          <w:tcPr>
            <w:tcW w:w="90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136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恒</w:t>
            </w:r>
          </w:p>
        </w:tc>
        <w:tc>
          <w:tcPr>
            <w:tcW w:w="136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覆土</w:t>
            </w:r>
          </w:p>
        </w:tc>
        <w:tc>
          <w:tcPr>
            <w:tcW w:w="136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永久堆积物</w:t>
            </w:r>
          </w:p>
        </w:tc>
        <w:tc>
          <w:tcPr>
            <w:tcW w:w="136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抗拔力</w:t>
            </w:r>
          </w:p>
        </w:tc>
      </w:tr>
      <w:tr>
        <w:trPr/>
        <w:tc>
          <w:tcPr>
            <w:tcW w:w="90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0.90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90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0"/>
                <w:szCs w:val="20"/>
                <w:color w:val="000000"/>
                <w:shd w:val="clear" w:color="auto" w:fill="ffffff"/>
              </w:rPr>
              <w:t xml:space="preserve">1.05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二、各抗浮区域验算过程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验算区域：区域 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区域面积：29.76m*m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1.水浮力：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水位差产生的水浮力：Fw= 1175.52kN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承压水产生的水浮力：Ffc= 0.00kN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稳定渗流水产生的水浮力：Ffs= 0.00kN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Nwk=Fw+Ffc+Ffs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    = 1175.52+0.00+0.00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    = 1175.52kN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2.抗浮力：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恒:      1687.22kN    (包含上部恒载、基础自重、板面恒载)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覆土:      522.72kN    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永久堆积物:      0.00kN    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抗拔力:      0.00kN    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G=1687.22*1.00+522.72*0.90+0.00*0.95+0.00*1.00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  =2157.67kN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3.验算结果：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0"/>
          <w:szCs w:val="20"/>
          <w:color w:val="000000"/>
          <w:shd w:val="clear" w:color="auto" w:fill="ffffff"/>
        </w:rPr>
        <w:t xml:space="preserve">        验算结果：G/Nwk= 1.84&gt;=1.05,稳定</w:t>
      </w:r>
    </w:p>
    <w:p>
      <w:pPr>
        <w:ind w:firstLineChars="200"/>
        <w:spacing w:beforeLines="56" w:afterLines="56" w:line="113"/>
        <w:jc w:val="left"/>
      </w:pPr>
    </w:p>
    <w:sectPr>
      <w:headerReference w:type="default" r:id="rId21"/>
      <w:footerReference w:type="default" r:id="rId31"/>
      <w:docGrid w:type="lines" w:linePitch="113"/>
      <w:pgSz w:w="11906" w:h="16838" w:code="9"/>
      <w:pgMar w:top="1417" w:right="1757" w:bottom="1417" w:left="1757" w:header="851" w:footer="992" w:gutter="0"/>
      <w:cols w:num="1" w:space="453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</w:pPr>
    <w:r>
      <w:ptab w:relativeTo="margin" w:alignment="left" w:leader="none"/>
    </w:r>
    <w:r>
      <w:ptab w:relativeTo="margin" w:alignment="center" w:leader="none"/>
    </w:r>
    <w:r>
      <w:rPr>
        <w:rFonts w:ascii="宋体" w:eastAsia="宋体" w:hint="eastAsia"/>
        <w:sz w:val="12"/>
        <w:szCs w:val="12"/>
        <w:color w:val="000000"/>
      </w:rPr>
      <w:t>            抗浮验算结果</w:t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/Relationships>

</file>

<file path=word/_rels/header.xml.rels><?xml version="1.0" encoding="UTF-8" standalone="yes"?>
<Relationships xmlns="http://schemas.openxmlformats.org/package/2006/relationships">
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