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宋体" w:hAnsi="宋体"/>
          <w:b/>
          <w:color w:val="auto"/>
          <w:kern w:val="0"/>
          <w:sz w:val="28"/>
          <w:szCs w:val="28"/>
          <w:highlight w:val="none"/>
        </w:rPr>
      </w:pPr>
      <w:bookmarkStart w:id="0" w:name="_GoBack"/>
    </w:p>
    <w:p>
      <w:pPr>
        <w:pStyle w:val="2"/>
        <w:keepNext w:val="0"/>
        <w:keepLines w:val="0"/>
        <w:pageBreakBefore w:val="0"/>
        <w:widowControl w:val="0"/>
        <w:kinsoku/>
        <w:wordWrap/>
        <w:overflowPunct/>
        <w:topLinePunct w:val="0"/>
        <w:bidi w:val="0"/>
        <w:spacing w:line="360" w:lineRule="auto"/>
        <w:textAlignment w:val="auto"/>
        <w:rPr>
          <w:rFonts w:hAnsi="宋体"/>
          <w:color w:val="auto"/>
          <w:highlight w:val="none"/>
        </w:rPr>
      </w:pPr>
    </w:p>
    <w:p>
      <w:pPr>
        <w:pStyle w:val="2"/>
        <w:keepNext w:val="0"/>
        <w:keepLines w:val="0"/>
        <w:pageBreakBefore w:val="0"/>
        <w:widowControl w:val="0"/>
        <w:kinsoku/>
        <w:wordWrap/>
        <w:overflowPunct/>
        <w:topLinePunct w:val="0"/>
        <w:bidi w:val="0"/>
        <w:spacing w:line="360" w:lineRule="auto"/>
        <w:jc w:val="center"/>
        <w:textAlignment w:val="auto"/>
        <w:rPr>
          <w:rFonts w:hAnsi="宋体"/>
          <w:b/>
          <w:color w:val="auto"/>
          <w:sz w:val="48"/>
          <w:szCs w:val="48"/>
          <w:highlight w:val="none"/>
        </w:rPr>
      </w:pPr>
      <w:r>
        <w:rPr>
          <w:rFonts w:hint="eastAsia" w:hAnsi="宋体"/>
          <w:b/>
          <w:color w:val="auto"/>
          <w:sz w:val="48"/>
          <w:szCs w:val="48"/>
          <w:highlight w:val="none"/>
        </w:rPr>
        <w:t>房屋安全鉴定服务</w:t>
      </w:r>
      <w:r>
        <w:rPr>
          <w:rFonts w:hAnsi="宋体"/>
          <w:b/>
          <w:color w:val="auto"/>
          <w:sz w:val="48"/>
          <w:szCs w:val="48"/>
          <w:highlight w:val="none"/>
        </w:rPr>
        <w:t>合同书</w:t>
      </w:r>
    </w:p>
    <w:p>
      <w:pPr>
        <w:keepNext w:val="0"/>
        <w:keepLines w:val="0"/>
        <w:pageBreakBefore w:val="0"/>
        <w:widowControl w:val="0"/>
        <w:tabs>
          <w:tab w:val="left" w:pos="720"/>
        </w:tabs>
        <w:kinsoku/>
        <w:wordWrap/>
        <w:overflowPunct/>
        <w:topLinePunct w:val="0"/>
        <w:bidi w:val="0"/>
        <w:spacing w:line="360" w:lineRule="auto"/>
        <w:textAlignment w:val="auto"/>
        <w:rPr>
          <w:rFonts w:ascii="宋体" w:hAnsi="宋体"/>
          <w:b/>
          <w:color w:val="auto"/>
          <w:sz w:val="48"/>
          <w:szCs w:val="48"/>
          <w:highlight w:val="none"/>
        </w:rPr>
      </w:pPr>
    </w:p>
    <w:p>
      <w:pPr>
        <w:keepNext w:val="0"/>
        <w:keepLines w:val="0"/>
        <w:pageBreakBefore w:val="0"/>
        <w:widowControl w:val="0"/>
        <w:tabs>
          <w:tab w:val="left" w:pos="720"/>
        </w:tabs>
        <w:kinsoku/>
        <w:wordWrap/>
        <w:overflowPunct/>
        <w:topLinePunct w:val="0"/>
        <w:bidi w:val="0"/>
        <w:spacing w:line="360" w:lineRule="auto"/>
        <w:textAlignment w:val="auto"/>
        <w:rPr>
          <w:rFonts w:ascii="宋体" w:hAnsi="宋体"/>
          <w:b/>
          <w:color w:val="auto"/>
          <w:sz w:val="44"/>
          <w:szCs w:val="44"/>
          <w:highlight w:val="none"/>
        </w:rPr>
      </w:pPr>
    </w:p>
    <w:p>
      <w:pPr>
        <w:pStyle w:val="2"/>
        <w:keepNext w:val="0"/>
        <w:keepLines w:val="0"/>
        <w:pageBreakBefore w:val="0"/>
        <w:widowControl w:val="0"/>
        <w:kinsoku/>
        <w:wordWrap/>
        <w:overflowPunct/>
        <w:topLinePunct w:val="0"/>
        <w:bidi w:val="0"/>
        <w:spacing w:line="360" w:lineRule="auto"/>
        <w:textAlignment w:val="auto"/>
        <w:rPr>
          <w:rFonts w:hAnsi="宋体"/>
          <w:color w:val="auto"/>
          <w:highlight w:val="none"/>
        </w:rPr>
      </w:pPr>
    </w:p>
    <w:p>
      <w:pPr>
        <w:pStyle w:val="2"/>
        <w:keepNext w:val="0"/>
        <w:keepLines w:val="0"/>
        <w:pageBreakBefore w:val="0"/>
        <w:widowControl w:val="0"/>
        <w:kinsoku/>
        <w:wordWrap/>
        <w:overflowPunct/>
        <w:topLinePunct w:val="0"/>
        <w:bidi w:val="0"/>
        <w:spacing w:line="360" w:lineRule="auto"/>
        <w:textAlignment w:val="auto"/>
        <w:rPr>
          <w:rFonts w:hAnsi="宋体"/>
          <w:color w:val="auto"/>
          <w:highlight w:val="none"/>
        </w:rPr>
      </w:pPr>
    </w:p>
    <w:p>
      <w:pPr>
        <w:pStyle w:val="2"/>
        <w:keepNext w:val="0"/>
        <w:keepLines w:val="0"/>
        <w:pageBreakBefore w:val="0"/>
        <w:widowControl w:val="0"/>
        <w:kinsoku/>
        <w:wordWrap/>
        <w:overflowPunct/>
        <w:topLinePunct w:val="0"/>
        <w:bidi w:val="0"/>
        <w:spacing w:line="360" w:lineRule="auto"/>
        <w:textAlignment w:val="auto"/>
        <w:rPr>
          <w:rFonts w:hAnsi="宋体"/>
          <w:color w:val="auto"/>
          <w:highlight w:val="none"/>
        </w:rPr>
      </w:pPr>
    </w:p>
    <w:tbl>
      <w:tblPr>
        <w:tblStyle w:val="9"/>
        <w:tblW w:w="0" w:type="auto"/>
        <w:jc w:val="center"/>
        <w:tblLayout w:type="fixed"/>
        <w:tblCellMar>
          <w:top w:w="0" w:type="dxa"/>
          <w:left w:w="108" w:type="dxa"/>
          <w:bottom w:w="0" w:type="dxa"/>
          <w:right w:w="108" w:type="dxa"/>
        </w:tblCellMar>
      </w:tblPr>
      <w:tblGrid>
        <w:gridCol w:w="7247"/>
      </w:tblGrid>
      <w:tr>
        <w:tblPrEx>
          <w:tblCellMar>
            <w:top w:w="0" w:type="dxa"/>
            <w:left w:w="108" w:type="dxa"/>
            <w:bottom w:w="0" w:type="dxa"/>
            <w:right w:w="108" w:type="dxa"/>
          </w:tblCellMar>
        </w:tblPrEx>
        <w:trPr>
          <w:trHeight w:val="446" w:hRule="atLeast"/>
          <w:jc w:val="center"/>
        </w:trPr>
        <w:tc>
          <w:tcPr>
            <w:tcW w:w="7247" w:type="dxa"/>
            <w:noWrap/>
          </w:tcPr>
          <w:p>
            <w:pPr>
              <w:keepNext w:val="0"/>
              <w:keepLines w:val="0"/>
              <w:pageBreakBefore w:val="0"/>
              <w:widowControl w:val="0"/>
              <w:kinsoku/>
              <w:wordWrap/>
              <w:overflowPunct/>
              <w:topLinePunct w:val="0"/>
              <w:bidi w:val="0"/>
              <w:spacing w:line="360" w:lineRule="auto"/>
              <w:textAlignment w:val="auto"/>
              <w:rPr>
                <w:rFonts w:ascii="宋体" w:hAnsi="宋体" w:cs="宋体"/>
                <w:b/>
                <w:color w:val="auto"/>
                <w:sz w:val="32"/>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cs="宋体"/>
                <w:b/>
                <w:color w:val="auto"/>
                <w:sz w:val="32"/>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cs="宋体"/>
                <w:color w:val="auto"/>
                <w:sz w:val="32"/>
                <w:szCs w:val="32"/>
                <w:highlight w:val="none"/>
              </w:rPr>
            </w:pPr>
            <w:r>
              <w:rPr>
                <w:rFonts w:hint="eastAsia" w:ascii="宋体" w:hAnsi="宋体" w:cs="宋体"/>
                <w:b/>
                <w:color w:val="auto"/>
                <w:sz w:val="32"/>
                <w:highlight w:val="none"/>
              </w:rPr>
              <w:t>发包方（甲方）：</w:t>
            </w:r>
            <w:r>
              <w:rPr>
                <w:rFonts w:hint="eastAsia" w:ascii="宋体" w:hAnsi="宋体" w:cs="宋体"/>
                <w:color w:val="auto"/>
                <w:sz w:val="32"/>
                <w:highlight w:val="none"/>
              </w:rPr>
              <w:t>广州市海珠区河涌管理所</w:t>
            </w:r>
          </w:p>
          <w:p>
            <w:pPr>
              <w:keepNext w:val="0"/>
              <w:keepLines w:val="0"/>
              <w:pageBreakBefore w:val="0"/>
              <w:widowControl w:val="0"/>
              <w:kinsoku/>
              <w:wordWrap/>
              <w:overflowPunct/>
              <w:topLinePunct w:val="0"/>
              <w:bidi w:val="0"/>
              <w:spacing w:line="360" w:lineRule="auto"/>
              <w:textAlignment w:val="auto"/>
              <w:rPr>
                <w:rFonts w:ascii="宋体" w:hAnsi="宋体" w:cs="宋体"/>
                <w:color w:val="auto"/>
                <w:kern w:val="0"/>
                <w:sz w:val="32"/>
                <w:highlight w:val="none"/>
              </w:rPr>
            </w:pPr>
            <w:r>
              <w:rPr>
                <w:rFonts w:hint="eastAsia" w:ascii="宋体" w:hAnsi="宋体" w:cs="宋体"/>
                <w:b/>
                <w:color w:val="auto"/>
                <w:sz w:val="32"/>
                <w:highlight w:val="none"/>
              </w:rPr>
              <w:t>承包方（乙方）：</w:t>
            </w:r>
          </w:p>
        </w:tc>
      </w:tr>
      <w:tr>
        <w:tblPrEx>
          <w:tblCellMar>
            <w:top w:w="0" w:type="dxa"/>
            <w:left w:w="108" w:type="dxa"/>
            <w:bottom w:w="0" w:type="dxa"/>
            <w:right w:w="108" w:type="dxa"/>
          </w:tblCellMar>
        </w:tblPrEx>
        <w:trPr>
          <w:trHeight w:val="446" w:hRule="atLeast"/>
          <w:jc w:val="center"/>
        </w:trPr>
        <w:tc>
          <w:tcPr>
            <w:tcW w:w="7247" w:type="dxa"/>
            <w:noWrap/>
          </w:tcPr>
          <w:p>
            <w:pPr>
              <w:keepNext w:val="0"/>
              <w:keepLines w:val="0"/>
              <w:pageBreakBefore w:val="0"/>
              <w:widowControl w:val="0"/>
              <w:tabs>
                <w:tab w:val="left" w:pos="720"/>
              </w:tabs>
              <w:kinsoku/>
              <w:wordWrap/>
              <w:overflowPunct/>
              <w:topLinePunct w:val="0"/>
              <w:bidi w:val="0"/>
              <w:spacing w:line="360" w:lineRule="auto"/>
              <w:ind w:left="964" w:hanging="964" w:hangingChars="300"/>
              <w:jc w:val="left"/>
              <w:textAlignment w:val="auto"/>
              <w:rPr>
                <w:rFonts w:hint="eastAsia" w:ascii="宋体" w:hAnsi="宋体" w:eastAsia="宋体" w:cs="宋体"/>
                <w:color w:val="auto"/>
                <w:sz w:val="32"/>
                <w:highlight w:val="none"/>
              </w:rPr>
            </w:pPr>
            <w:r>
              <w:rPr>
                <w:rFonts w:hint="eastAsia" w:ascii="宋体" w:hAnsi="宋体"/>
                <w:b/>
                <w:color w:val="auto"/>
                <w:sz w:val="32"/>
                <w:highlight w:val="none"/>
              </w:rPr>
              <w:t>工程名称：</w:t>
            </w:r>
            <w:r>
              <w:rPr>
                <w:rFonts w:hint="eastAsia" w:ascii="宋体" w:hAnsi="宋体" w:eastAsia="宋体" w:cs="宋体"/>
                <w:color w:val="auto"/>
                <w:sz w:val="32"/>
                <w:highlight w:val="none"/>
              </w:rPr>
              <w:t>海珠区住宅类排水单元达标创建工程</w:t>
            </w:r>
          </w:p>
          <w:p>
            <w:pPr>
              <w:pStyle w:val="2"/>
              <w:keepNext w:val="0"/>
              <w:keepLines w:val="0"/>
              <w:pageBreakBefore w:val="0"/>
              <w:widowControl w:val="0"/>
              <w:kinsoku/>
              <w:wordWrap/>
              <w:overflowPunct/>
              <w:topLinePunct w:val="0"/>
              <w:bidi w:val="0"/>
              <w:spacing w:line="360" w:lineRule="auto"/>
              <w:textAlignment w:val="auto"/>
              <w:rPr>
                <w:rFonts w:hAnsi="宋体"/>
                <w:b/>
                <w:color w:val="auto"/>
                <w:sz w:val="32"/>
                <w:szCs w:val="32"/>
                <w:highlight w:val="none"/>
              </w:rPr>
            </w:pPr>
          </w:p>
          <w:p>
            <w:pPr>
              <w:pStyle w:val="2"/>
              <w:keepNext w:val="0"/>
              <w:keepLines w:val="0"/>
              <w:pageBreakBefore w:val="0"/>
              <w:widowControl w:val="0"/>
              <w:kinsoku/>
              <w:wordWrap/>
              <w:overflowPunct/>
              <w:topLinePunct w:val="0"/>
              <w:bidi w:val="0"/>
              <w:spacing w:line="360" w:lineRule="auto"/>
              <w:textAlignment w:val="auto"/>
              <w:rPr>
                <w:rFonts w:hAnsi="宋体"/>
                <w:b/>
                <w:color w:val="auto"/>
                <w:sz w:val="32"/>
                <w:szCs w:val="32"/>
                <w:highlight w:val="none"/>
              </w:rPr>
            </w:pPr>
          </w:p>
        </w:tc>
      </w:tr>
      <w:tr>
        <w:tblPrEx>
          <w:tblCellMar>
            <w:top w:w="0" w:type="dxa"/>
            <w:left w:w="108" w:type="dxa"/>
            <w:bottom w:w="0" w:type="dxa"/>
            <w:right w:w="108" w:type="dxa"/>
          </w:tblCellMar>
        </w:tblPrEx>
        <w:trPr>
          <w:trHeight w:val="446" w:hRule="atLeast"/>
          <w:jc w:val="center"/>
        </w:trPr>
        <w:tc>
          <w:tcPr>
            <w:tcW w:w="7247" w:type="dxa"/>
            <w:noWrap/>
          </w:tcPr>
          <w:p>
            <w:pPr>
              <w:keepNext w:val="0"/>
              <w:keepLines w:val="0"/>
              <w:pageBreakBefore w:val="0"/>
              <w:widowControl w:val="0"/>
              <w:tabs>
                <w:tab w:val="left" w:pos="720"/>
              </w:tabs>
              <w:kinsoku/>
              <w:wordWrap/>
              <w:overflowPunct/>
              <w:topLinePunct w:val="0"/>
              <w:bidi w:val="0"/>
              <w:spacing w:line="360" w:lineRule="auto"/>
              <w:jc w:val="left"/>
              <w:textAlignment w:val="auto"/>
              <w:rPr>
                <w:rFonts w:ascii="宋体" w:hAnsi="宋体"/>
                <w:b/>
                <w:color w:val="auto"/>
                <w:sz w:val="32"/>
                <w:szCs w:val="32"/>
                <w:highlight w:val="none"/>
              </w:rPr>
            </w:pPr>
          </w:p>
        </w:tc>
      </w:tr>
      <w:tr>
        <w:tblPrEx>
          <w:tblCellMar>
            <w:top w:w="0" w:type="dxa"/>
            <w:left w:w="108" w:type="dxa"/>
            <w:bottom w:w="0" w:type="dxa"/>
            <w:right w:w="108" w:type="dxa"/>
          </w:tblCellMar>
        </w:tblPrEx>
        <w:trPr>
          <w:trHeight w:val="460" w:hRule="atLeast"/>
          <w:jc w:val="center"/>
        </w:trPr>
        <w:tc>
          <w:tcPr>
            <w:tcW w:w="7247" w:type="dxa"/>
            <w:noWrap/>
          </w:tcPr>
          <w:p>
            <w:pPr>
              <w:keepNext w:val="0"/>
              <w:keepLines w:val="0"/>
              <w:pageBreakBefore w:val="0"/>
              <w:widowControl w:val="0"/>
              <w:tabs>
                <w:tab w:val="left" w:pos="720"/>
              </w:tabs>
              <w:kinsoku/>
              <w:wordWrap/>
              <w:overflowPunct/>
              <w:topLinePunct w:val="0"/>
              <w:bidi w:val="0"/>
              <w:spacing w:line="360" w:lineRule="auto"/>
              <w:textAlignment w:val="auto"/>
              <w:rPr>
                <w:rFonts w:ascii="宋体" w:hAnsi="宋体"/>
                <w:b/>
                <w:color w:val="auto"/>
                <w:sz w:val="32"/>
                <w:highlight w:val="none"/>
              </w:rPr>
            </w:pPr>
            <w:r>
              <w:rPr>
                <w:rFonts w:hint="eastAsia" w:ascii="宋体" w:hAnsi="宋体"/>
                <w:b/>
                <w:color w:val="auto"/>
                <w:sz w:val="32"/>
                <w:highlight w:val="none"/>
              </w:rPr>
              <w:t>合同编号：</w:t>
            </w:r>
          </w:p>
          <w:p>
            <w:pPr>
              <w:pStyle w:val="2"/>
              <w:keepNext w:val="0"/>
              <w:keepLines w:val="0"/>
              <w:pageBreakBefore w:val="0"/>
              <w:widowControl w:val="0"/>
              <w:kinsoku/>
              <w:wordWrap/>
              <w:overflowPunct/>
              <w:topLinePunct w:val="0"/>
              <w:bidi w:val="0"/>
              <w:spacing w:line="360" w:lineRule="auto"/>
              <w:textAlignment w:val="auto"/>
              <w:rPr>
                <w:rFonts w:hAnsi="宋体"/>
                <w:color w:val="auto"/>
                <w:sz w:val="32"/>
                <w:highlight w:val="none"/>
              </w:rPr>
            </w:pPr>
          </w:p>
        </w:tc>
      </w:tr>
    </w:tbl>
    <w:p>
      <w:pPr>
        <w:keepNext w:val="0"/>
        <w:keepLines w:val="0"/>
        <w:pageBreakBefore w:val="0"/>
        <w:widowControl w:val="0"/>
        <w:tabs>
          <w:tab w:val="left" w:pos="720"/>
        </w:tabs>
        <w:kinsoku/>
        <w:wordWrap/>
        <w:overflowPunct/>
        <w:topLinePunct w:val="0"/>
        <w:bidi w:val="0"/>
        <w:spacing w:line="360" w:lineRule="auto"/>
        <w:textAlignment w:val="auto"/>
        <w:rPr>
          <w:rFonts w:ascii="宋体" w:hAnsi="宋体"/>
          <w:b/>
          <w:color w:val="auto"/>
          <w:sz w:val="28"/>
          <w:szCs w:val="28"/>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8"/>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b/>
          <w:color w:val="auto"/>
          <w:sz w:val="32"/>
          <w:highlight w:val="none"/>
        </w:rPr>
      </w:pPr>
    </w:p>
    <w:p>
      <w:pPr>
        <w:keepNext w:val="0"/>
        <w:keepLines w:val="0"/>
        <w:pageBreakBefore w:val="0"/>
        <w:widowControl w:val="0"/>
        <w:kinsoku/>
        <w:wordWrap/>
        <w:overflowPunct/>
        <w:topLinePunct w:val="0"/>
        <w:bidi w:val="0"/>
        <w:spacing w:line="360" w:lineRule="auto"/>
        <w:ind w:firstLine="643" w:firstLineChars="200"/>
        <w:textAlignment w:val="auto"/>
        <w:rPr>
          <w:rFonts w:ascii="宋体" w:hAnsi="宋体"/>
          <w:b/>
          <w:color w:val="auto"/>
          <w:sz w:val="32"/>
          <w:highlight w:val="none"/>
        </w:rPr>
      </w:pPr>
      <w:r>
        <w:rPr>
          <w:rFonts w:hint="eastAsia" w:ascii="宋体" w:hAnsi="宋体"/>
          <w:b/>
          <w:color w:val="auto"/>
          <w:sz w:val="32"/>
          <w:highlight w:val="none"/>
        </w:rPr>
        <w:t>签订时间：</w:t>
      </w:r>
    </w:p>
    <w:p>
      <w:pPr>
        <w:pStyle w:val="2"/>
        <w:keepNext w:val="0"/>
        <w:keepLines w:val="0"/>
        <w:pageBreakBefore w:val="0"/>
        <w:widowControl w:val="0"/>
        <w:kinsoku/>
        <w:wordWrap/>
        <w:overflowPunct/>
        <w:topLinePunct w:val="0"/>
        <w:bidi w:val="0"/>
        <w:spacing w:line="360" w:lineRule="auto"/>
        <w:textAlignment w:val="auto"/>
        <w:rPr>
          <w:rFonts w:hAnsi="宋体"/>
          <w:color w:val="auto"/>
          <w:sz w:val="28"/>
          <w:szCs w:val="28"/>
          <w:highlight w:val="none"/>
        </w:rPr>
      </w:pPr>
    </w:p>
    <w:p>
      <w:pPr>
        <w:pStyle w:val="2"/>
        <w:keepNext w:val="0"/>
        <w:keepLines w:val="0"/>
        <w:pageBreakBefore w:val="0"/>
        <w:widowControl w:val="0"/>
        <w:kinsoku/>
        <w:wordWrap/>
        <w:overflowPunct/>
        <w:topLinePunct w:val="0"/>
        <w:bidi w:val="0"/>
        <w:spacing w:line="360" w:lineRule="auto"/>
        <w:textAlignment w:val="auto"/>
        <w:rPr>
          <w:rFonts w:hAnsi="宋体"/>
          <w:color w:val="auto"/>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cs="仿宋"/>
          <w:color w:val="auto"/>
          <w:sz w:val="24"/>
          <w:highlight w:val="none"/>
          <w:u w:val="single"/>
        </w:rPr>
      </w:pPr>
      <w:r>
        <w:rPr>
          <w:rFonts w:hint="eastAsia" w:ascii="宋体" w:hAnsi="宋体" w:cs="仿宋"/>
          <w:color w:val="auto"/>
          <w:sz w:val="24"/>
          <w:highlight w:val="none"/>
        </w:rPr>
        <w:t>(甲方)：</w:t>
      </w:r>
      <w:r>
        <w:rPr>
          <w:rFonts w:hint="eastAsia" w:ascii="宋体" w:hAnsi="宋体" w:cs="仿宋"/>
          <w:color w:val="auto"/>
          <w:sz w:val="24"/>
          <w:highlight w:val="none"/>
          <w:u w:val="single"/>
        </w:rPr>
        <w:t>广州市海珠区河涌管理所</w:t>
      </w:r>
    </w:p>
    <w:p>
      <w:pPr>
        <w:keepNext w:val="0"/>
        <w:keepLines w:val="0"/>
        <w:pageBreakBefore w:val="0"/>
        <w:widowControl w:val="0"/>
        <w:kinsoku/>
        <w:wordWrap/>
        <w:overflowPunct/>
        <w:topLinePunct w:val="0"/>
        <w:bidi w:val="0"/>
        <w:spacing w:line="360" w:lineRule="auto"/>
        <w:textAlignment w:val="auto"/>
        <w:rPr>
          <w:rFonts w:ascii="宋体" w:hAnsi="宋体" w:cs="仿宋"/>
          <w:color w:val="auto"/>
          <w:sz w:val="24"/>
          <w:highlight w:val="none"/>
        </w:rPr>
      </w:pPr>
      <w:r>
        <w:rPr>
          <w:rFonts w:hint="eastAsia" w:ascii="宋体" w:hAnsi="宋体" w:cs="仿宋"/>
          <w:color w:val="auto"/>
          <w:sz w:val="24"/>
          <w:highlight w:val="none"/>
        </w:rPr>
        <w:t xml:space="preserve">(乙方)（全称）：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甲方委托乙方对工程房屋安全鉴定，作好证据保存，以便日后明确房屋的损害责任，为明确双方权利和义务，依据《</w:t>
      </w:r>
      <w:r>
        <w:rPr>
          <w:rFonts w:hint="eastAsia" w:ascii="宋体" w:hAnsi="宋体"/>
          <w:color w:val="auto"/>
          <w:sz w:val="24"/>
          <w:highlight w:val="none"/>
          <w:lang w:eastAsia="zh-CN"/>
        </w:rPr>
        <w:t>中华人民共和国民法典</w:t>
      </w:r>
      <w:r>
        <w:rPr>
          <w:rFonts w:hint="eastAsia" w:ascii="宋体" w:hAnsi="宋体" w:cs="仿宋"/>
          <w:color w:val="auto"/>
          <w:kern w:val="0"/>
          <w:sz w:val="24"/>
          <w:highlight w:val="none"/>
        </w:rPr>
        <w:t>》的相关规定，经协商达成如下条款。</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color w:val="auto"/>
          <w:kern w:val="0"/>
          <w:sz w:val="24"/>
          <w:highlight w:val="none"/>
        </w:rPr>
      </w:pPr>
      <w:r>
        <w:rPr>
          <w:rFonts w:hint="eastAsia" w:ascii="宋体" w:hAnsi="宋体" w:cs="仿宋"/>
          <w:b/>
          <w:color w:val="auto"/>
          <w:kern w:val="0"/>
          <w:sz w:val="24"/>
          <w:highlight w:val="none"/>
        </w:rPr>
        <w:t>一、建筑物所在地址：</w:t>
      </w:r>
      <w:r>
        <w:rPr>
          <w:rFonts w:hint="eastAsia" w:ascii="宋体" w:hAnsi="宋体" w:cs="仿宋"/>
          <w:color w:val="auto"/>
          <w:kern w:val="0"/>
          <w:sz w:val="24"/>
          <w:highlight w:val="none"/>
        </w:rPr>
        <w:t>广州市海珠区</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color w:val="auto"/>
          <w:kern w:val="0"/>
          <w:sz w:val="24"/>
          <w:highlight w:val="none"/>
        </w:rPr>
      </w:pPr>
      <w:r>
        <w:rPr>
          <w:rFonts w:hint="eastAsia" w:ascii="宋体" w:hAnsi="宋体" w:cs="仿宋"/>
          <w:b/>
          <w:color w:val="auto"/>
          <w:kern w:val="0"/>
          <w:sz w:val="24"/>
          <w:highlight w:val="none"/>
        </w:rPr>
        <w:t>二、结构规模：</w:t>
      </w:r>
      <w:r>
        <w:rPr>
          <w:rFonts w:hint="eastAsia" w:ascii="宋体" w:hAnsi="宋体" w:cs="仿宋"/>
          <w:color w:val="auto"/>
          <w:kern w:val="0"/>
          <w:sz w:val="24"/>
          <w:highlight w:val="none"/>
        </w:rPr>
        <w:t xml:space="preserve">施工周边房屋总鉴定面积暂定为__157495___平方米，其中______框架_______平方米，砖混_______平方米等。鉴定房屋数量以现场测定为准,结算时以业主批准方案中（含施工后第二次鉴定）的实际鉴定建筑面积为准。 </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三、主要目的</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根据国家相关标准、规范和规程，从建筑物变形和结构构件裂缝、损伤及缺陷的角度，对海珠区工程周边房屋在施工前及施工后的建筑物结构现状进行房屋安全鉴定，作好证据保存，以便日后明确房屋的损害责任，减少因施工导致的纠纷，并结合委托方提供的资料，并出具准确有效的《房屋安全鉴定报告》，以明确该工程实施方案是否将对周边建筑物安全造成影响，在施工过程中是否对沿线建筑物存在扰动，以及保护加固房屋措施的建议，为委托方妥善处理及保护沿线建筑提供准确、科学、客观的技术信息参考依据，为工程项目房屋安全鉴定顺利施工提供科学依据。</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四、主要工作内容</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1、检测鉴定项目</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（1）房屋的地基基础的基本情况（不均匀沉降、内外地台损坏等）；</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（2）房屋的承重结构的基本情况（承载能力、构造与连接、裂缝和变形等）；</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（3）房屋的围护结构的基本情况；</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（4）房屋的垂直度的基本情况；</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（5）房屋现状的基本情况（门窗、地面、墙身）；</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（6）房屋鉴定的鉴定意见和处理意见；</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（7）法律、规范、规定的相关内容。</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2、检测鉴定内容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）房屋资料调查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）现场勘查内容</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①房屋现在使用状况；</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②房屋结构形式及其主要材料；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③检查构件及其连接情况；</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④砖墙砌体及饰面检查；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⑤门、窗和水电等设施检查。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）房屋变形检测（倾斜测量）</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）钢筋混凝土构件裂缝针对性检查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检查构件表面的裂缝及不同构件类型之间的裂缝，包括其长度、宽度、深度、形状、条数，必要时绘出裂缝分布图；针对部分裂缝采用裂缝测宽仪（ZBL-F101）进行裂缝宽度进行测量，并抽样钢筋探测仪对其周边配筋情况及保护层厚度进行检测，初步判断裂缝的性质；</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②裂缝记录时要按位置、走向、裂缝形式、宽度、长度的顺序进行记录，并选取典型裂缝进行刻画、监测，用照相机拍摄记录异常现象；</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③房屋平面布置、垂直布置及构件截面尺寸检查。</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④出具鉴定结论及提出处理建议。</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eastAsia="宋体" w:cs="宋体"/>
          <w:color w:val="auto"/>
          <w:kern w:val="0"/>
          <w:sz w:val="24"/>
          <w:highlight w:val="none"/>
        </w:rPr>
        <w:t>⑤法律、规范、规定的相关内容。</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五、进度安排</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在收到甲方通知后_3_天内派员对周边房屋进行摸查并对房屋进行鉴定，每批次需在</w:t>
      </w:r>
      <w:r>
        <w:rPr>
          <w:rFonts w:hint="eastAsia" w:ascii="宋体" w:hAnsi="宋体" w:cs="仿宋"/>
          <w:color w:val="auto"/>
          <w:kern w:val="0"/>
          <w:sz w:val="24"/>
          <w:highlight w:val="none"/>
          <w:u w:val="single"/>
        </w:rPr>
        <w:t xml:space="preserve"> 7</w:t>
      </w:r>
      <w:r>
        <w:rPr>
          <w:rFonts w:hint="eastAsia" w:ascii="宋体" w:hAnsi="宋体" w:cs="仿宋"/>
          <w:color w:val="auto"/>
          <w:kern w:val="0"/>
          <w:sz w:val="24"/>
          <w:highlight w:val="none"/>
        </w:rPr>
        <w:t>个工作日内提交房屋安全鉴定成果给业主。如未能按时提交报告，从通知之日起，每逾期1天扣罚合同价的1%，除不可抗力因素外，逾期7天及以上，则直接解除工作合同，甲方不负任何责任。</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六、费用及付款方式</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1、鉴定费</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（一）按综合单价包干，按实结算。施工周边房屋安全鉴定综合单价__元/平方米，</w:t>
      </w:r>
      <w:r>
        <w:rPr>
          <w:rFonts w:hint="eastAsia" w:ascii="宋体" w:hAnsi="宋体" w:cs="仿宋"/>
          <w:color w:val="auto"/>
          <w:kern w:val="0"/>
          <w:sz w:val="24"/>
          <w:highlight w:val="none"/>
        </w:rPr>
        <w:t>施工前、后两次鉴定面积不重复计算，</w:t>
      </w:r>
      <w:r>
        <w:rPr>
          <w:rFonts w:hint="eastAsia" w:ascii="宋体" w:hAnsi="宋体" w:cs="仿宋"/>
          <w:color w:val="auto"/>
          <w:kern w:val="0"/>
          <w:sz w:val="24"/>
          <w:highlight w:val="none"/>
        </w:rPr>
        <w:t>综合单价包干不作任何调整；</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二）如果实际鉴定建筑面积与上款面积不符，则以实际鉴定建筑面积为准，并调整安全鉴定费用。建筑面积按实际委托单个建筑物的鉴定面积按实结算（以房屋产权证上建筑面积为准，没有产权证时以甲、乙双方实际量度确认的建筑面积为准）。</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（三）鉴定费用总金额（暂定）¥：_______元</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（大写）: ______（人民币）</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2、付款方式</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 xml:space="preserve">鉴定费用支付程序和时限：采用分期付款方法，具体为：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（1）乙方在完成合同内容的</w:t>
      </w:r>
      <w:r>
        <w:rPr>
          <w:rFonts w:hint="eastAsia" w:ascii="宋体" w:hAnsi="宋体" w:cs="仿宋"/>
          <w:color w:val="auto"/>
          <w:kern w:val="0"/>
          <w:sz w:val="24"/>
          <w:highlight w:val="none"/>
          <w:u w:val="single"/>
        </w:rPr>
        <w:t>_50_</w:t>
      </w:r>
      <w:r>
        <w:rPr>
          <w:rFonts w:hint="eastAsia" w:ascii="宋体" w:hAnsi="宋体" w:cs="仿宋"/>
          <w:color w:val="auto"/>
          <w:kern w:val="0"/>
          <w:sz w:val="24"/>
          <w:highlight w:val="none"/>
        </w:rPr>
        <w:t>％，甲方应向乙方支付合同价的</w:t>
      </w:r>
      <w:r>
        <w:rPr>
          <w:rFonts w:hint="eastAsia" w:ascii="宋体" w:hAnsi="宋体" w:cs="仿宋"/>
          <w:color w:val="auto"/>
          <w:kern w:val="0"/>
          <w:sz w:val="24"/>
          <w:highlight w:val="none"/>
          <w:u w:val="single"/>
        </w:rPr>
        <w:t>_20_</w:t>
      </w:r>
      <w:r>
        <w:rPr>
          <w:rFonts w:hint="eastAsia" w:ascii="宋体" w:hAnsi="宋体" w:cs="仿宋"/>
          <w:color w:val="auto"/>
          <w:kern w:val="0"/>
          <w:sz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w:t>
      </w:r>
      <w:r>
        <w:rPr>
          <w:rFonts w:hint="eastAsia" w:ascii="宋体" w:hAnsi="宋体" w:cs="仿宋"/>
          <w:color w:val="auto"/>
          <w:kern w:val="0"/>
          <w:sz w:val="24"/>
          <w:highlight w:val="none"/>
        </w:rPr>
        <w:t>提交合同范围内所有的施工前、后</w:t>
      </w:r>
      <w:r>
        <w:rPr>
          <w:rFonts w:hint="eastAsia" w:ascii="宋体" w:hAnsi="宋体" w:cs="仿宋"/>
          <w:color w:val="auto"/>
          <w:kern w:val="0"/>
          <w:sz w:val="24"/>
          <w:highlight w:val="none"/>
        </w:rPr>
        <w:t>独立结构房屋安全鉴定成果报告，并通过业主验收确认，施工周边房屋安全鉴定的费用按其总鉴定费的</w:t>
      </w:r>
      <w:r>
        <w:rPr>
          <w:rFonts w:hint="eastAsia" w:ascii="宋体" w:hAnsi="宋体" w:cs="仿宋"/>
          <w:color w:val="auto"/>
          <w:kern w:val="0"/>
          <w:sz w:val="24"/>
          <w:highlight w:val="none"/>
          <w:u w:val="single"/>
        </w:rPr>
        <w:t>_65_</w:t>
      </w:r>
      <w:r>
        <w:rPr>
          <w:rFonts w:hint="eastAsia" w:ascii="宋体" w:hAnsi="宋体" w:cs="仿宋"/>
          <w:color w:val="auto"/>
          <w:kern w:val="0"/>
          <w:sz w:val="24"/>
          <w:highlight w:val="none"/>
        </w:rPr>
        <w:t xml:space="preserve">%支付；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（3）余款在政府有关部门进行结算审定后的一个月后，一次性支付；</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（4）</w:t>
      </w:r>
      <w:r>
        <w:rPr>
          <w:rFonts w:hint="eastAsia" w:ascii="宋体" w:hAnsi="宋体" w:cs="仿宋"/>
          <w:color w:val="auto"/>
          <w:sz w:val="24"/>
          <w:highlight w:val="none"/>
        </w:rPr>
        <w:t>本合同项目的结算造价以</w:t>
      </w:r>
      <w:r>
        <w:rPr>
          <w:rFonts w:hint="eastAsia" w:ascii="宋体" w:hAnsi="宋体" w:cs="仿宋"/>
          <w:color w:val="auto"/>
          <w:sz w:val="24"/>
          <w:highlight w:val="none"/>
          <w:u w:val="single"/>
        </w:rPr>
        <w:t>海珠区财政部门审核后的结算价</w:t>
      </w:r>
      <w:r>
        <w:rPr>
          <w:rFonts w:hint="eastAsia" w:ascii="宋体" w:hAnsi="宋体" w:cs="仿宋"/>
          <w:color w:val="auto"/>
          <w:sz w:val="24"/>
          <w:highlight w:val="none"/>
        </w:rPr>
        <w:t>作为本合同项目的最终结算造价。根据广州市人民政府令第51号《广州市政府投资项目审计办法》第十三条规定，对于纳入年度审计项目计划的政府投资项目，审计机关出具的审计结果应当作为该政府投资项目价款结算的依据。本合同如结算价超过合同价或批复概算超过合同价，则按合同价结算；如结算价少于合同价或批复概算低于合同价，则按实结算。</w:t>
      </w:r>
    </w:p>
    <w:p>
      <w:pPr>
        <w:pStyle w:val="2"/>
        <w:keepNext w:val="0"/>
        <w:keepLines w:val="0"/>
        <w:pageBreakBefore w:val="0"/>
        <w:widowControl w:val="0"/>
        <w:kinsoku/>
        <w:wordWrap/>
        <w:overflowPunct/>
        <w:topLinePunct w:val="0"/>
        <w:bidi w:val="0"/>
        <w:spacing w:line="360" w:lineRule="auto"/>
        <w:ind w:firstLine="480" w:firstLineChars="200"/>
        <w:textAlignment w:val="auto"/>
        <w:rPr>
          <w:rFonts w:hAnsi="宋体" w:cs="仿宋"/>
          <w:color w:val="auto"/>
          <w:highlight w:val="none"/>
        </w:rPr>
      </w:pPr>
      <w:r>
        <w:rPr>
          <w:rFonts w:hint="eastAsia" w:hAnsi="宋体" w:cs="仿宋"/>
          <w:color w:val="auto"/>
          <w:highlight w:val="none"/>
        </w:rPr>
        <w:t>（5）</w:t>
      </w:r>
      <w:r>
        <w:rPr>
          <w:rFonts w:hint="eastAsia" w:hAnsi="宋体" w:cs="仿宋"/>
          <w:color w:val="auto"/>
          <w:kern w:val="2"/>
          <w:highlight w:val="none"/>
        </w:rPr>
        <w:t>本项目资金来源为财政资金，甲方应在前款规定付款时间内向财政部门提出办理财政支付申请手续（不含政府财政支付部门审核的时间）。甲方将付款资料送至财政部门，在规定时间内提出支付申请手续的，则视为甲方已经按合同支付。因财政部门等第三方原因导致乙方不能收到款项的，甲方不构成违约。</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本合同须缴纳的增值税按国家最新规定执行。</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七、甲方责任</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 按本合同规定，向乙方支付鉴定费。</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 向乙方提交以下资料（可提交的在括号内打“√”，不可提供打“×”）：</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（1）原房屋结构设计施工图或竣工图（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（2）房屋设计资料（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（3）地质勘察资料（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（4）施工技术档案（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（5）房屋目前使用用途证明（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3.乙方因检测鉴定需要要求甲方提供的其他技术资料：</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（1）：________________</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（2）：________________</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（3）：________________</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4.应于___年___月___日提供上述资料，并对其完整性、正确性及时限负责；</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5.联系当地有关单位，协助乙方上门进行房屋安全鉴定工作和协助乙方进场进行房屋检测鉴定；</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6.协助乙方做好现场检测的安全工作；</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7._______________</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八、乙方责任</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1. 以国家、地方的有关技术规范和要求，为甲方提供本合同第三款规定的技术服务。</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2. 自备检测与鉴定必须的设备仪器。</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3. 以独立结构为单位向甲方提交符合国家规范的鉴定报告____份，此外提供鉴定成果和书面鉴定建议，以满足甲方办理报批和相关手续需要。</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4. 对鉴定报告中的测量数据及鉴定结果负责。</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5. 配合甲方处理房屋安全鉴定的相关事宜和做好政府规定的检查工作。</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九、违约金或者损失赔偿额的计算</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违反本合同约定，违约方应当按照《</w:t>
      </w:r>
      <w:r>
        <w:rPr>
          <w:rFonts w:hint="eastAsia" w:ascii="宋体" w:hAnsi="宋体"/>
          <w:color w:val="auto"/>
          <w:sz w:val="24"/>
          <w:highlight w:val="none"/>
          <w:lang w:eastAsia="zh-CN"/>
        </w:rPr>
        <w:t>中华人民共和国民法典</w:t>
      </w:r>
      <w:r>
        <w:rPr>
          <w:rFonts w:hint="eastAsia" w:ascii="宋体" w:hAnsi="宋体" w:cs="仿宋"/>
          <w:color w:val="auto"/>
          <w:kern w:val="0"/>
          <w:sz w:val="24"/>
          <w:highlight w:val="none"/>
        </w:rPr>
        <w:t>》</w:t>
      </w:r>
      <w:r>
        <w:rPr>
          <w:rFonts w:hint="eastAsia" w:ascii="宋体" w:hAnsi="宋体"/>
          <w:color w:val="auto"/>
          <w:sz w:val="24"/>
          <w:highlight w:val="none"/>
          <w:lang w:eastAsia="zh-CN"/>
        </w:rPr>
        <w:t>第三编第八章违约责任相</w:t>
      </w:r>
      <w:r>
        <w:rPr>
          <w:rFonts w:hint="eastAsia" w:ascii="宋体" w:hAnsi="宋体" w:cs="仿宋"/>
          <w:color w:val="auto"/>
          <w:kern w:val="0"/>
          <w:sz w:val="24"/>
          <w:highlight w:val="none"/>
        </w:rPr>
        <w:t>关条款的规定承担违约责任。</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由于鉴定人员错误造成工程质量事故损失，鉴定人除负责采取补救措施外，应免收受损失部分的鉴定费，并对事故造成的损失按照责任比例向发包人支付赔偿金。由于鉴定人失职造成建设单位的工程损失达到结算价的____%以上时，由建设单位向鉴定人追讨相应的罚款，并且由财政部门登记入“黑名单”库。</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十、有关事宜</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（一）本合同执行过程中发生争议，甲乙双方应及时协商解决。如双方协商不成，</w:t>
      </w:r>
      <w:r>
        <w:rPr>
          <w:rFonts w:hint="eastAsia" w:ascii="宋体" w:hAnsi="宋体" w:cs="仿宋"/>
          <w:color w:val="auto"/>
          <w:kern w:val="0"/>
          <w:sz w:val="24"/>
          <w:highlight w:val="none"/>
        </w:rPr>
        <w:t>可向甲方所在地的海珠区人民法院申请诉讼</w:t>
      </w:r>
      <w:r>
        <w:rPr>
          <w:rFonts w:hint="eastAsia" w:ascii="宋体" w:hAnsi="宋体" w:cs="仿宋"/>
          <w:color w:val="auto"/>
          <w:kern w:val="0"/>
          <w:sz w:val="24"/>
          <w:highlight w:val="none"/>
        </w:rPr>
        <w:t>。</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（二）未尽事宜，经双方协商一致，签订补充协议。</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（三）双方的协商补充条款、补充协议与本合同均具效力。</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（四）本合同经甲乙双方鉴字盖章即时生效。</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（五）本合同一式____份，甲方执____份，乙方执___份。</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甲、乙双方确定，在本合同有效期内，甲方指定______________为甲方项目联系人，乙方指定____________为乙方项目联系人，项目联系人负责本项目进行过程中的协调工作，以使本项目顺利进行。</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仿宋"/>
          <w:b/>
          <w:color w:val="auto"/>
          <w:kern w:val="0"/>
          <w:sz w:val="24"/>
          <w:highlight w:val="none"/>
        </w:rPr>
      </w:pPr>
      <w:r>
        <w:rPr>
          <w:rFonts w:hint="eastAsia" w:ascii="宋体" w:hAnsi="宋体" w:cs="仿宋"/>
          <w:b/>
          <w:color w:val="auto"/>
          <w:kern w:val="0"/>
          <w:sz w:val="24"/>
          <w:highlight w:val="none"/>
        </w:rPr>
        <w:t>十一、合同生效</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合同订立时间：             年         月        日</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 xml:space="preserve">合同订立地点：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本合同双方约定：___________后生效; __________ 后失效。</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仿宋"/>
          <w:color w:val="auto"/>
          <w:kern w:val="0"/>
          <w:sz w:val="24"/>
          <w:highlight w:val="none"/>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仿宋"/>
          <w:color w:val="auto"/>
          <w:kern w:val="0"/>
          <w:sz w:val="24"/>
          <w:highlight w:val="none"/>
        </w:r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业主： 广州市海珠区河涌管理</w:t>
      </w:r>
      <w:r>
        <w:rPr>
          <w:rFonts w:hint="eastAsia" w:ascii="宋体" w:hAnsi="宋体" w:cs="仿宋"/>
          <w:color w:val="auto"/>
          <w:kern w:val="0"/>
          <w:sz w:val="24"/>
          <w:highlight w:val="none"/>
          <w:lang w:eastAsia="zh-CN"/>
        </w:rPr>
        <w:t xml:space="preserve"> </w:t>
      </w:r>
      <w:r>
        <w:rPr>
          <w:rFonts w:hint="eastAsia" w:ascii="宋体" w:hAnsi="宋体" w:cs="仿宋"/>
          <w:color w:val="auto"/>
          <w:kern w:val="0"/>
          <w:sz w:val="24"/>
          <w:highlight w:val="none"/>
        </w:rPr>
        <w:t xml:space="preserve">             鉴定单位：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 xml:space="preserve">（盖章）                                   （盖章）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 xml:space="preserve">法定代表人：       　　　　  　　  　　　法定代表人：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项目负责人：                             项目负责人：</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地    址：                               地    址：</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邮政编码：      　　　　　　             邮政编码：</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电    话：                               电    话：</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传    真： 　　　　　　　　　            传    真：</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 xml:space="preserve">                                         开户银行：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仿宋"/>
          <w:color w:val="auto"/>
          <w:kern w:val="0"/>
          <w:sz w:val="24"/>
          <w:highlight w:val="none"/>
        </w:rPr>
      </w:pPr>
      <w:r>
        <w:rPr>
          <w:rFonts w:hint="eastAsia" w:ascii="宋体" w:hAnsi="宋体" w:cs="仿宋"/>
          <w:color w:val="auto"/>
          <w:kern w:val="0"/>
          <w:sz w:val="24"/>
          <w:highlight w:val="none"/>
        </w:rPr>
        <w:t xml:space="preserve">                                         银行帐户： </w:t>
      </w: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s="仿宋"/>
          <w:color w:val="auto"/>
          <w:kern w:val="0"/>
          <w:szCs w:val="21"/>
          <w:highlight w:val="none"/>
        </w:rPr>
      </w:pPr>
    </w:p>
    <w:p>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cs="仿宋"/>
          <w:color w:val="auto"/>
          <w:kern w:val="0"/>
          <w:szCs w:val="21"/>
          <w:highlight w:val="none"/>
        </w:rPr>
      </w:pPr>
      <w:r>
        <w:rPr>
          <w:rFonts w:hint="eastAsia" w:ascii="宋体" w:hAnsi="宋体" w:cs="仿宋"/>
          <w:color w:val="auto"/>
          <w:kern w:val="0"/>
          <w:szCs w:val="21"/>
          <w:highlight w:val="none"/>
        </w:rPr>
        <w:t>本合同于20    年   月 签订于广州市海珠区。</w:t>
      </w:r>
    </w:p>
    <w:p>
      <w:pPr>
        <w:keepNext w:val="0"/>
        <w:keepLines w:val="0"/>
        <w:pageBreakBefore w:val="0"/>
        <w:widowControl w:val="0"/>
        <w:kinsoku/>
        <w:wordWrap/>
        <w:overflowPunct/>
        <w:topLinePunct w:val="0"/>
        <w:bidi w:val="0"/>
        <w:spacing w:line="360" w:lineRule="auto"/>
        <w:textAlignment w:val="auto"/>
        <w:rPr>
          <w:rFonts w:ascii="宋体" w:hAnsi="宋体" w:cs="仿宋"/>
          <w:color w:val="auto"/>
          <w:highlight w:val="none"/>
        </w:rPr>
      </w:pPr>
    </w:p>
    <w:p>
      <w:pPr>
        <w:pStyle w:val="2"/>
        <w:keepNext w:val="0"/>
        <w:keepLines w:val="0"/>
        <w:pageBreakBefore w:val="0"/>
        <w:widowControl w:val="0"/>
        <w:kinsoku/>
        <w:wordWrap/>
        <w:overflowPunct/>
        <w:topLinePunct w:val="0"/>
        <w:bidi w:val="0"/>
        <w:spacing w:line="360" w:lineRule="auto"/>
        <w:textAlignment w:val="auto"/>
        <w:rPr>
          <w:rFonts w:hAnsi="宋体"/>
          <w:color w:val="auto"/>
          <w:highlight w:val="none"/>
        </w:rPr>
      </w:pPr>
    </w:p>
    <w:p>
      <w:pPr>
        <w:keepNext w:val="0"/>
        <w:keepLines w:val="0"/>
        <w:pageBreakBefore w:val="0"/>
        <w:widowControl w:val="0"/>
        <w:kinsoku/>
        <w:wordWrap/>
        <w:overflowPunct/>
        <w:topLinePunct w:val="0"/>
        <w:bidi w:val="0"/>
        <w:spacing w:line="360" w:lineRule="auto"/>
        <w:textAlignment w:val="auto"/>
        <w:rPr>
          <w:rFonts w:hAnsi="宋体"/>
          <w:color w:val="auto"/>
          <w:highlight w:val="none"/>
        </w:rPr>
      </w:pPr>
      <w:r>
        <w:rPr>
          <w:rFonts w:hint="eastAsia" w:hAnsi="宋体"/>
          <w:color w:val="auto"/>
          <w:highlight w:val="none"/>
        </w:rPr>
        <w:br w:type="page"/>
      </w:r>
    </w:p>
    <w:p>
      <w:pPr>
        <w:keepNext w:val="0"/>
        <w:keepLines w:val="0"/>
        <w:pageBreakBefore w:val="0"/>
        <w:widowControl w:val="0"/>
        <w:kinsoku/>
        <w:wordWrap/>
        <w:overflowPunct/>
        <w:topLinePunct w:val="0"/>
        <w:bidi w:val="0"/>
        <w:spacing w:line="360" w:lineRule="auto"/>
        <w:jc w:val="center"/>
        <w:textAlignment w:val="auto"/>
        <w:rPr>
          <w:rFonts w:ascii="宋体" w:hAnsi="宋体"/>
          <w:b/>
          <w:bCs/>
          <w:color w:val="auto"/>
          <w:sz w:val="44"/>
          <w:highlight w:val="none"/>
        </w:rPr>
      </w:pPr>
      <w:r>
        <w:rPr>
          <w:rFonts w:hint="eastAsia" w:ascii="宋体" w:hAnsi="宋体"/>
          <w:b/>
          <w:color w:val="auto"/>
          <w:sz w:val="44"/>
          <w:highlight w:val="none"/>
        </w:rPr>
        <w:t>工程建设廉政协议书</w:t>
      </w:r>
    </w:p>
    <w:p>
      <w:pPr>
        <w:keepNext w:val="0"/>
        <w:keepLines w:val="0"/>
        <w:pageBreakBefore w:val="0"/>
        <w:widowControl w:val="0"/>
        <w:kinsoku/>
        <w:wordWrap/>
        <w:overflowPunct/>
        <w:topLinePunct w:val="0"/>
        <w:bidi w:val="0"/>
        <w:spacing w:line="360" w:lineRule="auto"/>
        <w:jc w:val="center"/>
        <w:textAlignment w:val="auto"/>
        <w:rPr>
          <w:rFonts w:ascii="宋体" w:hAnsi="宋体"/>
          <w:b/>
          <w:bCs/>
          <w:color w:val="auto"/>
          <w:sz w:val="44"/>
          <w:highlight w:val="none"/>
        </w:r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color w:val="auto"/>
          <w:sz w:val="24"/>
          <w:highlight w:val="none"/>
        </w:rPr>
      </w:pPr>
      <w:r>
        <w:rPr>
          <w:rFonts w:hint="eastAsia" w:ascii="宋体" w:hAnsi="宋体"/>
          <w:color w:val="auto"/>
          <w:sz w:val="24"/>
          <w:highlight w:val="none"/>
        </w:rPr>
        <w:t>为进一步落实</w:t>
      </w:r>
      <w:r>
        <w:rPr>
          <w:rFonts w:hint="eastAsia" w:ascii="宋体" w:hAnsi="宋体" w:eastAsia="宋体" w:cs="宋体"/>
          <w:color w:val="auto"/>
          <w:sz w:val="24"/>
          <w:highlight w:val="none"/>
          <w:u w:val="single"/>
        </w:rPr>
        <w:t>海珠区住宅类排水单元达标创建</w:t>
      </w:r>
      <w:r>
        <w:rPr>
          <w:rFonts w:hint="eastAsia" w:ascii="宋体" w:hAnsi="宋体" w:cs="宋体"/>
          <w:color w:val="auto"/>
          <w:sz w:val="24"/>
          <w:highlight w:val="none"/>
          <w:u w:val="single"/>
        </w:rPr>
        <w:t>工程房屋安全鉴定</w:t>
      </w:r>
      <w:r>
        <w:rPr>
          <w:rFonts w:hint="eastAsia" w:ascii="宋体" w:hAnsi="宋体"/>
          <w:color w:val="auto"/>
          <w:sz w:val="24"/>
          <w:highlight w:val="none"/>
          <w:u w:val="single"/>
        </w:rPr>
        <w:t>服务</w:t>
      </w:r>
      <w:r>
        <w:rPr>
          <w:rFonts w:hint="eastAsia" w:ascii="宋体" w:hAnsi="宋体"/>
          <w:color w:val="auto"/>
          <w:sz w:val="24"/>
          <w:highlight w:val="none"/>
        </w:rPr>
        <w:t>项目中的廉政责任，保证双方工作人员遵纪守法，特签订工程建设廉政协议如下：</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r>
        <w:rPr>
          <w:rFonts w:hint="eastAsia" w:ascii="宋体" w:hAnsi="宋体"/>
          <w:color w:val="auto"/>
          <w:sz w:val="24"/>
          <w:highlight w:val="none"/>
        </w:rPr>
        <w:t>一、带头严格遵守《中华人民共和国建筑法》、《</w:t>
      </w:r>
      <w:r>
        <w:rPr>
          <w:rFonts w:hint="eastAsia" w:ascii="宋体" w:hAnsi="宋体"/>
          <w:color w:val="auto"/>
          <w:sz w:val="24"/>
          <w:highlight w:val="none"/>
          <w:lang w:eastAsia="zh-CN"/>
        </w:rPr>
        <w:t>中华人民共和国民法典</w:t>
      </w:r>
      <w:r>
        <w:rPr>
          <w:rFonts w:hint="eastAsia" w:ascii="宋体" w:hAnsi="宋体"/>
          <w:color w:val="auto"/>
          <w:sz w:val="24"/>
          <w:highlight w:val="none"/>
        </w:rPr>
        <w:t>》及国家、省、市有关的法律、法规和政策规定。</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r>
        <w:rPr>
          <w:rFonts w:hint="eastAsia" w:ascii="宋体" w:hAnsi="宋体"/>
          <w:color w:val="auto"/>
          <w:sz w:val="24"/>
          <w:highlight w:val="none"/>
        </w:rPr>
        <w:t>二、对各自工作人员廉政工作负责，组织学习有关法律、法规、做到遵纪守法。</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r>
        <w:rPr>
          <w:rFonts w:hint="eastAsia" w:ascii="宋体" w:hAnsi="宋体"/>
          <w:color w:val="auto"/>
          <w:sz w:val="24"/>
          <w:highlight w:val="none"/>
        </w:rPr>
        <w:t>三、发现在工程建设过程中有违法违纪行为的，及时向海珠区纪委监委第</w:t>
      </w:r>
      <w:r>
        <w:rPr>
          <w:rFonts w:hint="eastAsia" w:ascii="宋体" w:hAnsi="宋体"/>
          <w:color w:val="auto"/>
          <w:sz w:val="24"/>
          <w:highlight w:val="none"/>
          <w:lang w:eastAsia="zh-CN"/>
        </w:rPr>
        <w:t>四</w:t>
      </w:r>
      <w:r>
        <w:rPr>
          <w:rFonts w:hint="eastAsia" w:ascii="宋体" w:hAnsi="宋体"/>
          <w:color w:val="auto"/>
          <w:sz w:val="24"/>
          <w:highlight w:val="none"/>
        </w:rPr>
        <w:t>派驻纪检监察组，并积极配合调查，纠正违法，防止违法犯罪案件的发生。</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r>
        <w:rPr>
          <w:rFonts w:hint="eastAsia" w:ascii="宋体" w:hAnsi="宋体"/>
          <w:color w:val="auto"/>
          <w:sz w:val="24"/>
          <w:highlight w:val="none"/>
        </w:rPr>
        <w:t>四、如出现因行贿对方工程有关部门人员或弄虚作假等导致违法犯罪案件发生的，应主动接受有关部门的处理，并赔偿由此给相关方带来的实际损失。</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r>
        <w:rPr>
          <w:rFonts w:hint="eastAsia" w:ascii="宋体" w:hAnsi="宋体"/>
          <w:color w:val="auto"/>
          <w:sz w:val="24"/>
          <w:highlight w:val="none"/>
        </w:rPr>
        <w:t>五、在工程建设过程中，应主动接受项目预防小组人员在廉政方面的监督。</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r>
        <w:rPr>
          <w:rFonts w:hint="eastAsia" w:ascii="宋体" w:hAnsi="宋体"/>
          <w:color w:val="auto"/>
          <w:sz w:val="24"/>
          <w:highlight w:val="none"/>
        </w:rPr>
        <w:t>六、如果发现在工程建设过程中有索贿及为索贿故意刁难行为的，应如实向海珠区纪委监委第</w:t>
      </w:r>
      <w:r>
        <w:rPr>
          <w:rFonts w:hint="eastAsia" w:ascii="宋体" w:hAnsi="宋体"/>
          <w:color w:val="auto"/>
          <w:sz w:val="24"/>
          <w:highlight w:val="none"/>
          <w:lang w:eastAsia="zh-CN"/>
        </w:rPr>
        <w:t>四</w:t>
      </w:r>
      <w:r>
        <w:rPr>
          <w:rFonts w:hint="eastAsia" w:ascii="宋体" w:hAnsi="宋体"/>
          <w:color w:val="auto"/>
          <w:sz w:val="24"/>
          <w:highlight w:val="none"/>
        </w:rPr>
        <w:t>派驻纪检监察组举报。</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r>
        <w:rPr>
          <w:rFonts w:hint="eastAsia" w:ascii="宋体" w:hAnsi="宋体"/>
          <w:color w:val="auto"/>
          <w:sz w:val="24"/>
          <w:highlight w:val="none"/>
        </w:rPr>
        <w:t>七、海珠区纪委监委第</w:t>
      </w:r>
      <w:r>
        <w:rPr>
          <w:rFonts w:hint="eastAsia" w:ascii="宋体" w:hAnsi="宋体"/>
          <w:color w:val="auto"/>
          <w:sz w:val="24"/>
          <w:highlight w:val="none"/>
          <w:lang w:eastAsia="zh-CN"/>
        </w:rPr>
        <w:t>四</w:t>
      </w:r>
      <w:r>
        <w:rPr>
          <w:rFonts w:hint="eastAsia" w:ascii="宋体" w:hAnsi="宋体"/>
          <w:color w:val="auto"/>
          <w:sz w:val="24"/>
          <w:highlight w:val="none"/>
        </w:rPr>
        <w:t>派驻纪检监察组投诉电话：84488801,84488803。</w:t>
      </w:r>
    </w:p>
    <w:p>
      <w:pPr>
        <w:keepNext w:val="0"/>
        <w:keepLines w:val="0"/>
        <w:pageBreakBefore w:val="0"/>
        <w:widowControl w:val="0"/>
        <w:kinsoku/>
        <w:wordWrap/>
        <w:overflowPunct/>
        <w:topLinePunct w:val="0"/>
        <w:bidi w:val="0"/>
        <w:spacing w:line="360" w:lineRule="auto"/>
        <w:ind w:firstLine="480"/>
        <w:textAlignment w:val="auto"/>
        <w:rPr>
          <w:rFonts w:ascii="宋体" w:hAnsi="宋体"/>
          <w:bCs/>
          <w:color w:val="auto"/>
          <w:sz w:val="24"/>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bCs/>
          <w:color w:val="auto"/>
          <w:sz w:val="24"/>
          <w:highlight w:val="none"/>
        </w:rPr>
      </w:pPr>
      <w:r>
        <w:rPr>
          <w:rFonts w:hint="eastAsia" w:ascii="宋体" w:hAnsi="宋体"/>
          <w:color w:val="auto"/>
          <w:sz w:val="24"/>
          <w:highlight w:val="none"/>
        </w:rPr>
        <w:t>发包人名称：（盖章）　                     承包人名称：（盖章）</w:t>
      </w:r>
    </w:p>
    <w:p>
      <w:pPr>
        <w:keepNext w:val="0"/>
        <w:keepLines w:val="0"/>
        <w:pageBreakBefore w:val="0"/>
        <w:widowControl w:val="0"/>
        <w:kinsoku/>
        <w:wordWrap/>
        <w:overflowPunct/>
        <w:topLinePunct w:val="0"/>
        <w:bidi w:val="0"/>
        <w:spacing w:line="360" w:lineRule="auto"/>
        <w:jc w:val="left"/>
        <w:textAlignment w:val="auto"/>
        <w:rPr>
          <w:rFonts w:ascii="宋体" w:hAnsi="宋体"/>
          <w:bCs/>
          <w:color w:val="auto"/>
          <w:sz w:val="24"/>
          <w:highlight w:val="none"/>
        </w:rPr>
      </w:pPr>
    </w:p>
    <w:p>
      <w:pPr>
        <w:keepNext w:val="0"/>
        <w:keepLines w:val="0"/>
        <w:pageBreakBefore w:val="0"/>
        <w:widowControl w:val="0"/>
        <w:kinsoku/>
        <w:wordWrap/>
        <w:overflowPunct/>
        <w:topLinePunct w:val="0"/>
        <w:bidi w:val="0"/>
        <w:spacing w:line="360" w:lineRule="auto"/>
        <w:jc w:val="left"/>
        <w:textAlignment w:val="auto"/>
        <w:rPr>
          <w:rFonts w:ascii="宋体" w:hAnsi="宋体"/>
          <w:bCs/>
          <w:color w:val="auto"/>
          <w:sz w:val="24"/>
          <w:highlight w:val="none"/>
        </w:rPr>
      </w:pPr>
      <w:r>
        <w:rPr>
          <w:rFonts w:hint="eastAsia" w:ascii="宋体" w:hAnsi="宋体"/>
          <w:color w:val="auto"/>
          <w:sz w:val="24"/>
          <w:highlight w:val="none"/>
        </w:rPr>
        <w:t xml:space="preserve">广州市海珠区河涌管理所　　               </w:t>
      </w:r>
    </w:p>
    <w:p>
      <w:pPr>
        <w:keepNext w:val="0"/>
        <w:keepLines w:val="0"/>
        <w:pageBreakBefore w:val="0"/>
        <w:widowControl w:val="0"/>
        <w:kinsoku/>
        <w:wordWrap/>
        <w:overflowPunct/>
        <w:topLinePunct w:val="0"/>
        <w:bidi w:val="0"/>
        <w:spacing w:line="360" w:lineRule="auto"/>
        <w:textAlignment w:val="auto"/>
        <w:rPr>
          <w:rFonts w:ascii="宋体" w:hAnsi="宋体"/>
          <w:bCs/>
          <w:color w:val="auto"/>
          <w:sz w:val="24"/>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bCs/>
          <w:color w:val="auto"/>
          <w:sz w:val="24"/>
          <w:highlight w:val="none"/>
        </w:rPr>
      </w:pPr>
      <w:r>
        <w:rPr>
          <w:rFonts w:hint="eastAsia" w:ascii="宋体" w:hAnsi="宋体"/>
          <w:color w:val="auto"/>
          <w:sz w:val="24"/>
          <w:highlight w:val="none"/>
        </w:rPr>
        <w:t>法定代表人：        　　　　              法定代表人：</w:t>
      </w:r>
    </w:p>
    <w:p>
      <w:pPr>
        <w:keepNext w:val="0"/>
        <w:keepLines w:val="0"/>
        <w:pageBreakBefore w:val="0"/>
        <w:widowControl w:val="0"/>
        <w:kinsoku/>
        <w:wordWrap/>
        <w:overflowPunct/>
        <w:topLinePunct w:val="0"/>
        <w:bidi w:val="0"/>
        <w:spacing w:line="360" w:lineRule="auto"/>
        <w:textAlignment w:val="auto"/>
        <w:rPr>
          <w:rFonts w:ascii="宋体" w:hAnsi="宋体"/>
          <w:bCs/>
          <w:color w:val="auto"/>
          <w:sz w:val="24"/>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bCs/>
          <w:color w:val="auto"/>
          <w:sz w:val="24"/>
          <w:highlight w:val="none"/>
        </w:rPr>
      </w:pPr>
      <w:r>
        <w:rPr>
          <w:rFonts w:hint="eastAsia" w:ascii="宋体" w:hAnsi="宋体"/>
          <w:color w:val="auto"/>
          <w:sz w:val="24"/>
          <w:highlight w:val="none"/>
        </w:rPr>
        <w:t>项目负责人：       　　　　               项目负责人：</w:t>
      </w:r>
    </w:p>
    <w:p>
      <w:pPr>
        <w:keepNext w:val="0"/>
        <w:keepLines w:val="0"/>
        <w:pageBreakBefore w:val="0"/>
        <w:widowControl w:val="0"/>
        <w:kinsoku/>
        <w:wordWrap/>
        <w:overflowPunct/>
        <w:topLinePunct w:val="0"/>
        <w:bidi w:val="0"/>
        <w:spacing w:line="360" w:lineRule="auto"/>
        <w:ind w:left="5250" w:firstLine="2880" w:firstLineChars="1200"/>
        <w:textAlignment w:val="auto"/>
        <w:rPr>
          <w:rFonts w:ascii="宋体" w:hAnsi="宋体"/>
          <w:color w:val="auto"/>
          <w:kern w:val="0"/>
          <w:sz w:val="24"/>
          <w:szCs w:val="20"/>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bCs/>
          <w:color w:val="auto"/>
          <w:highlight w:val="none"/>
        </w:rPr>
      </w:pPr>
    </w:p>
    <w:p>
      <w:pPr>
        <w:keepNext w:val="0"/>
        <w:keepLines w:val="0"/>
        <w:pageBreakBefore w:val="0"/>
        <w:widowControl w:val="0"/>
        <w:kinsoku/>
        <w:wordWrap/>
        <w:overflowPunct/>
        <w:topLinePunct w:val="0"/>
        <w:bidi w:val="0"/>
        <w:spacing w:line="360" w:lineRule="auto"/>
        <w:textAlignment w:val="auto"/>
        <w:rPr>
          <w:rFonts w:ascii="宋体" w:hAnsi="宋体"/>
          <w:bCs/>
          <w:color w:val="auto"/>
          <w:sz w:val="24"/>
          <w:highlight w:val="none"/>
        </w:rPr>
      </w:pPr>
      <w:r>
        <w:rPr>
          <w:rFonts w:hint="eastAsia" w:ascii="宋体" w:hAnsi="宋体"/>
          <w:color w:val="auto"/>
          <w:sz w:val="24"/>
          <w:highlight w:val="none"/>
        </w:rPr>
        <w:t>日期：二○  年 月 日                      日期：二○  年 月 日</w:t>
      </w:r>
    </w:p>
    <w:p>
      <w:pPr>
        <w:keepNext w:val="0"/>
        <w:keepLines w:val="0"/>
        <w:pageBreakBefore w:val="0"/>
        <w:widowControl w:val="0"/>
        <w:kinsoku/>
        <w:wordWrap/>
        <w:overflowPunct/>
        <w:topLinePunct w:val="0"/>
        <w:bidi w:val="0"/>
        <w:spacing w:line="360" w:lineRule="auto"/>
        <w:textAlignment w:val="auto"/>
        <w:rPr>
          <w:rFonts w:ascii="宋体" w:hAnsi="宋体"/>
          <w:bCs/>
          <w:color w:val="auto"/>
          <w:sz w:val="24"/>
          <w:highlight w:val="none"/>
        </w:rPr>
      </w:pPr>
    </w:p>
    <w:p>
      <w:pPr>
        <w:pStyle w:val="2"/>
        <w:keepNext w:val="0"/>
        <w:keepLines w:val="0"/>
        <w:pageBreakBefore w:val="0"/>
        <w:widowControl w:val="0"/>
        <w:kinsoku/>
        <w:wordWrap/>
        <w:overflowPunct/>
        <w:topLinePunct w:val="0"/>
        <w:bidi w:val="0"/>
        <w:spacing w:line="360" w:lineRule="auto"/>
        <w:textAlignment w:val="auto"/>
        <w:rPr>
          <w:rFonts w:hAnsi="宋体"/>
          <w:color w:val="auto"/>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YTg1NGM5OGY2ODliNGNjMDYyMTkxMWViYTkwNjgifQ=="/>
  </w:docVars>
  <w:rsids>
    <w:rsidRoot w:val="008C1D85"/>
    <w:rsid w:val="00014412"/>
    <w:rsid w:val="000721A3"/>
    <w:rsid w:val="00121AAA"/>
    <w:rsid w:val="001274C4"/>
    <w:rsid w:val="0014423B"/>
    <w:rsid w:val="0016067D"/>
    <w:rsid w:val="00360778"/>
    <w:rsid w:val="00363B19"/>
    <w:rsid w:val="004269A5"/>
    <w:rsid w:val="004C4908"/>
    <w:rsid w:val="005126BD"/>
    <w:rsid w:val="005472B4"/>
    <w:rsid w:val="00637D69"/>
    <w:rsid w:val="00747A15"/>
    <w:rsid w:val="00747B98"/>
    <w:rsid w:val="00774FA5"/>
    <w:rsid w:val="007A4684"/>
    <w:rsid w:val="007E2638"/>
    <w:rsid w:val="0080384D"/>
    <w:rsid w:val="008C0083"/>
    <w:rsid w:val="008C1D85"/>
    <w:rsid w:val="008F363C"/>
    <w:rsid w:val="00A37D22"/>
    <w:rsid w:val="00A579EE"/>
    <w:rsid w:val="00AD6545"/>
    <w:rsid w:val="00B856BC"/>
    <w:rsid w:val="00BD2053"/>
    <w:rsid w:val="00C16AE6"/>
    <w:rsid w:val="00CC1FC2"/>
    <w:rsid w:val="00CF0E97"/>
    <w:rsid w:val="00D37658"/>
    <w:rsid w:val="00F15150"/>
    <w:rsid w:val="00F3645F"/>
    <w:rsid w:val="00FA4F69"/>
    <w:rsid w:val="00FB3645"/>
    <w:rsid w:val="04ED23F9"/>
    <w:rsid w:val="05274F2C"/>
    <w:rsid w:val="05521FF2"/>
    <w:rsid w:val="07BE7123"/>
    <w:rsid w:val="09AA3650"/>
    <w:rsid w:val="0A3D23A5"/>
    <w:rsid w:val="0A971EE5"/>
    <w:rsid w:val="134B4E86"/>
    <w:rsid w:val="16C52C2E"/>
    <w:rsid w:val="17804177"/>
    <w:rsid w:val="246F740D"/>
    <w:rsid w:val="334A488B"/>
    <w:rsid w:val="3A28066E"/>
    <w:rsid w:val="40EA428A"/>
    <w:rsid w:val="41F832A5"/>
    <w:rsid w:val="458C14B1"/>
    <w:rsid w:val="4A3C0DBC"/>
    <w:rsid w:val="4F6667FC"/>
    <w:rsid w:val="51B679A1"/>
    <w:rsid w:val="590075FA"/>
    <w:rsid w:val="5A6232D4"/>
    <w:rsid w:val="5D4A2418"/>
    <w:rsid w:val="5FC74784"/>
    <w:rsid w:val="633209D6"/>
    <w:rsid w:val="675668DB"/>
    <w:rsid w:val="6CC52535"/>
    <w:rsid w:val="6D131BB8"/>
    <w:rsid w:val="704C67BD"/>
    <w:rsid w:val="71C81A6A"/>
    <w:rsid w:val="72D336DE"/>
    <w:rsid w:val="73385F71"/>
    <w:rsid w:val="74955D2B"/>
    <w:rsid w:val="74DB0B6D"/>
    <w:rsid w:val="7EB062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qFormat/>
    <w:uiPriority w:val="0"/>
    <w:pPr>
      <w:ind w:firstLine="420"/>
    </w:pPr>
    <w:rPr>
      <w:szCs w:val="20"/>
    </w:rPr>
  </w:style>
  <w:style w:type="paragraph" w:styleId="4">
    <w:name w:val="annotation text"/>
    <w:basedOn w:val="1"/>
    <w:link w:val="14"/>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5"/>
    <w:qFormat/>
    <w:uiPriority w:val="0"/>
    <w:rPr>
      <w:b/>
      <w:bCs/>
    </w:rPr>
  </w:style>
  <w:style w:type="character" w:styleId="11">
    <w:name w:val="annotation reference"/>
    <w:basedOn w:val="10"/>
    <w:qFormat/>
    <w:uiPriority w:val="0"/>
    <w:rPr>
      <w:sz w:val="21"/>
      <w:szCs w:val="21"/>
    </w:rPr>
  </w:style>
  <w:style w:type="character" w:customStyle="1" w:styleId="12">
    <w:name w:val="页眉 Char"/>
    <w:basedOn w:val="10"/>
    <w:link w:val="7"/>
    <w:qFormat/>
    <w:uiPriority w:val="0"/>
    <w:rPr>
      <w:rFonts w:ascii="Calibri" w:hAnsi="Calibri"/>
      <w:kern w:val="2"/>
      <w:sz w:val="18"/>
      <w:szCs w:val="18"/>
    </w:rPr>
  </w:style>
  <w:style w:type="character" w:customStyle="1" w:styleId="13">
    <w:name w:val="页脚 Char"/>
    <w:basedOn w:val="10"/>
    <w:link w:val="6"/>
    <w:qFormat/>
    <w:uiPriority w:val="0"/>
    <w:rPr>
      <w:rFonts w:ascii="Calibri" w:hAnsi="Calibri"/>
      <w:kern w:val="2"/>
      <w:sz w:val="18"/>
      <w:szCs w:val="18"/>
    </w:rPr>
  </w:style>
  <w:style w:type="character" w:customStyle="1" w:styleId="14">
    <w:name w:val="批注文字 Char"/>
    <w:basedOn w:val="10"/>
    <w:link w:val="4"/>
    <w:qFormat/>
    <w:uiPriority w:val="0"/>
    <w:rPr>
      <w:rFonts w:ascii="Calibri" w:hAnsi="Calibri"/>
      <w:kern w:val="2"/>
      <w:sz w:val="21"/>
      <w:szCs w:val="24"/>
    </w:rPr>
  </w:style>
  <w:style w:type="character" w:customStyle="1" w:styleId="15">
    <w:name w:val="批注主题 Char"/>
    <w:basedOn w:val="14"/>
    <w:link w:val="8"/>
    <w:qFormat/>
    <w:uiPriority w:val="0"/>
  </w:style>
  <w:style w:type="paragraph" w:customStyle="1" w:styleId="16">
    <w:name w:val="修订1"/>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框文本 Char"/>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652</Words>
  <Characters>3718</Characters>
  <Lines>30</Lines>
  <Paragraphs>8</Paragraphs>
  <TotalTime>35</TotalTime>
  <ScaleCrop>false</ScaleCrop>
  <LinksUpToDate>false</LinksUpToDate>
  <CharactersWithSpaces>4362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COCO</cp:lastModifiedBy>
  <dcterms:modified xsi:type="dcterms:W3CDTF">2023-09-28T06:08:19Z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A1183BF769C94ADC9B7E634CE480F6A5_13</vt:lpwstr>
  </property>
</Properties>
</file>