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hAnsi="宋体" w:cs="宋体"/>
          <w:b/>
          <w:bCs/>
          <w:color w:val="auto"/>
          <w:spacing w:val="26"/>
          <w:sz w:val="44"/>
          <w:szCs w:val="44"/>
        </w:rPr>
      </w:pPr>
    </w:p>
    <w:p>
      <w:pPr>
        <w:pStyle w:val="19"/>
        <w:jc w:val="center"/>
        <w:rPr>
          <w:color w:val="auto"/>
          <w:sz w:val="40"/>
          <w:szCs w:val="36"/>
        </w:rPr>
      </w:pPr>
      <w:r>
        <w:rPr>
          <w:rFonts w:hint="eastAsia"/>
          <w:b/>
          <w:color w:val="auto"/>
          <w:sz w:val="56"/>
          <w:szCs w:val="56"/>
          <w:u w:val="none"/>
        </w:rPr>
        <w:t>悦海酒店东楼加固和修复改造工程</w:t>
      </w: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2"/>
        <w:rPr>
          <w:rFonts w:hint="eastAsia" w:ascii="楷体" w:hAnsi="楷体" w:eastAsia="楷体"/>
          <w:color w:val="auto"/>
          <w:sz w:val="110"/>
          <w:szCs w:val="110"/>
          <w:lang w:eastAsia="zh-CN"/>
        </w:rPr>
      </w:pPr>
      <w:bookmarkStart w:id="0" w:name="_Toc108770437"/>
      <w:bookmarkEnd w:id="0"/>
      <w:bookmarkStart w:id="1" w:name="_Toc104386980"/>
      <w:bookmarkEnd w:id="1"/>
      <w:r>
        <w:rPr>
          <w:rFonts w:hint="eastAsia" w:ascii="楷体" w:hAnsi="楷体" w:eastAsia="楷体"/>
          <w:color w:val="auto"/>
          <w:sz w:val="110"/>
          <w:szCs w:val="110"/>
        </w:rPr>
        <w:t>招标</w:t>
      </w:r>
      <w:r>
        <w:rPr>
          <w:rFonts w:hint="eastAsia" w:ascii="楷体" w:hAnsi="楷体" w:eastAsia="楷体"/>
          <w:color w:val="auto"/>
          <w:sz w:val="110"/>
          <w:szCs w:val="110"/>
          <w:lang w:val="en-US" w:eastAsia="zh-CN"/>
        </w:rPr>
        <w:t>文件</w:t>
      </w:r>
    </w:p>
    <w:p>
      <w:pPr>
        <w:spacing w:line="360" w:lineRule="auto"/>
        <w:jc w:val="center"/>
        <w:rPr>
          <w:color w:val="auto"/>
          <w:sz w:val="32"/>
        </w:rPr>
      </w:pPr>
    </w:p>
    <w:p>
      <w:pPr>
        <w:spacing w:line="360" w:lineRule="auto"/>
        <w:ind w:firstLine="2560" w:firstLineChars="800"/>
        <w:rPr>
          <w:color w:val="auto"/>
          <w:sz w:val="32"/>
        </w:rPr>
      </w:pPr>
    </w:p>
    <w:p>
      <w:pPr>
        <w:spacing w:line="360" w:lineRule="auto"/>
        <w:rPr>
          <w:color w:val="auto"/>
          <w:sz w:val="52"/>
        </w:rPr>
      </w:pPr>
    </w:p>
    <w:p>
      <w:pPr>
        <w:pStyle w:val="19"/>
        <w:rPr>
          <w:color w:val="auto"/>
        </w:rPr>
      </w:pPr>
    </w:p>
    <w:p>
      <w:pPr>
        <w:spacing w:line="360" w:lineRule="auto"/>
        <w:rPr>
          <w:color w:val="auto"/>
          <w:sz w:val="52"/>
        </w:rPr>
      </w:pPr>
    </w:p>
    <w:p>
      <w:pPr>
        <w:spacing w:line="360" w:lineRule="auto"/>
        <w:rPr>
          <w:color w:val="auto"/>
          <w:sz w:val="52"/>
        </w:rPr>
      </w:pPr>
    </w:p>
    <w:p>
      <w:pPr>
        <w:snapToGrid w:val="0"/>
        <w:spacing w:line="360" w:lineRule="auto"/>
        <w:ind w:firstLine="1506" w:firstLineChars="500"/>
        <w:rPr>
          <w:rFonts w:ascii="宋体" w:cs="黑体"/>
          <w:b/>
          <w:color w:val="auto"/>
          <w:sz w:val="30"/>
          <w:szCs w:val="30"/>
          <w:highlight w:val="none"/>
          <w:u w:val="single"/>
        </w:rPr>
      </w:pPr>
      <w:r>
        <w:rPr>
          <w:rFonts w:hint="eastAsia" w:ascii="宋体" w:cs="黑体"/>
          <w:b/>
          <w:color w:val="auto"/>
          <w:sz w:val="30"/>
          <w:szCs w:val="30"/>
          <w:highlight w:val="none"/>
        </w:rPr>
        <w:t>招 标 人：</w:t>
      </w:r>
      <w:r>
        <w:rPr>
          <w:rFonts w:hint="eastAsia"/>
          <w:b/>
          <w:color w:val="auto"/>
          <w:sz w:val="32"/>
          <w:szCs w:val="32"/>
          <w:u w:val="single"/>
        </w:rPr>
        <w:t>广州市天壹实业有限公司</w:t>
      </w:r>
    </w:p>
    <w:p>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招标代理机构：</w:t>
      </w:r>
      <w:r>
        <w:rPr>
          <w:rFonts w:hint="eastAsia" w:ascii="宋体" w:cs="黑体"/>
          <w:b/>
          <w:color w:val="auto"/>
          <w:sz w:val="30"/>
          <w:szCs w:val="30"/>
          <w:highlight w:val="none"/>
          <w:lang w:val="en-US" w:eastAsia="zh-CN"/>
        </w:rPr>
        <w:t>广东省建筑工程监理有限公司</w:t>
      </w:r>
    </w:p>
    <w:p>
      <w:pPr>
        <w:snapToGrid w:val="0"/>
        <w:spacing w:line="360" w:lineRule="auto"/>
        <w:ind w:firstLine="1506" w:firstLineChars="500"/>
        <w:rPr>
          <w:rFonts w:hint="eastAsia" w:ascii="宋体" w:cs="黑体"/>
          <w:b/>
          <w:color w:val="auto"/>
          <w:sz w:val="30"/>
          <w:szCs w:val="30"/>
          <w:highlight w:val="none"/>
        </w:rPr>
      </w:pPr>
      <w:r>
        <w:rPr>
          <w:rFonts w:hint="eastAsia" w:ascii="宋体" w:cs="黑体"/>
          <w:b/>
          <w:color w:val="auto"/>
          <w:sz w:val="30"/>
          <w:szCs w:val="30"/>
          <w:highlight w:val="none"/>
        </w:rPr>
        <w:t>编制日期：202</w:t>
      </w:r>
      <w:r>
        <w:rPr>
          <w:rFonts w:hint="eastAsia" w:ascii="宋体" w:cs="黑体"/>
          <w:b/>
          <w:color w:val="auto"/>
          <w:sz w:val="30"/>
          <w:szCs w:val="30"/>
          <w:highlight w:val="none"/>
          <w:lang w:val="en-US" w:eastAsia="zh-CN"/>
        </w:rPr>
        <w:t>3</w:t>
      </w:r>
      <w:r>
        <w:rPr>
          <w:rFonts w:hint="eastAsia" w:ascii="宋体" w:cs="黑体"/>
          <w:b/>
          <w:color w:val="auto"/>
          <w:sz w:val="30"/>
          <w:szCs w:val="30"/>
          <w:highlight w:val="none"/>
        </w:rPr>
        <w:t>年</w:t>
      </w:r>
      <w:r>
        <w:rPr>
          <w:rFonts w:hint="eastAsia" w:ascii="宋体" w:cs="黑体"/>
          <w:b/>
          <w:color w:val="auto"/>
          <w:sz w:val="30"/>
          <w:szCs w:val="30"/>
          <w:highlight w:val="none"/>
          <w:lang w:val="en-US" w:eastAsia="zh-CN"/>
        </w:rPr>
        <w:t>9</w:t>
      </w:r>
      <w:r>
        <w:rPr>
          <w:rFonts w:hint="eastAsia" w:ascii="宋体" w:cs="黑体"/>
          <w:b/>
          <w:color w:val="auto"/>
          <w:sz w:val="30"/>
          <w:szCs w:val="30"/>
          <w:highlight w:val="none"/>
        </w:rPr>
        <w:t>月</w:t>
      </w:r>
    </w:p>
    <w:p>
      <w:pPr>
        <w:pStyle w:val="19"/>
        <w:rPr>
          <w:color w:val="auto"/>
        </w:rPr>
      </w:pPr>
    </w:p>
    <w:p>
      <w:pPr>
        <w:spacing w:line="432" w:lineRule="auto"/>
        <w:ind w:firstLine="537" w:firstLineChars="224"/>
        <w:rPr>
          <w:rFonts w:ascii="宋体"/>
          <w:color w:val="auto"/>
          <w:sz w:val="24"/>
        </w:rPr>
        <w:sectPr>
          <w:footerReference r:id="rId3" w:type="default"/>
          <w:footerReference r:id="rId4" w:type="even"/>
          <w:endnotePr>
            <w:numFmt w:val="decimal"/>
          </w:endnotePr>
          <w:pgSz w:w="11906" w:h="16838"/>
          <w:pgMar w:top="1440" w:right="1134" w:bottom="1440" w:left="1134" w:header="851" w:footer="992" w:gutter="0"/>
          <w:pgNumType w:start="1"/>
          <w:cols w:space="425" w:num="1"/>
          <w:titlePg/>
          <w:docGrid w:type="lines" w:linePitch="312" w:charSpace="0"/>
        </w:sectPr>
      </w:pPr>
    </w:p>
    <w:p>
      <w:pPr>
        <w:jc w:val="center"/>
        <w:outlineLvl w:val="0"/>
        <w:rPr>
          <w:rFonts w:ascii="宋体" w:hAnsi="宋体"/>
          <w:b/>
          <w:caps/>
          <w:color w:val="auto"/>
          <w:kern w:val="0"/>
        </w:rPr>
      </w:pPr>
      <w:r>
        <w:rPr>
          <w:rStyle w:val="44"/>
          <w:rFonts w:hint="eastAsia"/>
          <w:b/>
          <w:bCs/>
          <w:color w:val="auto"/>
          <w:sz w:val="28"/>
          <w:szCs w:val="28"/>
        </w:rPr>
        <w:t>目录</w:t>
      </w:r>
    </w:p>
    <w:p>
      <w:pPr>
        <w:pStyle w:val="26"/>
        <w:rPr>
          <w:rFonts w:asciiTheme="minorHAnsi" w:hAnsiTheme="minorHAnsi" w:eastAsiaTheme="minorEastAsia" w:cstheme="minorBidi"/>
          <w:caps w:val="0"/>
          <w:color w:val="auto"/>
          <w:kern w:val="2"/>
          <w:sz w:val="21"/>
          <w:szCs w:val="22"/>
        </w:rPr>
      </w:pPr>
      <w:r>
        <w:rPr>
          <w:color w:val="auto"/>
        </w:rPr>
        <w:fldChar w:fldCharType="begin"/>
      </w:r>
      <w:r>
        <w:rPr>
          <w:color w:val="auto"/>
        </w:rPr>
        <w:instrText xml:space="preserve"> TOC \o "1-3" \h \z \u </w:instrText>
      </w:r>
      <w:r>
        <w:rPr>
          <w:color w:val="auto"/>
        </w:rPr>
        <w:fldChar w:fldCharType="separate"/>
      </w:r>
      <w:bookmarkStart w:id="2" w:name="_Toc2272545"/>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"_Toc115117418" </w:instrText>
      </w:r>
      <w:r>
        <w:rPr>
          <w:color w:val="auto"/>
        </w:rPr>
        <w:fldChar w:fldCharType="separate"/>
      </w:r>
      <w:r>
        <w:rPr>
          <w:rStyle w:val="44"/>
          <w:color w:val="auto"/>
        </w:rPr>
        <w:t>第一章  投标须知</w:t>
      </w:r>
      <w:r>
        <w:rPr>
          <w:color w:val="auto"/>
        </w:rPr>
        <w:tab/>
      </w:r>
      <w:r>
        <w:rPr>
          <w:color w:val="auto"/>
        </w:rPr>
        <w:fldChar w:fldCharType="begin"/>
      </w:r>
      <w:r>
        <w:rPr>
          <w:color w:val="auto"/>
        </w:rPr>
        <w:instrText xml:space="preserve"> PAGEREF _Toc115117418 \h </w:instrText>
      </w:r>
      <w:r>
        <w:rPr>
          <w:color w:val="auto"/>
        </w:rPr>
        <w:fldChar w:fldCharType="separate"/>
      </w:r>
      <w:r>
        <w:rPr>
          <w:color w:val="auto"/>
        </w:rPr>
        <w:t>2</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"_Toc115117419" </w:instrText>
      </w:r>
      <w:r>
        <w:rPr>
          <w:color w:val="auto"/>
        </w:rPr>
        <w:fldChar w:fldCharType="separate"/>
      </w:r>
      <w:r>
        <w:rPr>
          <w:rStyle w:val="44"/>
          <w:color w:val="auto"/>
        </w:rPr>
        <w:t>一、投标须知前附表</w:t>
      </w:r>
      <w:r>
        <w:rPr>
          <w:color w:val="auto"/>
        </w:rPr>
        <w:tab/>
      </w:r>
      <w:r>
        <w:rPr>
          <w:color w:val="auto"/>
        </w:rPr>
        <w:fldChar w:fldCharType="begin"/>
      </w:r>
      <w:r>
        <w:rPr>
          <w:color w:val="auto"/>
        </w:rPr>
        <w:instrText xml:space="preserve"> PAGEREF _Toc115117419 \h </w:instrText>
      </w:r>
      <w:r>
        <w:rPr>
          <w:color w:val="auto"/>
        </w:rPr>
        <w:fldChar w:fldCharType="separate"/>
      </w:r>
      <w:r>
        <w:rPr>
          <w:color w:val="auto"/>
        </w:rPr>
        <w:t>2</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"_Toc115117420" </w:instrText>
      </w:r>
      <w:r>
        <w:rPr>
          <w:color w:val="auto"/>
        </w:rPr>
        <w:fldChar w:fldCharType="separate"/>
      </w:r>
      <w:r>
        <w:rPr>
          <w:rStyle w:val="44"/>
          <w:color w:val="auto"/>
        </w:rPr>
        <w:t>二、投标须知修改表</w:t>
      </w:r>
      <w:r>
        <w:rPr>
          <w:color w:val="auto"/>
        </w:rPr>
        <w:tab/>
      </w:r>
      <w:r>
        <w:rPr>
          <w:color w:val="auto"/>
        </w:rPr>
        <w:fldChar w:fldCharType="begin"/>
      </w:r>
      <w:r>
        <w:rPr>
          <w:color w:val="auto"/>
        </w:rPr>
        <w:instrText xml:space="preserve"> PAGEREF _Toc115117420 \h </w:instrText>
      </w:r>
      <w:r>
        <w:rPr>
          <w:color w:val="auto"/>
        </w:rPr>
        <w:fldChar w:fldCharType="separate"/>
      </w:r>
      <w:r>
        <w:rPr>
          <w:color w:val="auto"/>
        </w:rPr>
        <w:t>6</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"_Toc115117421" </w:instrText>
      </w:r>
      <w:r>
        <w:rPr>
          <w:color w:val="auto"/>
        </w:rPr>
        <w:fldChar w:fldCharType="separate"/>
      </w:r>
      <w:r>
        <w:rPr>
          <w:rStyle w:val="44"/>
          <w:color w:val="auto"/>
        </w:rPr>
        <w:t>三、投标须知通用条款</w:t>
      </w:r>
      <w:r>
        <w:rPr>
          <w:color w:val="auto"/>
        </w:rPr>
        <w:tab/>
      </w:r>
      <w:r>
        <w:rPr>
          <w:color w:val="auto"/>
        </w:rPr>
        <w:fldChar w:fldCharType="begin"/>
      </w:r>
      <w:r>
        <w:rPr>
          <w:color w:val="auto"/>
        </w:rPr>
        <w:instrText xml:space="preserve"> PAGEREF _Toc115117421 \h </w:instrText>
      </w:r>
      <w:r>
        <w:rPr>
          <w:color w:val="auto"/>
        </w:rPr>
        <w:fldChar w:fldCharType="separate"/>
      </w:r>
      <w:r>
        <w:rPr>
          <w:color w:val="auto"/>
        </w:rPr>
        <w:t>19</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"_Toc115117422" </w:instrText>
      </w:r>
      <w:r>
        <w:rPr>
          <w:color w:val="auto"/>
        </w:rPr>
        <w:fldChar w:fldCharType="separate"/>
      </w:r>
      <w:r>
        <w:rPr>
          <w:rStyle w:val="44"/>
          <w:color w:val="auto"/>
        </w:rPr>
        <w:t>第二章  开标、评标及定标办法</w:t>
      </w:r>
      <w:r>
        <w:rPr>
          <w:color w:val="auto"/>
        </w:rPr>
        <w:tab/>
      </w:r>
      <w:r>
        <w:rPr>
          <w:color w:val="auto"/>
        </w:rPr>
        <w:fldChar w:fldCharType="begin"/>
      </w:r>
      <w:r>
        <w:rPr>
          <w:color w:val="auto"/>
        </w:rPr>
        <w:instrText xml:space="preserve"> PAGEREF _Toc115117422 \h </w:instrText>
      </w:r>
      <w:r>
        <w:rPr>
          <w:color w:val="auto"/>
        </w:rPr>
        <w:fldChar w:fldCharType="separate"/>
      </w:r>
      <w:r>
        <w:rPr>
          <w:color w:val="auto"/>
        </w:rPr>
        <w:t>32</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"_Toc115117423" </w:instrText>
      </w:r>
      <w:r>
        <w:rPr>
          <w:color w:val="auto"/>
        </w:rPr>
        <w:fldChar w:fldCharType="separate"/>
      </w:r>
      <w:r>
        <w:rPr>
          <w:rStyle w:val="44"/>
          <w:color w:val="auto"/>
        </w:rPr>
        <w:t>一、开标、评标及定标办法修改表</w:t>
      </w:r>
      <w:r>
        <w:rPr>
          <w:color w:val="auto"/>
        </w:rPr>
        <w:tab/>
      </w:r>
      <w:r>
        <w:rPr>
          <w:color w:val="auto"/>
        </w:rPr>
        <w:fldChar w:fldCharType="begin"/>
      </w:r>
      <w:r>
        <w:rPr>
          <w:color w:val="auto"/>
        </w:rPr>
        <w:instrText xml:space="preserve"> PAGEREF _Toc115117423 \h </w:instrText>
      </w:r>
      <w:r>
        <w:rPr>
          <w:color w:val="auto"/>
        </w:rPr>
        <w:fldChar w:fldCharType="separate"/>
      </w:r>
      <w:r>
        <w:rPr>
          <w:color w:val="auto"/>
        </w:rPr>
        <w:t>32</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"_Toc115117424" </w:instrText>
      </w:r>
      <w:r>
        <w:rPr>
          <w:color w:val="auto"/>
        </w:rPr>
        <w:fldChar w:fldCharType="separate"/>
      </w:r>
      <w:r>
        <w:rPr>
          <w:rStyle w:val="44"/>
          <w:color w:val="auto"/>
        </w:rPr>
        <w:t>二、开标、评标及定标办法通用条款</w:t>
      </w:r>
      <w:r>
        <w:rPr>
          <w:color w:val="auto"/>
        </w:rPr>
        <w:tab/>
      </w:r>
      <w:r>
        <w:rPr>
          <w:color w:val="auto"/>
        </w:rPr>
        <w:fldChar w:fldCharType="begin"/>
      </w:r>
      <w:r>
        <w:rPr>
          <w:color w:val="auto"/>
        </w:rPr>
        <w:instrText xml:space="preserve"> PAGEREF _Toc115117424 \h </w:instrText>
      </w:r>
      <w:r>
        <w:rPr>
          <w:color w:val="auto"/>
        </w:rPr>
        <w:fldChar w:fldCharType="separate"/>
      </w:r>
      <w:r>
        <w:rPr>
          <w:color w:val="auto"/>
        </w:rPr>
        <w:t>39</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"_Toc115117425" </w:instrText>
      </w:r>
      <w:r>
        <w:rPr>
          <w:color w:val="auto"/>
        </w:rPr>
        <w:fldChar w:fldCharType="separate"/>
      </w:r>
      <w:r>
        <w:rPr>
          <w:rStyle w:val="44"/>
          <w:color w:val="auto"/>
        </w:rPr>
        <w:t>附表一 资格审查表</w:t>
      </w:r>
      <w:r>
        <w:rPr>
          <w:color w:val="auto"/>
        </w:rPr>
        <w:tab/>
      </w:r>
      <w:r>
        <w:rPr>
          <w:color w:val="auto"/>
        </w:rPr>
        <w:fldChar w:fldCharType="begin"/>
      </w:r>
      <w:r>
        <w:rPr>
          <w:color w:val="auto"/>
        </w:rPr>
        <w:instrText xml:space="preserve"> PAGEREF _Toc115117425 \h </w:instrText>
      </w:r>
      <w:r>
        <w:rPr>
          <w:color w:val="auto"/>
        </w:rPr>
        <w:fldChar w:fldCharType="separate"/>
      </w:r>
      <w:r>
        <w:rPr>
          <w:color w:val="auto"/>
        </w:rPr>
        <w:t>47</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"_Toc115117426" </w:instrText>
      </w:r>
      <w:r>
        <w:rPr>
          <w:color w:val="auto"/>
        </w:rPr>
        <w:fldChar w:fldCharType="separate"/>
      </w:r>
      <w:r>
        <w:rPr>
          <w:rStyle w:val="44"/>
          <w:color w:val="auto"/>
        </w:rPr>
        <w:t>附表二 技术标有效性审查表</w:t>
      </w:r>
      <w:r>
        <w:rPr>
          <w:color w:val="auto"/>
        </w:rPr>
        <w:tab/>
      </w:r>
      <w:r>
        <w:rPr>
          <w:color w:val="auto"/>
        </w:rPr>
        <w:fldChar w:fldCharType="begin"/>
      </w:r>
      <w:r>
        <w:rPr>
          <w:color w:val="auto"/>
        </w:rPr>
        <w:instrText xml:space="preserve"> PAGEREF _Toc115117426 \h </w:instrText>
      </w:r>
      <w:r>
        <w:rPr>
          <w:color w:val="auto"/>
        </w:rPr>
        <w:fldChar w:fldCharType="separate"/>
      </w:r>
      <w:r>
        <w:rPr>
          <w:color w:val="auto"/>
        </w:rPr>
        <w:t>49</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"_Toc115117427" </w:instrText>
      </w:r>
      <w:r>
        <w:rPr>
          <w:color w:val="auto"/>
        </w:rPr>
        <w:fldChar w:fldCharType="separate"/>
      </w:r>
      <w:r>
        <w:rPr>
          <w:rStyle w:val="44"/>
          <w:color w:val="auto"/>
        </w:rPr>
        <w:t>附表三 经济标有效性审查表</w:t>
      </w:r>
      <w:r>
        <w:rPr>
          <w:color w:val="auto"/>
        </w:rPr>
        <w:tab/>
      </w:r>
      <w:r>
        <w:rPr>
          <w:color w:val="auto"/>
        </w:rPr>
        <w:fldChar w:fldCharType="begin"/>
      </w:r>
      <w:r>
        <w:rPr>
          <w:color w:val="auto"/>
        </w:rPr>
        <w:instrText xml:space="preserve"> PAGEREF _Toc115117427 \h </w:instrText>
      </w:r>
      <w:r>
        <w:rPr>
          <w:color w:val="auto"/>
        </w:rPr>
        <w:fldChar w:fldCharType="separate"/>
      </w:r>
      <w:r>
        <w:rPr>
          <w:color w:val="auto"/>
        </w:rPr>
        <w:t>50</w:t>
      </w:r>
      <w:r>
        <w:rPr>
          <w:color w:val="auto"/>
        </w:rPr>
        <w:fldChar w:fldCharType="end"/>
      </w:r>
      <w:r>
        <w:rPr>
          <w:color w:val="auto"/>
        </w:rPr>
        <w:fldChar w:fldCharType="end"/>
      </w:r>
    </w:p>
    <w:p>
      <w:pPr>
        <w:pStyle w:val="18"/>
        <w:tabs>
          <w:tab w:val="right" w:leader="dot" w:pos="9060"/>
        </w:tabs>
        <w:ind w:left="840"/>
        <w:rPr>
          <w:rFonts w:hint="default" w:eastAsia="宋体" w:asciiTheme="minorHAnsi" w:hAnsiTheme="minorHAnsi" w:cstheme="minorBidi"/>
          <w:color w:val="auto"/>
          <w:sz w:val="21"/>
          <w:szCs w:val="22"/>
          <w:lang w:val="en-US" w:eastAsia="zh-CN"/>
        </w:rPr>
      </w:pPr>
      <w:r>
        <w:rPr>
          <w:color w:val="auto"/>
        </w:rPr>
        <w:fldChar w:fldCharType="begin"/>
      </w:r>
      <w:r>
        <w:rPr>
          <w:color w:val="auto"/>
        </w:rPr>
        <w:instrText xml:space="preserve"> HYPERLINK \l "_Toc115117428" </w:instrText>
      </w:r>
      <w:r>
        <w:rPr>
          <w:color w:val="auto"/>
        </w:rPr>
        <w:fldChar w:fldCharType="separate"/>
      </w:r>
      <w:r>
        <w:rPr>
          <w:rStyle w:val="44"/>
          <w:color w:val="auto"/>
        </w:rPr>
        <w:t>附表四 技术标详细审查评分表</w:t>
      </w:r>
      <w:r>
        <w:rPr>
          <w:color w:val="auto"/>
        </w:rPr>
        <w:tab/>
      </w:r>
      <w:r>
        <w:rPr>
          <w:color w:val="auto"/>
        </w:rPr>
        <w:fldChar w:fldCharType="end"/>
      </w:r>
      <w:r>
        <w:rPr>
          <w:rFonts w:hint="eastAsia"/>
          <w:color w:val="auto"/>
          <w:lang w:val="en-US" w:eastAsia="zh-CN"/>
        </w:rPr>
        <w:t>51</w:t>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"_Toc115117429" </w:instrText>
      </w:r>
      <w:r>
        <w:rPr>
          <w:color w:val="auto"/>
        </w:rPr>
        <w:fldChar w:fldCharType="separate"/>
      </w:r>
      <w:r>
        <w:rPr>
          <w:rStyle w:val="44"/>
          <w:color w:val="auto"/>
        </w:rPr>
        <w:t>附表五 经济标评分表</w:t>
      </w:r>
      <w:r>
        <w:rPr>
          <w:color w:val="auto"/>
        </w:rPr>
        <w:tab/>
      </w:r>
      <w:r>
        <w:rPr>
          <w:color w:val="auto"/>
        </w:rPr>
        <w:fldChar w:fldCharType="begin"/>
      </w:r>
      <w:r>
        <w:rPr>
          <w:color w:val="auto"/>
        </w:rPr>
        <w:instrText xml:space="preserve"> PAGEREF _Toc115117429 \h </w:instrText>
      </w:r>
      <w:r>
        <w:rPr>
          <w:color w:val="auto"/>
        </w:rPr>
        <w:fldChar w:fldCharType="separate"/>
      </w:r>
      <w:r>
        <w:rPr>
          <w:color w:val="auto"/>
        </w:rPr>
        <w:t>57</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"_Toc115117430" </w:instrText>
      </w:r>
      <w:r>
        <w:rPr>
          <w:color w:val="auto"/>
        </w:rPr>
        <w:fldChar w:fldCharType="separate"/>
      </w:r>
      <w:r>
        <w:rPr>
          <w:rStyle w:val="44"/>
          <w:color w:val="auto"/>
        </w:rPr>
        <w:t>附表六 算术复核表</w:t>
      </w:r>
      <w:r>
        <w:rPr>
          <w:color w:val="auto"/>
        </w:rPr>
        <w:tab/>
      </w:r>
      <w:r>
        <w:rPr>
          <w:color w:val="auto"/>
        </w:rPr>
        <w:fldChar w:fldCharType="begin"/>
      </w:r>
      <w:r>
        <w:rPr>
          <w:color w:val="auto"/>
        </w:rPr>
        <w:instrText xml:space="preserve"> PAGEREF _Toc115117430 \h </w:instrText>
      </w:r>
      <w:r>
        <w:rPr>
          <w:color w:val="auto"/>
        </w:rPr>
        <w:fldChar w:fldCharType="separate"/>
      </w:r>
      <w:r>
        <w:rPr>
          <w:color w:val="auto"/>
        </w:rPr>
        <w:t>58</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"_Toc115117431" </w:instrText>
      </w:r>
      <w:r>
        <w:rPr>
          <w:color w:val="auto"/>
        </w:rPr>
        <w:fldChar w:fldCharType="separate"/>
      </w:r>
      <w:r>
        <w:rPr>
          <w:rStyle w:val="44"/>
          <w:color w:val="auto"/>
        </w:rPr>
        <w:t>第三章  合同条款</w:t>
      </w:r>
      <w:r>
        <w:rPr>
          <w:color w:val="auto"/>
        </w:rPr>
        <w:tab/>
      </w:r>
      <w:r>
        <w:rPr>
          <w:color w:val="auto"/>
        </w:rPr>
        <w:fldChar w:fldCharType="begin"/>
      </w:r>
      <w:r>
        <w:rPr>
          <w:color w:val="auto"/>
        </w:rPr>
        <w:instrText xml:space="preserve"> PAGEREF _Toc115117431 \h </w:instrText>
      </w:r>
      <w:r>
        <w:rPr>
          <w:color w:val="auto"/>
        </w:rPr>
        <w:fldChar w:fldCharType="separate"/>
      </w:r>
      <w:r>
        <w:rPr>
          <w:color w:val="auto"/>
        </w:rPr>
        <w:t>60</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"_Toc115117432" </w:instrText>
      </w:r>
      <w:r>
        <w:rPr>
          <w:color w:val="auto"/>
        </w:rPr>
        <w:fldChar w:fldCharType="separate"/>
      </w:r>
      <w:r>
        <w:rPr>
          <w:rStyle w:val="44"/>
          <w:color w:val="auto"/>
        </w:rPr>
        <w:t>第四章  投标文件格式</w:t>
      </w:r>
      <w:r>
        <w:rPr>
          <w:color w:val="auto"/>
        </w:rPr>
        <w:tab/>
      </w:r>
      <w:r>
        <w:rPr>
          <w:color w:val="auto"/>
        </w:rPr>
        <w:fldChar w:fldCharType="begin"/>
      </w:r>
      <w:r>
        <w:rPr>
          <w:color w:val="auto"/>
        </w:rPr>
        <w:instrText xml:space="preserve"> PAGEREF _Toc115117432 \h </w:instrText>
      </w:r>
      <w:r>
        <w:rPr>
          <w:color w:val="auto"/>
        </w:rPr>
        <w:fldChar w:fldCharType="separate"/>
      </w:r>
      <w:r>
        <w:rPr>
          <w:color w:val="auto"/>
        </w:rPr>
        <w:t>61</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"_Toc115117433" </w:instrText>
      </w:r>
      <w:r>
        <w:rPr>
          <w:color w:val="auto"/>
        </w:rPr>
        <w:fldChar w:fldCharType="separate"/>
      </w:r>
      <w:r>
        <w:rPr>
          <w:rStyle w:val="44"/>
          <w:color w:val="auto"/>
        </w:rPr>
        <w:t>一、技术标投标文件格式</w:t>
      </w:r>
      <w:r>
        <w:rPr>
          <w:color w:val="auto"/>
        </w:rPr>
        <w:tab/>
      </w:r>
      <w:r>
        <w:rPr>
          <w:color w:val="auto"/>
        </w:rPr>
        <w:fldChar w:fldCharType="begin"/>
      </w:r>
      <w:r>
        <w:rPr>
          <w:color w:val="auto"/>
        </w:rPr>
        <w:instrText xml:space="preserve"> PAGEREF _Toc115117433 \h </w:instrText>
      </w:r>
      <w:r>
        <w:rPr>
          <w:color w:val="auto"/>
        </w:rPr>
        <w:fldChar w:fldCharType="separate"/>
      </w:r>
      <w:r>
        <w:rPr>
          <w:color w:val="auto"/>
        </w:rPr>
        <w:t>61</w:t>
      </w:r>
      <w:r>
        <w:rPr>
          <w:color w:val="auto"/>
        </w:rPr>
        <w:fldChar w:fldCharType="end"/>
      </w:r>
      <w:r>
        <w:rPr>
          <w:color w:val="auto"/>
        </w:rPr>
        <w:fldChar w:fldCharType="end"/>
      </w:r>
    </w:p>
    <w:p>
      <w:pPr>
        <w:pStyle w:val="18"/>
        <w:tabs>
          <w:tab w:val="right" w:leader="dot" w:pos="9060"/>
        </w:tabs>
        <w:ind w:left="84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"_Toc115117434" </w:instrText>
      </w:r>
      <w:r>
        <w:rPr>
          <w:color w:val="auto"/>
        </w:rPr>
        <w:fldChar w:fldCharType="separate"/>
      </w:r>
      <w:r>
        <w:rPr>
          <w:rStyle w:val="44"/>
          <w:color w:val="auto"/>
        </w:rPr>
        <w:t>二、经济标投标文件格式</w:t>
      </w:r>
      <w:r>
        <w:rPr>
          <w:color w:val="auto"/>
        </w:rPr>
        <w:tab/>
      </w:r>
      <w:r>
        <w:rPr>
          <w:color w:val="auto"/>
        </w:rPr>
        <w:fldChar w:fldCharType="begin"/>
      </w:r>
      <w:r>
        <w:rPr>
          <w:color w:val="auto"/>
        </w:rPr>
        <w:instrText xml:space="preserve"> PAGEREF _Toc115117434 \h </w:instrText>
      </w:r>
      <w:r>
        <w:rPr>
          <w:color w:val="auto"/>
        </w:rPr>
        <w:fldChar w:fldCharType="separate"/>
      </w:r>
      <w:r>
        <w:rPr>
          <w:color w:val="auto"/>
        </w:rPr>
        <w:t>72</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"_Toc115117435" </w:instrText>
      </w:r>
      <w:r>
        <w:rPr>
          <w:color w:val="auto"/>
        </w:rPr>
        <w:fldChar w:fldCharType="separate"/>
      </w:r>
      <w:r>
        <w:rPr>
          <w:rStyle w:val="44"/>
          <w:color w:val="auto"/>
        </w:rPr>
        <w:t>第五章  技术条件（工程建设标准）</w:t>
      </w:r>
      <w:r>
        <w:rPr>
          <w:color w:val="auto"/>
        </w:rPr>
        <w:tab/>
      </w:r>
      <w:r>
        <w:rPr>
          <w:color w:val="auto"/>
        </w:rPr>
        <w:fldChar w:fldCharType="begin"/>
      </w:r>
      <w:r>
        <w:rPr>
          <w:color w:val="auto"/>
        </w:rPr>
        <w:instrText xml:space="preserve"> PAGEREF _Toc115117435 \h </w:instrText>
      </w:r>
      <w:r>
        <w:rPr>
          <w:color w:val="auto"/>
        </w:rPr>
        <w:fldChar w:fldCharType="separate"/>
      </w:r>
      <w:r>
        <w:rPr>
          <w:color w:val="auto"/>
        </w:rPr>
        <w:t>77</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"_Toc115117436" </w:instrText>
      </w:r>
      <w:r>
        <w:rPr>
          <w:color w:val="auto"/>
        </w:rPr>
        <w:fldChar w:fldCharType="separate"/>
      </w:r>
      <w:r>
        <w:rPr>
          <w:rStyle w:val="44"/>
          <w:color w:val="auto"/>
        </w:rPr>
        <w:t>第六章  图纸及勘察资料</w:t>
      </w:r>
      <w:r>
        <w:rPr>
          <w:color w:val="auto"/>
        </w:rPr>
        <w:tab/>
      </w:r>
      <w:r>
        <w:rPr>
          <w:color w:val="auto"/>
        </w:rPr>
        <w:fldChar w:fldCharType="begin"/>
      </w:r>
      <w:r>
        <w:rPr>
          <w:color w:val="auto"/>
        </w:rPr>
        <w:instrText xml:space="preserve"> PAGEREF _Toc115117436 \h </w:instrText>
      </w:r>
      <w:r>
        <w:rPr>
          <w:color w:val="auto"/>
        </w:rPr>
        <w:fldChar w:fldCharType="separate"/>
      </w:r>
      <w:r>
        <w:rPr>
          <w:color w:val="auto"/>
        </w:rPr>
        <w:t>78</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"_Toc115117437" </w:instrText>
      </w:r>
      <w:r>
        <w:rPr>
          <w:color w:val="auto"/>
        </w:rPr>
        <w:fldChar w:fldCharType="separate"/>
      </w:r>
      <w:r>
        <w:rPr>
          <w:rStyle w:val="44"/>
          <w:color w:val="auto"/>
        </w:rPr>
        <w:t>第七章  工程量清单</w:t>
      </w:r>
      <w:r>
        <w:rPr>
          <w:color w:val="auto"/>
        </w:rPr>
        <w:tab/>
      </w:r>
      <w:r>
        <w:rPr>
          <w:color w:val="auto"/>
        </w:rPr>
        <w:fldChar w:fldCharType="begin"/>
      </w:r>
      <w:r>
        <w:rPr>
          <w:color w:val="auto"/>
        </w:rPr>
        <w:instrText xml:space="preserve"> PAGEREF _Toc115117437 \h </w:instrText>
      </w:r>
      <w:r>
        <w:rPr>
          <w:color w:val="auto"/>
        </w:rPr>
        <w:fldChar w:fldCharType="separate"/>
      </w:r>
      <w:r>
        <w:rPr>
          <w:color w:val="auto"/>
        </w:rPr>
        <w:t>79</w:t>
      </w:r>
      <w:r>
        <w:rPr>
          <w:color w:val="auto"/>
        </w:rPr>
        <w:fldChar w:fldCharType="end"/>
      </w:r>
      <w:r>
        <w:rPr>
          <w:color w:val="auto"/>
        </w:rPr>
        <w:fldChar w:fldCharType="end"/>
      </w:r>
    </w:p>
    <w:p>
      <w:pPr>
        <w:pStyle w:val="29"/>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"_Toc115117438" </w:instrText>
      </w:r>
      <w:r>
        <w:rPr>
          <w:color w:val="auto"/>
        </w:rPr>
        <w:fldChar w:fldCharType="separate"/>
      </w:r>
      <w:r>
        <w:rPr>
          <w:rStyle w:val="44"/>
          <w:color w:val="auto"/>
        </w:rPr>
        <w:t>第八章  最高投标限价</w:t>
      </w:r>
      <w:r>
        <w:rPr>
          <w:color w:val="auto"/>
        </w:rPr>
        <w:tab/>
      </w:r>
      <w:r>
        <w:rPr>
          <w:color w:val="auto"/>
        </w:rPr>
        <w:fldChar w:fldCharType="begin"/>
      </w:r>
      <w:r>
        <w:rPr>
          <w:color w:val="auto"/>
        </w:rPr>
        <w:instrText xml:space="preserve"> PAGEREF _Toc115117438 \h </w:instrText>
      </w:r>
      <w:r>
        <w:rPr>
          <w:color w:val="auto"/>
        </w:rPr>
        <w:fldChar w:fldCharType="separate"/>
      </w:r>
      <w:r>
        <w:rPr>
          <w:color w:val="auto"/>
        </w:rPr>
        <w:t>79</w:t>
      </w:r>
      <w:r>
        <w:rPr>
          <w:color w:val="auto"/>
        </w:rPr>
        <w:fldChar w:fldCharType="end"/>
      </w:r>
      <w:r>
        <w:rPr>
          <w:color w:val="auto"/>
        </w:rPr>
        <w:fldChar w:fldCharType="end"/>
      </w:r>
    </w:p>
    <w:p>
      <w:pPr>
        <w:widowControl/>
        <w:jc w:val="left"/>
        <w:rPr>
          <w:rFonts w:ascii="Arial" w:hAnsi="Arial"/>
          <w:b/>
          <w:color w:val="auto"/>
          <w:sz w:val="24"/>
          <w:szCs w:val="24"/>
        </w:rPr>
      </w:pPr>
      <w:r>
        <w:rPr>
          <w:color w:val="auto"/>
        </w:rPr>
        <w:fldChar w:fldCharType="end"/>
      </w:r>
      <w:r>
        <w:rPr>
          <w:color w:val="auto"/>
        </w:rPr>
        <w:br w:type="page"/>
      </w:r>
    </w:p>
    <w:bookmarkEnd w:id="2"/>
    <w:p>
      <w:pPr>
        <w:pStyle w:val="4"/>
        <w:rPr>
          <w:rFonts w:hint="eastAsia" w:ascii="宋体" w:hAnsi="宋体" w:cs="宋体"/>
          <w:color w:val="auto"/>
          <w:highlight w:val="none"/>
        </w:rPr>
      </w:pPr>
      <w:bookmarkStart w:id="3" w:name="_Toc115117418"/>
      <w:r>
        <w:rPr>
          <w:rFonts w:hint="eastAsia" w:ascii="宋体" w:hAnsi="宋体" w:cs="宋体"/>
          <w:color w:val="auto"/>
          <w:highlight w:val="none"/>
        </w:rPr>
        <w:t>第一章投标须知</w:t>
      </w:r>
      <w:bookmarkEnd w:id="3"/>
    </w:p>
    <w:p>
      <w:pPr>
        <w:pStyle w:val="5"/>
        <w:rPr>
          <w:rFonts w:hint="eastAsia"/>
          <w:color w:val="auto"/>
          <w:highlight w:val="none"/>
        </w:rPr>
      </w:pPr>
      <w:bookmarkStart w:id="4" w:name="_Toc2272546"/>
      <w:bookmarkEnd w:id="4"/>
      <w:bookmarkStart w:id="5" w:name="_Toc115117419"/>
      <w:r>
        <w:rPr>
          <w:rFonts w:hint="eastAsia"/>
          <w:color w:val="auto"/>
          <w:highlight w:val="none"/>
        </w:rPr>
        <w:t>一、投标须知前附表</w:t>
      </w:r>
      <w:bookmarkEnd w:id="5"/>
    </w:p>
    <w:p>
      <w:pPr>
        <w:pStyle w:val="12"/>
        <w:keepNext w:val="0"/>
        <w:keepLines w:val="0"/>
        <w:pageBreakBefore w:val="0"/>
        <w:kinsoku/>
        <w:wordWrap/>
        <w:overflowPunct/>
        <w:topLinePunct w:val="0"/>
        <w:autoSpaceDE/>
        <w:autoSpaceDN/>
        <w:bidi w:val="0"/>
        <w:adjustRightInd/>
        <w:snapToGrid/>
        <w:spacing w:line="288" w:lineRule="auto"/>
        <w:ind w:firstLine="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3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61"/>
        <w:gridCol w:w="6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661" w:type="dxa"/>
            <w:tcBorders>
              <w:top w:val="doub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6191" w:type="dxa"/>
            <w:tcBorders>
              <w:top w:val="double" w:color="auto" w:sz="4" w:space="0"/>
              <w:left w:val="single" w:color="auto" w:sz="4" w:space="0"/>
              <w:bottom w:val="single" w:color="auto" w:sz="4" w:space="0"/>
              <w:right w:val="double" w:color="auto" w:sz="4" w:space="0"/>
            </w:tcBorders>
            <w:vAlign w:val="center"/>
          </w:tcPr>
          <w:p>
            <w:pPr>
              <w:pStyle w:val="20"/>
              <w:keepNext w:val="0"/>
              <w:keepLines w:val="0"/>
              <w:pageBreakBefore w:val="0"/>
              <w:kinsoku/>
              <w:wordWrap/>
              <w:overflowPunct/>
              <w:topLinePunct w:val="0"/>
              <w:autoSpaceDE/>
              <w:autoSpaceDN/>
              <w:bidi w:val="0"/>
              <w:adjustRightInd/>
              <w:snapToGrid w:val="0"/>
              <w:spacing w:line="264" w:lineRule="auto"/>
              <w:ind w:firstLine="458"/>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广州市天壹实业有限公司</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val="en-US" w:eastAsia="zh-CN"/>
              </w:rPr>
              <w:t>广东省建筑工程监理有限公司</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eastAsia="zh-CN"/>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lang w:val="en-US" w:eastAsia="zh-CN"/>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single"/>
                <w:lang w:eastAsia="zh-CN"/>
              </w:rPr>
              <w:t>悦海酒店东楼加固和修复改造工程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single"/>
              </w:rPr>
              <w:t>包工、包料、包工期、包质量、包安全、包文明施工、包验收。包组织实施工作和资料整理、包施工范围内的管理和现场整体组织、包专业协调及配合、包承包人应当购买的保险、包竣工图编制（须满足规划等各专项验收要求）等，综合单价包干、措施费项目包干（专用条款另有约定的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u w:val="single"/>
              </w:rPr>
              <w:t>暂定</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（具体以经批复的开工文件为准）</w:t>
            </w:r>
            <w:r>
              <w:rPr>
                <w:rFonts w:hint="eastAsia" w:ascii="宋体" w:hAnsi="宋体" w:cs="宋体"/>
                <w:b/>
                <w:bCs/>
                <w:color w:val="auto"/>
                <w:szCs w:val="21"/>
                <w:highlight w:val="none"/>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施工总工期：</w:t>
            </w:r>
            <w:r>
              <w:rPr>
                <w:rFonts w:hint="eastAsia" w:ascii="宋体" w:hAnsi="宋体" w:cs="宋体"/>
                <w:b/>
                <w:bCs/>
                <w:color w:val="auto"/>
                <w:szCs w:val="21"/>
                <w:highlight w:val="none"/>
                <w:u w:val="single"/>
                <w:lang w:val="en-US" w:eastAsia="zh-CN"/>
              </w:rPr>
              <w:t>4</w:t>
            </w:r>
            <w:r>
              <w:rPr>
                <w:rFonts w:hint="eastAsia" w:ascii="宋体" w:hAnsi="宋体" w:cs="宋体"/>
                <w:b/>
                <w:bCs/>
                <w:color w:val="auto"/>
                <w:szCs w:val="21"/>
                <w:highlight w:val="none"/>
                <w:lang w:val="en-US" w:eastAsia="zh-CN"/>
              </w:rPr>
              <w:t>个月</w:t>
            </w:r>
            <w:r>
              <w:rPr>
                <w:rFonts w:hint="eastAsia" w:ascii="宋体" w:hAnsi="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4.1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13.1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工程量清单计价，按国家、省有关计价规范执行。纳入年度审计项目计划的政府投资项目，审计机关出具的审计结果应当作为该政府投资项目价款结算的依据（适用于纳入年度审计项目计划的项目）。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15.1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16.1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191"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□要求</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具体要求为：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highlight w:val="none"/>
              </w:rPr>
            </w:pPr>
            <w:r>
              <w:rPr>
                <w:rFonts w:hint="eastAsia" w:ascii="宋体" w:hAnsi="宋体" w:cs="宋体"/>
                <w:color w:val="auto"/>
                <w:szCs w:val="21"/>
                <w:highlight w:val="none"/>
              </w:rPr>
              <w:t>☑不要求</w:t>
            </w:r>
            <w:r>
              <w:rPr>
                <w:rStyle w:val="137"/>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5</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191" w:type="dxa"/>
            <w:tcBorders>
              <w:top w:val="single" w:color="auto" w:sz="4" w:space="0"/>
              <w:left w:val="single" w:color="auto" w:sz="4" w:space="0"/>
              <w:bottom w:val="single" w:color="auto" w:sz="4" w:space="0"/>
              <w:right w:val="double" w:color="auto" w:sz="4" w:space="0"/>
            </w:tcBorders>
            <w:vAlign w:val="center"/>
          </w:tcPr>
          <w:p>
            <w:pPr>
              <w:pStyle w:val="20"/>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投标人自行踏勘 ，投标人不进行踏勘的，视为已熟知现场条件，自行承担相关风险</w:t>
            </w:r>
            <w:r>
              <w:rPr>
                <w:rFonts w:hint="eastAsia" w:ascii="宋体" w:hAnsi="宋体" w:cs="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8</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(在递交投标文件截止日期前18日)见本项目日程安排</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3.招标人澄清、修补或答疑期限：在递交投标文件截止日期前15 日</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4.网上答疑的相关事项详见招标文件8.1、8.2款。</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u w:val="single"/>
              </w:rPr>
              <w:t>广州公共资源交易中心网站(http:/ www.gzggzy.cn)服务指南栏目</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strike/>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keepNext w:val="0"/>
              <w:keepLines w:val="0"/>
              <w:pageBreakBefore w:val="0"/>
              <w:kinsoku/>
              <w:wordWrap/>
              <w:overflowPunct/>
              <w:topLinePunct w:val="0"/>
              <w:autoSpaceDE/>
              <w:autoSpaceDN/>
              <w:bidi w:val="0"/>
              <w:adjustRightInd/>
              <w:snapToGrid w:val="0"/>
              <w:spacing w:line="264" w:lineRule="auto"/>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广州公共资源交易中心第  开标室。</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eastAsia="宋体" w:cs="宋体"/>
                <w:b/>
                <w:bCs/>
                <w:color w:val="auto"/>
                <w:kern w:val="0"/>
                <w:sz w:val="21"/>
                <w:szCs w:val="21"/>
                <w:highlight w:val="none"/>
                <w:u w:val="single"/>
                <w:lang w:val="en-US" w:eastAsia="zh-CN"/>
              </w:rPr>
              <w:t>广州公共资源交易中心-服务指南-操作手册</w:t>
            </w:r>
            <w:r>
              <w:rPr>
                <w:rFonts w:hint="eastAsia" w:ascii="宋体" w:hAnsi="宋体" w:eastAsia="宋体" w:cs="宋体"/>
                <w:b/>
                <w:bCs/>
                <w:color w:val="auto"/>
                <w:kern w:val="0"/>
                <w:sz w:val="21"/>
                <w:szCs w:val="21"/>
                <w:highlight w:val="none"/>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广州公共资源交易中心第  开标室</w:t>
            </w:r>
            <w:r>
              <w:rPr>
                <w:rFonts w:hint="eastAsia" w:ascii="宋体" w:hAnsi="宋体" w:cs="宋体"/>
                <w:color w:val="auto"/>
                <w:highlight w:val="none"/>
              </w:rPr>
              <w:t>。(建议安排在投标文件截止时间前15分钟至投标文件截止时间）</w:t>
            </w:r>
          </w:p>
          <w:p>
            <w:pPr>
              <w:keepNext w:val="0"/>
              <w:keepLines w:val="0"/>
              <w:pageBreakBefore w:val="0"/>
              <w:widowControl/>
              <w:kinsoku/>
              <w:wordWrap/>
              <w:overflowPunct/>
              <w:topLinePunct w:val="0"/>
              <w:autoSpaceDE/>
              <w:autoSpaceDN/>
              <w:bidi w:val="0"/>
              <w:adjustRightInd/>
              <w:snapToGrid w:val="0"/>
              <w:spacing w:line="264" w:lineRule="auto"/>
              <w:jc w:val="left"/>
              <w:textAlignment w:val="auto"/>
              <w:rPr>
                <w:rFonts w:hint="eastAsia" w:ascii="宋体" w:hAnsi="宋体" w:cs="宋体"/>
                <w:color w:val="auto"/>
                <w:szCs w:val="21"/>
                <w:highlight w:val="none"/>
              </w:rPr>
            </w:pPr>
            <w:r>
              <w:rPr>
                <w:rFonts w:hint="eastAsia" w:ascii="宋体" w:hAnsi="宋体" w:cs="宋体"/>
                <w:color w:val="auto"/>
                <w:highlight w:val="none"/>
              </w:rPr>
              <w:t>上述时间及地点</w:t>
            </w:r>
            <w:r>
              <w:rPr>
                <w:rFonts w:hint="eastAsia" w:ascii="宋体" w:hAnsi="宋体" w:cs="宋体"/>
                <w:color w:val="auto"/>
                <w:szCs w:val="21"/>
                <w:highlight w:val="none"/>
              </w:rPr>
              <w:t>是否</w:t>
            </w:r>
            <w:r>
              <w:rPr>
                <w:rFonts w:hint="eastAsia" w:ascii="宋体" w:hAnsi="宋体" w:cs="宋体"/>
                <w:color w:val="auto"/>
                <w:highlight w:val="none"/>
              </w:rPr>
              <w:t>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26</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6191" w:type="dxa"/>
            <w:tcBorders>
              <w:top w:val="single" w:color="auto" w:sz="4" w:space="0"/>
              <w:left w:val="single" w:color="auto" w:sz="4" w:space="0"/>
              <w:bottom w:val="single" w:color="auto" w:sz="4" w:space="0"/>
              <w:right w:val="double" w:color="auto" w:sz="4" w:space="0"/>
            </w:tcBorders>
            <w:vAlign w:val="center"/>
          </w:tcPr>
          <w:p>
            <w:pPr>
              <w:pStyle w:val="15"/>
              <w:keepNext w:val="0"/>
              <w:keepLines w:val="0"/>
              <w:pageBreakBefore w:val="0"/>
              <w:kinsoku/>
              <w:wordWrap/>
              <w:overflowPunct/>
              <w:topLinePunct w:val="0"/>
              <w:autoSpaceDE/>
              <w:autoSpaceDN/>
              <w:bidi w:val="0"/>
              <w:adjustRightInd/>
              <w:snapToGrid w:val="0"/>
              <w:spacing w:after="0" w:line="264" w:lineRule="auto"/>
              <w:ind w:right="-153" w:rightChars="-73"/>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方式一：选取办法七（适合综合评分法四，技术标与经济标同时开启）。</w:t>
            </w:r>
          </w:p>
          <w:p>
            <w:pPr>
              <w:pStyle w:val="15"/>
              <w:keepNext w:val="0"/>
              <w:keepLines w:val="0"/>
              <w:pageBreakBefore w:val="0"/>
              <w:kinsoku/>
              <w:wordWrap/>
              <w:overflowPunct/>
              <w:topLinePunct w:val="0"/>
              <w:autoSpaceDE/>
              <w:autoSpaceDN/>
              <w:bidi w:val="0"/>
              <w:adjustRightInd/>
              <w:snapToGrid w:val="0"/>
              <w:spacing w:after="0" w:line="264" w:lineRule="auto"/>
              <w:ind w:right="-53" w:rightChars="-25"/>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投标人总得分=技术得分（满分20分）＋经济得分（满分100分）×经济得分权重（80%）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29.1</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highlight w:val="none"/>
              </w:rPr>
            </w:pPr>
            <w:r>
              <w:rPr>
                <w:rFonts w:hint="eastAsia" w:ascii="宋体" w:hAnsi="宋体" w:cs="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本项目最高投标限价为人民币</w:t>
            </w:r>
            <w:r>
              <w:rPr>
                <w:rFonts w:hint="eastAsia" w:ascii="宋体" w:hAnsi="宋体" w:cs="宋体"/>
                <w:color w:val="auto"/>
                <w:sz w:val="21"/>
                <w:szCs w:val="21"/>
                <w:highlight w:val="none"/>
                <w:u w:val="single"/>
                <w:lang w:val="en-US" w:eastAsia="zh-CN"/>
              </w:rPr>
              <w:t>9584905.81</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本项目绿色施工安全防护措施费为</w:t>
            </w:r>
            <w:r>
              <w:rPr>
                <w:rFonts w:hint="eastAsia" w:ascii="宋体" w:hAnsi="宋体" w:eastAsia="宋体" w:cs="宋体"/>
                <w:i w:val="0"/>
                <w:iCs w:val="0"/>
                <w:color w:val="auto"/>
                <w:kern w:val="0"/>
                <w:sz w:val="21"/>
                <w:szCs w:val="21"/>
                <w:highlight w:val="none"/>
                <w:u w:val="single"/>
                <w:lang w:val="en-US" w:eastAsia="zh-CN" w:bidi="ar"/>
              </w:rPr>
              <w:t>575388.38</w:t>
            </w:r>
            <w:r>
              <w:rPr>
                <w:rFonts w:hint="eastAsia" w:ascii="宋体" w:hAnsi="宋体" w:cs="宋体"/>
                <w:color w:val="auto"/>
                <w:sz w:val="21"/>
                <w:szCs w:val="21"/>
                <w:highlight w:val="none"/>
              </w:rPr>
              <w:t>元，暂列金额为</w:t>
            </w:r>
            <w:r>
              <w:rPr>
                <w:rFonts w:hint="eastAsia" w:ascii="宋体" w:hAnsi="宋体" w:cs="宋体"/>
                <w:color w:val="auto"/>
                <w:sz w:val="21"/>
                <w:szCs w:val="21"/>
                <w:highlight w:val="none"/>
                <w:u w:val="single"/>
                <w:lang w:val="en-US" w:eastAsia="zh-CN"/>
              </w:rPr>
              <w:t xml:space="preserve"> 699419.29</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暂估价为</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wordWrap/>
              <w:overflowPunct/>
              <w:topLinePunct w:val="0"/>
              <w:autoSpaceDE/>
              <w:autoSpaceDN/>
              <w:bidi w:val="0"/>
              <w:adjustRightInd/>
              <w:snapToGrid w:val="0"/>
              <w:spacing w:line="264" w:lineRule="auto"/>
              <w:ind w:firstLine="0"/>
              <w:textAlignment w:val="auto"/>
              <w:rPr>
                <w:rFonts w:hint="eastAsia" w:ascii="宋体" w:hAnsi="宋体" w:cs="宋体"/>
                <w:color w:val="auto"/>
                <w:szCs w:val="21"/>
                <w:highlight w:val="none"/>
              </w:rPr>
            </w:pPr>
            <w:r>
              <w:rPr>
                <w:rFonts w:hint="eastAsia" w:ascii="宋体" w:hAnsi="宋体" w:cs="宋体"/>
                <w:color w:val="auto"/>
                <w:szCs w:val="21"/>
                <w:highlight w:val="none"/>
              </w:rPr>
              <w:t>保修期</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工程成本警戒价为</w:t>
            </w:r>
            <w:r>
              <w:rPr>
                <w:rFonts w:hint="eastAsia" w:ascii="宋体" w:hAnsi="宋体" w:cs="宋体"/>
                <w:color w:val="auto"/>
                <w:sz w:val="21"/>
                <w:szCs w:val="21"/>
                <w:highlight w:val="none"/>
                <w:u w:val="single"/>
                <w:lang w:val="en-US" w:eastAsia="zh-CN"/>
              </w:rPr>
              <w:t>9105660.52</w:t>
            </w:r>
            <w:r>
              <w:rPr>
                <w:rFonts w:hint="eastAsia" w:ascii="宋体" w:hAnsi="宋体" w:eastAsia="宋体" w:cs="宋体"/>
                <w:color w:val="auto"/>
                <w:sz w:val="21"/>
                <w:szCs w:val="21"/>
                <w:highlight w:val="none"/>
              </w:rPr>
              <w:t>元（按招标控制价的</w:t>
            </w:r>
            <w:r>
              <w:rPr>
                <w:rFonts w:hint="eastAsia" w:ascii="宋体" w:hAnsi="宋体" w:eastAsia="宋体" w:cs="宋体"/>
                <w:color w:val="auto"/>
                <w:sz w:val="21"/>
                <w:szCs w:val="21"/>
                <w:highlight w:val="none"/>
                <w:u w:val="none"/>
              </w:rPr>
              <w:t>9</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设置）</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提供相关证明材料。投标人不能合理说明或者不能提供相关证明材料的，由评标委员会认定该投标人以低于成本报价竞标，应当否决其投标。</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non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ind w:firstLine="458"/>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bCs/>
                <w:color w:val="auto"/>
                <w:szCs w:val="21"/>
                <w:highlight w:val="non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zh-CN"/>
              </w:rPr>
              <w:t>建设工程质量检测</w:t>
            </w:r>
            <w:r>
              <w:rPr>
                <w:rFonts w:hint="eastAsia" w:ascii="宋体" w:hAnsi="宋体" w:cs="宋体"/>
                <w:color w:val="auto"/>
                <w:kern w:val="0"/>
                <w:szCs w:val="21"/>
                <w:highlight w:val="none"/>
                <w:lang w:val="en-US" w:eastAsia="zh-CN"/>
              </w:rPr>
              <w:t>单位</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Cs w:val="21"/>
                <w:highlight w:val="none"/>
                <w:lang w:val="zh-CN"/>
              </w:rPr>
            </w:pPr>
            <w:r>
              <w:rPr>
                <w:rFonts w:hint="eastAsia" w:ascii="宋体" w:hAnsi="宋体" w:cs="宋体"/>
                <w:color w:val="auto"/>
                <w:kern w:val="0"/>
                <w:sz w:val="24"/>
                <w:highlight w:val="none"/>
              </w:rPr>
              <w:t>■</w:t>
            </w:r>
            <w:r>
              <w:rPr>
                <w:rFonts w:hint="eastAsia" w:ascii="宋体" w:hAnsi="宋体" w:cs="宋体"/>
                <w:color w:val="auto"/>
                <w:kern w:val="0"/>
                <w:szCs w:val="21"/>
                <w:highlight w:val="none"/>
                <w:lang w:val="zh-CN"/>
              </w:rPr>
              <w:t>不允许；</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Cs w:val="21"/>
                <w:highlight w:val="none"/>
                <w:lang w:val="zh-CN"/>
              </w:rPr>
              <w:t>□允许：</w:t>
            </w:r>
            <w:r>
              <w:rPr>
                <w:rFonts w:hint="eastAsia" w:ascii="宋体" w:hAnsi="宋体" w:cs="宋体"/>
                <w:color w:val="auto"/>
                <w:kern w:val="0"/>
                <w:sz w:val="21"/>
                <w:szCs w:val="21"/>
                <w:highlight w:val="none"/>
                <w:lang w:val="zh-CN"/>
              </w:rPr>
              <w:t>分包内容要要求：</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zh-CN"/>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分包金额要求：</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zh-CN"/>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对分包人的资质要求：</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zh-CN"/>
              </w:rPr>
              <w:t>。</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kern w:val="0"/>
                <w:szCs w:val="21"/>
                <w:highlight w:val="none"/>
                <w:lang w:val="zh-CN"/>
              </w:rPr>
            </w:pPr>
            <w:r>
              <w:rPr>
                <w:rFonts w:hint="eastAsia" w:ascii="宋体" w:hAnsi="宋体" w:cs="宋体"/>
                <w:color w:val="auto"/>
                <w:kern w:val="0"/>
                <w:sz w:val="21"/>
                <w:szCs w:val="21"/>
                <w:highlight w:val="none"/>
                <w:lang w:val="zh-CN"/>
              </w:rPr>
              <w:t xml:space="preserve">     对分包人的其他要求：</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广州公共资源交易中心网站(http:/ www.gzggzy.cn)服务指南栏目</w:t>
            </w:r>
            <w:r>
              <w:rPr>
                <w:rFonts w:hint="eastAsia" w:ascii="宋体" w:hAnsi="宋体" w:cs="宋体"/>
                <w:color w:val="auto"/>
                <w:szCs w:val="21"/>
                <w:highlight w:val="none"/>
              </w:rPr>
              <w:t xml:space="preserve">。  </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cs="宋体"/>
                <w:b/>
                <w:color w:val="auto"/>
                <w:szCs w:val="21"/>
                <w:highlight w:val="none"/>
              </w:rPr>
              <w:t>密封袋上应写明项目名称和招标人名称。</w:t>
            </w:r>
            <w:r>
              <w:rPr>
                <w:rFonts w:hint="eastAsia" w:ascii="宋体" w:hAnsi="宋体" w:cs="宋体"/>
                <w:color w:val="auto"/>
                <w:szCs w:val="21"/>
                <w:highlight w:val="none"/>
              </w:rPr>
              <w:t>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3、补救方案</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b/>
                <w:bCs/>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cs="宋体"/>
                <w:b/>
                <w:bCs/>
                <w:color w:val="auto"/>
                <w:szCs w:val="21"/>
                <w:highlight w:val="none"/>
              </w:rPr>
              <w:t>因投标人之外原因解密失败且未递交电子光盘的，视为撤回投标文件。</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u w:val="single"/>
              </w:rPr>
              <w:t>招标人拒绝接收投标文件备用光盘的情况</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r>
              <w:rPr>
                <w:rFonts w:hint="eastAsia" w:ascii="宋体" w:hAnsi="宋体" w:cs="宋体"/>
                <w:color w:val="auto"/>
                <w:szCs w:val="21"/>
                <w:highlight w:val="none"/>
              </w:rPr>
              <w:t>工人工资支付专用帐户</w:t>
            </w:r>
          </w:p>
        </w:tc>
        <w:tc>
          <w:tcPr>
            <w:tcW w:w="6191"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9</w:t>
            </w:r>
          </w:p>
        </w:tc>
        <w:tc>
          <w:tcPr>
            <w:tcW w:w="981" w:type="dxa"/>
            <w:tcBorders>
              <w:top w:val="single" w:color="auto" w:sz="4" w:space="0"/>
              <w:left w:val="single" w:color="auto" w:sz="4" w:space="0"/>
              <w:bottom w:val="doub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highlight w:val="none"/>
              </w:rPr>
            </w:pPr>
          </w:p>
        </w:tc>
        <w:tc>
          <w:tcPr>
            <w:tcW w:w="1661" w:type="dxa"/>
            <w:tcBorders>
              <w:top w:val="single" w:color="auto" w:sz="4" w:space="0"/>
              <w:left w:val="single" w:color="auto" w:sz="4" w:space="0"/>
              <w:bottom w:val="doub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中标候选人公示后中标单位提交投标文件要求</w:t>
            </w:r>
          </w:p>
        </w:tc>
        <w:tc>
          <w:tcPr>
            <w:tcW w:w="6191" w:type="dxa"/>
            <w:tcBorders>
              <w:top w:val="single" w:color="auto" w:sz="4" w:space="0"/>
              <w:left w:val="single" w:color="auto" w:sz="4" w:space="0"/>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中标单位在中标候选人公示结束后三个工作日内分别提交4套与电子投标文件内容完全一致的纸质版投标文件（含经济标单价分析）及经济标报价套价软件版和Microsoft Excel版电子文件光盘。</w:t>
            </w:r>
          </w:p>
        </w:tc>
      </w:tr>
    </w:tbl>
    <w:p>
      <w:pPr>
        <w:pStyle w:val="5"/>
        <w:rPr>
          <w:rFonts w:hint="eastAsia"/>
          <w:color w:val="auto"/>
          <w:highlight w:val="none"/>
        </w:rPr>
      </w:pPr>
      <w:bookmarkStart w:id="6" w:name="_Toc2272547"/>
      <w:bookmarkEnd w:id="6"/>
      <w:r>
        <w:rPr>
          <w:rFonts w:hint="eastAsia"/>
          <w:color w:val="auto"/>
          <w:highlight w:val="none"/>
        </w:rPr>
        <w:br w:type="page"/>
      </w:r>
      <w:bookmarkStart w:id="7" w:name="_Toc115117420"/>
      <w:r>
        <w:rPr>
          <w:rFonts w:hint="eastAsia"/>
          <w:color w:val="auto"/>
          <w:highlight w:val="none"/>
        </w:rPr>
        <w:t>二、投标须知修改表</w:t>
      </w:r>
      <w:bookmarkEnd w:id="7"/>
    </w:p>
    <w:p>
      <w:pPr>
        <w:pStyle w:val="34"/>
        <w:pBdr>
          <w:bottom w:val="single" w:color="auto" w:sz="6" w:space="1"/>
        </w:pBd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pStyle w:val="6"/>
        <w:ind w:firstLine="384" w:firstLineChars="182"/>
        <w:rPr>
          <w:rFonts w:hint="eastAsia" w:cs="宋体"/>
          <w:color w:val="auto"/>
          <w:sz w:val="21"/>
          <w:highlight w:val="none"/>
        </w:rPr>
      </w:pPr>
      <w:r>
        <w:rPr>
          <w:rFonts w:hint="eastAsia" w:cs="宋体"/>
          <w:color w:val="auto"/>
          <w:sz w:val="21"/>
          <w:highlight w:val="none"/>
        </w:rPr>
        <w:t>条款号: 2.5</w:t>
      </w:r>
      <w:r>
        <w:rPr>
          <w:rFonts w:hint="eastAsia" w:cs="宋体"/>
          <w:color w:val="auto"/>
          <w:sz w:val="21"/>
          <w:highlight w:val="none"/>
          <w:lang w:val="en-US" w:eastAsia="zh-CN"/>
        </w:rPr>
        <w:t xml:space="preserve">     </w:t>
      </w:r>
      <w:r>
        <w:rPr>
          <w:rFonts w:hint="eastAsia" w:cs="宋体"/>
          <w:color w:val="auto"/>
          <w:sz w:val="21"/>
          <w:highlight w:val="none"/>
        </w:rPr>
        <w:t>修改类型：增加</w:t>
      </w:r>
    </w:p>
    <w:p>
      <w:pPr>
        <w:pStyle w:val="34"/>
        <w:pBdr>
          <w:bottom w:val="single" w:color="auto" w:sz="6" w:space="1"/>
        </w:pBdr>
        <w:spacing w:after="0" w:line="360" w:lineRule="auto"/>
        <w:ind w:firstLine="411" w:firstLineChars="195"/>
        <w:rPr>
          <w:rFonts w:hint="eastAsia"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b/>
          <w:bCs/>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pStyle w:val="6"/>
        <w:ind w:firstLine="489" w:firstLineChars="232"/>
        <w:rPr>
          <w:rFonts w:hint="eastAsia" w:cs="宋体"/>
          <w:color w:val="auto"/>
          <w:sz w:val="21"/>
          <w:highlight w:val="none"/>
        </w:rPr>
      </w:pPr>
      <w:r>
        <w:rPr>
          <w:rFonts w:hint="eastAsia" w:cs="宋体"/>
          <w:color w:val="auto"/>
          <w:sz w:val="21"/>
          <w:highlight w:val="none"/>
        </w:rPr>
        <w:t>条款号: 5.1</w:t>
      </w:r>
      <w:r>
        <w:rPr>
          <w:rFonts w:hint="eastAsia" w:cs="宋体"/>
          <w:color w:val="auto"/>
          <w:sz w:val="21"/>
          <w:highlight w:val="none"/>
          <w:lang w:val="en-US" w:eastAsia="zh-CN"/>
        </w:rPr>
        <w:t xml:space="preserve">    </w:t>
      </w:r>
      <w:r>
        <w:rPr>
          <w:rFonts w:hint="eastAsia" w:cs="宋体"/>
          <w:color w:val="auto"/>
          <w:sz w:val="21"/>
          <w:highlight w:val="none"/>
        </w:rPr>
        <w:t>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条款号：7.1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原文：7.1 </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第一章投标须知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第二章开标、评标及定标办法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第三章合同条款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第四章投标文件格式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第五章技术条件（工程建设标准）（另册）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第六章图纸及勘察资料</w:t>
      </w:r>
      <w:bookmarkStart w:id="8" w:name="_Hlk48663595"/>
      <w:r>
        <w:rPr>
          <w:rFonts w:hint="eastAsia" w:ascii="宋体" w:hAnsi="宋体" w:cs="宋体"/>
          <w:color w:val="auto"/>
          <w:szCs w:val="21"/>
          <w:highlight w:val="none"/>
        </w:rPr>
        <w:t>（另册）</w:t>
      </w:r>
      <w:bookmarkEnd w:id="8"/>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第八章最高投标限价</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现文：7.1</w:t>
      </w:r>
      <w:r>
        <w:rPr>
          <w:rFonts w:hint="eastAsia" w:ascii="宋体" w:hAnsi="宋体" w:cs="宋体"/>
          <w:color w:val="auto"/>
          <w:szCs w:val="21"/>
          <w:highlight w:val="none"/>
        </w:rPr>
        <w:t>本招标文件包括下列文件，以及所有按本须知第8条发出的</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和按本须知第9条发出的澄清或修改：</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第一章投标须知</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第二章开标、评标及定标办法</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第三章合同条款</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第四章投标文件格式</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第五章技术条件（工程建设标准）</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第六章图纸及勘察资料（另册）</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rPr>
        <w:t>第七章招标工程量清单（另册）</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第八章最高投标限价（另册）</w:t>
      </w:r>
    </w:p>
    <w:p>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color w:val="auto"/>
          <w:szCs w:val="21"/>
          <w:highlight w:val="none"/>
          <w:u w:val="single"/>
        </w:rPr>
        <w:t>注：招标人应在技术条件（工程建设标准）中明确施工现场建筑垃圾源头减量的具体要求和建筑垃圾综合利用产品的使用要求。</w:t>
      </w:r>
    </w:p>
    <w:p>
      <w:pPr>
        <w:pStyle w:val="34"/>
        <w:spacing w:after="0"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8.1</w:t>
      </w:r>
      <w:r>
        <w:rPr>
          <w:rFonts w:hint="eastAsia" w:ascii="宋体" w:hAnsi="宋体" w:cs="宋体"/>
          <w:b/>
          <w:bCs/>
          <w:color w:val="auto"/>
          <w:szCs w:val="21"/>
          <w:highlight w:val="none"/>
          <w:lang w:val="en-US" w:eastAsia="zh-CN"/>
        </w:rPr>
        <w:t xml:space="preserve">   </w:t>
      </w:r>
      <w:r>
        <w:rPr>
          <w:rFonts w:hint="eastAsia" w:ascii="宋体" w:hAnsi="宋体" w:cs="宋体"/>
          <w:b/>
          <w:color w:val="auto"/>
          <w:szCs w:val="21"/>
          <w:highlight w:val="none"/>
        </w:rPr>
        <w:t>修改类型：修改</w:t>
      </w:r>
    </w:p>
    <w:p>
      <w:pPr>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pStyle w:val="6"/>
        <w:ind w:firstLine="489" w:firstLineChars="232"/>
        <w:rPr>
          <w:rFonts w:hint="eastAsia" w:cs="宋体"/>
          <w:color w:val="auto"/>
          <w:sz w:val="21"/>
          <w:highlight w:val="none"/>
        </w:rPr>
      </w:pPr>
      <w:r>
        <w:rPr>
          <w:rFonts w:hint="eastAsia" w:cs="宋体"/>
          <w:color w:val="auto"/>
          <w:sz w:val="21"/>
          <w:highlight w:val="none"/>
        </w:rPr>
        <w:t xml:space="preserve">条款号: 8.2 </w:t>
      </w:r>
      <w:r>
        <w:rPr>
          <w:rFonts w:hint="eastAsia" w:cs="宋体"/>
          <w:color w:val="auto"/>
          <w:sz w:val="21"/>
          <w:highlight w:val="none"/>
          <w:lang w:val="en-US" w:eastAsia="zh-CN"/>
        </w:rPr>
        <w:t xml:space="preserve">   </w:t>
      </w:r>
      <w:r>
        <w:rPr>
          <w:rFonts w:hint="eastAsia" w:cs="宋体"/>
          <w:color w:val="auto"/>
          <w:sz w:val="21"/>
          <w:highlight w:val="none"/>
        </w:rPr>
        <w:t>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"http://ggzy.gz.gov.cn/xmcxjsgc/index.jhtml" </w:instrText>
      </w:r>
      <w:r>
        <w:rPr>
          <w:rFonts w:hint="eastAsia" w:ascii="宋体" w:hAnsi="宋体" w:cs="宋体"/>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pStyle w:val="34"/>
        <w:spacing w:after="0"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条款号：8.3     修改类型：修改</w:t>
      </w:r>
    </w:p>
    <w:p>
      <w:pPr>
        <w:pStyle w:val="34"/>
        <w:spacing w:after="0"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原文：8.3答疑会会议纪要为招标文件的一部分。</w:t>
      </w:r>
    </w:p>
    <w:p>
      <w:pPr>
        <w:pBdr>
          <w:bottom w:val="single" w:color="auto" w:sz="6" w:space="1"/>
        </w:pBdr>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现文：8.4</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pPr>
        <w:pStyle w:val="6"/>
        <w:ind w:firstLine="489" w:firstLineChars="232"/>
        <w:rPr>
          <w:rFonts w:hint="eastAsia" w:cs="宋体"/>
          <w:color w:val="auto"/>
          <w:sz w:val="21"/>
          <w:highlight w:val="none"/>
        </w:rPr>
      </w:pPr>
      <w:r>
        <w:rPr>
          <w:rFonts w:hint="eastAsia" w:cs="宋体"/>
          <w:color w:val="auto"/>
          <w:sz w:val="21"/>
          <w:highlight w:val="none"/>
        </w:rPr>
        <w:t>条款号: 8.4     修改类型：修改</w:t>
      </w:r>
    </w:p>
    <w:p>
      <w:pPr>
        <w:pStyle w:val="31"/>
        <w:spacing w:line="460" w:lineRule="exact"/>
        <w:ind w:firstLine="413"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pStyle w:val="19"/>
        <w:rPr>
          <w:rFonts w:hint="eastAsia" w:hAnsi="宋体" w:cs="宋体"/>
          <w:color w:val="auto"/>
          <w:highlight w:val="none"/>
        </w:rPr>
      </w:pPr>
    </w:p>
    <w:p>
      <w:pPr>
        <w:pStyle w:val="6"/>
        <w:ind w:firstLine="489" w:firstLineChars="232"/>
        <w:rPr>
          <w:rFonts w:hint="eastAsia" w:cs="宋体"/>
          <w:color w:val="auto"/>
          <w:sz w:val="21"/>
          <w:highlight w:val="none"/>
        </w:rPr>
      </w:pPr>
      <w:r>
        <w:rPr>
          <w:rFonts w:hint="eastAsia" w:cs="宋体"/>
          <w:color w:val="auto"/>
          <w:sz w:val="21"/>
          <w:highlight w:val="none"/>
        </w:rPr>
        <w:t>条款号: 9.2</w:t>
      </w:r>
      <w:r>
        <w:rPr>
          <w:rFonts w:hint="eastAsia" w:cs="宋体"/>
          <w:color w:val="auto"/>
          <w:sz w:val="21"/>
          <w:highlight w:val="none"/>
          <w:lang w:val="en-US" w:eastAsia="zh-CN"/>
        </w:rPr>
        <w:t xml:space="preserve">     </w:t>
      </w:r>
      <w:r>
        <w:rPr>
          <w:rFonts w:hint="eastAsia" w:cs="宋体"/>
          <w:color w:val="auto"/>
          <w:sz w:val="21"/>
          <w:highlight w:val="none"/>
        </w:rPr>
        <w:t>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交易平台“项目答疑纪要”专区公开发布。答疑纪要一经在交易平台发布，视作已发放给所有投标人，以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"http://ggzy.gz.gov.cn/xmcxjsgc/index.jhtml" </w:instrText>
      </w:r>
      <w:r>
        <w:rPr>
          <w:rFonts w:hint="eastAsia" w:ascii="宋体" w:hAnsi="宋体" w:cs="宋体"/>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pStyle w:val="34"/>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 w:val="21"/>
          <w:szCs w:val="21"/>
          <w:highlight w:val="none"/>
        </w:rPr>
        <w:t>条款号</w:t>
      </w:r>
      <w:r>
        <w:rPr>
          <w:rFonts w:hint="eastAsia" w:ascii="宋体" w:hAnsi="宋体" w:cs="宋体"/>
          <w:color w:val="auto"/>
          <w:sz w:val="21"/>
          <w:highlight w:val="none"/>
        </w:rPr>
        <w:t>: 9.</w:t>
      </w:r>
      <w:r>
        <w:rPr>
          <w:rFonts w:hint="eastAsia" w:ascii="宋体" w:hAnsi="宋体" w:cs="宋体"/>
          <w:color w:val="auto"/>
          <w:sz w:val="21"/>
          <w:highlight w:val="none"/>
          <w:lang w:val="en-US" w:eastAsia="zh-CN"/>
        </w:rPr>
        <w:t xml:space="preserve">3     </w:t>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9.3招标文件的修改内容为招标文件的组成部分。</w:t>
      </w:r>
    </w:p>
    <w:p>
      <w:pPr>
        <w:spacing w:line="360" w:lineRule="auto"/>
        <w:ind w:firstLine="422" w:firstLineChars="20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9.3招标文件的修改内容为招标文件的组成部分，</w:t>
      </w:r>
      <w:r>
        <w:rPr>
          <w:rFonts w:hint="eastAsia" w:ascii="宋体" w:hAnsi="宋体" w:cs="宋体"/>
          <w:color w:val="auto"/>
          <w:szCs w:val="21"/>
          <w:highlight w:val="none"/>
          <w:u w:val="single"/>
        </w:rPr>
        <w:t>具有约束作用</w:t>
      </w:r>
    </w:p>
    <w:p>
      <w:pPr>
        <w:pStyle w:val="19"/>
        <w:ind w:firstLine="420" w:firstLineChars="200"/>
        <w:rPr>
          <w:rFonts w:hint="eastAsia" w:hAnsi="宋体" w:cs="宋体"/>
          <w:color w:val="auto"/>
          <w:highlight w:val="none"/>
        </w:rPr>
      </w:pPr>
    </w:p>
    <w:p>
      <w:pPr>
        <w:pStyle w:val="34"/>
        <w:spacing w:after="0" w:line="460" w:lineRule="exact"/>
        <w:ind w:firstLine="422" w:firstLineChars="200"/>
        <w:rPr>
          <w:rFonts w:hint="eastAsia" w:ascii="宋体" w:hAnsi="宋体" w:cs="宋体"/>
          <w:b/>
          <w:color w:val="auto"/>
          <w:szCs w:val="21"/>
          <w:highlight w:val="none"/>
        </w:rPr>
      </w:pPr>
    </w:p>
    <w:p>
      <w:pPr>
        <w:pStyle w:val="34"/>
        <w:spacing w:after="0"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9.4      </w:t>
      </w:r>
      <w:r>
        <w:rPr>
          <w:rFonts w:hint="eastAsia" w:ascii="宋体" w:hAnsi="宋体" w:cs="宋体"/>
          <w:b/>
          <w:color w:val="auto"/>
          <w:szCs w:val="21"/>
          <w:highlight w:val="none"/>
        </w:rPr>
        <w:t>修改类型：修改</w:t>
      </w:r>
    </w:p>
    <w:p>
      <w:pPr>
        <w:pStyle w:val="34"/>
        <w:spacing w:after="0" w:line="46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9.4招标文件的澄清、修改均以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发布的内容为准。当招标文件的澄清、修改在同一内容的表述不一致时，以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最后发布的内容为准。</w:t>
      </w:r>
    </w:p>
    <w:p>
      <w:pPr>
        <w:pStyle w:val="34"/>
        <w:spacing w:after="0"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条款号：11.2 、11.3    修改类型：修改</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11.2投标文件技术标部分主要包括下列内容: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 资格审查文件：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经济部分投标文件主要包括下列内容：</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11.2投标文件技术标部分主要包括下列内容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color w:val="auto"/>
          <w:szCs w:val="21"/>
          <w:highlight w:val="non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 资格审查文件：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（1）投标人声明</w:t>
      </w:r>
      <w:r>
        <w:rPr>
          <w:rFonts w:hint="eastAsia" w:ascii="宋体" w:hAnsi="宋体" w:cs="宋体"/>
          <w:color w:val="auto"/>
          <w:szCs w:val="21"/>
          <w:highlight w:val="none"/>
          <w:u w:val="single"/>
        </w:rPr>
        <w:t>（须按本招标公告附件）</w:t>
      </w:r>
      <w:r>
        <w:rPr>
          <w:rFonts w:hint="eastAsia" w:ascii="宋体" w:hAnsi="宋体" w:cs="宋体"/>
          <w:color w:val="auto"/>
          <w:szCs w:val="21"/>
          <w:highlight w:val="none"/>
        </w:rPr>
        <w:t xml:space="preserve">；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Cs/>
          <w:color w:val="auto"/>
          <w:szCs w:val="21"/>
          <w:highlight w:val="none"/>
          <w:u w:val="single"/>
        </w:rPr>
        <w:t>拟委派技术负责人的职称证书（</w:t>
      </w:r>
      <w:r>
        <w:rPr>
          <w:rFonts w:hint="eastAsia" w:ascii="宋体" w:hAnsi="宋体" w:cs="宋体"/>
          <w:color w:val="auto"/>
          <w:szCs w:val="21"/>
          <w:highlight w:val="none"/>
          <w:u w:val="single"/>
        </w:rPr>
        <w:t>附相关证明</w:t>
      </w:r>
      <w:r>
        <w:rPr>
          <w:rFonts w:hint="eastAsia" w:ascii="宋体" w:hAnsi="宋体" w:cs="宋体"/>
          <w:bCs/>
          <w:color w:val="auto"/>
          <w:szCs w:val="21"/>
          <w:highlight w:val="none"/>
          <w:u w:val="singl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bCs/>
          <w:color w:val="auto"/>
          <w:szCs w:val="21"/>
          <w:highlight w:val="none"/>
          <w:u w:val="single"/>
        </w:rPr>
        <w:t>拟委派项目负责人的建造师注册证书</w:t>
      </w:r>
      <w:r>
        <w:rPr>
          <w:rFonts w:hint="eastAsia" w:ascii="宋体" w:hAnsi="宋体" w:cs="宋体"/>
          <w:color w:val="auto"/>
          <w:szCs w:val="21"/>
          <w:highlight w:val="none"/>
        </w:rPr>
        <w:t xml:space="preserve">（取自平台内上传件）； </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（10）项目负责人持有安全生产考核合格证（B类）或建筑施工企业项目负责人安全生产考核合格证书（取自平台内上传件）；</w:t>
      </w:r>
    </w:p>
    <w:p>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（11）专职安全员须具有安全生产考核合格证（C类）或建筑施工企业专职安全生产管理人员安全生产考核合格证（C3类）（取自平台内上传件）；</w:t>
      </w:r>
      <w:r>
        <w:rPr>
          <w:rFonts w:hint="eastAsia" w:ascii="宋体" w:hAnsi="宋体" w:cs="宋体"/>
          <w:b/>
          <w:color w:val="auto"/>
          <w:szCs w:val="21"/>
          <w:highlight w:val="none"/>
          <w:u w:val="single"/>
        </w:rPr>
        <w:t>项目负责人和安全员不为同一人</w:t>
      </w:r>
      <w:r>
        <w:rPr>
          <w:rFonts w:hint="eastAsia" w:ascii="宋体" w:hAnsi="宋体" w:cs="宋体"/>
          <w:color w:val="auto"/>
          <w:szCs w:val="21"/>
          <w:highlight w:val="none"/>
        </w:rPr>
        <w:t>；</w:t>
      </w:r>
    </w:p>
    <w:p>
      <w:pPr>
        <w:spacing w:line="460" w:lineRule="exact"/>
        <w:ind w:firstLine="420" w:firstLineChars="200"/>
        <w:rPr>
          <w:rFonts w:hint="eastAsia" w:ascii="宋体" w:hAnsi="宋体" w:cs="宋体"/>
          <w:color w:val="auto"/>
          <w:szCs w:val="21"/>
          <w:highlight w:val="none"/>
        </w:rPr>
      </w:pP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）资格审查前，投标人须在广州市住房和城乡建设局建立企业信用档案及拟担任本工程项目负责人、专职安全员须是本企业信用档案中的在册人员。</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相关投标均无效；</w:t>
      </w:r>
    </w:p>
    <w:p>
      <w:pP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）投标人未被列入拖欠农民工工资失信联合惩戒对象名单。</w:t>
      </w:r>
    </w:p>
    <w:p>
      <w:pP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u w:val="single"/>
        </w:rPr>
        <w:t>注：上述第</w:t>
      </w:r>
      <w:r>
        <w:rPr>
          <w:rFonts w:hint="eastAsia" w:ascii="宋体" w:hAnsi="宋体" w:cs="宋体"/>
          <w:bCs/>
          <w:color w:val="auto"/>
          <w:szCs w:val="21"/>
          <w:highlight w:val="none"/>
          <w:u w:val="single"/>
        </w:rPr>
        <w:t>11.2.2（1）—（1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）条没有要求提交的资料，不作为资格审查不合格的依据。</w:t>
      </w:r>
    </w:p>
    <w:p>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rPr>
        <w:t>11.2.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u w:val="single"/>
        </w:rPr>
        <w:t>按照招标文件要求填写的《参与编制技术标投标文件人员名单》（格式见第四章）。</w:t>
      </w:r>
    </w:p>
    <w:p>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rPr>
        <w:t>11.2.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u w:val="single"/>
        </w:rPr>
        <w:t>《投标函》（须按招标文件第四章格式）。</w:t>
      </w:r>
    </w:p>
    <w:p>
      <w:pPr>
        <w:pBdr>
          <w:bottom w:val="single" w:color="auto" w:sz="6" w:space="1"/>
        </w:pBdr>
        <w:spacing w:line="460" w:lineRule="exact"/>
        <w:ind w:firstLine="424" w:firstLineChars="202"/>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u w:val="single"/>
        </w:rPr>
        <w:t>企业相关资料</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《企业业绩表》（格式见第四章）</w:t>
      </w:r>
      <w:r>
        <w:rPr>
          <w:rFonts w:hint="eastAsia" w:ascii="宋体" w:hAnsi="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《施工项目管理团队人员信息表》</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u w:val="single"/>
          <w:lang w:eastAsia="zh-CN"/>
        </w:rPr>
        <w:t>、</w:t>
      </w:r>
      <w:r>
        <w:rPr>
          <w:rFonts w:hint="eastAsia" w:ascii="宋体" w:hAnsi="宋体" w:cs="宋体"/>
          <w:bCs/>
          <w:color w:val="auto"/>
          <w:szCs w:val="21"/>
          <w:highlight w:val="none"/>
          <w:u w:val="single"/>
        </w:rPr>
        <w:t>《项目管理机构人员基本情况及业绩表》（格式见第四章）</w:t>
      </w:r>
      <w:r>
        <w:rPr>
          <w:rFonts w:hint="eastAsia" w:ascii="宋体" w:hAnsi="宋体" w:cs="宋体"/>
          <w:bCs/>
          <w:color w:val="auto"/>
          <w:szCs w:val="21"/>
          <w:highlight w:val="none"/>
          <w:u w:val="single"/>
          <w:lang w:val="en-US" w:eastAsia="zh-CN"/>
        </w:rPr>
        <w:t>等评分资料</w:t>
      </w:r>
      <w:r>
        <w:rPr>
          <w:rFonts w:hint="eastAsia" w:ascii="宋体" w:hAnsi="宋体" w:cs="宋体"/>
          <w:color w:val="auto"/>
          <w:szCs w:val="21"/>
          <w:highlight w:val="none"/>
          <w:u w:val="single"/>
        </w:rPr>
        <w:t>。</w:t>
      </w:r>
    </w:p>
    <w:p>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eastAsia="宋体" w:cs="宋体"/>
          <w:bCs/>
          <w:color w:val="auto"/>
          <w:szCs w:val="21"/>
          <w:highlight w:val="none"/>
          <w:u w:val="single"/>
          <w:lang w:val="en-US" w:eastAsia="zh-CN"/>
        </w:rPr>
        <w:t>11.2.</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其</w:t>
      </w:r>
      <w:r>
        <w:rPr>
          <w:rFonts w:hint="eastAsia" w:ascii="宋体" w:hAnsi="宋体" w:cs="宋体"/>
          <w:bCs/>
          <w:color w:val="auto"/>
          <w:szCs w:val="21"/>
          <w:highlight w:val="none"/>
          <w:u w:val="single"/>
        </w:rPr>
        <w:t>他投标人认为应该提供的资料。</w:t>
      </w:r>
    </w:p>
    <w:p>
      <w:pPr>
        <w:pBdr>
          <w:bottom w:val="single" w:color="auto" w:sz="6" w:space="1"/>
        </w:pBdr>
        <w:spacing w:line="460" w:lineRule="exact"/>
        <w:ind w:firstLine="426" w:firstLineChars="202"/>
        <w:rPr>
          <w:rFonts w:hint="eastAsia" w:ascii="宋体" w:hAnsi="宋体" w:cs="宋体"/>
          <w:b/>
          <w:bCs w:val="0"/>
          <w:color w:val="auto"/>
          <w:szCs w:val="21"/>
          <w:highlight w:val="none"/>
        </w:rPr>
      </w:pPr>
      <w:r>
        <w:rPr>
          <w:rFonts w:hint="eastAsia" w:ascii="宋体" w:hAnsi="宋体" w:cs="宋体"/>
          <w:b/>
          <w:bCs w:val="0"/>
          <w:color w:val="auto"/>
          <w:szCs w:val="21"/>
          <w:highlight w:val="none"/>
        </w:rPr>
        <w:t>11.3 经济部分投标文件主要包括下列内容：</w:t>
      </w:r>
    </w:p>
    <w:p>
      <w:pPr>
        <w:pBdr>
          <w:bottom w:val="single" w:color="auto" w:sz="6" w:space="1"/>
        </w:pBdr>
        <w:spacing w:line="460" w:lineRule="exact"/>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Cs/>
          <w:color w:val="auto"/>
          <w:szCs w:val="21"/>
          <w:highlight w:val="none"/>
          <w:u w:val="single"/>
        </w:rPr>
        <w:t>（投标报价的工程量清单的组成、格式等按广州公共资源交易中心的投标文件管理软件自动生成）</w:t>
      </w:r>
    </w:p>
    <w:p>
      <w:pPr>
        <w:pBdr>
          <w:bottom w:val="single" w:color="auto" w:sz="6" w:space="1"/>
        </w:pBdr>
        <w:spacing w:line="460" w:lineRule="exact"/>
        <w:ind w:firstLine="424" w:firstLineChars="202"/>
        <w:rPr>
          <w:rFonts w:hint="eastAsia" w:ascii="宋体" w:hAnsi="宋体" w:cs="宋体"/>
          <w:bCs/>
          <w:color w:val="auto"/>
          <w:szCs w:val="21"/>
          <w:highlight w:val="none"/>
          <w:u w:val="single"/>
        </w:rPr>
      </w:pPr>
      <w:r>
        <w:rPr>
          <w:rFonts w:hint="eastAsia" w:ascii="宋体" w:hAnsi="宋体" w:cs="宋体"/>
          <w:bCs/>
          <w:color w:val="auto"/>
          <w:szCs w:val="21"/>
          <w:highlight w:val="none"/>
        </w:rPr>
        <w:t>11.3.3按照招标文件要求填写的《参与编制经济标投标文件人员名单》。</w:t>
      </w:r>
      <w:r>
        <w:rPr>
          <w:rFonts w:hint="eastAsia" w:ascii="宋体" w:hAnsi="宋体" w:cs="宋体"/>
          <w:bCs/>
          <w:color w:val="auto"/>
          <w:szCs w:val="21"/>
          <w:highlight w:val="none"/>
          <w:u w:val="single"/>
        </w:rPr>
        <w:t>（须按招标文件第四章格式）。</w:t>
      </w:r>
    </w:p>
    <w:p>
      <w:pPr>
        <w:pBdr>
          <w:bottom w:val="single" w:color="auto" w:sz="6" w:space="1"/>
        </w:pBdr>
        <w:spacing w:line="460" w:lineRule="exact"/>
        <w:ind w:firstLine="424" w:firstLineChars="202"/>
        <w:rPr>
          <w:rFonts w:hint="eastAsia" w:ascii="宋体" w:hAnsi="宋体" w:cs="宋体"/>
          <w:bCs/>
          <w:color w:val="auto"/>
          <w:szCs w:val="21"/>
          <w:highlight w:val="none"/>
        </w:rPr>
      </w:pPr>
      <w:r>
        <w:rPr>
          <w:rFonts w:hint="eastAsia" w:ascii="宋体" w:hAnsi="宋体" w:cs="宋体"/>
          <w:bCs/>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460" w:lineRule="exact"/>
        <w:ind w:firstLine="424" w:firstLineChars="202"/>
        <w:rPr>
          <w:rFonts w:hint="eastAsia" w:ascii="宋体" w:hAnsi="宋体" w:cs="宋体"/>
          <w:color w:val="auto"/>
          <w:szCs w:val="21"/>
          <w:highlight w:val="none"/>
        </w:rPr>
      </w:pPr>
      <w:r>
        <w:rPr>
          <w:rFonts w:hint="eastAsia" w:ascii="宋体" w:hAnsi="宋体" w:cs="宋体"/>
          <w:bCs/>
          <w:color w:val="auto"/>
          <w:szCs w:val="21"/>
          <w:highlight w:val="none"/>
        </w:rPr>
        <w:t>11.3.5</w:t>
      </w:r>
      <w:r>
        <w:rPr>
          <w:rFonts w:hint="eastAsia" w:ascii="宋体" w:hAnsi="宋体" w:cs="宋体"/>
          <w:bCs/>
          <w:color w:val="auto"/>
          <w:szCs w:val="21"/>
          <w:highlight w:val="none"/>
          <w:u w:val="single"/>
        </w:rPr>
        <w:t>《对投标文件编制的承诺》（须按招标文件第四章格式）</w:t>
      </w:r>
      <w:r>
        <w:rPr>
          <w:rFonts w:hint="eastAsia" w:ascii="宋体" w:hAnsi="宋体" w:cs="宋体"/>
          <w:bCs/>
          <w:color w:val="auto"/>
          <w:szCs w:val="21"/>
          <w:highlight w:val="none"/>
        </w:rPr>
        <w:t>。</w:t>
      </w:r>
    </w:p>
    <w:p>
      <w:pPr>
        <w:pStyle w:val="19"/>
        <w:rPr>
          <w:rFonts w:hint="eastAsia" w:hAnsi="宋体" w:cs="宋体"/>
          <w:color w:val="auto"/>
          <w:highlight w:val="none"/>
        </w:rPr>
      </w:pPr>
    </w:p>
    <w:p>
      <w:pPr>
        <w:pStyle w:val="6"/>
        <w:ind w:firstLine="409" w:firstLineChars="194"/>
        <w:rPr>
          <w:rFonts w:hint="eastAsia" w:cs="宋体"/>
          <w:color w:val="auto"/>
          <w:sz w:val="21"/>
          <w:highlight w:val="none"/>
        </w:rPr>
      </w:pPr>
      <w:r>
        <w:rPr>
          <w:rFonts w:hint="eastAsia" w:cs="宋体"/>
          <w:color w:val="auto"/>
          <w:sz w:val="21"/>
          <w:highlight w:val="none"/>
        </w:rPr>
        <w:t>条款号: 12.2           修改类型：修改</w:t>
      </w:r>
    </w:p>
    <w:p>
      <w:pPr>
        <w:adjustRightInd w:val="0"/>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rFonts w:hint="eastAsia" w:ascii="宋体" w:hAnsi="宋体" w:cs="宋体"/>
          <w:color w:val="auto"/>
          <w:szCs w:val="21"/>
          <w:highlight w:val="none"/>
          <w:u w:val="single"/>
        </w:rPr>
        <w:t>： 。</w:t>
      </w:r>
    </w:p>
    <w:p>
      <w:pPr>
        <w:pBdr>
          <w:bottom w:val="single" w:color="auto" w:sz="6" w:space="1"/>
        </w:pBdr>
        <w:adjustRightInd w:val="0"/>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p>
    <w:p>
      <w:pPr>
        <w:pStyle w:val="6"/>
        <w:ind w:firstLine="409" w:firstLineChars="194"/>
        <w:rPr>
          <w:rFonts w:hint="eastAsia" w:cs="宋体"/>
          <w:color w:val="auto"/>
          <w:sz w:val="21"/>
          <w:highlight w:val="none"/>
        </w:rPr>
      </w:pPr>
      <w:r>
        <w:rPr>
          <w:rFonts w:hint="eastAsia" w:cs="宋体"/>
          <w:color w:val="auto"/>
          <w:sz w:val="21"/>
          <w:highlight w:val="none"/>
        </w:rPr>
        <w:t>条款号: 12.3           修改类型：修改</w:t>
      </w:r>
    </w:p>
    <w:p>
      <w:pPr>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p>
    <w:p>
      <w:pPr>
        <w:spacing w:line="360" w:lineRule="auto"/>
        <w:ind w:firstLine="409" w:firstLineChars="195"/>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pBdr>
          <w:bottom w:val="single" w:color="auto" w:sz="6" w:space="1"/>
        </w:pBdr>
        <w:spacing w:line="360" w:lineRule="auto"/>
        <w:ind w:firstLine="409" w:firstLineChars="195"/>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Style w:val="6"/>
        <w:ind w:firstLine="409" w:firstLineChars="194"/>
        <w:rPr>
          <w:rFonts w:hint="eastAsia" w:cs="宋体"/>
          <w:b w:val="0"/>
          <w:color w:val="auto"/>
          <w:highlight w:val="none"/>
        </w:rPr>
      </w:pPr>
      <w:r>
        <w:rPr>
          <w:rFonts w:hint="eastAsia" w:cs="宋体"/>
          <w:color w:val="auto"/>
          <w:sz w:val="21"/>
          <w:highlight w:val="none"/>
        </w:rPr>
        <w:t>条款号: 13.1           修改类型：修改</w:t>
      </w:r>
    </w:p>
    <w:p>
      <w:pPr>
        <w:pBdr>
          <w:bottom w:val="single" w:color="auto" w:sz="6" w:space="1"/>
        </w:pBdr>
        <w:spacing w:line="360" w:lineRule="auto"/>
        <w:ind w:firstLine="411" w:firstLineChars="195"/>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13.4投标人一旦中标，投标人对招标人提供的招标工程量清单中列出的工程项目所报出的综合单价，在工程结算时将不得变更，即在施工过程中即使工程量清单项目的工程量发生变更，</w:t>
      </w:r>
      <w:r>
        <w:rPr>
          <w:rFonts w:hint="eastAsia" w:ascii="宋体" w:hAnsi="宋体" w:cs="宋体"/>
          <w:color w:val="auto"/>
          <w:szCs w:val="21"/>
          <w:highlight w:val="none"/>
          <w:u w:val="single"/>
        </w:rPr>
        <w:t>中标投标文件列出的综合单价和总价措施项目费也不发生改变（合同另有约定的，按合同约定）。</w:t>
      </w:r>
    </w:p>
    <w:p>
      <w:pPr>
        <w:pStyle w:val="6"/>
        <w:ind w:firstLine="409" w:firstLineChars="194"/>
        <w:rPr>
          <w:rFonts w:hint="eastAsia" w:cs="宋体"/>
          <w:color w:val="auto"/>
          <w:sz w:val="21"/>
          <w:highlight w:val="none"/>
        </w:rPr>
      </w:pPr>
      <w:r>
        <w:rPr>
          <w:rFonts w:hint="eastAsia" w:cs="宋体"/>
          <w:color w:val="auto"/>
          <w:sz w:val="21"/>
          <w:highlight w:val="none"/>
        </w:rPr>
        <w:t>条款号: 13.5           修改类型：修改</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13.5变更结算方式按施工合同相关条款执行。</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条款号：16.1-16.5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114"/>
        <w:spacing w:line="500" w:lineRule="exact"/>
        <w:ind w:firstLine="482"/>
        <w:rPr>
          <w:rFonts w:hint="eastAsia" w:ascii="宋体" w:hAnsi="宋体" w:cs="宋体"/>
          <w:b/>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16.1投标人应按投标须知前附表第14项所述金额和时间递交投标保证金。</w:t>
      </w:r>
      <w:r>
        <w:rPr>
          <w:rFonts w:hint="eastAsia" w:ascii="宋体" w:hAnsi="宋体" w:cs="宋体"/>
          <w:b/>
          <w:bCs/>
          <w:color w:val="auto"/>
          <w:sz w:val="21"/>
          <w:szCs w:val="21"/>
          <w:highlight w:val="none"/>
        </w:rPr>
        <w:t>允许投标人自主选择现金、银行保函、保证保险、专业工程担保公司担保等方式缴纳投标保证金。</w:t>
      </w:r>
    </w:p>
    <w:p>
      <w:pPr>
        <w:pStyle w:val="114"/>
        <w:spacing w:line="500" w:lineRule="exact"/>
        <w:ind w:firstLine="480"/>
        <w:rPr>
          <w:rFonts w:hint="eastAsia" w:ascii="宋体" w:hAnsi="宋体" w:cs="宋体"/>
          <w:bCs/>
          <w:color w:val="auto"/>
          <w:sz w:val="21"/>
          <w:szCs w:val="21"/>
          <w:highlight w:val="none"/>
          <w:u w:val="single"/>
        </w:rPr>
      </w:pPr>
      <w:r>
        <w:rPr>
          <w:rFonts w:hint="eastAsia" w:ascii="宋体" w:hAnsi="宋体" w:cs="宋体"/>
          <w:bCs/>
          <w:color w:val="auto"/>
          <w:sz w:val="21"/>
          <w:szCs w:val="21"/>
          <w:highlight w:val="none"/>
        </w:rPr>
        <w:t>16.1.1 采用现金</w:t>
      </w:r>
      <w:r>
        <w:rPr>
          <w:rFonts w:hint="eastAsia" w:ascii="宋体" w:hAnsi="宋体" w:cs="宋体"/>
          <w:b/>
          <w:bCs/>
          <w:color w:val="auto"/>
          <w:sz w:val="21"/>
          <w:szCs w:val="21"/>
          <w:highlight w:val="none"/>
        </w:rPr>
        <w:t>或者支票</w:t>
      </w:r>
      <w:r>
        <w:rPr>
          <w:rFonts w:hint="eastAsia" w:ascii="宋体" w:hAnsi="宋体" w:cs="宋体"/>
          <w:bCs/>
          <w:color w:val="auto"/>
          <w:sz w:val="21"/>
          <w:szCs w:val="21"/>
          <w:highlight w:val="none"/>
        </w:rPr>
        <w:t>形式提交的，投标保证金须从投标人的银行基本账户转出。</w:t>
      </w:r>
      <w:r>
        <w:rPr>
          <w:rFonts w:hint="eastAsia" w:ascii="宋体" w:hAnsi="宋体" w:cs="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pPr>
        <w:pStyle w:val="114"/>
        <w:spacing w:line="500" w:lineRule="exact"/>
        <w:ind w:firstLine="480"/>
        <w:rPr>
          <w:rFonts w:hint="eastAsia" w:ascii="宋体" w:hAnsi="宋体" w:cs="宋体"/>
          <w:b/>
          <w:color w:val="auto"/>
          <w:sz w:val="21"/>
          <w:szCs w:val="21"/>
          <w:highlight w:val="none"/>
        </w:rPr>
      </w:pPr>
      <w:r>
        <w:rPr>
          <w:rFonts w:hint="eastAsia" w:ascii="宋体" w:hAnsi="宋体" w:cs="宋体"/>
          <w:bCs/>
          <w:color w:val="auto"/>
          <w:sz w:val="21"/>
          <w:szCs w:val="21"/>
          <w:highlight w:val="none"/>
        </w:rPr>
        <w:t>16.1.2 依法必须招标的房屋建筑工程如采用非电子形式的</w:t>
      </w:r>
      <w:r>
        <w:rPr>
          <w:rFonts w:hint="eastAsia" w:ascii="宋体" w:hAnsi="宋体" w:cs="宋体"/>
          <w:b/>
          <w:bCs/>
          <w:color w:val="auto"/>
          <w:sz w:val="21"/>
          <w:szCs w:val="21"/>
          <w:highlight w:val="none"/>
        </w:rPr>
        <w:t>银行保函、专业工程担保公司担保或保证保险</w:t>
      </w:r>
      <w:r>
        <w:rPr>
          <w:rFonts w:hint="eastAsia" w:ascii="宋体" w:hAnsi="宋体" w:cs="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cs="宋体"/>
          <w:b/>
          <w:bCs/>
          <w:color w:val="auto"/>
          <w:sz w:val="21"/>
          <w:szCs w:val="21"/>
          <w:highlight w:val="none"/>
        </w:rPr>
        <w:t>保函、担保或保证保险</w:t>
      </w:r>
      <w:r>
        <w:rPr>
          <w:rFonts w:hint="eastAsia" w:ascii="宋体" w:hAnsi="宋体" w:cs="宋体"/>
          <w:bCs/>
          <w:color w:val="auto"/>
          <w:sz w:val="21"/>
          <w:szCs w:val="21"/>
          <w:highlight w:val="none"/>
        </w:rPr>
        <w:t>扫描件并加盖投标人电子印章。</w:t>
      </w:r>
      <w:r>
        <w:rPr>
          <w:rFonts w:hint="eastAsia" w:ascii="宋体" w:hAnsi="宋体" w:cs="宋体"/>
          <w:b/>
          <w:color w:val="auto"/>
          <w:sz w:val="21"/>
          <w:szCs w:val="21"/>
          <w:highlight w:val="none"/>
        </w:rPr>
        <w:t>如投标人存在16.4条款所列情形的，应将</w:t>
      </w:r>
      <w:r>
        <w:rPr>
          <w:rFonts w:hint="eastAsia" w:ascii="宋体" w:hAnsi="宋体" w:cs="宋体"/>
          <w:b/>
          <w:bCs/>
          <w:color w:val="auto"/>
          <w:sz w:val="21"/>
          <w:szCs w:val="21"/>
          <w:highlight w:val="none"/>
        </w:rPr>
        <w:t>纸质</w:t>
      </w:r>
      <w:r>
        <w:rPr>
          <w:rFonts w:hint="eastAsia" w:ascii="宋体" w:hAnsi="宋体" w:cs="宋体"/>
          <w:b/>
          <w:color w:val="auto"/>
          <w:sz w:val="21"/>
          <w:szCs w:val="21"/>
          <w:highlight w:val="none"/>
        </w:rPr>
        <w:t>原件提交给招标人。</w:t>
      </w:r>
    </w:p>
    <w:p>
      <w:pPr>
        <w:pStyle w:val="114"/>
        <w:spacing w:line="500" w:lineRule="exact"/>
        <w:ind w:firstLine="48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16.1.3 采用</w:t>
      </w:r>
      <w:r>
        <w:rPr>
          <w:rFonts w:hint="eastAsia" w:ascii="宋体" w:hAnsi="宋体" w:cs="宋体"/>
          <w:b/>
          <w:color w:val="auto"/>
          <w:sz w:val="21"/>
          <w:szCs w:val="21"/>
          <w:highlight w:val="none"/>
        </w:rPr>
        <w:t>电子形式的保函、担保或保证保险</w:t>
      </w:r>
      <w:r>
        <w:rPr>
          <w:rFonts w:hint="eastAsia" w:ascii="宋体" w:hAnsi="宋体" w:cs="宋体"/>
          <w:bCs/>
          <w:color w:val="auto"/>
          <w:sz w:val="21"/>
          <w:szCs w:val="21"/>
          <w:highlight w:val="none"/>
        </w:rPr>
        <w:t>提交投标保证金的，</w:t>
      </w:r>
      <w:r>
        <w:rPr>
          <w:rFonts w:hint="eastAsia" w:ascii="宋体" w:hAnsi="宋体" w:cs="宋体"/>
          <w:b/>
          <w:color w:val="auto"/>
          <w:sz w:val="21"/>
          <w:szCs w:val="21"/>
          <w:highlight w:val="none"/>
          <w:u w:val="single"/>
        </w:rPr>
        <w:t>按广州公共资源交易中心发布的《广州公共资源交易中心关于开通电子保函服务功能的通知》操作。详见：http://ggzy.gz.gov.cn/zxgg/822128.jhtml。到账情况以开标时广州公共资源交易中心数据库查询信息为准</w:t>
      </w:r>
      <w:r>
        <w:rPr>
          <w:rFonts w:hint="eastAsia" w:ascii="宋体" w:hAnsi="宋体" w:cs="宋体"/>
          <w:bCs/>
          <w:color w:val="auto"/>
          <w:sz w:val="21"/>
          <w:szCs w:val="21"/>
          <w:highlight w:val="none"/>
        </w:rPr>
        <w:t>。</w:t>
      </w:r>
    </w:p>
    <w:p>
      <w:pPr>
        <w:pStyle w:val="114"/>
        <w:spacing w:line="500" w:lineRule="exact"/>
        <w:ind w:firstLine="480"/>
        <w:rPr>
          <w:rFonts w:hint="eastAsia" w:ascii="宋体" w:hAnsi="宋体" w:cs="宋体"/>
          <w:b/>
          <w:bCs/>
          <w:color w:val="auto"/>
          <w:sz w:val="21"/>
          <w:szCs w:val="21"/>
          <w:highlight w:val="none"/>
        </w:rPr>
      </w:pPr>
      <w:r>
        <w:rPr>
          <w:rFonts w:hint="eastAsia" w:ascii="宋体" w:hAnsi="宋体" w:cs="宋体"/>
          <w:color w:val="auto"/>
          <w:sz w:val="21"/>
          <w:szCs w:val="21"/>
          <w:highlight w:val="none"/>
        </w:rPr>
        <w:t>16.2开标时投标人没有按要求提供投标保证金的，其投标文件将被否决；</w:t>
      </w:r>
      <w:r>
        <w:rPr>
          <w:rFonts w:hint="eastAsia" w:ascii="宋体" w:hAnsi="宋体" w:cs="宋体"/>
          <w:b/>
          <w:bCs/>
          <w:color w:val="auto"/>
          <w:sz w:val="21"/>
          <w:szCs w:val="21"/>
          <w:highlight w:val="none"/>
        </w:rPr>
        <w:t>未按招标文件要求提交符合免予提供投标保证金相关证明材料，且未提交投标保证金的投标人，视为未按要求提供投标保证金。</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16.4如有下列情况之一的，招标人不予退还投标保证金：</w:t>
      </w:r>
    </w:p>
    <w:p>
      <w:pPr>
        <w:pBdr>
          <w:bottom w:val="single" w:color="auto" w:sz="6" w:space="22"/>
        </w:pBd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16.4.1因投标人原因造成投标文件未解密的；</w:t>
      </w:r>
    </w:p>
    <w:p>
      <w:pPr>
        <w:pBdr>
          <w:bottom w:val="single" w:color="auto" w:sz="6" w:space="22"/>
        </w:pBd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16.4.2投标人在投标有效期内撤销投标文件；</w:t>
      </w:r>
    </w:p>
    <w:p>
      <w:pPr>
        <w:pBdr>
          <w:bottom w:val="single" w:color="auto" w:sz="6" w:space="22"/>
        </w:pBd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16.4.3</w:t>
      </w:r>
      <w:r>
        <w:rPr>
          <w:rFonts w:hint="eastAsia" w:ascii="宋体" w:hAnsi="宋体" w:eastAsia="宋体" w:cs="宋体"/>
          <w:i w:val="0"/>
          <w:iCs w:val="0"/>
          <w:caps w:val="0"/>
          <w:color w:val="auto"/>
          <w:spacing w:val="0"/>
          <w:sz w:val="21"/>
          <w:szCs w:val="21"/>
          <w:highlight w:val="none"/>
          <w:u w:val="none"/>
          <w:shd w:val="clear" w:fill="auto"/>
        </w:rPr>
        <w:t>中标人未能在规定期限内按要求提交履约担保</w:t>
      </w:r>
      <w:r>
        <w:rPr>
          <w:rFonts w:hint="eastAsia" w:ascii="宋体" w:hAnsi="宋体" w:eastAsia="宋体" w:cs="宋体"/>
          <w:i w:val="0"/>
          <w:iCs w:val="0"/>
          <w:caps w:val="0"/>
          <w:color w:val="auto"/>
          <w:spacing w:val="0"/>
          <w:sz w:val="21"/>
          <w:szCs w:val="21"/>
          <w:highlight w:val="none"/>
          <w:u w:val="none"/>
          <w:shd w:val="clear"/>
          <w:lang w:eastAsia="zh-CN"/>
        </w:rPr>
        <w:t>；</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none"/>
        </w:rPr>
        <w:t>16.4.4中标人未能在规定期限内签署合同协议。</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16.5投标人如存在下列情况之一的，将被拒绝在1年内参与招标人后续工程投标：</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22"/>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rPr>
          <w:rFonts w:hint="eastAsia" w:ascii="宋体" w:hAnsi="宋体" w:cs="宋体"/>
          <w:color w:val="auto"/>
          <w:highlight w:val="none"/>
        </w:rPr>
      </w:pPr>
    </w:p>
    <w:p>
      <w:pPr>
        <w:pStyle w:val="6"/>
        <w:ind w:firstLine="422"/>
        <w:rPr>
          <w:rFonts w:hint="eastAsia" w:cs="宋体"/>
          <w:color w:val="auto"/>
          <w:sz w:val="21"/>
          <w:highlight w:val="none"/>
        </w:rPr>
      </w:pPr>
      <w:r>
        <w:rPr>
          <w:rFonts w:hint="eastAsia" w:cs="宋体"/>
          <w:color w:val="auto"/>
          <w:sz w:val="21"/>
          <w:highlight w:val="none"/>
        </w:rPr>
        <w:t>条款号: 17.1           修改类型：修改</w:t>
      </w:r>
    </w:p>
    <w:p>
      <w:pP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pStyle w:val="6"/>
        <w:ind w:firstLine="409" w:firstLineChars="194"/>
        <w:rPr>
          <w:rFonts w:hint="eastAsia" w:cs="宋体"/>
          <w:color w:val="auto"/>
          <w:sz w:val="21"/>
          <w:highlight w:val="none"/>
        </w:rPr>
      </w:pPr>
      <w:r>
        <w:rPr>
          <w:rFonts w:hint="eastAsia" w:cs="宋体"/>
          <w:color w:val="auto"/>
          <w:sz w:val="21"/>
          <w:highlight w:val="none"/>
        </w:rPr>
        <w:t>条款号: 18.1           修改类型：修改</w:t>
      </w:r>
    </w:p>
    <w:p>
      <w:pPr>
        <w:spacing w:line="360" w:lineRule="auto"/>
        <w:ind w:firstLine="411" w:firstLineChars="195"/>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 。</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广州公共资源交易中心网站发布的最新版操作指引</w:t>
      </w:r>
      <w:r>
        <w:rPr>
          <w:rFonts w:hint="eastAsia" w:ascii="宋体" w:hAnsi="宋体" w:cs="宋体"/>
          <w:color w:val="auto"/>
          <w:szCs w:val="21"/>
          <w:highlight w:val="none"/>
        </w:rPr>
        <w:t>。</w:t>
      </w:r>
    </w:p>
    <w:p>
      <w:pPr>
        <w:pStyle w:val="6"/>
        <w:ind w:firstLine="409" w:firstLineChars="194"/>
        <w:rPr>
          <w:rFonts w:hint="eastAsia" w:cs="宋体"/>
          <w:color w:val="auto"/>
          <w:sz w:val="21"/>
          <w:highlight w:val="none"/>
        </w:rPr>
      </w:pPr>
      <w:r>
        <w:rPr>
          <w:rFonts w:hint="eastAsia" w:cs="宋体"/>
          <w:color w:val="auto"/>
          <w:sz w:val="21"/>
          <w:highlight w:val="none"/>
        </w:rPr>
        <w:t>条款号: 18.2           修改类型：修改</w:t>
      </w:r>
    </w:p>
    <w:p>
      <w:pPr>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Style w:val="6"/>
        <w:ind w:firstLine="409" w:firstLineChars="194"/>
        <w:rPr>
          <w:rFonts w:hint="eastAsia" w:cs="宋体"/>
          <w:color w:val="auto"/>
          <w:sz w:val="21"/>
          <w:highlight w:val="none"/>
        </w:rPr>
      </w:pPr>
      <w:r>
        <w:rPr>
          <w:rFonts w:hint="eastAsia" w:cs="宋体"/>
          <w:color w:val="auto"/>
          <w:sz w:val="21"/>
          <w:highlight w:val="none"/>
        </w:rPr>
        <w:t>条款号: 19             修改类型：修改</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19.投标文件的递交和接收</w:t>
      </w:r>
    </w:p>
    <w:p>
      <w:pPr>
        <w:pBdr>
          <w:bottom w:val="single" w:color="auto" w:sz="6" w:space="1"/>
        </w:pBdr>
        <w:spacing w:line="360" w:lineRule="auto"/>
        <w:ind w:firstLine="411" w:firstLineChars="195"/>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w:t>
      </w:r>
      <w:r>
        <w:rPr>
          <w:rFonts w:hint="eastAsia" w:ascii="宋体" w:hAnsi="宋体" w:cs="宋体"/>
          <w:bCs/>
          <w:color w:val="auto"/>
          <w:szCs w:val="21"/>
          <w:highlight w:val="none"/>
          <w:u w:val="single"/>
        </w:rPr>
        <w:t>投标登记和</w:t>
      </w:r>
      <w:r>
        <w:rPr>
          <w:rFonts w:hint="eastAsia" w:ascii="宋体" w:hAnsi="宋体" w:cs="宋体"/>
          <w:bCs/>
          <w:color w:val="auto"/>
          <w:szCs w:val="21"/>
          <w:highlight w:val="none"/>
        </w:rPr>
        <w:t>投标文件的递交和接收</w:t>
      </w:r>
    </w:p>
    <w:p>
      <w:pPr>
        <w:pStyle w:val="6"/>
        <w:ind w:firstLine="409" w:firstLineChars="194"/>
        <w:rPr>
          <w:rFonts w:hint="eastAsia" w:cs="宋体"/>
          <w:color w:val="auto"/>
          <w:sz w:val="21"/>
          <w:highlight w:val="none"/>
        </w:rPr>
      </w:pPr>
      <w:r>
        <w:rPr>
          <w:rFonts w:hint="eastAsia" w:cs="宋体"/>
          <w:color w:val="auto"/>
          <w:sz w:val="21"/>
          <w:highlight w:val="none"/>
        </w:rPr>
        <w:t>条款号: 19.1           修改类型：修改</w:t>
      </w:r>
    </w:p>
    <w:p>
      <w:pPr>
        <w:spacing w:line="360" w:lineRule="auto"/>
        <w:ind w:firstLine="411" w:firstLineChars="195"/>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19.1投标人通过</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6"/>
        <w:ind w:firstLine="409" w:firstLineChars="194"/>
        <w:rPr>
          <w:rFonts w:hint="eastAsia" w:cs="宋体"/>
          <w:color w:val="auto"/>
          <w:sz w:val="21"/>
          <w:highlight w:val="none"/>
        </w:rPr>
      </w:pPr>
      <w:r>
        <w:rPr>
          <w:rFonts w:hint="eastAsia" w:cs="宋体"/>
          <w:color w:val="auto"/>
          <w:sz w:val="21"/>
          <w:highlight w:val="none"/>
        </w:rPr>
        <w:t>条款号: 19.2           修改类型：修改</w:t>
      </w:r>
    </w:p>
    <w:p>
      <w:pPr>
        <w:adjustRightInd w:val="0"/>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Style w:val="6"/>
        <w:ind w:firstLine="409" w:firstLineChars="194"/>
        <w:rPr>
          <w:rFonts w:hint="eastAsia" w:cs="宋体"/>
          <w:color w:val="auto"/>
          <w:sz w:val="21"/>
          <w:highlight w:val="none"/>
        </w:rPr>
      </w:pPr>
      <w:r>
        <w:rPr>
          <w:rFonts w:hint="eastAsia" w:cs="宋体"/>
          <w:color w:val="auto"/>
          <w:sz w:val="21"/>
          <w:highlight w:val="none"/>
        </w:rPr>
        <w:t>条款号: 19.3           修改类型：修改</w:t>
      </w:r>
    </w:p>
    <w:p>
      <w:pPr>
        <w:adjustRightInd w:val="0"/>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Style w:val="6"/>
        <w:ind w:firstLine="409" w:firstLineChars="194"/>
        <w:rPr>
          <w:rFonts w:hint="eastAsia" w:cs="宋体"/>
          <w:color w:val="auto"/>
          <w:sz w:val="21"/>
          <w:highlight w:val="none"/>
        </w:rPr>
      </w:pPr>
      <w:r>
        <w:rPr>
          <w:rFonts w:hint="eastAsia" w:cs="宋体"/>
          <w:color w:val="auto"/>
          <w:sz w:val="21"/>
          <w:highlight w:val="none"/>
        </w:rPr>
        <w:t>条款号: 19.5           修改类型：修改</w:t>
      </w:r>
    </w:p>
    <w:p>
      <w:pPr>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w:t>
      </w:r>
      <w:r>
        <w:rPr>
          <w:rFonts w:hint="eastAsia" w:ascii="宋体" w:hAnsi="宋体" w:cs="宋体"/>
          <w:color w:val="auto"/>
          <w:szCs w:val="21"/>
          <w:highlight w:val="none"/>
          <w:u w:val="single"/>
        </w:rPr>
        <w:t>广州公共资源交易中心交易平台将按招标文件规定的时间同时开启技术标和经济标。</w:t>
      </w:r>
    </w:p>
    <w:p>
      <w:pPr>
        <w:pStyle w:val="34"/>
        <w:spacing w:after="0"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19.6</w:t>
      </w:r>
      <w:r>
        <w:rPr>
          <w:rFonts w:hint="eastAsia" w:ascii="宋体" w:hAnsi="宋体" w:cs="宋体"/>
          <w:b/>
          <w:color w:val="auto"/>
          <w:szCs w:val="21"/>
          <w:highlight w:val="none"/>
        </w:rPr>
        <w:t>修改类型：删除</w:t>
      </w:r>
    </w:p>
    <w:p>
      <w:pPr>
        <w:pBdr>
          <w:bottom w:val="single" w:color="auto" w:sz="6" w:space="1"/>
        </w:pBdr>
        <w:spacing w:line="460" w:lineRule="exact"/>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6"/>
        <w:ind w:firstLine="409" w:firstLineChars="194"/>
        <w:rPr>
          <w:rFonts w:hint="eastAsia" w:cs="宋体"/>
          <w:color w:val="auto"/>
          <w:sz w:val="21"/>
          <w:highlight w:val="none"/>
        </w:rPr>
      </w:pPr>
      <w:r>
        <w:rPr>
          <w:rFonts w:hint="eastAsia" w:cs="宋体"/>
          <w:color w:val="auto"/>
          <w:sz w:val="21"/>
          <w:highlight w:val="none"/>
        </w:rPr>
        <w:t>条款号: 20.3           修改类型：修改</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color w:val="auto"/>
          <w:szCs w:val="21"/>
          <w:highlight w:val="none"/>
          <w:u w:val="single"/>
        </w:rPr>
        <w:t>到投标截止时间止，招标人收到的投标文件少于3家的，招标人将重新组织招标。</w:t>
      </w:r>
    </w:p>
    <w:p>
      <w:pPr>
        <w:pStyle w:val="6"/>
        <w:ind w:firstLine="409" w:firstLineChars="194"/>
        <w:rPr>
          <w:rFonts w:hint="eastAsia" w:cs="宋体"/>
          <w:color w:val="auto"/>
          <w:sz w:val="21"/>
          <w:highlight w:val="none"/>
        </w:rPr>
      </w:pPr>
      <w:r>
        <w:rPr>
          <w:rFonts w:hint="eastAsia" w:cs="宋体"/>
          <w:color w:val="auto"/>
          <w:sz w:val="21"/>
          <w:highlight w:val="none"/>
        </w:rPr>
        <w:t>条款号: 21.1           修改类型：修改</w:t>
      </w:r>
    </w:p>
    <w:p>
      <w:pPr>
        <w:adjustRightInd w:val="0"/>
        <w:spacing w:line="360" w:lineRule="auto"/>
        <w:ind w:firstLine="411" w:firstLineChars="195"/>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条款号：27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27．中标通知书</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27．中标通知书</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w:t>
      </w:r>
      <w:r>
        <w:rPr>
          <w:rFonts w:hint="eastAsia" w:ascii="宋体" w:hAnsi="宋体" w:cs="宋体"/>
          <w:color w:val="auto"/>
          <w:szCs w:val="21"/>
          <w:highlight w:val="none"/>
          <w:u w:val="single"/>
        </w:rPr>
        <w:t>中标人自行于广州公共资源交易中心交易平台下载中标通知书。中标人须对其投标文件真实性负责，并准备投标文件涉及的所有原件待查，如存在弄虚作假情况的，招标人有权取消其中标人资格，并上报建设行政主管部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w:t>
      </w:r>
      <w:r>
        <w:rPr>
          <w:rFonts w:hint="eastAsia" w:ascii="宋体" w:hAnsi="宋体" w:cs="宋体"/>
          <w:color w:val="auto"/>
          <w:szCs w:val="21"/>
          <w:highlight w:val="none"/>
          <w:u w:val="single"/>
        </w:rPr>
        <w:t>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29.1</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29.1在签订合同后的</w:t>
      </w:r>
      <w:r>
        <w:rPr>
          <w:rFonts w:hint="eastAsia" w:ascii="宋体" w:hAnsi="宋体" w:cs="宋体"/>
          <w:b/>
          <w:color w:val="auto"/>
          <w:szCs w:val="21"/>
          <w:highlight w:val="none"/>
          <w:u w:val="single"/>
        </w:rPr>
        <w:t>15日</w:t>
      </w:r>
      <w:r>
        <w:rPr>
          <w:rFonts w:hint="eastAsia" w:ascii="宋体" w:hAnsi="宋体" w:cs="宋体"/>
          <w:color w:val="auto"/>
          <w:szCs w:val="21"/>
          <w:highlight w:val="none"/>
          <w:u w:val="single"/>
        </w:rPr>
        <w:t>内，中标人应按本须知前附表第20项的规定向招标人提交履约担保。</w:t>
      </w:r>
    </w:p>
    <w:p>
      <w:pPr>
        <w:pStyle w:val="12"/>
        <w:rPr>
          <w:rFonts w:hint="eastAsia" w:ascii="宋体" w:hAnsi="宋体" w:cs="宋体"/>
          <w:color w:val="auto"/>
          <w:highlight w:val="none"/>
        </w:rPr>
      </w:pPr>
    </w:p>
    <w:p>
      <w:pPr>
        <w:pStyle w:val="6"/>
        <w:ind w:firstLine="409" w:firstLineChars="194"/>
        <w:rPr>
          <w:rFonts w:hint="eastAsia" w:cs="宋体"/>
          <w:color w:val="auto"/>
          <w:sz w:val="21"/>
          <w:highlight w:val="none"/>
        </w:rPr>
      </w:pPr>
      <w:r>
        <w:rPr>
          <w:rFonts w:hint="eastAsia" w:cs="宋体"/>
          <w:color w:val="auto"/>
          <w:sz w:val="21"/>
          <w:highlight w:val="none"/>
        </w:rPr>
        <w:t>条款号: 29.2           修改类型：修改</w:t>
      </w:r>
    </w:p>
    <w:p>
      <w:pP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合同正式签订之日起15日内</w:t>
      </w:r>
      <w:r>
        <w:rPr>
          <w:rFonts w:hint="eastAsia" w:ascii="宋体" w:hAnsi="宋体" w:cs="宋体"/>
          <w:color w:val="auto"/>
          <w:szCs w:val="21"/>
          <w:highlight w:val="none"/>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hint="eastAsia"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11" w:firstLineChars="195"/>
        <w:rPr>
          <w:rFonts w:hint="eastAsia"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11" w:firstLineChars="195"/>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中标人代缴广州公共资源交易中心的交易服务费，其费用包含在中标人投标报价中，交易中心向中标人开具增值税发票。</w:t>
      </w:r>
    </w:p>
    <w:p>
      <w:pPr>
        <w:pStyle w:val="19"/>
        <w:rPr>
          <w:rFonts w:hint="eastAsia" w:hAnsi="宋体" w:cs="宋体"/>
          <w:color w:val="auto"/>
          <w:highlight w:val="none"/>
        </w:rPr>
      </w:pPr>
    </w:p>
    <w:p>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（以下无正文）</w:t>
      </w:r>
    </w:p>
    <w:p>
      <w:pPr>
        <w:pStyle w:val="19"/>
        <w:rPr>
          <w:rFonts w:hint="eastAsia" w:hAnsi="宋体" w:cs="宋体"/>
          <w:color w:val="auto"/>
          <w:highlight w:val="none"/>
        </w:rPr>
      </w:pPr>
    </w:p>
    <w:p>
      <w:pPr>
        <w:pStyle w:val="19"/>
        <w:rPr>
          <w:rFonts w:hint="eastAsia" w:hAnsi="宋体" w:cs="宋体"/>
          <w:color w:val="auto"/>
          <w:highlight w:val="none"/>
        </w:rPr>
      </w:pPr>
    </w:p>
    <w:p>
      <w:pPr>
        <w:pStyle w:val="5"/>
        <w:rPr>
          <w:rFonts w:hint="eastAsia"/>
          <w:color w:val="auto"/>
          <w:highlight w:val="none"/>
        </w:rPr>
      </w:pPr>
      <w:bookmarkStart w:id="9" w:name="_Toc2272548"/>
      <w:bookmarkEnd w:id="9"/>
      <w:r>
        <w:rPr>
          <w:rFonts w:hint="eastAsia"/>
          <w:color w:val="auto"/>
          <w:highlight w:val="none"/>
        </w:rPr>
        <w:br w:type="page"/>
      </w:r>
      <w:bookmarkStart w:id="10" w:name="_Toc115117421"/>
      <w:r>
        <w:rPr>
          <w:rFonts w:hint="eastAsia"/>
          <w:color w:val="auto"/>
          <w:highlight w:val="none"/>
        </w:rPr>
        <w:t>三、投标须知通用条款</w:t>
      </w:r>
      <w:bookmarkEnd w:id="10"/>
    </w:p>
    <w:p>
      <w:pPr>
        <w:spacing w:before="156" w:beforeLines="50" w:after="156" w:afterLines="50"/>
        <w:jc w:val="center"/>
        <w:rPr>
          <w:rFonts w:hint="eastAsia" w:ascii="宋体" w:hAnsi="宋体" w:cs="宋体"/>
          <w:b/>
          <w:color w:val="auto"/>
          <w:sz w:val="24"/>
          <w:szCs w:val="24"/>
          <w:highlight w:val="none"/>
        </w:rPr>
      </w:pPr>
      <w:bookmarkStart w:id="11" w:name="_Toc2272549"/>
      <w:bookmarkEnd w:id="11"/>
      <w:r>
        <w:rPr>
          <w:rFonts w:hint="eastAsia" w:ascii="宋体" w:hAnsi="宋体" w:cs="宋体"/>
          <w:b/>
          <w:color w:val="auto"/>
          <w:sz w:val="24"/>
          <w:szCs w:val="24"/>
          <w:highlight w:val="none"/>
        </w:rPr>
        <w:t>（一）总则</w:t>
      </w:r>
    </w:p>
    <w:p>
      <w:pPr>
        <w:pStyle w:val="6"/>
        <w:ind w:firstLine="482"/>
        <w:rPr>
          <w:rFonts w:hint="eastAsia" w:cs="宋体"/>
          <w:color w:val="auto"/>
          <w:highlight w:val="none"/>
        </w:rPr>
      </w:pPr>
      <w:r>
        <w:rPr>
          <w:rFonts w:hint="eastAsia" w:cs="宋体"/>
          <w:color w:val="auto"/>
          <w:highlight w:val="none"/>
        </w:rPr>
        <w:t>1.定义</w:t>
      </w:r>
    </w:p>
    <w:p>
      <w:pPr>
        <w:pStyle w:val="34"/>
        <w:spacing w:after="0"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pPr>
        <w:pStyle w:val="34"/>
        <w:spacing w:after="0" w:line="360" w:lineRule="auto"/>
        <w:ind w:firstLine="480" w:firstLineChars="200"/>
        <w:rPr>
          <w:rFonts w:hint="eastAsia"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pPr>
        <w:pStyle w:val="34"/>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（2）“投标人”指向招标人提交投标文件的当事人。</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pPr>
        <w:pStyle w:val="34"/>
        <w:spacing w:after="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pPr>
        <w:pStyle w:val="6"/>
        <w:ind w:firstLine="482"/>
        <w:rPr>
          <w:rFonts w:hint="eastAsia" w:cs="宋体"/>
          <w:color w:val="auto"/>
          <w:highlight w:val="none"/>
        </w:rPr>
      </w:pPr>
      <w:r>
        <w:rPr>
          <w:rFonts w:hint="eastAsia" w:cs="宋体"/>
          <w:color w:val="auto"/>
          <w:highlight w:val="none"/>
        </w:rPr>
        <w:t>2.招标说明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2.3设计说明：详见招标图纸。</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2.4工程施工特点：详见招标图纸。</w:t>
      </w:r>
    </w:p>
    <w:p>
      <w:pPr>
        <w:pStyle w:val="6"/>
        <w:ind w:firstLine="482"/>
        <w:rPr>
          <w:rFonts w:hint="eastAsia" w:cs="宋体"/>
          <w:color w:val="auto"/>
          <w:highlight w:val="none"/>
        </w:rPr>
      </w:pPr>
      <w:r>
        <w:rPr>
          <w:rFonts w:hint="eastAsia" w:cs="宋体"/>
          <w:color w:val="auto"/>
          <w:highlight w:val="none"/>
        </w:rPr>
        <w:t>3.资金来源</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pPr>
        <w:pStyle w:val="6"/>
        <w:ind w:firstLine="482"/>
        <w:rPr>
          <w:rFonts w:hint="eastAsia" w:cs="宋体"/>
          <w:color w:val="auto"/>
          <w:highlight w:val="none"/>
        </w:rPr>
      </w:pPr>
      <w:r>
        <w:rPr>
          <w:rFonts w:hint="eastAsia" w:cs="宋体"/>
          <w:color w:val="auto"/>
          <w:highlight w:val="none"/>
        </w:rPr>
        <w:t>4.合格投标人的条件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4.1详见本项目招标公告</w:t>
      </w:r>
    </w:p>
    <w:p>
      <w:pPr>
        <w:pStyle w:val="6"/>
        <w:ind w:firstLine="482"/>
        <w:rPr>
          <w:rFonts w:hint="eastAsia" w:cs="宋体"/>
          <w:color w:val="auto"/>
          <w:highlight w:val="none"/>
        </w:rPr>
      </w:pPr>
      <w:r>
        <w:rPr>
          <w:rFonts w:hint="eastAsia" w:cs="宋体"/>
          <w:color w:val="auto"/>
          <w:highlight w:val="none"/>
        </w:rPr>
        <w:t>5.踏勘现场</w:t>
      </w:r>
    </w:p>
    <w:p>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pStyle w:val="6"/>
        <w:ind w:firstLine="482"/>
        <w:rPr>
          <w:rFonts w:hint="eastAsia" w:cs="宋体"/>
          <w:color w:val="auto"/>
          <w:highlight w:val="none"/>
        </w:rPr>
      </w:pPr>
      <w:r>
        <w:rPr>
          <w:rFonts w:hint="eastAsia" w:cs="宋体"/>
          <w:color w:val="auto"/>
          <w:highlight w:val="none"/>
        </w:rPr>
        <w:t>6.投标费用</w:t>
      </w:r>
    </w:p>
    <w:p>
      <w:pPr>
        <w:tabs>
          <w:tab w:val="left" w:pos="105"/>
        </w:tabs>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spacing w:before="156" w:beforeLines="50" w:after="156" w:afterLines="50"/>
        <w:jc w:val="center"/>
        <w:rPr>
          <w:rFonts w:hint="eastAsia" w:ascii="宋体" w:hAnsi="宋体" w:cs="宋体"/>
          <w:b/>
          <w:color w:val="auto"/>
          <w:sz w:val="24"/>
          <w:szCs w:val="24"/>
          <w:highlight w:val="none"/>
        </w:rPr>
      </w:pPr>
      <w:bookmarkStart w:id="12" w:name="_Toc2272550"/>
      <w:bookmarkEnd w:id="12"/>
      <w:r>
        <w:rPr>
          <w:rFonts w:hint="eastAsia" w:ascii="宋体" w:hAnsi="宋体" w:cs="宋体"/>
          <w:b/>
          <w:color w:val="auto"/>
          <w:sz w:val="24"/>
          <w:szCs w:val="24"/>
          <w:highlight w:val="none"/>
        </w:rPr>
        <w:t>（二）招标文件</w:t>
      </w:r>
    </w:p>
    <w:p>
      <w:pPr>
        <w:pStyle w:val="6"/>
        <w:ind w:firstLine="482"/>
        <w:rPr>
          <w:rFonts w:hint="eastAsia" w:cs="宋体"/>
          <w:color w:val="auto"/>
          <w:highlight w:val="none"/>
        </w:rPr>
      </w:pPr>
      <w:r>
        <w:rPr>
          <w:rFonts w:hint="eastAsia" w:cs="宋体"/>
          <w:color w:val="auto"/>
          <w:highlight w:val="none"/>
        </w:rPr>
        <w:t>7.招标文件的组成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本招标文件包括下列文件，以及所有按本须知第8条发出的招标答疑会会议纪要和按本须知第9条发出的澄清或修改：</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第一章</w:t>
      </w:r>
      <w:r>
        <w:rPr>
          <w:rFonts w:hint="eastAsia" w:ascii="宋体" w:hAnsi="宋体" w:cs="宋体"/>
          <w:color w:val="auto"/>
          <w:sz w:val="24"/>
          <w:highlight w:val="none"/>
        </w:rPr>
        <w:t>投标须知</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第二章</w:t>
      </w:r>
      <w:r>
        <w:rPr>
          <w:rFonts w:hint="eastAsia" w:ascii="宋体" w:hAnsi="宋体" w:cs="宋体"/>
          <w:color w:val="auto"/>
          <w:sz w:val="24"/>
          <w:highlight w:val="none"/>
        </w:rPr>
        <w:t>开标、评标及定标办法</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第三章合同条款</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第四章</w:t>
      </w:r>
      <w:r>
        <w:rPr>
          <w:rFonts w:hint="eastAsia" w:ascii="宋体" w:hAnsi="宋体" w:cs="宋体"/>
          <w:color w:val="auto"/>
          <w:sz w:val="24"/>
          <w:highlight w:val="none"/>
        </w:rPr>
        <w:t>投标文件格式</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第五章</w:t>
      </w:r>
      <w:r>
        <w:rPr>
          <w:rFonts w:hint="eastAsia" w:ascii="宋体" w:hAnsi="宋体" w:cs="宋体"/>
          <w:color w:val="auto"/>
          <w:sz w:val="24"/>
          <w:highlight w:val="none"/>
        </w:rPr>
        <w:t>技术条件（工程建设标准）（另册）</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第六章</w:t>
      </w:r>
      <w:r>
        <w:rPr>
          <w:rFonts w:hint="eastAsia" w:ascii="宋体" w:hAnsi="宋体" w:cs="宋体"/>
          <w:color w:val="auto"/>
          <w:sz w:val="24"/>
          <w:highlight w:val="none"/>
        </w:rPr>
        <w:t>图纸及勘察资料（另册）</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bCs/>
          <w:color w:val="auto"/>
          <w:sz w:val="24"/>
          <w:highlight w:val="none"/>
        </w:rPr>
        <w:t>第七章招标</w:t>
      </w:r>
      <w:r>
        <w:rPr>
          <w:rFonts w:hint="eastAsia" w:ascii="宋体" w:hAnsi="宋体" w:cs="宋体"/>
          <w:color w:val="auto"/>
          <w:sz w:val="24"/>
          <w:highlight w:val="none"/>
        </w:rPr>
        <w:t>工程量清单（另册）</w:t>
      </w:r>
    </w:p>
    <w:p>
      <w:pPr>
        <w:pStyle w:val="34"/>
        <w:spacing w:after="0"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第八章最高投标限价</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pPr>
        <w:pStyle w:val="6"/>
        <w:ind w:firstLine="482"/>
        <w:rPr>
          <w:rFonts w:hint="eastAsia" w:cs="宋体"/>
          <w:color w:val="auto"/>
          <w:highlight w:val="none"/>
        </w:rPr>
      </w:pPr>
      <w:r>
        <w:rPr>
          <w:rFonts w:hint="eastAsia" w:cs="宋体"/>
          <w:color w:val="auto"/>
          <w:highlight w:val="none"/>
        </w:rPr>
        <w:t>8.招标答疑</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通过交易平台提交</w:t>
      </w:r>
      <w:r>
        <w:rPr>
          <w:rFonts w:hint="eastAsia" w:ascii="宋体" w:hAnsi="宋体" w:cs="宋体"/>
          <w:color w:val="auto"/>
          <w:sz w:val="24"/>
          <w:highlight w:val="none"/>
        </w:rPr>
        <w:t>给招标人或招标代理人，提交形式见本须知前附表第16项。</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8.3答疑会会议纪要为招标文件的一部分。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pPr>
        <w:pStyle w:val="6"/>
        <w:ind w:firstLine="482"/>
        <w:rPr>
          <w:rFonts w:hint="eastAsia" w:cs="宋体"/>
          <w:color w:val="auto"/>
          <w:highlight w:val="none"/>
        </w:rPr>
      </w:pPr>
      <w:r>
        <w:rPr>
          <w:rFonts w:hint="eastAsia" w:cs="宋体"/>
          <w:color w:val="auto"/>
          <w:highlight w:val="none"/>
        </w:rPr>
        <w:t>9.招标文件的澄清与修改</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156" w:beforeLines="50" w:after="156" w:afterLines="50"/>
        <w:jc w:val="center"/>
        <w:rPr>
          <w:rFonts w:hint="eastAsia" w:ascii="宋体" w:hAnsi="宋体" w:cs="宋体"/>
          <w:b/>
          <w:color w:val="auto"/>
          <w:sz w:val="24"/>
          <w:szCs w:val="24"/>
          <w:highlight w:val="none"/>
        </w:rPr>
      </w:pPr>
      <w:bookmarkStart w:id="13" w:name="_Toc2272551"/>
      <w:bookmarkEnd w:id="13"/>
      <w:r>
        <w:rPr>
          <w:rFonts w:hint="eastAsia" w:ascii="宋体" w:hAnsi="宋体" w:cs="宋体"/>
          <w:b/>
          <w:color w:val="auto"/>
          <w:sz w:val="24"/>
          <w:szCs w:val="24"/>
          <w:highlight w:val="none"/>
        </w:rPr>
        <w:t>（三）投标文件的编制</w:t>
      </w:r>
    </w:p>
    <w:p>
      <w:pPr>
        <w:pStyle w:val="6"/>
        <w:ind w:firstLine="482"/>
        <w:rPr>
          <w:rFonts w:hint="eastAsia" w:cs="宋体"/>
          <w:color w:val="auto"/>
          <w:highlight w:val="none"/>
        </w:rPr>
      </w:pPr>
      <w:r>
        <w:rPr>
          <w:rFonts w:hint="eastAsia" w:cs="宋体"/>
          <w:color w:val="auto"/>
          <w:highlight w:val="none"/>
        </w:rPr>
        <w:t>10.投标文件的语言及度量衡单位</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pPr>
        <w:pStyle w:val="6"/>
        <w:ind w:firstLine="482"/>
        <w:rPr>
          <w:rFonts w:hint="eastAsia" w:cs="宋体"/>
          <w:color w:val="auto"/>
          <w:highlight w:val="none"/>
        </w:rPr>
      </w:pPr>
      <w:r>
        <w:rPr>
          <w:rFonts w:hint="eastAsia" w:cs="宋体"/>
          <w:color w:val="auto"/>
          <w:highlight w:val="none"/>
        </w:rPr>
        <w:t>11.投标文件的组成</w:t>
      </w:r>
    </w:p>
    <w:p>
      <w:pPr>
        <w:pStyle w:val="34"/>
        <w:spacing w:after="0"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11.2.2 资格审查文件：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（1）投标人声明；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（3）企业营业执照（取自平台内上传件）；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（4）企业资质证书（取自平台内上传件）；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（5）建筑施工企业安全生产许可证（取自平台内上传件）；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（6）</w:t>
      </w:r>
      <w:r>
        <w:rPr>
          <w:rFonts w:hint="eastAsia" w:ascii="宋体" w:hAnsi="宋体" w:cs="宋体"/>
          <w:bCs/>
          <w:color w:val="auto"/>
          <w:sz w:val="24"/>
          <w:szCs w:val="24"/>
          <w:highlight w:val="none"/>
        </w:rPr>
        <w:t>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（8）拟委托技术负责人的相关证书、资料（具体要求由招标人明确）</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（9）拟委派项目负责人的建造师注册证书（取自平台内上传件）；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（10）项目负责人安全生产考核合格证明或在有效期内的安全考核合格证书（B类）或建筑施工企业项目负责人安全生产考核合格证书（取自平台内上传件）</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rPr>
        <w:t>（11）专职安全员须具有在有效期内的安全考核合格证书（C类）或建筑施工企业专职安全生产管理人员安全生产考核合格证书</w:t>
      </w:r>
      <w:r>
        <w:rPr>
          <w:rFonts w:hint="eastAsia" w:ascii="宋体" w:hAnsi="宋体" w:cs="宋体"/>
          <w:bCs/>
          <w:color w:val="auto"/>
          <w:sz w:val="24"/>
          <w:szCs w:val="24"/>
          <w:highlight w:val="none"/>
        </w:rPr>
        <w:t>（取自平台内上传件）；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（12）用于资格审查的业绩（设置业绩要求时选择此项，投标人</w:t>
      </w:r>
      <w:r>
        <w:rPr>
          <w:rFonts w:hint="eastAsia" w:ascii="宋体" w:hAnsi="宋体" w:cs="宋体"/>
          <w:color w:val="auto"/>
          <w:sz w:val="24"/>
          <w:highlight w:val="none"/>
        </w:rPr>
        <w:t>须提供类似工程业绩的项目名称及项目编号，具体格式由招标人自定</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 w:val="24"/>
          <w:szCs w:val="24"/>
          <w:highlight w:val="none"/>
        </w:rPr>
        <w:t>联合体工作协议应明确约定各方拟承担的工作和责任</w:t>
      </w:r>
      <w:r>
        <w:rPr>
          <w:rFonts w:hint="eastAsia" w:ascii="宋体" w:hAnsi="宋体" w:cs="宋体"/>
          <w:bCs/>
          <w:color w:val="auto"/>
          <w:sz w:val="24"/>
          <w:szCs w:val="24"/>
          <w:highlight w:val="none"/>
        </w:rPr>
        <w:t xml:space="preserve">）；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szCs w:val="24"/>
          <w:highlight w:val="none"/>
        </w:rPr>
        <w:t>（15）</w:t>
      </w:r>
      <w:r>
        <w:rPr>
          <w:rFonts w:hint="eastAsia" w:ascii="宋体" w:hAnsi="宋体" w:cs="宋体"/>
          <w:color w:val="auto"/>
          <w:sz w:val="24"/>
          <w:szCs w:val="24"/>
          <w:highlight w:val="none"/>
        </w:rPr>
        <w:t>投标人具有在广州地区可使用适合本工程的机械设备的证明文件（</w:t>
      </w:r>
      <w:r>
        <w:rPr>
          <w:rFonts w:hint="eastAsia" w:ascii="宋体" w:hAnsi="宋体" w:cs="宋体"/>
          <w:color w:val="auto"/>
          <w:sz w:val="24"/>
          <w:highlight w:val="none"/>
        </w:rPr>
        <w:t>提供沥青摊铺机自有发票或权属证明及设备现场全貌彩照（彩照须能反映其规格型号）</w:t>
      </w:r>
      <w:r>
        <w:rPr>
          <w:rFonts w:hint="eastAsia" w:ascii="宋体" w:hAnsi="宋体" w:cs="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11.2.3项目管理机构配备。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（3）其他辅助说明资料。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11.2.5施工组织设计或施工方案。</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（1）投标总价封面、扉页；</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（9）综合单价分析表；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（11）暂列金额明细表；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（14）计日工表；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（15）总承包服务计价表；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6"/>
        <w:ind w:firstLine="482"/>
        <w:rPr>
          <w:rFonts w:hint="eastAsia" w:cs="宋体"/>
          <w:color w:val="auto"/>
          <w:highlight w:val="none"/>
        </w:rPr>
      </w:pPr>
      <w:r>
        <w:rPr>
          <w:rFonts w:hint="eastAsia" w:cs="宋体"/>
          <w:color w:val="auto"/>
          <w:highlight w:val="none"/>
        </w:rPr>
        <w:t>12.投标文件格式</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cs="宋体"/>
          <w:color w:val="auto"/>
          <w:sz w:val="24"/>
          <w:szCs w:val="24"/>
          <w:highlight w:val="none"/>
        </w:rPr>
        <w:t>全流程电子化项目的相关指南进行操作。详见： 。</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 xml:space="preserve">照交易平台关于全流程电子化项目的相关指南进行编制，详见：。               </w:t>
      </w:r>
    </w:p>
    <w:p>
      <w:pPr>
        <w:pStyle w:val="34"/>
        <w:spacing w:after="0" w:line="360" w:lineRule="auto"/>
        <w:ind w:firstLine="0"/>
        <w:rPr>
          <w:rFonts w:hint="eastAsia"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6"/>
        <w:ind w:firstLine="482"/>
        <w:rPr>
          <w:rFonts w:hint="eastAsia" w:cs="宋体"/>
          <w:color w:val="auto"/>
          <w:highlight w:val="none"/>
        </w:rPr>
      </w:pPr>
      <w:r>
        <w:rPr>
          <w:rFonts w:hint="eastAsia" w:cs="宋体"/>
          <w:color w:val="auto"/>
          <w:highlight w:val="none"/>
        </w:rPr>
        <w:t>13.投标报价及造价承包和变更结算方式</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13.6暂列金额、暂估价</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6"/>
        <w:ind w:firstLine="482"/>
        <w:rPr>
          <w:rFonts w:hint="eastAsia" w:cs="宋体"/>
          <w:color w:val="auto"/>
          <w:highlight w:val="none"/>
        </w:rPr>
      </w:pPr>
      <w:r>
        <w:rPr>
          <w:rFonts w:hint="eastAsia" w:cs="宋体"/>
          <w:color w:val="auto"/>
          <w:highlight w:val="none"/>
        </w:rPr>
        <w:t>14.投标货币</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本工程投标报价采用的币种为人民币。</w:t>
      </w:r>
    </w:p>
    <w:p>
      <w:pPr>
        <w:pStyle w:val="6"/>
        <w:ind w:firstLine="482"/>
        <w:rPr>
          <w:rFonts w:hint="eastAsia" w:cs="宋体"/>
          <w:color w:val="auto"/>
          <w:highlight w:val="none"/>
        </w:rPr>
      </w:pPr>
      <w:r>
        <w:rPr>
          <w:rFonts w:hint="eastAsia" w:cs="宋体"/>
          <w:color w:val="auto"/>
          <w:highlight w:val="none"/>
        </w:rPr>
        <w:t>15.投标有效期</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6"/>
        <w:ind w:firstLine="482"/>
        <w:rPr>
          <w:rFonts w:hint="eastAsia" w:cs="宋体"/>
          <w:color w:val="auto"/>
          <w:highlight w:val="none"/>
        </w:rPr>
      </w:pPr>
      <w:r>
        <w:rPr>
          <w:rFonts w:hint="eastAsia" w:cs="宋体"/>
          <w:color w:val="auto"/>
          <w:highlight w:val="none"/>
        </w:rPr>
        <w:t>16.投标保证金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16.4.1因投标人原因造成投标文件未解密的；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16.4.2投标人在投标有效期内撤销投标文件；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pPr>
        <w:pStyle w:val="6"/>
        <w:ind w:firstLine="482"/>
        <w:rPr>
          <w:rFonts w:hint="eastAsia" w:cs="宋体"/>
          <w:color w:val="auto"/>
          <w:highlight w:val="none"/>
        </w:rPr>
      </w:pPr>
      <w:r>
        <w:rPr>
          <w:rFonts w:hint="eastAsia" w:cs="宋体"/>
          <w:color w:val="auto"/>
          <w:highlight w:val="none"/>
        </w:rPr>
        <w:t>17.投标文件的签署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156" w:beforeLines="50" w:after="156" w:afterLines="50"/>
        <w:jc w:val="center"/>
        <w:rPr>
          <w:rFonts w:hint="eastAsia" w:ascii="宋体" w:hAnsi="宋体" w:cs="宋体"/>
          <w:b/>
          <w:color w:val="auto"/>
          <w:sz w:val="24"/>
          <w:szCs w:val="24"/>
          <w:highlight w:val="none"/>
        </w:rPr>
      </w:pPr>
      <w:bookmarkStart w:id="14" w:name="_Toc2272552"/>
      <w:bookmarkEnd w:id="14"/>
      <w:r>
        <w:rPr>
          <w:rFonts w:hint="eastAsia" w:ascii="宋体" w:hAnsi="宋体" w:cs="宋体"/>
          <w:b/>
          <w:color w:val="auto"/>
          <w:sz w:val="24"/>
          <w:szCs w:val="24"/>
          <w:highlight w:val="none"/>
        </w:rPr>
        <w:t>（四）投标文件的提交</w:t>
      </w:r>
    </w:p>
    <w:p>
      <w:pPr>
        <w:pStyle w:val="6"/>
        <w:ind w:firstLine="482"/>
        <w:rPr>
          <w:rFonts w:hint="eastAsia" w:cs="宋体"/>
          <w:bCs/>
          <w:color w:val="auto"/>
          <w:highlight w:val="none"/>
        </w:rPr>
      </w:pPr>
      <w:r>
        <w:rPr>
          <w:rFonts w:hint="eastAsia" w:cs="宋体"/>
          <w:bCs/>
          <w:color w:val="auto"/>
          <w:highlight w:val="none"/>
        </w:rPr>
        <w:t>18.</w:t>
      </w:r>
      <w:r>
        <w:rPr>
          <w:rFonts w:hint="eastAsia" w:cs="宋体"/>
          <w:color w:val="auto"/>
          <w:highlight w:val="none"/>
        </w:rPr>
        <w:t>投标文件的密封和标记</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18.2未按要求加密的投标文件，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pPr>
        <w:pStyle w:val="6"/>
        <w:ind w:firstLine="482"/>
        <w:rPr>
          <w:rFonts w:hint="eastAsia" w:cs="宋体"/>
          <w:color w:val="auto"/>
          <w:highlight w:val="none"/>
        </w:rPr>
      </w:pPr>
      <w:r>
        <w:rPr>
          <w:rFonts w:hint="eastAsia" w:cs="宋体"/>
          <w:color w:val="auto"/>
          <w:highlight w:val="none"/>
        </w:rPr>
        <w:t>19.投标文件的递交和接收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pPr>
        <w:pStyle w:val="6"/>
        <w:ind w:firstLine="482"/>
        <w:rPr>
          <w:rFonts w:hint="eastAsia" w:cs="宋体"/>
          <w:color w:val="auto"/>
          <w:highlight w:val="none"/>
        </w:rPr>
      </w:pPr>
      <w:r>
        <w:rPr>
          <w:rFonts w:hint="eastAsia" w:cs="宋体"/>
          <w:color w:val="auto"/>
          <w:highlight w:val="none"/>
        </w:rPr>
        <w:t>20.投标文件提交的截止时间</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pPr>
        <w:pStyle w:val="6"/>
        <w:ind w:firstLine="482"/>
        <w:rPr>
          <w:rFonts w:hint="eastAsia" w:cs="宋体"/>
          <w:color w:val="auto"/>
          <w:highlight w:val="none"/>
        </w:rPr>
      </w:pPr>
      <w:r>
        <w:rPr>
          <w:rFonts w:hint="eastAsia" w:cs="宋体"/>
          <w:color w:val="auto"/>
          <w:highlight w:val="none"/>
        </w:rPr>
        <w:t>21.迟交的投标文件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pPr>
        <w:pStyle w:val="6"/>
        <w:ind w:firstLine="482"/>
        <w:rPr>
          <w:rFonts w:hint="eastAsia" w:cs="宋体"/>
          <w:color w:val="auto"/>
          <w:highlight w:val="none"/>
        </w:rPr>
      </w:pPr>
      <w:r>
        <w:rPr>
          <w:rFonts w:hint="eastAsia" w:cs="宋体"/>
          <w:color w:val="auto"/>
          <w:highlight w:val="none"/>
        </w:rPr>
        <w:t>22.投标文件的修改与撤回</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22.4在投标截止时间之后，投标人不得补充、修改和更换投标文件。</w:t>
      </w:r>
    </w:p>
    <w:p>
      <w:pPr>
        <w:spacing w:before="156" w:beforeLines="50" w:after="156" w:afterLines="50"/>
        <w:jc w:val="center"/>
        <w:rPr>
          <w:rFonts w:hint="eastAsia" w:ascii="宋体" w:hAnsi="宋体" w:cs="宋体"/>
          <w:b/>
          <w:color w:val="auto"/>
          <w:sz w:val="24"/>
          <w:szCs w:val="24"/>
          <w:highlight w:val="none"/>
        </w:rPr>
      </w:pPr>
      <w:bookmarkStart w:id="15" w:name="_Toc2272553"/>
      <w:bookmarkEnd w:id="15"/>
      <w:r>
        <w:rPr>
          <w:rFonts w:hint="eastAsia" w:ascii="宋体" w:hAnsi="宋体" w:cs="宋体"/>
          <w:b/>
          <w:color w:val="auto"/>
          <w:sz w:val="24"/>
          <w:szCs w:val="24"/>
          <w:highlight w:val="none"/>
        </w:rPr>
        <w:t>（五）开标、评标、定标及合同签定</w:t>
      </w:r>
    </w:p>
    <w:p>
      <w:pPr>
        <w:pStyle w:val="6"/>
        <w:ind w:firstLine="482"/>
        <w:rPr>
          <w:rFonts w:hint="eastAsia" w:cs="宋体"/>
          <w:color w:val="auto"/>
          <w:highlight w:val="none"/>
        </w:rPr>
      </w:pPr>
      <w:r>
        <w:rPr>
          <w:rFonts w:hint="eastAsia" w:cs="宋体"/>
          <w:color w:val="auto"/>
          <w:highlight w:val="none"/>
        </w:rPr>
        <w:t>23.开标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详见第二章开标、评标及定标办法</w:t>
      </w:r>
    </w:p>
    <w:p>
      <w:pPr>
        <w:pStyle w:val="6"/>
        <w:ind w:firstLine="482"/>
        <w:rPr>
          <w:rFonts w:hint="eastAsia" w:cs="宋体"/>
          <w:color w:val="auto"/>
          <w:highlight w:val="none"/>
        </w:rPr>
      </w:pPr>
      <w:r>
        <w:rPr>
          <w:rFonts w:hint="eastAsia" w:cs="宋体"/>
          <w:color w:val="auto"/>
          <w:highlight w:val="none"/>
        </w:rPr>
        <w:t>24.评标过程的保密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pStyle w:val="6"/>
        <w:ind w:firstLine="482"/>
        <w:rPr>
          <w:rFonts w:hint="eastAsia" w:cs="宋体"/>
          <w:color w:val="auto"/>
          <w:highlight w:val="none"/>
        </w:rPr>
      </w:pPr>
      <w:r>
        <w:rPr>
          <w:rFonts w:hint="eastAsia" w:cs="宋体"/>
          <w:color w:val="auto"/>
          <w:highlight w:val="none"/>
        </w:rPr>
        <w:t>25.投标文件的澄清，计算错误的修正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pStyle w:val="6"/>
        <w:ind w:firstLine="482"/>
        <w:rPr>
          <w:rFonts w:hint="eastAsia" w:cs="宋体"/>
          <w:color w:val="auto"/>
          <w:highlight w:val="none"/>
        </w:rPr>
      </w:pPr>
      <w:r>
        <w:rPr>
          <w:rFonts w:hint="eastAsia" w:cs="宋体"/>
          <w:color w:val="auto"/>
          <w:highlight w:val="none"/>
        </w:rPr>
        <w:t>26.投标文件的评审、比较和否决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pStyle w:val="6"/>
        <w:ind w:firstLine="482"/>
        <w:rPr>
          <w:rFonts w:hint="eastAsia" w:cs="宋体"/>
          <w:color w:val="auto"/>
          <w:highlight w:val="none"/>
        </w:rPr>
      </w:pPr>
      <w:r>
        <w:rPr>
          <w:rFonts w:hint="eastAsia" w:cs="宋体"/>
          <w:color w:val="auto"/>
          <w:highlight w:val="none"/>
        </w:rPr>
        <w:t>27.中标通知书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27.4在产生中标候选人后，招标人将中标候选人的投标文件商务部分文件的所有内容（包括人员、业绩、奖项等资料）在交易平台和广东省招标投标监管网公开。</w:t>
      </w:r>
    </w:p>
    <w:p>
      <w:pPr>
        <w:pStyle w:val="6"/>
        <w:ind w:firstLine="482"/>
        <w:rPr>
          <w:rFonts w:hint="eastAsia" w:cs="宋体"/>
          <w:color w:val="auto"/>
          <w:highlight w:val="none"/>
        </w:rPr>
      </w:pPr>
      <w:r>
        <w:rPr>
          <w:rFonts w:hint="eastAsia" w:cs="宋体"/>
          <w:color w:val="auto"/>
          <w:highlight w:val="none"/>
        </w:rPr>
        <w:t>28.合同协议书的签订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28.4招标人支付工程款时，中标人应按规定开具发票。</w:t>
      </w:r>
    </w:p>
    <w:p>
      <w:pPr>
        <w:pStyle w:val="6"/>
        <w:ind w:firstLine="482"/>
        <w:rPr>
          <w:rFonts w:hint="eastAsia" w:cs="宋体"/>
          <w:color w:val="auto"/>
          <w:highlight w:val="none"/>
        </w:rPr>
      </w:pPr>
      <w:r>
        <w:rPr>
          <w:rFonts w:hint="eastAsia" w:cs="宋体"/>
          <w:color w:val="auto"/>
          <w:highlight w:val="none"/>
        </w:rPr>
        <w:t>29.履约担保</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6"/>
        <w:ind w:firstLine="482"/>
        <w:rPr>
          <w:rFonts w:hint="eastAsia" w:cs="宋体"/>
          <w:color w:val="auto"/>
          <w:highlight w:val="none"/>
        </w:rPr>
      </w:pPr>
      <w:r>
        <w:rPr>
          <w:rFonts w:hint="eastAsia" w:cs="宋体"/>
          <w:color w:val="auto"/>
          <w:highlight w:val="none"/>
        </w:rPr>
        <w:t>30.合同生效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pPr>
        <w:pStyle w:val="6"/>
        <w:ind w:firstLine="482"/>
        <w:rPr>
          <w:rFonts w:hint="eastAsia" w:cs="宋体"/>
          <w:color w:val="auto"/>
          <w:highlight w:val="none"/>
        </w:rPr>
      </w:pPr>
      <w:r>
        <w:rPr>
          <w:rFonts w:hint="eastAsia" w:cs="宋体"/>
          <w:color w:val="auto"/>
          <w:highlight w:val="none"/>
        </w:rPr>
        <w:t>31.其它费用</w:t>
      </w:r>
    </w:p>
    <w:p>
      <w:pPr>
        <w:pStyle w:val="6"/>
        <w:ind w:firstLine="482"/>
        <w:rPr>
          <w:rFonts w:hint="eastAsia" w:cs="宋体"/>
          <w:color w:val="auto"/>
          <w:highlight w:val="none"/>
        </w:rPr>
      </w:pPr>
      <w:r>
        <w:rPr>
          <w:rFonts w:hint="eastAsia" w:cs="宋体"/>
          <w:color w:val="auto"/>
          <w:highlight w:val="none"/>
        </w:rPr>
        <w:t>32.腐败与欺诈行为</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32．1对本条款的规定，特定义如下词汇：</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pPr>
        <w:pStyle w:val="3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rFonts w:hint="eastAsia" w:ascii="宋体" w:hAnsi="宋体" w:cs="宋体"/>
          <w:color w:val="auto"/>
          <w:highlight w:val="none"/>
        </w:rPr>
      </w:pPr>
      <w:bookmarkStart w:id="16" w:name="_Toc2272554"/>
      <w:bookmarkEnd w:id="16"/>
      <w:r>
        <w:rPr>
          <w:rFonts w:hint="eastAsia" w:ascii="宋体" w:hAnsi="宋体" w:cs="宋体"/>
          <w:color w:val="auto"/>
          <w:highlight w:val="none"/>
        </w:rPr>
        <w:br w:type="page"/>
      </w:r>
      <w:bookmarkStart w:id="17" w:name="_Toc115117422"/>
      <w:r>
        <w:rPr>
          <w:rFonts w:hint="eastAsia" w:ascii="宋体" w:hAnsi="宋体" w:cs="宋体"/>
          <w:color w:val="auto"/>
          <w:highlight w:val="none"/>
        </w:rPr>
        <w:t>第二章开标、评标及定标办法</w:t>
      </w:r>
      <w:bookmarkEnd w:id="17"/>
    </w:p>
    <w:p>
      <w:pPr>
        <w:pStyle w:val="5"/>
        <w:rPr>
          <w:rFonts w:hint="eastAsia"/>
          <w:color w:val="auto"/>
          <w:highlight w:val="none"/>
        </w:rPr>
      </w:pPr>
      <w:bookmarkStart w:id="18" w:name="_Toc2272555"/>
      <w:bookmarkEnd w:id="18"/>
      <w:bookmarkStart w:id="19" w:name="_Toc115117423"/>
      <w:r>
        <w:rPr>
          <w:rFonts w:hint="eastAsia"/>
          <w:color w:val="auto"/>
          <w:sz w:val="28"/>
          <w:szCs w:val="28"/>
          <w:highlight w:val="none"/>
        </w:rPr>
        <w:t>一、</w:t>
      </w:r>
      <w:r>
        <w:rPr>
          <w:rFonts w:hint="eastAsia"/>
          <w:color w:val="auto"/>
          <w:highlight w:val="none"/>
        </w:rPr>
        <w:t>开标、评标及定标办法修改表</w:t>
      </w:r>
      <w:bookmarkEnd w:id="19"/>
    </w:p>
    <w:p>
      <w:pPr>
        <w:pStyle w:val="34"/>
        <w:pBdr>
          <w:bottom w:val="single" w:color="auto" w:sz="6" w:space="1"/>
        </w:pBdr>
        <w:spacing w:after="0" w:line="240" w:lineRule="auto"/>
        <w:rPr>
          <w:rFonts w:hint="eastAsia"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36.1            修改类型：修改</w:t>
      </w:r>
    </w:p>
    <w:p>
      <w:pPr>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ageBreakBefore w:val="0"/>
        <w:pBdr>
          <w:bottom w:val="single" w:color="auto" w:sz="6" w:space="1"/>
        </w:pBdr>
        <w:kinsoku/>
        <w:wordWrap/>
        <w:overflowPunct/>
        <w:topLinePunct w:val="0"/>
        <w:autoSpaceDE/>
        <w:autoSpaceDN/>
        <w:bidi w:val="0"/>
        <w:adjustRightInd/>
        <w:spacing w:line="312" w:lineRule="auto"/>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36.3               修改类型：删除</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36.4             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36.4若递交投标文件的投标人不足3家，则重新组织招标。（当N个标段同时招标且不允许兼中时，若有效投标人不足N+2家，则重新组织招标）</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36.4若递交投标文件的投标人不足3家，则重新组织招标。</w:t>
      </w:r>
    </w:p>
    <w:p>
      <w:pPr>
        <w:pStyle w:val="19"/>
        <w:pageBreakBefore w:val="0"/>
        <w:kinsoku/>
        <w:wordWrap/>
        <w:overflowPunct/>
        <w:topLinePunct w:val="0"/>
        <w:autoSpaceDE/>
        <w:autoSpaceDN/>
        <w:bidi w:val="0"/>
        <w:adjustRightInd/>
        <w:spacing w:line="312" w:lineRule="auto"/>
        <w:textAlignment w:val="auto"/>
        <w:rPr>
          <w:rFonts w:hint="eastAsia" w:hAnsi="宋体" w:cs="宋体"/>
          <w:color w:val="auto"/>
          <w:highlight w:val="none"/>
        </w:rPr>
      </w:pP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36.5.1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36.5.3           修改类型：修改</w:t>
      </w:r>
    </w:p>
    <w:p>
      <w:pPr>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36.5.3</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pPr>
        <w:pageBreakBefore w:val="0"/>
        <w:pBdr>
          <w:bottom w:val="single" w:color="auto" w:sz="6"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36.5.3</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pStyle w:val="19"/>
        <w:pageBreakBefore w:val="0"/>
        <w:kinsoku/>
        <w:wordWrap/>
        <w:overflowPunct/>
        <w:topLinePunct w:val="0"/>
        <w:autoSpaceDE/>
        <w:autoSpaceDN/>
        <w:bidi w:val="0"/>
        <w:adjustRightInd/>
        <w:spacing w:line="312" w:lineRule="auto"/>
        <w:textAlignment w:val="auto"/>
        <w:rPr>
          <w:rFonts w:hint="eastAsia" w:hAnsi="宋体" w:cs="宋体"/>
          <w:color w:val="auto"/>
          <w:highlight w:val="none"/>
        </w:rPr>
      </w:pP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38.1               修改类型：修改</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39.3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ageBreakBefore w:val="0"/>
        <w:pBdr>
          <w:bottom w:val="single" w:color="auto" w:sz="6" w:space="1"/>
        </w:pBdr>
        <w:kinsoku/>
        <w:wordWrap/>
        <w:overflowPunct/>
        <w:topLinePunct w:val="0"/>
        <w:autoSpaceDE/>
        <w:autoSpaceDN/>
        <w:bidi w:val="0"/>
        <w:adjustRightInd/>
        <w:spacing w:line="312" w:lineRule="auto"/>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施工单位项目负责人的，或者被查实存在影响中标结果的违法行为等情形，不符合中标条件的，招标人可以确定排名第二的中标候选人为中标人</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如第二中标候选人出现前款所列的情形的，招标人也可以确定排名第三的中标候选人为中标人，如所有中标候选人均出现前款所列的情形，为招标失败，招标人依法重新招标。</w:t>
      </w:r>
    </w:p>
    <w:p>
      <w:pPr>
        <w:pageBreakBefore w:val="0"/>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color w:val="auto"/>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可选办法一（适合综合评分法一，技术标与经济标先后分别开启）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可选办法二（适合综合评分法一，技术标与经济标同时开启）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可选办法三（适合综合评分法二，技术标与经济标先后分别开启）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可选办法四（适合综合评分法二，技术标与经济标同时开启）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可选办法五（适合综合评分法三，技术标与经济标先后分别开启）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可选办法六（适合综合评分法三，技术标与经济标同时开启）</w:t>
      </w:r>
    </w:p>
    <w:p>
      <w:pPr>
        <w:pageBreakBefore w:val="0"/>
        <w:pBdr>
          <w:bottom w:val="single" w:color="auto" w:sz="4" w:space="1"/>
        </w:pBdr>
        <w:kinsoku/>
        <w:wordWrap/>
        <w:overflowPunct/>
        <w:topLinePunct w:val="0"/>
        <w:autoSpaceDE/>
        <w:autoSpaceDN/>
        <w:bidi w:val="0"/>
        <w:adjustRightInd/>
        <w:spacing w:line="312" w:lineRule="auto"/>
        <w:ind w:firstLine="472"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highlight w:val="none"/>
        </w:rPr>
        <w:t>可选办法八（适合经评审的最低投标价法，技术标与经济标同时开启）</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41.1               修改类型：修改</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Style w:val="6"/>
        <w:pageBreakBefore w:val="0"/>
        <w:kinsoku/>
        <w:wordWrap/>
        <w:overflowPunct/>
        <w:topLinePunct w:val="0"/>
        <w:autoSpaceDE/>
        <w:autoSpaceDN/>
        <w:bidi w:val="0"/>
        <w:adjustRightInd/>
        <w:spacing w:line="312" w:lineRule="auto"/>
        <w:ind w:firstLine="422"/>
        <w:textAlignment w:val="auto"/>
        <w:rPr>
          <w:rFonts w:hint="eastAsia" w:cs="宋体"/>
          <w:b w:val="0"/>
          <w:color w:val="auto"/>
          <w:highlight w:val="none"/>
        </w:rPr>
      </w:pPr>
      <w:r>
        <w:rPr>
          <w:rFonts w:hint="eastAsia" w:cs="宋体"/>
          <w:color w:val="auto"/>
          <w:sz w:val="21"/>
          <w:highlight w:val="none"/>
        </w:rPr>
        <w:t>条款号: 41.2.1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41.2.1投标截止期前，各投标人递交投标文件（包括技术标投标文件、经济标投标文件）至交易平台。有关投标文件提交的事项详见第一章投标须知。</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41.2.2               修改类型：删除</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Style w:val="34"/>
        <w:pageBreakBefore w:val="0"/>
        <w:kinsoku/>
        <w:wordWrap/>
        <w:overflowPunct/>
        <w:topLinePunct w:val="0"/>
        <w:autoSpaceDE/>
        <w:autoSpaceDN/>
        <w:bidi w:val="0"/>
        <w:adjustRightInd/>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41.2.3</w:t>
      </w:r>
      <w:r>
        <w:rPr>
          <w:rFonts w:hint="eastAsia" w:ascii="宋体" w:hAnsi="宋体" w:cs="宋体"/>
          <w:b/>
          <w:color w:val="auto"/>
          <w:szCs w:val="21"/>
          <w:highlight w:val="none"/>
        </w:rPr>
        <w:t>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 开标时，投标人代表有权出席开标会，也可以自主决定不参加开标会，若投标人代表对开标过程提出异议，该投标人代表须同时出示本人身份证原件。</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6"/>
        <w:pageBreakBefore w:val="0"/>
        <w:kinsoku/>
        <w:wordWrap/>
        <w:overflowPunct/>
        <w:topLinePunct w:val="0"/>
        <w:autoSpaceDE/>
        <w:autoSpaceDN/>
        <w:bidi w:val="0"/>
        <w:adjustRightInd/>
        <w:spacing w:line="312" w:lineRule="auto"/>
        <w:ind w:firstLine="422"/>
        <w:textAlignment w:val="auto"/>
        <w:rPr>
          <w:rFonts w:hint="eastAsia" w:cs="宋体"/>
          <w:b w:val="0"/>
          <w:color w:val="auto"/>
          <w:highlight w:val="none"/>
        </w:rPr>
      </w:pPr>
      <w:r>
        <w:rPr>
          <w:rFonts w:hint="eastAsia" w:cs="宋体"/>
          <w:color w:val="auto"/>
          <w:sz w:val="21"/>
          <w:highlight w:val="none"/>
        </w:rPr>
        <w:t>条款号: 41.3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41.3按36.5.1的规定完成解密后，公布下列内容，并予以记录，记录提交评标委员会评审：</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color w:val="auto"/>
          <w:szCs w:val="21"/>
          <w:highlight w:val="none"/>
          <w:u w:val="single"/>
        </w:rPr>
        <w:t>：</w:t>
      </w:r>
      <w:r>
        <w:rPr>
          <w:rFonts w:hint="eastAsia" w:ascii="宋体" w:hAnsi="宋体" w:cs="宋体"/>
          <w:color w:val="auto"/>
          <w:szCs w:val="21"/>
          <w:highlight w:val="none"/>
          <w:u w:val="single"/>
        </w:rPr>
        <w:t>41.3招标人或招标代理对开标过程进行记录，并存档备查，投标人在开标记录上签字，投标人未签字且未提出异议的将被视为默认开标结果。</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42.2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p>
    <w:p>
      <w:pPr>
        <w:pageBreakBefore w:val="0"/>
        <w:pBdr>
          <w:bottom w:val="single" w:color="auto" w:sz="6" w:space="1"/>
        </w:pBdr>
        <w:kinsoku/>
        <w:wordWrap/>
        <w:overflowPunct/>
        <w:topLinePunct w:val="0"/>
        <w:autoSpaceDE/>
        <w:autoSpaceDN/>
        <w:bidi w:val="0"/>
        <w:adjustRightInd/>
        <w:spacing w:line="312" w:lineRule="auto"/>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ageBreakBefore w:val="0"/>
        <w:pBdr>
          <w:bottom w:val="single" w:color="auto" w:sz="6" w:space="1"/>
        </w:pBdr>
        <w:kinsoku/>
        <w:wordWrap/>
        <w:overflowPunct/>
        <w:topLinePunct w:val="0"/>
        <w:autoSpaceDE/>
        <w:autoSpaceDN/>
        <w:bidi w:val="0"/>
        <w:adjustRightInd/>
        <w:spacing w:line="312" w:lineRule="auto"/>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pPr>
        <w:pageBreakBefore w:val="0"/>
        <w:pBdr>
          <w:bottom w:val="single" w:color="auto" w:sz="6" w:space="1"/>
        </w:pBdr>
        <w:kinsoku/>
        <w:wordWrap/>
        <w:overflowPunct/>
        <w:topLinePunct w:val="0"/>
        <w:autoSpaceDE/>
        <w:autoSpaceDN/>
        <w:bidi w:val="0"/>
        <w:adjustRightInd/>
        <w:spacing w:line="312" w:lineRule="auto"/>
        <w:ind w:firstLine="422" w:firstLineChars="201"/>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方式一：</w:t>
      </w:r>
      <w:r>
        <w:rPr>
          <w:rFonts w:hint="eastAsia" w:ascii="宋体" w:hAnsi="宋体" w:cs="宋体"/>
          <w:color w:val="auto"/>
          <w:szCs w:val="21"/>
          <w:highlight w:val="none"/>
          <w:u w:val="none"/>
        </w:rPr>
        <w:t>评标委员会为综合评标委员会，负责资格审查及评标工作。</w:t>
      </w:r>
    </w:p>
    <w:p>
      <w:pPr>
        <w:pStyle w:val="34"/>
        <w:pageBreakBefore w:val="0"/>
        <w:kinsoku/>
        <w:wordWrap/>
        <w:overflowPunct/>
        <w:topLinePunct w:val="0"/>
        <w:autoSpaceDE/>
        <w:autoSpaceDN/>
        <w:bidi w:val="0"/>
        <w:adjustRightInd/>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条款号：43.1修改类型：修改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43.1 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pageBreakBefore w:val="0"/>
        <w:kinsoku/>
        <w:wordWrap/>
        <w:overflowPunct/>
        <w:topLinePunct w:val="0"/>
        <w:autoSpaceDE/>
        <w:autoSpaceDN/>
        <w:bidi w:val="0"/>
        <w:adjustRightInd/>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43.6</w:t>
      </w:r>
      <w:r>
        <w:rPr>
          <w:rFonts w:hint="eastAsia" w:ascii="宋体" w:hAnsi="宋体" w:cs="宋体"/>
          <w:b/>
          <w:color w:val="auto"/>
          <w:szCs w:val="21"/>
          <w:highlight w:val="none"/>
        </w:rPr>
        <w:t>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43.6</w:t>
      </w:r>
      <w:r>
        <w:rPr>
          <w:rFonts w:hint="eastAsia" w:ascii="宋体" w:hAnsi="宋体" w:cs="宋体"/>
          <w:bCs/>
          <w:color w:val="auto"/>
          <w:szCs w:val="21"/>
          <w:highlight w:val="none"/>
        </w:rPr>
        <w:t>资格审查合格的投标人少于3名的（当N个标段同时招标且不允许兼中时，资格审查合格的投标人少于N+2名），则本项目招标失败。</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hint="eastAsia" w:ascii="宋体" w:hAnsi="宋体" w:cs="宋体"/>
          <w:bCs/>
          <w:color w:val="auto"/>
          <w:szCs w:val="21"/>
          <w:highlight w:val="none"/>
          <w:u w:val="single"/>
        </w:rPr>
        <w:t>资格审查合格的投标人少于3名的，则本项目招标失败</w:t>
      </w:r>
      <w:r>
        <w:rPr>
          <w:rFonts w:hint="eastAsia" w:ascii="宋体" w:hAnsi="宋体" w:cs="宋体"/>
          <w:bCs/>
          <w:color w:val="auto"/>
          <w:szCs w:val="21"/>
          <w:highlight w:val="none"/>
        </w:rPr>
        <w:t>。</w:t>
      </w:r>
    </w:p>
    <w:p>
      <w:pPr>
        <w:pStyle w:val="34"/>
        <w:pageBreakBefore w:val="0"/>
        <w:kinsoku/>
        <w:wordWrap/>
        <w:overflowPunct/>
        <w:topLinePunct w:val="0"/>
        <w:autoSpaceDE/>
        <w:autoSpaceDN/>
        <w:bidi w:val="0"/>
        <w:adjustRightInd/>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条款号：44.1修改类型：修改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44.1 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44.2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44.2技术标详细审查评分：评标委员会按照附表四《技术标详细审查评分表》的标准，对通过技术标有效性审查的投标文件技术标进行详细审查，评出技术分，投标人的技术标得分为各评委评分的算术平均值（若分数出现小数点时，保留小数点后二位，第三位小数四舍五入）。</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45.1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ascii="宋体" w:hAnsi="宋体" w:eastAsia="宋体" w:cs="宋体"/>
          <w:color w:val="auto"/>
          <w:sz w:val="21"/>
          <w:szCs w:val="21"/>
          <w:highlight w:val="none"/>
        </w:rPr>
        <w:t>45.1 现文：若通过技术标有效性审查的投标人中所有投标报价均大于等于最高投标限价*</w:t>
      </w:r>
      <w:r>
        <w:rPr>
          <w:rFonts w:hint="eastAsia" w:ascii="宋体" w:hAnsi="宋体" w:eastAsia="宋体" w:cs="宋体"/>
          <w:color w:val="auto"/>
          <w:sz w:val="21"/>
          <w:szCs w:val="21"/>
          <w:highlight w:val="none"/>
          <w:u w:val="none"/>
        </w:rPr>
        <w:t>100%</w:t>
      </w:r>
      <w:r>
        <w:rPr>
          <w:rFonts w:hint="eastAsia" w:ascii="宋体" w:hAnsi="宋体" w:eastAsia="宋体" w:cs="宋体"/>
          <w:color w:val="auto"/>
          <w:sz w:val="21"/>
          <w:szCs w:val="21"/>
          <w:highlight w:val="none"/>
        </w:rPr>
        <w:t>的（具体金额为：</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rPr>
        <w:t>元），则本项目招标失败，由招标人依法重新招标。</w:t>
      </w:r>
      <w:r>
        <w:rPr>
          <w:rFonts w:hint="eastAsia" w:cs="宋体"/>
          <w:color w:val="auto"/>
          <w:sz w:val="21"/>
          <w:highlight w:val="none"/>
        </w:rPr>
        <w:t>条款号: 45.2               修改类型：修改</w:t>
      </w:r>
    </w:p>
    <w:p>
      <w:pPr>
        <w:pStyle w:val="34"/>
        <w:pageBreakBefore w:val="0"/>
        <w:tabs>
          <w:tab w:val="left" w:pos="7380"/>
        </w:tabs>
        <w:kinsoku/>
        <w:wordWrap/>
        <w:overflowPunct/>
        <w:topLinePunct w:val="0"/>
        <w:autoSpaceDE/>
        <w:autoSpaceDN/>
        <w:bidi w:val="0"/>
        <w:adjustRightInd/>
        <w:snapToGrid w:val="0"/>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45.2按方法计算评标参考价：</w:t>
      </w:r>
    </w:p>
    <w:p>
      <w:pPr>
        <w:pageBreakBefore w:val="0"/>
        <w:widowControl/>
        <w:kinsoku/>
        <w:wordWrap/>
        <w:overflowPunct/>
        <w:topLinePunct w:val="0"/>
        <w:autoSpaceDE/>
        <w:autoSpaceDN/>
        <w:bidi w:val="0"/>
        <w:adjustRightInd/>
        <w:spacing w:line="312"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79730" cy="448310"/>
            <wp:effectExtent l="0" t="0" r="1270" b="889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79730" cy="448310"/>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7660" cy="396875"/>
            <wp:effectExtent l="0" t="0" r="15240" b="317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7660" cy="396875"/>
            <wp:effectExtent l="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7660" cy="396875"/>
            <wp:effectExtent l="0" t="0" r="15240" b="317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7660" cy="39687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ageBreakBefore w:val="0"/>
        <w:widowControl/>
        <w:kinsoku/>
        <w:wordWrap/>
        <w:overflowPunct/>
        <w:topLinePunct w:val="0"/>
        <w:autoSpaceDE/>
        <w:autoSpaceDN/>
        <w:bidi w:val="0"/>
        <w:adjustRightInd/>
        <w:spacing w:line="312"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pageBreakBefore w:val="0"/>
        <w:widowControl/>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ageBreakBefore w:val="0"/>
        <w:widowControl/>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pageBreakBefore w:val="0"/>
        <w:widowControl/>
        <w:kinsoku/>
        <w:wordWrap/>
        <w:overflowPunct/>
        <w:topLinePunct w:val="0"/>
        <w:autoSpaceDE/>
        <w:autoSpaceDN/>
        <w:bidi w:val="0"/>
        <w:adjustRightInd/>
        <w:snapToGrid w:val="0"/>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pageBreakBefore w:val="0"/>
        <w:kinsoku/>
        <w:wordWrap/>
        <w:overflowPunct/>
        <w:topLinePunct w:val="0"/>
        <w:autoSpaceDE/>
        <w:autoSpaceDN/>
        <w:bidi w:val="0"/>
        <w:adjustRightInd/>
        <w:spacing w:line="312" w:lineRule="auto"/>
        <w:ind w:firstLine="422" w:firstLineChars="201"/>
        <w:textAlignment w:val="auto"/>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pStyle w:val="101"/>
        <w:pageBreakBefore w:val="0"/>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kern w:val="2"/>
          <w:sz w:val="21"/>
          <w:szCs w:val="21"/>
          <w:highlight w:val="none"/>
        </w:rPr>
        <w:t>现文</w:t>
      </w:r>
      <w:r>
        <w:rPr>
          <w:rFonts w:hint="eastAsia" w:ascii="宋体" w:hAnsi="宋体" w:eastAsia="宋体" w:cs="宋体"/>
          <w:b/>
          <w:color w:val="auto"/>
          <w:szCs w:val="21"/>
          <w:highlight w:val="none"/>
        </w:rPr>
        <w:t>：</w:t>
      </w:r>
      <w:r>
        <w:rPr>
          <w:rFonts w:hint="eastAsia" w:ascii="宋体" w:hAnsi="宋体" w:eastAsia="宋体" w:cs="宋体"/>
          <w:bCs/>
          <w:color w:val="auto"/>
          <w:kern w:val="2"/>
          <w:sz w:val="21"/>
          <w:szCs w:val="21"/>
          <w:highlight w:val="none"/>
          <w:u w:val="single"/>
        </w:rPr>
        <w:t>45.2现文：按方法 一 计算评标参考价：方法一：加权平均法  技术标得分前5名的经济报价加权平均，（若通过技术标有效性审查投标人小于5家时,N=通过技术标有效性审查的实际投标人个数）计算评标参考价。公式如下：</w:t>
      </w:r>
      <w:r>
        <w:rPr>
          <w:rFonts w:hint="eastAsia" w:ascii="宋体" w:hAnsi="宋体" w:eastAsia="宋体" w:cs="宋体"/>
          <w:color w:val="auto"/>
          <w:szCs w:val="21"/>
          <w:highlight w:val="none"/>
        </w:rPr>
        <w:t xml:space="preserve"> </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pageBreakBefore w:val="0"/>
        <w:kinsoku/>
        <w:wordWrap/>
        <w:overflowPunct/>
        <w:topLinePunct w:val="0"/>
        <w:autoSpaceDE/>
        <w:autoSpaceDN/>
        <w:bidi w:val="0"/>
        <w:adjustRightInd/>
        <w:spacing w:line="312" w:lineRule="auto"/>
        <w:ind w:firstLine="411" w:firstLineChars="196"/>
        <w:textAlignment w:val="auto"/>
        <w:rPr>
          <w:rFonts w:hint="eastAsia" w:ascii="宋体" w:hAnsi="宋体" w:cs="宋体"/>
          <w:bCs/>
          <w:color w:val="auto"/>
          <w:szCs w:val="21"/>
          <w:highlight w:val="none"/>
        </w:rPr>
      </w:pPr>
      <w:r>
        <w:rPr>
          <w:rFonts w:hint="eastAsia" w:ascii="宋体" w:hAnsi="宋体" w:cs="宋体"/>
          <w:bCs/>
          <w:color w:val="auto"/>
          <w:szCs w:val="21"/>
          <w:highlight w:val="none"/>
          <w:u w:val="single"/>
        </w:rPr>
        <w:t>通过技术标有效性审查的投标人技术标得分前5名（N=5，不足5名时，取所有满足前述条件的投标人数量）</w:t>
      </w:r>
      <w:r>
        <w:rPr>
          <w:rFonts w:hint="eastAsia" w:ascii="宋体" w:hAnsi="宋体" w:cs="宋体"/>
          <w:bCs/>
          <w:color w:val="auto"/>
          <w:szCs w:val="21"/>
          <w:highlight w:val="none"/>
        </w:rPr>
        <w:t>的经济报价加权平均，计算评标参考价。公式如下：</w:t>
      </w:r>
    </w:p>
    <w:p>
      <w:pPr>
        <w:pageBreakBefore w:val="0"/>
        <w:kinsoku/>
        <w:wordWrap/>
        <w:overflowPunct/>
        <w:topLinePunct w:val="0"/>
        <w:autoSpaceDE/>
        <w:autoSpaceDN/>
        <w:bidi w:val="0"/>
        <w:adjustRightInd/>
        <w:spacing w:line="312" w:lineRule="auto"/>
        <w:ind w:firstLine="411" w:firstLineChars="196"/>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评标参考价=Σ（投标人的投标报价*报价权重）。</w:t>
      </w:r>
    </w:p>
    <w:p>
      <w:pPr>
        <w:pageBreakBefore w:val="0"/>
        <w:kinsoku/>
        <w:wordWrap/>
        <w:overflowPunct/>
        <w:topLinePunct w:val="0"/>
        <w:autoSpaceDE/>
        <w:autoSpaceDN/>
        <w:bidi w:val="0"/>
        <w:adjustRightInd/>
        <w:spacing w:line="312"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79730" cy="448310"/>
            <wp:effectExtent l="0" t="0" r="1270" b="889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79730" cy="448310"/>
            <wp:effectExtent l="0" t="0" r="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7660" cy="396875"/>
            <wp:effectExtent l="0" t="0" r="15240" b="317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7660" cy="396875"/>
            <wp:effectExtent l="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7660" cy="396875"/>
            <wp:effectExtent l="0" t="0" r="15240" b="3175"/>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7660" cy="396875"/>
            <wp:effectExtent l="0" t="0" r="0" b="0"/>
            <wp:docPr id="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ageBreakBefore w:val="0"/>
        <w:widowControl/>
        <w:kinsoku/>
        <w:wordWrap/>
        <w:overflowPunct/>
        <w:topLinePunct w:val="0"/>
        <w:autoSpaceDE/>
        <w:autoSpaceDN/>
        <w:bidi w:val="0"/>
        <w:adjustRightInd/>
        <w:spacing w:line="312"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pageBreakBefore w:val="0"/>
        <w:pBdr>
          <w:bottom w:val="single" w:color="auto" w:sz="4" w:space="7"/>
        </w:pBdr>
        <w:kinsoku/>
        <w:wordWrap/>
        <w:overflowPunct/>
        <w:topLinePunct w:val="0"/>
        <w:autoSpaceDE/>
        <w:autoSpaceDN/>
        <w:bidi w:val="0"/>
        <w:adjustRightInd/>
        <w:spacing w:line="312" w:lineRule="auto"/>
        <w:ind w:firstLine="411" w:firstLineChars="196"/>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若投标人</w:t>
      </w:r>
      <w:r>
        <w:rPr>
          <w:rFonts w:hint="eastAsia" w:ascii="宋体" w:hAnsi="宋体" w:cs="宋体"/>
          <w:color w:val="auto"/>
          <w:szCs w:val="21"/>
          <w:highlight w:val="none"/>
          <w:u w:val="single"/>
          <w:lang w:val="en-US" w:eastAsia="zh-CN"/>
        </w:rPr>
        <w:t>的</w:t>
      </w:r>
      <w:r>
        <w:rPr>
          <w:rFonts w:hint="eastAsia" w:ascii="宋体" w:hAnsi="宋体" w:cs="宋体"/>
          <w:bCs/>
          <w:color w:val="auto"/>
          <w:szCs w:val="21"/>
          <w:highlight w:val="none"/>
          <w:u w:val="single"/>
        </w:rPr>
        <w:t>技术标得分</w:t>
      </w:r>
      <w:r>
        <w:rPr>
          <w:rFonts w:hint="eastAsia" w:ascii="宋体" w:hAnsi="宋体" w:cs="宋体"/>
          <w:color w:val="auto"/>
          <w:szCs w:val="21"/>
          <w:highlight w:val="none"/>
          <w:u w:val="single"/>
        </w:rPr>
        <w:t>相同的，则以投标总报价较低的排前；投标总报价仍相同的，则对具有相同情况的投标人，由评标委员会采用记名投票方式，确定投标人</w:t>
      </w:r>
      <w:r>
        <w:rPr>
          <w:rFonts w:hint="eastAsia" w:ascii="宋体" w:hAnsi="宋体" w:cs="宋体"/>
          <w:bCs/>
          <w:color w:val="auto"/>
          <w:szCs w:val="21"/>
          <w:highlight w:val="none"/>
          <w:u w:val="single"/>
          <w:lang w:val="en-US" w:eastAsia="zh-CN"/>
        </w:rPr>
        <w:t>参与</w:t>
      </w:r>
      <w:r>
        <w:rPr>
          <w:rFonts w:hint="eastAsia" w:ascii="宋体" w:hAnsi="宋体" w:cs="宋体"/>
          <w:bCs/>
          <w:color w:val="auto"/>
          <w:szCs w:val="21"/>
          <w:highlight w:val="none"/>
          <w:u w:val="single"/>
        </w:rPr>
        <w:t>评标参考价</w:t>
      </w:r>
      <w:r>
        <w:rPr>
          <w:rFonts w:hint="eastAsia" w:ascii="宋体" w:hAnsi="宋体" w:cs="宋体"/>
          <w:bCs/>
          <w:color w:val="auto"/>
          <w:szCs w:val="21"/>
          <w:highlight w:val="none"/>
          <w:u w:val="single"/>
          <w:lang w:val="en-US" w:eastAsia="zh-CN"/>
        </w:rPr>
        <w:t>计算</w:t>
      </w:r>
      <w:r>
        <w:rPr>
          <w:rFonts w:hint="eastAsia" w:ascii="宋体" w:hAnsi="宋体" w:cs="宋体"/>
          <w:color w:val="auto"/>
          <w:szCs w:val="21"/>
          <w:highlight w:val="none"/>
          <w:u w:val="single"/>
        </w:rPr>
        <w:t>名次的排序。</w:t>
      </w:r>
      <w:r>
        <w:rPr>
          <w:rFonts w:hint="eastAsia" w:ascii="宋体" w:hAnsi="宋体" w:cs="宋体"/>
          <w:color w:val="auto"/>
          <w:szCs w:val="21"/>
          <w:highlight w:val="none"/>
        </w:rPr>
        <w:t>。</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45.3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101"/>
        <w:ind w:firstLine="422" w:firstLineChars="200"/>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现文：</w:t>
      </w:r>
      <w:r>
        <w:rPr>
          <w:rFonts w:hint="eastAsia" w:ascii="宋体" w:hAnsi="宋体" w:eastAsia="宋体" w:cs="宋体"/>
          <w:color w:val="auto"/>
          <w:kern w:val="2"/>
          <w:sz w:val="21"/>
          <w:szCs w:val="21"/>
          <w:highlight w:val="none"/>
        </w:rPr>
        <w:t>45.3当标价等于评标参考价时得100分，标价每高于评标参考价1%，扣</w:t>
      </w:r>
      <w:r>
        <w:rPr>
          <w:rFonts w:hint="eastAsia" w:ascii="宋体" w:hAnsi="宋体" w:eastAsia="宋体" w:cs="宋体"/>
          <w:color w:val="auto"/>
          <w:kern w:val="2"/>
          <w:sz w:val="21"/>
          <w:szCs w:val="21"/>
          <w:highlight w:val="none"/>
          <w:u w:val="none"/>
        </w:rPr>
        <w:t>0.</w:t>
      </w: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rPr>
        <w:t>分，每低于评标参考价1%，扣</w:t>
      </w:r>
      <w:r>
        <w:rPr>
          <w:rFonts w:hint="eastAsia" w:ascii="宋体" w:hAnsi="宋体" w:eastAsia="宋体" w:cs="宋体"/>
          <w:color w:val="auto"/>
          <w:kern w:val="2"/>
          <w:sz w:val="21"/>
          <w:szCs w:val="21"/>
          <w:highlight w:val="none"/>
          <w:u w:val="none"/>
        </w:rPr>
        <w:t>0.</w:t>
      </w:r>
      <w:r>
        <w:rPr>
          <w:rFonts w:hint="eastAsia" w:ascii="宋体" w:hAnsi="宋体" w:eastAsia="宋体" w:cs="宋体"/>
          <w:color w:val="auto"/>
          <w:kern w:val="2"/>
          <w:sz w:val="21"/>
          <w:szCs w:val="21"/>
          <w:highlight w:val="none"/>
          <w:u w:val="none"/>
          <w:lang w:val="en-US" w:eastAsia="zh-CN"/>
        </w:rPr>
        <w:t>1</w:t>
      </w:r>
      <w:r>
        <w:rPr>
          <w:rFonts w:hint="eastAsia" w:ascii="宋体" w:hAnsi="宋体" w:eastAsia="宋体" w:cs="宋体"/>
          <w:color w:val="auto"/>
          <w:kern w:val="2"/>
          <w:sz w:val="21"/>
          <w:szCs w:val="21"/>
          <w:highlight w:val="none"/>
        </w:rPr>
        <w:t>分，扣至0分为止，得出经济分，精确到小数点后两位。</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45.4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kern w:val="0"/>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：计算通过技术标有效性审查的投标人总得分。</w:t>
      </w:r>
      <w:r>
        <w:rPr>
          <w:rFonts w:hint="eastAsia" w:ascii="宋体" w:hAnsi="宋体" w:cs="宋体"/>
          <w:b/>
          <w:bCs/>
          <w:color w:val="auto"/>
          <w:szCs w:val="21"/>
          <w:highlight w:val="none"/>
        </w:rPr>
        <w:t>投标人总得分=技术得分（满分20分）＋经济得分（满分100分）×经济得分权重（80%）</w:t>
      </w:r>
      <w:r>
        <w:rPr>
          <w:rFonts w:hint="eastAsia" w:ascii="宋体" w:hAnsi="宋体" w:cs="宋体"/>
          <w:color w:val="auto"/>
          <w:szCs w:val="21"/>
          <w:highlight w:val="none"/>
        </w:rPr>
        <w:t>。技术、经济得分权重按投标须知前附表的规定执行。总得分四舍五入保留两位小数。总得分相同情况下的排序方法：总得分相同的，以技术标得分高的排前；总得分与技术标得分均相同的投标文件，以投标总报价较低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cs="宋体"/>
          <w:color w:val="auto"/>
          <w:kern w:val="0"/>
          <w:szCs w:val="21"/>
          <w:highlight w:val="none"/>
        </w:rPr>
        <w:t>。</w:t>
      </w:r>
    </w:p>
    <w:p>
      <w:pPr>
        <w:pStyle w:val="34"/>
        <w:pageBreakBefore w:val="0"/>
        <w:kinsoku/>
        <w:wordWrap/>
        <w:overflowPunct/>
        <w:topLinePunct w:val="0"/>
        <w:autoSpaceDE/>
        <w:autoSpaceDN/>
        <w:bidi w:val="0"/>
        <w:adjustRightInd/>
        <w:spacing w:after="0" w:line="312"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条款号：46.1修改类型：修改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46.1 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48        修改类型：修改</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评标委员会应在通过投标文件经济标有效性审查的投标人中，按步骤45.4确定的投标人第二阶段排序，推荐前3名依次为第一中标候选人至第三中标候选人,并编制评标报告。</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评标委员会应在通过投标文件经济标有效性审查的投标人中，按步骤45.4确定的投标人排序，推荐前3名依次为第一中标候选人至第三中标候选人,并编制评标报告。</w:t>
      </w:r>
    </w:p>
    <w:p>
      <w:pPr>
        <w:pStyle w:val="34"/>
        <w:pageBreakBefore w:val="0"/>
        <w:kinsoku/>
        <w:wordWrap/>
        <w:overflowPunct/>
        <w:topLinePunct w:val="0"/>
        <w:autoSpaceDE/>
        <w:autoSpaceDN/>
        <w:bidi w:val="0"/>
        <w:adjustRightInd/>
        <w:spacing w:after="0" w:line="312" w:lineRule="auto"/>
        <w:textAlignment w:val="auto"/>
        <w:rPr>
          <w:rFonts w:hint="eastAsia" w:ascii="宋体" w:hAnsi="宋体" w:cs="宋体"/>
          <w:color w:val="auto"/>
          <w:szCs w:val="21"/>
          <w:highlight w:val="none"/>
        </w:rPr>
      </w:pPr>
      <w:r>
        <w:rPr>
          <w:rFonts w:hint="eastAsia" w:ascii="宋体" w:hAnsi="宋体" w:cs="宋体"/>
          <w:b/>
          <w:color w:val="auto"/>
          <w:szCs w:val="21"/>
          <w:highlight w:val="none"/>
        </w:rPr>
        <w:t>条款号：49 修改类型：修改</w:t>
      </w:r>
    </w:p>
    <w:p>
      <w:pPr>
        <w:pageBreakBefore w:val="0"/>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49.若通过经济标有效性审查的投标人不足三家，应当依法重新招标。（当N个标段同时招标且不允许兼中时，若有效投标人不足N+2家，应当依法重新招标）</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49.若通过经济标有效性审查的投标人不足三家，应当依法重新招标。</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附表一《资格审查表》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附表二《技术标有效性审查表》      修改类型：修改</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pPr>
        <w:pStyle w:val="6"/>
        <w:pageBreakBefore w:val="0"/>
        <w:kinsoku/>
        <w:wordWrap/>
        <w:overflowPunct/>
        <w:topLinePunct w:val="0"/>
        <w:autoSpaceDE/>
        <w:autoSpaceDN/>
        <w:bidi w:val="0"/>
        <w:adjustRightInd/>
        <w:spacing w:line="312" w:lineRule="auto"/>
        <w:ind w:firstLine="422"/>
        <w:textAlignment w:val="auto"/>
        <w:rPr>
          <w:rFonts w:hint="eastAsia" w:cs="宋体"/>
          <w:b w:val="0"/>
          <w:color w:val="auto"/>
          <w:highlight w:val="none"/>
        </w:rPr>
      </w:pPr>
      <w:r>
        <w:rPr>
          <w:rFonts w:hint="eastAsia" w:cs="宋体"/>
          <w:color w:val="auto"/>
          <w:sz w:val="21"/>
          <w:highlight w:val="none"/>
        </w:rPr>
        <w:t>条款号: 附表三《经济标有效性审查表》           修改类型：修改</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 xml:space="preserve">条款号: 附表四《技术标详细审查评分表》         修改类型：修改  </w:t>
      </w:r>
    </w:p>
    <w:p>
      <w:pPr>
        <w:pageBreakBefore w:val="0"/>
        <w:kinsoku/>
        <w:wordWrap/>
        <w:overflowPunct/>
        <w:topLinePunct w:val="0"/>
        <w:autoSpaceDE/>
        <w:autoSpaceDN/>
        <w:bidi w:val="0"/>
        <w:adjustRightInd/>
        <w:spacing w:line="312" w:lineRule="auto"/>
        <w:ind w:firstLine="424" w:firstLineChars="201"/>
        <w:textAlignment w:val="auto"/>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详见本招标文件第二章附表四《技术标详细审查评分表》</w:t>
      </w:r>
    </w:p>
    <w:p>
      <w:pPr>
        <w:pStyle w:val="6"/>
        <w:pageBreakBefore w:val="0"/>
        <w:kinsoku/>
        <w:wordWrap/>
        <w:overflowPunct/>
        <w:topLinePunct w:val="0"/>
        <w:autoSpaceDE/>
        <w:autoSpaceDN/>
        <w:bidi w:val="0"/>
        <w:adjustRightInd/>
        <w:spacing w:line="312" w:lineRule="auto"/>
        <w:ind w:firstLine="422"/>
        <w:textAlignment w:val="auto"/>
        <w:rPr>
          <w:rFonts w:hint="eastAsia" w:cs="宋体"/>
          <w:color w:val="auto"/>
          <w:sz w:val="21"/>
          <w:highlight w:val="none"/>
        </w:rPr>
      </w:pPr>
      <w:r>
        <w:rPr>
          <w:rFonts w:hint="eastAsia" w:cs="宋体"/>
          <w:color w:val="auto"/>
          <w:sz w:val="21"/>
          <w:highlight w:val="none"/>
        </w:rPr>
        <w:t>条款号: 附表五（适用于区间抽取法）《经济标评分表》        修改类型：删除</w:t>
      </w:r>
    </w:p>
    <w:p>
      <w:pPr>
        <w:pageBreakBefore w:val="0"/>
        <w:pBdr>
          <w:bottom w:val="single" w:color="auto" w:sz="6" w:space="1"/>
        </w:pBdr>
        <w:kinsoku/>
        <w:wordWrap/>
        <w:overflowPunct/>
        <w:topLinePunct w:val="0"/>
        <w:autoSpaceDE/>
        <w:autoSpaceDN/>
        <w:bidi w:val="0"/>
        <w:adjustRightInd/>
        <w:spacing w:line="312" w:lineRule="auto"/>
        <w:ind w:firstLine="424"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rFonts w:hint="eastAsia" w:ascii="宋体" w:hAnsi="宋体" w:cs="宋体"/>
          <w:b/>
          <w:color w:val="auto"/>
          <w:szCs w:val="21"/>
          <w:highlight w:val="none"/>
        </w:rPr>
      </w:pPr>
    </w:p>
    <w:p>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hint="eastAsia" w:ascii="宋体" w:hAnsi="宋体" w:cs="宋体"/>
          <w:color w:val="auto"/>
          <w:highlight w:val="none"/>
        </w:rPr>
      </w:pPr>
      <w:r>
        <w:rPr>
          <w:rFonts w:hint="eastAsia" w:ascii="宋体" w:hAnsi="宋体" w:cs="宋体"/>
          <w:b/>
          <w:color w:val="auto"/>
          <w:szCs w:val="21"/>
          <w:highlight w:val="none"/>
        </w:rPr>
        <w:t>（以下无正文）</w:t>
      </w:r>
    </w:p>
    <w:p>
      <w:pPr>
        <w:outlineLvl w:val="9"/>
        <w:rPr>
          <w:rFonts w:hint="eastAsia" w:ascii="宋体" w:hAnsi="宋体" w:cs="宋体"/>
          <w:color w:val="auto"/>
          <w:highlight w:val="none"/>
        </w:rPr>
      </w:pPr>
      <w:bookmarkStart w:id="20" w:name="_Toc2272556"/>
      <w:r>
        <w:rPr>
          <w:rFonts w:hint="eastAsia" w:ascii="宋体" w:hAnsi="宋体" w:cs="宋体"/>
          <w:color w:val="auto"/>
          <w:highlight w:val="none"/>
        </w:rPr>
        <w:br w:type="page"/>
      </w:r>
    </w:p>
    <w:bookmarkEnd w:id="20"/>
    <w:p>
      <w:pPr>
        <w:pStyle w:val="5"/>
        <w:rPr>
          <w:rFonts w:hint="eastAsia"/>
          <w:color w:val="auto"/>
          <w:highlight w:val="none"/>
        </w:rPr>
      </w:pPr>
      <w:bookmarkStart w:id="21" w:name="_Toc115117424"/>
      <w:r>
        <w:rPr>
          <w:rFonts w:hint="eastAsia"/>
          <w:color w:val="auto"/>
          <w:highlight w:val="none"/>
        </w:rPr>
        <w:t>二、开标、评标及定标办法</w:t>
      </w:r>
      <w:r>
        <w:rPr>
          <w:rFonts w:hint="eastAsia"/>
          <w:color w:val="auto"/>
          <w:szCs w:val="30"/>
          <w:highlight w:val="none"/>
        </w:rPr>
        <w:t>通用条款</w:t>
      </w:r>
      <w:bookmarkEnd w:id="21"/>
    </w:p>
    <w:p>
      <w:pPr>
        <w:spacing w:before="156" w:beforeLines="50" w:after="156" w:afterLines="50"/>
        <w:jc w:val="center"/>
        <w:rPr>
          <w:rFonts w:hint="eastAsia" w:ascii="宋体" w:hAnsi="宋体" w:cs="宋体"/>
          <w:b/>
          <w:color w:val="auto"/>
          <w:sz w:val="24"/>
          <w:szCs w:val="24"/>
          <w:highlight w:val="none"/>
        </w:rPr>
      </w:pPr>
      <w:bookmarkStart w:id="22" w:name="_Toc2272557"/>
      <w:bookmarkEnd w:id="22"/>
      <w:r>
        <w:rPr>
          <w:rFonts w:hint="eastAsia" w:ascii="宋体" w:hAnsi="宋体" w:cs="宋体"/>
          <w:b/>
          <w:color w:val="auto"/>
          <w:sz w:val="24"/>
          <w:szCs w:val="24"/>
          <w:highlight w:val="none"/>
        </w:rPr>
        <w:t>（一）总则</w:t>
      </w:r>
    </w:p>
    <w:p>
      <w:pPr>
        <w:pStyle w:val="6"/>
        <w:ind w:firstLine="482"/>
        <w:rPr>
          <w:rFonts w:hint="eastAsia" w:cs="宋体"/>
          <w:color w:val="auto"/>
          <w:highlight w:val="none"/>
        </w:rPr>
      </w:pPr>
      <w:r>
        <w:rPr>
          <w:rFonts w:hint="eastAsia" w:cs="宋体"/>
          <w:color w:val="auto"/>
          <w:highlight w:val="none"/>
        </w:rPr>
        <w:t>35.开标、评标及定标所依据的规则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pStyle w:val="6"/>
        <w:ind w:firstLine="482"/>
        <w:rPr>
          <w:rFonts w:hint="eastAsia" w:cs="宋体"/>
          <w:color w:val="auto"/>
          <w:highlight w:val="none"/>
        </w:rPr>
      </w:pPr>
      <w:r>
        <w:rPr>
          <w:rFonts w:hint="eastAsia" w:cs="宋体"/>
          <w:color w:val="auto"/>
          <w:highlight w:val="none"/>
        </w:rPr>
        <w:t>36.开标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36.5按下列程序进行开标：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36.5.4开标结束。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36.7开标时，两个（含两个）以上的投标人加密打包投标文件电脑机器特征码一致的，不参与下一程序，并由评标委员会否决其投标。</w:t>
      </w:r>
    </w:p>
    <w:p>
      <w:pPr>
        <w:pStyle w:val="6"/>
        <w:ind w:firstLine="482"/>
        <w:rPr>
          <w:rFonts w:hint="eastAsia" w:cs="宋体"/>
          <w:color w:val="auto"/>
          <w:highlight w:val="none"/>
        </w:rPr>
      </w:pPr>
      <w:r>
        <w:rPr>
          <w:rFonts w:hint="eastAsia" w:cs="宋体"/>
          <w:color w:val="auto"/>
          <w:highlight w:val="none"/>
        </w:rPr>
        <w:t>37.评标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w:t>
      </w:r>
      <w:r>
        <w:rPr>
          <w:rFonts w:hint="eastAsia" w:ascii="宋体" w:hAnsi="宋体" w:cs="宋体"/>
          <w:color w:val="auto"/>
          <w:sz w:val="24"/>
          <w:highlight w:val="none"/>
        </w:rPr>
        <w:t>投标文件</w:t>
      </w:r>
      <w:r>
        <w:rPr>
          <w:rFonts w:hint="eastAsia" w:ascii="宋体" w:hAnsi="宋体" w:cs="宋体"/>
          <w:color w:val="auto"/>
          <w:sz w:val="24"/>
          <w:szCs w:val="24"/>
          <w:highlight w:val="none"/>
        </w:rPr>
        <w:t>进行认真评审，完成评审报告；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 评标结束后，评标委员会递交评标报告并依法推荐中标候选人。</w:t>
      </w:r>
    </w:p>
    <w:p>
      <w:pPr>
        <w:pStyle w:val="6"/>
        <w:ind w:firstLine="482"/>
        <w:rPr>
          <w:rFonts w:hint="eastAsia" w:cs="宋体"/>
          <w:color w:val="auto"/>
          <w:highlight w:val="none"/>
        </w:rPr>
      </w:pPr>
      <w:r>
        <w:rPr>
          <w:rFonts w:hint="eastAsia" w:cs="宋体"/>
          <w:color w:val="auto"/>
          <w:highlight w:val="none"/>
        </w:rPr>
        <w:t>38.投标文件的澄清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6"/>
        <w:ind w:firstLine="482"/>
        <w:rPr>
          <w:rFonts w:hint="eastAsia" w:cs="宋体"/>
          <w:color w:val="auto"/>
          <w:highlight w:val="none"/>
        </w:rPr>
      </w:pPr>
      <w:r>
        <w:rPr>
          <w:rFonts w:hint="eastAsia" w:cs="宋体"/>
          <w:color w:val="auto"/>
          <w:highlight w:val="none"/>
        </w:rPr>
        <w:t>39.定标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spacing w:before="156" w:beforeLines="50" w:after="156" w:afterLines="50"/>
        <w:jc w:val="center"/>
        <w:rPr>
          <w:rFonts w:hint="eastAsia" w:ascii="宋体" w:hAnsi="宋体" w:cs="宋体"/>
          <w:b/>
          <w:color w:val="auto"/>
          <w:sz w:val="24"/>
          <w:szCs w:val="24"/>
          <w:highlight w:val="none"/>
        </w:rPr>
      </w:pPr>
      <w:bookmarkStart w:id="23" w:name="_Toc2272558"/>
      <w:bookmarkEnd w:id="23"/>
      <w:r>
        <w:rPr>
          <w:rFonts w:hint="eastAsia" w:ascii="宋体" w:hAnsi="宋体" w:cs="宋体"/>
          <w:b/>
          <w:color w:val="auto"/>
          <w:sz w:val="24"/>
          <w:szCs w:val="24"/>
          <w:highlight w:val="none"/>
        </w:rPr>
        <w:t>（二）开标评标办法程序和细则</w:t>
      </w:r>
    </w:p>
    <w:p>
      <w:pPr>
        <w:spacing w:line="360" w:lineRule="auto"/>
        <w:ind w:firstLine="480" w:firstLineChars="200"/>
        <w:rPr>
          <w:rFonts w:hint="eastAsia" w:ascii="宋体" w:hAnsi="宋体" w:cs="宋体"/>
          <w:dstrike/>
          <w:color w:val="auto"/>
          <w:sz w:val="24"/>
          <w:szCs w:val="24"/>
          <w:highlight w:val="none"/>
        </w:rPr>
      </w:pPr>
      <w:r>
        <w:rPr>
          <w:rFonts w:hint="eastAsia" w:ascii="宋体" w:hAnsi="宋体" w:cs="宋体"/>
          <w:dstrike/>
          <w:color w:val="auto"/>
          <w:sz w:val="24"/>
          <w:szCs w:val="24"/>
          <w:highlight w:val="none"/>
        </w:rPr>
        <w:t>注：以下七种评标办法所述企业综合诚信评价分数即投标截止当日广州市工程招标代理行业协会网站上公布的企业综合诚信评价60日诚信分。</w:t>
      </w:r>
    </w:p>
    <w:p>
      <w:pPr>
        <w:pStyle w:val="6"/>
        <w:ind w:firstLine="482"/>
        <w:jc w:val="center"/>
        <w:rPr>
          <w:rFonts w:hint="eastAsia" w:cs="宋体"/>
          <w:color w:val="auto"/>
          <w:highlight w:val="none"/>
        </w:rPr>
      </w:pPr>
      <w:bookmarkStart w:id="24" w:name="_Toc2272564"/>
      <w:bookmarkEnd w:id="24"/>
      <w:r>
        <w:rPr>
          <w:rFonts w:hint="eastAsia" w:cs="宋体"/>
          <w:color w:val="auto"/>
          <w:highlight w:val="none"/>
        </w:rPr>
        <w:t>可选办法七（适合综合评分法四，技术标与经济标同时开启）</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40．开标和评标程序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41．开标细则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细则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pPr>
        <w:pStyle w:val="34"/>
        <w:tabs>
          <w:tab w:val="left" w:pos="7380"/>
        </w:tabs>
        <w:snapToGrid w:val="0"/>
        <w:spacing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43．投标人资格审查</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44．技术标评审</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45.2按方法计算评标参考价：</w:t>
      </w:r>
    </w:p>
    <w:p>
      <w:pPr>
        <w:widowControl/>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方法一：加权平均法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评标参考价=Σ（投标人的投标报价*报价权重）。</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其中：报价权重的计算方法为：将N名投标人按技术分由高至低进行排序，第一名投标人的权重为（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），第二名投标人的权重为（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），以此类推，最后一名投标人的权重为（</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QUOTE </w:instrText>
      </w:r>
      <w:r>
        <w:rPr>
          <w:rFonts w:hint="eastAsia" w:ascii="宋体" w:hAnsi="宋体" w:cs="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color w:val="auto"/>
          <w:sz w:val="24"/>
          <w:szCs w:val="24"/>
          <w:highlight w:val="none"/>
        </w:rPr>
        <w:fldChar w:fldCharType="separate"/>
      </w:r>
      <w:r>
        <w:rPr>
          <w:rFonts w:hint="eastAsia" w:ascii="宋体" w:hAnsi="宋体" w:cs="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pPr>
        <w:widowControl/>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方法二：区间抽取法</w:t>
      </w:r>
    </w:p>
    <w:p>
      <w:pPr>
        <w:widowControl/>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pPr>
        <w:widowControl/>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：为（最高投标限价*D%）（D的取值范围为[94,100],由招标人自定）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4"/>
        <w:tabs>
          <w:tab w:val="left" w:pos="7380"/>
        </w:tabs>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宋体" w:hAnsi="宋体" w:eastAsia="宋体" w:cs="宋体"/>
          <w:color w:val="auto"/>
          <w:sz w:val="24"/>
          <w:szCs w:val="24"/>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NumType w:start="1"/>
          <w:cols w:space="425" w:num="1"/>
          <w:titlePg/>
          <w:docGrid w:type="lines" w:linePitch="312" w:charSpace="0"/>
        </w:sect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outlineLvl w:val="0"/>
        <w:rPr>
          <w:rFonts w:hint="eastAsia" w:ascii="宋体" w:hAnsi="宋体" w:cs="宋体"/>
          <w:color w:val="auto"/>
          <w:highlight w:val="none"/>
        </w:rPr>
      </w:pPr>
      <w:bookmarkStart w:id="25" w:name="_Toc115117425"/>
      <w:r>
        <w:rPr>
          <w:rFonts w:hint="eastAsia" w:ascii="宋体" w:hAnsi="宋体" w:cs="宋体"/>
          <w:color w:val="auto"/>
          <w:highlight w:val="none"/>
        </w:rPr>
        <w:t xml:space="preserve">附表一 </w:t>
      </w:r>
      <w:bookmarkEnd w:id="25"/>
    </w:p>
    <w:p>
      <w:pPr>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6"/>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使用有效期内的注册建造师注册证书在广州市住建行业信用平台内上传件。</w:t>
            </w:r>
          </w:p>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bCs/>
                <w:color w:val="auto"/>
                <w:szCs w:val="21"/>
                <w:highlight w:val="none"/>
                <w:u w:val="single"/>
              </w:rPr>
              <w:t>拟委派技术负责人的职称证书清晰扫描件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专职安全员须具有安全生产考核合格证（C类）或建筑施工企业专职安全生产管理人员安全生产考核合格证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专职安全员的安全生产考核合格证（C类）或建筑施工企业专职安全生产管理人员安全生产考核合格证（C3）在广州市住建行业信用管理平台内上传件；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hint="eastAsia" w:ascii="宋体" w:hAnsi="宋体" w:cs="宋体"/>
                <w:color w:val="auto"/>
                <w:szCs w:val="21"/>
                <w:highlight w:val="none"/>
              </w:rPr>
            </w:pPr>
            <w:r>
              <w:rPr>
                <w:rFonts w:hint="eastAsia" w:ascii="宋体" w:hAnsi="宋体" w:cs="宋体"/>
                <w:color w:val="auto"/>
                <w:kern w:val="0"/>
                <w:szCs w:val="21"/>
                <w:highlight w:val="none"/>
              </w:rPr>
              <w:t>关于联合体投标：</w:t>
            </w:r>
            <w:r>
              <w:rPr>
                <w:rFonts w:hint="eastAsia" w:ascii="宋体" w:hAnsi="宋体" w:cs="宋体"/>
                <w:color w:val="auto"/>
                <w:kern w:val="0"/>
                <w:szCs w:val="21"/>
                <w:highlight w:val="none"/>
                <w:u w:val="singl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trike/>
                <w:color w:val="auto"/>
                <w:szCs w:val="21"/>
                <w:highlight w:val="none"/>
              </w:rPr>
            </w:pPr>
            <w:r>
              <w:rPr>
                <w:rFonts w:hint="eastAsia" w:ascii="宋体" w:hAnsi="宋体" w:cs="宋体"/>
                <w:color w:val="auto"/>
                <w:szCs w:val="21"/>
                <w:highlight w:val="none"/>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u w:val="none"/>
              </w:rPr>
              <w:t>投标人未被列入拖欠农民工工资失信联合惩戒对象名单。</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s="宋体"/>
                <w:color w:val="auto"/>
                <w:szCs w:val="21"/>
                <w:highlight w:val="none"/>
              </w:rPr>
            </w:pPr>
            <w:r>
              <w:rPr>
                <w:rFonts w:hint="eastAsia" w:ascii="宋体" w:hAnsi="宋体" w:cs="宋体"/>
                <w:color w:val="auto"/>
                <w:szCs w:val="21"/>
                <w:highlight w:val="none"/>
                <w:u w:val="singl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s="宋体"/>
                <w:color w:val="auto"/>
                <w:szCs w:val="21"/>
                <w:highlight w:val="none"/>
              </w:rPr>
            </w:pPr>
          </w:p>
        </w:tc>
      </w:tr>
    </w:tbl>
    <w:p>
      <w:pPr>
        <w:spacing w:line="48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pPr>
        <w:rPr>
          <w:rFonts w:hint="eastAsia" w:ascii="宋体" w:hAnsi="宋体" w:cs="宋体"/>
          <w:color w:val="auto"/>
          <w:highlight w:val="none"/>
        </w:rPr>
      </w:pPr>
      <w:r>
        <w:rPr>
          <w:rFonts w:hint="eastAsia" w:ascii="宋体" w:hAnsi="宋体" w:cs="宋体"/>
          <w:color w:val="auto"/>
          <w:highlight w:val="none"/>
        </w:rPr>
        <w:t xml:space="preserve">1、每一项目符合的打“○”，不符合的打“×”； </w:t>
      </w:r>
    </w:p>
    <w:p>
      <w:pPr>
        <w:rPr>
          <w:rFonts w:hint="eastAsia" w:ascii="宋体" w:hAnsi="宋体" w:cs="宋体"/>
          <w:color w:val="auto"/>
          <w:highlight w:val="none"/>
        </w:rPr>
      </w:pPr>
      <w:r>
        <w:rPr>
          <w:rFonts w:hint="eastAsia" w:ascii="宋体" w:hAnsi="宋体" w:cs="宋体"/>
          <w:color w:val="auto"/>
          <w:highlight w:val="none"/>
        </w:rPr>
        <w:t>2、若评委意见不一致时，则按少数服从多数的原则，作出评审结论。汇总后，出现一个“×”的结论为“不通过”。</w:t>
      </w:r>
    </w:p>
    <w:p>
      <w:pPr>
        <w:rPr>
          <w:rFonts w:hint="eastAsia" w:ascii="宋体" w:hAnsi="宋体" w:cs="宋体"/>
          <w:color w:val="auto"/>
          <w:highlight w:val="none"/>
        </w:rPr>
      </w:pPr>
      <w:r>
        <w:rPr>
          <w:rFonts w:hint="eastAsia" w:ascii="宋体" w:hAnsi="宋体" w:cs="宋体"/>
          <w:color w:val="auto"/>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59"/>
        <w:rPr>
          <w:rFonts w:hint="eastAsia" w:ascii="宋体" w:hAnsi="宋体" w:eastAsia="宋体" w:cs="宋体"/>
          <w:color w:val="auto"/>
          <w:highlight w:val="none"/>
        </w:rPr>
        <w:sectPr>
          <w:endnotePr>
            <w:numFmt w:val="decimal"/>
          </w:endnotePr>
          <w:pgSz w:w="16838" w:h="11906" w:orient="landscape"/>
          <w:pgMar w:top="1418" w:right="1134" w:bottom="1418" w:left="1247" w:header="851" w:footer="907" w:gutter="0"/>
          <w:cols w:space="425" w:num="1"/>
          <w:titlePg/>
          <w:docGrid w:type="linesAndChars" w:linePitch="312" w:charSpace="0"/>
        </w:sectPr>
      </w:pPr>
      <w:r>
        <w:rPr>
          <w:rFonts w:hint="eastAsia" w:ascii="宋体" w:hAnsi="宋体" w:cs="宋体"/>
          <w:color w:val="auto"/>
          <w:kern w:val="0"/>
          <w:szCs w:val="21"/>
          <w:highlight w:val="none"/>
        </w:rPr>
        <w:t>评委签名：                                                                        日期：</w:t>
      </w:r>
    </w:p>
    <w:p>
      <w:pPr>
        <w:outlineLvl w:val="0"/>
        <w:rPr>
          <w:rFonts w:hint="eastAsia" w:ascii="宋体" w:hAnsi="宋体" w:cs="宋体"/>
          <w:color w:val="auto"/>
          <w:highlight w:val="none"/>
          <w:lang w:val="en-US" w:eastAsia="zh-CN"/>
        </w:rPr>
      </w:pPr>
      <w:bookmarkStart w:id="26" w:name="_Toc115117426"/>
      <w:r>
        <w:rPr>
          <w:rFonts w:hint="eastAsia" w:ascii="宋体" w:hAnsi="宋体" w:cs="宋体"/>
          <w:color w:val="auto"/>
          <w:highlight w:val="none"/>
        </w:rPr>
        <w:t xml:space="preserve">附表二 </w:t>
      </w:r>
      <w:bookmarkEnd w:id="26"/>
      <w:r>
        <w:rPr>
          <w:rFonts w:hint="eastAsia" w:ascii="宋体" w:hAnsi="宋体" w:cs="宋体"/>
          <w:color w:val="auto"/>
          <w:highlight w:val="none"/>
          <w:lang w:val="en-US" w:eastAsia="zh-CN"/>
        </w:rPr>
        <w:t xml:space="preserve">                                </w:t>
      </w:r>
    </w:p>
    <w:p>
      <w:pPr>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技术标有效性审查表</w:t>
      </w:r>
    </w:p>
    <w:tbl>
      <w:tblPr>
        <w:tblStyle w:val="36"/>
        <w:tblpPr w:leftFromText="180" w:rightFromText="180" w:vertAnchor="text" w:horzAnchor="page" w:tblpX="1466" w:tblpY="52"/>
        <w:tblOverlap w:val="never"/>
        <w:tblW w:w="14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495"/>
        <w:gridCol w:w="1069"/>
        <w:gridCol w:w="118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495"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6510" w:firstLineChars="3100"/>
              <w:rPr>
                <w:rFonts w:hint="eastAsia" w:ascii="宋体" w:hAnsi="宋体" w:cs="宋体"/>
                <w:color w:val="auto"/>
                <w:szCs w:val="21"/>
                <w:highlight w:val="none"/>
              </w:rPr>
            </w:pPr>
            <w:r>
              <w:rPr>
                <w:rFonts w:hint="eastAsia" w:ascii="宋体" w:hAnsi="宋体" w:cs="宋体"/>
                <w:color w:val="auto"/>
                <w:szCs w:val="21"/>
                <w:highlight w:val="none"/>
              </w:rPr>
              <w:t>投标人</w:t>
            </w:r>
          </w:p>
          <w:p>
            <w:pPr>
              <w:adjustRightInd w:val="0"/>
              <w:rPr>
                <w:rFonts w:hint="eastAsia" w:ascii="宋体" w:hAnsi="宋体" w:cs="宋体"/>
                <w:color w:val="auto"/>
                <w:szCs w:val="21"/>
                <w:highlight w:val="none"/>
              </w:rPr>
            </w:pPr>
          </w:p>
          <w:p>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《广州建设工程施工招标投标书》中填报的投标总工期不符合招标文件要求的；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《广州建设工程施工招标投标书》中填报的工程质量标准不符合招标文件要求的；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bCs/>
                <w:color w:val="auto"/>
                <w:szCs w:val="21"/>
                <w:highlight w:val="none"/>
              </w:rPr>
              <w:t>指“第四章投标文件格式”的格式二、格式六</w:t>
            </w:r>
            <w:r>
              <w:rPr>
                <w:rFonts w:hint="eastAsia" w:ascii="宋体" w:hAnsi="宋体" w:cs="宋体"/>
                <w:color w:val="auto"/>
                <w:szCs w:val="21"/>
                <w:highlight w:val="none"/>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shd w:val="pct10" w:color="auto" w:fill="FFFFFF"/>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shd w:val="pct10" w:color="auto" w:fill="FFFFFF"/>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投标人未按要求提交投标保证金的</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8</w:t>
            </w:r>
          </w:p>
        </w:tc>
        <w:tc>
          <w:tcPr>
            <w:tcW w:w="1049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118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c>
          <w:tcPr>
            <w:tcW w:w="994"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s="宋体"/>
                <w:color w:val="auto"/>
                <w:szCs w:val="21"/>
                <w:highlight w:val="none"/>
              </w:rPr>
            </w:pPr>
          </w:p>
        </w:tc>
      </w:tr>
    </w:tbl>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工程名称：</w:t>
      </w:r>
    </w:p>
    <w:p>
      <w:pPr>
        <w:pStyle w:val="19"/>
        <w:rPr>
          <w:rFonts w:hint="eastAsia" w:hAnsi="宋体" w:cs="宋体"/>
          <w:color w:val="auto"/>
          <w:sz w:val="18"/>
          <w:szCs w:val="18"/>
          <w:highlight w:val="none"/>
        </w:rPr>
      </w:pPr>
      <w:r>
        <w:rPr>
          <w:rFonts w:hint="eastAsia" w:hAnsi="宋体" w:cs="宋体"/>
          <w:color w:val="auto"/>
          <w:sz w:val="18"/>
          <w:szCs w:val="18"/>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pStyle w:val="19"/>
        <w:rPr>
          <w:rFonts w:hint="eastAsia" w:hAnsi="宋体" w:cs="宋体"/>
          <w:color w:val="auto"/>
          <w:sz w:val="18"/>
          <w:szCs w:val="18"/>
          <w:highlight w:val="none"/>
        </w:rPr>
      </w:pPr>
      <w:r>
        <w:rPr>
          <w:rFonts w:hint="eastAsia" w:hAnsi="宋体" w:cs="宋体"/>
          <w:color w:val="auto"/>
          <w:sz w:val="18"/>
          <w:szCs w:val="18"/>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19"/>
        <w:rPr>
          <w:rFonts w:hint="eastAsia" w:hAnsi="宋体" w:cs="宋体"/>
          <w:color w:val="auto"/>
          <w:sz w:val="18"/>
          <w:szCs w:val="18"/>
          <w:highlight w:val="none"/>
        </w:rPr>
      </w:pPr>
      <w:r>
        <w:rPr>
          <w:rFonts w:hint="eastAsia" w:hAnsi="宋体" w:cs="宋体"/>
          <w:color w:val="auto"/>
          <w:sz w:val="18"/>
          <w:szCs w:val="18"/>
          <w:highlight w:val="none"/>
        </w:rPr>
        <w:t>3.凡出现以上任何一项情形，结论均为无效，否则就为有效。</w:t>
      </w:r>
    </w:p>
    <w:p>
      <w:pPr>
        <w:pStyle w:val="19"/>
        <w:rPr>
          <w:rFonts w:hint="eastAsia" w:hAnsi="宋体" w:cs="宋体"/>
          <w:color w:val="auto"/>
          <w:sz w:val="18"/>
          <w:szCs w:val="16"/>
          <w:highlight w:val="none"/>
        </w:rPr>
      </w:pPr>
      <w:r>
        <w:rPr>
          <w:rFonts w:hint="eastAsia" w:hAnsi="宋体" w:cs="宋体"/>
          <w:color w:val="auto"/>
          <w:sz w:val="18"/>
          <w:szCs w:val="18"/>
          <w:highlight w:val="none"/>
        </w:rPr>
        <w:t>4.如对本表中某种情形的评审意见不一致时，以评标委员会过半数成员的意见作为评标委员会对该情形的认定结论。</w:t>
      </w:r>
    </w:p>
    <w:p>
      <w:pPr>
        <w:spacing w:line="360" w:lineRule="auto"/>
        <w:ind w:firstLine="459"/>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rPr>
        <w:t>评委签名：                                                                        日期：</w:t>
      </w:r>
    </w:p>
    <w:p>
      <w:pPr>
        <w:pStyle w:val="6"/>
        <w:ind w:firstLine="0" w:firstLineChars="0"/>
        <w:rPr>
          <w:rFonts w:hint="eastAsia" w:ascii="宋体" w:hAnsi="宋体" w:eastAsia="宋体" w:cs="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cols w:space="425"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auto"/>
          <w:sz w:val="36"/>
          <w:szCs w:val="36"/>
          <w:highlight w:val="none"/>
          <w:lang w:val="en-US" w:eastAsia="zh-CN"/>
        </w:rPr>
      </w:pPr>
      <w:bookmarkStart w:id="27" w:name="_Toc115117427"/>
      <w:r>
        <w:rPr>
          <w:rFonts w:hint="eastAsia" w:ascii="宋体" w:hAnsi="宋体" w:cs="宋体"/>
          <w:b/>
          <w:bCs/>
          <w:color w:val="auto"/>
          <w:highlight w:val="none"/>
        </w:rPr>
        <w:t>附表三</w:t>
      </w:r>
      <w:r>
        <w:rPr>
          <w:rFonts w:hint="eastAsia" w:ascii="宋体" w:hAnsi="宋体" w:cs="宋体"/>
          <w:color w:val="auto"/>
          <w:highlight w:val="none"/>
        </w:rPr>
        <w:t xml:space="preserve"> </w:t>
      </w:r>
      <w:bookmarkEnd w:id="27"/>
      <w:r>
        <w:rPr>
          <w:rFonts w:hint="eastAsia" w:ascii="宋体" w:hAnsi="宋体" w:cs="宋体"/>
          <w:b/>
          <w:color w:val="auto"/>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6"/>
        <w:tblW w:w="1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719"/>
        <w:gridCol w:w="1069"/>
        <w:gridCol w:w="108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719" w:type="dxa"/>
            <w:tcBorders>
              <w:top w:val="single" w:color="auto" w:sz="4" w:space="0"/>
              <w:left w:val="single" w:color="auto" w:sz="4" w:space="0"/>
              <w:bottom w:val="single" w:color="auto" w:sz="4" w:space="0"/>
              <w:right w:val="single" w:color="auto" w:sz="4" w:space="0"/>
              <w:tl2br w:val="single" w:color="auto" w:sz="4" w:space="0"/>
            </w:tcBorders>
          </w:tcPr>
          <w:p>
            <w:pPr>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w:t>
            </w:r>
          </w:p>
          <w:p>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投标总报价高于最高投标限价的；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107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u w:val="single"/>
              </w:rPr>
              <w:t>投标报价低于成本警戒价的</w:t>
            </w:r>
            <w:r>
              <w:rPr>
                <w:rFonts w:hint="eastAsia" w:ascii="宋体" w:hAnsi="宋体" w:cs="宋体"/>
                <w:color w:val="auto"/>
                <w:highlight w:val="none"/>
                <w:u w:val="single"/>
                <w:lang w:val="en-US" w:eastAsia="zh-CN"/>
              </w:rPr>
              <w:t>；</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算术复核后的投标报价与原投标报价相比存在1%或以上误差的；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rPr>
              <w:t>投标文件未按规定的格式</w:t>
            </w:r>
            <w:r>
              <w:rPr>
                <w:rFonts w:hint="eastAsia" w:ascii="宋体" w:hAnsi="宋体" w:cs="宋体"/>
                <w:b/>
                <w:bCs/>
                <w:color w:val="auto"/>
                <w:szCs w:val="21"/>
                <w:u w:val="single"/>
              </w:rPr>
              <w:t>（指</w:t>
            </w:r>
            <w:r>
              <w:rPr>
                <w:rFonts w:hint="eastAsia"/>
                <w:b/>
                <w:bCs/>
                <w:color w:val="auto"/>
                <w:u w:val="single"/>
              </w:rPr>
              <w:t>“第四章投标文件格式”的</w:t>
            </w:r>
            <w:r>
              <w:rPr>
                <w:rFonts w:hint="eastAsia"/>
                <w:b/>
                <w:bCs/>
                <w:color w:val="auto"/>
                <w:u w:val="single"/>
                <w:lang w:val="en-US" w:eastAsia="zh-CN"/>
              </w:rPr>
              <w:t>格式八、格式九、格式十</w:t>
            </w:r>
            <w:r>
              <w:rPr>
                <w:rFonts w:hint="eastAsia" w:ascii="宋体" w:hAnsi="宋体" w:cs="宋体"/>
                <w:b/>
                <w:bCs/>
                <w:color w:val="auto"/>
                <w:szCs w:val="21"/>
                <w:u w:val="single"/>
              </w:rPr>
              <w:t>）</w:t>
            </w:r>
            <w:r>
              <w:rPr>
                <w:rFonts w:hint="eastAsia" w:ascii="宋体" w:hAnsi="宋体" w:cs="宋体"/>
                <w:color w:val="auto"/>
                <w:szCs w:val="21"/>
              </w:rPr>
              <w:t>填写，或主要内容不全，或关键字迹模糊、无法辨认的；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无《对投标文件编制的承诺》的。</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10</w:t>
            </w:r>
          </w:p>
        </w:tc>
        <w:tc>
          <w:tcPr>
            <w:tcW w:w="10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069"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88"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Cs w:val="21"/>
                <w:highlight w:val="none"/>
              </w:rPr>
            </w:pPr>
          </w:p>
        </w:tc>
      </w:tr>
    </w:tbl>
    <w:p>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注：1.本表使用GZZB2018-3招标文件范本，与范本内容不同之处均以下划线标明。2.凡出现以上任何一项情形，结论均为无效，否则就为有效。</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59"/>
        <w:rPr>
          <w:rFonts w:hint="eastAsia" w:ascii="宋体" w:hAnsi="宋体" w:eastAsia="宋体" w:cs="宋体"/>
          <w:color w:val="auto"/>
          <w:kern w:val="0"/>
          <w:szCs w:val="21"/>
          <w:highlight w:val="none"/>
        </w:rPr>
        <w:sectPr>
          <w:pgSz w:w="16838" w:h="11906" w:orient="landscape"/>
          <w:pgMar w:top="1377" w:right="1440" w:bottom="1797" w:left="1440" w:header="851" w:footer="992" w:gutter="0"/>
          <w:cols w:space="425" w:num="1"/>
          <w:docGrid w:type="linesAndChars" w:linePitch="312" w:charSpace="0"/>
        </w:sectPr>
      </w:pPr>
      <w:bookmarkStart w:id="28" w:name="_Toc79144512"/>
      <w:r>
        <w:rPr>
          <w:rFonts w:hint="eastAsia" w:ascii="宋体" w:hAnsi="宋体" w:cs="宋体"/>
          <w:color w:val="auto"/>
          <w:kern w:val="0"/>
          <w:szCs w:val="21"/>
          <w:highlight w:val="none"/>
        </w:rPr>
        <w:t>评委签名：                                                                        日期：</w:t>
      </w:r>
    </w:p>
    <w:p>
      <w:pPr>
        <w:outlineLvl w:val="0"/>
        <w:rPr>
          <w:rFonts w:hint="eastAsia" w:ascii="Calibri" w:hAnsi="Calibri" w:cs="Times New Roman"/>
          <w:b/>
          <w:bCs/>
          <w:color w:val="auto"/>
          <w:szCs w:val="22"/>
        </w:rPr>
      </w:pPr>
      <w:r>
        <w:rPr>
          <w:rFonts w:hint="eastAsia" w:ascii="Calibri" w:hAnsi="Calibri" w:cs="Times New Roman"/>
          <w:b/>
          <w:bCs/>
          <w:color w:val="auto"/>
          <w:szCs w:val="22"/>
        </w:rPr>
        <w:t>附表四</w:t>
      </w:r>
    </w:p>
    <w:p>
      <w:pPr>
        <w:jc w:val="center"/>
        <w:outlineLvl w:val="0"/>
        <w:rPr>
          <w:rFonts w:hint="eastAsia" w:ascii="宋体" w:hAnsi="宋体" w:cs="宋体"/>
          <w:b/>
          <w:sz w:val="36"/>
          <w:szCs w:val="36"/>
          <w:highlight w:val="none"/>
        </w:rPr>
      </w:pPr>
      <w:r>
        <w:rPr>
          <w:rFonts w:hint="eastAsia" w:ascii="宋体" w:hAnsi="宋体" w:cs="宋体"/>
          <w:b/>
          <w:sz w:val="36"/>
          <w:szCs w:val="36"/>
          <w:highlight w:val="none"/>
        </w:rPr>
        <w:t>技术标详细审查评分表</w:t>
      </w:r>
    </w:p>
    <w:tbl>
      <w:tblPr>
        <w:tblStyle w:val="36"/>
        <w:tblW w:w="1497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71"/>
        <w:gridCol w:w="563"/>
        <w:gridCol w:w="12642"/>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评分项目</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评分内容</w:t>
            </w:r>
          </w:p>
        </w:tc>
        <w:tc>
          <w:tcPr>
            <w:tcW w:w="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w:t>
            </w:r>
          </w:p>
        </w:tc>
        <w:tc>
          <w:tcPr>
            <w:tcW w:w="126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0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项目管理机构能力</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项目管理机构</w:t>
            </w:r>
          </w:p>
        </w:tc>
        <w:tc>
          <w:tcPr>
            <w:tcW w:w="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p>
        </w:tc>
        <w:tc>
          <w:tcPr>
            <w:tcW w:w="126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szCs w:val="21"/>
              </w:rPr>
            </w:pPr>
            <w:r>
              <w:rPr>
                <w:rFonts w:hint="eastAsia" w:ascii="宋体" w:hAnsi="宋体"/>
                <w:szCs w:val="21"/>
              </w:rPr>
              <w:t>项目管理团队配置人员完全满足招标文件的《项目管理机构人员配置要求表》的得基础分</w:t>
            </w:r>
            <w:r>
              <w:rPr>
                <w:rFonts w:hint="eastAsia" w:ascii="宋体" w:hAnsi="宋体"/>
                <w:szCs w:val="21"/>
                <w:lang w:val="en-US" w:eastAsia="zh-CN"/>
              </w:rPr>
              <w:t>5</w:t>
            </w:r>
            <w:r>
              <w:rPr>
                <w:rFonts w:hint="eastAsia" w:ascii="宋体" w:hAnsi="宋体"/>
                <w:szCs w:val="21"/>
              </w:rPr>
              <w:t>分，不满足《投标人投入主要人员基本要求表》的本项得0分。在满足《项目管理机构人员配置要求表》的基础上：</w:t>
            </w:r>
          </w:p>
          <w:p>
            <w:pPr>
              <w:autoSpaceDE w:val="0"/>
              <w:ind w:right="140" w:rightChars="67"/>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）技术负责人：</w:t>
            </w:r>
          </w:p>
          <w:p>
            <w:pPr>
              <w:autoSpaceDE w:val="0"/>
              <w:ind w:right="140" w:rightChars="67"/>
              <w:rPr>
                <w:rFonts w:ascii="宋体" w:hAnsi="宋体"/>
                <w:szCs w:val="21"/>
              </w:rPr>
            </w:pPr>
            <w:r>
              <w:rPr>
                <w:rFonts w:hint="eastAsia" w:ascii="宋体" w:hAnsi="宋体"/>
                <w:szCs w:val="21"/>
              </w:rPr>
              <w:t>①具有建筑工程类专业高级工程师职称或以上技术职称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取得该职称证书的年限10年或以上的，得</w:t>
            </w:r>
            <w:r>
              <w:rPr>
                <w:rFonts w:ascii="宋体" w:hAnsi="宋体"/>
                <w:szCs w:val="21"/>
              </w:rPr>
              <w:t>1.5</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②具有建筑工程类专业高级工程师职称或以上技术职称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年(含本数)的，得0.</w:t>
            </w:r>
            <w:r>
              <w:rPr>
                <w:rFonts w:ascii="宋体" w:hAnsi="宋体"/>
                <w:szCs w:val="21"/>
              </w:rPr>
              <w:t>7</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③具有建筑工程类专业高级工程师职称或以上技术职称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取得该职称证书的年限2～</w:t>
            </w:r>
            <w:r>
              <w:rPr>
                <w:rFonts w:ascii="宋体" w:hAnsi="宋体"/>
                <w:szCs w:val="21"/>
              </w:rPr>
              <w:t>5</w:t>
            </w:r>
            <w:r>
              <w:rPr>
                <w:rFonts w:hint="eastAsia" w:ascii="宋体" w:hAnsi="宋体"/>
                <w:szCs w:val="21"/>
              </w:rPr>
              <w:t>年含本数)的，得0.</w:t>
            </w:r>
            <w:r>
              <w:rPr>
                <w:rFonts w:ascii="宋体" w:hAnsi="宋体"/>
                <w:szCs w:val="21"/>
              </w:rPr>
              <w:t>4</w:t>
            </w:r>
            <w:r>
              <w:rPr>
                <w:rFonts w:hint="eastAsia" w:ascii="宋体" w:hAnsi="宋体"/>
                <w:szCs w:val="21"/>
              </w:rPr>
              <w:t>分。</w:t>
            </w:r>
          </w:p>
          <w:p>
            <w:pPr>
              <w:autoSpaceDE w:val="0"/>
              <w:ind w:right="140" w:rightChars="67"/>
              <w:rPr>
                <w:rFonts w:hint="eastAsia" w:ascii="宋体" w:hAnsi="宋体"/>
                <w:szCs w:val="21"/>
              </w:rPr>
            </w:pPr>
            <w:r>
              <w:rPr>
                <w:rFonts w:hint="eastAsia" w:ascii="宋体" w:hAnsi="宋体"/>
                <w:szCs w:val="21"/>
              </w:rPr>
              <w:t>④具有建筑工程类专业高级工程师职称或以上技术职称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1</w:t>
            </w:r>
            <w:r>
              <w:rPr>
                <w:rFonts w:hint="eastAsia" w:ascii="宋体" w:hAnsi="宋体"/>
                <w:szCs w:val="21"/>
              </w:rPr>
              <w:t>年以下(含本数)的，得0.</w:t>
            </w:r>
            <w:r>
              <w:rPr>
                <w:rFonts w:ascii="宋体" w:hAnsi="宋体"/>
                <w:szCs w:val="21"/>
              </w:rPr>
              <w:t>2</w:t>
            </w:r>
            <w:r>
              <w:rPr>
                <w:rFonts w:hint="eastAsia" w:ascii="宋体" w:hAnsi="宋体"/>
                <w:szCs w:val="21"/>
              </w:rPr>
              <w:t>分。</w:t>
            </w:r>
          </w:p>
          <w:p>
            <w:pPr>
              <w:pStyle w:val="19"/>
              <w:jc w:val="left"/>
              <w:rPr>
                <w:rFonts w:hAnsi="宋体"/>
                <w:szCs w:val="21"/>
              </w:rPr>
            </w:pPr>
            <w:r>
              <w:rPr>
                <w:rFonts w:hint="eastAsia" w:hAnsi="宋体"/>
                <w:szCs w:val="21"/>
              </w:rPr>
              <w:t>（</w:t>
            </w:r>
            <w:r>
              <w:rPr>
                <w:rFonts w:hAnsi="宋体"/>
                <w:szCs w:val="21"/>
              </w:rPr>
              <w:t>2</w:t>
            </w:r>
            <w:r>
              <w:rPr>
                <w:rFonts w:hint="eastAsia" w:hAnsi="宋体"/>
                <w:szCs w:val="21"/>
              </w:rPr>
              <w:t>）深化设计负责人：</w:t>
            </w:r>
          </w:p>
          <w:p>
            <w:pPr>
              <w:autoSpaceDE w:val="0"/>
              <w:ind w:right="140" w:rightChars="67"/>
              <w:rPr>
                <w:rFonts w:ascii="宋体" w:hAnsi="宋体"/>
                <w:szCs w:val="21"/>
              </w:rPr>
            </w:pPr>
            <w:r>
              <w:rPr>
                <w:rFonts w:hint="eastAsia" w:ascii="宋体" w:hAnsi="宋体"/>
                <w:szCs w:val="21"/>
              </w:rPr>
              <w:t>①具有建筑设计或环境艺术设计类专业高级或以上技术职称</w:t>
            </w:r>
            <w:r>
              <w:rPr>
                <w:rFonts w:hint="eastAsia" w:ascii="宋体" w:hAnsi="宋体"/>
                <w:szCs w:val="21"/>
                <w:lang w:val="en-US" w:eastAsia="zh-CN"/>
              </w:rPr>
              <w:t>以及</w:t>
            </w:r>
            <w:r>
              <w:rPr>
                <w:rFonts w:hint="eastAsia" w:ascii="宋体" w:hAnsi="宋体"/>
                <w:szCs w:val="21"/>
              </w:rPr>
              <w:t>取得该职称证书的年限10年或以上的，得</w:t>
            </w:r>
            <w:r>
              <w:rPr>
                <w:rFonts w:ascii="宋体" w:hAnsi="宋体"/>
                <w:szCs w:val="21"/>
              </w:rPr>
              <w:t>1.5</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②具有建筑设计或环境艺术设计类专业高级或以上技术职称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年(含本数)的，得0.</w:t>
            </w:r>
            <w:r>
              <w:rPr>
                <w:rFonts w:ascii="宋体" w:hAnsi="宋体"/>
                <w:szCs w:val="21"/>
              </w:rPr>
              <w:t>7</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③具有建筑设计或环境艺术设计类专业高级或以上技术职称</w:t>
            </w:r>
            <w:r>
              <w:rPr>
                <w:rFonts w:hint="eastAsia" w:ascii="宋体" w:hAnsi="宋体"/>
                <w:szCs w:val="21"/>
                <w:lang w:val="en-US" w:eastAsia="zh-CN"/>
              </w:rPr>
              <w:t>以及</w:t>
            </w:r>
            <w:r>
              <w:rPr>
                <w:rFonts w:hint="eastAsia" w:ascii="宋体" w:hAnsi="宋体"/>
                <w:szCs w:val="21"/>
              </w:rPr>
              <w:t>取得该职称证书的年限2～</w:t>
            </w:r>
            <w:r>
              <w:rPr>
                <w:rFonts w:ascii="宋体" w:hAnsi="宋体"/>
                <w:szCs w:val="21"/>
              </w:rPr>
              <w:t>5</w:t>
            </w:r>
            <w:r>
              <w:rPr>
                <w:rFonts w:hint="eastAsia" w:ascii="宋体" w:hAnsi="宋体"/>
                <w:szCs w:val="21"/>
              </w:rPr>
              <w:t>年(含本数)的，得0.</w:t>
            </w:r>
            <w:r>
              <w:rPr>
                <w:rFonts w:ascii="宋体" w:hAnsi="宋体"/>
                <w:szCs w:val="21"/>
              </w:rPr>
              <w:t>4</w:t>
            </w:r>
            <w:r>
              <w:rPr>
                <w:rFonts w:hint="eastAsia" w:ascii="宋体" w:hAnsi="宋体"/>
                <w:szCs w:val="21"/>
              </w:rPr>
              <w:t>分。</w:t>
            </w:r>
          </w:p>
          <w:p>
            <w:pPr>
              <w:autoSpaceDE w:val="0"/>
              <w:ind w:right="140" w:rightChars="67"/>
              <w:rPr>
                <w:rFonts w:hint="eastAsia" w:ascii="宋体" w:hAnsi="宋体"/>
                <w:szCs w:val="21"/>
              </w:rPr>
            </w:pPr>
            <w:r>
              <w:rPr>
                <w:rFonts w:hint="eastAsia" w:ascii="宋体" w:hAnsi="宋体"/>
                <w:szCs w:val="21"/>
              </w:rPr>
              <w:t>④具有建筑设计或环境艺术设计类专业高级或以上技术职称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1</w:t>
            </w:r>
            <w:r>
              <w:rPr>
                <w:rFonts w:hint="eastAsia" w:ascii="宋体" w:hAnsi="宋体"/>
                <w:szCs w:val="21"/>
              </w:rPr>
              <w:t>年以下(含本数)的，得0.</w:t>
            </w:r>
            <w:r>
              <w:rPr>
                <w:rFonts w:ascii="宋体" w:hAnsi="宋体"/>
                <w:szCs w:val="21"/>
              </w:rPr>
              <w:t>2</w:t>
            </w:r>
            <w:r>
              <w:rPr>
                <w:rFonts w:hint="eastAsia" w:ascii="宋体" w:hAnsi="宋体"/>
                <w:szCs w:val="21"/>
              </w:rPr>
              <w:t>分。</w:t>
            </w:r>
          </w:p>
          <w:p>
            <w:pP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）安全负责人：</w:t>
            </w:r>
            <w:bookmarkStart w:id="75" w:name="_GoBack"/>
            <w:bookmarkEnd w:id="75"/>
          </w:p>
          <w:p>
            <w:pPr>
              <w:autoSpaceDE w:val="0"/>
              <w:ind w:right="140" w:rightChars="67"/>
              <w:rPr>
                <w:rFonts w:ascii="宋体" w:hAnsi="宋体"/>
                <w:szCs w:val="21"/>
              </w:rPr>
            </w:pPr>
            <w:r>
              <w:rPr>
                <w:rFonts w:hint="eastAsia" w:ascii="宋体" w:hAnsi="宋体"/>
                <w:szCs w:val="21"/>
              </w:rPr>
              <w:t>①具有建筑施工类专业高级工程师职称或以上技术职称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取得该职称证书的年限10年或以上的，得</w:t>
            </w:r>
            <w:r>
              <w:rPr>
                <w:rFonts w:ascii="宋体" w:hAnsi="宋体"/>
                <w:szCs w:val="21"/>
              </w:rPr>
              <w:t>1.5</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②具有建筑施工类专业高级工程师职称或以上技术职称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6</w:t>
            </w:r>
            <w:r>
              <w:rPr>
                <w:rFonts w:hint="eastAsia" w:ascii="宋体" w:hAnsi="宋体"/>
                <w:szCs w:val="21"/>
              </w:rPr>
              <w:t>～</w:t>
            </w:r>
            <w:r>
              <w:rPr>
                <w:rFonts w:ascii="宋体" w:hAnsi="宋体"/>
                <w:szCs w:val="21"/>
              </w:rPr>
              <w:t>9</w:t>
            </w:r>
            <w:r>
              <w:rPr>
                <w:rFonts w:hint="eastAsia" w:ascii="宋体" w:hAnsi="宋体"/>
                <w:szCs w:val="21"/>
              </w:rPr>
              <w:t>年(含本数)的，得0.</w:t>
            </w:r>
            <w:r>
              <w:rPr>
                <w:rFonts w:ascii="宋体" w:hAnsi="宋体"/>
                <w:szCs w:val="21"/>
              </w:rPr>
              <w:t>7</w:t>
            </w:r>
            <w:r>
              <w:rPr>
                <w:rFonts w:hint="eastAsia" w:ascii="宋体" w:hAnsi="宋体"/>
                <w:szCs w:val="21"/>
              </w:rPr>
              <w:t>分。</w:t>
            </w:r>
          </w:p>
          <w:p>
            <w:pPr>
              <w:autoSpaceDE w:val="0"/>
              <w:ind w:right="140" w:rightChars="67"/>
              <w:rPr>
                <w:rFonts w:ascii="宋体" w:hAnsi="宋体"/>
                <w:szCs w:val="21"/>
              </w:rPr>
            </w:pPr>
            <w:r>
              <w:rPr>
                <w:rFonts w:hint="eastAsia" w:ascii="宋体" w:hAnsi="宋体"/>
                <w:szCs w:val="21"/>
              </w:rPr>
              <w:t>③具有建筑施工类专业高级工程师职称或以上技术职称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取得该职称证书的年限2～</w:t>
            </w:r>
            <w:r>
              <w:rPr>
                <w:rFonts w:ascii="宋体" w:hAnsi="宋体"/>
                <w:szCs w:val="21"/>
              </w:rPr>
              <w:t>5</w:t>
            </w:r>
            <w:r>
              <w:rPr>
                <w:rFonts w:hint="eastAsia" w:ascii="宋体" w:hAnsi="宋体"/>
                <w:szCs w:val="21"/>
              </w:rPr>
              <w:t>年 (含本数)的，得0.</w:t>
            </w:r>
            <w:r>
              <w:rPr>
                <w:rFonts w:ascii="宋体" w:hAnsi="宋体"/>
                <w:szCs w:val="21"/>
              </w:rPr>
              <w:t>4</w:t>
            </w:r>
            <w:r>
              <w:rPr>
                <w:rFonts w:hint="eastAsia" w:ascii="宋体" w:hAnsi="宋体"/>
                <w:szCs w:val="21"/>
              </w:rPr>
              <w:t>分。</w:t>
            </w:r>
          </w:p>
          <w:p>
            <w:pPr>
              <w:autoSpaceDE w:val="0"/>
              <w:ind w:right="140" w:rightChars="67"/>
              <w:rPr>
                <w:rFonts w:hint="eastAsia" w:ascii="宋体" w:hAnsi="宋体"/>
                <w:szCs w:val="21"/>
              </w:rPr>
            </w:pPr>
            <w:r>
              <w:rPr>
                <w:rFonts w:hint="eastAsia" w:ascii="宋体" w:hAnsi="宋体"/>
                <w:szCs w:val="21"/>
              </w:rPr>
              <w:t>④具有建筑施工类专业高级工程师职称或以上技术职称</w:t>
            </w:r>
            <w:r>
              <w:rPr>
                <w:rFonts w:hint="eastAsia" w:ascii="宋体" w:hAnsi="宋体"/>
                <w:szCs w:val="21"/>
                <w:lang w:val="en-US" w:eastAsia="zh-CN"/>
              </w:rPr>
              <w:t>以及</w:t>
            </w:r>
            <w:r>
              <w:rPr>
                <w:rFonts w:hint="eastAsia" w:ascii="宋体" w:hAnsi="宋体"/>
                <w:szCs w:val="21"/>
              </w:rPr>
              <w:t>取得该职称证书的年限</w:t>
            </w:r>
            <w:r>
              <w:rPr>
                <w:rFonts w:ascii="宋体" w:hAnsi="宋体"/>
                <w:szCs w:val="21"/>
              </w:rPr>
              <w:t>1</w:t>
            </w:r>
            <w:r>
              <w:rPr>
                <w:rFonts w:hint="eastAsia" w:ascii="宋体" w:hAnsi="宋体"/>
                <w:szCs w:val="21"/>
              </w:rPr>
              <w:t>年以下(含本数)的，得0.</w:t>
            </w:r>
            <w:r>
              <w:rPr>
                <w:rFonts w:ascii="宋体" w:hAnsi="宋体"/>
                <w:szCs w:val="21"/>
              </w:rPr>
              <w:t>2</w:t>
            </w:r>
            <w:r>
              <w:rPr>
                <w:rFonts w:hint="eastAsia" w:ascii="宋体" w:hAnsi="宋体"/>
                <w:szCs w:val="21"/>
              </w:rPr>
              <w:t>分。</w:t>
            </w:r>
          </w:p>
          <w:p>
            <w:pPr>
              <w:pStyle w:val="19"/>
              <w:jc w:val="left"/>
              <w:rPr>
                <w:rFonts w:hAnsi="宋体"/>
                <w:szCs w:val="21"/>
              </w:rPr>
            </w:pPr>
            <w:r>
              <w:rPr>
                <w:rFonts w:hint="eastAsia" w:hAnsi="宋体"/>
                <w:szCs w:val="21"/>
              </w:rPr>
              <w:t>（</w:t>
            </w:r>
            <w:r>
              <w:rPr>
                <w:rFonts w:hAnsi="宋体"/>
                <w:szCs w:val="21"/>
              </w:rPr>
              <w:t>4</w:t>
            </w:r>
            <w:r>
              <w:rPr>
                <w:rFonts w:hint="eastAsia" w:hAnsi="宋体"/>
                <w:szCs w:val="21"/>
              </w:rPr>
              <w:t>）质量工程师：具有建筑装饰施工类专业高级工程师职称或以上的，每名得0.5分，最高得1分。</w:t>
            </w:r>
          </w:p>
          <w:p>
            <w:pPr>
              <w:pStyle w:val="19"/>
              <w:jc w:val="left"/>
              <w:rPr>
                <w:rFonts w:hAnsi="宋体"/>
                <w:szCs w:val="21"/>
              </w:rPr>
            </w:pPr>
            <w:r>
              <w:rPr>
                <w:rFonts w:hint="eastAsia" w:hAnsi="宋体"/>
                <w:szCs w:val="21"/>
              </w:rPr>
              <w:t>（</w:t>
            </w:r>
            <w:r>
              <w:rPr>
                <w:rFonts w:hAnsi="宋体"/>
                <w:szCs w:val="21"/>
              </w:rPr>
              <w:t>5</w:t>
            </w:r>
            <w:r>
              <w:rPr>
                <w:rFonts w:hint="eastAsia" w:hAnsi="宋体"/>
                <w:szCs w:val="21"/>
              </w:rPr>
              <w:t>）造价工程师：具有建筑工程造价类专业高级工程师职称或以上的，每名得0.5分，最高得1分。</w:t>
            </w:r>
          </w:p>
          <w:p>
            <w:pPr>
              <w:pStyle w:val="19"/>
              <w:jc w:val="left"/>
              <w:rPr>
                <w:rFonts w:hint="eastAsia" w:hAnsi="宋体"/>
                <w:szCs w:val="21"/>
              </w:rPr>
            </w:pPr>
            <w:r>
              <w:rPr>
                <w:rFonts w:hint="eastAsia" w:hAnsi="宋体"/>
                <w:szCs w:val="21"/>
              </w:rPr>
              <w:t>（</w:t>
            </w:r>
            <w:r>
              <w:rPr>
                <w:rFonts w:hAnsi="宋体"/>
                <w:szCs w:val="21"/>
              </w:rPr>
              <w:t>6</w:t>
            </w:r>
            <w:r>
              <w:rPr>
                <w:rFonts w:hint="eastAsia" w:hAnsi="宋体"/>
                <w:szCs w:val="21"/>
              </w:rPr>
              <w:t>）装修工程师：具有建筑装饰施工类专业高级工程师职称或以上的，每名得0.5分，最高得</w:t>
            </w:r>
            <w:r>
              <w:rPr>
                <w:rFonts w:hAnsi="宋体"/>
                <w:szCs w:val="21"/>
              </w:rPr>
              <w:t>1.5</w:t>
            </w:r>
            <w:r>
              <w:rPr>
                <w:rFonts w:hint="eastAsia" w:hAnsi="宋体"/>
                <w:szCs w:val="21"/>
              </w:rPr>
              <w:t>分。</w:t>
            </w:r>
          </w:p>
          <w:p>
            <w:pPr>
              <w:pStyle w:val="19"/>
              <w:jc w:val="left"/>
              <w:rPr>
                <w:rFonts w:hAnsi="宋体"/>
                <w:szCs w:val="21"/>
              </w:rPr>
            </w:pPr>
            <w:r>
              <w:rPr>
                <w:rFonts w:hint="eastAsia" w:hAnsi="宋体"/>
                <w:szCs w:val="21"/>
              </w:rPr>
              <w:t>（</w:t>
            </w:r>
            <w:r>
              <w:rPr>
                <w:rFonts w:hAnsi="宋体"/>
                <w:szCs w:val="21"/>
              </w:rPr>
              <w:t>7</w:t>
            </w:r>
            <w:r>
              <w:rPr>
                <w:rFonts w:hint="eastAsia" w:hAnsi="宋体"/>
                <w:szCs w:val="21"/>
              </w:rPr>
              <w:t>）暖通工程师：具有暖通类专业高级工程师职称或以上的，每名得</w:t>
            </w:r>
            <w:r>
              <w:rPr>
                <w:rFonts w:hAnsi="宋体"/>
                <w:szCs w:val="21"/>
              </w:rPr>
              <w:t>0.5</w:t>
            </w:r>
            <w:r>
              <w:rPr>
                <w:rFonts w:hint="eastAsia" w:hAnsi="宋体"/>
                <w:szCs w:val="21"/>
              </w:rPr>
              <w:t>分，最高得</w:t>
            </w:r>
            <w:r>
              <w:rPr>
                <w:rFonts w:hAnsi="宋体"/>
                <w:szCs w:val="21"/>
              </w:rPr>
              <w:t>1</w:t>
            </w:r>
            <w:r>
              <w:rPr>
                <w:rFonts w:hint="eastAsia" w:hAnsi="宋体"/>
                <w:szCs w:val="21"/>
              </w:rPr>
              <w:t>分。</w:t>
            </w:r>
          </w:p>
          <w:p>
            <w:pPr>
              <w:keepNext w:val="0"/>
              <w:keepLines w:val="0"/>
              <w:pageBreakBefore w:val="0"/>
              <w:widowControl w:val="0"/>
              <w:kinsoku/>
              <w:wordWrap/>
              <w:overflowPunct/>
              <w:topLinePunct w:val="0"/>
              <w:autoSpaceDE/>
              <w:autoSpaceDN/>
              <w:bidi w:val="0"/>
              <w:adjustRightInd/>
              <w:snapToGrid/>
              <w:spacing w:line="340" w:lineRule="exact"/>
              <w:ind w:left="0" w:leftChars="-38" w:hanging="79" w:hangingChars="38"/>
              <w:textAlignment w:val="auto"/>
              <w:rPr>
                <w:rFonts w:hint="eastAsia" w:ascii="宋体" w:hAnsi="宋体" w:eastAsia="宋体" w:cs="宋体"/>
                <w:color w:val="000000"/>
                <w:sz w:val="21"/>
                <w:szCs w:val="21"/>
                <w:highlight w:val="none"/>
                <w:lang w:eastAsia="zh-CN"/>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0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企业资信</w:t>
            </w: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类似</w:t>
            </w:r>
          </w:p>
          <w:p>
            <w:pPr>
              <w:widowControl/>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w:t>
            </w:r>
          </w:p>
        </w:tc>
        <w:tc>
          <w:tcPr>
            <w:tcW w:w="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3.</w:t>
            </w:r>
            <w:r>
              <w:rPr>
                <w:rFonts w:hint="eastAsia" w:ascii="宋体" w:hAnsi="宋体" w:cs="宋体"/>
                <w:color w:val="000000"/>
                <w:sz w:val="21"/>
                <w:szCs w:val="21"/>
                <w:highlight w:val="none"/>
                <w:u w:val="none"/>
                <w:lang w:val="en-US" w:eastAsia="zh-CN"/>
              </w:rPr>
              <w:t>6</w:t>
            </w:r>
          </w:p>
        </w:tc>
        <w:tc>
          <w:tcPr>
            <w:tcW w:w="1264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p>
            <w:pPr>
              <w:rPr>
                <w:rFonts w:ascii="宋体" w:hAnsi="宋体" w:cs="宋体"/>
                <w:szCs w:val="21"/>
              </w:rPr>
            </w:pPr>
            <w:r>
              <w:rPr>
                <w:rFonts w:hint="eastAsia" w:ascii="宋体" w:hAnsi="宋体" w:cs="宋体"/>
                <w:szCs w:val="21"/>
              </w:rPr>
              <w:t>投标人自2020年1月1日至投标截止时间，完成过</w:t>
            </w:r>
            <w:r>
              <w:rPr>
                <w:rFonts w:hint="eastAsia"/>
              </w:rPr>
              <w:t>质量合格且中标金额大于或</w:t>
            </w:r>
            <w:r>
              <w:rPr>
                <w:rFonts w:hint="eastAsia" w:ascii="宋体" w:hAnsi="宋体" w:cs="宋体"/>
              </w:rPr>
              <w:t>等于500万元的</w:t>
            </w:r>
            <w:r>
              <w:rPr>
                <w:rFonts w:hint="eastAsia" w:ascii="宋体" w:hAnsi="宋体" w:cs="宋体"/>
                <w:kern w:val="0"/>
                <w:szCs w:val="21"/>
              </w:rPr>
              <w:t>建筑工程施工总承包</w:t>
            </w:r>
            <w:r>
              <w:rPr>
                <w:rFonts w:hint="eastAsia" w:ascii="宋体" w:hAnsi="宋体" w:cs="宋体"/>
                <w:szCs w:val="21"/>
              </w:rPr>
              <w:t>业绩：</w:t>
            </w:r>
          </w:p>
          <w:p>
            <w:pPr>
              <w:rPr>
                <w:rFonts w:ascii="宋体" w:hAnsi="宋体" w:cs="宋体"/>
                <w:szCs w:val="21"/>
              </w:rPr>
            </w:pPr>
            <w:r>
              <w:rPr>
                <w:rFonts w:hint="eastAsia" w:ascii="宋体" w:hAnsi="宋体" w:cs="宋体"/>
                <w:szCs w:val="21"/>
              </w:rPr>
              <w:t>（1）累计完成4项或以上的，得3</w:t>
            </w:r>
            <w:r>
              <w:rPr>
                <w:rFonts w:ascii="宋体" w:hAnsi="宋体" w:cs="宋体"/>
                <w:szCs w:val="21"/>
              </w:rPr>
              <w:t>.6</w:t>
            </w:r>
            <w:r>
              <w:rPr>
                <w:rFonts w:hint="eastAsia" w:ascii="宋体" w:hAnsi="宋体" w:cs="宋体"/>
                <w:szCs w:val="21"/>
              </w:rPr>
              <w:t>分；</w:t>
            </w:r>
          </w:p>
          <w:p>
            <w:pPr>
              <w:rPr>
                <w:rFonts w:ascii="宋体" w:hAnsi="宋体" w:cs="宋体"/>
                <w:szCs w:val="21"/>
              </w:rPr>
            </w:pPr>
            <w:r>
              <w:rPr>
                <w:rFonts w:hint="eastAsia" w:ascii="宋体" w:hAnsi="宋体" w:cs="宋体"/>
                <w:szCs w:val="21"/>
              </w:rPr>
              <w:t>（2）累计完成</w:t>
            </w:r>
            <w:r>
              <w:rPr>
                <w:rFonts w:ascii="宋体" w:hAnsi="宋体" w:cs="宋体"/>
                <w:szCs w:val="21"/>
              </w:rPr>
              <w:t>3</w:t>
            </w:r>
            <w:r>
              <w:rPr>
                <w:rFonts w:hint="eastAsia" w:ascii="宋体" w:hAnsi="宋体" w:cs="宋体"/>
                <w:szCs w:val="21"/>
              </w:rPr>
              <w:t>项的，得1.</w:t>
            </w:r>
            <w:r>
              <w:rPr>
                <w:rFonts w:ascii="宋体" w:hAnsi="宋体" w:cs="宋体"/>
                <w:szCs w:val="21"/>
              </w:rPr>
              <w:t>8</w:t>
            </w:r>
            <w:r>
              <w:rPr>
                <w:rFonts w:hint="eastAsia" w:ascii="宋体" w:hAnsi="宋体" w:cs="宋体"/>
                <w:szCs w:val="21"/>
              </w:rPr>
              <w:t>分；</w:t>
            </w:r>
          </w:p>
          <w:p>
            <w:pPr>
              <w:rPr>
                <w:rFonts w:ascii="宋体" w:hAnsi="宋体" w:cs="宋体"/>
                <w:szCs w:val="21"/>
              </w:rPr>
            </w:pPr>
            <w:r>
              <w:rPr>
                <w:rFonts w:hint="eastAsia" w:ascii="宋体" w:hAnsi="宋体" w:cs="宋体"/>
                <w:szCs w:val="21"/>
              </w:rPr>
              <w:t>（3）累计完成</w:t>
            </w:r>
            <w:r>
              <w:rPr>
                <w:rFonts w:ascii="宋体" w:hAnsi="宋体" w:cs="宋体"/>
                <w:szCs w:val="21"/>
              </w:rPr>
              <w:t>2</w:t>
            </w:r>
            <w:r>
              <w:rPr>
                <w:rFonts w:hint="eastAsia" w:ascii="宋体" w:hAnsi="宋体" w:cs="宋体"/>
                <w:szCs w:val="21"/>
              </w:rPr>
              <w:t>项的，得0.</w:t>
            </w:r>
            <w:r>
              <w:rPr>
                <w:rFonts w:ascii="宋体" w:hAnsi="宋体" w:cs="宋体"/>
                <w:szCs w:val="21"/>
              </w:rPr>
              <w:t>9</w:t>
            </w:r>
            <w:r>
              <w:rPr>
                <w:rFonts w:hint="eastAsia" w:ascii="宋体" w:hAnsi="宋体" w:cs="宋体"/>
                <w:szCs w:val="21"/>
              </w:rPr>
              <w:t>分；</w:t>
            </w:r>
          </w:p>
          <w:p>
            <w:pPr>
              <w:rPr>
                <w:rFonts w:ascii="宋体" w:hAnsi="宋体"/>
                <w:szCs w:val="21"/>
              </w:rPr>
            </w:pPr>
            <w:r>
              <w:rPr>
                <w:rFonts w:hint="eastAsia" w:ascii="宋体" w:hAnsi="宋体" w:cs="宋体"/>
                <w:szCs w:val="21"/>
              </w:rPr>
              <w:t>（4）累计完成1项的，得</w:t>
            </w:r>
            <w:r>
              <w:rPr>
                <w:rFonts w:ascii="宋体" w:hAnsi="宋体" w:cs="宋体"/>
                <w:szCs w:val="21"/>
              </w:rPr>
              <w:t>0.4</w:t>
            </w:r>
            <w:r>
              <w:rPr>
                <w:rFonts w:hint="eastAsia" w:ascii="宋体" w:hAnsi="宋体" w:cs="宋体"/>
                <w:szCs w:val="21"/>
              </w:rPr>
              <w:t>分；</w:t>
            </w:r>
          </w:p>
          <w:p>
            <w:pPr>
              <w:snapToGrid w:val="0"/>
              <w:rPr>
                <w:rFonts w:hint="eastAsia" w:ascii="宋体" w:hAnsi="宋体" w:cs="宋体"/>
                <w:szCs w:val="21"/>
              </w:rPr>
            </w:pPr>
            <w:r>
              <w:rPr>
                <w:rFonts w:hint="eastAsia" w:ascii="宋体" w:hAnsi="宋体" w:cs="宋体"/>
                <w:szCs w:val="21"/>
              </w:rPr>
              <w:t>不符合上述条件的不得分，本项最高得3</w:t>
            </w:r>
            <w:r>
              <w:rPr>
                <w:rFonts w:ascii="宋体" w:hAnsi="宋体" w:cs="宋体"/>
                <w:szCs w:val="21"/>
              </w:rPr>
              <w:t>.6</w:t>
            </w:r>
            <w:r>
              <w:rPr>
                <w:rFonts w:hint="eastAsia" w:ascii="宋体" w:hAnsi="宋体" w:cs="宋体"/>
                <w:szCs w:val="21"/>
              </w:rPr>
              <w:t>分。</w:t>
            </w:r>
          </w:p>
          <w:p>
            <w:pPr>
              <w:snapToGrid w:val="0"/>
              <w:rPr>
                <w:rFonts w:hint="eastAsia" w:ascii="宋体" w:hAnsi="宋体" w:cs="宋体"/>
                <w:szCs w:val="21"/>
                <w:lang w:val="en-US" w:eastAsia="zh-CN"/>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szCs w:val="21"/>
              </w:rPr>
              <w:t>第三方评价</w:t>
            </w:r>
          </w:p>
        </w:tc>
        <w:tc>
          <w:tcPr>
            <w:tcW w:w="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1.2</w:t>
            </w:r>
          </w:p>
        </w:tc>
        <w:tc>
          <w:tcPr>
            <w:tcW w:w="12642" w:type="dxa"/>
            <w:tcBorders>
              <w:top w:val="single" w:color="auto" w:sz="4" w:space="0"/>
              <w:left w:val="single" w:color="auto" w:sz="4" w:space="0"/>
              <w:bottom w:val="single" w:color="auto" w:sz="4" w:space="0"/>
              <w:right w:val="single" w:color="auto" w:sz="4" w:space="0"/>
            </w:tcBorders>
            <w:noWrap w:val="0"/>
            <w:vAlign w:val="center"/>
          </w:tcPr>
          <w:p>
            <w:pPr>
              <w:adjustRightInd/>
              <w:ind w:right="0" w:rightChars="0"/>
              <w:jc w:val="left"/>
              <w:rPr>
                <w:rFonts w:hint="eastAsia" w:ascii="宋体" w:hAnsi="宋体" w:cs="宋体"/>
                <w:szCs w:val="21"/>
              </w:rPr>
            </w:pPr>
          </w:p>
          <w:p>
            <w:pPr>
              <w:adjustRightInd/>
              <w:ind w:right="0" w:rightChars="0"/>
              <w:jc w:val="left"/>
              <w:rPr>
                <w:rFonts w:hint="eastAsia" w:ascii="宋体" w:hAnsi="宋体" w:cs="宋体"/>
                <w:szCs w:val="21"/>
              </w:rPr>
            </w:pPr>
            <w:r>
              <w:rPr>
                <w:rFonts w:hint="eastAsia" w:ascii="宋体" w:hAnsi="宋体" w:cs="宋体"/>
                <w:szCs w:val="21"/>
              </w:rPr>
              <w:t>投标人具有有效期内的质量管理体系认证、环境管理体系认证、职业健康安全管理体系认证、知识产权管理体系认证情况：</w:t>
            </w:r>
          </w:p>
          <w:p>
            <w:pPr>
              <w:adjustRightInd/>
              <w:ind w:left="0" w:leftChars="0" w:right="0" w:rightChars="0" w:firstLine="0"/>
              <w:jc w:val="left"/>
              <w:rPr>
                <w:rFonts w:hint="eastAsia" w:ascii="宋体" w:hAnsi="宋体" w:cs="宋体"/>
                <w:szCs w:val="21"/>
              </w:rPr>
            </w:pPr>
            <w:r>
              <w:rPr>
                <w:rFonts w:hint="eastAsia" w:ascii="宋体" w:hAnsi="宋体" w:cs="宋体"/>
                <w:szCs w:val="21"/>
              </w:rPr>
              <w:t>（1）同时具有上述认证证书的，得1.2分；</w:t>
            </w:r>
          </w:p>
          <w:p>
            <w:pPr>
              <w:adjustRightInd/>
              <w:ind w:left="0" w:leftChars="0" w:right="0" w:rightChars="0" w:firstLine="0"/>
              <w:jc w:val="left"/>
              <w:rPr>
                <w:rFonts w:hint="eastAsia" w:ascii="宋体" w:hAnsi="宋体" w:cs="宋体"/>
                <w:szCs w:val="21"/>
              </w:rPr>
            </w:pPr>
            <w:r>
              <w:rPr>
                <w:rFonts w:hint="eastAsia" w:ascii="宋体" w:hAnsi="宋体" w:cs="宋体"/>
                <w:szCs w:val="21"/>
              </w:rPr>
              <w:t>（2）上述认证证书缺少1项的，得0.6分；</w:t>
            </w:r>
          </w:p>
          <w:p>
            <w:pPr>
              <w:adjustRightInd/>
              <w:ind w:left="0" w:leftChars="0" w:right="0" w:rightChars="0" w:firstLine="0"/>
              <w:jc w:val="left"/>
              <w:rPr>
                <w:rFonts w:hint="eastAsia" w:ascii="宋体" w:hAnsi="宋体" w:cs="宋体"/>
                <w:szCs w:val="21"/>
              </w:rPr>
            </w:pPr>
            <w:r>
              <w:rPr>
                <w:rFonts w:hint="eastAsia" w:ascii="宋体" w:hAnsi="宋体" w:cs="宋体"/>
                <w:szCs w:val="21"/>
              </w:rPr>
              <w:t>（3）上述认证证书缺少2项的，得0.3分；</w:t>
            </w:r>
          </w:p>
          <w:p>
            <w:pPr>
              <w:adjustRightInd/>
              <w:ind w:left="0" w:leftChars="0" w:right="0" w:rightChars="0" w:firstLine="0"/>
              <w:jc w:val="left"/>
              <w:rPr>
                <w:rFonts w:hint="eastAsia" w:ascii="宋体" w:hAnsi="宋体" w:cs="宋体"/>
                <w:szCs w:val="21"/>
              </w:rPr>
            </w:pPr>
            <w:r>
              <w:rPr>
                <w:rFonts w:hint="eastAsia" w:ascii="宋体" w:hAnsi="宋体" w:cs="宋体"/>
                <w:szCs w:val="21"/>
              </w:rPr>
              <w:t>（3）上述认证证书缺少3项的，得0.1分；</w:t>
            </w:r>
          </w:p>
          <w:p>
            <w:pPr>
              <w:jc w:val="left"/>
              <w:rPr>
                <w:rFonts w:hint="eastAsia" w:ascii="宋体" w:hAnsi="宋体" w:eastAsia="宋体" w:cs="宋体"/>
                <w:sz w:val="21"/>
                <w:szCs w:val="21"/>
                <w:lang w:val="en-US" w:eastAsia="zh-CN"/>
              </w:rPr>
            </w:pPr>
            <w:r>
              <w:rPr>
                <w:rFonts w:hint="eastAsia" w:ascii="宋体" w:hAnsi="宋体" w:cs="宋体"/>
                <w:szCs w:val="21"/>
              </w:rPr>
              <w:t>不符合上述条件的不得分，本小项评分最高得1.2分。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rPr>
            </w:pPr>
          </w:p>
        </w:tc>
        <w:tc>
          <w:tcPr>
            <w:tcW w:w="871"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rPr>
              <w:t>工程研发能力</w:t>
            </w:r>
          </w:p>
        </w:tc>
        <w:tc>
          <w:tcPr>
            <w:tcW w:w="563"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1.2</w:t>
            </w:r>
          </w:p>
        </w:tc>
        <w:tc>
          <w:tcPr>
            <w:tcW w:w="1264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000000"/>
                <w:sz w:val="21"/>
                <w:szCs w:val="21"/>
                <w:highlight w:val="none"/>
                <w:lang w:val="en-US" w:eastAsia="zh-CN"/>
              </w:rPr>
            </w:pPr>
            <w:r>
              <w:rPr>
                <w:rFonts w:hint="eastAsia" w:ascii="宋体" w:hAnsi="宋体"/>
                <w:kern w:val="0"/>
                <w:szCs w:val="21"/>
                <w:lang w:val="zh-CN"/>
              </w:rPr>
              <w:t>投标人获得有效的高新技术企业称号，得</w:t>
            </w:r>
            <w:r>
              <w:rPr>
                <w:rFonts w:ascii="宋体" w:hAnsi="宋体"/>
                <w:kern w:val="0"/>
                <w:szCs w:val="21"/>
                <w:lang w:val="zh-CN"/>
              </w:rPr>
              <w:t>1.2</w:t>
            </w:r>
            <w:r>
              <w:rPr>
                <w:rFonts w:hint="eastAsia" w:ascii="宋体" w:hAnsi="宋体"/>
                <w:kern w:val="0"/>
                <w:szCs w:val="21"/>
                <w:lang w:val="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000000"/>
                <w:sz w:val="21"/>
                <w:szCs w:val="21"/>
                <w:highlight w:val="none"/>
                <w:u w:val="none"/>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合计</w:t>
            </w:r>
          </w:p>
        </w:tc>
        <w:tc>
          <w:tcPr>
            <w:tcW w:w="5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20</w:t>
            </w:r>
          </w:p>
        </w:tc>
        <w:tc>
          <w:tcPr>
            <w:tcW w:w="1264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000000"/>
                <w:sz w:val="21"/>
                <w:szCs w:val="21"/>
                <w:highlight w:val="none"/>
                <w:u w:val="none"/>
              </w:rPr>
            </w:pPr>
          </w:p>
        </w:tc>
      </w:tr>
    </w:tbl>
    <w:p>
      <w:pPr>
        <w:numPr>
          <w:ilvl w:val="-1"/>
          <w:numId w:val="0"/>
        </w:numPr>
        <w:rPr>
          <w:rFonts w:hint="eastAsia" w:ascii="宋体" w:hAnsi="宋体" w:cs="宋体"/>
          <w:color w:val="000000"/>
          <w:szCs w:val="21"/>
          <w:highlight w:val="none"/>
        </w:rPr>
      </w:pPr>
    </w:p>
    <w:p>
      <w:pPr>
        <w:pStyle w:val="12"/>
        <w:rPr>
          <w:rFonts w:hint="eastAsia" w:ascii="宋体" w:hAnsi="宋体" w:cs="宋体"/>
          <w:color w:val="000000"/>
          <w:szCs w:val="21"/>
          <w:highlight w:val="none"/>
        </w:rPr>
      </w:pPr>
      <w:r>
        <w:rPr>
          <w:rFonts w:hint="eastAsia" w:ascii="宋体" w:hAnsi="宋体" w:cs="宋体"/>
          <w:color w:val="000000"/>
          <w:szCs w:val="21"/>
          <w:highlight w:val="none"/>
        </w:rPr>
        <w:t>评委签名：                                                                  日期</w:t>
      </w:r>
    </w:p>
    <w:p>
      <w:pPr>
        <w:pStyle w:val="12"/>
        <w:ind w:left="0" w:leftChars="0" w:firstLine="0" w:firstLineChars="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注：</w:t>
      </w:r>
    </w:p>
    <w:p>
      <w:pPr>
        <w:spacing w:line="312" w:lineRule="auto"/>
        <w:ind w:firstLine="0" w:firstLineChars="0"/>
        <w:rPr>
          <w:rFonts w:hint="eastAsia" w:ascii="宋体" w:hAnsi="宋体" w:eastAsia="宋体" w:cs="宋体"/>
          <w:szCs w:val="21"/>
        </w:rPr>
      </w:pP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项目管理机构能力</w:t>
      </w:r>
      <w:r>
        <w:rPr>
          <w:rFonts w:hint="eastAsia" w:ascii="宋体" w:hAnsi="宋体" w:eastAsia="宋体" w:cs="宋体"/>
          <w:b/>
          <w:bCs/>
          <w:color w:val="000000"/>
          <w:sz w:val="21"/>
          <w:szCs w:val="21"/>
          <w:highlight w:val="none"/>
          <w:lang w:eastAsia="zh-CN"/>
        </w:rPr>
        <w:t>：</w:t>
      </w:r>
      <w:r>
        <w:rPr>
          <w:rFonts w:hint="eastAsia" w:ascii="宋体" w:hAnsi="宋体"/>
          <w:szCs w:val="21"/>
        </w:rPr>
        <w:t>注：1</w:t>
      </w:r>
      <w:r>
        <w:rPr>
          <w:rFonts w:ascii="宋体" w:hAnsi="宋体"/>
          <w:szCs w:val="21"/>
        </w:rPr>
        <w:t>.</w:t>
      </w:r>
      <w:r>
        <w:rPr>
          <w:rFonts w:hint="eastAsia" w:ascii="宋体" w:hAnsi="宋体"/>
          <w:szCs w:val="21"/>
        </w:rPr>
        <w:t>以上人员均不可兼任，人员须提供对应要求的职称证书或资格证书、注册证等相关证明材料扫描件，不提供或提供不齐全不得分。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ascii="宋体" w:hAnsi="宋体"/>
          <w:szCs w:val="21"/>
        </w:rPr>
        <w:t>2.</w:t>
      </w:r>
      <w:r>
        <w:rPr>
          <w:rFonts w:hint="eastAsia" w:ascii="宋体" w:hAnsi="宋体"/>
          <w:szCs w:val="21"/>
        </w:rPr>
        <w:t>“建筑工程类”技术职称是指包含建筑施工管理、建筑施工、工程管理、建筑工程造价、建筑机械、建筑生产技术管理等工程项目建设所涉及的相关专业的技术职称。</w:t>
      </w:r>
    </w:p>
    <w:p>
      <w:pPr>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2、类似业绩：</w:t>
      </w:r>
      <w:r>
        <w:rPr>
          <w:rFonts w:hint="eastAsia" w:ascii="宋体" w:hAnsi="宋体"/>
          <w:kern w:val="0"/>
          <w:szCs w:val="21"/>
          <w:lang w:val="zh-CN"/>
        </w:rPr>
        <w:t>注：</w:t>
      </w:r>
      <w:r>
        <w:rPr>
          <w:rFonts w:hint="eastAsia"/>
          <w:szCs w:val="21"/>
        </w:rPr>
        <w:t>业绩取自广州市住建行业信用管理平台。投标人须提供工程业绩的项目名称及业绩在广州市住建行业信用管理平台中项目编号、相应业绩在广州市住建行业信用管理平台的网页信息截图（网页信息截图须能清晰显示带有“住建行业信用管理平台”名称，并至少包含“项目基本信息”、“工程规模”、“工程对应的企业资质”等信息）。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1）金额以中标通知书为准，中标通知书上没有金额或免招标的，以施工合同（不含补充合同）为准。用于本项目投标的类似业绩，在平台中“工程对应的企业资质”栏中须登记有与本项目要求相对应的资质【具体资质要求：建筑工程施工总承包（原房屋建筑工程施工总承包）】。（2）技术指标【建筑工程施工总承包（或原房屋建筑工程施工总承包）中标金额大于或等于500万元】需在广州市住建行业信用管理平台内业绩上传件中反映。（3）完成时间以竣工验收文件为准。验收文件至少具有建设单位、设计、施工和监理单位盖章。（</w:t>
      </w:r>
      <w:r>
        <w:rPr>
          <w:szCs w:val="21"/>
        </w:rPr>
        <w:t>4</w:t>
      </w:r>
      <w:r>
        <w:rPr>
          <w:rFonts w:hint="eastAsia"/>
          <w:szCs w:val="21"/>
        </w:rPr>
        <w:t>）平台内业绩上传件不符合上述要求的或登记的工程资质内容与施工合同等业绩证明资料不相符的，该项业绩不予认定。</w:t>
      </w:r>
    </w:p>
    <w:p>
      <w:pPr>
        <w:numPr>
          <w:ilvl w:val="0"/>
          <w:numId w:val="0"/>
        </w:numPr>
        <w:spacing w:line="264" w:lineRule="auto"/>
        <w:ind w:left="-1" w:leftChars="0" w:firstLine="0"/>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3、第三方评价：</w:t>
      </w:r>
      <w:r>
        <w:rPr>
          <w:rFonts w:hint="eastAsia" w:ascii="宋体" w:hAnsi="宋体" w:eastAsia="宋体" w:cs="宋体"/>
          <w:szCs w:val="21"/>
        </w:rPr>
        <w:t>注：须提供有效的体系认证证书扫描件并加盖投标人电子印章，否则不得分。</w:t>
      </w:r>
    </w:p>
    <w:p>
      <w:pP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val="en-US" w:eastAsia="zh-CN"/>
        </w:rPr>
        <w:t>4、工程研发能力：</w:t>
      </w:r>
      <w:r>
        <w:rPr>
          <w:rFonts w:hint="eastAsia" w:ascii="宋体" w:hAnsi="宋体"/>
          <w:kern w:val="0"/>
          <w:szCs w:val="21"/>
          <w:lang w:val="zh-CN"/>
        </w:rPr>
        <w:t>注：“高新技术企业称号”须提供有效的高新技术企业证书扫描件并加盖投标人电子印章，否则不得分。</w:t>
      </w:r>
    </w:p>
    <w:bookmarkEnd w:id="28"/>
    <w:p>
      <w:pPr>
        <w:numPr>
          <w:ilvl w:val="-1"/>
          <w:numId w:val="0"/>
        </w:numPr>
        <w:rPr>
          <w:rFonts w:hint="eastAsia" w:ascii="宋体" w:hAnsi="宋体" w:eastAsia="宋体" w:cs="宋体"/>
          <w:b/>
          <w:bCs/>
          <w:color w:val="000000"/>
          <w:sz w:val="21"/>
          <w:szCs w:val="21"/>
          <w:highlight w:val="none"/>
          <w:u w:val="none"/>
        </w:rPr>
      </w:pPr>
      <w:r>
        <w:rPr>
          <w:rFonts w:hint="eastAsia" w:ascii="宋体" w:hAnsi="宋体" w:eastAsia="宋体" w:cs="宋体"/>
          <w:b/>
          <w:bCs/>
          <w:color w:val="000000"/>
          <w:sz w:val="21"/>
          <w:szCs w:val="21"/>
          <w:highlight w:val="none"/>
          <w:u w:val="none"/>
          <w:lang w:val="en-US" w:eastAsia="zh-CN"/>
        </w:rPr>
        <w:t>5、投标人的技术分为</w:t>
      </w:r>
      <w:r>
        <w:rPr>
          <w:rFonts w:hint="eastAsia" w:ascii="宋体" w:hAnsi="宋体" w:eastAsia="宋体" w:cs="宋体"/>
          <w:b/>
          <w:bCs/>
          <w:color w:val="000000"/>
          <w:sz w:val="21"/>
          <w:szCs w:val="21"/>
          <w:highlight w:val="none"/>
          <w:u w:val="none"/>
        </w:rPr>
        <w:t>所有评委分数汇总后的算术平均值为投标人最终得分。分数出现小数点，保留小数点后二位小数，第三位小数四舍五入</w:t>
      </w:r>
    </w:p>
    <w:p>
      <w:pPr>
        <w:jc w:val="left"/>
        <w:rPr>
          <w:rFonts w:hint="eastAsia" w:ascii="宋体" w:hAnsi="宋体" w:eastAsia="宋体" w:cs="宋体"/>
          <w:b/>
          <w:color w:val="000000"/>
          <w:sz w:val="30"/>
          <w:szCs w:val="30"/>
        </w:rPr>
      </w:pPr>
      <w:r>
        <w:rPr>
          <w:rFonts w:hint="eastAsia" w:ascii="宋体" w:hAnsi="宋体" w:eastAsia="宋体" w:cs="宋体"/>
          <w:b/>
          <w:color w:val="000000"/>
          <w:sz w:val="30"/>
          <w:szCs w:val="30"/>
        </w:rPr>
        <w:br w:type="page"/>
      </w:r>
    </w:p>
    <w:p>
      <w:pPr>
        <w:jc w:val="center"/>
        <w:rPr>
          <w:rFonts w:ascii="宋体" w:hAnsi="宋体"/>
          <w:b/>
          <w:color w:val="000000"/>
          <w:sz w:val="30"/>
          <w:szCs w:val="30"/>
        </w:rPr>
      </w:pPr>
      <w:r>
        <w:rPr>
          <w:rFonts w:hint="eastAsia" w:ascii="宋体" w:hAnsi="宋体"/>
          <w:b/>
          <w:color w:val="000000"/>
          <w:sz w:val="30"/>
          <w:szCs w:val="30"/>
        </w:rPr>
        <w:t>《</w:t>
      </w:r>
      <w:r>
        <w:rPr>
          <w:rFonts w:hint="eastAsia" w:ascii="宋体" w:hAnsi="宋体" w:cs="宋体"/>
          <w:b/>
          <w:sz w:val="30"/>
          <w:szCs w:val="30"/>
        </w:rPr>
        <w:t>项目管理机构人员配置要求表</w:t>
      </w:r>
      <w:r>
        <w:rPr>
          <w:rFonts w:hint="eastAsia" w:ascii="宋体" w:hAnsi="宋体"/>
          <w:b/>
          <w:color w:val="000000"/>
          <w:sz w:val="30"/>
          <w:szCs w:val="30"/>
        </w:rPr>
        <w:t>》</w:t>
      </w:r>
    </w:p>
    <w:tbl>
      <w:tblPr>
        <w:tblStyle w:val="36"/>
        <w:tblW w:w="13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
        <w:gridCol w:w="709"/>
        <w:gridCol w:w="7203"/>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707" w:type="dxa"/>
            <w:noWrap w:val="0"/>
            <w:vAlign w:val="center"/>
          </w:tcPr>
          <w:p>
            <w:pPr>
              <w:widowControl/>
              <w:spacing w:line="256" w:lineRule="exact"/>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1276" w:type="dxa"/>
            <w:noWrap w:val="0"/>
            <w:vAlign w:val="center"/>
          </w:tcPr>
          <w:p>
            <w:pPr>
              <w:widowControl/>
              <w:spacing w:line="256" w:lineRule="exact"/>
              <w:jc w:val="center"/>
              <w:rPr>
                <w:rFonts w:ascii="宋体" w:hAnsi="宋体" w:cs="宋体"/>
                <w:b/>
                <w:color w:val="000000"/>
                <w:kern w:val="0"/>
                <w:szCs w:val="21"/>
              </w:rPr>
            </w:pPr>
            <w:bookmarkStart w:id="29" w:name="_Hlk83306150"/>
            <w:r>
              <w:rPr>
                <w:rFonts w:hint="eastAsia" w:ascii="宋体" w:hAnsi="宋体" w:cs="宋体"/>
                <w:b/>
                <w:color w:val="000000"/>
                <w:kern w:val="0"/>
                <w:szCs w:val="21"/>
              </w:rPr>
              <w:t>类别</w:t>
            </w:r>
          </w:p>
        </w:tc>
        <w:tc>
          <w:tcPr>
            <w:tcW w:w="709" w:type="dxa"/>
            <w:noWrap w:val="0"/>
            <w:vAlign w:val="center"/>
          </w:tcPr>
          <w:p>
            <w:pPr>
              <w:widowControl/>
              <w:spacing w:line="256" w:lineRule="exact"/>
              <w:jc w:val="center"/>
              <w:rPr>
                <w:rFonts w:ascii="宋体" w:hAnsi="宋体" w:cs="宋体"/>
                <w:b/>
                <w:color w:val="000000"/>
                <w:kern w:val="0"/>
                <w:szCs w:val="21"/>
              </w:rPr>
            </w:pPr>
            <w:r>
              <w:rPr>
                <w:rFonts w:hint="eastAsia" w:ascii="宋体" w:hAnsi="宋体" w:cs="宋体"/>
                <w:b/>
                <w:color w:val="000000"/>
                <w:kern w:val="0"/>
                <w:szCs w:val="21"/>
              </w:rPr>
              <w:t>数量</w:t>
            </w:r>
          </w:p>
        </w:tc>
        <w:tc>
          <w:tcPr>
            <w:tcW w:w="7203" w:type="dxa"/>
            <w:noWrap w:val="0"/>
            <w:vAlign w:val="center"/>
          </w:tcPr>
          <w:p>
            <w:pPr>
              <w:widowControl/>
              <w:spacing w:line="256" w:lineRule="exact"/>
              <w:jc w:val="center"/>
              <w:rPr>
                <w:rFonts w:ascii="宋体" w:hAnsi="宋体" w:cs="宋体"/>
                <w:b/>
                <w:color w:val="000000"/>
                <w:kern w:val="0"/>
                <w:szCs w:val="21"/>
              </w:rPr>
            </w:pPr>
            <w:r>
              <w:rPr>
                <w:rFonts w:hint="eastAsia" w:ascii="宋体" w:hAnsi="宋体" w:cs="宋体"/>
                <w:b/>
                <w:color w:val="000000"/>
                <w:kern w:val="0"/>
                <w:szCs w:val="21"/>
              </w:rPr>
              <w:t>基本任职条件</w:t>
            </w:r>
          </w:p>
        </w:tc>
        <w:tc>
          <w:tcPr>
            <w:tcW w:w="4059" w:type="dxa"/>
            <w:noWrap w:val="0"/>
            <w:vAlign w:val="center"/>
          </w:tcPr>
          <w:p>
            <w:pPr>
              <w:widowControl/>
              <w:spacing w:line="256"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276" w:type="dxa"/>
            <w:noWrap w:val="0"/>
            <w:vAlign w:val="center"/>
          </w:tcPr>
          <w:p>
            <w:pPr>
              <w:widowControl/>
              <w:spacing w:line="256" w:lineRule="exact"/>
              <w:ind w:left="-48" w:leftChars="-23"/>
              <w:jc w:val="center"/>
              <w:rPr>
                <w:rFonts w:ascii="宋体" w:hAnsi="宋体" w:cs="宋体"/>
                <w:color w:val="000000"/>
                <w:kern w:val="0"/>
                <w:szCs w:val="21"/>
              </w:rPr>
            </w:pPr>
            <w:r>
              <w:rPr>
                <w:rFonts w:hint="eastAsia" w:ascii="宋体" w:hAnsi="宋体" w:cs="宋体"/>
                <w:color w:val="000000"/>
                <w:kern w:val="0"/>
                <w:szCs w:val="21"/>
              </w:rPr>
              <w:t>项目负责人</w:t>
            </w:r>
          </w:p>
        </w:tc>
        <w:tc>
          <w:tcPr>
            <w:tcW w:w="709" w:type="dxa"/>
            <w:noWrap w:val="0"/>
            <w:vAlign w:val="center"/>
          </w:tcPr>
          <w:p>
            <w:pPr>
              <w:widowControl/>
              <w:spacing w:line="256" w:lineRule="exact"/>
              <w:ind w:left="-44" w:leftChars="-21"/>
              <w:jc w:val="center"/>
              <w:rPr>
                <w:rFonts w:ascii="宋体" w:hAnsi="宋体" w:cs="宋体"/>
                <w:color w:val="000000"/>
                <w:kern w:val="0"/>
                <w:szCs w:val="21"/>
              </w:rPr>
            </w:pPr>
            <w:r>
              <w:rPr>
                <w:rFonts w:hint="eastAsia" w:ascii="宋体" w:hAnsi="宋体" w:cs="宋体"/>
                <w:color w:val="000000"/>
                <w:kern w:val="0"/>
                <w:szCs w:val="21"/>
              </w:rPr>
              <w:t>1人</w:t>
            </w:r>
          </w:p>
        </w:tc>
        <w:tc>
          <w:tcPr>
            <w:tcW w:w="7203" w:type="dxa"/>
            <w:noWrap w:val="0"/>
            <w:vAlign w:val="center"/>
          </w:tcPr>
          <w:p>
            <w:pPr>
              <w:widowControl/>
              <w:spacing w:before="78" w:beforeLines="25" w:after="78" w:afterLines="25" w:line="256" w:lineRule="exact"/>
              <w:jc w:val="center"/>
              <w:rPr>
                <w:rFonts w:ascii="宋体" w:hAnsi="宋体" w:cs="宋体"/>
                <w:color w:val="000000"/>
                <w:kern w:val="0"/>
                <w:szCs w:val="21"/>
              </w:rPr>
            </w:pPr>
            <w:r>
              <w:rPr>
                <w:rFonts w:hint="eastAsia" w:ascii="宋体" w:hAnsi="宋体" w:cs="宋体"/>
                <w:color w:val="000000"/>
                <w:kern w:val="0"/>
                <w:szCs w:val="21"/>
              </w:rPr>
              <w:t>按招标公告要求</w:t>
            </w:r>
          </w:p>
        </w:tc>
        <w:tc>
          <w:tcPr>
            <w:tcW w:w="4059" w:type="dxa"/>
            <w:noWrap w:val="0"/>
            <w:vAlign w:val="center"/>
          </w:tcPr>
          <w:p>
            <w:pPr>
              <w:widowControl/>
              <w:spacing w:before="78" w:beforeLines="25" w:after="78" w:afterLines="25" w:line="256" w:lineRule="exact"/>
              <w:jc w:val="left"/>
              <w:rPr>
                <w:rFonts w:ascii="宋体" w:hAnsi="宋体" w:cs="宋体"/>
                <w:color w:val="000000"/>
                <w:kern w:val="0"/>
                <w:szCs w:val="21"/>
              </w:rPr>
            </w:pPr>
            <w:r>
              <w:rPr>
                <w:rFonts w:hint="eastAsia" w:ascii="宋体" w:hAnsi="宋体" w:cs="宋体"/>
                <w:color w:val="000000"/>
                <w:kern w:val="0"/>
                <w:szCs w:val="21"/>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276" w:type="dxa"/>
            <w:noWrap w:val="0"/>
            <w:vAlign w:val="center"/>
          </w:tcPr>
          <w:p>
            <w:pPr>
              <w:widowControl/>
              <w:spacing w:line="256" w:lineRule="exact"/>
              <w:ind w:left="-48" w:leftChars="-23"/>
              <w:jc w:val="center"/>
              <w:rPr>
                <w:rFonts w:ascii="宋体" w:hAnsi="宋体" w:cs="宋体"/>
                <w:color w:val="000000"/>
                <w:kern w:val="0"/>
                <w:szCs w:val="21"/>
              </w:rPr>
            </w:pPr>
            <w:r>
              <w:rPr>
                <w:rFonts w:hint="eastAsia" w:ascii="宋体" w:hAnsi="宋体" w:cs="宋体"/>
                <w:color w:val="000000"/>
                <w:kern w:val="0"/>
                <w:szCs w:val="21"/>
              </w:rPr>
              <w:t>技术负责人</w:t>
            </w:r>
          </w:p>
        </w:tc>
        <w:tc>
          <w:tcPr>
            <w:tcW w:w="709" w:type="dxa"/>
            <w:noWrap w:val="0"/>
            <w:vAlign w:val="center"/>
          </w:tcPr>
          <w:p>
            <w:pPr>
              <w:widowControl/>
              <w:spacing w:line="256" w:lineRule="exact"/>
              <w:ind w:left="-44" w:leftChars="-21"/>
              <w:jc w:val="center"/>
              <w:rPr>
                <w:rFonts w:ascii="宋体" w:hAnsi="宋体" w:cs="宋体"/>
                <w:color w:val="000000"/>
                <w:kern w:val="0"/>
                <w:szCs w:val="21"/>
              </w:rPr>
            </w:pPr>
            <w:r>
              <w:rPr>
                <w:rFonts w:hint="eastAsia" w:ascii="宋体" w:hAnsi="宋体" w:cs="宋体"/>
                <w:color w:val="000000"/>
                <w:kern w:val="0"/>
                <w:szCs w:val="21"/>
              </w:rPr>
              <w:t>1人</w:t>
            </w:r>
          </w:p>
        </w:tc>
        <w:tc>
          <w:tcPr>
            <w:tcW w:w="7203" w:type="dxa"/>
            <w:noWrap w:val="0"/>
            <w:vAlign w:val="center"/>
          </w:tcPr>
          <w:p>
            <w:pPr>
              <w:widowControl/>
              <w:spacing w:before="78" w:beforeLines="25" w:after="78" w:afterLines="25" w:line="256" w:lineRule="exact"/>
              <w:jc w:val="center"/>
              <w:rPr>
                <w:rFonts w:ascii="宋体" w:hAnsi="宋体" w:cs="宋体"/>
                <w:color w:val="000000"/>
                <w:kern w:val="0"/>
                <w:szCs w:val="21"/>
              </w:rPr>
            </w:pPr>
            <w:r>
              <w:rPr>
                <w:rFonts w:hint="eastAsia" w:ascii="宋体" w:hAnsi="宋体" w:cs="宋体"/>
                <w:color w:val="000000"/>
                <w:kern w:val="0"/>
                <w:szCs w:val="21"/>
              </w:rPr>
              <w:t>按招标公告要求</w:t>
            </w:r>
          </w:p>
        </w:tc>
        <w:tc>
          <w:tcPr>
            <w:tcW w:w="4059" w:type="dxa"/>
            <w:noWrap w:val="0"/>
            <w:vAlign w:val="center"/>
          </w:tcPr>
          <w:p>
            <w:pPr>
              <w:widowControl/>
              <w:spacing w:before="78" w:beforeLines="25" w:after="78" w:afterLines="25" w:line="256" w:lineRule="exact"/>
              <w:jc w:val="left"/>
              <w:rPr>
                <w:rFonts w:ascii="宋体" w:hAnsi="宋体" w:cs="宋体"/>
                <w:color w:val="000000"/>
                <w:kern w:val="0"/>
                <w:szCs w:val="21"/>
              </w:rPr>
            </w:pPr>
            <w:r>
              <w:rPr>
                <w:rFonts w:hint="eastAsia" w:ascii="宋体" w:hAnsi="宋体" w:cs="宋体"/>
                <w:color w:val="000000"/>
                <w:kern w:val="0"/>
                <w:szCs w:val="21"/>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noWrap w:val="0"/>
            <w:vAlign w:val="center"/>
          </w:tcPr>
          <w:p>
            <w:pPr>
              <w:widowControl/>
              <w:spacing w:line="256" w:lineRule="exact"/>
              <w:ind w:left="-48" w:leftChars="-23"/>
              <w:jc w:val="center"/>
              <w:rPr>
                <w:rFonts w:hint="eastAsia" w:ascii="宋体" w:hAnsi="宋体"/>
                <w:szCs w:val="21"/>
              </w:rPr>
            </w:pPr>
            <w:r>
              <w:rPr>
                <w:rFonts w:hint="eastAsia" w:ascii="宋体" w:hAnsi="宋体"/>
                <w:szCs w:val="21"/>
              </w:rPr>
              <w:t>3</w:t>
            </w:r>
          </w:p>
        </w:tc>
        <w:tc>
          <w:tcPr>
            <w:tcW w:w="1276" w:type="dxa"/>
            <w:noWrap w:val="0"/>
            <w:vAlign w:val="center"/>
          </w:tcPr>
          <w:p>
            <w:pPr>
              <w:widowControl/>
              <w:spacing w:line="256" w:lineRule="exact"/>
              <w:ind w:left="-48" w:leftChars="-23"/>
              <w:jc w:val="center"/>
              <w:rPr>
                <w:rFonts w:hint="eastAsia" w:ascii="宋体" w:hAnsi="宋体"/>
                <w:szCs w:val="21"/>
              </w:rPr>
            </w:pPr>
            <w:r>
              <w:rPr>
                <w:rFonts w:hint="eastAsia" w:ascii="宋体" w:hAnsi="宋体"/>
                <w:szCs w:val="21"/>
              </w:rPr>
              <w:t>深化设计负责人</w:t>
            </w:r>
          </w:p>
        </w:tc>
        <w:tc>
          <w:tcPr>
            <w:tcW w:w="709" w:type="dxa"/>
            <w:noWrap w:val="0"/>
            <w:vAlign w:val="center"/>
          </w:tcPr>
          <w:p>
            <w:pPr>
              <w:widowControl/>
              <w:spacing w:line="256" w:lineRule="exact"/>
              <w:ind w:left="-44" w:leftChars="-21"/>
              <w:jc w:val="center"/>
              <w:rPr>
                <w:rFonts w:ascii="宋体" w:hAnsi="宋体"/>
                <w:szCs w:val="21"/>
              </w:rPr>
            </w:pPr>
            <w:r>
              <w:rPr>
                <w:rFonts w:hint="eastAsia" w:ascii="宋体" w:hAnsi="宋体" w:cs="宋体"/>
                <w:color w:val="000000"/>
                <w:kern w:val="0"/>
                <w:szCs w:val="21"/>
              </w:rPr>
              <w:t>1人</w:t>
            </w:r>
          </w:p>
        </w:tc>
        <w:tc>
          <w:tcPr>
            <w:tcW w:w="7203" w:type="dxa"/>
            <w:noWrap w:val="0"/>
            <w:vAlign w:val="center"/>
          </w:tcPr>
          <w:p>
            <w:pPr>
              <w:widowControl/>
              <w:spacing w:before="78" w:beforeLines="25" w:after="78" w:afterLines="25" w:line="256" w:lineRule="exact"/>
              <w:jc w:val="center"/>
              <w:rPr>
                <w:rFonts w:hint="eastAsia" w:ascii="宋体" w:hAnsi="宋体" w:cs="宋体"/>
                <w:kern w:val="0"/>
                <w:szCs w:val="21"/>
              </w:rPr>
            </w:pPr>
            <w:r>
              <w:rPr>
                <w:rFonts w:hint="eastAsia" w:ascii="宋体" w:hAnsi="宋体" w:cs="宋体"/>
                <w:bCs/>
                <w:szCs w:val="21"/>
              </w:rPr>
              <w:t>具有建筑设计或环境艺术设计</w:t>
            </w:r>
            <w:r>
              <w:rPr>
                <w:rFonts w:hint="eastAsia" w:ascii="宋体" w:hAnsi="宋体" w:cs="宋体"/>
                <w:bCs/>
                <w:kern w:val="0"/>
                <w:szCs w:val="21"/>
              </w:rPr>
              <w:t>类</w:t>
            </w:r>
            <w:r>
              <w:rPr>
                <w:rFonts w:hint="eastAsia" w:ascii="宋体" w:hAnsi="宋体" w:cs="宋体"/>
                <w:bCs/>
                <w:szCs w:val="21"/>
              </w:rPr>
              <w:t>专业中级或以上技术职称</w:t>
            </w:r>
          </w:p>
        </w:tc>
        <w:tc>
          <w:tcPr>
            <w:tcW w:w="4059" w:type="dxa"/>
            <w:noWrap w:val="0"/>
            <w:vAlign w:val="center"/>
          </w:tcPr>
          <w:p>
            <w:pPr>
              <w:widowControl/>
              <w:spacing w:before="78" w:beforeLines="25" w:after="78" w:afterLines="25" w:line="256" w:lineRule="exact"/>
              <w:jc w:val="left"/>
              <w:rPr>
                <w:rFonts w:hint="eastAsia" w:ascii="宋体" w:hAnsi="宋体"/>
                <w:szCs w:val="21"/>
              </w:rPr>
            </w:pPr>
            <w:r>
              <w:rPr>
                <w:rFonts w:hint="eastAsia" w:ascii="宋体" w:hAnsi="宋体" w:cs="宋体"/>
                <w:kern w:val="0"/>
                <w:szCs w:val="21"/>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7" w:type="dxa"/>
            <w:noWrap w:val="0"/>
            <w:vAlign w:val="center"/>
          </w:tcPr>
          <w:p>
            <w:pPr>
              <w:widowControl/>
              <w:spacing w:line="256" w:lineRule="exact"/>
              <w:ind w:left="-48" w:leftChars="-23"/>
              <w:jc w:val="center"/>
              <w:rPr>
                <w:rFonts w:hint="eastAsia" w:ascii="宋体" w:hAnsi="宋体"/>
                <w:szCs w:val="21"/>
              </w:rPr>
            </w:pPr>
            <w:r>
              <w:rPr>
                <w:rFonts w:ascii="宋体" w:hAnsi="宋体" w:cs="宋体"/>
                <w:color w:val="000000"/>
                <w:kern w:val="0"/>
                <w:szCs w:val="21"/>
              </w:rPr>
              <w:t>4</w:t>
            </w:r>
          </w:p>
        </w:tc>
        <w:tc>
          <w:tcPr>
            <w:tcW w:w="1276"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安全负责人</w:t>
            </w:r>
          </w:p>
        </w:tc>
        <w:tc>
          <w:tcPr>
            <w:tcW w:w="709" w:type="dxa"/>
            <w:noWrap w:val="0"/>
            <w:vAlign w:val="center"/>
          </w:tcPr>
          <w:p>
            <w:pPr>
              <w:widowControl/>
              <w:spacing w:line="256" w:lineRule="exact"/>
              <w:ind w:left="-44" w:leftChars="-21"/>
              <w:jc w:val="center"/>
              <w:rPr>
                <w:rFonts w:hint="eastAsia" w:ascii="宋体" w:hAnsi="宋体" w:cs="宋体"/>
                <w:color w:val="000000"/>
                <w:kern w:val="0"/>
                <w:szCs w:val="21"/>
              </w:rPr>
            </w:pPr>
            <w:r>
              <w:rPr>
                <w:rFonts w:hint="eastAsia" w:ascii="宋体" w:hAnsi="宋体" w:cs="宋体"/>
                <w:color w:val="000000"/>
                <w:kern w:val="0"/>
                <w:szCs w:val="21"/>
              </w:rPr>
              <w:t>1人</w:t>
            </w:r>
          </w:p>
        </w:tc>
        <w:tc>
          <w:tcPr>
            <w:tcW w:w="7203" w:type="dxa"/>
            <w:noWrap w:val="0"/>
            <w:vAlign w:val="center"/>
          </w:tcPr>
          <w:p>
            <w:pPr>
              <w:widowControl/>
              <w:spacing w:before="78" w:beforeLines="25" w:after="78" w:afterLines="25" w:line="256" w:lineRule="exact"/>
              <w:jc w:val="center"/>
              <w:rPr>
                <w:rFonts w:hint="eastAsia" w:ascii="宋体" w:hAnsi="宋体" w:cs="宋体"/>
                <w:kern w:val="0"/>
                <w:szCs w:val="21"/>
              </w:rPr>
            </w:pPr>
            <w:r>
              <w:rPr>
                <w:rFonts w:hint="eastAsia" w:ascii="宋体" w:hAnsi="宋体" w:eastAsia="宋体" w:cs="宋体"/>
                <w:kern w:val="0"/>
                <w:szCs w:val="21"/>
              </w:rPr>
              <w:t>同时具有建筑施工类专业中级或以上职称、注册安全工程师执业资格(须在有效期内)</w:t>
            </w:r>
          </w:p>
        </w:tc>
        <w:tc>
          <w:tcPr>
            <w:tcW w:w="4059" w:type="dxa"/>
            <w:noWrap w:val="0"/>
            <w:vAlign w:val="center"/>
          </w:tcPr>
          <w:p>
            <w:pPr>
              <w:widowControl/>
              <w:spacing w:before="78" w:beforeLines="25" w:after="78" w:afterLines="25" w:line="256" w:lineRule="exact"/>
              <w:jc w:val="left"/>
              <w:rPr>
                <w:rFonts w:hint="eastAsia" w:ascii="宋体" w:hAnsi="宋体" w:cs="宋体"/>
                <w:kern w:val="0"/>
                <w:szCs w:val="21"/>
              </w:rPr>
            </w:pPr>
            <w:r>
              <w:rPr>
                <w:rFonts w:hint="eastAsia" w:ascii="宋体" w:hAnsi="宋体" w:cs="宋体"/>
                <w:kern w:val="0"/>
                <w:szCs w:val="21"/>
              </w:rPr>
              <w:t>须提供职称证书及安全工程师注册证书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276" w:type="dxa"/>
            <w:noWrap w:val="0"/>
            <w:vAlign w:val="center"/>
          </w:tcPr>
          <w:p>
            <w:pPr>
              <w:widowControl/>
              <w:spacing w:line="256" w:lineRule="exact"/>
              <w:ind w:left="-48" w:leftChars="-23"/>
              <w:jc w:val="center"/>
              <w:rPr>
                <w:rFonts w:ascii="宋体" w:hAnsi="宋体" w:cs="宋体"/>
                <w:color w:val="000000"/>
                <w:kern w:val="0"/>
                <w:szCs w:val="21"/>
              </w:rPr>
            </w:pPr>
            <w:r>
              <w:rPr>
                <w:rFonts w:hint="eastAsia" w:ascii="宋体" w:hAnsi="宋体"/>
                <w:szCs w:val="21"/>
              </w:rPr>
              <w:t>质量</w:t>
            </w:r>
            <w:r>
              <w:rPr>
                <w:rFonts w:hint="eastAsia" w:ascii="宋体" w:hAnsi="宋体" w:cs="宋体"/>
                <w:color w:val="000000"/>
                <w:kern w:val="0"/>
                <w:szCs w:val="21"/>
              </w:rPr>
              <w:t>工程师</w:t>
            </w:r>
          </w:p>
        </w:tc>
        <w:tc>
          <w:tcPr>
            <w:tcW w:w="709" w:type="dxa"/>
            <w:noWrap w:val="0"/>
            <w:vAlign w:val="center"/>
          </w:tcPr>
          <w:p>
            <w:pPr>
              <w:widowControl/>
              <w:spacing w:line="256" w:lineRule="exact"/>
              <w:ind w:left="-44" w:leftChars="-21"/>
              <w:jc w:val="center"/>
              <w:rPr>
                <w:rFonts w:ascii="宋体" w:hAnsi="宋体" w:cs="宋体"/>
                <w:color w:val="000000"/>
                <w:kern w:val="0"/>
                <w:szCs w:val="21"/>
              </w:rPr>
            </w:pPr>
            <w:r>
              <w:rPr>
                <w:rFonts w:ascii="宋体" w:hAnsi="宋体"/>
                <w:szCs w:val="21"/>
              </w:rPr>
              <w:t>2</w:t>
            </w:r>
            <w:r>
              <w:rPr>
                <w:rFonts w:hint="eastAsia" w:ascii="宋体" w:hAnsi="宋体"/>
                <w:szCs w:val="21"/>
              </w:rPr>
              <w:t>人</w:t>
            </w:r>
          </w:p>
        </w:tc>
        <w:tc>
          <w:tcPr>
            <w:tcW w:w="7203" w:type="dxa"/>
            <w:noWrap w:val="0"/>
            <w:vAlign w:val="center"/>
          </w:tcPr>
          <w:p>
            <w:pPr>
              <w:widowControl/>
              <w:spacing w:before="78" w:beforeLines="25" w:after="78" w:afterLines="25" w:line="256" w:lineRule="exact"/>
              <w:jc w:val="center"/>
              <w:rPr>
                <w:rFonts w:ascii="宋体" w:hAnsi="宋体" w:cs="宋体"/>
                <w:kern w:val="0"/>
                <w:szCs w:val="21"/>
              </w:rPr>
            </w:pPr>
            <w:r>
              <w:rPr>
                <w:rFonts w:hint="eastAsia" w:ascii="宋体" w:hAnsi="宋体" w:cs="宋体"/>
                <w:kern w:val="0"/>
                <w:szCs w:val="21"/>
              </w:rPr>
              <w:t>同时</w:t>
            </w:r>
            <w:r>
              <w:rPr>
                <w:rFonts w:hint="eastAsia" w:ascii="宋体" w:hAnsi="宋体"/>
                <w:szCs w:val="21"/>
              </w:rPr>
              <w:t>具有</w:t>
            </w:r>
            <w:r>
              <w:rPr>
                <w:rFonts w:hint="eastAsia" w:ascii="宋体" w:hAnsi="宋体" w:cs="宋体"/>
                <w:kern w:val="0"/>
                <w:szCs w:val="21"/>
              </w:rPr>
              <w:t>建筑装饰施工类</w:t>
            </w:r>
            <w:r>
              <w:rPr>
                <w:rFonts w:hint="eastAsia" w:ascii="宋体" w:hAnsi="宋体"/>
                <w:szCs w:val="21"/>
              </w:rPr>
              <w:t>专业中级或以上技术职称、质量员培训证或岗位证</w:t>
            </w:r>
          </w:p>
        </w:tc>
        <w:tc>
          <w:tcPr>
            <w:tcW w:w="4059" w:type="dxa"/>
            <w:noWrap w:val="0"/>
            <w:vAlign w:val="center"/>
          </w:tcPr>
          <w:p>
            <w:pPr>
              <w:widowControl/>
              <w:spacing w:before="78" w:beforeLines="25" w:after="78" w:afterLines="25" w:line="256" w:lineRule="exact"/>
              <w:jc w:val="left"/>
              <w:rPr>
                <w:rFonts w:ascii="宋体" w:hAnsi="宋体" w:cs="宋体"/>
                <w:kern w:val="0"/>
                <w:szCs w:val="21"/>
              </w:rPr>
            </w:pPr>
            <w:r>
              <w:rPr>
                <w:rFonts w:hint="eastAsia" w:ascii="宋体" w:hAnsi="宋体"/>
                <w:szCs w:val="21"/>
              </w:rPr>
              <w:t>须提供职称证书及质量员培训证或岗位证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276" w:type="dxa"/>
            <w:noWrap w:val="0"/>
            <w:vAlign w:val="center"/>
          </w:tcPr>
          <w:p>
            <w:pPr>
              <w:widowControl/>
              <w:spacing w:line="256" w:lineRule="exact"/>
              <w:ind w:left="-48" w:leftChars="-23"/>
              <w:jc w:val="center"/>
              <w:rPr>
                <w:rFonts w:ascii="宋体" w:hAnsi="宋体" w:cs="宋体"/>
                <w:color w:val="000000"/>
                <w:kern w:val="0"/>
                <w:szCs w:val="21"/>
              </w:rPr>
            </w:pPr>
            <w:r>
              <w:rPr>
                <w:rFonts w:hint="eastAsia" w:ascii="宋体" w:hAnsi="宋体" w:cs="宋体"/>
                <w:color w:val="000000"/>
                <w:kern w:val="0"/>
                <w:szCs w:val="21"/>
              </w:rPr>
              <w:t>造价工程师</w:t>
            </w:r>
          </w:p>
        </w:tc>
        <w:tc>
          <w:tcPr>
            <w:tcW w:w="709" w:type="dxa"/>
            <w:noWrap w:val="0"/>
            <w:vAlign w:val="center"/>
          </w:tcPr>
          <w:p>
            <w:pPr>
              <w:widowControl/>
              <w:spacing w:line="256" w:lineRule="exact"/>
              <w:ind w:left="-44" w:leftChars="-21"/>
              <w:jc w:val="center"/>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人</w:t>
            </w:r>
          </w:p>
        </w:tc>
        <w:tc>
          <w:tcPr>
            <w:tcW w:w="7203" w:type="dxa"/>
            <w:noWrap w:val="0"/>
            <w:vAlign w:val="center"/>
          </w:tcPr>
          <w:p>
            <w:pPr>
              <w:keepNext w:val="0"/>
              <w:keepLines w:val="0"/>
              <w:pageBreakBefore w:val="0"/>
              <w:widowControl/>
              <w:kinsoku/>
              <w:wordWrap/>
              <w:overflowPunct/>
              <w:topLinePunct w:val="0"/>
              <w:autoSpaceDE/>
              <w:autoSpaceDN/>
              <w:bidi w:val="0"/>
              <w:adjustRightInd/>
              <w:snapToGrid/>
              <w:spacing w:before="78" w:beforeLines="25" w:after="78" w:afterLines="25" w:line="216" w:lineRule="exact"/>
              <w:jc w:val="center"/>
              <w:textAlignment w:val="auto"/>
              <w:rPr>
                <w:rFonts w:ascii="宋体" w:hAnsi="宋体" w:cs="宋体"/>
                <w:kern w:val="0"/>
                <w:szCs w:val="21"/>
              </w:rPr>
            </w:pPr>
            <w:r>
              <w:rPr>
                <w:rFonts w:hint="eastAsia" w:ascii="宋体" w:hAnsi="宋体" w:cs="宋体"/>
                <w:kern w:val="0"/>
                <w:szCs w:val="21"/>
              </w:rPr>
              <w:t>同时具</w:t>
            </w:r>
            <w:r>
              <w:rPr>
                <w:rFonts w:hint="eastAsia" w:ascii="宋体" w:hAnsi="宋体" w:cs="宋体"/>
                <w:bCs/>
                <w:szCs w:val="21"/>
              </w:rPr>
              <w:t>有</w:t>
            </w:r>
            <w:r>
              <w:rPr>
                <w:rFonts w:hint="eastAsia" w:ascii="宋体" w:hAnsi="宋体" w:cs="宋体"/>
                <w:kern w:val="0"/>
                <w:szCs w:val="21"/>
              </w:rPr>
              <w:t>建筑工程造价类</w:t>
            </w:r>
            <w:r>
              <w:rPr>
                <w:rFonts w:hint="eastAsia" w:ascii="宋体" w:hAnsi="宋体" w:cs="宋体"/>
                <w:color w:val="000000"/>
                <w:kern w:val="0"/>
                <w:szCs w:val="21"/>
              </w:rPr>
              <w:t>专业</w:t>
            </w:r>
            <w:r>
              <w:rPr>
                <w:rFonts w:hint="eastAsia" w:ascii="宋体" w:hAnsi="宋体" w:cs="宋体"/>
                <w:kern w:val="0"/>
                <w:szCs w:val="21"/>
              </w:rPr>
              <w:t>中级或以上职称、</w:t>
            </w:r>
            <w:r>
              <w:rPr>
                <w:rFonts w:hint="eastAsia" w:ascii="宋体" w:hAnsi="宋体" w:cs="宋体"/>
                <w:bCs/>
                <w:szCs w:val="21"/>
              </w:rPr>
              <w:t>土木建筑专业</w:t>
            </w:r>
            <w:r>
              <w:rPr>
                <w:rFonts w:hint="eastAsia" w:ascii="宋体" w:hAnsi="宋体" w:cs="宋体"/>
                <w:kern w:val="0"/>
                <w:szCs w:val="21"/>
              </w:rPr>
              <w:t>一级注册造价工程师 (须在有效期内)</w:t>
            </w:r>
            <w:r>
              <w:rPr>
                <w:rFonts w:ascii="宋体" w:hAnsi="宋体" w:cs="宋体"/>
                <w:kern w:val="0"/>
                <w:szCs w:val="21"/>
              </w:rPr>
              <w:t xml:space="preserve"> </w:t>
            </w:r>
          </w:p>
        </w:tc>
        <w:tc>
          <w:tcPr>
            <w:tcW w:w="4059" w:type="dxa"/>
            <w:noWrap w:val="0"/>
            <w:vAlign w:val="center"/>
          </w:tcPr>
          <w:p>
            <w:pPr>
              <w:widowControl/>
              <w:spacing w:before="78" w:beforeLines="25" w:after="78" w:afterLines="25" w:line="256" w:lineRule="exact"/>
              <w:jc w:val="left"/>
              <w:rPr>
                <w:rFonts w:ascii="宋体" w:hAnsi="宋体" w:cs="宋体"/>
                <w:kern w:val="0"/>
                <w:szCs w:val="21"/>
              </w:rPr>
            </w:pPr>
            <w:r>
              <w:rPr>
                <w:rFonts w:hint="eastAsia" w:ascii="宋体" w:hAnsi="宋体" w:cs="宋体"/>
                <w:kern w:val="0"/>
                <w:szCs w:val="21"/>
              </w:rPr>
              <w:t>须提供职称证书及造价工程师注册证书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276" w:type="dxa"/>
            <w:noWrap w:val="0"/>
            <w:vAlign w:val="center"/>
          </w:tcPr>
          <w:p>
            <w:pPr>
              <w:widowControl/>
              <w:spacing w:line="256" w:lineRule="exact"/>
              <w:ind w:left="-48" w:leftChars="-23"/>
              <w:jc w:val="center"/>
              <w:rPr>
                <w:rFonts w:ascii="宋体" w:hAnsi="宋体" w:cs="宋体"/>
                <w:kern w:val="0"/>
                <w:szCs w:val="21"/>
              </w:rPr>
            </w:pPr>
            <w:r>
              <w:rPr>
                <w:rFonts w:hint="eastAsia" w:ascii="宋体" w:hAnsi="宋体" w:cs="宋体"/>
                <w:color w:val="000000"/>
                <w:kern w:val="0"/>
                <w:szCs w:val="21"/>
              </w:rPr>
              <w:t>装修工程师</w:t>
            </w:r>
          </w:p>
        </w:tc>
        <w:tc>
          <w:tcPr>
            <w:tcW w:w="709" w:type="dxa"/>
            <w:noWrap w:val="0"/>
            <w:vAlign w:val="center"/>
          </w:tcPr>
          <w:p>
            <w:pPr>
              <w:widowControl/>
              <w:spacing w:line="256" w:lineRule="exact"/>
              <w:ind w:left="-44" w:leftChars="-21"/>
              <w:jc w:val="center"/>
              <w:rPr>
                <w:rFonts w:ascii="宋体" w:hAnsi="宋体" w:cs="宋体"/>
                <w:bCs/>
                <w:kern w:val="0"/>
                <w:szCs w:val="21"/>
              </w:rPr>
            </w:pPr>
            <w:r>
              <w:rPr>
                <w:rFonts w:ascii="宋体" w:hAnsi="宋体" w:cs="宋体"/>
                <w:bCs/>
                <w:kern w:val="0"/>
                <w:szCs w:val="21"/>
              </w:rPr>
              <w:t>3</w:t>
            </w:r>
            <w:r>
              <w:rPr>
                <w:rFonts w:hint="eastAsia" w:ascii="宋体" w:hAnsi="宋体" w:cs="宋体"/>
                <w:bCs/>
                <w:kern w:val="0"/>
                <w:szCs w:val="21"/>
              </w:rPr>
              <w:t>人</w:t>
            </w:r>
          </w:p>
        </w:tc>
        <w:tc>
          <w:tcPr>
            <w:tcW w:w="7203" w:type="dxa"/>
            <w:noWrap w:val="0"/>
            <w:vAlign w:val="center"/>
          </w:tcPr>
          <w:p>
            <w:pPr>
              <w:widowControl/>
              <w:spacing w:before="78" w:beforeLines="25" w:after="78" w:afterLines="25" w:line="256" w:lineRule="exact"/>
              <w:jc w:val="center"/>
              <w:rPr>
                <w:rFonts w:ascii="宋体" w:hAnsi="宋体" w:cs="宋体"/>
                <w:kern w:val="0"/>
                <w:szCs w:val="21"/>
              </w:rPr>
            </w:pPr>
            <w:r>
              <w:rPr>
                <w:rFonts w:hint="eastAsia" w:ascii="宋体" w:hAnsi="宋体" w:cs="宋体"/>
                <w:kern w:val="0"/>
                <w:szCs w:val="21"/>
              </w:rPr>
              <w:t>具有建筑装饰施工类</w:t>
            </w:r>
            <w:r>
              <w:rPr>
                <w:rFonts w:hint="eastAsia" w:ascii="宋体" w:hAnsi="宋体" w:cs="宋体"/>
                <w:color w:val="000000"/>
                <w:kern w:val="0"/>
                <w:szCs w:val="21"/>
              </w:rPr>
              <w:t>专业</w:t>
            </w:r>
            <w:r>
              <w:rPr>
                <w:rFonts w:hint="eastAsia" w:ascii="宋体" w:hAnsi="宋体" w:cs="宋体"/>
                <w:kern w:val="0"/>
                <w:szCs w:val="21"/>
              </w:rPr>
              <w:t>中级或以上职称</w:t>
            </w:r>
          </w:p>
        </w:tc>
        <w:tc>
          <w:tcPr>
            <w:tcW w:w="4059" w:type="dxa"/>
            <w:noWrap w:val="0"/>
            <w:vAlign w:val="center"/>
          </w:tcPr>
          <w:p>
            <w:pPr>
              <w:widowControl/>
              <w:spacing w:before="78" w:beforeLines="25" w:after="78" w:afterLines="25" w:line="256" w:lineRule="exact"/>
              <w:jc w:val="left"/>
              <w:rPr>
                <w:rFonts w:ascii="宋体" w:hAnsi="宋体" w:cs="宋体"/>
                <w:kern w:val="0"/>
                <w:szCs w:val="21"/>
              </w:rPr>
            </w:pPr>
            <w:r>
              <w:rPr>
                <w:rFonts w:hint="eastAsia" w:ascii="宋体" w:hAnsi="宋体" w:cs="宋体"/>
                <w:kern w:val="0"/>
                <w:szCs w:val="21"/>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7" w:type="dxa"/>
            <w:noWrap w:val="0"/>
            <w:vAlign w:val="center"/>
          </w:tcPr>
          <w:p>
            <w:pPr>
              <w:widowControl/>
              <w:spacing w:line="256" w:lineRule="exact"/>
              <w:ind w:left="-48" w:leftChars="-23"/>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276" w:type="dxa"/>
            <w:noWrap w:val="0"/>
            <w:vAlign w:val="center"/>
          </w:tcPr>
          <w:p>
            <w:pPr>
              <w:widowControl/>
              <w:spacing w:line="256" w:lineRule="exact"/>
              <w:ind w:left="-48" w:leftChars="-23"/>
              <w:jc w:val="center"/>
              <w:rPr>
                <w:rFonts w:ascii="宋体" w:hAnsi="宋体" w:cs="宋体"/>
                <w:kern w:val="0"/>
                <w:szCs w:val="21"/>
              </w:rPr>
            </w:pPr>
            <w:r>
              <w:rPr>
                <w:rFonts w:hint="eastAsia" w:ascii="宋体" w:hAnsi="宋体" w:cs="宋体"/>
                <w:color w:val="000000"/>
                <w:kern w:val="0"/>
                <w:szCs w:val="21"/>
              </w:rPr>
              <w:t>暖通工程师</w:t>
            </w:r>
          </w:p>
        </w:tc>
        <w:tc>
          <w:tcPr>
            <w:tcW w:w="709" w:type="dxa"/>
            <w:noWrap w:val="0"/>
            <w:vAlign w:val="center"/>
          </w:tcPr>
          <w:p>
            <w:pPr>
              <w:widowControl/>
              <w:spacing w:line="256" w:lineRule="exact"/>
              <w:ind w:left="-44" w:leftChars="-21"/>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人</w:t>
            </w:r>
          </w:p>
        </w:tc>
        <w:tc>
          <w:tcPr>
            <w:tcW w:w="7203" w:type="dxa"/>
            <w:noWrap w:val="0"/>
            <w:vAlign w:val="center"/>
          </w:tcPr>
          <w:p>
            <w:pPr>
              <w:widowControl/>
              <w:spacing w:before="78" w:beforeLines="25" w:after="78" w:afterLines="25" w:line="256" w:lineRule="exact"/>
              <w:jc w:val="center"/>
              <w:rPr>
                <w:rFonts w:ascii="宋体" w:hAnsi="宋体" w:cs="宋体"/>
                <w:kern w:val="0"/>
                <w:szCs w:val="21"/>
              </w:rPr>
            </w:pPr>
            <w:r>
              <w:rPr>
                <w:rFonts w:hint="eastAsia" w:ascii="宋体" w:hAnsi="宋体" w:cs="宋体"/>
                <w:color w:val="000000"/>
                <w:kern w:val="0"/>
                <w:szCs w:val="21"/>
              </w:rPr>
              <w:t>具有暖通类专业</w:t>
            </w:r>
            <w:r>
              <w:rPr>
                <w:rFonts w:hint="eastAsia" w:ascii="宋体" w:hAnsi="宋体" w:cs="宋体"/>
                <w:kern w:val="0"/>
                <w:szCs w:val="21"/>
              </w:rPr>
              <w:t>中级</w:t>
            </w:r>
            <w:r>
              <w:rPr>
                <w:rFonts w:hint="eastAsia" w:ascii="宋体" w:hAnsi="宋体" w:cs="宋体"/>
                <w:color w:val="000000"/>
                <w:kern w:val="0"/>
                <w:szCs w:val="21"/>
              </w:rPr>
              <w:t>或以上职称</w:t>
            </w:r>
          </w:p>
        </w:tc>
        <w:tc>
          <w:tcPr>
            <w:tcW w:w="4059" w:type="dxa"/>
            <w:noWrap w:val="0"/>
            <w:vAlign w:val="center"/>
          </w:tcPr>
          <w:p>
            <w:pPr>
              <w:widowControl/>
              <w:spacing w:before="78" w:beforeLines="25" w:after="78" w:afterLines="25" w:line="256" w:lineRule="exact"/>
              <w:jc w:val="left"/>
              <w:rPr>
                <w:rFonts w:ascii="宋体" w:hAnsi="宋体" w:cs="宋体"/>
                <w:kern w:val="0"/>
                <w:szCs w:val="21"/>
              </w:rPr>
            </w:pPr>
            <w:r>
              <w:rPr>
                <w:rFonts w:hint="eastAsia" w:ascii="宋体" w:hAnsi="宋体" w:cs="宋体"/>
                <w:color w:val="000000"/>
                <w:kern w:val="0"/>
                <w:szCs w:val="21"/>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7" w:type="dxa"/>
            <w:noWrap w:val="0"/>
            <w:vAlign w:val="center"/>
          </w:tcPr>
          <w:p>
            <w:pPr>
              <w:widowControl/>
              <w:spacing w:line="256" w:lineRule="exact"/>
              <w:ind w:left="-48" w:leftChars="-23"/>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w:t>
            </w:r>
          </w:p>
        </w:tc>
        <w:tc>
          <w:tcPr>
            <w:tcW w:w="1276" w:type="dxa"/>
            <w:noWrap w:val="0"/>
            <w:vAlign w:val="center"/>
          </w:tcPr>
          <w:p>
            <w:pPr>
              <w:widowControl/>
              <w:ind w:left="-48" w:leftChars="-23"/>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深化设计师</w:t>
            </w:r>
          </w:p>
        </w:tc>
        <w:tc>
          <w:tcPr>
            <w:tcW w:w="709" w:type="dxa"/>
            <w:noWrap w:val="0"/>
            <w:vAlign w:val="center"/>
          </w:tcPr>
          <w:p>
            <w:pPr>
              <w:widowControl/>
              <w:ind w:left="-44" w:leftChars="-21"/>
              <w:jc w:val="center"/>
              <w:rPr>
                <w:rFonts w:ascii="宋体" w:hAnsi="宋体" w:cs="宋体"/>
                <w:color w:val="000000"/>
                <w:kern w:val="0"/>
                <w:sz w:val="21"/>
                <w:szCs w:val="21"/>
                <w:lang w:val="en-US" w:eastAsia="zh-CN" w:bidi="ar-SA"/>
              </w:rPr>
            </w:pPr>
            <w:r>
              <w:rPr>
                <w:rFonts w:hint="eastAsia" w:ascii="宋体" w:hAnsi="宋体" w:cs="宋体"/>
                <w:color w:val="000000"/>
                <w:kern w:val="0"/>
                <w:szCs w:val="21"/>
              </w:rPr>
              <w:t>2人</w:t>
            </w:r>
          </w:p>
        </w:tc>
        <w:tc>
          <w:tcPr>
            <w:tcW w:w="7203" w:type="dxa"/>
            <w:noWrap w:val="0"/>
            <w:vAlign w:val="center"/>
          </w:tcPr>
          <w:p>
            <w:pPr>
              <w:widowControl/>
              <w:spacing w:before="78" w:beforeLines="25" w:after="78" w:afterLines="25" w:line="256" w:lineRule="exact"/>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具有</w:t>
            </w:r>
            <w:r>
              <w:rPr>
                <w:rFonts w:hint="eastAsia" w:ascii="宋体" w:hAnsi="宋体" w:cs="宋体"/>
                <w:kern w:val="0"/>
                <w:szCs w:val="21"/>
              </w:rPr>
              <w:t>装饰设计类</w:t>
            </w:r>
            <w:r>
              <w:rPr>
                <w:rFonts w:hint="eastAsia" w:ascii="宋体" w:hAnsi="宋体" w:cs="宋体"/>
                <w:bCs/>
                <w:kern w:val="0"/>
                <w:szCs w:val="21"/>
              </w:rPr>
              <w:t>专业</w:t>
            </w:r>
            <w:r>
              <w:rPr>
                <w:rFonts w:hint="eastAsia" w:ascii="宋体" w:hAnsi="宋体" w:cs="宋体"/>
                <w:kern w:val="0"/>
                <w:szCs w:val="21"/>
              </w:rPr>
              <w:t>中级</w:t>
            </w:r>
            <w:r>
              <w:rPr>
                <w:rFonts w:hint="eastAsia" w:ascii="宋体" w:hAnsi="宋体" w:cs="宋体"/>
                <w:color w:val="000000"/>
                <w:kern w:val="0"/>
                <w:szCs w:val="21"/>
              </w:rPr>
              <w:t>或以上职称</w:t>
            </w:r>
          </w:p>
        </w:tc>
        <w:tc>
          <w:tcPr>
            <w:tcW w:w="4059" w:type="dxa"/>
            <w:noWrap w:val="0"/>
            <w:vAlign w:val="center"/>
          </w:tcPr>
          <w:p>
            <w:pPr>
              <w:widowControl/>
              <w:spacing w:before="78" w:beforeLines="25" w:after="78" w:afterLines="25" w:line="256" w:lineRule="exact"/>
              <w:jc w:val="left"/>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7" w:type="dxa"/>
            <w:noWrap w:val="0"/>
            <w:vAlign w:val="center"/>
          </w:tcPr>
          <w:p>
            <w:pPr>
              <w:widowControl/>
              <w:ind w:left="-48" w:leftChars="-23"/>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1276" w:type="dxa"/>
            <w:noWrap w:val="0"/>
            <w:vAlign w:val="center"/>
          </w:tcPr>
          <w:p>
            <w:pPr>
              <w:widowControl/>
              <w:ind w:left="-48" w:leftChars="-23"/>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施工</w:t>
            </w:r>
            <w:r>
              <w:rPr>
                <w:rFonts w:hint="eastAsia" w:ascii="宋体" w:hAnsi="宋体" w:cs="宋体"/>
                <w:color w:val="000000"/>
                <w:kern w:val="0"/>
                <w:szCs w:val="21"/>
                <w:lang w:val="en-US" w:eastAsia="zh-CN"/>
              </w:rPr>
              <w:t>员</w:t>
            </w:r>
          </w:p>
        </w:tc>
        <w:tc>
          <w:tcPr>
            <w:tcW w:w="709" w:type="dxa"/>
            <w:noWrap w:val="0"/>
            <w:vAlign w:val="center"/>
          </w:tcPr>
          <w:p>
            <w:pPr>
              <w:widowControl/>
              <w:ind w:left="-44" w:leftChars="-21"/>
              <w:jc w:val="center"/>
              <w:rPr>
                <w:rFonts w:ascii="宋体" w:hAnsi="宋体" w:cs="宋体"/>
                <w:color w:val="000000"/>
                <w:kern w:val="0"/>
                <w:sz w:val="21"/>
                <w:szCs w:val="21"/>
                <w:lang w:val="en-US" w:eastAsia="zh-CN" w:bidi="ar-SA"/>
              </w:rPr>
            </w:pPr>
            <w:r>
              <w:rPr>
                <w:rFonts w:hint="eastAsia" w:ascii="宋体" w:hAnsi="宋体" w:cs="宋体"/>
                <w:color w:val="000000"/>
                <w:kern w:val="0"/>
                <w:szCs w:val="21"/>
                <w:lang w:val="en-US" w:eastAsia="zh-CN"/>
              </w:rPr>
              <w:t>2</w:t>
            </w:r>
            <w:r>
              <w:rPr>
                <w:rFonts w:hint="eastAsia" w:ascii="宋体" w:hAnsi="宋体" w:cs="宋体"/>
                <w:color w:val="000000"/>
                <w:kern w:val="0"/>
                <w:szCs w:val="21"/>
              </w:rPr>
              <w:t>人</w:t>
            </w:r>
          </w:p>
        </w:tc>
        <w:tc>
          <w:tcPr>
            <w:tcW w:w="7203" w:type="dxa"/>
            <w:noWrap w:val="0"/>
            <w:vAlign w:val="center"/>
          </w:tcPr>
          <w:p>
            <w:pPr>
              <w:widowControl/>
              <w:spacing w:before="78" w:beforeLines="25" w:after="78" w:afterLines="25"/>
              <w:jc w:val="center"/>
              <w:rPr>
                <w:rFonts w:hint="eastAsia" w:ascii="宋体" w:hAnsi="宋体" w:cs="宋体"/>
                <w:color w:val="000000"/>
                <w:kern w:val="0"/>
                <w:sz w:val="21"/>
                <w:szCs w:val="21"/>
                <w:lang w:val="en-US" w:eastAsia="zh-CN" w:bidi="ar-SA"/>
              </w:rPr>
            </w:pPr>
            <w:r>
              <w:rPr>
                <w:rFonts w:hint="eastAsia" w:ascii="宋体" w:hAnsi="宋体" w:cs="宋体"/>
                <w:kern w:val="0"/>
                <w:szCs w:val="21"/>
              </w:rPr>
              <w:t>同时</w:t>
            </w:r>
            <w:r>
              <w:rPr>
                <w:rFonts w:hint="eastAsia" w:ascii="宋体" w:hAnsi="宋体"/>
                <w:szCs w:val="21"/>
              </w:rPr>
              <w:t>具有</w:t>
            </w:r>
            <w:r>
              <w:rPr>
                <w:rFonts w:hint="eastAsia" w:ascii="宋体" w:hAnsi="宋体" w:cs="宋体"/>
                <w:kern w:val="0"/>
                <w:szCs w:val="21"/>
              </w:rPr>
              <w:t>建筑装饰施工类</w:t>
            </w:r>
            <w:r>
              <w:rPr>
                <w:rFonts w:hint="eastAsia" w:ascii="宋体" w:hAnsi="宋体"/>
                <w:szCs w:val="21"/>
              </w:rPr>
              <w:t>专业中级或以上技术职称、施工员培训证或岗位证</w:t>
            </w:r>
          </w:p>
        </w:tc>
        <w:tc>
          <w:tcPr>
            <w:tcW w:w="4059" w:type="dxa"/>
            <w:noWrap w:val="0"/>
            <w:vAlign w:val="center"/>
          </w:tcPr>
          <w:p>
            <w:pPr>
              <w:widowControl/>
              <w:spacing w:before="78" w:beforeLines="25" w:after="78" w:afterLines="25"/>
              <w:jc w:val="left"/>
              <w:rPr>
                <w:rFonts w:hint="eastAsia" w:ascii="宋体" w:hAnsi="宋体" w:cs="宋体"/>
                <w:color w:val="000000"/>
                <w:kern w:val="0"/>
                <w:sz w:val="21"/>
                <w:szCs w:val="21"/>
                <w:lang w:val="en-US" w:eastAsia="zh-CN" w:bidi="ar-SA"/>
              </w:rPr>
            </w:pPr>
            <w:r>
              <w:rPr>
                <w:rFonts w:hint="eastAsia" w:ascii="宋体" w:hAnsi="宋体"/>
                <w:szCs w:val="21"/>
              </w:rPr>
              <w:t>须提供职称证书及质量员培训证或岗位证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7" w:type="dxa"/>
            <w:noWrap w:val="0"/>
            <w:vAlign w:val="center"/>
          </w:tcPr>
          <w:p>
            <w:pPr>
              <w:widowControl/>
              <w:ind w:left="-48" w:leftChars="-23"/>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1276" w:type="dxa"/>
            <w:noWrap w:val="0"/>
            <w:vAlign w:val="center"/>
          </w:tcPr>
          <w:p>
            <w:pPr>
              <w:widowControl/>
              <w:ind w:left="-48" w:leftChars="-23"/>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专职安全员</w:t>
            </w:r>
          </w:p>
        </w:tc>
        <w:tc>
          <w:tcPr>
            <w:tcW w:w="709" w:type="dxa"/>
            <w:noWrap w:val="0"/>
            <w:vAlign w:val="center"/>
          </w:tcPr>
          <w:p>
            <w:pPr>
              <w:widowControl/>
              <w:ind w:left="-44" w:leftChars="-21"/>
              <w:jc w:val="center"/>
              <w:rPr>
                <w:rFonts w:ascii="宋体" w:hAnsi="宋体" w:cs="宋体"/>
                <w:color w:val="000000"/>
                <w:kern w:val="0"/>
                <w:sz w:val="21"/>
                <w:szCs w:val="21"/>
                <w:lang w:val="en-US" w:eastAsia="zh-CN" w:bidi="ar-SA"/>
              </w:rPr>
            </w:pPr>
            <w:r>
              <w:rPr>
                <w:rFonts w:ascii="宋体" w:hAnsi="宋体" w:cs="宋体"/>
                <w:color w:val="000000"/>
                <w:kern w:val="0"/>
                <w:szCs w:val="21"/>
              </w:rPr>
              <w:t>1</w:t>
            </w:r>
            <w:r>
              <w:rPr>
                <w:rFonts w:hint="eastAsia" w:ascii="宋体" w:hAnsi="宋体" w:cs="宋体"/>
                <w:color w:val="000000"/>
                <w:kern w:val="0"/>
                <w:szCs w:val="21"/>
              </w:rPr>
              <w:t>人</w:t>
            </w:r>
          </w:p>
        </w:tc>
        <w:tc>
          <w:tcPr>
            <w:tcW w:w="7203" w:type="dxa"/>
            <w:noWrap w:val="0"/>
            <w:vAlign w:val="center"/>
          </w:tcPr>
          <w:p>
            <w:pPr>
              <w:widowControl/>
              <w:spacing w:before="78" w:beforeLines="25" w:after="78" w:afterLines="25"/>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按招标公告要求</w:t>
            </w:r>
          </w:p>
        </w:tc>
        <w:tc>
          <w:tcPr>
            <w:tcW w:w="4059" w:type="dxa"/>
            <w:noWrap w:val="0"/>
            <w:vAlign w:val="center"/>
          </w:tcPr>
          <w:p>
            <w:pPr>
              <w:widowControl/>
              <w:spacing w:before="78" w:beforeLines="25" w:after="78" w:afterLines="25"/>
              <w:jc w:val="left"/>
              <w:rPr>
                <w:rFonts w:hint="eastAsia" w:ascii="宋体" w:hAnsi="宋体" w:cs="宋体"/>
                <w:color w:val="000000"/>
                <w:kern w:val="0"/>
                <w:sz w:val="21"/>
                <w:szCs w:val="21"/>
                <w:lang w:val="en-US" w:eastAsia="zh-CN" w:bidi="ar-SA"/>
              </w:rPr>
            </w:pPr>
            <w:r>
              <w:rPr>
                <w:rFonts w:hint="eastAsia" w:ascii="宋体" w:hAnsi="宋体" w:cs="宋体"/>
                <w:color w:val="000000"/>
                <w:kern w:val="0"/>
                <w:szCs w:val="21"/>
              </w:rPr>
              <w:t>须按招标公告要求提供资料</w:t>
            </w:r>
          </w:p>
        </w:tc>
      </w:tr>
      <w:bookmarkEnd w:id="29"/>
    </w:tbl>
    <w:p>
      <w:pPr>
        <w:snapToGrid w:val="0"/>
        <w:ind w:firstLine="400" w:firstLineChars="200"/>
        <w:rPr>
          <w:rFonts w:ascii="宋体" w:hAnsi="宋体" w:cs="宋体"/>
          <w:sz w:val="20"/>
          <w:szCs w:val="20"/>
        </w:rPr>
      </w:pPr>
      <w:r>
        <w:rPr>
          <w:rFonts w:hint="eastAsia" w:ascii="宋体" w:hAnsi="宋体" w:cs="宋体"/>
          <w:sz w:val="20"/>
          <w:szCs w:val="20"/>
        </w:rPr>
        <w:t>注： 1、所有人员必须按要求提供相应证明材料和在本投标人（不含子母公司人员，如投标申请人为集团公司，则不含集团下属分公司，专指集团本部人员，同样下属公司也不得使用集团公司的人员）2</w:t>
      </w:r>
      <w:r>
        <w:rPr>
          <w:rFonts w:ascii="宋体" w:hAnsi="宋体" w:cs="宋体"/>
          <w:sz w:val="20"/>
          <w:szCs w:val="20"/>
        </w:rPr>
        <w:t>023</w:t>
      </w:r>
      <w:r>
        <w:rPr>
          <w:rFonts w:hint="eastAsia" w:ascii="宋体" w:hAnsi="宋体" w:cs="宋体"/>
          <w:sz w:val="20"/>
          <w:szCs w:val="20"/>
        </w:rPr>
        <w:t>年</w:t>
      </w:r>
      <w:r>
        <w:rPr>
          <w:rFonts w:hint="eastAsia" w:ascii="宋体" w:hAnsi="宋体" w:cs="宋体"/>
          <w:sz w:val="20"/>
          <w:szCs w:val="20"/>
          <w:lang w:val="en-US" w:eastAsia="zh-CN"/>
        </w:rPr>
        <w:t>9</w:t>
      </w:r>
      <w:r>
        <w:rPr>
          <w:rFonts w:hint="eastAsia" w:ascii="宋体" w:hAnsi="宋体" w:cs="宋体"/>
          <w:sz w:val="20"/>
          <w:szCs w:val="20"/>
        </w:rPr>
        <w:t>月由社保行政主管部门出具的在</w:t>
      </w:r>
      <w:r>
        <w:rPr>
          <w:rFonts w:ascii="宋体" w:hAnsi="宋体" w:cs="宋体"/>
          <w:sz w:val="20"/>
          <w:szCs w:val="20"/>
        </w:rPr>
        <w:t>投标人单位购买</w:t>
      </w:r>
      <w:r>
        <w:rPr>
          <w:rFonts w:hint="eastAsia" w:ascii="宋体" w:hAnsi="宋体" w:cs="宋体"/>
          <w:sz w:val="20"/>
          <w:szCs w:val="20"/>
        </w:rPr>
        <w:t>社保证明资料</w:t>
      </w:r>
      <w:r>
        <w:rPr>
          <w:rFonts w:ascii="宋体" w:hAnsi="宋体" w:cs="宋体"/>
          <w:sz w:val="20"/>
          <w:szCs w:val="20"/>
        </w:rPr>
        <w:t>）</w:t>
      </w:r>
      <w:r>
        <w:rPr>
          <w:rFonts w:hint="eastAsia" w:ascii="宋体" w:hAnsi="宋体" w:cs="宋体"/>
          <w:sz w:val="20"/>
          <w:szCs w:val="20"/>
        </w:rPr>
        <w:t>，扫描件并加盖投标人电子印章（未按要求提供完整相关资料的人员，该人员不作为评分依据)。</w:t>
      </w:r>
    </w:p>
    <w:p>
      <w:pPr>
        <w:snapToGrid w:val="0"/>
        <w:ind w:firstLine="400" w:firstLineChars="200"/>
        <w:rPr>
          <w:rFonts w:ascii="宋体" w:hAnsi="宋体" w:cs="宋体"/>
          <w:sz w:val="20"/>
          <w:szCs w:val="20"/>
        </w:rPr>
      </w:pPr>
      <w:r>
        <w:rPr>
          <w:rFonts w:hint="eastAsia" w:ascii="宋体" w:hAnsi="宋体" w:cs="宋体"/>
          <w:sz w:val="20"/>
          <w:szCs w:val="20"/>
        </w:rPr>
        <w:t>2、一级注册造价工程师须提供造价工程师注册证扫描件和注册信息查询网站截图 ，其中：①按照《造价工程师职业资格制度规定》的规定，根据原人事部、原建设部发布的《造价工程师执业资格制度暂行规定》（人发〔1996〕77号）取得的造价工程师执业资格，并经注册且在有效期内的，等同于一级注册造价工程师。②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r>
        <w:rPr>
          <w:rFonts w:hint="eastAsia" w:ascii="宋体" w:hAnsi="宋体"/>
          <w:sz w:val="20"/>
          <w:szCs w:val="20"/>
        </w:rPr>
        <w:t>③</w:t>
      </w:r>
      <w:r>
        <w:rPr>
          <w:rFonts w:hint="eastAsia" w:ascii="宋体" w:hAnsi="宋体" w:cs="宋体"/>
          <w:sz w:val="20"/>
          <w:szCs w:val="20"/>
        </w:rPr>
        <w:t>施工员的岗位证(或培训合格证)须提供住房城乡建设厅行业证书全国联网查询(http://rcgz.mohurd. gov. cn/Login/NetworkingSearch?type=2)的网页截图。</w:t>
      </w:r>
    </w:p>
    <w:p>
      <w:pPr>
        <w:snapToGrid w:val="0"/>
        <w:ind w:firstLine="0" w:firstLineChars="0"/>
        <w:rPr>
          <w:rFonts w:hint="eastAsia" w:ascii="宋体" w:hAnsi="宋体" w:cs="宋体"/>
          <w:sz w:val="20"/>
          <w:szCs w:val="20"/>
        </w:rPr>
      </w:pPr>
      <w:r>
        <w:rPr>
          <w:rFonts w:hint="eastAsia" w:ascii="宋体" w:hAnsi="宋体" w:cs="宋体"/>
          <w:sz w:val="20"/>
          <w:szCs w:val="20"/>
        </w:rPr>
        <w:t>3、上表中有</w:t>
      </w:r>
      <w:r>
        <w:rPr>
          <w:rFonts w:ascii="宋体" w:hAnsi="宋体" w:cs="宋体"/>
          <w:sz w:val="20"/>
          <w:szCs w:val="20"/>
        </w:rPr>
        <w:t>少一人或有任一人员不满足对应</w:t>
      </w:r>
      <w:r>
        <w:rPr>
          <w:rFonts w:hint="eastAsia" w:ascii="宋体" w:hAnsi="宋体" w:cs="宋体"/>
          <w:sz w:val="20"/>
          <w:szCs w:val="20"/>
        </w:rPr>
        <w:t>“基本</w:t>
      </w:r>
      <w:r>
        <w:rPr>
          <w:rFonts w:ascii="宋体" w:hAnsi="宋体" w:cs="宋体"/>
          <w:sz w:val="20"/>
          <w:szCs w:val="20"/>
        </w:rPr>
        <w:t>要求</w:t>
      </w:r>
      <w:r>
        <w:rPr>
          <w:rFonts w:hint="eastAsia" w:ascii="宋体" w:hAnsi="宋体" w:cs="宋体"/>
          <w:sz w:val="20"/>
          <w:szCs w:val="20"/>
        </w:rPr>
        <w:t>”</w:t>
      </w:r>
      <w:r>
        <w:rPr>
          <w:rFonts w:ascii="宋体" w:hAnsi="宋体" w:cs="宋体"/>
          <w:sz w:val="20"/>
          <w:szCs w:val="20"/>
        </w:rPr>
        <w:t>或</w:t>
      </w:r>
      <w:r>
        <w:rPr>
          <w:rFonts w:hint="eastAsia" w:ascii="宋体" w:hAnsi="宋体" w:cs="宋体"/>
          <w:sz w:val="20"/>
          <w:szCs w:val="20"/>
        </w:rPr>
        <w:t>未按</w:t>
      </w:r>
      <w:r>
        <w:rPr>
          <w:rFonts w:ascii="宋体" w:hAnsi="宋体" w:cs="宋体"/>
          <w:sz w:val="20"/>
          <w:szCs w:val="20"/>
        </w:rPr>
        <w:t>对应</w:t>
      </w:r>
      <w:r>
        <w:rPr>
          <w:rFonts w:hint="eastAsia" w:ascii="宋体" w:hAnsi="宋体" w:cs="宋体"/>
          <w:sz w:val="20"/>
          <w:szCs w:val="20"/>
        </w:rPr>
        <w:t>备注</w:t>
      </w:r>
      <w:r>
        <w:rPr>
          <w:rFonts w:ascii="宋体" w:hAnsi="宋体" w:cs="宋体"/>
          <w:sz w:val="20"/>
          <w:szCs w:val="20"/>
        </w:rPr>
        <w:t>要求提供的</w:t>
      </w:r>
      <w:r>
        <w:rPr>
          <w:rFonts w:hint="eastAsia" w:ascii="宋体" w:hAnsi="宋体" w:cs="宋体"/>
          <w:sz w:val="20"/>
          <w:szCs w:val="20"/>
        </w:rPr>
        <w:t>齐全且有效</w:t>
      </w:r>
      <w:r>
        <w:rPr>
          <w:rFonts w:ascii="宋体" w:hAnsi="宋体" w:cs="宋体"/>
          <w:sz w:val="20"/>
          <w:szCs w:val="20"/>
        </w:rPr>
        <w:t>的材料的，均</w:t>
      </w:r>
      <w:r>
        <w:rPr>
          <w:rFonts w:hint="eastAsia" w:ascii="宋体" w:hAnsi="宋体" w:cs="宋体"/>
          <w:sz w:val="20"/>
          <w:szCs w:val="20"/>
        </w:rPr>
        <w:t>视</w:t>
      </w:r>
      <w:r>
        <w:rPr>
          <w:rFonts w:ascii="宋体" w:hAnsi="宋体" w:cs="宋体"/>
          <w:sz w:val="20"/>
          <w:szCs w:val="20"/>
        </w:rPr>
        <w:t>为不满足</w:t>
      </w:r>
      <w:r>
        <w:rPr>
          <w:rFonts w:hint="eastAsia" w:ascii="宋体" w:hAnsi="宋体" w:cs="宋体"/>
          <w:sz w:val="20"/>
          <w:szCs w:val="20"/>
        </w:rPr>
        <w:t>《项目管理机构人员配置要求表》。</w:t>
      </w:r>
    </w:p>
    <w:p>
      <w:pPr>
        <w:snapToGrid/>
        <w:ind w:firstLine="0" w:firstLineChars="0"/>
        <w:jc w:val="left"/>
        <w:rPr>
          <w:rFonts w:hint="eastAsia" w:ascii="宋体" w:hAnsi="宋体" w:cs="宋体"/>
          <w:b/>
          <w:bCs/>
          <w:color w:val="auto"/>
          <w:highlight w:val="none"/>
        </w:rPr>
      </w:pPr>
      <w:bookmarkStart w:id="30" w:name="_Toc115117429"/>
      <w:r>
        <w:rPr>
          <w:rFonts w:hint="eastAsia" w:ascii="宋体" w:hAnsi="宋体" w:cs="宋体"/>
          <w:b/>
          <w:bCs/>
          <w:color w:val="auto"/>
          <w:highlight w:val="none"/>
          <w:lang w:val="en-US" w:eastAsia="zh-CN"/>
        </w:rPr>
        <w:t>附</w:t>
      </w:r>
      <w:r>
        <w:rPr>
          <w:rFonts w:hint="eastAsia" w:ascii="宋体" w:hAnsi="宋体" w:cs="宋体"/>
          <w:b/>
          <w:bCs/>
          <w:color w:val="auto"/>
          <w:highlight w:val="none"/>
        </w:rPr>
        <w:t>表五 经济标评分表</w:t>
      </w:r>
      <w:bookmarkEnd w:id="30"/>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highlight w:val="none"/>
              </w:rPr>
            </w:pPr>
          </w:p>
        </w:tc>
      </w:tr>
    </w:tbl>
    <w:p>
      <w:pPr>
        <w:spacing w:line="360" w:lineRule="auto"/>
        <w:ind w:firstLine="459"/>
        <w:rPr>
          <w:rFonts w:hint="eastAsia" w:ascii="宋体" w:hAnsi="宋体" w:cs="宋体"/>
          <w:color w:val="auto"/>
          <w:szCs w:val="21"/>
          <w:highlight w:val="none"/>
        </w:rPr>
      </w:pPr>
      <w:r>
        <w:rPr>
          <w:rFonts w:hint="eastAsia" w:ascii="宋体" w:hAnsi="宋体" w:cs="宋体"/>
          <w:color w:val="auto"/>
          <w:kern w:val="0"/>
          <w:szCs w:val="21"/>
          <w:highlight w:val="none"/>
        </w:rPr>
        <w:t>评委签名：                                                                        日期：</w:t>
      </w:r>
    </w:p>
    <w:p>
      <w:pPr>
        <w:rPr>
          <w:rFonts w:hint="eastAsia" w:ascii="宋体" w:hAnsi="宋体" w:cs="宋体"/>
          <w:color w:val="auto"/>
          <w:szCs w:val="21"/>
          <w:highlight w:val="none"/>
        </w:rPr>
      </w:pPr>
    </w:p>
    <w:p>
      <w:pPr>
        <w:jc w:val="left"/>
        <w:outlineLvl w:val="0"/>
        <w:rPr>
          <w:rFonts w:hint="eastAsia" w:ascii="宋体" w:hAnsi="宋体" w:cs="宋体"/>
          <w:b/>
          <w:bCs/>
          <w:color w:val="auto"/>
          <w:highlight w:val="none"/>
        </w:rPr>
      </w:pPr>
      <w:bookmarkStart w:id="31" w:name="_Toc115117430"/>
    </w:p>
    <w:p>
      <w:pPr>
        <w:jc w:val="left"/>
        <w:outlineLvl w:val="0"/>
        <w:rPr>
          <w:rFonts w:hint="eastAsia" w:ascii="宋体" w:hAnsi="宋体" w:cs="宋体"/>
          <w:b/>
          <w:bCs/>
          <w:color w:val="auto"/>
          <w:highlight w:val="none"/>
        </w:rPr>
      </w:pPr>
    </w:p>
    <w:p>
      <w:pPr>
        <w:jc w:val="left"/>
        <w:outlineLvl w:val="0"/>
        <w:rPr>
          <w:rFonts w:hint="eastAsia" w:ascii="宋体" w:hAnsi="宋体" w:cs="宋体"/>
          <w:b/>
          <w:bCs/>
          <w:color w:val="auto"/>
          <w:highlight w:val="none"/>
        </w:rPr>
      </w:pPr>
    </w:p>
    <w:p>
      <w:pPr>
        <w:jc w:val="left"/>
        <w:outlineLvl w:val="0"/>
        <w:rPr>
          <w:rFonts w:hint="eastAsia" w:ascii="宋体" w:hAnsi="宋体" w:cs="宋体"/>
          <w:b/>
          <w:bCs/>
          <w:color w:val="auto"/>
          <w:highlight w:val="none"/>
        </w:rPr>
      </w:pPr>
      <w:r>
        <w:rPr>
          <w:rFonts w:hint="eastAsia" w:ascii="宋体" w:hAnsi="宋体" w:cs="宋体"/>
          <w:b/>
          <w:bCs/>
          <w:color w:val="auto"/>
          <w:highlight w:val="none"/>
        </w:rPr>
        <w:t>附表六 算术复核表</w:t>
      </w:r>
      <w:bookmarkEnd w:id="31"/>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修正率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tcPr>
          <w:p>
            <w:pPr>
              <w:spacing w:line="2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spacing w:line="2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spacing w:line="2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spacing w:line="2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spacing w:line="2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 （r=|A-B|/A*100%）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auto"/>
                <w:sz w:val="36"/>
                <w:szCs w:val="36"/>
                <w:highlight w:val="none"/>
              </w:rPr>
            </w:pPr>
          </w:p>
        </w:tc>
      </w:tr>
    </w:tbl>
    <w:p>
      <w:pPr>
        <w:spacing w:line="360" w:lineRule="auto"/>
        <w:ind w:firstLine="459"/>
        <w:rPr>
          <w:rFonts w:hint="eastAsia" w:ascii="宋体" w:hAnsi="宋体" w:cs="宋体"/>
          <w:color w:val="auto"/>
          <w:szCs w:val="21"/>
          <w:highlight w:val="none"/>
        </w:rPr>
      </w:pPr>
      <w:bookmarkStart w:id="32" w:name="_Toc2272566"/>
      <w:r>
        <w:rPr>
          <w:rFonts w:hint="eastAsia" w:ascii="宋体" w:hAnsi="宋体" w:cs="宋体"/>
          <w:color w:val="auto"/>
          <w:kern w:val="0"/>
          <w:szCs w:val="21"/>
          <w:highlight w:val="none"/>
        </w:rPr>
        <w:t>评委签名：                                                                        日期：</w:t>
      </w:r>
    </w:p>
    <w:p>
      <w:pPr>
        <w:pStyle w:val="4"/>
        <w:rPr>
          <w:rFonts w:hint="eastAsia" w:ascii="宋体" w:hAnsi="宋体" w:eastAsia="宋体" w:cs="宋体"/>
          <w:color w:val="auto"/>
          <w:highlight w:val="none"/>
        </w:rPr>
        <w:sectPr>
          <w:pgSz w:w="16838" w:h="11906" w:orient="landscape"/>
          <w:pgMar w:top="1417" w:right="1440" w:bottom="1417" w:left="1440" w:header="851" w:footer="992" w:gutter="0"/>
          <w:cols w:space="425" w:num="1"/>
          <w:docGrid w:type="linesAndChars" w:linePitch="312" w:charSpace="0"/>
        </w:sectPr>
      </w:pPr>
    </w:p>
    <w:bookmarkEnd w:id="32"/>
    <w:p>
      <w:pPr>
        <w:pStyle w:val="2"/>
        <w:outlineLvl w:val="0"/>
        <w:rPr>
          <w:rFonts w:hint="eastAsia" w:ascii="宋体" w:hAnsi="宋体" w:cs="宋体"/>
          <w:color w:val="auto"/>
          <w:highlight w:val="none"/>
        </w:rPr>
      </w:pPr>
      <w:bookmarkStart w:id="33" w:name="_Toc115117431"/>
      <w:r>
        <w:rPr>
          <w:rFonts w:hint="eastAsia" w:ascii="宋体" w:hAnsi="宋体" w:cs="宋体"/>
          <w:color w:val="auto"/>
          <w:highlight w:val="none"/>
        </w:rPr>
        <w:t>第三章合同条款</w:t>
      </w:r>
      <w:bookmarkEnd w:id="33"/>
    </w:p>
    <w:p>
      <w:pPr>
        <w:jc w:val="center"/>
        <w:rPr>
          <w:rFonts w:hint="eastAsia" w:ascii="宋体" w:hAnsi="宋体" w:cs="宋体"/>
          <w:b/>
          <w:color w:val="auto"/>
          <w:sz w:val="24"/>
          <w:szCs w:val="24"/>
          <w:highlight w:val="none"/>
        </w:rPr>
      </w:pPr>
      <w:r>
        <w:rPr>
          <w:rFonts w:hint="eastAsia" w:ascii="宋体" w:hAnsi="宋体" w:cs="宋体"/>
          <w:b/>
          <w:bCs/>
          <w:color w:val="auto"/>
          <w:sz w:val="24"/>
          <w:szCs w:val="24"/>
          <w:highlight w:val="none"/>
        </w:rPr>
        <w:t>（另册）</w:t>
      </w:r>
      <w:r>
        <w:rPr>
          <w:rFonts w:hint="eastAsia" w:ascii="宋体" w:hAnsi="宋体" w:cs="宋体"/>
          <w:b/>
          <w:bCs/>
          <w:color w:val="auto"/>
          <w:sz w:val="28"/>
          <w:szCs w:val="28"/>
          <w:highlight w:val="none"/>
        </w:rPr>
        <w:t>最后以合同双方签订的为准。</w:t>
      </w:r>
    </w:p>
    <w:p>
      <w:pPr>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34"/>
        <w:spacing w:line="360" w:lineRule="auto"/>
        <w:rPr>
          <w:rFonts w:hint="eastAsia" w:ascii="宋体" w:hAnsi="宋体" w:cs="宋体"/>
          <w:color w:val="auto"/>
          <w:sz w:val="24"/>
          <w:szCs w:val="24"/>
          <w:highlight w:val="none"/>
        </w:rPr>
      </w:pPr>
    </w:p>
    <w:p>
      <w:pPr>
        <w:pStyle w:val="19"/>
        <w:spacing w:line="360" w:lineRule="auto"/>
        <w:rPr>
          <w:rFonts w:hint="eastAsia" w:hAnsi="宋体" w:cs="宋体"/>
          <w:color w:val="auto"/>
          <w:sz w:val="24"/>
          <w:szCs w:val="24"/>
          <w:highlight w:val="none"/>
        </w:rPr>
      </w:pPr>
    </w:p>
    <w:p>
      <w:pPr>
        <w:pStyle w:val="19"/>
        <w:spacing w:line="360" w:lineRule="auto"/>
        <w:rPr>
          <w:rFonts w:hint="eastAsia" w:hAnsi="宋体" w:cs="宋体"/>
          <w:color w:val="auto"/>
          <w:sz w:val="24"/>
          <w:szCs w:val="24"/>
          <w:highlight w:val="none"/>
        </w:rPr>
      </w:pPr>
      <w:r>
        <w:rPr>
          <w:rFonts w:hint="eastAsia" w:hAnsi="宋体" w:cs="宋体"/>
          <w:color w:val="auto"/>
          <w:sz w:val="24"/>
          <w:szCs w:val="24"/>
          <w:highlight w:val="none"/>
        </w:rPr>
        <w:br w:type="page"/>
      </w:r>
    </w:p>
    <w:p>
      <w:pPr>
        <w:pStyle w:val="2"/>
        <w:outlineLvl w:val="0"/>
        <w:rPr>
          <w:rFonts w:hint="eastAsia" w:ascii="宋体" w:hAnsi="宋体" w:cs="宋体"/>
          <w:color w:val="auto"/>
          <w:highlight w:val="none"/>
        </w:rPr>
      </w:pPr>
      <w:bookmarkStart w:id="34" w:name="_Toc2272567"/>
      <w:bookmarkEnd w:id="34"/>
      <w:bookmarkStart w:id="35" w:name="_Toc115117432"/>
      <w:r>
        <w:rPr>
          <w:rFonts w:hint="eastAsia" w:ascii="宋体" w:hAnsi="宋体" w:cs="宋体"/>
          <w:color w:val="auto"/>
          <w:highlight w:val="none"/>
        </w:rPr>
        <w:t>第四章投标文件格式</w:t>
      </w:r>
      <w:bookmarkEnd w:id="35"/>
    </w:p>
    <w:p>
      <w:pPr>
        <w:pStyle w:val="5"/>
        <w:rPr>
          <w:rFonts w:hint="eastAsia"/>
          <w:color w:val="auto"/>
          <w:highlight w:val="none"/>
        </w:rPr>
      </w:pPr>
      <w:bookmarkStart w:id="36" w:name="_Toc79144517"/>
      <w:bookmarkEnd w:id="36"/>
      <w:bookmarkStart w:id="37" w:name="_Toc115117433"/>
      <w:r>
        <w:rPr>
          <w:rFonts w:hint="eastAsia"/>
          <w:color w:val="auto"/>
          <w:highlight w:val="none"/>
        </w:rPr>
        <w:t>一、技术标投标文件格式</w:t>
      </w:r>
      <w:bookmarkEnd w:id="37"/>
    </w:p>
    <w:p>
      <w:pPr>
        <w:rPr>
          <w:rFonts w:hint="eastAsia" w:ascii="宋体"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r>
        <w:rPr>
          <w:rFonts w:hint="eastAsia" w:hAnsi="宋体" w:cs="宋体"/>
          <w:color w:val="auto"/>
          <w:highlight w:val="none"/>
        </w:rPr>
        <w:br w:type="page"/>
      </w:r>
    </w:p>
    <w:p>
      <w:pPr>
        <w:pStyle w:val="19"/>
        <w:rPr>
          <w:rFonts w:hint="eastAsia" w:hAnsi="宋体" w:cs="宋体"/>
          <w:color w:val="auto"/>
          <w:highlight w:val="none"/>
        </w:rPr>
      </w:pPr>
    </w:p>
    <w:p>
      <w:pPr>
        <w:pStyle w:val="6"/>
        <w:ind w:left="-3" w:leftChars="-187" w:hanging="390" w:hangingChars="162"/>
        <w:rPr>
          <w:rFonts w:hint="eastAsia" w:cs="宋体"/>
          <w:color w:val="auto"/>
          <w:highlight w:val="none"/>
        </w:rPr>
      </w:pPr>
      <w:bookmarkStart w:id="38" w:name="_Toc32684"/>
      <w:bookmarkEnd w:id="38"/>
      <w:bookmarkStart w:id="39" w:name="_Toc13272"/>
      <w:bookmarkEnd w:id="39"/>
      <w:bookmarkStart w:id="40" w:name="_Toc16053"/>
      <w:bookmarkEnd w:id="40"/>
      <w:r>
        <w:rPr>
          <w:rFonts w:hint="eastAsia" w:cs="宋体"/>
          <w:color w:val="auto"/>
          <w:highlight w:val="none"/>
        </w:rPr>
        <w:t>格式一：技术标封面</w:t>
      </w:r>
    </w:p>
    <w:p>
      <w:pPr>
        <w:rPr>
          <w:rFonts w:hint="eastAsia" w:ascii="宋体" w:hAnsi="宋体" w:cs="宋体"/>
          <w:color w:val="auto"/>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第一册  【技术投标文件（含资格审查文件）】</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（填写投标人名称）     （盖章）</w:t>
      </w: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法定代表人或其委托代理人：</w:t>
      </w:r>
      <w:r>
        <w:rPr>
          <w:rFonts w:hint="eastAsia" w:ascii="宋体" w:hAnsi="宋体" w:cs="宋体"/>
          <w:snapToGrid w:val="0"/>
          <w:color w:val="auto"/>
          <w:spacing w:val="4"/>
          <w:kern w:val="0"/>
          <w:sz w:val="30"/>
          <w:szCs w:val="30"/>
          <w:highlight w:val="none"/>
          <w:u w:val="single"/>
        </w:rPr>
        <w:t xml:space="preserve">          （签名或盖章）</w:t>
      </w: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24"/>
          <w:szCs w:val="30"/>
          <w:highlight w:val="none"/>
        </w:rPr>
      </w:pPr>
      <w:r>
        <w:rPr>
          <w:rFonts w:hint="eastAsia" w:ascii="宋体" w:hAnsi="宋体" w:cs="宋体"/>
          <w:snapToGrid w:val="0"/>
          <w:color w:val="auto"/>
          <w:spacing w:val="4"/>
          <w:kern w:val="0"/>
          <w:sz w:val="30"/>
          <w:szCs w:val="30"/>
          <w:highlight w:val="none"/>
        </w:rPr>
        <w:t>日  期：</w:t>
      </w:r>
    </w:p>
    <w:p>
      <w:pPr>
        <w:rPr>
          <w:rFonts w:hint="eastAsia" w:ascii="宋体" w:hAnsi="宋体" w:cs="宋体"/>
          <w:color w:val="auto"/>
          <w:highlight w:val="none"/>
        </w:rPr>
      </w:pPr>
    </w:p>
    <w:p>
      <w:pPr>
        <w:rPr>
          <w:rFonts w:hint="eastAsia" w:ascii="宋体" w:hAnsi="宋体" w:cs="宋体"/>
          <w:color w:val="auto"/>
          <w:highlight w:val="none"/>
        </w:rPr>
      </w:pPr>
    </w:p>
    <w:p>
      <w:pPr>
        <w:pStyle w:val="6"/>
        <w:ind w:left="-3" w:leftChars="-187" w:hanging="390" w:hangingChars="162"/>
        <w:rPr>
          <w:rFonts w:hint="eastAsia" w:cs="宋体"/>
          <w:color w:val="auto"/>
          <w:highlight w:val="none"/>
        </w:rPr>
      </w:pPr>
      <w:bookmarkStart w:id="41" w:name="_Toc79144518"/>
      <w:bookmarkEnd w:id="41"/>
      <w:bookmarkStart w:id="42" w:name="_Toc61541786"/>
      <w:bookmarkEnd w:id="42"/>
      <w:bookmarkStart w:id="43" w:name="_Toc60070621"/>
      <w:bookmarkEnd w:id="43"/>
      <w:r>
        <w:rPr>
          <w:rFonts w:hint="eastAsia" w:cs="宋体"/>
          <w:color w:val="auto"/>
          <w:highlight w:val="none"/>
        </w:rPr>
        <w:br w:type="page"/>
      </w:r>
      <w:r>
        <w:rPr>
          <w:rFonts w:hint="eastAsia" w:cs="宋体"/>
          <w:color w:val="auto"/>
          <w:highlight w:val="none"/>
        </w:rPr>
        <w:t>格式二：</w:t>
      </w:r>
      <w:r>
        <w:rPr>
          <w:rFonts w:hint="eastAsia" w:cs="宋体"/>
          <w:snapToGrid w:val="0"/>
          <w:color w:val="auto"/>
          <w:spacing w:val="4"/>
          <w:kern w:val="0"/>
          <w:szCs w:val="24"/>
          <w:highlight w:val="none"/>
        </w:rPr>
        <w:t>广州建设工程施工招标投标书</w:t>
      </w:r>
    </w:p>
    <w:p>
      <w:pPr>
        <w:jc w:val="center"/>
        <w:rPr>
          <w:rFonts w:hint="eastAsia" w:ascii="宋体" w:hAnsi="宋体" w:cs="宋体"/>
          <w:b/>
          <w:color w:val="auto"/>
          <w:sz w:val="36"/>
          <w:szCs w:val="36"/>
          <w:highlight w:val="none"/>
        </w:rPr>
      </w:pPr>
      <w:bookmarkStart w:id="44" w:name="_Toc58838587"/>
      <w:bookmarkEnd w:id="44"/>
      <w:r>
        <w:rPr>
          <w:rFonts w:hint="eastAsia" w:ascii="宋体" w:hAnsi="宋体" w:cs="宋体"/>
          <w:b/>
          <w:color w:val="auto"/>
          <w:sz w:val="36"/>
          <w:szCs w:val="36"/>
          <w:highlight w:val="none"/>
        </w:rPr>
        <w:t>广州建设工程施工招标投标书</w:t>
      </w:r>
    </w:p>
    <w:tbl>
      <w:tblPr>
        <w:tblStyle w:val="36"/>
        <w:tblpPr w:leftFromText="180" w:rightFromText="180" w:vertAnchor="text" w:horzAnchor="margin" w:tblpXSpec="center" w:tblpY="27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autoSpaceDE w:val="0"/>
              <w:autoSpaceDN w:val="0"/>
              <w:adjustRightInd w:val="0"/>
              <w:spacing w:line="360" w:lineRule="auto"/>
              <w:rPr>
                <w:rFonts w:hint="eastAsia" w:ascii="宋体" w:hAnsi="宋体" w:cs="宋体"/>
                <w:color w:val="auto"/>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其中：人工费（元）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autoSpaceDE w:val="0"/>
              <w:autoSpaceDN w:val="0"/>
              <w:adjustRightInd w:val="0"/>
              <w:spacing w:line="360" w:lineRule="auto"/>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其中：绿色施工安全防护措施费（元）</w:t>
            </w:r>
          </w:p>
        </w:tc>
        <w:tc>
          <w:tcPr>
            <w:tcW w:w="61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autoSpaceDE w:val="0"/>
              <w:autoSpaceDN w:val="0"/>
              <w:adjustRightInd w:val="0"/>
              <w:spacing w:line="360" w:lineRule="auto"/>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autoSpaceDE w:val="0"/>
              <w:autoSpaceDN w:val="0"/>
              <w:adjustRightInd w:val="0"/>
              <w:spacing w:line="360" w:lineRule="auto"/>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p>
            <w:pPr>
              <w:pStyle w:val="19"/>
              <w:rPr>
                <w:rFonts w:hint="eastAsia" w:hAnsi="宋体" w:cs="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p>
            <w:pPr>
              <w:pStyle w:val="19"/>
              <w:rPr>
                <w:rFonts w:hint="eastAsia" w:hAnsi="宋体" w:cs="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617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p>
            <w:pPr>
              <w:pStyle w:val="19"/>
              <w:rPr>
                <w:rFonts w:hint="eastAsia" w:hAnsi="宋体" w:cs="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hint="eastAsia" w:ascii="宋体" w:hAnsi="宋体" w:cs="宋体"/>
                <w:b/>
                <w:bCs/>
                <w:color w:val="auto"/>
                <w:sz w:val="24"/>
                <w:szCs w:val="24"/>
                <w:highlight w:val="none"/>
                <w:lang w:val="zh-CN"/>
              </w:rPr>
            </w:pPr>
          </w:p>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p>
            <w:pPr>
              <w:pStyle w:val="19"/>
              <w:rPr>
                <w:rFonts w:hint="eastAsia" w:hAnsi="宋体" w:cs="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hint="eastAsia" w:ascii="宋体" w:hAnsi="宋体" w:cs="宋体"/>
                <w:b/>
                <w:bCs/>
                <w:color w:val="auto"/>
                <w:sz w:val="24"/>
                <w:szCs w:val="24"/>
                <w:highlight w:val="none"/>
                <w:lang w:val="zh-CN"/>
              </w:rPr>
            </w:pPr>
          </w:p>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姓名</w:t>
            </w:r>
          </w:p>
        </w:tc>
        <w:tc>
          <w:tcPr>
            <w:tcW w:w="445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p>
            <w:pPr>
              <w:pStyle w:val="19"/>
              <w:rPr>
                <w:rFonts w:hint="eastAsia" w:hAnsi="宋体" w:cs="宋体"/>
                <w:color w:val="auto"/>
                <w:highlight w:val="none"/>
                <w:lang w:val="zh-CN"/>
              </w:rPr>
            </w:pPr>
          </w:p>
        </w:tc>
      </w:tr>
    </w:tbl>
    <w:p>
      <w:pPr>
        <w:pStyle w:val="19"/>
        <w:rPr>
          <w:rFonts w:hint="eastAsia" w:hAnsi="宋体" w:cs="宋体"/>
          <w:color w:val="auto"/>
          <w:highlight w:val="none"/>
        </w:rPr>
      </w:pPr>
    </w:p>
    <w:p>
      <w:pPr>
        <w:pStyle w:val="6"/>
        <w:ind w:left="-3" w:leftChars="-187" w:hanging="390" w:hangingChars="162"/>
        <w:rPr>
          <w:rFonts w:hint="eastAsia" w:cs="宋体"/>
          <w:color w:val="auto"/>
          <w:highlight w:val="none"/>
        </w:rPr>
      </w:pPr>
      <w:bookmarkStart w:id="45" w:name="_Toc674"/>
      <w:bookmarkEnd w:id="45"/>
      <w:bookmarkStart w:id="46" w:name="_Toc442106472"/>
      <w:bookmarkEnd w:id="46"/>
      <w:bookmarkStart w:id="47" w:name="_Toc20777"/>
      <w:bookmarkEnd w:id="47"/>
      <w:r>
        <w:rPr>
          <w:rFonts w:hint="eastAsia" w:cs="宋体"/>
          <w:color w:val="auto"/>
          <w:highlight w:val="none"/>
        </w:rPr>
        <w:br w:type="page"/>
      </w:r>
      <w:r>
        <w:rPr>
          <w:rFonts w:hint="eastAsia" w:cs="宋体"/>
          <w:color w:val="auto"/>
          <w:highlight w:val="none"/>
        </w:rPr>
        <w:t>格式三：法定代表人证明书、法定代表人授权委托书</w:t>
      </w:r>
    </w:p>
    <w:p>
      <w:pPr>
        <w:pStyle w:val="12"/>
        <w:rPr>
          <w:rFonts w:hint="eastAsia" w:ascii="宋体" w:hAnsi="宋体" w:cs="宋体"/>
          <w:color w:val="auto"/>
          <w:highlight w:val="none"/>
        </w:rPr>
      </w:pPr>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法定代表人证明书</w:t>
      </w:r>
    </w:p>
    <w:p>
      <w:pPr>
        <w:spacing w:line="360" w:lineRule="auto"/>
        <w:jc w:val="right"/>
        <w:rPr>
          <w:rFonts w:hint="eastAsia" w:ascii="宋体" w:hAnsi="宋体" w:cs="宋体"/>
          <w:color w:val="auto"/>
          <w:sz w:val="24"/>
          <w:highlight w:val="none"/>
        </w:rPr>
      </w:pPr>
      <w:r>
        <w:rPr>
          <w:rFonts w:hint="eastAsia" w:ascii="宋体" w:hAnsi="宋体" w:cs="宋体"/>
          <w:color w:val="auto"/>
          <w:highlight w:val="none"/>
        </w:rPr>
        <w:t>（　 ）第　号</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附：法定代表人（负责人）性别：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　　　　　    年　月　　日</w:t>
            </w:r>
          </w:p>
        </w:tc>
      </w:tr>
    </w:tbl>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法定代表人授权委托书</w:t>
      </w:r>
    </w:p>
    <w:p>
      <w:pPr>
        <w:spacing w:line="360" w:lineRule="auto"/>
        <w:jc w:val="right"/>
        <w:rPr>
          <w:rFonts w:hint="eastAsia" w:ascii="宋体" w:hAnsi="宋体" w:cs="宋体"/>
          <w:color w:val="auto"/>
          <w:sz w:val="24"/>
          <w:highlight w:val="none"/>
        </w:rPr>
      </w:pPr>
      <w:r>
        <w:rPr>
          <w:rFonts w:hint="eastAsia" w:ascii="宋体" w:hAnsi="宋体" w:cs="宋体"/>
          <w:color w:val="auto"/>
          <w:highlight w:val="none"/>
        </w:rPr>
        <w:t>（　 ）第　号</w:t>
      </w:r>
    </w:p>
    <w:tbl>
      <w:tblPr>
        <w:tblStyle w:val="36"/>
        <w:tblW w:w="9287" w:type="dxa"/>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兹授权为我方委托代理人，其权限是：</w:t>
            </w:r>
            <w:r>
              <w:rPr>
                <w:rFonts w:hint="eastAsia" w:ascii="宋体" w:hAnsi="宋体" w:cs="宋体"/>
                <w:color w:val="auto"/>
                <w:sz w:val="24"/>
                <w:highlight w:val="none"/>
                <w:u w:val="single"/>
              </w:rPr>
              <w:t>　　　　　　　　　　</w:t>
            </w:r>
          </w:p>
          <w:p>
            <w:pPr>
              <w:spacing w:line="360" w:lineRule="auto"/>
              <w:rPr>
                <w:rFonts w:hint="eastAsia" w:ascii="宋体" w:hAnsi="宋体" w:cs="宋体"/>
                <w:color w:val="auto"/>
                <w:sz w:val="24"/>
                <w:highlight w:val="none"/>
                <w:u w:val="singl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法定代表人（负责人）：（签名或盖章）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授权单位：（盖章）</w:t>
            </w:r>
          </w:p>
          <w:p>
            <w:pPr>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年  月   日</w:t>
            </w:r>
          </w:p>
        </w:tc>
      </w:tr>
    </w:tbl>
    <w:p>
      <w:pPr>
        <w:spacing w:line="360" w:lineRule="auto"/>
        <w:rPr>
          <w:rFonts w:hint="eastAsia" w:ascii="宋体" w:hAnsi="宋体" w:cs="宋体"/>
          <w:color w:val="auto"/>
          <w:sz w:val="24"/>
          <w:highlight w:val="none"/>
        </w:rPr>
      </w:pPr>
    </w:p>
    <w:p>
      <w:pPr>
        <w:pStyle w:val="12"/>
        <w:rPr>
          <w:rFonts w:hint="eastAsia" w:ascii="宋体"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6"/>
        <w:ind w:left="-3" w:leftChars="-187" w:hanging="390" w:hangingChars="162"/>
        <w:rPr>
          <w:rFonts w:hint="eastAsia" w:cs="宋体"/>
          <w:color w:val="auto"/>
          <w:highlight w:val="none"/>
        </w:rPr>
      </w:pPr>
      <w:bookmarkStart w:id="48" w:name="_Toc61541790"/>
      <w:bookmarkEnd w:id="48"/>
      <w:bookmarkStart w:id="49" w:name="_Toc60070625"/>
      <w:bookmarkEnd w:id="49"/>
      <w:bookmarkStart w:id="50" w:name="_Toc79144522"/>
      <w:bookmarkEnd w:id="50"/>
      <w:r>
        <w:rPr>
          <w:rFonts w:hint="eastAsia" w:cs="宋体"/>
          <w:color w:val="auto"/>
          <w:highlight w:val="none"/>
        </w:rPr>
        <w:t>格式四：项目管理机构人员基本情况及业绩表</w:t>
      </w:r>
    </w:p>
    <w:p>
      <w:pPr>
        <w:pStyle w:val="119"/>
        <w:ind w:firstLine="723"/>
        <w:rPr>
          <w:rFonts w:hint="eastAsia" w:eastAsia="宋体" w:cs="宋体"/>
          <w:color w:val="auto"/>
          <w:spacing w:val="0"/>
          <w:highlight w:val="none"/>
        </w:rPr>
      </w:pPr>
      <w:r>
        <w:rPr>
          <w:rFonts w:hint="eastAsia" w:eastAsia="宋体" w:cs="宋体"/>
          <w:color w:val="auto"/>
          <w:spacing w:val="0"/>
          <w:highlight w:val="none"/>
        </w:rPr>
        <w:t>项目管理机构人员基本情况及业绩表</w:t>
      </w:r>
    </w:p>
    <w:tbl>
      <w:tblPr>
        <w:tblStyle w:val="36"/>
        <w:tblW w:w="9701" w:type="dxa"/>
        <w:tblInd w:w="-431" w:type="dxa"/>
        <w:tblLayout w:type="fixed"/>
        <w:tblCellMar>
          <w:top w:w="0" w:type="dxa"/>
          <w:left w:w="28" w:type="dxa"/>
          <w:bottom w:w="0" w:type="dxa"/>
          <w:right w:w="28" w:type="dxa"/>
        </w:tblCellMar>
      </w:tblPr>
      <w:tblGrid>
        <w:gridCol w:w="1277"/>
        <w:gridCol w:w="43"/>
        <w:gridCol w:w="1617"/>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294"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姓名</w:t>
            </w:r>
          </w:p>
        </w:tc>
        <w:tc>
          <w:tcPr>
            <w:tcW w:w="2343"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hint="eastAsia" w:ascii="宋体" w:hAnsi="宋体" w:cs="宋体"/>
                <w:b/>
                <w:bCs/>
                <w:color w:val="auto"/>
                <w:kern w:val="28"/>
                <w:position w:val="-40"/>
                <w:szCs w:val="21"/>
                <w:highlight w:val="none"/>
              </w:rPr>
            </w:pPr>
          </w:p>
        </w:tc>
      </w:tr>
      <w:tr>
        <w:tblPrEx>
          <w:tblCellMar>
            <w:top w:w="0" w:type="dxa"/>
            <w:left w:w="28" w:type="dxa"/>
            <w:bottom w:w="0" w:type="dxa"/>
            <w:right w:w="28" w:type="dxa"/>
          </w:tblCellMar>
        </w:tblPrEx>
        <w:trPr>
          <w:trHeight w:val="496"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身份证号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cs="宋体"/>
                <w:b/>
                <w:bCs/>
                <w:color w:val="auto"/>
                <w:kern w:val="28"/>
                <w:position w:val="-40"/>
                <w:szCs w:val="21"/>
                <w:highlight w:val="none"/>
              </w:rPr>
            </w:pPr>
          </w:p>
        </w:tc>
      </w:tr>
      <w:tr>
        <w:tblPrEx>
          <w:tblCellMar>
            <w:top w:w="0" w:type="dxa"/>
            <w:left w:w="28" w:type="dxa"/>
            <w:bottom w:w="0" w:type="dxa"/>
            <w:right w:w="28" w:type="dxa"/>
          </w:tblCellMar>
        </w:tblPrEx>
        <w:trPr>
          <w:trHeight w:val="434" w:hRule="atLeast"/>
        </w:trPr>
        <w:tc>
          <w:tcPr>
            <w:tcW w:w="127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社保号</w:t>
            </w:r>
          </w:p>
        </w:tc>
        <w:tc>
          <w:tcPr>
            <w:tcW w:w="2343"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auto"/>
                <w:kern w:val="28"/>
                <w:position w:val="-40"/>
                <w:szCs w:val="21"/>
                <w:highlight w:val="none"/>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cs="宋体"/>
                <w:b/>
                <w:bCs/>
                <w:color w:val="auto"/>
                <w:kern w:val="28"/>
                <w:position w:val="-40"/>
                <w:szCs w:val="21"/>
                <w:highlight w:val="none"/>
              </w:rPr>
            </w:pPr>
          </w:p>
        </w:tc>
      </w:tr>
      <w:tr>
        <w:tblPrEx>
          <w:tblCellMar>
            <w:top w:w="0" w:type="dxa"/>
            <w:left w:w="28" w:type="dxa"/>
            <w:bottom w:w="0" w:type="dxa"/>
            <w:right w:w="28" w:type="dxa"/>
          </w:tblCellMar>
        </w:tblPrEx>
        <w:trPr>
          <w:trHeight w:val="453"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从业简历</w:t>
            </w:r>
          </w:p>
        </w:tc>
      </w:tr>
      <w:tr>
        <w:tblPrEx>
          <w:tblCellMar>
            <w:top w:w="0" w:type="dxa"/>
            <w:left w:w="28" w:type="dxa"/>
            <w:bottom w:w="0" w:type="dxa"/>
            <w:right w:w="28" w:type="dxa"/>
          </w:tblCellMar>
        </w:tblPrEx>
        <w:trPr>
          <w:trHeight w:val="525" w:hRule="atLeast"/>
        </w:trPr>
        <w:tc>
          <w:tcPr>
            <w:tcW w:w="9701"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本人完成施工项目概况</w:t>
            </w:r>
          </w:p>
        </w:tc>
      </w:tr>
      <w:tr>
        <w:tblPrEx>
          <w:tblCellMar>
            <w:top w:w="0" w:type="dxa"/>
            <w:left w:w="28" w:type="dxa"/>
            <w:bottom w:w="0" w:type="dxa"/>
            <w:right w:w="28" w:type="dxa"/>
          </w:tblCellMar>
        </w:tblPrEx>
        <w:trPr>
          <w:trHeight w:val="159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序号</w:t>
            </w: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项目规模</w:t>
            </w:r>
          </w:p>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w:t>
            </w:r>
          </w:p>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起止</w:t>
            </w:r>
          </w:p>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完成项目的建筑业企业及资质等级</w:t>
            </w:r>
          </w:p>
        </w:tc>
      </w:tr>
      <w:tr>
        <w:tblPrEx>
          <w:tblCellMar>
            <w:top w:w="0" w:type="dxa"/>
            <w:left w:w="28" w:type="dxa"/>
            <w:bottom w:w="0" w:type="dxa"/>
            <w:right w:w="28" w:type="dxa"/>
          </w:tblCellMar>
        </w:tblPrEx>
        <w:trPr>
          <w:trHeight w:val="29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r>
      <w:tr>
        <w:tblPrEx>
          <w:tblCellMar>
            <w:top w:w="0" w:type="dxa"/>
            <w:left w:w="28" w:type="dxa"/>
            <w:bottom w:w="0" w:type="dxa"/>
            <w:right w:w="28" w:type="dxa"/>
          </w:tblCellMar>
        </w:tblPrEx>
        <w:trPr>
          <w:trHeight w:val="637"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6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kern w:val="28"/>
                <w:position w:val="-40"/>
                <w:szCs w:val="21"/>
                <w:highlight w:val="none"/>
              </w:rPr>
            </w:pPr>
          </w:p>
        </w:tc>
      </w:tr>
    </w:tbl>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6"/>
        <w:ind w:left="-3" w:leftChars="-187" w:hanging="390" w:hangingChars="162"/>
        <w:rPr>
          <w:rFonts w:hint="eastAsia" w:cs="宋体"/>
          <w:color w:val="auto"/>
          <w:highlight w:val="none"/>
        </w:rPr>
      </w:pPr>
      <w:bookmarkStart w:id="51" w:name="_Toc79144523"/>
      <w:bookmarkEnd w:id="51"/>
      <w:r>
        <w:rPr>
          <w:rFonts w:hint="eastAsia" w:cs="宋体"/>
          <w:color w:val="auto"/>
          <w:highlight w:val="none"/>
        </w:rPr>
        <w:br w:type="page"/>
      </w:r>
      <w:r>
        <w:rPr>
          <w:rFonts w:hint="eastAsia" w:cs="宋体"/>
          <w:color w:val="auto"/>
          <w:highlight w:val="none"/>
        </w:rPr>
        <w:t>格式五 ：</w:t>
      </w:r>
      <w:r>
        <w:rPr>
          <w:rFonts w:hint="eastAsia" w:cs="宋体"/>
          <w:bCs/>
          <w:color w:val="auto"/>
          <w:highlight w:val="none"/>
          <w:u w:val="single"/>
        </w:rPr>
        <w:t>企业业绩表</w:t>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企业业绩表</w:t>
      </w:r>
    </w:p>
    <w:tbl>
      <w:tblPr>
        <w:tblStyle w:val="3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451"/>
        <w:gridCol w:w="436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广州市住建行业信用管理平台中项目编号</w:t>
            </w: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cs="宋体"/>
                <w:color w:val="auto"/>
                <w:szCs w:val="21"/>
                <w:highlight w:val="none"/>
              </w:rPr>
            </w:pPr>
          </w:p>
        </w:tc>
      </w:tr>
    </w:tbl>
    <w:p>
      <w:pPr>
        <w:tabs>
          <w:tab w:val="left" w:pos="7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注：按《技术标详细审查评分表》要求提供相应证明资料。</w:t>
      </w:r>
    </w:p>
    <w:p>
      <w:pPr>
        <w:pStyle w:val="12"/>
        <w:rPr>
          <w:rFonts w:hint="eastAsia" w:ascii="宋体"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20"/>
        <w:ind w:firstLine="3596" w:firstLineChars="1450"/>
        <w:rPr>
          <w:rFonts w:hint="eastAsia" w:ascii="宋体" w:hAnsi="宋体" w:cs="宋体"/>
          <w:color w:val="auto"/>
          <w:highlight w:val="none"/>
        </w:rPr>
      </w:pPr>
    </w:p>
    <w:p>
      <w:pPr>
        <w:pStyle w:val="120"/>
        <w:ind w:firstLine="3596" w:firstLineChars="1450"/>
        <w:rPr>
          <w:rFonts w:hint="eastAsia" w:ascii="宋体" w:hAnsi="宋体" w:cs="宋体"/>
          <w:color w:val="auto"/>
          <w:highlight w:val="none"/>
        </w:rPr>
      </w:pPr>
      <w:r>
        <w:rPr>
          <w:rFonts w:hint="eastAsia" w:ascii="宋体" w:hAnsi="宋体" w:cs="宋体"/>
          <w:color w:val="auto"/>
          <w:highlight w:val="none"/>
        </w:rPr>
        <w:t>投标人：　　（盖章）</w:t>
      </w:r>
    </w:p>
    <w:p>
      <w:pPr>
        <w:pStyle w:val="120"/>
        <w:ind w:firstLine="3596" w:firstLineChars="1450"/>
        <w:rPr>
          <w:rFonts w:hint="eastAsia" w:ascii="宋体" w:hAnsi="宋体" w:cs="宋体"/>
          <w:color w:val="auto"/>
          <w:highlight w:val="none"/>
        </w:rPr>
      </w:pPr>
      <w:r>
        <w:rPr>
          <w:rFonts w:hint="eastAsia" w:ascii="宋体" w:hAnsi="宋体" w:cs="宋体"/>
          <w:color w:val="auto"/>
          <w:highlight w:val="none"/>
        </w:rPr>
        <w:t>法定代表人或授权代理人(签字或盖章)：</w:t>
      </w:r>
    </w:p>
    <w:p>
      <w:pPr>
        <w:pStyle w:val="120"/>
        <w:ind w:firstLine="3596" w:firstLineChars="1450"/>
        <w:rPr>
          <w:rFonts w:hint="eastAsia" w:ascii="宋体" w:hAnsi="宋体" w:cs="宋体"/>
          <w:color w:val="auto"/>
          <w:highlight w:val="none"/>
        </w:rPr>
      </w:pPr>
      <w:bookmarkStart w:id="52" w:name="_Toc532475362"/>
      <w:bookmarkEnd w:id="52"/>
      <w:bookmarkStart w:id="53" w:name="_Toc532475795"/>
      <w:bookmarkEnd w:id="53"/>
      <w:bookmarkStart w:id="54" w:name="_Toc510963892"/>
      <w:bookmarkEnd w:id="54"/>
      <w:r>
        <w:rPr>
          <w:rFonts w:hint="eastAsia" w:ascii="宋体" w:hAnsi="宋体" w:cs="宋体"/>
          <w:color w:val="auto"/>
          <w:highlight w:val="none"/>
        </w:rPr>
        <w:t>日   期：     年    月    日</w:t>
      </w: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19"/>
        <w:rPr>
          <w:rFonts w:hint="eastAsia" w:hAnsi="宋体" w:cs="宋体"/>
          <w:color w:val="auto"/>
          <w:highlight w:val="none"/>
        </w:rPr>
      </w:pPr>
    </w:p>
    <w:p>
      <w:pPr>
        <w:pStyle w:val="6"/>
        <w:ind w:left="-3" w:leftChars="-187" w:hanging="390" w:hangingChars="162"/>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pPr>
        <w:pStyle w:val="6"/>
        <w:ind w:left="-3" w:leftChars="-187" w:hanging="390" w:hangingChars="162"/>
        <w:rPr>
          <w:rFonts w:hint="eastAsia" w:cs="宋体"/>
          <w:color w:val="auto"/>
          <w:highlight w:val="none"/>
        </w:rPr>
      </w:pPr>
      <w:r>
        <w:rPr>
          <w:rFonts w:hint="eastAsia" w:cs="宋体"/>
          <w:color w:val="auto"/>
          <w:highlight w:val="none"/>
        </w:rPr>
        <w:t>格式六 ：投标函</w:t>
      </w:r>
    </w:p>
    <w:p>
      <w:pPr>
        <w:pStyle w:val="119"/>
        <w:ind w:firstLine="739"/>
        <w:rPr>
          <w:rFonts w:hint="eastAsia" w:eastAsia="宋体" w:cs="宋体"/>
          <w:color w:val="auto"/>
          <w:highlight w:val="none"/>
        </w:rPr>
      </w:pPr>
      <w:r>
        <w:rPr>
          <w:rFonts w:hint="eastAsia" w:eastAsia="宋体" w:cs="宋体"/>
          <w:color w:val="auto"/>
          <w:highlight w:val="none"/>
        </w:rPr>
        <w:t>投 标 函</w:t>
      </w:r>
    </w:p>
    <w:p>
      <w:pPr>
        <w:pStyle w:val="120"/>
        <w:ind w:firstLine="496"/>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i/>
          <w:iCs/>
          <w:color w:val="auto"/>
          <w:highlight w:val="none"/>
          <w:u w:val="single"/>
        </w:rPr>
        <w:t>（招标人名称）</w:t>
      </w:r>
      <w:r>
        <w:rPr>
          <w:rFonts w:hint="eastAsia" w:ascii="宋体" w:hAnsi="宋体" w:cs="宋体"/>
          <w:color w:val="auto"/>
          <w:highlight w:val="none"/>
          <w:u w:val="single"/>
        </w:rPr>
        <w:t xml:space="preserve"> </w:t>
      </w:r>
    </w:p>
    <w:p>
      <w:pPr>
        <w:pStyle w:val="120"/>
        <w:ind w:firstLine="496"/>
        <w:rPr>
          <w:rFonts w:hint="eastAsia" w:ascii="宋体" w:hAnsi="宋体" w:cs="宋体"/>
          <w:color w:val="auto"/>
          <w:highlight w:val="none"/>
        </w:rPr>
      </w:pPr>
      <w:r>
        <w:rPr>
          <w:rFonts w:hint="eastAsia" w:ascii="宋体" w:hAnsi="宋体" w:cs="宋体"/>
          <w:color w:val="auto"/>
          <w:highlight w:val="none"/>
        </w:rPr>
        <w:t>1.根据招标人</w:t>
      </w:r>
      <w:r>
        <w:rPr>
          <w:rFonts w:hint="eastAsia" w:ascii="宋体" w:hAnsi="宋体" w:cs="宋体"/>
          <w:color w:val="auto"/>
          <w:highlight w:val="none"/>
          <w:u w:val="single"/>
        </w:rPr>
        <w:t xml:space="preserve"> </w:t>
      </w:r>
      <w:r>
        <w:rPr>
          <w:rFonts w:hint="eastAsia" w:ascii="宋体" w:hAnsi="宋体" w:cs="宋体"/>
          <w:i/>
          <w:iCs/>
          <w:color w:val="auto"/>
          <w:highlight w:val="none"/>
          <w:u w:val="single"/>
        </w:rPr>
        <w:t>（工程项目名称）</w:t>
      </w:r>
      <w:r>
        <w:rPr>
          <w:rFonts w:hint="eastAsia" w:ascii="宋体" w:hAnsi="宋体" w:cs="宋体"/>
          <w:color w:val="auto"/>
          <w:highlight w:val="none"/>
          <w:u w:val="single"/>
        </w:rPr>
        <w:t xml:space="preserve"> </w:t>
      </w:r>
      <w:r>
        <w:rPr>
          <w:rFonts w:hint="eastAsia" w:ascii="宋体" w:hAnsi="宋体" w:cs="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0"/>
        <w:ind w:firstLine="496"/>
        <w:rPr>
          <w:rFonts w:hint="eastAsia" w:ascii="宋体" w:hAnsi="宋体" w:cs="宋体"/>
          <w:color w:val="auto"/>
          <w:highlight w:val="none"/>
        </w:rPr>
      </w:pPr>
      <w:r>
        <w:rPr>
          <w:rFonts w:hint="eastAsia" w:ascii="宋体" w:hAnsi="宋体" w:cs="宋体"/>
          <w:color w:val="auto"/>
          <w:highlight w:val="none"/>
        </w:rPr>
        <w:t>2.我方已详细审核全部招标文件，包括修改文件（如有时）及有关附件。</w:t>
      </w:r>
    </w:p>
    <w:p>
      <w:pPr>
        <w:pStyle w:val="120"/>
        <w:ind w:firstLine="496"/>
        <w:rPr>
          <w:rFonts w:hint="eastAsia" w:ascii="宋体" w:hAnsi="宋体" w:cs="宋体"/>
          <w:color w:val="auto"/>
          <w:highlight w:val="none"/>
        </w:rPr>
      </w:pPr>
      <w:r>
        <w:rPr>
          <w:rFonts w:hint="eastAsia" w:ascii="宋体" w:hAnsi="宋体" w:cs="宋体"/>
          <w:color w:val="auto"/>
          <w:highlight w:val="none"/>
        </w:rPr>
        <w:t>3.如果我方中标，我方保证按照合同文件中规定的开工日期开始施工，并按规定的预计竣工日期完成和交付全部工程。</w:t>
      </w:r>
    </w:p>
    <w:p>
      <w:pPr>
        <w:pStyle w:val="120"/>
        <w:ind w:firstLine="496"/>
        <w:rPr>
          <w:rFonts w:hint="eastAsia" w:ascii="宋体" w:hAnsi="宋体" w:cs="宋体"/>
          <w:color w:val="auto"/>
          <w:highlight w:val="none"/>
        </w:rPr>
      </w:pPr>
      <w:r>
        <w:rPr>
          <w:rFonts w:hint="eastAsia" w:ascii="宋体" w:hAnsi="宋体" w:cs="宋体"/>
          <w:color w:val="auto"/>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20"/>
        <w:ind w:firstLine="496"/>
        <w:rPr>
          <w:rFonts w:hint="eastAsia" w:ascii="宋体" w:hAnsi="宋体" w:cs="宋体"/>
          <w:color w:val="auto"/>
          <w:highlight w:val="none"/>
          <w:u w:val="single"/>
        </w:rPr>
      </w:pPr>
      <w:r>
        <w:rPr>
          <w:rFonts w:hint="eastAsia" w:ascii="宋体" w:hAnsi="宋体" w:cs="宋体"/>
          <w:color w:val="auto"/>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0"/>
        <w:ind w:firstLine="496"/>
        <w:rPr>
          <w:rFonts w:hint="eastAsia" w:ascii="宋体" w:hAnsi="宋体" w:cs="宋体"/>
          <w:color w:val="auto"/>
          <w:highlight w:val="none"/>
        </w:rPr>
      </w:pPr>
      <w:r>
        <w:rPr>
          <w:rFonts w:hint="eastAsia" w:ascii="宋体" w:hAnsi="宋体" w:cs="宋体"/>
          <w:color w:val="auto"/>
          <w:highlight w:val="none"/>
        </w:rPr>
        <w:t>6.如果我方中标，我方将按照招标文件的规定，按时提交履约担保，以保障本项目优质、优价、按期、顺利完成。</w:t>
      </w:r>
    </w:p>
    <w:p>
      <w:pPr>
        <w:pStyle w:val="120"/>
        <w:ind w:firstLine="496"/>
        <w:rPr>
          <w:rFonts w:hint="eastAsia" w:ascii="宋体" w:hAnsi="宋体" w:cs="宋体"/>
          <w:color w:val="auto"/>
          <w:highlight w:val="none"/>
        </w:rPr>
      </w:pPr>
      <w:r>
        <w:rPr>
          <w:rFonts w:hint="eastAsia" w:ascii="宋体" w:hAnsi="宋体" w:cs="宋体"/>
          <w:color w:val="auto"/>
          <w:highlight w:val="none"/>
        </w:rPr>
        <w:t>7.我方同意所提交的投标文件在招标文件投标须知中第15条规定的投标有效期内有效，在此期限届满之前，本投标书始终将对我方具有约束力，并随时接受中标。</w:t>
      </w:r>
    </w:p>
    <w:p>
      <w:pPr>
        <w:pStyle w:val="120"/>
        <w:ind w:firstLine="496"/>
        <w:rPr>
          <w:rFonts w:hint="eastAsia" w:ascii="宋体" w:hAnsi="宋体" w:cs="宋体"/>
          <w:color w:val="auto"/>
          <w:highlight w:val="none"/>
        </w:rPr>
      </w:pPr>
      <w:r>
        <w:rPr>
          <w:rFonts w:hint="eastAsia" w:ascii="宋体" w:hAnsi="宋体" w:cs="宋体"/>
          <w:color w:val="auto"/>
          <w:highlight w:val="none"/>
        </w:rPr>
        <w:t>8.在合同协议书正式签署生效之前，本投标书连同你单位的中标通知书将构成我们双方之间共同遵守的文件，对双方具有约束力。</w:t>
      </w:r>
    </w:p>
    <w:p>
      <w:pPr>
        <w:pStyle w:val="120"/>
        <w:ind w:firstLine="496"/>
        <w:rPr>
          <w:rFonts w:hint="eastAsia" w:ascii="宋体" w:hAnsi="宋体" w:cs="宋体"/>
          <w:color w:val="auto"/>
          <w:highlight w:val="none"/>
        </w:rPr>
      </w:pPr>
      <w:r>
        <w:rPr>
          <w:rFonts w:hint="eastAsia" w:ascii="宋体" w:hAnsi="宋体" w:cs="宋体"/>
          <w:color w:val="auto"/>
          <w:highlight w:val="none"/>
        </w:rPr>
        <w:t>9.随同本投标文件，我方已提交人民币</w:t>
      </w:r>
      <w:r>
        <w:rPr>
          <w:rFonts w:hint="eastAsia" w:ascii="宋体" w:hAnsi="宋体" w:cs="宋体"/>
          <w:color w:val="auto"/>
          <w:highlight w:val="none"/>
          <w:u w:val="single"/>
        </w:rPr>
        <w:t xml:space="preserve">           元</w:t>
      </w:r>
      <w:r>
        <w:rPr>
          <w:rFonts w:hint="eastAsia" w:ascii="宋体" w:hAnsi="宋体" w:cs="宋体"/>
          <w:color w:val="auto"/>
          <w:highlight w:val="none"/>
        </w:rPr>
        <w:t>的投标担保。如果我方在投标文件有效期内撤销投标文件；或在接到中标通知书后28天内未能或拒绝签订合同协议书；或未能按招标文件要求提交履约担保，投标保证金将不予退还，另选中标单位。</w:t>
      </w:r>
    </w:p>
    <w:p>
      <w:pPr>
        <w:pStyle w:val="120"/>
        <w:ind w:firstLine="496"/>
        <w:rPr>
          <w:rFonts w:hint="eastAsia" w:ascii="宋体" w:hAnsi="宋体" w:cs="宋体"/>
          <w:color w:val="auto"/>
          <w:highlight w:val="none"/>
        </w:rPr>
      </w:pPr>
      <w:r>
        <w:rPr>
          <w:rFonts w:hint="eastAsia" w:ascii="宋体" w:hAnsi="宋体" w:cs="宋体"/>
          <w:color w:val="auto"/>
          <w:highlight w:val="none"/>
        </w:rPr>
        <w:t>10.我方理解，你单位不一定接受最低标价的投标或你单位接到的其它任何投标。同时也理解，你单位不负担我方的任何投标费用。</w:t>
      </w:r>
    </w:p>
    <w:p>
      <w:pPr>
        <w:pStyle w:val="120"/>
        <w:rPr>
          <w:rFonts w:hint="eastAsia" w:ascii="宋体" w:hAnsi="宋体" w:cs="宋体"/>
          <w:color w:val="auto"/>
          <w:highlight w:val="none"/>
        </w:rPr>
      </w:pPr>
      <w:r>
        <w:rPr>
          <w:rFonts w:hint="eastAsia" w:ascii="宋体" w:hAnsi="宋体" w:cs="宋体"/>
          <w:color w:val="auto"/>
          <w:highlight w:val="none"/>
        </w:rPr>
        <w:t>投 标 人：（盖章）</w:t>
      </w:r>
    </w:p>
    <w:p>
      <w:pPr>
        <w:pStyle w:val="120"/>
        <w:rPr>
          <w:rFonts w:hint="eastAsia" w:ascii="宋体" w:hAnsi="宋体" w:cs="宋体"/>
          <w:color w:val="auto"/>
          <w:highlight w:val="none"/>
        </w:rPr>
      </w:pPr>
      <w:r>
        <w:rPr>
          <w:rFonts w:hint="eastAsia" w:ascii="宋体" w:hAnsi="宋体" w:cs="宋体"/>
          <w:color w:val="auto"/>
          <w:highlight w:val="none"/>
        </w:rPr>
        <w:t>法定代表人或授权代理人（签字或盖章）：</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日   期：    年    月    日</w:t>
      </w:r>
    </w:p>
    <w:p>
      <w:pPr>
        <w:pStyle w:val="12"/>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pPr>
        <w:pStyle w:val="5"/>
        <w:rPr>
          <w:rFonts w:hint="eastAsia"/>
          <w:color w:val="auto"/>
          <w:highlight w:val="none"/>
        </w:rPr>
      </w:pPr>
      <w:bookmarkStart w:id="55" w:name="_Toc115117434"/>
      <w:r>
        <w:rPr>
          <w:rFonts w:hint="eastAsia"/>
          <w:color w:val="auto"/>
          <w:highlight w:val="none"/>
        </w:rPr>
        <w:t>二、经济标投标文件格式</w:t>
      </w:r>
      <w:bookmarkEnd w:id="55"/>
    </w:p>
    <w:p>
      <w:pPr>
        <w:pStyle w:val="6"/>
        <w:ind w:left="-3" w:leftChars="-187" w:hanging="390" w:hangingChars="162"/>
        <w:rPr>
          <w:rFonts w:hint="eastAsia" w:cs="宋体"/>
          <w:snapToGrid w:val="0"/>
          <w:color w:val="auto"/>
          <w:spacing w:val="4"/>
          <w:kern w:val="0"/>
          <w:szCs w:val="24"/>
          <w:highlight w:val="none"/>
        </w:rPr>
      </w:pPr>
      <w:bookmarkStart w:id="56" w:name="_Toc32339"/>
      <w:bookmarkEnd w:id="56"/>
      <w:bookmarkStart w:id="57" w:name="_Toc21759"/>
      <w:bookmarkEnd w:id="57"/>
      <w:r>
        <w:rPr>
          <w:rFonts w:hint="eastAsia" w:cs="宋体"/>
          <w:color w:val="auto"/>
          <w:highlight w:val="none"/>
        </w:rPr>
        <w:t>格式</w:t>
      </w:r>
      <w:r>
        <w:rPr>
          <w:rFonts w:hint="eastAsia" w:cs="宋体"/>
          <w:color w:val="auto"/>
          <w:highlight w:val="none"/>
          <w:lang w:val="en-US" w:eastAsia="zh-CN"/>
        </w:rPr>
        <w:t xml:space="preserve">七 </w:t>
      </w:r>
      <w:r>
        <w:rPr>
          <w:rFonts w:hint="eastAsia" w:cs="宋体"/>
          <w:color w:val="auto"/>
          <w:highlight w:val="none"/>
        </w:rPr>
        <w:t>：经济标封面</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pPr>
        <w:topLinePunct/>
        <w:adjustRightInd w:val="0"/>
        <w:snapToGrid w:val="0"/>
        <w:spacing w:line="360" w:lineRule="auto"/>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第二册 （经济投标文件）</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（填写投标人名称）       （盖章）</w:t>
      </w: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法定代表人或其委托代理人：</w:t>
      </w:r>
      <w:r>
        <w:rPr>
          <w:rFonts w:hint="eastAsia" w:ascii="宋体" w:hAnsi="宋体" w:cs="宋体"/>
          <w:snapToGrid w:val="0"/>
          <w:color w:val="auto"/>
          <w:spacing w:val="4"/>
          <w:kern w:val="0"/>
          <w:sz w:val="30"/>
          <w:szCs w:val="30"/>
          <w:highlight w:val="none"/>
          <w:u w:val="single"/>
        </w:rPr>
        <w:t xml:space="preserve">           （签名或盖章）</w:t>
      </w:r>
    </w:p>
    <w:p>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p>
    <w:p>
      <w:pPr>
        <w:rPr>
          <w:rFonts w:hint="eastAsia" w:ascii="宋体" w:hAnsi="宋体" w:cs="宋体"/>
          <w:color w:val="auto"/>
          <w:highlight w:val="none"/>
        </w:rPr>
      </w:pPr>
    </w:p>
    <w:p>
      <w:pPr>
        <w:pStyle w:val="6"/>
        <w:ind w:left="-3" w:leftChars="-187" w:hanging="390" w:hangingChars="162"/>
        <w:rPr>
          <w:rFonts w:hint="eastAsia" w:cs="宋体"/>
          <w:color w:val="auto"/>
          <w:highlight w:val="none"/>
          <w:lang w:val="zh-CN"/>
        </w:rPr>
      </w:pPr>
      <w:bookmarkStart w:id="58" w:name="_Toc6493862"/>
      <w:bookmarkEnd w:id="58"/>
      <w:bookmarkStart w:id="59" w:name="_Toc58838605"/>
      <w:bookmarkEnd w:id="59"/>
      <w:bookmarkStart w:id="60" w:name="_Toc113276358"/>
      <w:bookmarkEnd w:id="60"/>
      <w:bookmarkStart w:id="61" w:name="_Toc61541797"/>
      <w:bookmarkEnd w:id="61"/>
      <w:bookmarkStart w:id="62" w:name="_Toc60070633"/>
      <w:bookmarkEnd w:id="62"/>
      <w:r>
        <w:rPr>
          <w:rFonts w:hint="eastAsia" w:cs="宋体"/>
          <w:color w:val="auto"/>
          <w:highlight w:val="none"/>
        </w:rPr>
        <w:t>格式</w:t>
      </w:r>
      <w:r>
        <w:rPr>
          <w:rFonts w:hint="eastAsia" w:cs="宋体"/>
          <w:color w:val="auto"/>
          <w:highlight w:val="none"/>
          <w:lang w:val="en-US" w:eastAsia="zh-CN"/>
        </w:rPr>
        <w:t>八</w:t>
      </w:r>
      <w:r>
        <w:rPr>
          <w:rFonts w:hint="eastAsia" w:cs="宋体"/>
          <w:color w:val="auto"/>
          <w:highlight w:val="none"/>
        </w:rPr>
        <w:t>：广州建设工程施工招标投标书（经济标）</w:t>
      </w:r>
    </w:p>
    <w:p>
      <w:pPr>
        <w:jc w:val="center"/>
        <w:rPr>
          <w:rFonts w:hint="eastAsia" w:ascii="宋体" w:hAnsi="宋体" w:cs="宋体"/>
          <w:b/>
          <w:color w:val="auto"/>
          <w:sz w:val="36"/>
          <w:szCs w:val="36"/>
          <w:highlight w:val="none"/>
        </w:rPr>
      </w:pPr>
      <w:bookmarkStart w:id="63" w:name="_Toc58838606"/>
      <w:bookmarkEnd w:id="63"/>
      <w:r>
        <w:rPr>
          <w:rFonts w:hint="eastAsia" w:ascii="宋体" w:hAnsi="宋体" w:cs="宋体"/>
          <w:b/>
          <w:color w:val="auto"/>
          <w:sz w:val="36"/>
          <w:szCs w:val="36"/>
          <w:highlight w:val="none"/>
        </w:rPr>
        <w:t>广州建设工程施工招标投标书（经济标）</w:t>
      </w:r>
    </w:p>
    <w:tbl>
      <w:tblPr>
        <w:tblStyle w:val="3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工程质量标准</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color w:val="auto"/>
                <w:sz w:val="24"/>
                <w:szCs w:val="24"/>
                <w:highlight w:val="none"/>
              </w:rPr>
            </w:pPr>
          </w:p>
        </w:tc>
      </w:tr>
    </w:tbl>
    <w:p>
      <w:pPr>
        <w:pStyle w:val="12"/>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pPr>
        <w:pStyle w:val="6"/>
        <w:ind w:left="-3" w:leftChars="-187" w:hanging="390" w:hangingChars="162"/>
        <w:rPr>
          <w:rFonts w:hint="eastAsia" w:cs="宋体"/>
          <w:color w:val="auto"/>
          <w:szCs w:val="24"/>
          <w:highlight w:val="none"/>
        </w:rPr>
      </w:pPr>
      <w:r>
        <w:rPr>
          <w:rFonts w:hint="eastAsia" w:cs="宋体"/>
          <w:color w:val="auto"/>
          <w:highlight w:val="none"/>
        </w:rPr>
        <w:t>格式</w:t>
      </w:r>
      <w:r>
        <w:rPr>
          <w:rFonts w:hint="eastAsia" w:cs="宋体"/>
          <w:color w:val="auto"/>
          <w:highlight w:val="none"/>
          <w:lang w:val="en-US" w:eastAsia="zh-CN"/>
        </w:rPr>
        <w:t>九</w:t>
      </w:r>
      <w:r>
        <w:rPr>
          <w:rFonts w:hint="eastAsia" w:cs="宋体"/>
          <w:color w:val="auto"/>
          <w:highlight w:val="none"/>
        </w:rPr>
        <w:t>：参与编制经济标投标文件人员名单</w:t>
      </w:r>
    </w:p>
    <w:p>
      <w:pPr>
        <w:tabs>
          <w:tab w:val="left" w:pos="720"/>
        </w:tabs>
        <w:snapToGrid w:val="0"/>
        <w:spacing w:line="360" w:lineRule="auto"/>
        <w:rPr>
          <w:rFonts w:hint="eastAsia" w:ascii="宋体" w:hAnsi="宋体" w:cs="宋体"/>
          <w:color w:val="auto"/>
          <w:sz w:val="24"/>
          <w:szCs w:val="24"/>
          <w:highlight w:val="none"/>
        </w:rPr>
      </w:pP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pStyle w:val="34"/>
        <w:spacing w:after="0" w:line="360" w:lineRule="auto"/>
        <w:ind w:left="-2" w:leftChars="-1" w:firstLine="367" w:firstLineChars="175"/>
        <w:jc w:val="left"/>
        <w:rPr>
          <w:rFonts w:hint="eastAsia" w:ascii="宋体" w:hAnsi="宋体" w:cs="宋体"/>
          <w:color w:val="auto"/>
          <w:szCs w:val="21"/>
          <w:highlight w:val="none"/>
        </w:rPr>
      </w:pPr>
      <w:r>
        <w:rPr>
          <w:rFonts w:hint="eastAsia" w:ascii="宋体" w:hAnsi="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34"/>
        <w:spacing w:after="0" w:line="360" w:lineRule="auto"/>
        <w:ind w:left="-2" w:leftChars="-1" w:firstLineChars="175"/>
        <w:jc w:val="center"/>
        <w:rPr>
          <w:rFonts w:hint="eastAsia" w:ascii="宋体" w:hAnsi="宋体" w:cs="宋体"/>
          <w:color w:val="auto"/>
          <w:sz w:val="24"/>
          <w:szCs w:val="24"/>
          <w:highlight w:val="none"/>
        </w:rPr>
      </w:pPr>
    </w:p>
    <w:p>
      <w:pPr>
        <w:pStyle w:val="6"/>
        <w:ind w:left="-3" w:leftChars="-187" w:hanging="390" w:hangingChars="162"/>
        <w:rPr>
          <w:rFonts w:hint="eastAsia" w:cs="宋体"/>
          <w:color w:val="auto"/>
          <w:highlight w:val="none"/>
        </w:rPr>
      </w:pPr>
      <w:r>
        <w:rPr>
          <w:rFonts w:hint="eastAsia" w:cs="宋体"/>
          <w:color w:val="auto"/>
          <w:highlight w:val="none"/>
        </w:rPr>
        <w:t>格式</w:t>
      </w:r>
      <w:r>
        <w:rPr>
          <w:rFonts w:hint="eastAsia" w:cs="宋体"/>
          <w:color w:val="auto"/>
          <w:highlight w:val="none"/>
          <w:lang w:val="en-US" w:eastAsia="zh-CN"/>
        </w:rPr>
        <w:t>十</w:t>
      </w:r>
      <w:r>
        <w:rPr>
          <w:rFonts w:hint="eastAsia" w:cs="宋体"/>
          <w:color w:val="auto"/>
          <w:highlight w:val="none"/>
        </w:rPr>
        <w:t>：对投标文件编制的承诺</w:t>
      </w:r>
    </w:p>
    <w:p>
      <w:pPr>
        <w:pStyle w:val="34"/>
        <w:spacing w:after="0" w:line="360" w:lineRule="auto"/>
        <w:ind w:firstLine="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3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3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3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3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34"/>
        <w:spacing w:after="0" w:line="360" w:lineRule="auto"/>
        <w:ind w:left="-2" w:leftChars="-1"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34"/>
        <w:spacing w:after="0" w:line="360" w:lineRule="auto"/>
        <w:ind w:firstLine="360" w:firstLineChars="150"/>
        <w:rPr>
          <w:rFonts w:hint="eastAsia" w:ascii="宋体" w:hAnsi="宋体" w:cs="宋体"/>
          <w:color w:val="auto"/>
          <w:sz w:val="24"/>
          <w:szCs w:val="24"/>
          <w:highlight w:val="none"/>
        </w:rPr>
      </w:pPr>
    </w:p>
    <w:p>
      <w:pPr>
        <w:pStyle w:val="3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p>
    <w:p>
      <w:pPr>
        <w:pStyle w:val="34"/>
        <w:spacing w:after="0" w:line="360" w:lineRule="auto"/>
        <w:ind w:firstLine="0"/>
        <w:rPr>
          <w:rFonts w:hint="eastAsia" w:ascii="宋体" w:hAnsi="宋体" w:cs="宋体"/>
          <w:b/>
          <w:color w:val="auto"/>
          <w:sz w:val="32"/>
          <w:szCs w:val="32"/>
          <w:highlight w:val="none"/>
        </w:rPr>
      </w:pPr>
    </w:p>
    <w:p>
      <w:pPr>
        <w:pStyle w:val="34"/>
        <w:spacing w:after="0" w:line="360" w:lineRule="auto"/>
        <w:ind w:left="0" w:leftChars="0" w:firstLine="0" w:firstLineChars="0"/>
        <w:jc w:val="both"/>
        <w:outlineLvl w:val="3"/>
        <w:rPr>
          <w:rFonts w:hint="eastAsia" w:ascii="宋体" w:hAnsi="宋体" w:cs="宋体"/>
          <w:color w:val="auto"/>
          <w:highlight w:val="none"/>
        </w:rPr>
      </w:pPr>
      <w:r>
        <w:rPr>
          <w:rFonts w:hint="eastAsia" w:ascii="宋体" w:hAnsi="宋体" w:cs="宋体"/>
          <w:b/>
          <w:color w:val="auto"/>
          <w:sz w:val="32"/>
          <w:szCs w:val="32"/>
          <w:highlight w:val="none"/>
        </w:rPr>
        <w:br w:type="column"/>
      </w:r>
      <w:r>
        <w:rPr>
          <w:rFonts w:hint="eastAsia" w:ascii="宋体" w:hAnsi="宋体" w:eastAsia="宋体" w:cs="宋体"/>
          <w:b/>
          <w:color w:val="auto"/>
          <w:kern w:val="2"/>
          <w:sz w:val="24"/>
          <w:szCs w:val="21"/>
          <w:highlight w:val="none"/>
          <w:lang w:val="en-US" w:eastAsia="zh-CN" w:bidi="ar-SA"/>
        </w:rPr>
        <w:t>格式十</w:t>
      </w:r>
      <w:r>
        <w:rPr>
          <w:rFonts w:hint="eastAsia" w:ascii="宋体" w:hAnsi="宋体" w:cs="宋体"/>
          <w:b/>
          <w:color w:val="auto"/>
          <w:kern w:val="2"/>
          <w:sz w:val="24"/>
          <w:szCs w:val="21"/>
          <w:highlight w:val="none"/>
          <w:lang w:val="en-US" w:eastAsia="zh-CN" w:bidi="ar-SA"/>
        </w:rPr>
        <w:t>一</w:t>
      </w:r>
      <w:r>
        <w:rPr>
          <w:rFonts w:hint="eastAsia" w:ascii="宋体" w:hAnsi="宋体" w:eastAsia="宋体" w:cs="宋体"/>
          <w:b/>
          <w:color w:val="auto"/>
          <w:kern w:val="2"/>
          <w:sz w:val="24"/>
          <w:szCs w:val="21"/>
          <w:highlight w:val="none"/>
          <w:lang w:val="en-US" w:eastAsia="zh-CN" w:bidi="ar-SA"/>
        </w:rPr>
        <w:t>：投标文件编制情况</w:t>
      </w:r>
    </w:p>
    <w:p>
      <w:pPr>
        <w:pStyle w:val="34"/>
        <w:spacing w:after="0" w:line="360" w:lineRule="auto"/>
        <w:ind w:firstLine="643" w:firstLineChars="200"/>
        <w:jc w:val="center"/>
        <w:rPr>
          <w:rFonts w:hint="eastAsia"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34"/>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34"/>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4"/>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pStyle w:val="34"/>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电脑类型</w:t>
            </w:r>
          </w:p>
          <w:p>
            <w:pPr>
              <w:pStyle w:val="34"/>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电脑所属单位</w:t>
            </w:r>
          </w:p>
          <w:p>
            <w:pPr>
              <w:pStyle w:val="34"/>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pStyle w:val="2"/>
        <w:outlineLvl w:val="0"/>
        <w:rPr>
          <w:rFonts w:hint="eastAsia" w:ascii="宋体" w:hAnsi="宋体" w:cs="宋体"/>
          <w:color w:val="auto"/>
          <w:highlight w:val="none"/>
        </w:rPr>
      </w:pPr>
      <w:bookmarkStart w:id="64" w:name="_Toc2272568"/>
      <w:bookmarkEnd w:id="64"/>
      <w:r>
        <w:rPr>
          <w:rFonts w:hint="eastAsia" w:ascii="宋体" w:hAnsi="宋体" w:cs="宋体"/>
          <w:color w:val="auto"/>
          <w:highlight w:val="none"/>
        </w:rPr>
        <w:br w:type="page"/>
      </w:r>
      <w:bookmarkStart w:id="65" w:name="_Toc115117435"/>
      <w:r>
        <w:rPr>
          <w:rFonts w:hint="eastAsia" w:ascii="宋体" w:hAnsi="宋体" w:cs="宋体"/>
          <w:color w:val="auto"/>
          <w:highlight w:val="none"/>
        </w:rPr>
        <w:t>第五章技术条件（工程建设标准）</w:t>
      </w:r>
      <w:bookmarkEnd w:id="65"/>
    </w:p>
    <w:p>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本工程按照国家有关规定、规范进行施工、验收，具体以施工图纸及相关技术和验收标准、遵照招标人相关规定要求为准。</w:t>
      </w:r>
    </w:p>
    <w:p>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本工程实施中采用的材料、设备与工艺，都必须符合上述标准、规范及设计文件的相应要求。</w:t>
      </w:r>
    </w:p>
    <w:p>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本招标工程所说明的工程规范是以中国国家公布的所有现行规范及地方政府有关的现行规定，承包人须按此等规范执行。</w:t>
      </w:r>
    </w:p>
    <w:p>
      <w:pPr>
        <w:spacing w:line="360" w:lineRule="auto"/>
        <w:ind w:firstLine="480"/>
        <w:jc w:val="left"/>
        <w:rPr>
          <w:rFonts w:hint="eastAsia" w:ascii="宋体" w:hAnsi="宋体" w:cs="宋体"/>
          <w:color w:val="auto"/>
          <w:sz w:val="24"/>
          <w:szCs w:val="24"/>
          <w:highlight w:val="none"/>
        </w:rPr>
      </w:pPr>
      <w:bookmarkStart w:id="66" w:name="_Toc180500232"/>
      <w:bookmarkStart w:id="67" w:name="_Toc180499575"/>
      <w:bookmarkStart w:id="68" w:name="_Toc180547418"/>
      <w:r>
        <w:rPr>
          <w:rFonts w:hint="eastAsia" w:ascii="宋体" w:hAnsi="宋体" w:cs="宋体"/>
          <w:color w:val="auto"/>
          <w:sz w:val="24"/>
          <w:szCs w:val="24"/>
          <w:highlight w:val="none"/>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66"/>
      <w:bookmarkEnd w:id="67"/>
      <w:bookmarkEnd w:id="68"/>
    </w:p>
    <w:p>
      <w:pPr>
        <w:spacing w:line="360" w:lineRule="auto"/>
        <w:ind w:firstLine="480" w:firstLineChars="200"/>
        <w:rPr>
          <w:rFonts w:hint="eastAsia" w:ascii="宋体"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19"/>
        <w:rPr>
          <w:rFonts w:hint="eastAsia" w:hAnsi="宋体" w:cs="宋体"/>
          <w:color w:val="auto"/>
          <w:sz w:val="24"/>
          <w:szCs w:val="24"/>
          <w:highlight w:val="none"/>
        </w:rPr>
      </w:pPr>
    </w:p>
    <w:p>
      <w:pPr>
        <w:pStyle w:val="2"/>
        <w:ind w:left="0"/>
        <w:jc w:val="center"/>
        <w:outlineLvl w:val="0"/>
        <w:rPr>
          <w:rFonts w:hint="eastAsia" w:ascii="宋体" w:hAnsi="宋体" w:cs="宋体"/>
          <w:color w:val="auto"/>
          <w:highlight w:val="none"/>
        </w:rPr>
      </w:pPr>
      <w:bookmarkStart w:id="69" w:name="_Toc2272569"/>
      <w:bookmarkEnd w:id="69"/>
      <w:r>
        <w:rPr>
          <w:rFonts w:hint="eastAsia" w:ascii="宋体" w:hAnsi="宋体" w:cs="宋体"/>
          <w:color w:val="auto"/>
          <w:highlight w:val="none"/>
        </w:rPr>
        <w:br w:type="page"/>
      </w:r>
      <w:bookmarkStart w:id="70" w:name="_Toc115117436"/>
      <w:r>
        <w:rPr>
          <w:rFonts w:hint="eastAsia" w:ascii="宋体" w:hAnsi="宋体" w:cs="宋体"/>
          <w:color w:val="auto"/>
          <w:highlight w:val="none"/>
        </w:rPr>
        <w:t>第六章图纸及勘察资料</w:t>
      </w:r>
      <w:bookmarkEnd w:id="70"/>
    </w:p>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pPr>
        <w:ind w:left="0" w:leftChars="0" w:firstLine="0" w:firstLineChars="0"/>
        <w:jc w:val="both"/>
        <w:outlineLvl w:val="9"/>
        <w:rPr>
          <w:rFonts w:hint="eastAsia" w:ascii="宋体" w:hAnsi="宋体" w:cs="宋体"/>
          <w:b/>
          <w:color w:val="auto"/>
          <w:sz w:val="24"/>
          <w:szCs w:val="24"/>
          <w:highlight w:val="none"/>
        </w:rPr>
      </w:pPr>
    </w:p>
    <w:p>
      <w:pPr>
        <w:rPr>
          <w:rFonts w:hint="eastAsia" w:ascii="宋体" w:hAnsi="宋体" w:cs="宋体"/>
          <w:color w:val="auto"/>
          <w:highlight w:val="none"/>
        </w:rPr>
      </w:pPr>
    </w:p>
    <w:p>
      <w:pPr>
        <w:ind w:left="0" w:leftChars="0" w:firstLine="0" w:firstLineChars="0"/>
        <w:jc w:val="center"/>
        <w:rPr>
          <w:rFonts w:hint="eastAsia" w:ascii="宋体" w:hAnsi="宋体" w:cs="宋体"/>
          <w:color w:val="auto"/>
          <w:highlight w:val="none"/>
        </w:rPr>
      </w:pPr>
      <w:bookmarkStart w:id="71" w:name="_Toc2272570"/>
      <w:bookmarkEnd w:id="71"/>
      <w:bookmarkStart w:id="72" w:name="_Toc115117437"/>
      <w:r>
        <w:rPr>
          <w:rFonts w:hint="eastAsia" w:ascii="宋体" w:hAnsi="宋体" w:cs="宋体"/>
          <w:color w:val="auto"/>
          <w:highlight w:val="none"/>
        </w:rPr>
        <w:br w:type="page"/>
      </w:r>
    </w:p>
    <w:p>
      <w:pPr>
        <w:pStyle w:val="2"/>
        <w:ind w:left="0" w:leftChars="0" w:firstLine="0" w:firstLineChars="0"/>
        <w:jc w:val="center"/>
        <w:outlineLvl w:val="0"/>
        <w:rPr>
          <w:rFonts w:hint="eastAsia" w:ascii="宋体" w:hAnsi="宋体" w:cs="宋体"/>
          <w:color w:val="auto"/>
          <w:highlight w:val="none"/>
        </w:rPr>
      </w:pPr>
      <w:r>
        <w:rPr>
          <w:rFonts w:hint="eastAsia" w:ascii="宋体" w:hAnsi="宋体" w:cs="宋体"/>
          <w:color w:val="auto"/>
          <w:highlight w:val="none"/>
        </w:rPr>
        <w:t>第七章</w:t>
      </w:r>
      <w:r>
        <w:rPr>
          <w:rFonts w:hint="eastAsia" w:ascii="宋体" w:hAnsi="宋体" w:cs="宋体"/>
          <w:color w:val="auto"/>
          <w:highlight w:val="none"/>
          <w:lang w:eastAsia="zh-CN"/>
        </w:rPr>
        <w:t>招标</w:t>
      </w:r>
      <w:r>
        <w:rPr>
          <w:rFonts w:hint="eastAsia" w:ascii="宋体" w:hAnsi="宋体" w:cs="宋体"/>
          <w:color w:val="auto"/>
          <w:highlight w:val="none"/>
        </w:rPr>
        <w:t>工程量清单</w:t>
      </w:r>
      <w:bookmarkEnd w:id="72"/>
    </w:p>
    <w:p>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bookmarkStart w:id="73" w:name="_Toc2272571"/>
      <w:bookmarkEnd w:id="73"/>
      <w:bookmarkStart w:id="74" w:name="_Toc115117438"/>
      <w:r>
        <w:rPr>
          <w:rFonts w:hint="eastAsia" w:ascii="宋体" w:hAnsi="宋体" w:cs="宋体"/>
          <w:color w:val="auto"/>
          <w:sz w:val="24"/>
          <w:szCs w:val="24"/>
          <w:highlight w:val="none"/>
          <w:lang w:eastAsia="zh-CN"/>
        </w:rPr>
        <w:t>）</w:t>
      </w:r>
    </w:p>
    <w:p>
      <w:pPr>
        <w:outlineLvl w:val="9"/>
        <w:rPr>
          <w:rFonts w:hint="eastAsia" w:ascii="宋体" w:hAnsi="宋体" w:cs="宋体"/>
          <w:color w:val="auto"/>
          <w:highlight w:val="none"/>
          <w:lang w:eastAsia="zh-CN"/>
        </w:rPr>
      </w:pPr>
    </w:p>
    <w:p>
      <w:pPr>
        <w:ind w:left="0" w:leftChars="0" w:firstLine="0" w:firstLineChars="0"/>
        <w:jc w:val="center"/>
        <w:rPr>
          <w:rFonts w:hint="eastAsia" w:ascii="宋体" w:hAnsi="宋体" w:cs="宋体"/>
          <w:color w:val="auto"/>
          <w:highlight w:val="none"/>
        </w:rPr>
      </w:pPr>
      <w:r>
        <w:rPr>
          <w:rFonts w:hint="eastAsia" w:ascii="宋体" w:hAnsi="宋体" w:cs="宋体"/>
          <w:color w:val="auto"/>
          <w:highlight w:val="none"/>
        </w:rPr>
        <w:br w:type="page"/>
      </w:r>
    </w:p>
    <w:p>
      <w:pPr>
        <w:pStyle w:val="2"/>
        <w:ind w:left="0" w:leftChars="0" w:firstLine="0" w:firstLineChars="0"/>
        <w:jc w:val="center"/>
        <w:outlineLvl w:val="0"/>
        <w:rPr>
          <w:rFonts w:hint="eastAsia" w:ascii="宋体" w:hAnsi="宋体" w:cs="宋体"/>
          <w:color w:val="auto"/>
          <w:highlight w:val="none"/>
        </w:rPr>
      </w:pPr>
      <w:r>
        <w:rPr>
          <w:rFonts w:hint="eastAsia" w:ascii="宋体" w:hAnsi="宋体" w:cs="宋体"/>
          <w:color w:val="auto"/>
          <w:highlight w:val="none"/>
        </w:rPr>
        <w:t>第八章最高投标限价</w:t>
      </w:r>
      <w:bookmarkEnd w:id="74"/>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具体详见《最高投标限价公布函》。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另册）</w:t>
      </w:r>
    </w:p>
    <w:p>
      <w:pPr>
        <w:spacing w:line="360" w:lineRule="auto"/>
        <w:ind w:firstLine="480"/>
        <w:rPr>
          <w:rFonts w:ascii="宋体" w:hAnsi="宋体"/>
          <w:color w:val="auto"/>
          <w:sz w:val="24"/>
          <w:szCs w:val="24"/>
          <w:u w:val="single"/>
        </w:rPr>
      </w:pPr>
    </w:p>
    <w:p>
      <w:pPr>
        <w:spacing w:line="360" w:lineRule="auto"/>
        <w:ind w:firstLine="480"/>
        <w:rPr>
          <w:rFonts w:ascii="宋体" w:hAnsi="宋体"/>
          <w:color w:val="auto"/>
          <w:sz w:val="24"/>
          <w:szCs w:val="24"/>
          <w:u w:val="single"/>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10002FF" w:usb1="4000FCFF" w:usb2="00000009"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24"/>
          <w:jc w:val="center"/>
        </w:pPr>
        <w:r>
          <w:fldChar w:fldCharType="begin"/>
        </w:r>
        <w:r>
          <w:instrText xml:space="preserve">PAGE   \* MERGEFORMAT</w:instrText>
        </w:r>
        <w:r>
          <w:fldChar w:fldCharType="separate"/>
        </w:r>
        <w:r>
          <w:rPr>
            <w:lang w:val="zh-CN"/>
          </w:rPr>
          <w:t>12</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24"/>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4"/>
      <w:rPr>
        <w:rStyle w:val="4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24"/>
          <w:jc w:val="center"/>
        </w:pPr>
        <w:r>
          <w:rPr>
            <w:rFonts w:hint="eastAsia"/>
          </w:rPr>
          <w:t>1</w:t>
        </w:r>
      </w:p>
    </w:sdtContent>
  </w:sdt>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82</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76</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8"/>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s>
  <w:rsids>
    <w:rsidRoot w:val="007B41BE"/>
    <w:rsid w:val="000074E4"/>
    <w:rsid w:val="00015DAD"/>
    <w:rsid w:val="000200EE"/>
    <w:rsid w:val="000311F2"/>
    <w:rsid w:val="0003686F"/>
    <w:rsid w:val="00036894"/>
    <w:rsid w:val="00040851"/>
    <w:rsid w:val="00041293"/>
    <w:rsid w:val="00055CB5"/>
    <w:rsid w:val="000575F8"/>
    <w:rsid w:val="00067567"/>
    <w:rsid w:val="00072B82"/>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79D"/>
    <w:rsid w:val="001F5BB1"/>
    <w:rsid w:val="001F615D"/>
    <w:rsid w:val="00200540"/>
    <w:rsid w:val="00205692"/>
    <w:rsid w:val="00205C57"/>
    <w:rsid w:val="00206E6D"/>
    <w:rsid w:val="00221C2B"/>
    <w:rsid w:val="00223A7C"/>
    <w:rsid w:val="00225583"/>
    <w:rsid w:val="00227C77"/>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B35"/>
    <w:rsid w:val="002D7CEC"/>
    <w:rsid w:val="002E082A"/>
    <w:rsid w:val="002E2DB4"/>
    <w:rsid w:val="002E3E42"/>
    <w:rsid w:val="002E589E"/>
    <w:rsid w:val="002E6D1B"/>
    <w:rsid w:val="002F5A9D"/>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7241"/>
    <w:rsid w:val="00410A29"/>
    <w:rsid w:val="004161AC"/>
    <w:rsid w:val="00433E85"/>
    <w:rsid w:val="004354D0"/>
    <w:rsid w:val="00435AEA"/>
    <w:rsid w:val="004370EC"/>
    <w:rsid w:val="004424B8"/>
    <w:rsid w:val="00445D04"/>
    <w:rsid w:val="004540A3"/>
    <w:rsid w:val="004704DD"/>
    <w:rsid w:val="00472A12"/>
    <w:rsid w:val="00472A60"/>
    <w:rsid w:val="00473C2F"/>
    <w:rsid w:val="00484865"/>
    <w:rsid w:val="0048537E"/>
    <w:rsid w:val="00494198"/>
    <w:rsid w:val="00496DF8"/>
    <w:rsid w:val="004A20E9"/>
    <w:rsid w:val="004A354F"/>
    <w:rsid w:val="004B1F72"/>
    <w:rsid w:val="004B295D"/>
    <w:rsid w:val="004C23D1"/>
    <w:rsid w:val="004C54A5"/>
    <w:rsid w:val="004C6199"/>
    <w:rsid w:val="004D0741"/>
    <w:rsid w:val="004D6316"/>
    <w:rsid w:val="004F38F3"/>
    <w:rsid w:val="004F4569"/>
    <w:rsid w:val="00501AC3"/>
    <w:rsid w:val="00502826"/>
    <w:rsid w:val="0050500A"/>
    <w:rsid w:val="00512942"/>
    <w:rsid w:val="0051581C"/>
    <w:rsid w:val="00515D46"/>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0F2"/>
    <w:rsid w:val="0073229B"/>
    <w:rsid w:val="00742B51"/>
    <w:rsid w:val="00744066"/>
    <w:rsid w:val="007444FA"/>
    <w:rsid w:val="007475C9"/>
    <w:rsid w:val="007505F6"/>
    <w:rsid w:val="00757B9E"/>
    <w:rsid w:val="00771D7F"/>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760ED"/>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1516D"/>
    <w:rsid w:val="00920E49"/>
    <w:rsid w:val="00925369"/>
    <w:rsid w:val="00926B18"/>
    <w:rsid w:val="009361DF"/>
    <w:rsid w:val="00952E33"/>
    <w:rsid w:val="009705E6"/>
    <w:rsid w:val="00971A76"/>
    <w:rsid w:val="00974948"/>
    <w:rsid w:val="00974E6A"/>
    <w:rsid w:val="00977A02"/>
    <w:rsid w:val="009850C7"/>
    <w:rsid w:val="00986158"/>
    <w:rsid w:val="00987790"/>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F0BA7"/>
    <w:rsid w:val="009F266D"/>
    <w:rsid w:val="009F63F0"/>
    <w:rsid w:val="00A0387A"/>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05C5"/>
    <w:rsid w:val="00A82AD9"/>
    <w:rsid w:val="00A83BD5"/>
    <w:rsid w:val="00A85D53"/>
    <w:rsid w:val="00A90834"/>
    <w:rsid w:val="00A94F43"/>
    <w:rsid w:val="00A96AF6"/>
    <w:rsid w:val="00AB39E3"/>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0756F"/>
    <w:rsid w:val="00C104AC"/>
    <w:rsid w:val="00C22329"/>
    <w:rsid w:val="00C267C0"/>
    <w:rsid w:val="00C32C1E"/>
    <w:rsid w:val="00C408D3"/>
    <w:rsid w:val="00C552E4"/>
    <w:rsid w:val="00C557C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3951"/>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0DD0"/>
    <w:rsid w:val="00D44C57"/>
    <w:rsid w:val="00D45494"/>
    <w:rsid w:val="00D56ED3"/>
    <w:rsid w:val="00D603B6"/>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2F93"/>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6823B6"/>
    <w:rsid w:val="01767EA9"/>
    <w:rsid w:val="017A2467"/>
    <w:rsid w:val="01C141A2"/>
    <w:rsid w:val="021878F5"/>
    <w:rsid w:val="030D7FB6"/>
    <w:rsid w:val="032D057A"/>
    <w:rsid w:val="03C27D17"/>
    <w:rsid w:val="04292C1E"/>
    <w:rsid w:val="045F1E48"/>
    <w:rsid w:val="046E148B"/>
    <w:rsid w:val="04763EE5"/>
    <w:rsid w:val="04D415AB"/>
    <w:rsid w:val="04E156D1"/>
    <w:rsid w:val="04EB042F"/>
    <w:rsid w:val="050C7081"/>
    <w:rsid w:val="05196C9E"/>
    <w:rsid w:val="0545425D"/>
    <w:rsid w:val="05935ABA"/>
    <w:rsid w:val="05BC4186"/>
    <w:rsid w:val="05F21F93"/>
    <w:rsid w:val="061D4FBD"/>
    <w:rsid w:val="067750A1"/>
    <w:rsid w:val="06FB7444"/>
    <w:rsid w:val="0715238B"/>
    <w:rsid w:val="072F44E3"/>
    <w:rsid w:val="074D330C"/>
    <w:rsid w:val="075E7878"/>
    <w:rsid w:val="07671DE5"/>
    <w:rsid w:val="077E558A"/>
    <w:rsid w:val="07A62D33"/>
    <w:rsid w:val="07BB4D21"/>
    <w:rsid w:val="07E42121"/>
    <w:rsid w:val="08003C5A"/>
    <w:rsid w:val="08471E20"/>
    <w:rsid w:val="08B7697D"/>
    <w:rsid w:val="08D91018"/>
    <w:rsid w:val="09561076"/>
    <w:rsid w:val="09726BD2"/>
    <w:rsid w:val="098C2FDE"/>
    <w:rsid w:val="09A46B4A"/>
    <w:rsid w:val="09F33618"/>
    <w:rsid w:val="0A635F77"/>
    <w:rsid w:val="0AB55D42"/>
    <w:rsid w:val="0B2A1542"/>
    <w:rsid w:val="0B794947"/>
    <w:rsid w:val="0B9B3F10"/>
    <w:rsid w:val="0BDE4D19"/>
    <w:rsid w:val="0C2F32F7"/>
    <w:rsid w:val="0C8007BE"/>
    <w:rsid w:val="0C866C92"/>
    <w:rsid w:val="0CA338CD"/>
    <w:rsid w:val="0CE20369"/>
    <w:rsid w:val="0D141379"/>
    <w:rsid w:val="0D17533F"/>
    <w:rsid w:val="0D4A6AF5"/>
    <w:rsid w:val="0D5746B6"/>
    <w:rsid w:val="0D7C44C4"/>
    <w:rsid w:val="0D8D4779"/>
    <w:rsid w:val="0DF5231E"/>
    <w:rsid w:val="0EC32FEE"/>
    <w:rsid w:val="0F566DED"/>
    <w:rsid w:val="0F6D274E"/>
    <w:rsid w:val="0F7C285A"/>
    <w:rsid w:val="0F7E4AB5"/>
    <w:rsid w:val="0F87702F"/>
    <w:rsid w:val="0FEF45D8"/>
    <w:rsid w:val="103A1AB1"/>
    <w:rsid w:val="105323D2"/>
    <w:rsid w:val="10665B14"/>
    <w:rsid w:val="10EA3C90"/>
    <w:rsid w:val="113E36DF"/>
    <w:rsid w:val="11E8746F"/>
    <w:rsid w:val="123366CE"/>
    <w:rsid w:val="126A5F98"/>
    <w:rsid w:val="13017E15"/>
    <w:rsid w:val="13214181"/>
    <w:rsid w:val="13E33058"/>
    <w:rsid w:val="13FE217D"/>
    <w:rsid w:val="14C44E29"/>
    <w:rsid w:val="14D34591"/>
    <w:rsid w:val="14EA24B1"/>
    <w:rsid w:val="14EF6F90"/>
    <w:rsid w:val="14FF228F"/>
    <w:rsid w:val="155757C5"/>
    <w:rsid w:val="157D7BD6"/>
    <w:rsid w:val="15C011DA"/>
    <w:rsid w:val="15DB785B"/>
    <w:rsid w:val="15EE036C"/>
    <w:rsid w:val="15F70150"/>
    <w:rsid w:val="16DF442B"/>
    <w:rsid w:val="17190E2C"/>
    <w:rsid w:val="171E4C85"/>
    <w:rsid w:val="175D15F5"/>
    <w:rsid w:val="17F95F17"/>
    <w:rsid w:val="18151F96"/>
    <w:rsid w:val="181C07FE"/>
    <w:rsid w:val="183E673F"/>
    <w:rsid w:val="185276F3"/>
    <w:rsid w:val="185A794E"/>
    <w:rsid w:val="189503C0"/>
    <w:rsid w:val="18A46A48"/>
    <w:rsid w:val="18AA5735"/>
    <w:rsid w:val="18AE5DCD"/>
    <w:rsid w:val="18B93205"/>
    <w:rsid w:val="19117F30"/>
    <w:rsid w:val="1A2F4635"/>
    <w:rsid w:val="1A7F5449"/>
    <w:rsid w:val="1AD03189"/>
    <w:rsid w:val="1AD73281"/>
    <w:rsid w:val="1B506E9C"/>
    <w:rsid w:val="1B835430"/>
    <w:rsid w:val="1BF91C77"/>
    <w:rsid w:val="1C7821C5"/>
    <w:rsid w:val="1C882494"/>
    <w:rsid w:val="1CF071D4"/>
    <w:rsid w:val="1D044A59"/>
    <w:rsid w:val="1D8C43FC"/>
    <w:rsid w:val="1DB7716F"/>
    <w:rsid w:val="1DE03FF3"/>
    <w:rsid w:val="1DE35AF0"/>
    <w:rsid w:val="1E486D96"/>
    <w:rsid w:val="1E780B2E"/>
    <w:rsid w:val="1EA36E9F"/>
    <w:rsid w:val="1EB24686"/>
    <w:rsid w:val="1EBA5A37"/>
    <w:rsid w:val="1EDB2E6A"/>
    <w:rsid w:val="1F8B3EF6"/>
    <w:rsid w:val="1F9D6372"/>
    <w:rsid w:val="1FA37E2C"/>
    <w:rsid w:val="1FD004F5"/>
    <w:rsid w:val="1FEF0F3A"/>
    <w:rsid w:val="20070AFB"/>
    <w:rsid w:val="2009466C"/>
    <w:rsid w:val="20735A50"/>
    <w:rsid w:val="20B727FE"/>
    <w:rsid w:val="20C90B34"/>
    <w:rsid w:val="20F41822"/>
    <w:rsid w:val="2128525E"/>
    <w:rsid w:val="21E4693B"/>
    <w:rsid w:val="21F02F14"/>
    <w:rsid w:val="22774200"/>
    <w:rsid w:val="22E70030"/>
    <w:rsid w:val="23492BDA"/>
    <w:rsid w:val="23982F2B"/>
    <w:rsid w:val="239A5ECC"/>
    <w:rsid w:val="23B343B6"/>
    <w:rsid w:val="24343749"/>
    <w:rsid w:val="244D0A96"/>
    <w:rsid w:val="24A972CC"/>
    <w:rsid w:val="24E1641D"/>
    <w:rsid w:val="252E5396"/>
    <w:rsid w:val="254A4971"/>
    <w:rsid w:val="2555007A"/>
    <w:rsid w:val="257A33DD"/>
    <w:rsid w:val="26E64106"/>
    <w:rsid w:val="271F6B78"/>
    <w:rsid w:val="27763CFA"/>
    <w:rsid w:val="279036D5"/>
    <w:rsid w:val="279D2044"/>
    <w:rsid w:val="27A30FEA"/>
    <w:rsid w:val="27BD3816"/>
    <w:rsid w:val="281954EB"/>
    <w:rsid w:val="28294FE4"/>
    <w:rsid w:val="285B1784"/>
    <w:rsid w:val="28694B8B"/>
    <w:rsid w:val="28790229"/>
    <w:rsid w:val="287A101A"/>
    <w:rsid w:val="287D15A4"/>
    <w:rsid w:val="288F79AE"/>
    <w:rsid w:val="28B76D66"/>
    <w:rsid w:val="294C203B"/>
    <w:rsid w:val="296B3AE0"/>
    <w:rsid w:val="299A34A9"/>
    <w:rsid w:val="29D0120B"/>
    <w:rsid w:val="2A094D9D"/>
    <w:rsid w:val="2A307F85"/>
    <w:rsid w:val="2A3A581F"/>
    <w:rsid w:val="2A880A7B"/>
    <w:rsid w:val="2AA26C6A"/>
    <w:rsid w:val="2AA51541"/>
    <w:rsid w:val="2B084FE7"/>
    <w:rsid w:val="2B3F4423"/>
    <w:rsid w:val="2BFE73BA"/>
    <w:rsid w:val="2C5D2EBE"/>
    <w:rsid w:val="2CAC3151"/>
    <w:rsid w:val="2CC678AB"/>
    <w:rsid w:val="2CE14A80"/>
    <w:rsid w:val="2D43291C"/>
    <w:rsid w:val="2D8D44A8"/>
    <w:rsid w:val="2DC4660F"/>
    <w:rsid w:val="2DF20ED7"/>
    <w:rsid w:val="2E0B79C6"/>
    <w:rsid w:val="2E3D144C"/>
    <w:rsid w:val="2EA1408C"/>
    <w:rsid w:val="2F1B1FE6"/>
    <w:rsid w:val="2F8A4B43"/>
    <w:rsid w:val="2FAF02C5"/>
    <w:rsid w:val="2FC7009B"/>
    <w:rsid w:val="301461DC"/>
    <w:rsid w:val="304B1F25"/>
    <w:rsid w:val="305B3530"/>
    <w:rsid w:val="30997F39"/>
    <w:rsid w:val="30A33D81"/>
    <w:rsid w:val="312406A1"/>
    <w:rsid w:val="312D4B28"/>
    <w:rsid w:val="313D4CEC"/>
    <w:rsid w:val="31602125"/>
    <w:rsid w:val="318E4E10"/>
    <w:rsid w:val="31A86C68"/>
    <w:rsid w:val="31B5220F"/>
    <w:rsid w:val="31F97A8E"/>
    <w:rsid w:val="31FC79E7"/>
    <w:rsid w:val="326241AF"/>
    <w:rsid w:val="32715C70"/>
    <w:rsid w:val="32BA0F6E"/>
    <w:rsid w:val="32BF3509"/>
    <w:rsid w:val="33E91263"/>
    <w:rsid w:val="33FC4FDA"/>
    <w:rsid w:val="341E1E5F"/>
    <w:rsid w:val="34C5219B"/>
    <w:rsid w:val="34C76988"/>
    <w:rsid w:val="351129B0"/>
    <w:rsid w:val="35163A7E"/>
    <w:rsid w:val="35D42696"/>
    <w:rsid w:val="36273724"/>
    <w:rsid w:val="36357590"/>
    <w:rsid w:val="363F7384"/>
    <w:rsid w:val="36415851"/>
    <w:rsid w:val="36A64E33"/>
    <w:rsid w:val="36B75CA4"/>
    <w:rsid w:val="37502B7F"/>
    <w:rsid w:val="37511204"/>
    <w:rsid w:val="375D203C"/>
    <w:rsid w:val="37952A11"/>
    <w:rsid w:val="379E5EB0"/>
    <w:rsid w:val="38026A6F"/>
    <w:rsid w:val="380E20F9"/>
    <w:rsid w:val="381F3D8E"/>
    <w:rsid w:val="382D5843"/>
    <w:rsid w:val="383C5560"/>
    <w:rsid w:val="38571D22"/>
    <w:rsid w:val="386B1A1E"/>
    <w:rsid w:val="38D757B3"/>
    <w:rsid w:val="38E053F0"/>
    <w:rsid w:val="39902D77"/>
    <w:rsid w:val="39AA3054"/>
    <w:rsid w:val="39B16EF2"/>
    <w:rsid w:val="39C15447"/>
    <w:rsid w:val="39DA3FF3"/>
    <w:rsid w:val="3A064C87"/>
    <w:rsid w:val="3A34526C"/>
    <w:rsid w:val="3A646A35"/>
    <w:rsid w:val="3AA44217"/>
    <w:rsid w:val="3B5A363D"/>
    <w:rsid w:val="3BAE40AD"/>
    <w:rsid w:val="3C0C6B6C"/>
    <w:rsid w:val="3C222DB6"/>
    <w:rsid w:val="3C5378D5"/>
    <w:rsid w:val="3C9C5E11"/>
    <w:rsid w:val="3CA65B5E"/>
    <w:rsid w:val="3D3659E4"/>
    <w:rsid w:val="3D60411F"/>
    <w:rsid w:val="3D6F1615"/>
    <w:rsid w:val="3D8D4B54"/>
    <w:rsid w:val="3DB42BA6"/>
    <w:rsid w:val="3DC506AF"/>
    <w:rsid w:val="3E524823"/>
    <w:rsid w:val="3E565905"/>
    <w:rsid w:val="3E9A0F47"/>
    <w:rsid w:val="3EAC237F"/>
    <w:rsid w:val="3F6A17C0"/>
    <w:rsid w:val="3F725A04"/>
    <w:rsid w:val="3F9D1D4A"/>
    <w:rsid w:val="3FA602DD"/>
    <w:rsid w:val="400976D3"/>
    <w:rsid w:val="40383591"/>
    <w:rsid w:val="407C658D"/>
    <w:rsid w:val="408A3E42"/>
    <w:rsid w:val="40955117"/>
    <w:rsid w:val="40DC3D2E"/>
    <w:rsid w:val="41301A32"/>
    <w:rsid w:val="41443566"/>
    <w:rsid w:val="41547773"/>
    <w:rsid w:val="417C5FA7"/>
    <w:rsid w:val="41D669BE"/>
    <w:rsid w:val="41E657FF"/>
    <w:rsid w:val="42135F24"/>
    <w:rsid w:val="428E1E1E"/>
    <w:rsid w:val="42E36523"/>
    <w:rsid w:val="42FB2906"/>
    <w:rsid w:val="430613E3"/>
    <w:rsid w:val="43252C5A"/>
    <w:rsid w:val="43430E5B"/>
    <w:rsid w:val="43717DB0"/>
    <w:rsid w:val="43907716"/>
    <w:rsid w:val="44073F74"/>
    <w:rsid w:val="440D22C5"/>
    <w:rsid w:val="44893B2C"/>
    <w:rsid w:val="44C168B5"/>
    <w:rsid w:val="44F524A9"/>
    <w:rsid w:val="4523004F"/>
    <w:rsid w:val="45455BD4"/>
    <w:rsid w:val="45797A33"/>
    <w:rsid w:val="46BE4F54"/>
    <w:rsid w:val="46E60D0D"/>
    <w:rsid w:val="471C20E2"/>
    <w:rsid w:val="47795069"/>
    <w:rsid w:val="47A6353A"/>
    <w:rsid w:val="47F40BE4"/>
    <w:rsid w:val="480C2BDB"/>
    <w:rsid w:val="48436D42"/>
    <w:rsid w:val="48523C0A"/>
    <w:rsid w:val="4856518C"/>
    <w:rsid w:val="486A157C"/>
    <w:rsid w:val="49035E1A"/>
    <w:rsid w:val="494871CB"/>
    <w:rsid w:val="49AB29E8"/>
    <w:rsid w:val="4A1E7F2C"/>
    <w:rsid w:val="4A394D65"/>
    <w:rsid w:val="4A5E6CED"/>
    <w:rsid w:val="4A9430EC"/>
    <w:rsid w:val="4ACC4C41"/>
    <w:rsid w:val="4AE94F1B"/>
    <w:rsid w:val="4B00289F"/>
    <w:rsid w:val="4B3F6B82"/>
    <w:rsid w:val="4B6B7860"/>
    <w:rsid w:val="4B9B111C"/>
    <w:rsid w:val="4BB55D35"/>
    <w:rsid w:val="4C38395F"/>
    <w:rsid w:val="4C7A063F"/>
    <w:rsid w:val="4CB17402"/>
    <w:rsid w:val="4CCE5420"/>
    <w:rsid w:val="4CD970BA"/>
    <w:rsid w:val="4D302F78"/>
    <w:rsid w:val="4DFF248B"/>
    <w:rsid w:val="4E5D3ACD"/>
    <w:rsid w:val="4E6C325B"/>
    <w:rsid w:val="4E7E3F10"/>
    <w:rsid w:val="4EC65936"/>
    <w:rsid w:val="4ED21621"/>
    <w:rsid w:val="4EF23735"/>
    <w:rsid w:val="4F545038"/>
    <w:rsid w:val="4F5849BE"/>
    <w:rsid w:val="4FE37C4D"/>
    <w:rsid w:val="501E7652"/>
    <w:rsid w:val="502B2D68"/>
    <w:rsid w:val="5032028D"/>
    <w:rsid w:val="50631FDA"/>
    <w:rsid w:val="50A1368B"/>
    <w:rsid w:val="50A32F39"/>
    <w:rsid w:val="51405AB3"/>
    <w:rsid w:val="515A048C"/>
    <w:rsid w:val="52B43844"/>
    <w:rsid w:val="52C52155"/>
    <w:rsid w:val="52DC416C"/>
    <w:rsid w:val="53045149"/>
    <w:rsid w:val="53634BDE"/>
    <w:rsid w:val="53B13EB4"/>
    <w:rsid w:val="53F92C98"/>
    <w:rsid w:val="54053811"/>
    <w:rsid w:val="5474139C"/>
    <w:rsid w:val="54744033"/>
    <w:rsid w:val="5486504B"/>
    <w:rsid w:val="54B01F13"/>
    <w:rsid w:val="54D13CB7"/>
    <w:rsid w:val="54E96E17"/>
    <w:rsid w:val="551E7032"/>
    <w:rsid w:val="5597669C"/>
    <w:rsid w:val="55EC3BE6"/>
    <w:rsid w:val="55FF59F9"/>
    <w:rsid w:val="561D185F"/>
    <w:rsid w:val="56635487"/>
    <w:rsid w:val="56690780"/>
    <w:rsid w:val="56A2365A"/>
    <w:rsid w:val="56CA56C3"/>
    <w:rsid w:val="56E21A48"/>
    <w:rsid w:val="57376D96"/>
    <w:rsid w:val="5750710D"/>
    <w:rsid w:val="57CB65E9"/>
    <w:rsid w:val="58027C9C"/>
    <w:rsid w:val="582619E7"/>
    <w:rsid w:val="584B550F"/>
    <w:rsid w:val="585B5F8C"/>
    <w:rsid w:val="58861056"/>
    <w:rsid w:val="593B4E2B"/>
    <w:rsid w:val="596445E0"/>
    <w:rsid w:val="59797D22"/>
    <w:rsid w:val="59964B3E"/>
    <w:rsid w:val="59C9560C"/>
    <w:rsid w:val="5A5654C0"/>
    <w:rsid w:val="5AF076BC"/>
    <w:rsid w:val="5B131A50"/>
    <w:rsid w:val="5B310EEC"/>
    <w:rsid w:val="5BB96F6B"/>
    <w:rsid w:val="5C083248"/>
    <w:rsid w:val="5C182A2D"/>
    <w:rsid w:val="5C52793E"/>
    <w:rsid w:val="5C9C4E60"/>
    <w:rsid w:val="5CD70054"/>
    <w:rsid w:val="5CDF456F"/>
    <w:rsid w:val="5CE56C7A"/>
    <w:rsid w:val="5D26787D"/>
    <w:rsid w:val="5D572C78"/>
    <w:rsid w:val="5DDB3DE9"/>
    <w:rsid w:val="5E4D2B46"/>
    <w:rsid w:val="5E516B80"/>
    <w:rsid w:val="5E792B51"/>
    <w:rsid w:val="5EBA601D"/>
    <w:rsid w:val="5EC22DDD"/>
    <w:rsid w:val="5EC25A09"/>
    <w:rsid w:val="5EDE6B45"/>
    <w:rsid w:val="5F345AE7"/>
    <w:rsid w:val="5F4B72E8"/>
    <w:rsid w:val="5FB124E3"/>
    <w:rsid w:val="60195438"/>
    <w:rsid w:val="606A75CF"/>
    <w:rsid w:val="60B81318"/>
    <w:rsid w:val="60D97040"/>
    <w:rsid w:val="60FD73A5"/>
    <w:rsid w:val="61104A5B"/>
    <w:rsid w:val="611F78BE"/>
    <w:rsid w:val="616A6747"/>
    <w:rsid w:val="618A39AC"/>
    <w:rsid w:val="618B1C6E"/>
    <w:rsid w:val="61BC73C0"/>
    <w:rsid w:val="62020EC8"/>
    <w:rsid w:val="62293E4C"/>
    <w:rsid w:val="622C274E"/>
    <w:rsid w:val="623B7475"/>
    <w:rsid w:val="62C5122B"/>
    <w:rsid w:val="63367C3C"/>
    <w:rsid w:val="63483AFA"/>
    <w:rsid w:val="637200B7"/>
    <w:rsid w:val="63FC0E86"/>
    <w:rsid w:val="64432611"/>
    <w:rsid w:val="6453045E"/>
    <w:rsid w:val="646F23BD"/>
    <w:rsid w:val="64C06852"/>
    <w:rsid w:val="650563DC"/>
    <w:rsid w:val="65331F49"/>
    <w:rsid w:val="653505E7"/>
    <w:rsid w:val="653B778C"/>
    <w:rsid w:val="66001977"/>
    <w:rsid w:val="663D46C9"/>
    <w:rsid w:val="665C2ACE"/>
    <w:rsid w:val="66EF1291"/>
    <w:rsid w:val="68152516"/>
    <w:rsid w:val="685A73A3"/>
    <w:rsid w:val="686B255B"/>
    <w:rsid w:val="68774F7F"/>
    <w:rsid w:val="68F82B5D"/>
    <w:rsid w:val="69865FB5"/>
    <w:rsid w:val="69A753F0"/>
    <w:rsid w:val="69AE677E"/>
    <w:rsid w:val="69FC19EA"/>
    <w:rsid w:val="6A3041B7"/>
    <w:rsid w:val="6A360124"/>
    <w:rsid w:val="6ACC2E43"/>
    <w:rsid w:val="6AD84B9A"/>
    <w:rsid w:val="6BCC261F"/>
    <w:rsid w:val="6BE4064C"/>
    <w:rsid w:val="6BFB3B13"/>
    <w:rsid w:val="6C7621DF"/>
    <w:rsid w:val="6C787452"/>
    <w:rsid w:val="6CBD10DF"/>
    <w:rsid w:val="6CDE17A2"/>
    <w:rsid w:val="6CEF4F0F"/>
    <w:rsid w:val="6D001702"/>
    <w:rsid w:val="6D08089B"/>
    <w:rsid w:val="6D317097"/>
    <w:rsid w:val="6DAA7B81"/>
    <w:rsid w:val="6DAB59DE"/>
    <w:rsid w:val="6DB024FC"/>
    <w:rsid w:val="6DE948B7"/>
    <w:rsid w:val="6E565636"/>
    <w:rsid w:val="6E573BA4"/>
    <w:rsid w:val="6E6C508C"/>
    <w:rsid w:val="6E6D03FE"/>
    <w:rsid w:val="6E812667"/>
    <w:rsid w:val="6EF0269B"/>
    <w:rsid w:val="6F937017"/>
    <w:rsid w:val="6FB912E0"/>
    <w:rsid w:val="6FE04A26"/>
    <w:rsid w:val="6FEB42EB"/>
    <w:rsid w:val="709D2356"/>
    <w:rsid w:val="70A72179"/>
    <w:rsid w:val="70D11404"/>
    <w:rsid w:val="70E20C58"/>
    <w:rsid w:val="715D4BA3"/>
    <w:rsid w:val="71902C0D"/>
    <w:rsid w:val="71A92CC7"/>
    <w:rsid w:val="71AA3891"/>
    <w:rsid w:val="71B7157E"/>
    <w:rsid w:val="72015C19"/>
    <w:rsid w:val="72D80D10"/>
    <w:rsid w:val="73261A7B"/>
    <w:rsid w:val="733B651C"/>
    <w:rsid w:val="73422A96"/>
    <w:rsid w:val="73565609"/>
    <w:rsid w:val="73932A2B"/>
    <w:rsid w:val="739F1F42"/>
    <w:rsid w:val="73AB1F81"/>
    <w:rsid w:val="73BB0752"/>
    <w:rsid w:val="73CC483B"/>
    <w:rsid w:val="73CD3FDE"/>
    <w:rsid w:val="73DA6C90"/>
    <w:rsid w:val="73EF080F"/>
    <w:rsid w:val="748367B7"/>
    <w:rsid w:val="748A4189"/>
    <w:rsid w:val="749C07BD"/>
    <w:rsid w:val="74A75050"/>
    <w:rsid w:val="74CB36A7"/>
    <w:rsid w:val="74FF55A4"/>
    <w:rsid w:val="751B104E"/>
    <w:rsid w:val="75975C48"/>
    <w:rsid w:val="75E817C0"/>
    <w:rsid w:val="762F6E99"/>
    <w:rsid w:val="76363379"/>
    <w:rsid w:val="76544B8E"/>
    <w:rsid w:val="76CC6E4A"/>
    <w:rsid w:val="76F459ED"/>
    <w:rsid w:val="77004681"/>
    <w:rsid w:val="771E2277"/>
    <w:rsid w:val="77FC2DAB"/>
    <w:rsid w:val="784442A1"/>
    <w:rsid w:val="784D43EA"/>
    <w:rsid w:val="7854208B"/>
    <w:rsid w:val="786B0225"/>
    <w:rsid w:val="78A4106E"/>
    <w:rsid w:val="78A771BA"/>
    <w:rsid w:val="78B446BC"/>
    <w:rsid w:val="78B55C83"/>
    <w:rsid w:val="792615E4"/>
    <w:rsid w:val="792627D5"/>
    <w:rsid w:val="79BE4726"/>
    <w:rsid w:val="7A1D390B"/>
    <w:rsid w:val="7A6F2ADF"/>
    <w:rsid w:val="7A9705A2"/>
    <w:rsid w:val="7ADC31A8"/>
    <w:rsid w:val="7ADF492A"/>
    <w:rsid w:val="7B210CDA"/>
    <w:rsid w:val="7B3B1D75"/>
    <w:rsid w:val="7B3C0116"/>
    <w:rsid w:val="7BC711A1"/>
    <w:rsid w:val="7BE32B2B"/>
    <w:rsid w:val="7C3B4091"/>
    <w:rsid w:val="7CC27488"/>
    <w:rsid w:val="7D1C13E8"/>
    <w:rsid w:val="7D1F57D0"/>
    <w:rsid w:val="7D6553EE"/>
    <w:rsid w:val="7D6C6217"/>
    <w:rsid w:val="7DA210B4"/>
    <w:rsid w:val="7DD50E79"/>
    <w:rsid w:val="7DFC3C56"/>
    <w:rsid w:val="7E337E57"/>
    <w:rsid w:val="7E5F7EB8"/>
    <w:rsid w:val="7E8B5B16"/>
    <w:rsid w:val="7E981082"/>
    <w:rsid w:val="7EA8756A"/>
    <w:rsid w:val="7EAC6A6C"/>
    <w:rsid w:val="7EAF0B77"/>
    <w:rsid w:val="7EBC1269"/>
    <w:rsid w:val="7EE6068D"/>
    <w:rsid w:val="7F005A4D"/>
    <w:rsid w:val="7F8042C1"/>
    <w:rsid w:val="7FB77874"/>
    <w:rsid w:val="7FB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64"/>
    <w:qFormat/>
    <w:uiPriority w:val="0"/>
    <w:pPr>
      <w:keepNext/>
      <w:keepLines/>
      <w:spacing w:after="120" w:line="360" w:lineRule="auto"/>
      <w:outlineLvl w:val="0"/>
    </w:pPr>
    <w:rPr>
      <w:kern w:val="44"/>
      <w:sz w:val="28"/>
      <w:szCs w:val="28"/>
    </w:rPr>
  </w:style>
  <w:style w:type="paragraph" w:styleId="4">
    <w:name w:val="heading 2"/>
    <w:basedOn w:val="1"/>
    <w:next w:val="1"/>
    <w:link w:val="65"/>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9"/>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link w:val="66"/>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67"/>
    <w:qFormat/>
    <w:uiPriority w:val="0"/>
    <w:pPr>
      <w:spacing w:line="240" w:lineRule="exact"/>
      <w:outlineLvl w:val="4"/>
    </w:pPr>
  </w:style>
  <w:style w:type="paragraph" w:styleId="8">
    <w:name w:val="heading 6"/>
    <w:basedOn w:val="1"/>
    <w:next w:val="1"/>
    <w:link w:val="6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9"/>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0">
    <w:name w:val="heading 8"/>
    <w:basedOn w:val="1"/>
    <w:next w:val="1"/>
    <w:link w:val="70"/>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1">
    <w:name w:val="heading 9"/>
    <w:basedOn w:val="1"/>
    <w:next w:val="1"/>
    <w:link w:val="71"/>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3"/>
    <w:qFormat/>
    <w:uiPriority w:val="0"/>
    <w:pPr>
      <w:spacing w:before="120" w:after="60"/>
      <w:jc w:val="center"/>
    </w:pPr>
    <w:rPr>
      <w:rFonts w:ascii="Arial" w:hAnsi="Arial"/>
      <w:b/>
      <w:sz w:val="44"/>
      <w:szCs w:val="20"/>
    </w:rPr>
  </w:style>
  <w:style w:type="paragraph" w:styleId="12">
    <w:name w:val="Normal Indent"/>
    <w:basedOn w:val="1"/>
    <w:next w:val="1"/>
    <w:link w:val="125"/>
    <w:qFormat/>
    <w:uiPriority w:val="0"/>
    <w:pPr>
      <w:ind w:firstLine="420"/>
    </w:pPr>
    <w:rPr>
      <w:rFonts w:ascii="Times New Roman" w:hAnsi="Times New Roman"/>
      <w:szCs w:val="20"/>
    </w:rPr>
  </w:style>
  <w:style w:type="paragraph" w:styleId="13">
    <w:name w:val="Document Map"/>
    <w:basedOn w:val="1"/>
    <w:link w:val="83"/>
    <w:qFormat/>
    <w:uiPriority w:val="0"/>
    <w:pPr>
      <w:shd w:val="clear" w:color="auto" w:fill="000080"/>
    </w:pPr>
    <w:rPr>
      <w:rFonts w:ascii="Times New Roman" w:hAnsi="Times New Roman"/>
      <w:szCs w:val="20"/>
    </w:rPr>
  </w:style>
  <w:style w:type="paragraph" w:styleId="14">
    <w:name w:val="annotation text"/>
    <w:basedOn w:val="1"/>
    <w:link w:val="109"/>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5"/>
    <w:qFormat/>
    <w:uiPriority w:val="0"/>
    <w:pPr>
      <w:spacing w:after="120"/>
    </w:pPr>
    <w:rPr>
      <w:rFonts w:ascii="Times New Roman" w:hAnsi="Times New Roman"/>
      <w:szCs w:val="20"/>
    </w:rPr>
  </w:style>
  <w:style w:type="paragraph" w:styleId="16">
    <w:name w:val="Body Text Indent"/>
    <w:basedOn w:val="1"/>
    <w:next w:val="17"/>
    <w:link w:val="81"/>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85"/>
    <w:qFormat/>
    <w:uiPriority w:val="0"/>
    <w:rPr>
      <w:rFonts w:ascii="宋体" w:hAnsi="Courier New"/>
      <w:szCs w:val="20"/>
    </w:rPr>
  </w:style>
  <w:style w:type="paragraph" w:styleId="20">
    <w:name w:val="Date"/>
    <w:basedOn w:val="1"/>
    <w:next w:val="1"/>
    <w:link w:val="79"/>
    <w:qFormat/>
    <w:uiPriority w:val="0"/>
    <w:rPr>
      <w:rFonts w:ascii="Times New Roman" w:hAnsi="Times New Roman"/>
      <w:szCs w:val="20"/>
    </w:rPr>
  </w:style>
  <w:style w:type="paragraph" w:styleId="21">
    <w:name w:val="Body Text Indent 2"/>
    <w:basedOn w:val="1"/>
    <w:link w:val="87"/>
    <w:qFormat/>
    <w:uiPriority w:val="0"/>
    <w:pPr>
      <w:spacing w:line="400" w:lineRule="exact"/>
      <w:ind w:left="425"/>
    </w:pPr>
    <w:rPr>
      <w:rFonts w:ascii="Times New Roman" w:hAnsi="Times New Roman"/>
      <w:color w:val="000000"/>
      <w:sz w:val="24"/>
      <w:szCs w:val="20"/>
    </w:rPr>
  </w:style>
  <w:style w:type="paragraph" w:styleId="22">
    <w:name w:val="endnote text"/>
    <w:basedOn w:val="1"/>
    <w:link w:val="96"/>
    <w:qFormat/>
    <w:uiPriority w:val="0"/>
    <w:pPr>
      <w:snapToGrid w:val="0"/>
      <w:jc w:val="left"/>
    </w:pPr>
    <w:rPr>
      <w:rFonts w:ascii="Times New Roman" w:hAnsi="Times New Roman"/>
      <w:szCs w:val="20"/>
    </w:rPr>
  </w:style>
  <w:style w:type="paragraph" w:styleId="23">
    <w:name w:val="Balloon Text"/>
    <w:basedOn w:val="1"/>
    <w:link w:val="106"/>
    <w:qFormat/>
    <w:uiPriority w:val="0"/>
    <w:rPr>
      <w:rFonts w:ascii="Times New Roman" w:hAnsi="Times New Roman"/>
      <w:sz w:val="18"/>
      <w:szCs w:val="18"/>
    </w:rPr>
  </w:style>
  <w:style w:type="paragraph" w:styleId="24">
    <w:name w:val="footer"/>
    <w:basedOn w:val="1"/>
    <w:link w:val="63"/>
    <w:unhideWhenUsed/>
    <w:qFormat/>
    <w:uiPriority w:val="99"/>
    <w:pPr>
      <w:tabs>
        <w:tab w:val="center" w:pos="4153"/>
        <w:tab w:val="right" w:pos="8306"/>
      </w:tabs>
      <w:snapToGrid w:val="0"/>
      <w:jc w:val="left"/>
    </w:pPr>
    <w:rPr>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1"/>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3"/>
    <w:qFormat/>
    <w:uiPriority w:val="0"/>
    <w:rPr>
      <w:rFonts w:ascii="宋体" w:hAnsi="宋体"/>
      <w:szCs w:val="24"/>
      <w:u w:val="single"/>
    </w:rPr>
  </w:style>
  <w:style w:type="paragraph" w:styleId="31">
    <w:name w:val="Normal (Web)"/>
    <w:basedOn w:val="1"/>
    <w:unhideWhenUsed/>
    <w:qFormat/>
    <w:uiPriority w:val="99"/>
    <w:pPr>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4"/>
    <w:next w:val="14"/>
    <w:link w:val="113"/>
    <w:qFormat/>
    <w:uiPriority w:val="0"/>
    <w:rPr>
      <w:b/>
      <w:bCs/>
    </w:rPr>
  </w:style>
  <w:style w:type="paragraph" w:styleId="34">
    <w:name w:val="Body Text First Indent"/>
    <w:basedOn w:val="15"/>
    <w:link w:val="77"/>
    <w:qFormat/>
    <w:uiPriority w:val="0"/>
    <w:pPr>
      <w:ind w:firstLine="420"/>
    </w:pPr>
  </w:style>
  <w:style w:type="paragraph" w:styleId="35">
    <w:name w:val="Body Text First Indent 2"/>
    <w:basedOn w:val="16"/>
    <w:semiHidden/>
    <w:unhideWhenUsed/>
    <w:qFormat/>
    <w:uiPriority w:val="99"/>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TML Definition"/>
    <w:basedOn w:val="38"/>
    <w:semiHidden/>
    <w:unhideWhenUsed/>
    <w:qFormat/>
    <w:uiPriority w:val="99"/>
    <w:rPr>
      <w:i/>
      <w:iCs/>
    </w:rPr>
  </w:style>
  <w:style w:type="character" w:styleId="44">
    <w:name w:val="Hyperlink"/>
    <w:basedOn w:val="38"/>
    <w:qFormat/>
    <w:uiPriority w:val="99"/>
    <w:rPr>
      <w:color w:val="0000FF"/>
      <w:u w:val="single"/>
    </w:rPr>
  </w:style>
  <w:style w:type="character" w:styleId="45">
    <w:name w:val="HTML Code"/>
    <w:basedOn w:val="38"/>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semiHidden/>
    <w:unhideWhenUsed/>
    <w:qFormat/>
    <w:uiPriority w:val="99"/>
    <w:rPr>
      <w:rFonts w:ascii="Consolas" w:hAnsi="Consolas" w:eastAsia="Consolas" w:cs="Consolas"/>
      <w:color w:val="FFFFFF"/>
      <w:sz w:val="21"/>
      <w:szCs w:val="21"/>
      <w:shd w:val="clear" w:color="auto" w:fill="333333"/>
    </w:rPr>
  </w:style>
  <w:style w:type="character" w:styleId="49">
    <w:name w:val="HTML Sample"/>
    <w:basedOn w:val="38"/>
    <w:semiHidden/>
    <w:unhideWhenUsed/>
    <w:qFormat/>
    <w:uiPriority w:val="99"/>
    <w:rPr>
      <w:rFonts w:hint="default" w:ascii="Consolas" w:hAnsi="Consolas" w:eastAsia="Consolas" w:cs="Consolas"/>
      <w:sz w:val="21"/>
      <w:szCs w:val="21"/>
    </w:rPr>
  </w:style>
  <w:style w:type="character" w:customStyle="1" w:styleId="50">
    <w:name w:val="标题 1 字符"/>
    <w:qFormat/>
    <w:uiPriority w:val="9"/>
    <w:rPr>
      <w:rFonts w:ascii="Calibri" w:hAnsi="Calibri" w:eastAsia="宋体" w:cs="Times New Roman"/>
      <w:b/>
      <w:bCs/>
      <w:kern w:val="44"/>
      <w:sz w:val="44"/>
      <w:szCs w:val="44"/>
    </w:rPr>
  </w:style>
  <w:style w:type="character" w:customStyle="1" w:styleId="51">
    <w:name w:val="标题 2 字符"/>
    <w:semiHidden/>
    <w:qFormat/>
    <w:uiPriority w:val="9"/>
    <w:rPr>
      <w:rFonts w:ascii="等线 Light" w:hAnsi="等线 Light" w:eastAsia="等线 Light" w:cs="Times New Roman"/>
      <w:b/>
      <w:bCs/>
      <w:sz w:val="32"/>
      <w:szCs w:val="32"/>
    </w:rPr>
  </w:style>
  <w:style w:type="character" w:customStyle="1" w:styleId="52">
    <w:name w:val="标题 3 字符"/>
    <w:semiHidden/>
    <w:qFormat/>
    <w:uiPriority w:val="9"/>
    <w:rPr>
      <w:rFonts w:ascii="Calibri" w:hAnsi="Calibri" w:eastAsia="宋体" w:cs="Times New Roman"/>
      <w:b/>
      <w:bCs/>
      <w:sz w:val="32"/>
      <w:szCs w:val="32"/>
    </w:rPr>
  </w:style>
  <w:style w:type="character" w:customStyle="1" w:styleId="53">
    <w:name w:val="标题 4 字符"/>
    <w:semiHidden/>
    <w:qFormat/>
    <w:uiPriority w:val="9"/>
    <w:rPr>
      <w:rFonts w:ascii="等线 Light" w:hAnsi="等线 Light" w:eastAsia="等线 Light" w:cs="Times New Roman"/>
      <w:b/>
      <w:bCs/>
      <w:sz w:val="28"/>
      <w:szCs w:val="28"/>
    </w:rPr>
  </w:style>
  <w:style w:type="character" w:customStyle="1" w:styleId="54">
    <w:name w:val="标题 5 字符"/>
    <w:semiHidden/>
    <w:qFormat/>
    <w:uiPriority w:val="9"/>
    <w:rPr>
      <w:rFonts w:ascii="Calibri" w:hAnsi="Calibri" w:eastAsia="宋体" w:cs="Times New Roman"/>
      <w:b/>
      <w:bCs/>
      <w:sz w:val="28"/>
      <w:szCs w:val="28"/>
    </w:rPr>
  </w:style>
  <w:style w:type="character" w:customStyle="1" w:styleId="55">
    <w:name w:val="标题 6 字符"/>
    <w:semiHidden/>
    <w:qFormat/>
    <w:uiPriority w:val="9"/>
    <w:rPr>
      <w:rFonts w:ascii="等线 Light" w:hAnsi="等线 Light" w:eastAsia="等线 Light" w:cs="Times New Roman"/>
      <w:b/>
      <w:bCs/>
      <w:sz w:val="24"/>
      <w:szCs w:val="24"/>
    </w:rPr>
  </w:style>
  <w:style w:type="character" w:customStyle="1" w:styleId="56">
    <w:name w:val="标题 7 字符"/>
    <w:semiHidden/>
    <w:qFormat/>
    <w:uiPriority w:val="9"/>
    <w:rPr>
      <w:rFonts w:ascii="Calibri" w:hAnsi="Calibri" w:eastAsia="宋体" w:cs="Times New Roman"/>
      <w:b/>
      <w:bCs/>
      <w:sz w:val="24"/>
      <w:szCs w:val="24"/>
    </w:rPr>
  </w:style>
  <w:style w:type="character" w:customStyle="1" w:styleId="57">
    <w:name w:val="标题 8 字符"/>
    <w:semiHidden/>
    <w:qFormat/>
    <w:uiPriority w:val="9"/>
    <w:rPr>
      <w:rFonts w:ascii="等线 Light" w:hAnsi="等线 Light" w:eastAsia="等线 Light" w:cs="Times New Roman"/>
      <w:sz w:val="24"/>
      <w:szCs w:val="24"/>
    </w:rPr>
  </w:style>
  <w:style w:type="character" w:customStyle="1" w:styleId="58">
    <w:name w:val="标题 9 字符"/>
    <w:semiHidden/>
    <w:qFormat/>
    <w:uiPriority w:val="9"/>
    <w:rPr>
      <w:rFonts w:ascii="等线 Light" w:hAnsi="等线 Light" w:eastAsia="等线 Light" w:cs="Times New Roman"/>
      <w:szCs w:val="21"/>
    </w:rPr>
  </w:style>
  <w:style w:type="character" w:customStyle="1" w:styleId="59">
    <w:name w:val="标题 3 字符1"/>
    <w:link w:val="5"/>
    <w:qFormat/>
    <w:uiPriority w:val="0"/>
    <w:rPr>
      <w:rFonts w:ascii="宋体" w:hAnsi="宋体" w:eastAsia="宋体" w:cs="宋体"/>
      <w:b/>
      <w:sz w:val="24"/>
      <w:szCs w:val="27"/>
    </w:rPr>
  </w:style>
  <w:style w:type="character" w:customStyle="1" w:styleId="60">
    <w:name w:val="页眉 字符"/>
    <w:semiHidden/>
    <w:qFormat/>
    <w:uiPriority w:val="99"/>
    <w:rPr>
      <w:rFonts w:ascii="Calibri" w:hAnsi="Calibri" w:eastAsia="宋体" w:cs="Times New Roman"/>
      <w:sz w:val="18"/>
      <w:szCs w:val="18"/>
    </w:rPr>
  </w:style>
  <w:style w:type="character" w:customStyle="1" w:styleId="61">
    <w:name w:val="页眉 字符1"/>
    <w:link w:val="25"/>
    <w:qFormat/>
    <w:uiPriority w:val="99"/>
    <w:rPr>
      <w:rFonts w:ascii="Calibri" w:hAnsi="Calibri" w:eastAsia="宋体" w:cs="Times New Roman"/>
      <w:sz w:val="18"/>
      <w:szCs w:val="18"/>
    </w:rPr>
  </w:style>
  <w:style w:type="character" w:customStyle="1" w:styleId="62">
    <w:name w:val="页脚 字符"/>
    <w:qFormat/>
    <w:uiPriority w:val="99"/>
    <w:rPr>
      <w:rFonts w:ascii="Calibri" w:hAnsi="Calibri" w:eastAsia="宋体" w:cs="Times New Roman"/>
      <w:sz w:val="18"/>
      <w:szCs w:val="18"/>
    </w:rPr>
  </w:style>
  <w:style w:type="character" w:customStyle="1" w:styleId="63">
    <w:name w:val="页脚 字符1"/>
    <w:link w:val="24"/>
    <w:qFormat/>
    <w:uiPriority w:val="99"/>
    <w:rPr>
      <w:rFonts w:ascii="Calibri" w:hAnsi="Calibri" w:eastAsia="宋体" w:cs="Times New Roman"/>
      <w:sz w:val="18"/>
      <w:szCs w:val="18"/>
    </w:rPr>
  </w:style>
  <w:style w:type="character" w:customStyle="1" w:styleId="64">
    <w:name w:val="标题 1 字符1"/>
    <w:link w:val="2"/>
    <w:qFormat/>
    <w:uiPriority w:val="0"/>
    <w:rPr>
      <w:rFonts w:ascii="Arial" w:hAnsi="Arial" w:eastAsia="宋体"/>
      <w:b/>
      <w:kern w:val="44"/>
      <w:sz w:val="28"/>
      <w:szCs w:val="28"/>
    </w:rPr>
  </w:style>
  <w:style w:type="character" w:customStyle="1" w:styleId="65">
    <w:name w:val="标题 2 字符1"/>
    <w:link w:val="4"/>
    <w:qFormat/>
    <w:uiPriority w:val="0"/>
    <w:rPr>
      <w:rFonts w:ascii="Arial" w:hAnsi="Arial" w:eastAsia="宋体" w:cs="Times New Roman"/>
      <w:b/>
      <w:color w:val="000000"/>
      <w:sz w:val="24"/>
      <w:szCs w:val="24"/>
    </w:rPr>
  </w:style>
  <w:style w:type="character" w:customStyle="1" w:styleId="66">
    <w:name w:val="标题 4 字符1"/>
    <w:link w:val="6"/>
    <w:qFormat/>
    <w:uiPriority w:val="0"/>
    <w:rPr>
      <w:rFonts w:ascii="宋体" w:hAnsi="宋体" w:eastAsia="宋体"/>
      <w:b/>
      <w:color w:val="000000"/>
      <w:kern w:val="2"/>
      <w:sz w:val="24"/>
      <w:szCs w:val="21"/>
    </w:rPr>
  </w:style>
  <w:style w:type="character" w:customStyle="1" w:styleId="67">
    <w:name w:val="标题 5 字符1"/>
    <w:link w:val="7"/>
    <w:qFormat/>
    <w:uiPriority w:val="0"/>
    <w:rPr>
      <w:rFonts w:ascii="Arial" w:hAnsi="Arial" w:eastAsia="宋体" w:cs="Times New Roman"/>
      <w:color w:val="000000"/>
      <w:szCs w:val="21"/>
    </w:rPr>
  </w:style>
  <w:style w:type="character" w:customStyle="1" w:styleId="68">
    <w:name w:val="标题 6 字符1"/>
    <w:link w:val="8"/>
    <w:qFormat/>
    <w:uiPriority w:val="0"/>
    <w:rPr>
      <w:rFonts w:ascii="Arial" w:hAnsi="Arial" w:eastAsia="黑体" w:cs="Times New Roman"/>
      <w:b/>
      <w:bCs/>
      <w:sz w:val="24"/>
      <w:szCs w:val="24"/>
    </w:rPr>
  </w:style>
  <w:style w:type="character" w:customStyle="1" w:styleId="69">
    <w:name w:val="标题 7 字符1"/>
    <w:link w:val="9"/>
    <w:qFormat/>
    <w:uiPriority w:val="0"/>
    <w:rPr>
      <w:rFonts w:ascii="Times New Roman" w:hAnsi="Times New Roman" w:eastAsia="宋体" w:cs="Times New Roman"/>
      <w:b/>
      <w:sz w:val="24"/>
      <w:szCs w:val="20"/>
    </w:rPr>
  </w:style>
  <w:style w:type="character" w:customStyle="1" w:styleId="70">
    <w:name w:val="标题 8 字符1"/>
    <w:link w:val="10"/>
    <w:qFormat/>
    <w:uiPriority w:val="0"/>
    <w:rPr>
      <w:rFonts w:ascii="Arial" w:hAnsi="Arial" w:eastAsia="黑体" w:cs="Times New Roman"/>
      <w:sz w:val="24"/>
      <w:szCs w:val="20"/>
    </w:rPr>
  </w:style>
  <w:style w:type="character" w:customStyle="1" w:styleId="71">
    <w:name w:val="标题 9 字符1"/>
    <w:link w:val="11"/>
    <w:qFormat/>
    <w:uiPriority w:val="0"/>
    <w:rPr>
      <w:rFonts w:ascii="Arial" w:hAnsi="Arial" w:eastAsia="黑体" w:cs="Times New Roman"/>
      <w:szCs w:val="20"/>
    </w:rPr>
  </w:style>
  <w:style w:type="character" w:customStyle="1" w:styleId="72">
    <w:name w:val="标题 字符"/>
    <w:qFormat/>
    <w:uiPriority w:val="10"/>
    <w:rPr>
      <w:rFonts w:ascii="等线 Light" w:hAnsi="等线 Light" w:eastAsia="等线 Light" w:cs="Times New Roman"/>
      <w:b/>
      <w:bCs/>
      <w:sz w:val="32"/>
      <w:szCs w:val="32"/>
    </w:rPr>
  </w:style>
  <w:style w:type="character" w:customStyle="1" w:styleId="73">
    <w:name w:val="标题 字符1"/>
    <w:link w:val="3"/>
    <w:qFormat/>
    <w:uiPriority w:val="0"/>
    <w:rPr>
      <w:rFonts w:ascii="Arial" w:hAnsi="Arial" w:eastAsia="宋体" w:cs="Times New Roman"/>
      <w:b/>
      <w:sz w:val="44"/>
      <w:szCs w:val="20"/>
    </w:rPr>
  </w:style>
  <w:style w:type="character" w:customStyle="1" w:styleId="74">
    <w:name w:val="正文文本 字符"/>
    <w:semiHidden/>
    <w:qFormat/>
    <w:uiPriority w:val="99"/>
    <w:rPr>
      <w:rFonts w:ascii="Calibri" w:hAnsi="Calibri" w:eastAsia="宋体" w:cs="Times New Roman"/>
    </w:rPr>
  </w:style>
  <w:style w:type="character" w:customStyle="1" w:styleId="75">
    <w:name w:val="正文文本 字符1"/>
    <w:link w:val="15"/>
    <w:qFormat/>
    <w:uiPriority w:val="0"/>
    <w:rPr>
      <w:rFonts w:ascii="Times New Roman" w:hAnsi="Times New Roman" w:eastAsia="宋体" w:cs="Times New Roman"/>
      <w:szCs w:val="20"/>
    </w:rPr>
  </w:style>
  <w:style w:type="character" w:customStyle="1" w:styleId="76">
    <w:name w:val="正文首行缩进 字符"/>
    <w:basedOn w:val="74"/>
    <w:semiHidden/>
    <w:qFormat/>
    <w:uiPriority w:val="99"/>
    <w:rPr>
      <w:rFonts w:ascii="Calibri" w:hAnsi="Calibri" w:eastAsia="宋体" w:cs="Times New Roman"/>
    </w:rPr>
  </w:style>
  <w:style w:type="character" w:customStyle="1" w:styleId="77">
    <w:name w:val="正文文本首行缩进 字符"/>
    <w:link w:val="34"/>
    <w:qFormat/>
    <w:uiPriority w:val="0"/>
  </w:style>
  <w:style w:type="character" w:customStyle="1" w:styleId="78">
    <w:name w:val="日期 字符"/>
    <w:semiHidden/>
    <w:qFormat/>
    <w:uiPriority w:val="99"/>
    <w:rPr>
      <w:rFonts w:ascii="Calibri" w:hAnsi="Calibri" w:eastAsia="宋体" w:cs="Times New Roman"/>
    </w:rPr>
  </w:style>
  <w:style w:type="character" w:customStyle="1" w:styleId="79">
    <w:name w:val="日期 字符1"/>
    <w:link w:val="20"/>
    <w:qFormat/>
    <w:uiPriority w:val="0"/>
    <w:rPr>
      <w:rFonts w:ascii="Times New Roman" w:hAnsi="Times New Roman" w:eastAsia="宋体" w:cs="Times New Roman"/>
      <w:szCs w:val="20"/>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正文文本缩进 字符1"/>
    <w:link w:val="16"/>
    <w:qFormat/>
    <w:uiPriority w:val="0"/>
    <w:rPr>
      <w:rFonts w:ascii="Times New Roman" w:hAnsi="Times New Roman" w:eastAsia="宋体" w:cs="Times New Roman"/>
      <w:sz w:val="28"/>
      <w:szCs w:val="20"/>
    </w:rPr>
  </w:style>
  <w:style w:type="character" w:customStyle="1" w:styleId="82">
    <w:name w:val="文档结构图 字符"/>
    <w:semiHidden/>
    <w:qFormat/>
    <w:uiPriority w:val="99"/>
    <w:rPr>
      <w:rFonts w:ascii="Microsoft YaHei UI" w:hAnsi="Calibri" w:eastAsia="Microsoft YaHei UI" w:cs="Times New Roman"/>
      <w:sz w:val="18"/>
      <w:szCs w:val="18"/>
    </w:rPr>
  </w:style>
  <w:style w:type="character" w:customStyle="1" w:styleId="83">
    <w:name w:val="文档结构图 字符1"/>
    <w:link w:val="13"/>
    <w:qFormat/>
    <w:uiPriority w:val="0"/>
    <w:rPr>
      <w:rFonts w:ascii="Times New Roman" w:hAnsi="Times New Roman" w:eastAsia="宋体" w:cs="Times New Roman"/>
      <w:szCs w:val="20"/>
      <w:shd w:val="clear" w:color="auto" w:fill="000080"/>
    </w:rPr>
  </w:style>
  <w:style w:type="character" w:customStyle="1" w:styleId="84">
    <w:name w:val="纯文本 字符"/>
    <w:qFormat/>
    <w:uiPriority w:val="0"/>
    <w:rPr>
      <w:rFonts w:ascii="等线" w:hAnsi="Courier New" w:cs="Courier New"/>
    </w:rPr>
  </w:style>
  <w:style w:type="character" w:customStyle="1" w:styleId="85">
    <w:name w:val="纯文本 字符1"/>
    <w:link w:val="19"/>
    <w:qFormat/>
    <w:uiPriority w:val="0"/>
    <w:rPr>
      <w:rFonts w:ascii="宋体" w:hAnsi="Courier New" w:eastAsia="宋体" w:cs="Times New Roman"/>
      <w:szCs w:val="20"/>
    </w:rPr>
  </w:style>
  <w:style w:type="character" w:customStyle="1" w:styleId="86">
    <w:name w:val="正文文本缩进 2 字符"/>
    <w:semiHidden/>
    <w:qFormat/>
    <w:uiPriority w:val="99"/>
    <w:rPr>
      <w:rFonts w:ascii="Calibri" w:hAnsi="Calibri" w:eastAsia="宋体" w:cs="Times New Roman"/>
    </w:rPr>
  </w:style>
  <w:style w:type="character" w:customStyle="1" w:styleId="87">
    <w:name w:val="正文文本缩进 2 字符1"/>
    <w:link w:val="21"/>
    <w:qFormat/>
    <w:uiPriority w:val="0"/>
    <w:rPr>
      <w:rFonts w:ascii="Times New Roman" w:hAnsi="Times New Roman" w:eastAsia="宋体" w:cs="Times New Roman"/>
      <w:color w:val="000000"/>
      <w:sz w:val="24"/>
      <w:szCs w:val="20"/>
    </w:rPr>
  </w:style>
  <w:style w:type="character" w:customStyle="1" w:styleId="88">
    <w:name w:val="正文文本缩进 3 字符"/>
    <w:semiHidden/>
    <w:qFormat/>
    <w:uiPriority w:val="99"/>
    <w:rPr>
      <w:rFonts w:ascii="Calibri" w:hAnsi="Calibri" w:eastAsia="宋体" w:cs="Times New Roman"/>
      <w:sz w:val="16"/>
      <w:szCs w:val="16"/>
    </w:rPr>
  </w:style>
  <w:style w:type="character" w:customStyle="1" w:styleId="89">
    <w:name w:val="正文文本缩进 3 字符1"/>
    <w:link w:val="28"/>
    <w:qFormat/>
    <w:uiPriority w:val="0"/>
    <w:rPr>
      <w:rFonts w:ascii="Times New Roman" w:hAnsi="Times New Roman" w:eastAsia="宋体" w:cs="Times New Roman"/>
      <w:color w:val="000000"/>
      <w:sz w:val="24"/>
      <w:szCs w:val="20"/>
    </w:rPr>
  </w:style>
  <w:style w:type="paragraph" w:customStyle="1" w:styleId="9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1">
    <w:name w:val="_Style 69"/>
    <w:qFormat/>
    <w:uiPriority w:val="0"/>
    <w:rPr>
      <w:rFonts w:ascii="等线" w:hAnsi="等线" w:eastAsia="等线" w:cs="Times New Roman"/>
      <w:lang w:val="en-US" w:eastAsia="zh-CN" w:bidi="ar-SA"/>
    </w:rPr>
  </w:style>
  <w:style w:type="character" w:customStyle="1" w:styleId="92">
    <w:name w:val="正文文本 2 字符"/>
    <w:semiHidden/>
    <w:qFormat/>
    <w:uiPriority w:val="99"/>
    <w:rPr>
      <w:rFonts w:ascii="Calibri" w:hAnsi="Calibri" w:eastAsia="宋体" w:cs="Times New Roman"/>
    </w:rPr>
  </w:style>
  <w:style w:type="character" w:customStyle="1" w:styleId="93">
    <w:name w:val="正文文本 2 字符1"/>
    <w:link w:val="30"/>
    <w:qFormat/>
    <w:uiPriority w:val="0"/>
    <w:rPr>
      <w:rFonts w:ascii="宋体" w:hAnsi="宋体" w:eastAsia="宋体" w:cs="Times New Roman"/>
      <w:szCs w:val="24"/>
      <w:u w:val="single"/>
    </w:rPr>
  </w:style>
  <w:style w:type="paragraph" w:customStyle="1" w:styleId="94">
    <w:name w:val="表头"/>
    <w:basedOn w:val="1"/>
    <w:qFormat/>
    <w:uiPriority w:val="0"/>
    <w:pPr>
      <w:spacing w:line="360" w:lineRule="auto"/>
      <w:jc w:val="center"/>
    </w:pPr>
    <w:rPr>
      <w:rFonts w:ascii="黑体" w:hAnsi="Times New Roman" w:eastAsia="黑体"/>
      <w:kern w:val="0"/>
      <w:sz w:val="24"/>
      <w:szCs w:val="20"/>
    </w:rPr>
  </w:style>
  <w:style w:type="character" w:customStyle="1" w:styleId="95">
    <w:name w:val="尾注文本 字符"/>
    <w:semiHidden/>
    <w:qFormat/>
    <w:uiPriority w:val="99"/>
    <w:rPr>
      <w:rFonts w:ascii="Calibri" w:hAnsi="Calibri" w:eastAsia="宋体" w:cs="Times New Roman"/>
    </w:rPr>
  </w:style>
  <w:style w:type="character" w:customStyle="1" w:styleId="96">
    <w:name w:val="尾注文本 字符1"/>
    <w:link w:val="22"/>
    <w:qFormat/>
    <w:uiPriority w:val="0"/>
    <w:rPr>
      <w:rFonts w:ascii="Times New Roman" w:hAnsi="Times New Roman" w:eastAsia="宋体" w:cs="Times New Roman"/>
      <w:szCs w:val="20"/>
    </w:rPr>
  </w:style>
  <w:style w:type="paragraph" w:customStyle="1" w:styleId="97">
    <w:name w:val="Char"/>
    <w:basedOn w:val="1"/>
    <w:qFormat/>
    <w:uiPriority w:val="0"/>
    <w:rPr>
      <w:rFonts w:ascii="Tahoma" w:hAnsi="Tahoma"/>
      <w:sz w:val="24"/>
      <w:szCs w:val="20"/>
    </w:rPr>
  </w:style>
  <w:style w:type="paragraph" w:customStyle="1" w:styleId="98">
    <w:name w:val="Char1"/>
    <w:basedOn w:val="1"/>
    <w:qFormat/>
    <w:uiPriority w:val="0"/>
    <w:pPr>
      <w:numPr>
        <w:ilvl w:val="0"/>
        <w:numId w:val="2"/>
      </w:numPr>
    </w:pPr>
    <w:rPr>
      <w:rFonts w:ascii="Times New Roman" w:hAnsi="Times New Roman"/>
      <w:sz w:val="24"/>
      <w:szCs w:val="24"/>
    </w:rPr>
  </w:style>
  <w:style w:type="paragraph" w:customStyle="1" w:styleId="99">
    <w:name w:val="公文抬头"/>
    <w:basedOn w:val="12"/>
    <w:qFormat/>
    <w:uiPriority w:val="0"/>
    <w:pPr>
      <w:ind w:firstLine="0"/>
    </w:pPr>
    <w:rPr>
      <w:rFonts w:ascii="仿宋_GB2312" w:eastAsia="仿宋_GB2312"/>
      <w:sz w:val="30"/>
      <w:szCs w:val="24"/>
    </w:rPr>
  </w:style>
  <w:style w:type="paragraph" w:customStyle="1" w:styleId="100">
    <w:name w:val="Char Char Char1 Char"/>
    <w:basedOn w:val="13"/>
    <w:qFormat/>
    <w:uiPriority w:val="0"/>
    <w:rPr>
      <w:rFonts w:ascii="Tahoma" w:hAnsi="Tahoma"/>
      <w:sz w:val="24"/>
      <w:szCs w:val="24"/>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5"/>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3">
    <w:name w:val="发文落款"/>
    <w:basedOn w:val="101"/>
    <w:qFormat/>
    <w:uiPriority w:val="0"/>
    <w:pPr>
      <w:ind w:left="4094" w:right="607" w:firstLine="0"/>
      <w:jc w:val="center"/>
    </w:pPr>
  </w:style>
  <w:style w:type="paragraph" w:customStyle="1" w:styleId="104">
    <w:name w:val="Char Char Char Char"/>
    <w:basedOn w:val="1"/>
    <w:qFormat/>
    <w:uiPriority w:val="0"/>
    <w:rPr>
      <w:rFonts w:ascii="Times New Roman" w:hAnsi="Times New Roman"/>
      <w:sz w:val="30"/>
      <w:szCs w:val="24"/>
    </w:rPr>
  </w:style>
  <w:style w:type="character" w:customStyle="1" w:styleId="105">
    <w:name w:val="批注框文本 字符"/>
    <w:semiHidden/>
    <w:qFormat/>
    <w:uiPriority w:val="99"/>
    <w:rPr>
      <w:rFonts w:ascii="Calibri" w:hAnsi="Calibri" w:eastAsia="宋体" w:cs="Times New Roman"/>
      <w:sz w:val="18"/>
      <w:szCs w:val="18"/>
    </w:rPr>
  </w:style>
  <w:style w:type="character" w:customStyle="1" w:styleId="106">
    <w:name w:val="批注框文本 字符1"/>
    <w:link w:val="23"/>
    <w:qFormat/>
    <w:uiPriority w:val="0"/>
    <w:rPr>
      <w:rFonts w:ascii="Times New Roman" w:hAnsi="Times New Roman" w:eastAsia="宋体" w:cs="Times New Roman"/>
      <w:sz w:val="18"/>
      <w:szCs w:val="18"/>
    </w:rPr>
  </w:style>
  <w:style w:type="paragraph" w:customStyle="1" w:styleId="107">
    <w:name w:val="TOC 标题1"/>
    <w:basedOn w:val="2"/>
    <w:semiHidden/>
    <w:unhideWhenUsed/>
    <w:qFormat/>
    <w:uiPriority w:val="39"/>
    <w:pPr>
      <w:widowControl/>
      <w:spacing w:before="480" w:after="0" w:line="276" w:lineRule="auto"/>
      <w:outlineLvl w:val="9"/>
    </w:pPr>
    <w:rPr>
      <w:rFonts w:ascii="Cambria" w:hAnsi="Cambria"/>
      <w:color w:val="365F91"/>
      <w:kern w:val="0"/>
    </w:rPr>
  </w:style>
  <w:style w:type="character" w:customStyle="1" w:styleId="108">
    <w:name w:val="批注文字 字符"/>
    <w:semiHidden/>
    <w:qFormat/>
    <w:uiPriority w:val="99"/>
    <w:rPr>
      <w:rFonts w:ascii="Calibri" w:hAnsi="Calibri" w:eastAsia="宋体" w:cs="Times New Roman"/>
    </w:rPr>
  </w:style>
  <w:style w:type="character" w:customStyle="1" w:styleId="109">
    <w:name w:val="批注文字 字符1"/>
    <w:link w:val="14"/>
    <w:qFormat/>
    <w:uiPriority w:val="0"/>
    <w:rPr>
      <w:rFonts w:ascii="宋体" w:hAnsi="宋体" w:eastAsia="宋体" w:cs="Times New Roman"/>
      <w:sz w:val="24"/>
      <w:szCs w:val="24"/>
    </w:rPr>
  </w:style>
  <w:style w:type="character" w:customStyle="1" w:styleId="110">
    <w:name w:val="脚注文本 字符"/>
    <w:semiHidden/>
    <w:qFormat/>
    <w:uiPriority w:val="99"/>
    <w:rPr>
      <w:rFonts w:ascii="Calibri" w:hAnsi="Calibri" w:eastAsia="宋体" w:cs="Times New Roman"/>
      <w:sz w:val="18"/>
      <w:szCs w:val="18"/>
    </w:rPr>
  </w:style>
  <w:style w:type="character" w:customStyle="1" w:styleId="111">
    <w:name w:val="脚注文本 字符1"/>
    <w:link w:val="27"/>
    <w:qFormat/>
    <w:uiPriority w:val="0"/>
    <w:rPr>
      <w:rFonts w:ascii="宋体" w:hAnsi="宋体" w:eastAsia="宋体" w:cs="Times New Roman"/>
      <w:sz w:val="18"/>
      <w:szCs w:val="18"/>
    </w:rPr>
  </w:style>
  <w:style w:type="character" w:customStyle="1" w:styleId="112">
    <w:name w:val="批注主题 字符"/>
    <w:semiHidden/>
    <w:qFormat/>
    <w:uiPriority w:val="99"/>
    <w:rPr>
      <w:rFonts w:ascii="Calibri" w:hAnsi="Calibri" w:eastAsia="宋体" w:cs="Times New Roman"/>
      <w:b/>
      <w:bCs/>
    </w:rPr>
  </w:style>
  <w:style w:type="character" w:customStyle="1" w:styleId="113">
    <w:name w:val="批注主题 字符1"/>
    <w:link w:val="33"/>
    <w:qFormat/>
    <w:uiPriority w:val="0"/>
    <w:rPr>
      <w:rFonts w:ascii="宋体" w:hAnsi="宋体" w:eastAsia="宋体" w:cs="Times New Roman"/>
      <w:b/>
      <w:bCs/>
      <w:sz w:val="24"/>
      <w:szCs w:val="24"/>
    </w:rPr>
  </w:style>
  <w:style w:type="paragraph" w:styleId="114">
    <w:name w:val="List Paragraph"/>
    <w:basedOn w:val="1"/>
    <w:qFormat/>
    <w:uiPriority w:val="34"/>
    <w:pPr>
      <w:ind w:firstLine="420" w:firstLineChars="200"/>
    </w:pPr>
    <w:rPr>
      <w:rFonts w:ascii="Times New Roman" w:hAnsi="Times New Roman"/>
      <w:szCs w:val="20"/>
    </w:rPr>
  </w:style>
  <w:style w:type="paragraph" w:customStyle="1" w:styleId="115">
    <w:name w:val="修订1"/>
    <w:semiHidden/>
    <w:qFormat/>
    <w:uiPriority w:val="99"/>
    <w:rPr>
      <w:rFonts w:ascii="Times New Roman" w:hAnsi="Times New Roman" w:eastAsia="宋体" w:cs="Times New Roman"/>
      <w:kern w:val="2"/>
      <w:sz w:val="21"/>
      <w:lang w:val="en-US" w:eastAsia="zh-CN" w:bidi="ar-SA"/>
    </w:rPr>
  </w:style>
  <w:style w:type="character" w:customStyle="1" w:styleId="116">
    <w:name w:val="font11"/>
    <w:qFormat/>
    <w:uiPriority w:val="0"/>
    <w:rPr>
      <w:rFonts w:hint="eastAsia" w:ascii="宋体" w:hAnsi="宋体" w:eastAsia="宋体"/>
      <w:color w:val="000000"/>
      <w:sz w:val="24"/>
      <w:szCs w:val="24"/>
      <w:u w:val="single"/>
    </w:rPr>
  </w:style>
  <w:style w:type="paragraph" w:customStyle="1" w:styleId="11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8">
    <w:name w:val="正文文本缩进 New New"/>
    <w:basedOn w:val="1"/>
    <w:qFormat/>
    <w:uiPriority w:val="0"/>
    <w:pPr>
      <w:spacing w:after="120"/>
      <w:ind w:left="420" w:leftChars="200"/>
    </w:pPr>
    <w:rPr>
      <w:rFonts w:ascii="Times New Roman" w:eastAsia="楷体_GB2312"/>
      <w:szCs w:val="20"/>
    </w:rPr>
  </w:style>
  <w:style w:type="paragraph" w:customStyle="1" w:styleId="119">
    <w:name w:val="正题"/>
    <w:basedOn w:val="120"/>
    <w:qFormat/>
    <w:uiPriority w:val="0"/>
    <w:pPr>
      <w:jc w:val="center"/>
    </w:pPr>
    <w:rPr>
      <w:rFonts w:ascii="宋体" w:hAnsi="宋体" w:eastAsia="黑体" w:cstheme="minorBidi"/>
      <w:b/>
      <w:sz w:val="36"/>
      <w:szCs w:val="36"/>
    </w:rPr>
  </w:style>
  <w:style w:type="paragraph" w:customStyle="1" w:styleId="120">
    <w:name w:val="文一"/>
    <w:link w:val="123"/>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1">
    <w:name w:val="No Spacing"/>
    <w:link w:val="122"/>
    <w:qFormat/>
    <w:uiPriority w:val="1"/>
    <w:rPr>
      <w:rFonts w:asciiTheme="minorHAnsi" w:hAnsiTheme="minorHAnsi" w:eastAsiaTheme="minorEastAsia" w:cstheme="minorBidi"/>
      <w:sz w:val="22"/>
      <w:szCs w:val="22"/>
      <w:lang w:val="en-US" w:eastAsia="zh-CN" w:bidi="ar-SA"/>
    </w:rPr>
  </w:style>
  <w:style w:type="character" w:customStyle="1" w:styleId="122">
    <w:name w:val="无间隔 字符"/>
    <w:basedOn w:val="38"/>
    <w:link w:val="121"/>
    <w:qFormat/>
    <w:uiPriority w:val="1"/>
    <w:rPr>
      <w:rFonts w:asciiTheme="minorHAnsi" w:hAnsiTheme="minorHAnsi" w:eastAsiaTheme="minorEastAsia" w:cstheme="minorBidi"/>
      <w:sz w:val="22"/>
      <w:szCs w:val="22"/>
    </w:rPr>
  </w:style>
  <w:style w:type="character" w:customStyle="1" w:styleId="123">
    <w:name w:val="文一 Char"/>
    <w:link w:val="120"/>
    <w:qFormat/>
    <w:uiPriority w:val="0"/>
    <w:rPr>
      <w:rFonts w:ascii="Calibri" w:hAnsi="Calibri" w:eastAsia="宋体"/>
      <w:snapToGrid w:val="0"/>
      <w:spacing w:val="4"/>
      <w:sz w:val="24"/>
      <w:szCs w:val="24"/>
    </w:rPr>
  </w:style>
  <w:style w:type="paragraph" w:customStyle="1" w:styleId="124">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5">
    <w:name w:val="正文缩进 字符"/>
    <w:link w:val="12"/>
    <w:qFormat/>
    <w:uiPriority w:val="0"/>
    <w:rPr>
      <w:rFonts w:ascii="Times New Roman" w:hAnsi="Times New Roman" w:eastAsia="宋体"/>
      <w:kern w:val="2"/>
      <w:sz w:val="21"/>
    </w:rPr>
  </w:style>
  <w:style w:type="paragraph" w:customStyle="1" w:styleId="126">
    <w:name w:val="正文 New New"/>
    <w:basedOn w:val="1"/>
    <w:qFormat/>
    <w:uiPriority w:val="0"/>
    <w:rPr>
      <w:rFonts w:ascii="Times New Roman" w:hAnsi="Times New Roman" w:eastAsia="楷体_GB2312" w:cs="宋体"/>
      <w:szCs w:val="21"/>
    </w:rPr>
  </w:style>
  <w:style w:type="paragraph" w:customStyle="1" w:styleId="127">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8">
    <w:name w:val="未处理的提及1"/>
    <w:basedOn w:val="38"/>
    <w:semiHidden/>
    <w:unhideWhenUsed/>
    <w:qFormat/>
    <w:uiPriority w:val="99"/>
    <w:rPr>
      <w:color w:val="605E5C"/>
      <w:shd w:val="clear" w:color="auto" w:fill="E1DFDD"/>
    </w:rPr>
  </w:style>
  <w:style w:type="character" w:customStyle="1" w:styleId="129">
    <w:name w:val="username"/>
    <w:basedOn w:val="38"/>
    <w:qFormat/>
    <w:uiPriority w:val="0"/>
  </w:style>
  <w:style w:type="character" w:customStyle="1" w:styleId="130">
    <w:name w:val="title26"/>
    <w:basedOn w:val="38"/>
    <w:qFormat/>
    <w:uiPriority w:val="0"/>
  </w:style>
  <w:style w:type="character" w:customStyle="1" w:styleId="131">
    <w:name w:val="title21"/>
    <w:basedOn w:val="38"/>
    <w:qFormat/>
    <w:uiPriority w:val="0"/>
  </w:style>
  <w:style w:type="paragraph" w:customStyle="1" w:styleId="132">
    <w:name w:val="章节三"/>
    <w:basedOn w:val="120"/>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3">
    <w:name w:val="未处理的提及2"/>
    <w:basedOn w:val="38"/>
    <w:semiHidden/>
    <w:unhideWhenUsed/>
    <w:qFormat/>
    <w:uiPriority w:val="99"/>
    <w:rPr>
      <w:color w:val="605E5C"/>
      <w:shd w:val="clear" w:color="auto" w:fill="E1DFDD"/>
    </w:rPr>
  </w:style>
  <w:style w:type="paragraph" w:customStyle="1" w:styleId="134">
    <w:name w:val="Table Paragraph"/>
    <w:basedOn w:val="1"/>
    <w:unhideWhenUsed/>
    <w:qFormat/>
    <w:uiPriority w:val="1"/>
    <w:rPr>
      <w:sz w:val="24"/>
      <w:szCs w:val="24"/>
    </w:rPr>
  </w:style>
  <w:style w:type="paragraph" w:customStyle="1" w:styleId="135">
    <w:name w:val="Revision"/>
    <w:hidden/>
    <w:semiHidden/>
    <w:qFormat/>
    <w:uiPriority w:val="99"/>
    <w:rPr>
      <w:rFonts w:ascii="Calibri" w:hAnsi="Calibri" w:eastAsia="宋体" w:cs="Times New Roman"/>
      <w:kern w:val="2"/>
      <w:sz w:val="21"/>
      <w:szCs w:val="22"/>
      <w:lang w:val="en-US" w:eastAsia="zh-CN" w:bidi="ar-SA"/>
    </w:rPr>
  </w:style>
  <w:style w:type="character" w:customStyle="1" w:styleId="136">
    <w:name w:val="font01"/>
    <w:qFormat/>
    <w:uiPriority w:val="0"/>
    <w:rPr>
      <w:rFonts w:hint="eastAsia" w:ascii="仿宋" w:hAnsi="仿宋" w:eastAsia="仿宋" w:cs="仿宋"/>
      <w:color w:val="000000"/>
      <w:sz w:val="28"/>
      <w:szCs w:val="28"/>
      <w:u w:val="none"/>
    </w:rPr>
  </w:style>
  <w:style w:type="character" w:customStyle="1" w:styleId="13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F500-9EF8-4A9A-A475-A30965E55BEC}">
  <ds:schemaRefs/>
</ds:datastoreItem>
</file>

<file path=docProps/app.xml><?xml version="1.0" encoding="utf-8"?>
<Properties xmlns="http://schemas.openxmlformats.org/officeDocument/2006/extended-properties" xmlns:vt="http://schemas.openxmlformats.org/officeDocument/2006/docPropsVTypes">
  <Template>Normal</Template>
  <Pages>76</Pages>
  <Words>44908</Words>
  <Characters>47479</Characters>
  <Lines>367</Lines>
  <Paragraphs>103</Paragraphs>
  <TotalTime>5</TotalTime>
  <ScaleCrop>false</ScaleCrop>
  <LinksUpToDate>false</LinksUpToDate>
  <CharactersWithSpaces>49328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陈正文</cp:lastModifiedBy>
  <cp:lastPrinted>2023-04-13T13:19:00Z</cp:lastPrinted>
  <dcterms:modified xsi:type="dcterms:W3CDTF">2023-09-27T07:56:29Z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7E1334E5DC1D40FCAD70ECEFD1C5CB84_13</vt:lpwstr>
  </property>
</Properties>
</file>