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firstLine="1100" w:firstLineChars="249"/>
        <w:jc w:val="center"/>
        <w:rPr>
          <w:rFonts w:ascii="宋体" w:hAnsi="宋体"/>
          <w:b/>
          <w:color w:val="auto"/>
          <w:sz w:val="44"/>
          <w:szCs w:val="44"/>
          <w:highlight w:val="none"/>
        </w:rPr>
      </w:pPr>
      <w:bookmarkStart w:id="344" w:name="_GoBack"/>
      <w:bookmarkEnd w:id="344"/>
    </w:p>
    <w:p>
      <w:pPr>
        <w:widowControl/>
        <w:jc w:val="center"/>
        <w:rPr>
          <w:rFonts w:hint="eastAsia" w:ascii="宋体" w:hAnsi="宋体"/>
          <w:b/>
          <w:color w:val="auto"/>
          <w:sz w:val="72"/>
          <w:szCs w:val="72"/>
          <w:highlight w:val="none"/>
          <w:lang w:eastAsia="zh-CN"/>
        </w:rPr>
      </w:pPr>
    </w:p>
    <w:p>
      <w:pPr>
        <w:widowControl/>
        <w:jc w:val="center"/>
        <w:rPr>
          <w:rFonts w:hint="eastAsia" w:ascii="宋体" w:hAnsi="宋体" w:eastAsia="宋体"/>
          <w:b/>
          <w:color w:val="auto"/>
          <w:sz w:val="72"/>
          <w:szCs w:val="72"/>
          <w:highlight w:val="none"/>
          <w:lang w:eastAsia="zh-CN"/>
        </w:rPr>
      </w:pPr>
      <w:r>
        <w:rPr>
          <w:rFonts w:hint="eastAsia" w:ascii="宋体" w:hAnsi="宋体"/>
          <w:b/>
          <w:color w:val="auto"/>
          <w:sz w:val="72"/>
          <w:szCs w:val="72"/>
          <w:highlight w:val="none"/>
          <w:lang w:eastAsia="zh-CN"/>
        </w:rPr>
        <w:t>芳尾涌整治工程施工总承包</w:t>
      </w:r>
    </w:p>
    <w:p>
      <w:pPr>
        <w:widowControl/>
        <w:jc w:val="center"/>
        <w:rPr>
          <w:rFonts w:ascii="宋体" w:hAnsi="宋体"/>
          <w:b/>
          <w:color w:val="auto"/>
          <w:sz w:val="44"/>
          <w:szCs w:val="44"/>
          <w:highlight w:val="none"/>
        </w:rPr>
      </w:pPr>
    </w:p>
    <w:p>
      <w:pPr>
        <w:widowControl/>
        <w:jc w:val="left"/>
        <w:rPr>
          <w:rFonts w:ascii="宋体" w:hAnsi="宋体"/>
          <w:b/>
          <w:color w:val="auto"/>
          <w:sz w:val="44"/>
          <w:szCs w:val="44"/>
          <w:highlight w:val="none"/>
        </w:rPr>
      </w:pPr>
    </w:p>
    <w:p>
      <w:pPr>
        <w:widowControl/>
        <w:jc w:val="left"/>
        <w:rPr>
          <w:rFonts w:ascii="宋体" w:hAnsi="宋体"/>
          <w:b/>
          <w:color w:val="auto"/>
          <w:sz w:val="44"/>
          <w:szCs w:val="44"/>
          <w:highlight w:val="none"/>
        </w:rPr>
      </w:pPr>
    </w:p>
    <w:p>
      <w:pPr>
        <w:pStyle w:val="129"/>
        <w:rPr>
          <w:color w:val="auto"/>
          <w:highlight w:val="none"/>
        </w:rPr>
      </w:pPr>
    </w:p>
    <w:p>
      <w:pPr>
        <w:rPr>
          <w:rFonts w:ascii="宋体" w:hAnsi="宋体"/>
          <w:color w:val="auto"/>
          <w:highlight w:val="none"/>
        </w:rPr>
      </w:pPr>
    </w:p>
    <w:p>
      <w:pPr>
        <w:spacing w:line="360" w:lineRule="auto"/>
        <w:jc w:val="center"/>
        <w:rPr>
          <w:rFonts w:ascii="宋体" w:hAnsi="宋体"/>
          <w:b/>
          <w:bCs/>
          <w:color w:val="auto"/>
          <w:spacing w:val="26"/>
          <w:sz w:val="110"/>
          <w:szCs w:val="110"/>
          <w:highlight w:val="none"/>
        </w:rPr>
      </w:pPr>
      <w:r>
        <w:rPr>
          <w:rFonts w:hint="eastAsia" w:ascii="宋体" w:hAnsi="宋体"/>
          <w:b/>
          <w:bCs/>
          <w:color w:val="auto"/>
          <w:spacing w:val="26"/>
          <w:sz w:val="110"/>
          <w:szCs w:val="110"/>
          <w:highlight w:val="none"/>
        </w:rPr>
        <w:t>招 标 文 件</w:t>
      </w:r>
    </w:p>
    <w:p>
      <w:pPr>
        <w:widowControl/>
        <w:jc w:val="left"/>
        <w:rPr>
          <w:rFonts w:ascii="宋体" w:hAnsi="宋体"/>
          <w:color w:val="auto"/>
          <w:sz w:val="24"/>
          <w:szCs w:val="24"/>
          <w:highlight w:val="none"/>
        </w:rPr>
      </w:pPr>
    </w:p>
    <w:p>
      <w:pPr>
        <w:widowControl/>
        <w:jc w:val="left"/>
        <w:rPr>
          <w:rFonts w:ascii="宋体" w:hAnsi="宋体"/>
          <w:color w:val="auto"/>
          <w:sz w:val="24"/>
          <w:szCs w:val="24"/>
          <w:highlight w:val="none"/>
        </w:rPr>
      </w:pPr>
    </w:p>
    <w:p>
      <w:pPr>
        <w:widowControl/>
        <w:jc w:val="left"/>
        <w:rPr>
          <w:rFonts w:ascii="宋体" w:hAnsi="宋体"/>
          <w:color w:val="auto"/>
          <w:sz w:val="24"/>
          <w:szCs w:val="24"/>
          <w:highlight w:val="none"/>
        </w:rPr>
      </w:pPr>
    </w:p>
    <w:p>
      <w:pPr>
        <w:widowControl/>
        <w:jc w:val="left"/>
        <w:rPr>
          <w:rFonts w:ascii="宋体" w:hAnsi="宋体"/>
          <w:color w:val="auto"/>
          <w:sz w:val="24"/>
          <w:szCs w:val="24"/>
          <w:highlight w:val="none"/>
        </w:rPr>
      </w:pPr>
    </w:p>
    <w:p>
      <w:pPr>
        <w:widowControl/>
        <w:jc w:val="left"/>
        <w:rPr>
          <w:rFonts w:ascii="宋体" w:hAnsi="宋体"/>
          <w:color w:val="auto"/>
          <w:sz w:val="24"/>
          <w:szCs w:val="24"/>
          <w:highlight w:val="none"/>
        </w:rPr>
      </w:pPr>
    </w:p>
    <w:p>
      <w:pPr>
        <w:widowControl/>
        <w:jc w:val="left"/>
        <w:rPr>
          <w:rFonts w:ascii="宋体" w:hAnsi="宋体"/>
          <w:color w:val="auto"/>
          <w:sz w:val="24"/>
          <w:szCs w:val="24"/>
          <w:highlight w:val="none"/>
        </w:rPr>
      </w:pPr>
    </w:p>
    <w:p>
      <w:pPr>
        <w:widowControl/>
        <w:jc w:val="left"/>
        <w:rPr>
          <w:rFonts w:ascii="宋体" w:hAnsi="宋体"/>
          <w:color w:val="auto"/>
          <w:sz w:val="24"/>
          <w:szCs w:val="24"/>
          <w:highlight w:val="none"/>
        </w:rPr>
      </w:pPr>
    </w:p>
    <w:p>
      <w:pPr>
        <w:widowControl/>
        <w:jc w:val="left"/>
        <w:rPr>
          <w:rFonts w:ascii="宋体" w:hAnsi="宋体"/>
          <w:color w:val="auto"/>
          <w:sz w:val="24"/>
          <w:szCs w:val="24"/>
          <w:highlight w:val="none"/>
        </w:rPr>
      </w:pPr>
    </w:p>
    <w:p>
      <w:pPr>
        <w:widowControl/>
        <w:jc w:val="left"/>
        <w:rPr>
          <w:rFonts w:ascii="宋体" w:hAnsi="宋体"/>
          <w:color w:val="auto"/>
          <w:sz w:val="24"/>
          <w:szCs w:val="24"/>
          <w:highlight w:val="none"/>
        </w:rPr>
      </w:pPr>
    </w:p>
    <w:p>
      <w:pPr>
        <w:widowControl/>
        <w:jc w:val="left"/>
        <w:rPr>
          <w:rFonts w:ascii="宋体" w:hAnsi="宋体"/>
          <w:color w:val="auto"/>
          <w:sz w:val="24"/>
          <w:szCs w:val="24"/>
          <w:highlight w:val="none"/>
        </w:rPr>
      </w:pPr>
    </w:p>
    <w:p>
      <w:pPr>
        <w:widowControl/>
        <w:jc w:val="center"/>
        <w:rPr>
          <w:rFonts w:ascii="宋体" w:hAnsi="宋体"/>
          <w:color w:val="auto"/>
          <w:sz w:val="30"/>
          <w:szCs w:val="30"/>
          <w:highlight w:val="none"/>
        </w:rPr>
      </w:pPr>
      <w:r>
        <w:rPr>
          <w:rFonts w:hint="eastAsia" w:ascii="宋体" w:hAnsi="宋体"/>
          <w:color w:val="auto"/>
          <w:sz w:val="30"/>
          <w:szCs w:val="30"/>
          <w:highlight w:val="none"/>
        </w:rPr>
        <w:t>招标人：</w:t>
      </w:r>
      <w:r>
        <w:rPr>
          <w:rFonts w:hint="eastAsia" w:ascii="宋体" w:hAnsi="宋体"/>
          <w:color w:val="auto"/>
          <w:sz w:val="30"/>
          <w:szCs w:val="30"/>
          <w:highlight w:val="none"/>
          <w:u w:val="single"/>
        </w:rPr>
        <w:t>广州开发区财政投资建设项目管理中心</w:t>
      </w:r>
      <w:r>
        <w:rPr>
          <w:rFonts w:hint="eastAsia" w:ascii="宋体" w:hAnsi="宋体"/>
          <w:color w:val="auto"/>
          <w:sz w:val="30"/>
          <w:szCs w:val="30"/>
          <w:highlight w:val="none"/>
        </w:rPr>
        <w:t>（盖单位章）</w:t>
      </w:r>
    </w:p>
    <w:p>
      <w:pPr>
        <w:widowControl/>
        <w:jc w:val="center"/>
        <w:rPr>
          <w:rFonts w:ascii="宋体" w:hAnsi="宋体"/>
          <w:color w:val="auto"/>
          <w:sz w:val="30"/>
          <w:szCs w:val="30"/>
          <w:highlight w:val="none"/>
        </w:rPr>
      </w:pPr>
      <w:r>
        <w:rPr>
          <w:rFonts w:hint="eastAsia" w:ascii="宋体" w:hAnsi="宋体"/>
          <w:color w:val="auto"/>
          <w:sz w:val="30"/>
          <w:szCs w:val="30"/>
          <w:highlight w:val="none"/>
        </w:rPr>
        <w:t>招标代理机构：</w:t>
      </w:r>
      <w:r>
        <w:rPr>
          <w:rFonts w:hint="eastAsia" w:ascii="宋体" w:hAnsi="宋体"/>
          <w:color w:val="auto"/>
          <w:sz w:val="30"/>
          <w:szCs w:val="30"/>
          <w:highlight w:val="none"/>
          <w:u w:val="single"/>
          <w:lang w:eastAsia="zh-CN"/>
        </w:rPr>
        <w:t>广州宏元建设工程咨询有限公司</w:t>
      </w:r>
      <w:r>
        <w:rPr>
          <w:rFonts w:hint="eastAsia" w:ascii="宋体" w:hAnsi="宋体"/>
          <w:color w:val="auto"/>
          <w:sz w:val="30"/>
          <w:szCs w:val="30"/>
          <w:highlight w:val="none"/>
        </w:rPr>
        <w:t>（盖单位章）</w:t>
      </w:r>
    </w:p>
    <w:p>
      <w:pPr>
        <w:widowControl/>
        <w:jc w:val="center"/>
        <w:rPr>
          <w:rFonts w:ascii="宋体" w:hAnsi="宋体"/>
          <w:color w:val="auto"/>
          <w:sz w:val="30"/>
          <w:szCs w:val="30"/>
          <w:highlight w:val="none"/>
        </w:rPr>
      </w:pPr>
      <w:r>
        <w:rPr>
          <w:rFonts w:ascii="宋体" w:hAnsi="宋体"/>
          <w:color w:val="auto"/>
          <w:sz w:val="30"/>
          <w:szCs w:val="30"/>
          <w:highlight w:val="none"/>
          <w:u w:val="single"/>
        </w:rPr>
        <w:t>202</w:t>
      </w:r>
      <w:r>
        <w:rPr>
          <w:rFonts w:hint="eastAsia" w:ascii="宋体" w:hAnsi="宋体"/>
          <w:color w:val="auto"/>
          <w:sz w:val="30"/>
          <w:szCs w:val="30"/>
          <w:highlight w:val="none"/>
          <w:u w:val="single"/>
          <w:lang w:val="en-US" w:eastAsia="zh-CN"/>
        </w:rPr>
        <w:t>3</w:t>
      </w:r>
      <w:r>
        <w:rPr>
          <w:rFonts w:hint="eastAsia" w:ascii="宋体" w:hAnsi="宋体"/>
          <w:color w:val="auto"/>
          <w:sz w:val="30"/>
          <w:szCs w:val="30"/>
          <w:highlight w:val="none"/>
        </w:rPr>
        <w:t>年</w:t>
      </w:r>
      <w:r>
        <w:rPr>
          <w:rFonts w:hint="eastAsia" w:ascii="宋体" w:hAnsi="宋体"/>
          <w:color w:val="auto"/>
          <w:sz w:val="30"/>
          <w:szCs w:val="30"/>
          <w:highlight w:val="none"/>
          <w:u w:val="single"/>
          <w:lang w:val="en-US" w:eastAsia="zh-CN"/>
        </w:rPr>
        <w:t xml:space="preserve">  </w:t>
      </w:r>
      <w:r>
        <w:rPr>
          <w:rFonts w:hint="eastAsia" w:ascii="宋体" w:hAnsi="宋体"/>
          <w:color w:val="auto"/>
          <w:sz w:val="30"/>
          <w:szCs w:val="30"/>
          <w:highlight w:val="none"/>
        </w:rPr>
        <w:t>月</w:t>
      </w:r>
    </w:p>
    <w:p>
      <w:pPr>
        <w:rPr>
          <w:rFonts w:ascii="宋体" w:hAnsi="宋体"/>
          <w:color w:val="auto"/>
          <w:highlight w:val="none"/>
        </w:rPr>
      </w:pPr>
    </w:p>
    <w:p>
      <w:pPr>
        <w:pStyle w:val="2"/>
        <w:rPr>
          <w:color w:val="auto"/>
          <w:highlight w:val="none"/>
        </w:rPr>
      </w:pPr>
      <w:r>
        <w:rPr>
          <w:color w:val="auto"/>
          <w:highlight w:val="none"/>
        </w:rPr>
        <w:br w:type="page"/>
      </w:r>
    </w:p>
    <w:p>
      <w:pPr>
        <w:pStyle w:val="103"/>
        <w:jc w:val="center"/>
        <w:rPr>
          <w:rFonts w:ascii="宋体" w:hAnsi="宋体"/>
          <w:color w:val="auto"/>
          <w:highlight w:val="none"/>
        </w:rPr>
      </w:pPr>
      <w:r>
        <w:rPr>
          <w:rFonts w:ascii="宋体" w:hAnsi="宋体"/>
          <w:color w:val="auto"/>
          <w:highlight w:val="none"/>
          <w:lang w:val="zh-CN"/>
        </w:rPr>
        <w:t>目录</w:t>
      </w:r>
    </w:p>
    <w:p>
      <w:pPr>
        <w:pStyle w:val="28"/>
        <w:tabs>
          <w:tab w:val="right" w:leader="dot" w:pos="8296"/>
        </w:tabs>
        <w:rPr>
          <w:rFonts w:ascii="宋体" w:hAnsi="宋体"/>
          <w:color w:val="auto"/>
          <w:kern w:val="2"/>
          <w:sz w:val="21"/>
          <w:highlight w:val="none"/>
        </w:rPr>
      </w:pPr>
      <w:r>
        <w:rPr>
          <w:rFonts w:ascii="宋体" w:hAnsi="宋体"/>
          <w:color w:val="auto"/>
          <w:highlight w:val="none"/>
        </w:rPr>
        <w:fldChar w:fldCharType="begin"/>
      </w:r>
      <w:r>
        <w:rPr>
          <w:rFonts w:ascii="宋体" w:hAnsi="宋体"/>
          <w:color w:val="auto"/>
          <w:highlight w:val="none"/>
        </w:rPr>
        <w:instrText xml:space="preserve"> TOC \o "1-3" \h \z \u </w:instrText>
      </w:r>
      <w:r>
        <w:rPr>
          <w:rFonts w:ascii="宋体" w:hAnsi="宋体"/>
          <w:color w:val="auto"/>
          <w:highlight w:val="none"/>
        </w:rPr>
        <w:fldChar w:fldCharType="separate"/>
      </w:r>
      <w:r>
        <w:rPr>
          <w:color w:val="auto"/>
          <w:highlight w:val="none"/>
        </w:rPr>
        <w:fldChar w:fldCharType="begin"/>
      </w:r>
      <w:r>
        <w:rPr>
          <w:color w:val="auto"/>
          <w:highlight w:val="none"/>
        </w:rPr>
        <w:instrText xml:space="preserve"> HYPERLINK \l "_Toc21787625" </w:instrText>
      </w:r>
      <w:r>
        <w:rPr>
          <w:color w:val="auto"/>
          <w:highlight w:val="none"/>
        </w:rPr>
        <w:fldChar w:fldCharType="separate"/>
      </w:r>
      <w:r>
        <w:rPr>
          <w:rStyle w:val="50"/>
          <w:rFonts w:hint="eastAsia" w:ascii="宋体" w:hAnsi="宋体" w:eastAsia="宋体"/>
          <w:color w:val="auto"/>
          <w:highlight w:val="none"/>
        </w:rPr>
        <w:t>第一章招标公告</w:t>
      </w:r>
      <w:r>
        <w:rPr>
          <w:rFonts w:ascii="宋体" w:hAnsi="宋体"/>
          <w:color w:val="auto"/>
          <w:highlight w:val="none"/>
        </w:rPr>
        <w:tab/>
      </w:r>
      <w:r>
        <w:rPr>
          <w:rFonts w:ascii="宋体" w:hAnsi="宋体"/>
          <w:color w:val="auto"/>
          <w:highlight w:val="none"/>
        </w:rPr>
        <w:fldChar w:fldCharType="begin"/>
      </w:r>
      <w:r>
        <w:rPr>
          <w:rFonts w:ascii="宋体" w:hAnsi="宋体"/>
          <w:color w:val="auto"/>
          <w:highlight w:val="none"/>
        </w:rPr>
        <w:instrText xml:space="preserve"> PAGEREF _Toc21787625 \h </w:instrText>
      </w:r>
      <w:r>
        <w:rPr>
          <w:rFonts w:ascii="宋体" w:hAnsi="宋体"/>
          <w:color w:val="auto"/>
          <w:highlight w:val="none"/>
        </w:rPr>
        <w:fldChar w:fldCharType="separate"/>
      </w:r>
      <w:r>
        <w:rPr>
          <w:rFonts w:ascii="宋体" w:hAnsi="宋体"/>
          <w:color w:val="auto"/>
          <w:highlight w:val="none"/>
        </w:rPr>
        <w:t>3</w:t>
      </w:r>
      <w:r>
        <w:rPr>
          <w:rFonts w:ascii="宋体" w:hAnsi="宋体"/>
          <w:color w:val="auto"/>
          <w:highlight w:val="none"/>
        </w:rPr>
        <w:fldChar w:fldCharType="end"/>
      </w:r>
      <w:r>
        <w:rPr>
          <w:rFonts w:ascii="宋体" w:hAnsi="宋体"/>
          <w:color w:val="auto"/>
          <w:highlight w:val="none"/>
        </w:rPr>
        <w:fldChar w:fldCharType="end"/>
      </w:r>
    </w:p>
    <w:p>
      <w:pPr>
        <w:pStyle w:val="28"/>
        <w:tabs>
          <w:tab w:val="right" w:leader="dot" w:pos="8296"/>
        </w:tabs>
        <w:rPr>
          <w:rFonts w:ascii="宋体" w:hAnsi="宋体"/>
          <w:color w:val="auto"/>
          <w:kern w:val="2"/>
          <w:sz w:val="21"/>
          <w:highlight w:val="none"/>
        </w:rPr>
      </w:pPr>
      <w:r>
        <w:rPr>
          <w:color w:val="auto"/>
          <w:highlight w:val="none"/>
        </w:rPr>
        <w:fldChar w:fldCharType="begin"/>
      </w:r>
      <w:r>
        <w:rPr>
          <w:color w:val="auto"/>
          <w:highlight w:val="none"/>
        </w:rPr>
        <w:instrText xml:space="preserve"> HYPERLINK \l "_Toc21787637" </w:instrText>
      </w:r>
      <w:r>
        <w:rPr>
          <w:color w:val="auto"/>
          <w:highlight w:val="none"/>
        </w:rPr>
        <w:fldChar w:fldCharType="separate"/>
      </w:r>
      <w:r>
        <w:rPr>
          <w:rStyle w:val="50"/>
          <w:rFonts w:hint="eastAsia" w:ascii="宋体" w:hAnsi="宋体" w:eastAsia="宋体"/>
          <w:color w:val="auto"/>
          <w:highlight w:val="none"/>
        </w:rPr>
        <w:t>第二章投标人须知</w:t>
      </w:r>
      <w:r>
        <w:rPr>
          <w:rFonts w:ascii="宋体" w:hAnsi="宋体"/>
          <w:color w:val="auto"/>
          <w:highlight w:val="none"/>
        </w:rPr>
        <w:tab/>
      </w:r>
      <w:r>
        <w:rPr>
          <w:rFonts w:ascii="宋体" w:hAnsi="宋体"/>
          <w:color w:val="auto"/>
          <w:highlight w:val="none"/>
        </w:rPr>
        <w:fldChar w:fldCharType="begin"/>
      </w:r>
      <w:r>
        <w:rPr>
          <w:rFonts w:ascii="宋体" w:hAnsi="宋体"/>
          <w:color w:val="auto"/>
          <w:highlight w:val="none"/>
        </w:rPr>
        <w:instrText xml:space="preserve"> PAGEREF _Toc21787637 \h </w:instrText>
      </w:r>
      <w:r>
        <w:rPr>
          <w:rFonts w:ascii="宋体" w:hAnsi="宋体"/>
          <w:color w:val="auto"/>
          <w:highlight w:val="none"/>
        </w:rPr>
        <w:fldChar w:fldCharType="separate"/>
      </w:r>
      <w:r>
        <w:rPr>
          <w:rFonts w:ascii="宋体" w:hAnsi="宋体"/>
          <w:color w:val="auto"/>
          <w:highlight w:val="none"/>
        </w:rPr>
        <w:t>4</w:t>
      </w:r>
      <w:r>
        <w:rPr>
          <w:rFonts w:ascii="宋体" w:hAnsi="宋体"/>
          <w:color w:val="auto"/>
          <w:highlight w:val="none"/>
        </w:rPr>
        <w:fldChar w:fldCharType="end"/>
      </w:r>
      <w:r>
        <w:rPr>
          <w:rFonts w:ascii="宋体" w:hAnsi="宋体"/>
          <w:color w:val="auto"/>
          <w:highlight w:val="none"/>
        </w:rPr>
        <w:fldChar w:fldCharType="end"/>
      </w:r>
    </w:p>
    <w:p>
      <w:pPr>
        <w:pStyle w:val="28"/>
        <w:tabs>
          <w:tab w:val="right" w:leader="dot" w:pos="8296"/>
        </w:tabs>
        <w:rPr>
          <w:rFonts w:ascii="宋体" w:hAnsi="宋体"/>
          <w:color w:val="auto"/>
          <w:kern w:val="2"/>
          <w:sz w:val="21"/>
          <w:highlight w:val="none"/>
        </w:rPr>
      </w:pPr>
      <w:r>
        <w:rPr>
          <w:color w:val="auto"/>
          <w:highlight w:val="none"/>
        </w:rPr>
        <w:fldChar w:fldCharType="begin"/>
      </w:r>
      <w:r>
        <w:rPr>
          <w:color w:val="auto"/>
          <w:highlight w:val="none"/>
        </w:rPr>
        <w:instrText xml:space="preserve"> HYPERLINK \l "_Toc21787686" </w:instrText>
      </w:r>
      <w:r>
        <w:rPr>
          <w:color w:val="auto"/>
          <w:highlight w:val="none"/>
        </w:rPr>
        <w:fldChar w:fldCharType="separate"/>
      </w:r>
      <w:r>
        <w:rPr>
          <w:rStyle w:val="50"/>
          <w:rFonts w:hint="eastAsia" w:ascii="宋体" w:hAnsi="宋体" w:eastAsia="宋体"/>
          <w:color w:val="auto"/>
          <w:highlight w:val="none"/>
        </w:rPr>
        <w:t>第三章评标办法（综合评估法）</w:t>
      </w:r>
      <w:r>
        <w:rPr>
          <w:rFonts w:ascii="宋体" w:hAnsi="宋体"/>
          <w:color w:val="auto"/>
          <w:highlight w:val="none"/>
        </w:rPr>
        <w:tab/>
      </w:r>
      <w:r>
        <w:rPr>
          <w:rFonts w:ascii="宋体" w:hAnsi="宋体"/>
          <w:color w:val="auto"/>
          <w:highlight w:val="none"/>
        </w:rPr>
        <w:fldChar w:fldCharType="begin"/>
      </w:r>
      <w:r>
        <w:rPr>
          <w:rFonts w:ascii="宋体" w:hAnsi="宋体"/>
          <w:color w:val="auto"/>
          <w:highlight w:val="none"/>
        </w:rPr>
        <w:instrText xml:space="preserve"> PAGEREF _Toc21787686 \h </w:instrText>
      </w:r>
      <w:r>
        <w:rPr>
          <w:rFonts w:ascii="宋体" w:hAnsi="宋体"/>
          <w:color w:val="auto"/>
          <w:highlight w:val="none"/>
        </w:rPr>
        <w:fldChar w:fldCharType="separate"/>
      </w:r>
      <w:r>
        <w:rPr>
          <w:rFonts w:ascii="宋体" w:hAnsi="宋体"/>
          <w:color w:val="auto"/>
          <w:highlight w:val="none"/>
        </w:rPr>
        <w:t>34</w:t>
      </w:r>
      <w:r>
        <w:rPr>
          <w:rFonts w:ascii="宋体" w:hAnsi="宋体"/>
          <w:color w:val="auto"/>
          <w:highlight w:val="none"/>
        </w:rPr>
        <w:fldChar w:fldCharType="end"/>
      </w:r>
      <w:r>
        <w:rPr>
          <w:rFonts w:ascii="宋体" w:hAnsi="宋体"/>
          <w:color w:val="auto"/>
          <w:highlight w:val="none"/>
        </w:rPr>
        <w:fldChar w:fldCharType="end"/>
      </w:r>
    </w:p>
    <w:p>
      <w:pPr>
        <w:pStyle w:val="28"/>
        <w:tabs>
          <w:tab w:val="right" w:leader="dot" w:pos="8296"/>
        </w:tabs>
        <w:rPr>
          <w:rFonts w:ascii="宋体" w:hAnsi="宋体"/>
          <w:color w:val="auto"/>
          <w:kern w:val="2"/>
          <w:sz w:val="21"/>
          <w:highlight w:val="none"/>
        </w:rPr>
      </w:pPr>
      <w:r>
        <w:rPr>
          <w:color w:val="auto"/>
          <w:highlight w:val="none"/>
        </w:rPr>
        <w:fldChar w:fldCharType="begin"/>
      </w:r>
      <w:r>
        <w:rPr>
          <w:color w:val="auto"/>
          <w:highlight w:val="none"/>
        </w:rPr>
        <w:instrText xml:space="preserve"> HYPERLINK \l "_Toc21787745" </w:instrText>
      </w:r>
      <w:r>
        <w:rPr>
          <w:color w:val="auto"/>
          <w:highlight w:val="none"/>
        </w:rPr>
        <w:fldChar w:fldCharType="separate"/>
      </w:r>
      <w:r>
        <w:rPr>
          <w:rStyle w:val="50"/>
          <w:rFonts w:hint="eastAsia" w:ascii="宋体" w:hAnsi="宋体" w:eastAsia="宋体"/>
          <w:color w:val="auto"/>
          <w:highlight w:val="none"/>
        </w:rPr>
        <w:t>第四章合同条款</w:t>
      </w:r>
      <w:r>
        <w:rPr>
          <w:rFonts w:ascii="宋体" w:hAnsi="宋体"/>
          <w:color w:val="auto"/>
          <w:highlight w:val="none"/>
        </w:rPr>
        <w:tab/>
      </w:r>
      <w:r>
        <w:rPr>
          <w:rFonts w:ascii="宋体" w:hAnsi="宋体"/>
          <w:color w:val="auto"/>
          <w:highlight w:val="none"/>
        </w:rPr>
        <w:fldChar w:fldCharType="begin"/>
      </w:r>
      <w:r>
        <w:rPr>
          <w:rFonts w:ascii="宋体" w:hAnsi="宋体"/>
          <w:color w:val="auto"/>
          <w:highlight w:val="none"/>
        </w:rPr>
        <w:instrText xml:space="preserve"> PAGEREF _Toc21787745 \h </w:instrText>
      </w:r>
      <w:r>
        <w:rPr>
          <w:rFonts w:ascii="宋体" w:hAnsi="宋体"/>
          <w:color w:val="auto"/>
          <w:highlight w:val="none"/>
        </w:rPr>
        <w:fldChar w:fldCharType="separate"/>
      </w:r>
      <w:r>
        <w:rPr>
          <w:rFonts w:ascii="宋体" w:hAnsi="宋体"/>
          <w:color w:val="auto"/>
          <w:highlight w:val="none"/>
        </w:rPr>
        <w:t>58</w:t>
      </w:r>
      <w:r>
        <w:rPr>
          <w:rFonts w:ascii="宋体" w:hAnsi="宋体"/>
          <w:color w:val="auto"/>
          <w:highlight w:val="none"/>
        </w:rPr>
        <w:fldChar w:fldCharType="end"/>
      </w:r>
      <w:r>
        <w:rPr>
          <w:rFonts w:ascii="宋体" w:hAnsi="宋体"/>
          <w:color w:val="auto"/>
          <w:highlight w:val="none"/>
        </w:rPr>
        <w:fldChar w:fldCharType="end"/>
      </w:r>
    </w:p>
    <w:p>
      <w:pPr>
        <w:pStyle w:val="28"/>
        <w:tabs>
          <w:tab w:val="right" w:leader="dot" w:pos="8296"/>
        </w:tabs>
        <w:rPr>
          <w:rFonts w:ascii="宋体" w:hAnsi="宋体"/>
          <w:color w:val="auto"/>
          <w:kern w:val="2"/>
          <w:sz w:val="21"/>
          <w:highlight w:val="none"/>
        </w:rPr>
      </w:pPr>
      <w:r>
        <w:rPr>
          <w:color w:val="auto"/>
          <w:highlight w:val="none"/>
        </w:rPr>
        <w:fldChar w:fldCharType="begin"/>
      </w:r>
      <w:r>
        <w:rPr>
          <w:color w:val="auto"/>
          <w:highlight w:val="none"/>
        </w:rPr>
        <w:instrText xml:space="preserve"> HYPERLINK \l "_Toc21787751" </w:instrText>
      </w:r>
      <w:r>
        <w:rPr>
          <w:color w:val="auto"/>
          <w:highlight w:val="none"/>
        </w:rPr>
        <w:fldChar w:fldCharType="separate"/>
      </w:r>
      <w:r>
        <w:rPr>
          <w:rStyle w:val="50"/>
          <w:rFonts w:hint="eastAsia" w:ascii="宋体" w:hAnsi="宋体" w:eastAsia="宋体"/>
          <w:color w:val="auto"/>
          <w:highlight w:val="none"/>
        </w:rPr>
        <w:t>第五章工程量清单（综合单价承包）</w:t>
      </w:r>
      <w:r>
        <w:rPr>
          <w:rFonts w:ascii="宋体" w:hAnsi="宋体"/>
          <w:color w:val="auto"/>
          <w:highlight w:val="none"/>
        </w:rPr>
        <w:tab/>
      </w:r>
      <w:r>
        <w:rPr>
          <w:rFonts w:ascii="宋体" w:hAnsi="宋体"/>
          <w:color w:val="auto"/>
          <w:highlight w:val="none"/>
        </w:rPr>
        <w:fldChar w:fldCharType="begin"/>
      </w:r>
      <w:r>
        <w:rPr>
          <w:rFonts w:ascii="宋体" w:hAnsi="宋体"/>
          <w:color w:val="auto"/>
          <w:highlight w:val="none"/>
        </w:rPr>
        <w:instrText xml:space="preserve"> PAGEREF _Toc21787751 \h </w:instrText>
      </w:r>
      <w:r>
        <w:rPr>
          <w:rFonts w:ascii="宋体" w:hAnsi="宋体"/>
          <w:color w:val="auto"/>
          <w:highlight w:val="none"/>
        </w:rPr>
        <w:fldChar w:fldCharType="separate"/>
      </w:r>
      <w:r>
        <w:rPr>
          <w:rFonts w:ascii="宋体" w:hAnsi="宋体"/>
          <w:color w:val="auto"/>
          <w:highlight w:val="none"/>
        </w:rPr>
        <w:t>120</w:t>
      </w:r>
      <w:r>
        <w:rPr>
          <w:rFonts w:ascii="宋体" w:hAnsi="宋体"/>
          <w:color w:val="auto"/>
          <w:highlight w:val="none"/>
        </w:rPr>
        <w:fldChar w:fldCharType="end"/>
      </w:r>
      <w:r>
        <w:rPr>
          <w:rFonts w:ascii="宋体" w:hAnsi="宋体"/>
          <w:color w:val="auto"/>
          <w:highlight w:val="none"/>
        </w:rPr>
        <w:fldChar w:fldCharType="end"/>
      </w:r>
    </w:p>
    <w:p>
      <w:pPr>
        <w:pStyle w:val="28"/>
        <w:tabs>
          <w:tab w:val="right" w:leader="dot" w:pos="8296"/>
        </w:tabs>
        <w:rPr>
          <w:rFonts w:ascii="宋体" w:hAnsi="宋体"/>
          <w:color w:val="auto"/>
          <w:kern w:val="2"/>
          <w:sz w:val="21"/>
          <w:highlight w:val="none"/>
        </w:rPr>
      </w:pPr>
      <w:r>
        <w:rPr>
          <w:color w:val="auto"/>
          <w:highlight w:val="none"/>
        </w:rPr>
        <w:fldChar w:fldCharType="begin"/>
      </w:r>
      <w:r>
        <w:rPr>
          <w:color w:val="auto"/>
          <w:highlight w:val="none"/>
        </w:rPr>
        <w:instrText xml:space="preserve"> HYPERLINK \l "_Toc21787756" </w:instrText>
      </w:r>
      <w:r>
        <w:rPr>
          <w:color w:val="auto"/>
          <w:highlight w:val="none"/>
        </w:rPr>
        <w:fldChar w:fldCharType="separate"/>
      </w:r>
      <w:r>
        <w:rPr>
          <w:rStyle w:val="50"/>
          <w:rFonts w:hint="eastAsia" w:ascii="宋体" w:hAnsi="宋体" w:eastAsia="宋体"/>
          <w:color w:val="auto"/>
          <w:highlight w:val="none"/>
        </w:rPr>
        <w:t>第六章图纸及勘察资料</w:t>
      </w:r>
      <w:r>
        <w:rPr>
          <w:rFonts w:ascii="宋体" w:hAnsi="宋体"/>
          <w:color w:val="auto"/>
          <w:highlight w:val="none"/>
        </w:rPr>
        <w:tab/>
      </w:r>
      <w:r>
        <w:rPr>
          <w:rFonts w:ascii="宋体" w:hAnsi="宋体"/>
          <w:color w:val="auto"/>
          <w:highlight w:val="none"/>
        </w:rPr>
        <w:fldChar w:fldCharType="begin"/>
      </w:r>
      <w:r>
        <w:rPr>
          <w:rFonts w:ascii="宋体" w:hAnsi="宋体"/>
          <w:color w:val="auto"/>
          <w:highlight w:val="none"/>
        </w:rPr>
        <w:instrText xml:space="preserve"> PAGEREF _Toc21787756 \h </w:instrText>
      </w:r>
      <w:r>
        <w:rPr>
          <w:rFonts w:ascii="宋体" w:hAnsi="宋体"/>
          <w:color w:val="auto"/>
          <w:highlight w:val="none"/>
        </w:rPr>
        <w:fldChar w:fldCharType="separate"/>
      </w:r>
      <w:r>
        <w:rPr>
          <w:rFonts w:ascii="宋体" w:hAnsi="宋体"/>
          <w:color w:val="auto"/>
          <w:highlight w:val="none"/>
        </w:rPr>
        <w:t>121</w:t>
      </w:r>
      <w:r>
        <w:rPr>
          <w:rFonts w:ascii="宋体" w:hAnsi="宋体"/>
          <w:color w:val="auto"/>
          <w:highlight w:val="none"/>
        </w:rPr>
        <w:fldChar w:fldCharType="end"/>
      </w:r>
      <w:r>
        <w:rPr>
          <w:rFonts w:ascii="宋体" w:hAnsi="宋体"/>
          <w:color w:val="auto"/>
          <w:highlight w:val="none"/>
        </w:rPr>
        <w:fldChar w:fldCharType="end"/>
      </w:r>
    </w:p>
    <w:p>
      <w:pPr>
        <w:pStyle w:val="28"/>
        <w:tabs>
          <w:tab w:val="right" w:leader="dot" w:pos="8296"/>
        </w:tabs>
        <w:rPr>
          <w:rFonts w:ascii="宋体" w:hAnsi="宋体"/>
          <w:color w:val="auto"/>
          <w:kern w:val="2"/>
          <w:sz w:val="21"/>
          <w:highlight w:val="none"/>
        </w:rPr>
      </w:pPr>
      <w:r>
        <w:rPr>
          <w:color w:val="auto"/>
          <w:highlight w:val="none"/>
        </w:rPr>
        <w:fldChar w:fldCharType="begin"/>
      </w:r>
      <w:r>
        <w:rPr>
          <w:color w:val="auto"/>
          <w:highlight w:val="none"/>
        </w:rPr>
        <w:instrText xml:space="preserve"> HYPERLINK \l "_Toc21787757" </w:instrText>
      </w:r>
      <w:r>
        <w:rPr>
          <w:color w:val="auto"/>
          <w:highlight w:val="none"/>
        </w:rPr>
        <w:fldChar w:fldCharType="separate"/>
      </w:r>
      <w:r>
        <w:rPr>
          <w:rStyle w:val="50"/>
          <w:rFonts w:hint="eastAsia" w:ascii="宋体" w:hAnsi="宋体" w:eastAsia="宋体"/>
          <w:color w:val="auto"/>
          <w:highlight w:val="none"/>
        </w:rPr>
        <w:t>第七章技术标准和要求</w:t>
      </w:r>
      <w:r>
        <w:rPr>
          <w:rFonts w:ascii="宋体" w:hAnsi="宋体"/>
          <w:color w:val="auto"/>
          <w:highlight w:val="none"/>
        </w:rPr>
        <w:tab/>
      </w:r>
      <w:r>
        <w:rPr>
          <w:rFonts w:ascii="宋体" w:hAnsi="宋体"/>
          <w:color w:val="auto"/>
          <w:highlight w:val="none"/>
        </w:rPr>
        <w:fldChar w:fldCharType="begin"/>
      </w:r>
      <w:r>
        <w:rPr>
          <w:rFonts w:ascii="宋体" w:hAnsi="宋体"/>
          <w:color w:val="auto"/>
          <w:highlight w:val="none"/>
        </w:rPr>
        <w:instrText xml:space="preserve"> PAGEREF _Toc21787757 \h </w:instrText>
      </w:r>
      <w:r>
        <w:rPr>
          <w:rFonts w:ascii="宋体" w:hAnsi="宋体"/>
          <w:color w:val="auto"/>
          <w:highlight w:val="none"/>
        </w:rPr>
        <w:fldChar w:fldCharType="separate"/>
      </w:r>
      <w:r>
        <w:rPr>
          <w:rFonts w:ascii="宋体" w:hAnsi="宋体"/>
          <w:color w:val="auto"/>
          <w:highlight w:val="none"/>
        </w:rPr>
        <w:t>122</w:t>
      </w:r>
      <w:r>
        <w:rPr>
          <w:rFonts w:ascii="宋体" w:hAnsi="宋体"/>
          <w:color w:val="auto"/>
          <w:highlight w:val="none"/>
        </w:rPr>
        <w:fldChar w:fldCharType="end"/>
      </w:r>
      <w:r>
        <w:rPr>
          <w:rFonts w:ascii="宋体" w:hAnsi="宋体"/>
          <w:color w:val="auto"/>
          <w:highlight w:val="none"/>
        </w:rPr>
        <w:fldChar w:fldCharType="end"/>
      </w:r>
    </w:p>
    <w:p>
      <w:pPr>
        <w:pStyle w:val="28"/>
        <w:tabs>
          <w:tab w:val="right" w:leader="dot" w:pos="8296"/>
        </w:tabs>
        <w:rPr>
          <w:rFonts w:ascii="宋体" w:hAnsi="宋体"/>
          <w:color w:val="auto"/>
          <w:kern w:val="2"/>
          <w:sz w:val="21"/>
          <w:highlight w:val="none"/>
        </w:rPr>
      </w:pPr>
      <w:r>
        <w:rPr>
          <w:color w:val="auto"/>
          <w:highlight w:val="none"/>
        </w:rPr>
        <w:fldChar w:fldCharType="begin"/>
      </w:r>
      <w:r>
        <w:rPr>
          <w:color w:val="auto"/>
          <w:highlight w:val="none"/>
        </w:rPr>
        <w:instrText xml:space="preserve"> HYPERLINK \l "_Toc21787758" </w:instrText>
      </w:r>
      <w:r>
        <w:rPr>
          <w:color w:val="auto"/>
          <w:highlight w:val="none"/>
        </w:rPr>
        <w:fldChar w:fldCharType="separate"/>
      </w:r>
      <w:r>
        <w:rPr>
          <w:rStyle w:val="50"/>
          <w:rFonts w:hint="eastAsia" w:ascii="宋体" w:hAnsi="宋体" w:eastAsia="宋体"/>
          <w:color w:val="auto"/>
          <w:highlight w:val="none"/>
        </w:rPr>
        <w:t>第八章投标文件格式</w:t>
      </w:r>
      <w:r>
        <w:rPr>
          <w:rFonts w:ascii="宋体" w:hAnsi="宋体"/>
          <w:color w:val="auto"/>
          <w:highlight w:val="none"/>
        </w:rPr>
        <w:tab/>
      </w:r>
      <w:r>
        <w:rPr>
          <w:rFonts w:ascii="宋体" w:hAnsi="宋体"/>
          <w:color w:val="auto"/>
          <w:highlight w:val="none"/>
        </w:rPr>
        <w:fldChar w:fldCharType="begin"/>
      </w:r>
      <w:r>
        <w:rPr>
          <w:rFonts w:ascii="宋体" w:hAnsi="宋体"/>
          <w:color w:val="auto"/>
          <w:highlight w:val="none"/>
        </w:rPr>
        <w:instrText xml:space="preserve"> PAGEREF _Toc21787758 \h </w:instrText>
      </w:r>
      <w:r>
        <w:rPr>
          <w:rFonts w:ascii="宋体" w:hAnsi="宋体"/>
          <w:color w:val="auto"/>
          <w:highlight w:val="none"/>
        </w:rPr>
        <w:fldChar w:fldCharType="separate"/>
      </w:r>
      <w:r>
        <w:rPr>
          <w:rFonts w:ascii="宋体" w:hAnsi="宋体"/>
          <w:color w:val="auto"/>
          <w:highlight w:val="none"/>
        </w:rPr>
        <w:t>125</w:t>
      </w:r>
      <w:r>
        <w:rPr>
          <w:rFonts w:ascii="宋体" w:hAnsi="宋体"/>
          <w:color w:val="auto"/>
          <w:highlight w:val="none"/>
        </w:rPr>
        <w:fldChar w:fldCharType="end"/>
      </w:r>
      <w:r>
        <w:rPr>
          <w:rFonts w:ascii="宋体" w:hAnsi="宋体"/>
          <w:color w:val="auto"/>
          <w:highlight w:val="none"/>
        </w:rPr>
        <w:fldChar w:fldCharType="end"/>
      </w:r>
    </w:p>
    <w:p>
      <w:pPr>
        <w:pStyle w:val="28"/>
        <w:tabs>
          <w:tab w:val="right" w:leader="dot" w:pos="8296"/>
        </w:tabs>
        <w:rPr>
          <w:rFonts w:ascii="宋体" w:hAnsi="宋体"/>
          <w:color w:val="auto"/>
          <w:kern w:val="2"/>
          <w:sz w:val="21"/>
          <w:highlight w:val="none"/>
        </w:rPr>
      </w:pPr>
      <w:r>
        <w:rPr>
          <w:color w:val="auto"/>
          <w:highlight w:val="none"/>
        </w:rPr>
        <w:fldChar w:fldCharType="begin"/>
      </w:r>
      <w:r>
        <w:rPr>
          <w:color w:val="auto"/>
          <w:highlight w:val="none"/>
        </w:rPr>
        <w:instrText xml:space="preserve"> HYPERLINK \l "_Toc21787770" </w:instrText>
      </w:r>
      <w:r>
        <w:rPr>
          <w:color w:val="auto"/>
          <w:highlight w:val="none"/>
        </w:rPr>
        <w:fldChar w:fldCharType="separate"/>
      </w:r>
      <w:r>
        <w:rPr>
          <w:rStyle w:val="50"/>
          <w:rFonts w:hint="eastAsia" w:ascii="宋体" w:hAnsi="宋体" w:eastAsia="宋体"/>
          <w:color w:val="auto"/>
          <w:highlight w:val="none"/>
        </w:rPr>
        <w:t>第九章否决性条款汇总</w:t>
      </w:r>
      <w:r>
        <w:rPr>
          <w:rFonts w:ascii="宋体" w:hAnsi="宋体"/>
          <w:color w:val="auto"/>
          <w:highlight w:val="none"/>
        </w:rPr>
        <w:tab/>
      </w:r>
      <w:r>
        <w:rPr>
          <w:rFonts w:ascii="宋体" w:hAnsi="宋体"/>
          <w:color w:val="auto"/>
          <w:highlight w:val="none"/>
        </w:rPr>
        <w:fldChar w:fldCharType="begin"/>
      </w:r>
      <w:r>
        <w:rPr>
          <w:rFonts w:ascii="宋体" w:hAnsi="宋体"/>
          <w:color w:val="auto"/>
          <w:highlight w:val="none"/>
        </w:rPr>
        <w:instrText xml:space="preserve"> PAGEREF _Toc21787770 \h </w:instrText>
      </w:r>
      <w:r>
        <w:rPr>
          <w:rFonts w:ascii="宋体" w:hAnsi="宋体"/>
          <w:color w:val="auto"/>
          <w:highlight w:val="none"/>
        </w:rPr>
        <w:fldChar w:fldCharType="separate"/>
      </w:r>
      <w:r>
        <w:rPr>
          <w:rFonts w:ascii="宋体" w:hAnsi="宋体"/>
          <w:color w:val="auto"/>
          <w:highlight w:val="none"/>
        </w:rPr>
        <w:t>149</w:t>
      </w:r>
      <w:r>
        <w:rPr>
          <w:rFonts w:ascii="宋体" w:hAnsi="宋体"/>
          <w:color w:val="auto"/>
          <w:highlight w:val="none"/>
        </w:rPr>
        <w:fldChar w:fldCharType="end"/>
      </w:r>
      <w:r>
        <w:rPr>
          <w:rFonts w:ascii="宋体" w:hAnsi="宋体"/>
          <w:color w:val="auto"/>
          <w:highlight w:val="none"/>
        </w:rPr>
        <w:fldChar w:fldCharType="end"/>
      </w:r>
    </w:p>
    <w:p>
      <w:pPr>
        <w:pStyle w:val="28"/>
        <w:tabs>
          <w:tab w:val="right" w:leader="dot" w:pos="8296"/>
        </w:tabs>
        <w:rPr>
          <w:rFonts w:ascii="宋体" w:hAnsi="宋体"/>
          <w:color w:val="auto"/>
          <w:kern w:val="2"/>
          <w:sz w:val="21"/>
          <w:highlight w:val="none"/>
        </w:rPr>
      </w:pPr>
      <w:r>
        <w:rPr>
          <w:color w:val="auto"/>
          <w:highlight w:val="none"/>
        </w:rPr>
        <w:fldChar w:fldCharType="begin"/>
      </w:r>
      <w:r>
        <w:rPr>
          <w:color w:val="auto"/>
          <w:highlight w:val="none"/>
        </w:rPr>
        <w:instrText xml:space="preserve"> HYPERLINK \l "_Toc21787771" </w:instrText>
      </w:r>
      <w:r>
        <w:rPr>
          <w:color w:val="auto"/>
          <w:highlight w:val="none"/>
        </w:rPr>
        <w:fldChar w:fldCharType="separate"/>
      </w:r>
      <w:r>
        <w:rPr>
          <w:rStyle w:val="50"/>
          <w:rFonts w:hint="eastAsia" w:ascii="宋体" w:hAnsi="宋体" w:eastAsia="宋体"/>
          <w:color w:val="auto"/>
          <w:highlight w:val="none"/>
        </w:rPr>
        <w:t>第十章最高投标限价（招标控制价）</w:t>
      </w:r>
      <w:r>
        <w:rPr>
          <w:rFonts w:ascii="宋体" w:hAnsi="宋体"/>
          <w:color w:val="auto"/>
          <w:highlight w:val="none"/>
        </w:rPr>
        <w:tab/>
      </w:r>
      <w:r>
        <w:rPr>
          <w:rFonts w:ascii="宋体" w:hAnsi="宋体"/>
          <w:color w:val="auto"/>
          <w:highlight w:val="none"/>
        </w:rPr>
        <w:fldChar w:fldCharType="begin"/>
      </w:r>
      <w:r>
        <w:rPr>
          <w:rFonts w:ascii="宋体" w:hAnsi="宋体"/>
          <w:color w:val="auto"/>
          <w:highlight w:val="none"/>
        </w:rPr>
        <w:instrText xml:space="preserve"> PAGEREF _Toc21787771 \h </w:instrText>
      </w:r>
      <w:r>
        <w:rPr>
          <w:rFonts w:ascii="宋体" w:hAnsi="宋体"/>
          <w:color w:val="auto"/>
          <w:highlight w:val="none"/>
        </w:rPr>
        <w:fldChar w:fldCharType="separate"/>
      </w:r>
      <w:r>
        <w:rPr>
          <w:rFonts w:ascii="宋体" w:hAnsi="宋体"/>
          <w:color w:val="auto"/>
          <w:highlight w:val="none"/>
        </w:rPr>
        <w:t>157</w:t>
      </w:r>
      <w:r>
        <w:rPr>
          <w:rFonts w:ascii="宋体" w:hAnsi="宋体"/>
          <w:color w:val="auto"/>
          <w:highlight w:val="none"/>
        </w:rPr>
        <w:fldChar w:fldCharType="end"/>
      </w:r>
      <w:r>
        <w:rPr>
          <w:rFonts w:ascii="宋体" w:hAnsi="宋体"/>
          <w:color w:val="auto"/>
          <w:highlight w:val="none"/>
        </w:rPr>
        <w:fldChar w:fldCharType="end"/>
      </w:r>
    </w:p>
    <w:p>
      <w:pPr>
        <w:rPr>
          <w:rFonts w:ascii="宋体" w:hAnsi="宋体"/>
          <w:color w:val="auto"/>
          <w:highlight w:val="none"/>
        </w:rPr>
      </w:pPr>
      <w:r>
        <w:rPr>
          <w:rFonts w:ascii="宋体" w:hAnsi="宋体"/>
          <w:b/>
          <w:bCs/>
          <w:color w:val="auto"/>
          <w:highlight w:val="none"/>
          <w:lang w:val="zh-CN"/>
        </w:rPr>
        <w:fldChar w:fldCharType="end"/>
      </w:r>
    </w:p>
    <w:p>
      <w:pPr>
        <w:rPr>
          <w:rFonts w:ascii="宋体" w:hAnsi="宋体"/>
          <w:color w:val="auto"/>
          <w:highlight w:val="none"/>
        </w:rPr>
      </w:pPr>
    </w:p>
    <w:p>
      <w:pPr>
        <w:pStyle w:val="2"/>
        <w:jc w:val="center"/>
        <w:rPr>
          <w:rFonts w:ascii="宋体" w:hAnsi="宋体"/>
          <w:color w:val="auto"/>
          <w:highlight w:val="none"/>
        </w:rPr>
      </w:pPr>
      <w:r>
        <w:rPr>
          <w:rFonts w:ascii="宋体" w:hAnsi="宋体"/>
          <w:color w:val="auto"/>
          <w:highlight w:val="none"/>
        </w:rPr>
        <w:br w:type="page"/>
      </w:r>
      <w:bookmarkStart w:id="0" w:name="_Toc21787625"/>
      <w:r>
        <w:rPr>
          <w:rFonts w:hint="eastAsia" w:ascii="宋体" w:hAnsi="宋体"/>
          <w:color w:val="auto"/>
          <w:highlight w:val="none"/>
        </w:rPr>
        <w:t>第一章招标公告</w:t>
      </w:r>
      <w:bookmarkEnd w:id="0"/>
    </w:p>
    <w:p>
      <w:pPr>
        <w:rPr>
          <w:rFonts w:ascii="宋体" w:hAnsi="宋体"/>
          <w:color w:val="auto"/>
          <w:highlight w:val="none"/>
        </w:rPr>
      </w:pPr>
    </w:p>
    <w:p>
      <w:pPr>
        <w:jc w:val="center"/>
        <w:rPr>
          <w:rFonts w:ascii="宋体" w:hAnsi="宋体"/>
          <w:b/>
          <w:bCs/>
          <w:color w:val="auto"/>
          <w:sz w:val="32"/>
          <w:szCs w:val="36"/>
          <w:highlight w:val="none"/>
        </w:rPr>
      </w:pPr>
      <w:r>
        <w:rPr>
          <w:rFonts w:hint="eastAsia" w:ascii="宋体" w:hAnsi="宋体"/>
          <w:b/>
          <w:bCs/>
          <w:color w:val="auto"/>
          <w:sz w:val="32"/>
          <w:szCs w:val="36"/>
          <w:highlight w:val="none"/>
        </w:rPr>
        <w:t>（另册）</w:t>
      </w:r>
    </w:p>
    <w:p>
      <w:pPr>
        <w:jc w:val="right"/>
        <w:rPr>
          <w:rFonts w:ascii="宋体" w:hAnsi="宋体"/>
          <w:color w:val="auto"/>
          <w:sz w:val="24"/>
          <w:highlight w:val="none"/>
        </w:rPr>
      </w:pPr>
      <w:r>
        <w:rPr>
          <w:rFonts w:ascii="宋体" w:hAnsi="宋体"/>
          <w:color w:val="auto"/>
          <w:sz w:val="24"/>
          <w:highlight w:val="none"/>
        </w:rPr>
        <w:br w:type="page"/>
      </w:r>
    </w:p>
    <w:p>
      <w:pPr>
        <w:pStyle w:val="2"/>
        <w:jc w:val="center"/>
        <w:rPr>
          <w:rFonts w:ascii="宋体" w:hAnsi="宋体"/>
          <w:color w:val="auto"/>
          <w:sz w:val="24"/>
          <w:highlight w:val="none"/>
        </w:rPr>
      </w:pPr>
      <w:bookmarkStart w:id="1" w:name="_Toc21787637"/>
      <w:r>
        <w:rPr>
          <w:rFonts w:hint="eastAsia" w:ascii="宋体" w:hAnsi="宋体"/>
          <w:color w:val="auto"/>
          <w:highlight w:val="none"/>
        </w:rPr>
        <w:t>第二章投标人须知</w:t>
      </w:r>
      <w:bookmarkEnd w:id="1"/>
    </w:p>
    <w:p>
      <w:pPr>
        <w:spacing w:line="360" w:lineRule="auto"/>
        <w:jc w:val="center"/>
        <w:outlineLvl w:val="2"/>
        <w:rPr>
          <w:rFonts w:ascii="宋体" w:hAnsi="宋体"/>
          <w:color w:val="auto"/>
          <w:sz w:val="28"/>
          <w:szCs w:val="27"/>
          <w:highlight w:val="none"/>
        </w:rPr>
      </w:pPr>
      <w:bookmarkStart w:id="2" w:name="_Toc21787638"/>
      <w:r>
        <w:rPr>
          <w:rFonts w:hint="eastAsia" w:ascii="宋体" w:hAnsi="宋体"/>
          <w:color w:val="auto"/>
          <w:sz w:val="28"/>
          <w:szCs w:val="27"/>
          <w:highlight w:val="none"/>
        </w:rPr>
        <w:t>投标须知修改表</w:t>
      </w:r>
      <w:bookmarkEnd w:id="2"/>
    </w:p>
    <w:p>
      <w:pPr>
        <w:pStyle w:val="39"/>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本投标须知使用SWZB2019-0</w:t>
      </w:r>
      <w:r>
        <w:rPr>
          <w:rFonts w:ascii="宋体" w:hAnsi="宋体" w:eastAsia="宋体"/>
          <w:color w:val="auto"/>
          <w:sz w:val="24"/>
          <w:szCs w:val="24"/>
          <w:highlight w:val="none"/>
        </w:rPr>
        <w:t>2</w:t>
      </w:r>
      <w:r>
        <w:rPr>
          <w:rFonts w:hint="eastAsia" w:ascii="宋体" w:hAnsi="宋体" w:eastAsia="宋体"/>
          <w:color w:val="auto"/>
          <w:sz w:val="24"/>
          <w:szCs w:val="24"/>
          <w:highlight w:val="none"/>
        </w:rPr>
        <w:t>试行版招标文件范本的投标须知通用条款，与该通用条款不同之处，均在本表中列明，并以现文为准，原文不再有效。本招标文件范本请投标人自行到广州市水务局网站（网址：</w:t>
      </w:r>
      <w:r>
        <w:rPr>
          <w:rFonts w:ascii="宋体" w:hAnsi="宋体" w:eastAsia="宋体"/>
          <w:color w:val="auto"/>
          <w:sz w:val="24"/>
          <w:szCs w:val="24"/>
          <w:highlight w:val="none"/>
        </w:rPr>
        <w:t>http://www.gzwater.gov.cn</w:t>
      </w:r>
      <w:r>
        <w:rPr>
          <w:rFonts w:hint="eastAsia" w:ascii="宋体" w:hAnsi="宋体" w:eastAsia="宋体"/>
          <w:color w:val="auto"/>
          <w:sz w:val="24"/>
          <w:szCs w:val="24"/>
          <w:highlight w:val="none"/>
        </w:rPr>
        <w:t>）下载查阅。</w:t>
      </w:r>
    </w:p>
    <w:p>
      <w:pPr>
        <w:spacing w:line="276" w:lineRule="auto"/>
        <w:ind w:firstLine="480" w:firstLineChars="200"/>
        <w:rPr>
          <w:rFonts w:ascii="宋体" w:hAnsi="宋体"/>
          <w:bCs/>
          <w:color w:val="auto"/>
          <w:sz w:val="24"/>
          <w:highlight w:val="none"/>
        </w:rPr>
      </w:pPr>
    </w:p>
    <w:p>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条款号：2</w:t>
      </w:r>
      <w:r>
        <w:rPr>
          <w:rFonts w:ascii="宋体" w:hAnsi="宋体"/>
          <w:b/>
          <w:bCs/>
          <w:color w:val="auto"/>
          <w:sz w:val="24"/>
          <w:szCs w:val="24"/>
          <w:highlight w:val="none"/>
        </w:rPr>
        <w:t>.1.1</w:t>
      </w:r>
      <w:r>
        <w:rPr>
          <w:rFonts w:hint="eastAsia" w:ascii="宋体" w:hAnsi="宋体"/>
          <w:b/>
          <w:bCs/>
          <w:color w:val="auto"/>
          <w:sz w:val="24"/>
          <w:szCs w:val="24"/>
          <w:highlight w:val="none"/>
        </w:rPr>
        <w:t xml:space="preserve">             修改类型：修改</w:t>
      </w:r>
    </w:p>
    <w:p>
      <w:pPr>
        <w:spacing w:line="360" w:lineRule="auto"/>
        <w:ind w:firstLine="482" w:firstLineChars="200"/>
        <w:rPr>
          <w:rFonts w:ascii="宋体" w:hAnsi="宋体"/>
          <w:bCs/>
          <w:color w:val="auto"/>
          <w:sz w:val="24"/>
          <w:szCs w:val="24"/>
          <w:highlight w:val="none"/>
        </w:rPr>
      </w:pPr>
      <w:r>
        <w:rPr>
          <w:rFonts w:hint="eastAsia" w:ascii="宋体" w:hAnsi="宋体"/>
          <w:b/>
          <w:bCs/>
          <w:color w:val="auto"/>
          <w:sz w:val="24"/>
          <w:szCs w:val="24"/>
          <w:highlight w:val="none"/>
        </w:rPr>
        <w:t>原文：</w:t>
      </w:r>
      <w:r>
        <w:rPr>
          <w:rFonts w:hint="eastAsia" w:ascii="宋体" w:hAnsi="宋体"/>
          <w:bCs/>
          <w:color w:val="auto"/>
          <w:sz w:val="24"/>
          <w:szCs w:val="24"/>
          <w:highlight w:val="none"/>
        </w:rPr>
        <w:t>2.1.1</w:t>
      </w:r>
      <w:r>
        <w:rPr>
          <w:rFonts w:hint="eastAsia" w:ascii="宋体" w:hAnsi="宋体"/>
          <w:color w:val="auto"/>
          <w:sz w:val="24"/>
          <w:szCs w:val="24"/>
          <w:highlight w:val="none"/>
        </w:rPr>
        <w:t>本招标文件包括：</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（1）招标公告（或投标邀请书）；</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（2）投标人须知；</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（3）评标办法；</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（4）合同条款；</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 xml:space="preserve">（5）工程量清单； </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 xml:space="preserve">（6）图纸及勘察资料； </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 xml:space="preserve">（7）技术标准和要求； </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（8）投标文件格式；</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（9）否决性条款汇总；</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（10）最高投标限价（招标控制价）</w:t>
      </w:r>
    </w:p>
    <w:p>
      <w:pPr>
        <w:spacing w:line="360" w:lineRule="auto"/>
        <w:ind w:firstLine="482" w:firstLineChars="200"/>
        <w:rPr>
          <w:rFonts w:ascii="宋体" w:hAnsi="宋体"/>
          <w:bCs/>
          <w:color w:val="auto"/>
          <w:sz w:val="24"/>
          <w:szCs w:val="24"/>
          <w:highlight w:val="none"/>
        </w:rPr>
      </w:pPr>
      <w:r>
        <w:rPr>
          <w:rFonts w:hint="eastAsia" w:ascii="宋体" w:hAnsi="宋体"/>
          <w:b/>
          <w:color w:val="auto"/>
          <w:sz w:val="24"/>
          <w:szCs w:val="24"/>
          <w:highlight w:val="none"/>
        </w:rPr>
        <w:t>现文：</w:t>
      </w:r>
      <w:r>
        <w:rPr>
          <w:rFonts w:hint="eastAsia" w:ascii="宋体" w:hAnsi="宋体"/>
          <w:bCs/>
          <w:color w:val="auto"/>
          <w:sz w:val="24"/>
          <w:szCs w:val="24"/>
          <w:highlight w:val="none"/>
        </w:rPr>
        <w:t>2.1.1</w:t>
      </w:r>
      <w:r>
        <w:rPr>
          <w:rFonts w:hint="eastAsia" w:ascii="宋体" w:hAnsi="宋体"/>
          <w:color w:val="auto"/>
          <w:sz w:val="24"/>
          <w:szCs w:val="24"/>
          <w:highlight w:val="none"/>
        </w:rPr>
        <w:t>本招标文件包括：</w:t>
      </w:r>
    </w:p>
    <w:p>
      <w:pPr>
        <w:spacing w:line="360" w:lineRule="auto"/>
        <w:ind w:firstLine="480" w:firstLineChars="200"/>
        <w:rPr>
          <w:rFonts w:ascii="宋体" w:hAnsi="宋体"/>
          <w:bCs/>
          <w:color w:val="auto"/>
          <w:sz w:val="24"/>
          <w:szCs w:val="24"/>
          <w:highlight w:val="none"/>
          <w:u w:val="single"/>
        </w:rPr>
      </w:pPr>
      <w:r>
        <w:rPr>
          <w:rFonts w:hint="eastAsia" w:ascii="宋体" w:hAnsi="宋体"/>
          <w:bCs/>
          <w:color w:val="auto"/>
          <w:sz w:val="24"/>
          <w:szCs w:val="24"/>
          <w:highlight w:val="none"/>
          <w:u w:val="single"/>
        </w:rPr>
        <w:t>（1）招标公告；</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（2）投标人须知；</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（3）评标办法；</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（4）合同条款；</w:t>
      </w:r>
    </w:p>
    <w:p>
      <w:pPr>
        <w:spacing w:line="360" w:lineRule="auto"/>
        <w:ind w:firstLine="480" w:firstLineChars="200"/>
        <w:rPr>
          <w:rFonts w:ascii="宋体" w:hAnsi="宋体"/>
          <w:bCs/>
          <w:color w:val="auto"/>
          <w:sz w:val="24"/>
          <w:szCs w:val="24"/>
          <w:highlight w:val="none"/>
          <w:u w:val="single"/>
        </w:rPr>
      </w:pPr>
      <w:r>
        <w:rPr>
          <w:rFonts w:hint="eastAsia" w:ascii="宋体" w:hAnsi="宋体"/>
          <w:bCs/>
          <w:color w:val="auto"/>
          <w:sz w:val="24"/>
          <w:szCs w:val="24"/>
          <w:highlight w:val="none"/>
          <w:u w:val="single"/>
        </w:rPr>
        <w:t>（5）工程量清单（另册）；</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w:t>
      </w:r>
      <w:r>
        <w:rPr>
          <w:rFonts w:ascii="宋体" w:hAnsi="宋体"/>
          <w:bCs/>
          <w:color w:val="auto"/>
          <w:sz w:val="24"/>
          <w:szCs w:val="24"/>
          <w:highlight w:val="none"/>
        </w:rPr>
        <w:t>6</w:t>
      </w:r>
      <w:r>
        <w:rPr>
          <w:rFonts w:hint="eastAsia" w:ascii="宋体" w:hAnsi="宋体"/>
          <w:bCs/>
          <w:color w:val="auto"/>
          <w:sz w:val="24"/>
          <w:szCs w:val="24"/>
          <w:highlight w:val="none"/>
        </w:rPr>
        <w:t>）图纸及勘察资料</w:t>
      </w:r>
      <w:r>
        <w:rPr>
          <w:rFonts w:hint="eastAsia" w:ascii="宋体" w:hAnsi="宋体"/>
          <w:bCs/>
          <w:color w:val="auto"/>
          <w:sz w:val="24"/>
          <w:szCs w:val="24"/>
          <w:highlight w:val="none"/>
          <w:u w:val="single"/>
        </w:rPr>
        <w:t>（另册）</w:t>
      </w:r>
      <w:r>
        <w:rPr>
          <w:rFonts w:hint="eastAsia" w:ascii="宋体" w:hAnsi="宋体"/>
          <w:bCs/>
          <w:color w:val="auto"/>
          <w:sz w:val="24"/>
          <w:szCs w:val="24"/>
          <w:highlight w:val="none"/>
        </w:rPr>
        <w:t xml:space="preserve">； </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w:t>
      </w:r>
      <w:r>
        <w:rPr>
          <w:rFonts w:ascii="宋体" w:hAnsi="宋体"/>
          <w:bCs/>
          <w:color w:val="auto"/>
          <w:sz w:val="24"/>
          <w:szCs w:val="24"/>
          <w:highlight w:val="none"/>
        </w:rPr>
        <w:t>7</w:t>
      </w:r>
      <w:r>
        <w:rPr>
          <w:rFonts w:hint="eastAsia" w:ascii="宋体" w:hAnsi="宋体"/>
          <w:bCs/>
          <w:color w:val="auto"/>
          <w:sz w:val="24"/>
          <w:szCs w:val="24"/>
          <w:highlight w:val="none"/>
        </w:rPr>
        <w:t xml:space="preserve">）技术标准和要求； </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w:t>
      </w:r>
      <w:r>
        <w:rPr>
          <w:rFonts w:ascii="宋体" w:hAnsi="宋体"/>
          <w:bCs/>
          <w:color w:val="auto"/>
          <w:sz w:val="24"/>
          <w:szCs w:val="24"/>
          <w:highlight w:val="none"/>
        </w:rPr>
        <w:t>8</w:t>
      </w:r>
      <w:r>
        <w:rPr>
          <w:rFonts w:hint="eastAsia" w:ascii="宋体" w:hAnsi="宋体"/>
          <w:bCs/>
          <w:color w:val="auto"/>
          <w:sz w:val="24"/>
          <w:szCs w:val="24"/>
          <w:highlight w:val="none"/>
        </w:rPr>
        <w:t>）投标文件格式；</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w:t>
      </w:r>
      <w:r>
        <w:rPr>
          <w:rFonts w:ascii="宋体" w:hAnsi="宋体"/>
          <w:bCs/>
          <w:color w:val="auto"/>
          <w:sz w:val="24"/>
          <w:szCs w:val="24"/>
          <w:highlight w:val="none"/>
        </w:rPr>
        <w:t>9</w:t>
      </w:r>
      <w:r>
        <w:rPr>
          <w:rFonts w:hint="eastAsia" w:ascii="宋体" w:hAnsi="宋体"/>
          <w:bCs/>
          <w:color w:val="auto"/>
          <w:sz w:val="24"/>
          <w:szCs w:val="24"/>
          <w:highlight w:val="none"/>
        </w:rPr>
        <w:t>）否决性条款汇总；</w:t>
      </w:r>
    </w:p>
    <w:p>
      <w:pPr>
        <w:pBdr>
          <w:bottom w:val="single" w:color="auto" w:sz="6" w:space="1"/>
        </w:pBdr>
        <w:spacing w:line="360" w:lineRule="auto"/>
        <w:ind w:firstLine="480" w:firstLineChars="200"/>
        <w:rPr>
          <w:rFonts w:ascii="宋体" w:hAnsi="宋体"/>
          <w:color w:val="auto"/>
          <w:sz w:val="24"/>
          <w:szCs w:val="24"/>
          <w:highlight w:val="none"/>
        </w:rPr>
      </w:pPr>
      <w:r>
        <w:rPr>
          <w:rFonts w:hint="eastAsia" w:ascii="宋体" w:hAnsi="宋体"/>
          <w:bCs/>
          <w:color w:val="auto"/>
          <w:sz w:val="24"/>
          <w:szCs w:val="24"/>
          <w:highlight w:val="none"/>
        </w:rPr>
        <w:t>（</w:t>
      </w:r>
      <w:r>
        <w:rPr>
          <w:rFonts w:ascii="宋体" w:hAnsi="宋体"/>
          <w:bCs/>
          <w:color w:val="auto"/>
          <w:sz w:val="24"/>
          <w:szCs w:val="24"/>
          <w:highlight w:val="none"/>
        </w:rPr>
        <w:t>10</w:t>
      </w:r>
      <w:r>
        <w:rPr>
          <w:rFonts w:hint="eastAsia" w:ascii="宋体" w:hAnsi="宋体"/>
          <w:bCs/>
          <w:color w:val="auto"/>
          <w:sz w:val="24"/>
          <w:szCs w:val="24"/>
          <w:highlight w:val="none"/>
        </w:rPr>
        <w:t>）最高投标限价（招标控制价）</w:t>
      </w:r>
      <w:r>
        <w:rPr>
          <w:rFonts w:hint="eastAsia" w:ascii="宋体" w:hAnsi="宋体"/>
          <w:bCs/>
          <w:color w:val="auto"/>
          <w:sz w:val="24"/>
          <w:szCs w:val="24"/>
          <w:highlight w:val="none"/>
          <w:u w:val="single"/>
        </w:rPr>
        <w:t>（另册）</w:t>
      </w:r>
    </w:p>
    <w:p>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条款号：</w:t>
      </w:r>
      <w:r>
        <w:rPr>
          <w:rFonts w:hint="eastAsia" w:ascii="宋体" w:hAnsi="宋体" w:cs="宋体"/>
          <w:b/>
          <w:bCs/>
          <w:color w:val="auto"/>
          <w:sz w:val="24"/>
          <w:szCs w:val="24"/>
          <w:highlight w:val="none"/>
          <w:lang w:bidi="ar"/>
        </w:rPr>
        <w:t>2.2.1、2.2.2、2.2.3</w:t>
      </w:r>
      <w:r>
        <w:rPr>
          <w:rFonts w:hint="eastAsia" w:ascii="宋体" w:hAnsi="宋体"/>
          <w:b/>
          <w:bCs/>
          <w:color w:val="auto"/>
          <w:sz w:val="24"/>
          <w:szCs w:val="24"/>
          <w:highlight w:val="none"/>
        </w:rPr>
        <w:t xml:space="preserve">             修改类型：修改</w:t>
      </w:r>
    </w:p>
    <w:p>
      <w:pPr>
        <w:spacing w:line="360" w:lineRule="auto"/>
        <w:ind w:firstLine="482" w:firstLineChars="200"/>
        <w:rPr>
          <w:rFonts w:ascii="宋体" w:hAnsi="宋体" w:cs="宋体"/>
          <w:bCs/>
          <w:color w:val="auto"/>
          <w:sz w:val="24"/>
          <w:szCs w:val="24"/>
          <w:highlight w:val="none"/>
        </w:rPr>
      </w:pPr>
      <w:r>
        <w:rPr>
          <w:rFonts w:hint="eastAsia" w:ascii="宋体" w:hAnsi="宋体"/>
          <w:b/>
          <w:bCs/>
          <w:color w:val="auto"/>
          <w:sz w:val="24"/>
          <w:szCs w:val="24"/>
          <w:highlight w:val="none"/>
        </w:rPr>
        <w:t>原文：</w:t>
      </w:r>
      <w:r>
        <w:rPr>
          <w:rFonts w:hint="eastAsia" w:ascii="宋体" w:hAnsi="宋体" w:cs="宋体"/>
          <w:bCs/>
          <w:color w:val="auto"/>
          <w:sz w:val="24"/>
          <w:szCs w:val="24"/>
          <w:highlight w:val="none"/>
          <w:lang w:bidi="ar"/>
        </w:rPr>
        <w:t>2.2.1 招标答疑采用网上答疑方式进行。投标人若对招标文件（包括招标图纸、清单、招标控制价）有疑问的，应按照广州公共资源交易平台关于全流程电子化项目的相关指南进行操作。提问一律不得署名。</w:t>
      </w:r>
    </w:p>
    <w:p>
      <w:pPr>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lang w:bidi="ar"/>
        </w:rPr>
        <w:t>2.2.2答疑纪要一经在</w:t>
      </w:r>
      <w:r>
        <w:rPr>
          <w:rFonts w:hint="eastAsia" w:ascii="宋体" w:hAnsi="宋体" w:cs="宋体"/>
          <w:bCs/>
          <w:color w:val="auto"/>
          <w:sz w:val="24"/>
          <w:szCs w:val="24"/>
          <w:highlight w:val="none"/>
          <w:u w:val="single"/>
          <w:lang w:bidi="ar"/>
        </w:rPr>
        <w:t xml:space="preserve"> </w:t>
      </w:r>
      <w:r>
        <w:rPr>
          <w:rFonts w:ascii="宋体" w:hAnsi="宋体" w:cs="宋体"/>
          <w:bCs/>
          <w:color w:val="auto"/>
          <w:sz w:val="24"/>
          <w:szCs w:val="24"/>
          <w:highlight w:val="none"/>
          <w:u w:val="single"/>
          <w:lang w:bidi="ar"/>
        </w:rPr>
        <w:t xml:space="preserve">        </w:t>
      </w:r>
      <w:r>
        <w:rPr>
          <w:rFonts w:hint="eastAsia" w:ascii="宋体" w:hAnsi="宋体" w:cs="宋体"/>
          <w:bCs/>
          <w:color w:val="auto"/>
          <w:sz w:val="24"/>
          <w:szCs w:val="24"/>
          <w:highlight w:val="none"/>
          <w:lang w:bidi="ar"/>
        </w:rPr>
        <w:t>交易平台发布，视作已发放给所有投标人。</w:t>
      </w:r>
    </w:p>
    <w:p>
      <w:pPr>
        <w:spacing w:line="360" w:lineRule="auto"/>
        <w:ind w:firstLine="480" w:firstLineChars="200"/>
        <w:rPr>
          <w:rFonts w:ascii="宋体" w:hAnsi="宋体"/>
          <w:color w:val="auto"/>
          <w:sz w:val="24"/>
          <w:szCs w:val="24"/>
          <w:highlight w:val="none"/>
        </w:rPr>
      </w:pPr>
      <w:r>
        <w:rPr>
          <w:rFonts w:hint="eastAsia" w:ascii="宋体" w:hAnsi="宋体" w:cs="宋体"/>
          <w:color w:val="auto"/>
          <w:sz w:val="24"/>
          <w:szCs w:val="24"/>
          <w:highlight w:val="none"/>
          <w:lang w:bidi="ar"/>
        </w:rPr>
        <w:t>2.2.3招标答疑纪要为招标文件的一部分。</w:t>
      </w:r>
    </w:p>
    <w:p>
      <w:pPr>
        <w:pBdr>
          <w:bottom w:val="single" w:color="auto" w:sz="6" w:space="1"/>
        </w:pBdr>
        <w:spacing w:line="360" w:lineRule="auto"/>
        <w:ind w:firstLine="482" w:firstLineChars="200"/>
        <w:rPr>
          <w:rFonts w:ascii="宋体" w:hAnsi="宋体" w:cs="宋体"/>
          <w:color w:val="auto"/>
          <w:sz w:val="24"/>
          <w:szCs w:val="24"/>
          <w:highlight w:val="none"/>
          <w:u w:val="single"/>
        </w:rPr>
      </w:pPr>
      <w:r>
        <w:rPr>
          <w:rFonts w:hint="eastAsia" w:ascii="宋体" w:hAnsi="宋体"/>
          <w:b/>
          <w:bCs/>
          <w:color w:val="auto"/>
          <w:sz w:val="24"/>
          <w:szCs w:val="24"/>
          <w:highlight w:val="none"/>
        </w:rPr>
        <w:t>现文：</w:t>
      </w:r>
      <w:r>
        <w:rPr>
          <w:rFonts w:hint="eastAsia" w:ascii="宋体" w:hAnsi="宋体" w:cs="宋体"/>
          <w:bCs/>
          <w:color w:val="auto"/>
          <w:sz w:val="24"/>
          <w:szCs w:val="24"/>
          <w:highlight w:val="none"/>
          <w:lang w:bidi="ar"/>
        </w:rPr>
        <w:t>2.2.1</w:t>
      </w:r>
      <w:r>
        <w:rPr>
          <w:rFonts w:hint="eastAsia" w:ascii="宋体" w:hAnsi="宋体"/>
          <w:color w:val="auto"/>
          <w:sz w:val="24"/>
          <w:szCs w:val="24"/>
          <w:highlight w:val="none"/>
        </w:rPr>
        <w:t xml:space="preserve"> 招标答疑采用网上答疑方式进行。投标人若对招标文件（包括招标图纸、清单、招标控制价）有疑问的，</w:t>
      </w:r>
      <w:r>
        <w:rPr>
          <w:rFonts w:hint="eastAsia" w:ascii="宋体" w:hAnsi="宋体"/>
          <w:color w:val="auto"/>
          <w:sz w:val="24"/>
          <w:szCs w:val="24"/>
          <w:highlight w:val="none"/>
          <w:u w:val="single"/>
        </w:rPr>
        <w:t>可在规定的时间内通过</w:t>
      </w:r>
      <w:r>
        <w:rPr>
          <w:rFonts w:hint="eastAsia" w:ascii="宋体" w:hAnsi="宋体"/>
          <w:color w:val="auto"/>
          <w:sz w:val="24"/>
          <w:szCs w:val="24"/>
          <w:highlight w:val="none"/>
          <w:u w:val="single"/>
          <w:lang w:eastAsia="zh-CN"/>
        </w:rPr>
        <w:t>广州交易集团有限公司（广州公共资源交易中心）网</w:t>
      </w:r>
      <w:r>
        <w:rPr>
          <w:rFonts w:hint="eastAsia" w:ascii="宋体" w:hAnsi="宋体"/>
          <w:color w:val="auto"/>
          <w:sz w:val="24"/>
          <w:szCs w:val="24"/>
          <w:highlight w:val="none"/>
          <w:u w:val="single"/>
        </w:rPr>
        <w:t>将问题提交给招标人或招标代理人</w:t>
      </w:r>
      <w:r>
        <w:rPr>
          <w:rFonts w:hint="eastAsia" w:ascii="宋体" w:hAnsi="宋体"/>
          <w:color w:val="auto"/>
          <w:sz w:val="24"/>
          <w:szCs w:val="24"/>
          <w:highlight w:val="none"/>
        </w:rPr>
        <w:t>，</w:t>
      </w:r>
      <w:r>
        <w:rPr>
          <w:rFonts w:hint="eastAsia" w:ascii="宋体" w:hAnsi="宋体"/>
          <w:color w:val="auto"/>
          <w:sz w:val="24"/>
          <w:szCs w:val="24"/>
          <w:highlight w:val="none"/>
          <w:u w:val="single"/>
        </w:rPr>
        <w:t>提交问题时</w:t>
      </w:r>
      <w:r>
        <w:rPr>
          <w:rFonts w:hint="eastAsia" w:ascii="宋体" w:hAnsi="宋体"/>
          <w:color w:val="auto"/>
          <w:sz w:val="24"/>
          <w:szCs w:val="24"/>
          <w:highlight w:val="none"/>
        </w:rPr>
        <w:t>一律不得署名。</w:t>
      </w:r>
    </w:p>
    <w:p>
      <w:pPr>
        <w:pBdr>
          <w:bottom w:val="single" w:color="auto" w:sz="6" w:space="1"/>
        </w:pBdr>
        <w:spacing w:line="360" w:lineRule="auto"/>
        <w:ind w:firstLine="480" w:firstLineChars="200"/>
        <w:rPr>
          <w:rFonts w:ascii="宋体" w:hAnsi="宋体" w:cs="宋体"/>
          <w:color w:val="auto"/>
          <w:sz w:val="24"/>
          <w:szCs w:val="24"/>
          <w:highlight w:val="none"/>
          <w:u w:val="single"/>
          <w:lang w:bidi="ar"/>
        </w:rPr>
      </w:pPr>
      <w:r>
        <w:rPr>
          <w:rFonts w:hint="eastAsia" w:ascii="宋体" w:hAnsi="宋体" w:cs="宋体"/>
          <w:color w:val="auto"/>
          <w:sz w:val="24"/>
          <w:szCs w:val="24"/>
          <w:highlight w:val="none"/>
          <w:u w:val="single"/>
          <w:lang w:bidi="ar"/>
        </w:rPr>
        <w:t>投标人网上答疑操作指南：投标人可登录</w:t>
      </w:r>
      <w:r>
        <w:rPr>
          <w:rFonts w:hint="eastAsia" w:ascii="宋体" w:hAnsi="宋体" w:cs="宋体"/>
          <w:color w:val="auto"/>
          <w:sz w:val="24"/>
          <w:szCs w:val="24"/>
          <w:highlight w:val="none"/>
          <w:u w:val="single"/>
          <w:lang w:eastAsia="zh-CN" w:bidi="ar"/>
        </w:rPr>
        <w:t>广州交易集团有限公司（广州公共资源交易中心）</w:t>
      </w:r>
      <w:r>
        <w:rPr>
          <w:rFonts w:hint="eastAsia" w:ascii="宋体" w:hAnsi="宋体" w:cs="宋体"/>
          <w:color w:val="auto"/>
          <w:sz w:val="24"/>
          <w:szCs w:val="24"/>
          <w:highlight w:val="none"/>
          <w:u w:val="single"/>
          <w:lang w:bidi="ar"/>
        </w:rPr>
        <w:t>数字交易平台，选择“我是投标人”-&gt;“新建设工程交易平台”-&gt;“招标答疑提问”查询项目并在上述的答疑时间内点击进入到提问区域→无记名或匿名提出问题以及查看所有的问题。</w:t>
      </w:r>
    </w:p>
    <w:p>
      <w:pPr>
        <w:pBdr>
          <w:bottom w:val="single" w:color="auto" w:sz="6" w:space="1"/>
        </w:pBdr>
        <w:spacing w:line="360" w:lineRule="auto"/>
        <w:ind w:firstLine="480" w:firstLineChars="200"/>
        <w:rPr>
          <w:rFonts w:ascii="宋体" w:hAnsi="宋体" w:cs="宋体"/>
          <w:color w:val="auto"/>
          <w:sz w:val="24"/>
          <w:szCs w:val="24"/>
          <w:highlight w:val="none"/>
          <w:u w:val="single"/>
          <w:lang w:bidi="ar"/>
        </w:rPr>
      </w:pPr>
      <w:r>
        <w:rPr>
          <w:rFonts w:hint="eastAsia" w:ascii="宋体" w:hAnsi="宋体" w:cs="宋体"/>
          <w:bCs/>
          <w:color w:val="auto"/>
          <w:sz w:val="24"/>
          <w:szCs w:val="24"/>
          <w:highlight w:val="none"/>
          <w:u w:val="single"/>
          <w:lang w:bidi="ar"/>
        </w:rPr>
        <w:t>2.2.2</w:t>
      </w:r>
      <w:r>
        <w:rPr>
          <w:rFonts w:hint="eastAsia" w:ascii="宋体" w:hAnsi="宋体" w:cs="宋体"/>
          <w:color w:val="auto"/>
          <w:sz w:val="24"/>
          <w:szCs w:val="24"/>
          <w:highlight w:val="none"/>
          <w:u w:val="single"/>
          <w:lang w:bidi="ar"/>
        </w:rPr>
        <w:t>招标文件的澄清在</w:t>
      </w:r>
      <w:r>
        <w:rPr>
          <w:rFonts w:hint="eastAsia" w:ascii="宋体" w:hAnsi="宋体" w:cs="宋体"/>
          <w:color w:val="auto"/>
          <w:sz w:val="24"/>
          <w:szCs w:val="24"/>
          <w:highlight w:val="none"/>
          <w:u w:val="single"/>
          <w:lang w:eastAsia="zh-CN" w:bidi="ar"/>
        </w:rPr>
        <w:t>广州交易集团有限公司（广州公共资源交易中心）网</w:t>
      </w:r>
      <w:r>
        <w:rPr>
          <w:rFonts w:hint="eastAsia" w:ascii="宋体" w:hAnsi="宋体" w:cs="宋体"/>
          <w:color w:val="auto"/>
          <w:sz w:val="24"/>
          <w:szCs w:val="24"/>
          <w:highlight w:val="none"/>
          <w:u w:val="single"/>
          <w:lang w:bidi="ar"/>
        </w:rPr>
        <w:t>站“项目答疑纪要”专区发布，但不指明澄清问题的来源。澄清发出的时间距本章第 4.3.1 项规定的投标截止时间不足 15 日的，并且澄清内容可能影响投标文件编制的，将相应延长投标截止时间。</w:t>
      </w:r>
    </w:p>
    <w:p>
      <w:pPr>
        <w:pBdr>
          <w:bottom w:val="single" w:color="auto" w:sz="6" w:space="1"/>
        </w:pBdr>
        <w:spacing w:line="360" w:lineRule="auto"/>
        <w:ind w:firstLine="480" w:firstLineChars="200"/>
        <w:rPr>
          <w:rFonts w:ascii="宋体" w:hAnsi="宋体"/>
          <w:color w:val="auto"/>
          <w:sz w:val="24"/>
          <w:szCs w:val="24"/>
          <w:highlight w:val="none"/>
        </w:rPr>
      </w:pPr>
      <w:r>
        <w:rPr>
          <w:rFonts w:hint="eastAsia" w:ascii="宋体" w:hAnsi="宋体" w:cs="宋体"/>
          <w:bCs/>
          <w:color w:val="auto"/>
          <w:sz w:val="24"/>
          <w:szCs w:val="24"/>
          <w:highlight w:val="none"/>
          <w:lang w:bidi="ar"/>
        </w:rPr>
        <w:t>2.2.3</w:t>
      </w:r>
      <w:r>
        <w:rPr>
          <w:rFonts w:hint="eastAsia" w:ascii="宋体" w:hAnsi="宋体" w:cs="宋体"/>
          <w:color w:val="auto"/>
          <w:sz w:val="24"/>
          <w:szCs w:val="24"/>
          <w:highlight w:val="none"/>
          <w:lang w:bidi="ar"/>
        </w:rPr>
        <w:t>招标文件的答疑纪要一经在广州交易集团有限公司（广州公共资源交易中心）</w:t>
      </w:r>
      <w:r>
        <w:rPr>
          <w:rFonts w:hint="eastAsia" w:ascii="宋体" w:hAnsi="宋体" w:cs="宋体"/>
          <w:bCs/>
          <w:color w:val="auto"/>
          <w:sz w:val="24"/>
          <w:szCs w:val="24"/>
          <w:highlight w:val="none"/>
          <w:lang w:bidi="ar"/>
        </w:rPr>
        <w:t>交易平台</w:t>
      </w:r>
      <w:r>
        <w:rPr>
          <w:rFonts w:hint="eastAsia" w:ascii="宋体" w:hAnsi="宋体" w:cs="宋体"/>
          <w:color w:val="auto"/>
          <w:sz w:val="24"/>
          <w:szCs w:val="24"/>
          <w:highlight w:val="none"/>
          <w:lang w:bidi="ar"/>
        </w:rPr>
        <w:t>发布，视作已发放给所有投标人，</w:t>
      </w:r>
      <w:r>
        <w:rPr>
          <w:rFonts w:hint="eastAsia" w:ascii="宋体" w:hAnsi="宋体" w:cs="宋体"/>
          <w:color w:val="auto"/>
          <w:sz w:val="24"/>
          <w:szCs w:val="24"/>
          <w:highlight w:val="none"/>
          <w:u w:val="single"/>
          <w:lang w:bidi="ar"/>
        </w:rPr>
        <w:t>招标文件的澄清、补充内容为招标文件的组成部分</w:t>
      </w:r>
      <w:r>
        <w:rPr>
          <w:rFonts w:hint="eastAsia" w:ascii="宋体" w:hAnsi="宋体" w:cs="宋体"/>
          <w:color w:val="auto"/>
          <w:sz w:val="24"/>
          <w:szCs w:val="24"/>
          <w:highlight w:val="none"/>
          <w:lang w:bidi="ar"/>
        </w:rPr>
        <w:t>。</w:t>
      </w:r>
    </w:p>
    <w:p>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条款号：3</w:t>
      </w:r>
      <w:r>
        <w:rPr>
          <w:rFonts w:ascii="宋体" w:hAnsi="宋体"/>
          <w:b/>
          <w:bCs/>
          <w:color w:val="auto"/>
          <w:sz w:val="24"/>
          <w:szCs w:val="24"/>
          <w:highlight w:val="none"/>
        </w:rPr>
        <w:t xml:space="preserve">.1 </w:t>
      </w:r>
      <w:r>
        <w:rPr>
          <w:rFonts w:hint="eastAsia" w:ascii="宋体" w:hAnsi="宋体"/>
          <w:b/>
          <w:bCs/>
          <w:color w:val="auto"/>
          <w:sz w:val="24"/>
          <w:szCs w:val="24"/>
          <w:highlight w:val="none"/>
        </w:rPr>
        <w:t xml:space="preserve"> </w:t>
      </w:r>
      <w:r>
        <w:rPr>
          <w:rFonts w:ascii="宋体" w:hAnsi="宋体"/>
          <w:b/>
          <w:bCs/>
          <w:color w:val="auto"/>
          <w:sz w:val="24"/>
          <w:szCs w:val="24"/>
          <w:highlight w:val="none"/>
        </w:rPr>
        <w:t xml:space="preserve">      </w:t>
      </w:r>
      <w:r>
        <w:rPr>
          <w:rFonts w:hint="eastAsia" w:ascii="宋体" w:hAnsi="宋体"/>
          <w:b/>
          <w:bCs/>
          <w:color w:val="auto"/>
          <w:sz w:val="24"/>
          <w:szCs w:val="24"/>
          <w:highlight w:val="none"/>
        </w:rPr>
        <w:t>修改类型：修改</w:t>
      </w:r>
    </w:p>
    <w:p>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原文：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3.1 </w:t>
      </w:r>
      <w:r>
        <w:rPr>
          <w:rFonts w:hint="eastAsia" w:ascii="宋体" w:hAnsi="宋体"/>
          <w:color w:val="auto"/>
          <w:sz w:val="24"/>
          <w:szCs w:val="24"/>
          <w:highlight w:val="none"/>
        </w:rPr>
        <w:t>投标文件的组成</w:t>
      </w:r>
    </w:p>
    <w:p>
      <w:pPr>
        <w:pStyle w:val="39"/>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投标文件应包括下列内容：</w:t>
      </w:r>
    </w:p>
    <w:p>
      <w:pPr>
        <w:pStyle w:val="39"/>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（1）投标函及投标函附录；</w:t>
      </w:r>
    </w:p>
    <w:p>
      <w:pPr>
        <w:pStyle w:val="39"/>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（2）法定代表人身份证明或附有法定代表人身份证明的授权委托书；</w:t>
      </w:r>
    </w:p>
    <w:p>
      <w:pPr>
        <w:pStyle w:val="39"/>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（3）联合体协议书（注：非联合体投标无需提交）；</w:t>
      </w:r>
    </w:p>
    <w:p>
      <w:pPr>
        <w:pStyle w:val="39"/>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（4）投标保证金；</w:t>
      </w:r>
    </w:p>
    <w:p>
      <w:pPr>
        <w:pStyle w:val="39"/>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（5）已标价工程量清单；</w:t>
      </w:r>
    </w:p>
    <w:p>
      <w:pPr>
        <w:pStyle w:val="39"/>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（6）施工组织设计（不要求技术标的可不编制，提交施工组织设计要点）； </w:t>
      </w:r>
    </w:p>
    <w:p>
      <w:pPr>
        <w:pStyle w:val="39"/>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（7）项目管理机构；</w:t>
      </w:r>
    </w:p>
    <w:p>
      <w:pPr>
        <w:pStyle w:val="39"/>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（8）资格审查资料；</w:t>
      </w:r>
    </w:p>
    <w:p>
      <w:pPr>
        <w:pStyle w:val="39"/>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（9）投标人声明</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（10）其他应提交的材料。</w:t>
      </w:r>
    </w:p>
    <w:p>
      <w:pPr>
        <w:pBdr>
          <w:bottom w:val="single" w:color="auto" w:sz="6" w:space="1"/>
        </w:pBdr>
        <w:spacing w:line="360" w:lineRule="auto"/>
        <w:ind w:firstLine="482" w:firstLineChars="200"/>
        <w:rPr>
          <w:rFonts w:ascii="宋体" w:hAnsi="宋体"/>
          <w:color w:val="auto"/>
          <w:sz w:val="24"/>
          <w:szCs w:val="24"/>
          <w:highlight w:val="none"/>
        </w:rPr>
      </w:pPr>
      <w:r>
        <w:rPr>
          <w:rFonts w:hint="eastAsia" w:ascii="宋体" w:hAnsi="宋体"/>
          <w:b/>
          <w:bCs/>
          <w:color w:val="auto"/>
          <w:kern w:val="0"/>
          <w:sz w:val="24"/>
          <w:szCs w:val="24"/>
          <w:highlight w:val="none"/>
        </w:rPr>
        <w:t>现文：</w:t>
      </w:r>
      <w:r>
        <w:rPr>
          <w:rFonts w:hint="eastAsia" w:ascii="宋体" w:hAnsi="宋体"/>
          <w:bCs/>
          <w:color w:val="auto"/>
          <w:kern w:val="0"/>
          <w:sz w:val="24"/>
          <w:szCs w:val="24"/>
          <w:highlight w:val="none"/>
          <w:u w:val="single"/>
        </w:rPr>
        <w:t>详见</w:t>
      </w:r>
      <w:r>
        <w:rPr>
          <w:rFonts w:hint="eastAsia" w:ascii="宋体" w:hAnsi="宋体"/>
          <w:color w:val="auto"/>
          <w:sz w:val="24"/>
          <w:szCs w:val="24"/>
          <w:highlight w:val="none"/>
          <w:u w:val="single"/>
        </w:rPr>
        <w:t>第八章投标文件格式。</w:t>
      </w:r>
    </w:p>
    <w:p>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条款号：3</w:t>
      </w:r>
      <w:r>
        <w:rPr>
          <w:rFonts w:ascii="宋体" w:hAnsi="宋体"/>
          <w:b/>
          <w:bCs/>
          <w:color w:val="auto"/>
          <w:sz w:val="24"/>
          <w:szCs w:val="24"/>
          <w:highlight w:val="none"/>
        </w:rPr>
        <w:t>.2</w:t>
      </w:r>
      <w:r>
        <w:rPr>
          <w:rFonts w:hint="eastAsia" w:ascii="宋体" w:hAnsi="宋体"/>
          <w:b/>
          <w:bCs/>
          <w:color w:val="auto"/>
          <w:sz w:val="24"/>
          <w:szCs w:val="24"/>
          <w:highlight w:val="none"/>
        </w:rPr>
        <w:t>.2            修改类型：删除</w:t>
      </w:r>
    </w:p>
    <w:p>
      <w:pPr>
        <w:pBdr>
          <w:bottom w:val="single" w:color="auto" w:sz="6" w:space="1"/>
        </w:pBdr>
        <w:spacing w:line="360" w:lineRule="auto"/>
        <w:ind w:firstLine="482" w:firstLineChars="200"/>
        <w:rPr>
          <w:rFonts w:ascii="宋体" w:hAnsi="宋体"/>
          <w:color w:val="auto"/>
          <w:kern w:val="0"/>
          <w:sz w:val="24"/>
          <w:szCs w:val="24"/>
          <w:highlight w:val="none"/>
        </w:rPr>
      </w:pPr>
      <w:r>
        <w:rPr>
          <w:rFonts w:hint="eastAsia" w:ascii="宋体" w:hAnsi="宋体"/>
          <w:b/>
          <w:bCs/>
          <w:color w:val="auto"/>
          <w:sz w:val="24"/>
          <w:szCs w:val="24"/>
          <w:highlight w:val="none"/>
        </w:rPr>
        <w:t>原文：</w:t>
      </w:r>
      <w:r>
        <w:rPr>
          <w:rFonts w:hint="eastAsia" w:ascii="宋体" w:hAnsi="宋体"/>
          <w:color w:val="auto"/>
          <w:kern w:val="0"/>
          <w:sz w:val="24"/>
          <w:szCs w:val="24"/>
          <w:highlight w:val="none"/>
        </w:rPr>
        <w:t>3.2.2投标人在投标截止时间前修改投标函中的投标报价总额，并根据评标办法列明的方法重新计算投标单价下浮率。此修改须符合本章第4.3款的有关要求。（注：适用于综合评估法三）</w:t>
      </w:r>
    </w:p>
    <w:p>
      <w:pPr>
        <w:spacing w:line="360" w:lineRule="auto"/>
        <w:ind w:firstLine="482" w:firstLineChars="200"/>
        <w:rPr>
          <w:rFonts w:ascii="宋体" w:hAnsi="宋体"/>
          <w:b/>
          <w:bCs/>
          <w:color w:val="auto"/>
          <w:kern w:val="0"/>
          <w:sz w:val="24"/>
          <w:szCs w:val="24"/>
          <w:highlight w:val="none"/>
        </w:rPr>
      </w:pPr>
      <w:r>
        <w:rPr>
          <w:rFonts w:hint="eastAsia" w:ascii="宋体" w:hAnsi="宋体"/>
          <w:b/>
          <w:bCs/>
          <w:color w:val="auto"/>
          <w:kern w:val="0"/>
          <w:sz w:val="24"/>
          <w:szCs w:val="24"/>
          <w:highlight w:val="none"/>
        </w:rPr>
        <w:t>条款号：3.3.1             修改类型：修改</w:t>
      </w:r>
    </w:p>
    <w:p>
      <w:pPr>
        <w:pStyle w:val="35"/>
        <w:widowControl w:val="0"/>
        <w:spacing w:before="0" w:beforeAutospacing="0" w:after="0" w:afterAutospacing="0" w:line="360" w:lineRule="auto"/>
        <w:ind w:firstLine="482" w:firstLineChars="200"/>
        <w:jc w:val="both"/>
        <w:rPr>
          <w:rFonts w:ascii="宋体" w:hAnsi="宋体"/>
          <w:color w:val="auto"/>
          <w:highlight w:val="none"/>
        </w:rPr>
      </w:pPr>
      <w:r>
        <w:rPr>
          <w:rFonts w:hint="eastAsia" w:ascii="宋体" w:hAnsi="宋体"/>
          <w:b/>
          <w:bCs/>
          <w:color w:val="auto"/>
          <w:highlight w:val="none"/>
        </w:rPr>
        <w:t>原文：</w:t>
      </w:r>
      <w:r>
        <w:rPr>
          <w:rFonts w:hint="eastAsia" w:ascii="宋体" w:hAnsi="宋体"/>
          <w:color w:val="auto"/>
          <w:highlight w:val="none"/>
        </w:rPr>
        <w:t>3.3.1除投标人须知前附表另外有规定外，投标有效期为60天。</w:t>
      </w:r>
    </w:p>
    <w:p>
      <w:pPr>
        <w:pBdr>
          <w:bottom w:val="single" w:color="auto" w:sz="6" w:space="1"/>
        </w:pBdr>
        <w:spacing w:line="360" w:lineRule="auto"/>
        <w:ind w:firstLine="482" w:firstLineChars="200"/>
        <w:rPr>
          <w:rFonts w:ascii="宋体" w:hAnsi="宋体"/>
          <w:color w:val="auto"/>
          <w:kern w:val="0"/>
          <w:sz w:val="24"/>
          <w:szCs w:val="24"/>
          <w:highlight w:val="none"/>
        </w:rPr>
      </w:pPr>
      <w:r>
        <w:rPr>
          <w:rFonts w:hint="eastAsia" w:ascii="宋体" w:hAnsi="宋体"/>
          <w:b/>
          <w:bCs/>
          <w:color w:val="auto"/>
          <w:kern w:val="0"/>
          <w:sz w:val="24"/>
          <w:szCs w:val="24"/>
          <w:highlight w:val="none"/>
        </w:rPr>
        <w:t>现文：</w:t>
      </w:r>
      <w:r>
        <w:rPr>
          <w:rFonts w:hint="eastAsia" w:ascii="宋体" w:hAnsi="宋体"/>
          <w:color w:val="auto"/>
          <w:kern w:val="0"/>
          <w:sz w:val="24"/>
          <w:szCs w:val="24"/>
          <w:highlight w:val="none"/>
        </w:rPr>
        <w:t>3.3.1除投标人须知前附表另外有规定外，投标有效期为</w:t>
      </w:r>
      <w:r>
        <w:rPr>
          <w:rFonts w:hint="eastAsia" w:ascii="宋体" w:hAnsi="宋体"/>
          <w:color w:val="auto"/>
          <w:kern w:val="0"/>
          <w:sz w:val="24"/>
          <w:szCs w:val="24"/>
          <w:highlight w:val="none"/>
          <w:u w:val="single"/>
        </w:rPr>
        <w:t>90</w:t>
      </w:r>
      <w:r>
        <w:rPr>
          <w:rFonts w:hint="eastAsia" w:ascii="宋体" w:hAnsi="宋体"/>
          <w:color w:val="auto"/>
          <w:kern w:val="0"/>
          <w:sz w:val="24"/>
          <w:szCs w:val="24"/>
          <w:highlight w:val="none"/>
        </w:rPr>
        <w:t>天。</w:t>
      </w:r>
    </w:p>
    <w:p>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条款号：3</w:t>
      </w:r>
      <w:r>
        <w:rPr>
          <w:rFonts w:ascii="宋体" w:hAnsi="宋体"/>
          <w:b/>
          <w:bCs/>
          <w:color w:val="auto"/>
          <w:sz w:val="24"/>
          <w:szCs w:val="24"/>
          <w:highlight w:val="none"/>
        </w:rPr>
        <w:t>.4</w:t>
      </w:r>
      <w:r>
        <w:rPr>
          <w:rFonts w:hint="eastAsia" w:ascii="宋体" w:hAnsi="宋体"/>
          <w:b/>
          <w:bCs/>
          <w:color w:val="auto"/>
          <w:sz w:val="24"/>
          <w:szCs w:val="24"/>
          <w:highlight w:val="none"/>
        </w:rPr>
        <w:t xml:space="preserve">            修改类型：删除</w:t>
      </w:r>
    </w:p>
    <w:p>
      <w:pPr>
        <w:widowControl/>
        <w:numPr>
          <w:ilvl w:val="-1"/>
          <w:numId w:val="0"/>
        </w:numPr>
        <w:spacing w:line="360" w:lineRule="auto"/>
        <w:ind w:left="539" w:firstLine="0"/>
        <w:jc w:val="left"/>
        <w:outlineLvl w:val="2"/>
        <w:rPr>
          <w:rFonts w:ascii="宋体" w:hAnsi="宋体"/>
          <w:b/>
          <w:color w:val="auto"/>
          <w:sz w:val="28"/>
          <w:szCs w:val="28"/>
          <w:highlight w:val="none"/>
        </w:rPr>
      </w:pPr>
      <w:r>
        <w:rPr>
          <w:rFonts w:hint="eastAsia" w:ascii="宋体" w:hAnsi="宋体"/>
          <w:b/>
          <w:bCs/>
          <w:color w:val="auto"/>
          <w:sz w:val="24"/>
          <w:szCs w:val="24"/>
          <w:highlight w:val="none"/>
        </w:rPr>
        <w:t>原文：</w:t>
      </w:r>
      <w:r>
        <w:rPr>
          <w:rFonts w:hint="eastAsia" w:ascii="宋体" w:hAnsi="宋体"/>
          <w:b/>
          <w:bCs/>
          <w:color w:val="auto"/>
          <w:sz w:val="24"/>
          <w:szCs w:val="24"/>
          <w:highlight w:val="none"/>
          <w:lang w:val="en-US" w:eastAsia="zh-CN"/>
        </w:rPr>
        <w:t>3.4</w:t>
      </w:r>
      <w:r>
        <w:rPr>
          <w:rFonts w:hint="eastAsia" w:ascii="宋体" w:hAnsi="宋体"/>
          <w:b/>
          <w:color w:val="auto"/>
          <w:sz w:val="28"/>
          <w:szCs w:val="28"/>
          <w:highlight w:val="none"/>
        </w:rPr>
        <w:t>投标保证金</w:t>
      </w:r>
    </w:p>
    <w:p>
      <w:pPr>
        <w:pStyle w:val="39"/>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3.4.1投标人应按投标须知前附表规定的金额和时间递交投标保证金。投标保证金以现金或者支票形式提交的，必须由投标人的银行基本账户转出。投标人如采用投标保函或投标保证保险的形式递交的，须在投标截止前单独密封递交至开标室。联合体投标的，其投标担保可以由牵头人递交，并应符合投标人须知前附表的规定。</w:t>
      </w:r>
    </w:p>
    <w:p>
      <w:pPr>
        <w:pStyle w:val="39"/>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3.4</w:t>
      </w:r>
      <w:r>
        <w:rPr>
          <w:rFonts w:hint="eastAsia" w:ascii="宋体" w:hAnsi="宋体" w:eastAsia="宋体"/>
          <w:color w:val="auto"/>
          <w:sz w:val="24"/>
          <w:highlight w:val="none"/>
        </w:rPr>
        <w:t>.2招标人可委托广州交易集团有限公司（广州公共资源交易中心）交易平台具体实施保证金的收取和退还工作。通过广州交易集团有限公司（广州公共资源交易中心）交易平台递交投标保证金的相关事宜，请自行咨询广州交易集团有限公司（广州公共资源交易中心）交易平台。广州交易集团有限公司（广州公共资源交易中心）交易平台代收投标保证金的，其缴纳情况以广州交易集团有限公司（广州公共资源交易中心）交易平台数据库记录的信息为准。（注：适用于广州交易集团有限公司（广州公共资源交易中心）交易平台代收投标保证金）</w:t>
      </w:r>
    </w:p>
    <w:p>
      <w:pPr>
        <w:pStyle w:val="39"/>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3.4.2投标人应按照第八章“投标文件格式”规定的投标保证金格式（或银行规定的格式）提供投标保函，提交投标保函的彩色扫描件，并作为其投标文件的组成部分。（注：适用于投标保证金采用投标保函的形式）</w:t>
      </w:r>
    </w:p>
    <w:p>
      <w:pPr>
        <w:pStyle w:val="39"/>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3.4.2投标人应将提交投标保证金的银行汇款或转账凭证的彩色扫描件，（必须清晰可辨）并作为其投标文件的组成部分。采用网上银行汇款或转账的，其网上银行系统提供的汇款或转账凭证必须经投标人的基本存款账户开户银行加盖确认章后方为有效。（注：适用于招标人自行收取的形式）</w:t>
      </w:r>
    </w:p>
    <w:p>
      <w:pPr>
        <w:pStyle w:val="39"/>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3.4</w:t>
      </w:r>
      <w:r>
        <w:rPr>
          <w:rFonts w:hint="eastAsia" w:ascii="宋体" w:hAnsi="宋体" w:eastAsia="宋体"/>
          <w:color w:val="auto"/>
          <w:sz w:val="24"/>
          <w:highlight w:val="none"/>
        </w:rPr>
        <w:t>.3开标时投标人未按本须知第3.4.1条规定提交投标保证金的，评标委员会将否决其投标。</w:t>
      </w:r>
    </w:p>
    <w:p>
      <w:pPr>
        <w:pStyle w:val="39"/>
        <w:spacing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3.4</w:t>
      </w:r>
      <w:r>
        <w:rPr>
          <w:rFonts w:hint="eastAsia" w:ascii="宋体" w:hAnsi="宋体" w:eastAsia="宋体"/>
          <w:color w:val="auto"/>
          <w:sz w:val="24"/>
          <w:highlight w:val="none"/>
        </w:rPr>
        <w:t>.4中标候选人以外的投标人的投标保证金将尽快退还，最迟不超过中标通知书发出之日起五日内。</w:t>
      </w:r>
    </w:p>
    <w:p>
      <w:pPr>
        <w:pStyle w:val="39"/>
        <w:spacing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3.4</w:t>
      </w:r>
      <w:r>
        <w:rPr>
          <w:rFonts w:hint="eastAsia" w:ascii="宋体" w:hAnsi="宋体" w:eastAsia="宋体"/>
          <w:color w:val="auto"/>
          <w:sz w:val="24"/>
          <w:highlight w:val="none"/>
        </w:rPr>
        <w:t>.5中标人和其他中标候选人的投标保证金，在书面合同订立之日起五日内予以退还。</w:t>
      </w:r>
    </w:p>
    <w:p>
      <w:pPr>
        <w:pStyle w:val="39"/>
        <w:spacing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3.4</w:t>
      </w:r>
      <w:r>
        <w:rPr>
          <w:rFonts w:hint="eastAsia" w:ascii="宋体" w:hAnsi="宋体" w:eastAsia="宋体"/>
          <w:color w:val="auto"/>
          <w:sz w:val="24"/>
          <w:highlight w:val="none"/>
        </w:rPr>
        <w:t>.6有下列情形之一的，投标保证金将不予退还：</w:t>
      </w:r>
    </w:p>
    <w:p>
      <w:pPr>
        <w:pStyle w:val="39"/>
        <w:spacing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3.4</w:t>
      </w:r>
      <w:r>
        <w:rPr>
          <w:rFonts w:hint="eastAsia" w:ascii="宋体" w:hAnsi="宋体" w:eastAsia="宋体"/>
          <w:color w:val="auto"/>
          <w:sz w:val="24"/>
          <w:highlight w:val="none"/>
        </w:rPr>
        <w:t>.6.1因投标人原因造成投标文件未解密的；</w:t>
      </w:r>
    </w:p>
    <w:p>
      <w:pPr>
        <w:pStyle w:val="39"/>
        <w:spacing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3.4</w:t>
      </w:r>
      <w:r>
        <w:rPr>
          <w:rFonts w:hint="eastAsia" w:ascii="宋体" w:hAnsi="宋体" w:eastAsia="宋体"/>
          <w:color w:val="auto"/>
          <w:sz w:val="24"/>
          <w:highlight w:val="none"/>
        </w:rPr>
        <w:t>.6.2投标人在规定的投标有效期内撤回其投标文件；</w:t>
      </w:r>
    </w:p>
    <w:p>
      <w:pPr>
        <w:pStyle w:val="39"/>
        <w:spacing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3.4</w:t>
      </w:r>
      <w:r>
        <w:rPr>
          <w:rFonts w:hint="eastAsia" w:ascii="宋体" w:hAnsi="宋体" w:eastAsia="宋体"/>
          <w:color w:val="auto"/>
          <w:sz w:val="24"/>
          <w:highlight w:val="none"/>
        </w:rPr>
        <w:t>.6.3中标人未能在规定期限内按要求提交履约担保；</w:t>
      </w:r>
    </w:p>
    <w:p>
      <w:pPr>
        <w:pStyle w:val="39"/>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3.4</w:t>
      </w:r>
      <w:r>
        <w:rPr>
          <w:rFonts w:hint="eastAsia" w:ascii="宋体" w:hAnsi="宋体" w:eastAsia="宋体"/>
          <w:color w:val="auto"/>
          <w:sz w:val="24"/>
          <w:highlight w:val="none"/>
        </w:rPr>
        <w:t>.6.4中标人未能在规定期限内签署合同协议。</w:t>
      </w:r>
    </w:p>
    <w:p>
      <w:pPr>
        <w:pBdr>
          <w:bottom w:val="single" w:color="auto" w:sz="6" w:space="1"/>
        </w:pBdr>
        <w:spacing w:line="360" w:lineRule="auto"/>
        <w:ind w:firstLine="480" w:firstLineChars="200"/>
        <w:rPr>
          <w:rFonts w:ascii="宋体" w:hAnsi="宋体"/>
          <w:color w:val="auto"/>
          <w:sz w:val="24"/>
          <w:szCs w:val="24"/>
          <w:highlight w:val="none"/>
        </w:rPr>
      </w:pPr>
    </w:p>
    <w:p>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条款号：3</w:t>
      </w:r>
      <w:r>
        <w:rPr>
          <w:rFonts w:ascii="宋体" w:hAnsi="宋体"/>
          <w:b/>
          <w:bCs/>
          <w:color w:val="auto"/>
          <w:sz w:val="24"/>
          <w:szCs w:val="24"/>
          <w:highlight w:val="none"/>
        </w:rPr>
        <w:t>.5.2</w:t>
      </w:r>
      <w:r>
        <w:rPr>
          <w:rFonts w:hint="eastAsia" w:ascii="宋体" w:hAnsi="宋体"/>
          <w:b/>
          <w:bCs/>
          <w:color w:val="auto"/>
          <w:sz w:val="24"/>
          <w:szCs w:val="24"/>
          <w:highlight w:val="none"/>
        </w:rPr>
        <w:t xml:space="preserve">             修改类型：删除</w:t>
      </w:r>
    </w:p>
    <w:p>
      <w:pPr>
        <w:pBdr>
          <w:bottom w:val="single" w:color="auto" w:sz="6" w:space="1"/>
        </w:pBdr>
        <w:spacing w:line="360" w:lineRule="auto"/>
        <w:ind w:firstLine="482" w:firstLineChars="200"/>
        <w:rPr>
          <w:rFonts w:ascii="宋体" w:hAnsi="宋体"/>
          <w:color w:val="auto"/>
          <w:sz w:val="24"/>
          <w:szCs w:val="24"/>
          <w:highlight w:val="none"/>
        </w:rPr>
      </w:pPr>
      <w:r>
        <w:rPr>
          <w:rFonts w:hint="eastAsia" w:ascii="宋体" w:hAnsi="宋体"/>
          <w:b/>
          <w:bCs/>
          <w:color w:val="auto"/>
          <w:sz w:val="24"/>
          <w:szCs w:val="24"/>
          <w:highlight w:val="none"/>
        </w:rPr>
        <w:t>原文：</w:t>
      </w:r>
      <w:r>
        <w:rPr>
          <w:rFonts w:hint="eastAsia" w:ascii="宋体" w:hAnsi="宋体"/>
          <w:color w:val="auto"/>
          <w:sz w:val="24"/>
          <w:szCs w:val="24"/>
          <w:highlight w:val="none"/>
        </w:rPr>
        <w:t>3.5.2法定代表人证明书、法定代表人签字或盖章的本投标文件授权委托证明书；</w:t>
      </w:r>
    </w:p>
    <w:p>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条款号：3</w:t>
      </w:r>
      <w:r>
        <w:rPr>
          <w:rFonts w:ascii="宋体" w:hAnsi="宋体"/>
          <w:b/>
          <w:bCs/>
          <w:color w:val="auto"/>
          <w:sz w:val="24"/>
          <w:szCs w:val="24"/>
          <w:highlight w:val="none"/>
        </w:rPr>
        <w:t>.5.4</w:t>
      </w:r>
      <w:r>
        <w:rPr>
          <w:rFonts w:hint="eastAsia" w:ascii="宋体" w:hAnsi="宋体"/>
          <w:b/>
          <w:bCs/>
          <w:color w:val="auto"/>
          <w:sz w:val="24"/>
          <w:szCs w:val="24"/>
          <w:highlight w:val="none"/>
        </w:rPr>
        <w:t xml:space="preserve">             修改类型：修改</w:t>
      </w:r>
    </w:p>
    <w:p>
      <w:pPr>
        <w:pBdr>
          <w:bottom w:val="single" w:color="auto" w:sz="6" w:space="1"/>
        </w:pBdr>
        <w:spacing w:line="360" w:lineRule="auto"/>
        <w:ind w:firstLine="482" w:firstLineChars="200"/>
        <w:rPr>
          <w:rFonts w:ascii="宋体" w:hAnsi="宋体"/>
          <w:color w:val="auto"/>
          <w:sz w:val="24"/>
          <w:szCs w:val="24"/>
          <w:highlight w:val="none"/>
        </w:rPr>
      </w:pPr>
      <w:r>
        <w:rPr>
          <w:rFonts w:hint="eastAsia" w:ascii="宋体" w:hAnsi="宋体"/>
          <w:b/>
          <w:bCs/>
          <w:color w:val="auto"/>
          <w:sz w:val="24"/>
          <w:szCs w:val="24"/>
          <w:highlight w:val="none"/>
        </w:rPr>
        <w:t>原文：</w:t>
      </w:r>
      <w:r>
        <w:rPr>
          <w:rFonts w:hint="eastAsia" w:ascii="宋体" w:hAnsi="宋体"/>
          <w:color w:val="auto"/>
          <w:sz w:val="24"/>
          <w:szCs w:val="24"/>
          <w:highlight w:val="none"/>
        </w:rPr>
        <w:t>3</w:t>
      </w:r>
      <w:r>
        <w:rPr>
          <w:rFonts w:ascii="宋体" w:hAnsi="宋体"/>
          <w:color w:val="auto"/>
          <w:sz w:val="24"/>
          <w:szCs w:val="24"/>
          <w:highlight w:val="none"/>
        </w:rPr>
        <w:t>.5.4</w:t>
      </w:r>
      <w:r>
        <w:rPr>
          <w:rFonts w:hint="eastAsia" w:ascii="宋体" w:hAnsi="宋体"/>
          <w:color w:val="auto"/>
          <w:sz w:val="24"/>
          <w:szCs w:val="24"/>
          <w:highlight w:val="none"/>
        </w:rPr>
        <w:t>项目负责人的建造师证（或小型项目负责人相关证明）和安全培训考核合格证明或在有效期内的安全考核合格证书（B类）；</w:t>
      </w:r>
    </w:p>
    <w:p>
      <w:pPr>
        <w:pBdr>
          <w:bottom w:val="single" w:color="auto" w:sz="6" w:space="1"/>
        </w:pBdr>
        <w:spacing w:line="360" w:lineRule="auto"/>
        <w:ind w:firstLine="482" w:firstLineChars="200"/>
        <w:rPr>
          <w:rFonts w:ascii="宋体" w:hAnsi="宋体"/>
          <w:color w:val="auto"/>
          <w:sz w:val="24"/>
          <w:szCs w:val="24"/>
          <w:highlight w:val="none"/>
        </w:rPr>
      </w:pPr>
      <w:r>
        <w:rPr>
          <w:rFonts w:hint="eastAsia" w:ascii="宋体" w:hAnsi="宋体"/>
          <w:b/>
          <w:bCs/>
          <w:color w:val="auto"/>
          <w:sz w:val="24"/>
          <w:szCs w:val="24"/>
          <w:highlight w:val="none"/>
        </w:rPr>
        <w:t>现文：</w:t>
      </w:r>
      <w:r>
        <w:rPr>
          <w:rFonts w:hint="eastAsia" w:ascii="宋体" w:hAnsi="宋体"/>
          <w:color w:val="auto"/>
          <w:sz w:val="24"/>
          <w:szCs w:val="24"/>
          <w:highlight w:val="none"/>
        </w:rPr>
        <w:t>3</w:t>
      </w:r>
      <w:r>
        <w:rPr>
          <w:rFonts w:ascii="宋体" w:hAnsi="宋体"/>
          <w:color w:val="auto"/>
          <w:sz w:val="24"/>
          <w:szCs w:val="24"/>
          <w:highlight w:val="none"/>
        </w:rPr>
        <w:t>.5.4</w:t>
      </w:r>
      <w:r>
        <w:rPr>
          <w:rFonts w:hint="eastAsia" w:ascii="宋体" w:hAnsi="宋体"/>
          <w:color w:val="auto"/>
          <w:sz w:val="24"/>
          <w:szCs w:val="24"/>
          <w:highlight w:val="none"/>
        </w:rPr>
        <w:t>项目负责人的建造师证和安全培训考核合格证明或在有效期内的安全考核合格证书（B类）；</w:t>
      </w:r>
    </w:p>
    <w:p>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条款号：3</w:t>
      </w:r>
      <w:r>
        <w:rPr>
          <w:rFonts w:ascii="宋体" w:hAnsi="宋体"/>
          <w:b/>
          <w:bCs/>
          <w:color w:val="auto"/>
          <w:sz w:val="24"/>
          <w:szCs w:val="24"/>
          <w:highlight w:val="none"/>
        </w:rPr>
        <w:t>.5.6</w:t>
      </w:r>
      <w:r>
        <w:rPr>
          <w:rFonts w:hint="eastAsia" w:ascii="宋体" w:hAnsi="宋体"/>
          <w:b/>
          <w:bCs/>
          <w:color w:val="auto"/>
          <w:sz w:val="24"/>
          <w:szCs w:val="24"/>
          <w:highlight w:val="none"/>
        </w:rPr>
        <w:t xml:space="preserve">             修改类型：删除</w:t>
      </w:r>
    </w:p>
    <w:p>
      <w:pPr>
        <w:pBdr>
          <w:bottom w:val="single" w:color="auto" w:sz="6" w:space="1"/>
        </w:pBdr>
        <w:spacing w:line="360" w:lineRule="auto"/>
        <w:ind w:firstLine="482" w:firstLineChars="200"/>
        <w:rPr>
          <w:rFonts w:ascii="宋体" w:hAnsi="宋体"/>
          <w:color w:val="auto"/>
          <w:sz w:val="24"/>
          <w:szCs w:val="24"/>
          <w:highlight w:val="none"/>
        </w:rPr>
      </w:pPr>
      <w:r>
        <w:rPr>
          <w:rFonts w:hint="eastAsia" w:ascii="宋体" w:hAnsi="宋体"/>
          <w:b/>
          <w:bCs/>
          <w:color w:val="auto"/>
          <w:sz w:val="24"/>
          <w:szCs w:val="24"/>
          <w:highlight w:val="none"/>
        </w:rPr>
        <w:t>原文：</w:t>
      </w:r>
      <w:r>
        <w:rPr>
          <w:rFonts w:hint="eastAsia" w:ascii="宋体" w:hAnsi="宋体"/>
          <w:color w:val="auto"/>
          <w:sz w:val="24"/>
          <w:szCs w:val="24"/>
          <w:highlight w:val="none"/>
        </w:rPr>
        <w:t>3</w:t>
      </w:r>
      <w:r>
        <w:rPr>
          <w:rFonts w:ascii="宋体" w:hAnsi="宋体"/>
          <w:color w:val="auto"/>
          <w:sz w:val="24"/>
          <w:szCs w:val="24"/>
          <w:highlight w:val="none"/>
        </w:rPr>
        <w:t>.5.6</w:t>
      </w:r>
      <w:r>
        <w:rPr>
          <w:rFonts w:hint="eastAsia" w:ascii="宋体" w:hAnsi="宋体"/>
          <w:color w:val="auto"/>
          <w:sz w:val="24"/>
          <w:szCs w:val="24"/>
          <w:highlight w:val="none"/>
        </w:rPr>
        <w:t>“近年完成的类似项目情况表”应按照投标前附表的要求附中标通知书、施工合同、单位工程验收鉴定书（或合同工程完工验收鉴定书或工程竣工验收鉴定书）纸质原件的扫描件。每张表格只填写一个项目，并标明序号。</w:t>
      </w:r>
    </w:p>
    <w:p>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条款号：3</w:t>
      </w:r>
      <w:r>
        <w:rPr>
          <w:rFonts w:ascii="宋体" w:hAnsi="宋体"/>
          <w:b/>
          <w:bCs/>
          <w:color w:val="auto"/>
          <w:sz w:val="24"/>
          <w:szCs w:val="24"/>
          <w:highlight w:val="none"/>
        </w:rPr>
        <w:t>.5.7</w:t>
      </w:r>
      <w:r>
        <w:rPr>
          <w:rFonts w:hint="eastAsia" w:ascii="宋体" w:hAnsi="宋体"/>
          <w:b/>
          <w:bCs/>
          <w:color w:val="auto"/>
          <w:sz w:val="24"/>
          <w:szCs w:val="24"/>
          <w:highlight w:val="none"/>
        </w:rPr>
        <w:t xml:space="preserve">             修改类型：修改</w:t>
      </w:r>
    </w:p>
    <w:p>
      <w:pPr>
        <w:pBdr>
          <w:bottom w:val="single" w:color="auto" w:sz="6" w:space="1"/>
        </w:pBdr>
        <w:spacing w:line="360" w:lineRule="auto"/>
        <w:ind w:firstLine="482" w:firstLineChars="200"/>
        <w:rPr>
          <w:rFonts w:ascii="宋体" w:hAnsi="宋体"/>
          <w:color w:val="auto"/>
          <w:sz w:val="24"/>
          <w:szCs w:val="24"/>
          <w:highlight w:val="none"/>
        </w:rPr>
      </w:pPr>
      <w:r>
        <w:rPr>
          <w:rFonts w:hint="eastAsia" w:ascii="宋体" w:hAnsi="宋体"/>
          <w:b/>
          <w:bCs/>
          <w:color w:val="auto"/>
          <w:sz w:val="24"/>
          <w:szCs w:val="24"/>
          <w:highlight w:val="none"/>
        </w:rPr>
        <w:t>原文：</w:t>
      </w:r>
      <w:r>
        <w:rPr>
          <w:rFonts w:hint="eastAsia" w:ascii="宋体" w:hAnsi="宋体"/>
          <w:color w:val="auto"/>
          <w:sz w:val="24"/>
          <w:szCs w:val="24"/>
          <w:highlight w:val="none"/>
        </w:rPr>
        <w:t>3</w:t>
      </w:r>
      <w:r>
        <w:rPr>
          <w:rFonts w:ascii="宋体" w:hAnsi="宋体"/>
          <w:color w:val="auto"/>
          <w:sz w:val="24"/>
          <w:szCs w:val="24"/>
          <w:highlight w:val="none"/>
        </w:rPr>
        <w:t>.5.7</w:t>
      </w:r>
      <w:r>
        <w:rPr>
          <w:rFonts w:hint="eastAsia" w:ascii="宋体" w:hAnsi="宋体"/>
          <w:color w:val="auto"/>
          <w:sz w:val="24"/>
          <w:szCs w:val="24"/>
          <w:highlight w:val="none"/>
        </w:rPr>
        <w:t>授权的委托代理人及项目部主要组成人员（项目负责人、技术负责人（如有）、专职安全员）在本单位交纳的社保证明文件（以加盖社会保险基金管理中心印章的《投保单》或《社会保险参保人员证明》资料为准）。</w:t>
      </w:r>
    </w:p>
    <w:p>
      <w:pPr>
        <w:pBdr>
          <w:bottom w:val="single" w:color="auto" w:sz="6" w:space="1"/>
        </w:pBdr>
        <w:spacing w:line="360" w:lineRule="auto"/>
        <w:ind w:firstLine="482" w:firstLineChars="200"/>
        <w:rPr>
          <w:rFonts w:ascii="宋体" w:hAnsi="宋体"/>
          <w:color w:val="auto"/>
          <w:sz w:val="24"/>
          <w:szCs w:val="24"/>
          <w:highlight w:val="none"/>
        </w:rPr>
      </w:pPr>
      <w:r>
        <w:rPr>
          <w:rFonts w:hint="eastAsia" w:ascii="宋体" w:hAnsi="宋体"/>
          <w:b/>
          <w:bCs/>
          <w:color w:val="auto"/>
          <w:sz w:val="24"/>
          <w:szCs w:val="24"/>
          <w:highlight w:val="none"/>
        </w:rPr>
        <w:t>现文：</w:t>
      </w:r>
      <w:r>
        <w:rPr>
          <w:rFonts w:hint="eastAsia" w:ascii="宋体" w:hAnsi="宋体"/>
          <w:color w:val="auto"/>
          <w:sz w:val="24"/>
          <w:szCs w:val="24"/>
          <w:highlight w:val="none"/>
        </w:rPr>
        <w:t>3</w:t>
      </w:r>
      <w:r>
        <w:rPr>
          <w:rFonts w:ascii="宋体" w:hAnsi="宋体"/>
          <w:color w:val="auto"/>
          <w:sz w:val="24"/>
          <w:szCs w:val="24"/>
          <w:highlight w:val="none"/>
        </w:rPr>
        <w:t>.5.7</w:t>
      </w:r>
      <w:r>
        <w:rPr>
          <w:rFonts w:hint="eastAsia" w:ascii="宋体" w:hAnsi="宋体" w:cs="宋体"/>
          <w:color w:val="auto"/>
          <w:kern w:val="0"/>
          <w:sz w:val="24"/>
          <w:szCs w:val="24"/>
          <w:highlight w:val="none"/>
        </w:rPr>
        <w:t>投标申请人须保证授权的委托代理人及项目部主要组成人员（项目负责人</w:t>
      </w:r>
      <w:bookmarkStart w:id="3" w:name="_Hlk49765256"/>
      <w:r>
        <w:rPr>
          <w:rFonts w:hint="eastAsia" w:ascii="宋体" w:hAnsi="宋体" w:cs="宋体"/>
          <w:color w:val="auto"/>
          <w:kern w:val="0"/>
          <w:sz w:val="24"/>
          <w:szCs w:val="24"/>
          <w:highlight w:val="none"/>
        </w:rPr>
        <w:t>、</w:t>
      </w:r>
      <w:bookmarkEnd w:id="3"/>
      <w:r>
        <w:rPr>
          <w:rFonts w:hint="eastAsia" w:ascii="宋体" w:hAnsi="宋体" w:cs="宋体"/>
          <w:color w:val="auto"/>
          <w:kern w:val="0"/>
          <w:sz w:val="24"/>
          <w:szCs w:val="24"/>
          <w:highlight w:val="none"/>
        </w:rPr>
        <w:t>专职安全员）均为本单位的正式职工，必须具有最近</w:t>
      </w:r>
      <w:r>
        <w:rPr>
          <w:rFonts w:hint="eastAsia" w:ascii="宋体" w:hAnsi="宋体" w:cs="宋体"/>
          <w:color w:val="auto"/>
          <w:kern w:val="0"/>
          <w:sz w:val="24"/>
          <w:szCs w:val="24"/>
          <w:highlight w:val="none"/>
          <w:u w:val="single"/>
        </w:rPr>
        <w:t>1个月</w:t>
      </w:r>
      <w:r>
        <w:rPr>
          <w:rFonts w:hint="eastAsia" w:ascii="宋体" w:hAnsi="宋体" w:cs="宋体"/>
          <w:color w:val="auto"/>
          <w:kern w:val="0"/>
          <w:sz w:val="24"/>
          <w:szCs w:val="24"/>
          <w:highlight w:val="none"/>
        </w:rPr>
        <w:t>（时间为：</w:t>
      </w:r>
      <w:r>
        <w:rPr>
          <w:rFonts w:hint="eastAsia" w:ascii="宋体" w:hAnsi="宋体" w:cs="宋体"/>
          <w:color w:val="auto"/>
          <w:kern w:val="0"/>
          <w:sz w:val="24"/>
          <w:szCs w:val="24"/>
          <w:highlight w:val="none"/>
          <w:u w:val="single"/>
        </w:rPr>
        <w:t>2</w:t>
      </w:r>
      <w:r>
        <w:rPr>
          <w:rFonts w:ascii="宋体" w:hAnsi="宋体" w:cs="宋体"/>
          <w:color w:val="auto"/>
          <w:kern w:val="0"/>
          <w:sz w:val="24"/>
          <w:szCs w:val="24"/>
          <w:highlight w:val="none"/>
          <w:u w:val="single"/>
        </w:rPr>
        <w:t>02</w:t>
      </w:r>
      <w:r>
        <w:rPr>
          <w:rFonts w:hint="eastAsia" w:ascii="宋体" w:hAnsi="宋体" w:cs="宋体"/>
          <w:color w:val="auto"/>
          <w:kern w:val="0"/>
          <w:sz w:val="24"/>
          <w:szCs w:val="24"/>
          <w:highlight w:val="none"/>
          <w:u w:val="single"/>
          <w:lang w:val="en-US" w:eastAsia="zh-CN"/>
        </w:rPr>
        <w:t>3</w:t>
      </w:r>
      <w:r>
        <w:rPr>
          <w:rFonts w:hint="eastAsia" w:ascii="宋体" w:hAnsi="宋体" w:cs="宋体"/>
          <w:color w:val="auto"/>
          <w:kern w:val="0"/>
          <w:sz w:val="24"/>
          <w:szCs w:val="24"/>
          <w:highlight w:val="none"/>
          <w:u w:val="single"/>
        </w:rPr>
        <w:t>年</w:t>
      </w:r>
      <w:r>
        <w:rPr>
          <w:rFonts w:hint="eastAsia" w:ascii="宋体" w:hAnsi="宋体" w:cs="宋体"/>
          <w:color w:val="auto"/>
          <w:kern w:val="0"/>
          <w:sz w:val="24"/>
          <w:szCs w:val="24"/>
          <w:highlight w:val="none"/>
          <w:u w:val="single"/>
          <w:lang w:val="en-US" w:eastAsia="zh-CN"/>
        </w:rPr>
        <w:t>8</w:t>
      </w:r>
      <w:r>
        <w:rPr>
          <w:rFonts w:hint="eastAsia" w:ascii="宋体" w:hAnsi="宋体" w:cs="宋体"/>
          <w:color w:val="auto"/>
          <w:kern w:val="0"/>
          <w:sz w:val="24"/>
          <w:szCs w:val="24"/>
          <w:highlight w:val="none"/>
          <w:u w:val="single"/>
        </w:rPr>
        <w:t>月</w:t>
      </w:r>
      <w:r>
        <w:rPr>
          <w:rFonts w:hint="eastAsia" w:ascii="宋体" w:hAnsi="宋体" w:cs="宋体"/>
          <w:color w:val="auto"/>
          <w:kern w:val="0"/>
          <w:sz w:val="24"/>
          <w:szCs w:val="24"/>
          <w:highlight w:val="none"/>
        </w:rPr>
        <w:t>）在本单位交纳的社保证明文件（以加盖社会保险基金管理中心印章的《投保单》或《社会保险参保人员证明》资料为准）。</w:t>
      </w:r>
    </w:p>
    <w:p>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条款号：3</w:t>
      </w:r>
      <w:r>
        <w:rPr>
          <w:rFonts w:ascii="宋体" w:hAnsi="宋体"/>
          <w:b/>
          <w:bCs/>
          <w:color w:val="auto"/>
          <w:sz w:val="24"/>
          <w:szCs w:val="24"/>
          <w:highlight w:val="none"/>
        </w:rPr>
        <w:t>.5.8</w:t>
      </w:r>
      <w:r>
        <w:rPr>
          <w:rFonts w:hint="eastAsia" w:ascii="宋体" w:hAnsi="宋体"/>
          <w:b/>
          <w:bCs/>
          <w:color w:val="auto"/>
          <w:sz w:val="24"/>
          <w:szCs w:val="24"/>
          <w:highlight w:val="none"/>
        </w:rPr>
        <w:t xml:space="preserve">             修改类型：删除</w:t>
      </w:r>
    </w:p>
    <w:p>
      <w:pPr>
        <w:pBdr>
          <w:bottom w:val="single" w:color="auto" w:sz="6" w:space="1"/>
        </w:pBdr>
        <w:spacing w:line="360" w:lineRule="auto"/>
        <w:ind w:firstLine="482" w:firstLineChars="200"/>
        <w:rPr>
          <w:rFonts w:ascii="宋体" w:hAnsi="宋体"/>
          <w:color w:val="auto"/>
          <w:sz w:val="24"/>
          <w:szCs w:val="24"/>
          <w:highlight w:val="none"/>
        </w:rPr>
      </w:pPr>
      <w:r>
        <w:rPr>
          <w:rFonts w:hint="eastAsia" w:ascii="宋体" w:hAnsi="宋体"/>
          <w:b/>
          <w:bCs/>
          <w:color w:val="auto"/>
          <w:sz w:val="24"/>
          <w:szCs w:val="24"/>
          <w:highlight w:val="none"/>
        </w:rPr>
        <w:t>原文：</w:t>
      </w:r>
      <w:r>
        <w:rPr>
          <w:rFonts w:hint="eastAsia" w:ascii="宋体" w:hAnsi="宋体"/>
          <w:color w:val="auto"/>
          <w:sz w:val="24"/>
          <w:szCs w:val="24"/>
          <w:highlight w:val="none"/>
        </w:rPr>
        <w:t>3.5.8投标人须知前附表规定接受联合体投标的，本章第3.5.1项至第3.5.6项规定的表格和资料应包括联合体各方相关情况。</w:t>
      </w:r>
    </w:p>
    <w:p>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条款号：3</w:t>
      </w:r>
      <w:r>
        <w:rPr>
          <w:rFonts w:ascii="宋体" w:hAnsi="宋体"/>
          <w:b/>
          <w:bCs/>
          <w:color w:val="auto"/>
          <w:sz w:val="24"/>
          <w:szCs w:val="24"/>
          <w:highlight w:val="none"/>
        </w:rPr>
        <w:t>.6.3</w:t>
      </w:r>
      <w:r>
        <w:rPr>
          <w:rFonts w:hint="eastAsia" w:ascii="宋体" w:hAnsi="宋体"/>
          <w:b/>
          <w:bCs/>
          <w:color w:val="auto"/>
          <w:sz w:val="24"/>
          <w:szCs w:val="24"/>
          <w:highlight w:val="none"/>
        </w:rPr>
        <w:t xml:space="preserve">             修改类型：删除</w:t>
      </w:r>
    </w:p>
    <w:p>
      <w:pPr>
        <w:pBdr>
          <w:bottom w:val="single" w:color="auto" w:sz="6" w:space="1"/>
        </w:pBdr>
        <w:spacing w:line="360" w:lineRule="auto"/>
        <w:ind w:firstLine="482" w:firstLineChars="200"/>
        <w:rPr>
          <w:rFonts w:ascii="宋体" w:hAnsi="宋体"/>
          <w:color w:val="auto"/>
          <w:sz w:val="24"/>
          <w:szCs w:val="24"/>
          <w:highlight w:val="none"/>
        </w:rPr>
      </w:pPr>
      <w:r>
        <w:rPr>
          <w:rFonts w:hint="eastAsia" w:ascii="宋体" w:hAnsi="宋体"/>
          <w:b/>
          <w:bCs/>
          <w:color w:val="auto"/>
          <w:sz w:val="24"/>
          <w:szCs w:val="24"/>
          <w:highlight w:val="none"/>
        </w:rPr>
        <w:t>原文：</w:t>
      </w:r>
      <w:r>
        <w:rPr>
          <w:rFonts w:hint="eastAsia" w:ascii="宋体" w:hAnsi="宋体"/>
          <w:color w:val="auto"/>
          <w:sz w:val="24"/>
          <w:szCs w:val="24"/>
          <w:highlight w:val="none"/>
        </w:rPr>
        <w:t>3</w:t>
      </w:r>
      <w:r>
        <w:rPr>
          <w:rFonts w:ascii="宋体" w:hAnsi="宋体"/>
          <w:color w:val="auto"/>
          <w:sz w:val="24"/>
          <w:szCs w:val="24"/>
          <w:highlight w:val="none"/>
        </w:rPr>
        <w:t>.6.3</w:t>
      </w:r>
      <w:r>
        <w:rPr>
          <w:rFonts w:hint="eastAsia" w:ascii="宋体" w:hAnsi="宋体"/>
          <w:bCs/>
          <w:color w:val="auto"/>
          <w:sz w:val="24"/>
          <w:szCs w:val="24"/>
          <w:highlight w:val="none"/>
        </w:rPr>
        <w:t>联合体投标时，联合体共同投标协议、投标申请人声明需联合体各方按要求共同盖章签字，其余可由联合体主办方签字、盖章即可，由联合体主办方法人签字的电子投标文件需提供牵头主办方法定代表人证明书，若由联合体主办方法定代表人授权签字的电子投标文件需提供法定代表人证明书及其授权委托书、授权委托人身份证复印件</w:t>
      </w:r>
      <w:r>
        <w:rPr>
          <w:rFonts w:hint="eastAsia" w:ascii="宋体" w:hAnsi="宋体"/>
          <w:color w:val="auto"/>
          <w:sz w:val="24"/>
          <w:szCs w:val="24"/>
          <w:highlight w:val="none"/>
        </w:rPr>
        <w:t>。</w:t>
      </w:r>
    </w:p>
    <w:p>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条款号：</w:t>
      </w:r>
      <w:r>
        <w:rPr>
          <w:rFonts w:ascii="宋体" w:hAnsi="宋体"/>
          <w:b/>
          <w:bCs/>
          <w:color w:val="auto"/>
          <w:sz w:val="24"/>
          <w:szCs w:val="24"/>
          <w:highlight w:val="none"/>
        </w:rPr>
        <w:t>5.2.4</w:t>
      </w:r>
      <w:r>
        <w:rPr>
          <w:rFonts w:hint="eastAsia" w:ascii="宋体" w:hAnsi="宋体"/>
          <w:b/>
          <w:bCs/>
          <w:color w:val="auto"/>
          <w:sz w:val="24"/>
          <w:szCs w:val="24"/>
          <w:highlight w:val="none"/>
        </w:rPr>
        <w:t xml:space="preserve">          </w:t>
      </w:r>
      <w:r>
        <w:rPr>
          <w:rFonts w:ascii="宋体" w:hAnsi="宋体"/>
          <w:b/>
          <w:bCs/>
          <w:color w:val="auto"/>
          <w:sz w:val="24"/>
          <w:szCs w:val="24"/>
          <w:highlight w:val="none"/>
        </w:rPr>
        <w:t xml:space="preserve">           </w:t>
      </w:r>
      <w:r>
        <w:rPr>
          <w:rFonts w:hint="eastAsia" w:ascii="宋体" w:hAnsi="宋体"/>
          <w:b/>
          <w:bCs/>
          <w:color w:val="auto"/>
          <w:sz w:val="24"/>
          <w:szCs w:val="24"/>
          <w:highlight w:val="none"/>
        </w:rPr>
        <w:t xml:space="preserve">   修改类型：修改</w:t>
      </w:r>
    </w:p>
    <w:p>
      <w:pPr>
        <w:pBdr>
          <w:bottom w:val="single" w:color="auto" w:sz="6" w:space="1"/>
        </w:pBdr>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原文：</w:t>
      </w:r>
      <w:r>
        <w:rPr>
          <w:rFonts w:hint="eastAsia" w:ascii="宋体" w:hAnsi="宋体"/>
          <w:color w:val="auto"/>
          <w:sz w:val="24"/>
          <w:highlight w:val="none"/>
        </w:rPr>
        <w:t>5.2.4 公布招标项目名称、投标人名称、投标文件解密情况、投标保证金的递交情况、投标报价、质量要求、工期、项目负责人、专职安全员及其他内容，并记录在案；</w:t>
      </w:r>
    </w:p>
    <w:p>
      <w:pPr>
        <w:pBdr>
          <w:bottom w:val="single" w:color="auto" w:sz="6" w:space="1"/>
        </w:pBdr>
        <w:spacing w:line="360" w:lineRule="auto"/>
        <w:ind w:firstLine="482" w:firstLineChars="200"/>
        <w:rPr>
          <w:rFonts w:ascii="宋体" w:hAnsi="宋体"/>
          <w:color w:val="auto"/>
          <w:sz w:val="24"/>
          <w:szCs w:val="24"/>
          <w:highlight w:val="none"/>
        </w:rPr>
      </w:pPr>
      <w:r>
        <w:rPr>
          <w:rFonts w:hint="eastAsia" w:ascii="宋体" w:hAnsi="宋体"/>
          <w:b/>
          <w:bCs/>
          <w:color w:val="auto"/>
          <w:sz w:val="24"/>
          <w:highlight w:val="none"/>
        </w:rPr>
        <w:t>现文：</w:t>
      </w:r>
      <w:r>
        <w:rPr>
          <w:rFonts w:hint="eastAsia" w:ascii="宋体" w:hAnsi="宋体"/>
          <w:color w:val="auto"/>
          <w:sz w:val="24"/>
          <w:highlight w:val="none"/>
        </w:rPr>
        <w:t xml:space="preserve">5.2.4 </w:t>
      </w:r>
      <w:r>
        <w:rPr>
          <w:rFonts w:hint="eastAsia" w:ascii="宋体" w:hAnsi="宋体"/>
          <w:color w:val="auto"/>
          <w:sz w:val="24"/>
          <w:highlight w:val="none"/>
          <w:u w:val="single"/>
        </w:rPr>
        <w:t>公布招标项目名称、投标人名称、投标文件解密情况、投标报价、质量要求、工期、项目负责人、专职安全员及其他内容，并记录在案；</w:t>
      </w:r>
    </w:p>
    <w:p>
      <w:pPr>
        <w:spacing w:line="360" w:lineRule="auto"/>
        <w:ind w:firstLine="482" w:firstLineChars="200"/>
        <w:rPr>
          <w:rFonts w:hint="eastAsia" w:ascii="宋体" w:hAnsi="宋体" w:eastAsia="宋体"/>
          <w:b/>
          <w:bCs/>
          <w:color w:val="auto"/>
          <w:sz w:val="24"/>
          <w:szCs w:val="24"/>
          <w:highlight w:val="none"/>
          <w:lang w:eastAsia="zh-CN"/>
        </w:rPr>
      </w:pPr>
      <w:r>
        <w:rPr>
          <w:rFonts w:hint="eastAsia" w:ascii="宋体" w:hAnsi="宋体"/>
          <w:b/>
          <w:bCs/>
          <w:color w:val="auto"/>
          <w:sz w:val="24"/>
          <w:szCs w:val="24"/>
          <w:highlight w:val="none"/>
        </w:rPr>
        <w:t>条款号：</w:t>
      </w:r>
      <w:r>
        <w:rPr>
          <w:rFonts w:hint="eastAsia" w:ascii="宋体" w:hAnsi="宋体"/>
          <w:b/>
          <w:bCs/>
          <w:color w:val="auto"/>
          <w:sz w:val="24"/>
          <w:szCs w:val="24"/>
          <w:highlight w:val="none"/>
          <w:lang w:val="en-US" w:eastAsia="zh-CN"/>
        </w:rPr>
        <w:t>5.3.1</w:t>
      </w:r>
      <w:r>
        <w:rPr>
          <w:rFonts w:hint="eastAsia" w:ascii="宋体" w:hAnsi="宋体"/>
          <w:b/>
          <w:bCs/>
          <w:color w:val="auto"/>
          <w:sz w:val="24"/>
          <w:szCs w:val="24"/>
          <w:highlight w:val="none"/>
        </w:rPr>
        <w:t xml:space="preserve">             修改类型：</w:t>
      </w:r>
      <w:r>
        <w:rPr>
          <w:rFonts w:hint="eastAsia" w:ascii="宋体" w:hAnsi="宋体"/>
          <w:b/>
          <w:bCs/>
          <w:color w:val="auto"/>
          <w:sz w:val="24"/>
          <w:szCs w:val="24"/>
          <w:highlight w:val="none"/>
          <w:lang w:val="en-US" w:eastAsia="zh-CN"/>
        </w:rPr>
        <w:t>修改</w:t>
      </w:r>
    </w:p>
    <w:p>
      <w:pPr>
        <w:pBdr>
          <w:bottom w:val="single" w:color="auto" w:sz="6" w:space="1"/>
        </w:pBdr>
        <w:spacing w:line="360" w:lineRule="auto"/>
        <w:ind w:firstLine="482" w:firstLineChars="200"/>
        <w:rPr>
          <w:rFonts w:hint="eastAsia" w:ascii="宋体" w:hAnsi="宋体"/>
          <w:color w:val="auto"/>
          <w:sz w:val="24"/>
          <w:szCs w:val="24"/>
          <w:highlight w:val="none"/>
        </w:rPr>
      </w:pPr>
      <w:r>
        <w:rPr>
          <w:rFonts w:hint="eastAsia" w:ascii="宋体" w:hAnsi="宋体"/>
          <w:b/>
          <w:bCs/>
          <w:color w:val="auto"/>
          <w:sz w:val="24"/>
          <w:szCs w:val="24"/>
          <w:highlight w:val="none"/>
        </w:rPr>
        <w:t>原文：</w:t>
      </w:r>
      <w:r>
        <w:rPr>
          <w:rFonts w:hint="eastAsia" w:ascii="宋体" w:hAnsi="宋体"/>
          <w:color w:val="auto"/>
          <w:sz w:val="24"/>
          <w:szCs w:val="24"/>
          <w:highlight w:val="none"/>
        </w:rPr>
        <w:t>5.3.1投标人代表对开标有异议的，应当在开标现场提出，招标人当场作出答复，并制作记录。该投标人代表须同时出示本人身份证原件。</w:t>
      </w:r>
    </w:p>
    <w:p>
      <w:pPr>
        <w:pBdr>
          <w:bottom w:val="single" w:color="auto" w:sz="6" w:space="1"/>
        </w:pBdr>
        <w:spacing w:line="360" w:lineRule="auto"/>
        <w:ind w:firstLine="482" w:firstLineChars="200"/>
        <w:rPr>
          <w:rFonts w:ascii="宋体" w:hAnsi="宋体"/>
          <w:color w:val="auto"/>
          <w:sz w:val="24"/>
          <w:szCs w:val="24"/>
          <w:highlight w:val="none"/>
        </w:rPr>
      </w:pPr>
      <w:r>
        <w:rPr>
          <w:rFonts w:hint="eastAsia" w:ascii="宋体" w:hAnsi="宋体"/>
          <w:b/>
          <w:bCs/>
          <w:color w:val="auto"/>
          <w:sz w:val="24"/>
          <w:szCs w:val="24"/>
          <w:highlight w:val="none"/>
          <w:lang w:val="en-US" w:eastAsia="zh-CN"/>
        </w:rPr>
        <w:t>现文：</w:t>
      </w:r>
      <w:r>
        <w:rPr>
          <w:rFonts w:hint="eastAsia" w:ascii="宋体" w:hAnsi="宋体"/>
          <w:color w:val="auto"/>
          <w:sz w:val="24"/>
          <w:szCs w:val="24"/>
          <w:highlight w:val="none"/>
        </w:rPr>
        <w:t>5.3.1投标人代表对开标有异议的，应当在开标现场提出，招标人当场作出答复，并制作记录。该投标人代表须同时出示本人身份证原件。</w:t>
      </w:r>
      <w:r>
        <w:rPr>
          <w:rFonts w:hint="eastAsia" w:ascii="宋体" w:hAnsi="宋体"/>
          <w:color w:val="auto"/>
          <w:sz w:val="24"/>
          <w:szCs w:val="24"/>
          <w:highlight w:val="none"/>
          <w:u w:val="single"/>
        </w:rPr>
        <w:t>参加在线开标的，投标人应通过交易平台在线提出，招标人应通过交易平台答复，答复后方可结束开标。</w:t>
      </w:r>
    </w:p>
    <w:p>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条款号：</w:t>
      </w:r>
      <w:r>
        <w:rPr>
          <w:rFonts w:ascii="宋体" w:hAnsi="宋体"/>
          <w:b/>
          <w:bCs/>
          <w:color w:val="auto"/>
          <w:sz w:val="24"/>
          <w:szCs w:val="24"/>
          <w:highlight w:val="none"/>
        </w:rPr>
        <w:t>5.4.1</w:t>
      </w:r>
      <w:r>
        <w:rPr>
          <w:rFonts w:hint="eastAsia" w:ascii="宋体" w:hAnsi="宋体"/>
          <w:b/>
          <w:bCs/>
          <w:color w:val="auto"/>
          <w:sz w:val="24"/>
          <w:szCs w:val="24"/>
          <w:highlight w:val="none"/>
        </w:rPr>
        <w:t xml:space="preserve">（4）          </w:t>
      </w:r>
      <w:r>
        <w:rPr>
          <w:rFonts w:ascii="宋体" w:hAnsi="宋体"/>
          <w:b/>
          <w:bCs/>
          <w:color w:val="auto"/>
          <w:sz w:val="24"/>
          <w:szCs w:val="24"/>
          <w:highlight w:val="none"/>
        </w:rPr>
        <w:t xml:space="preserve">      </w:t>
      </w:r>
      <w:r>
        <w:rPr>
          <w:rFonts w:hint="eastAsia" w:ascii="宋体" w:hAnsi="宋体"/>
          <w:b/>
          <w:bCs/>
          <w:color w:val="auto"/>
          <w:sz w:val="24"/>
          <w:szCs w:val="24"/>
          <w:highlight w:val="none"/>
        </w:rPr>
        <w:t xml:space="preserve">   修改类型：删除</w:t>
      </w:r>
    </w:p>
    <w:p>
      <w:pPr>
        <w:pBdr>
          <w:bottom w:val="single" w:color="auto" w:sz="6" w:space="1"/>
        </w:pBdr>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原文：</w:t>
      </w:r>
      <w:r>
        <w:rPr>
          <w:rFonts w:hint="eastAsia" w:ascii="宋体" w:hAnsi="宋体"/>
          <w:color w:val="auto"/>
          <w:sz w:val="24"/>
          <w:highlight w:val="none"/>
        </w:rPr>
        <w:t>5.</w:t>
      </w:r>
      <w:r>
        <w:rPr>
          <w:rFonts w:ascii="宋体" w:hAnsi="宋体"/>
          <w:color w:val="auto"/>
          <w:sz w:val="24"/>
          <w:highlight w:val="none"/>
        </w:rPr>
        <w:t>4</w:t>
      </w: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（4）未按招标文件要求提供投标保证金的；</w:t>
      </w:r>
    </w:p>
    <w:p>
      <w:pPr>
        <w:spacing w:line="360" w:lineRule="auto"/>
        <w:ind w:firstLine="482" w:firstLineChars="200"/>
        <w:rPr>
          <w:rFonts w:hint="eastAsia" w:ascii="宋体" w:hAnsi="宋体" w:eastAsia="宋体"/>
          <w:b/>
          <w:bCs/>
          <w:color w:val="auto"/>
          <w:sz w:val="24"/>
          <w:szCs w:val="24"/>
          <w:highlight w:val="none"/>
          <w:lang w:eastAsia="zh-CN"/>
        </w:rPr>
      </w:pPr>
      <w:r>
        <w:rPr>
          <w:rFonts w:hint="eastAsia" w:ascii="宋体" w:hAnsi="宋体"/>
          <w:b/>
          <w:bCs/>
          <w:color w:val="auto"/>
          <w:sz w:val="24"/>
          <w:szCs w:val="24"/>
          <w:highlight w:val="none"/>
        </w:rPr>
        <w:t>条款号：</w:t>
      </w:r>
      <w:r>
        <w:rPr>
          <w:rFonts w:hint="eastAsia" w:ascii="宋体" w:hAnsi="宋体"/>
          <w:b/>
          <w:bCs/>
          <w:color w:val="auto"/>
          <w:sz w:val="24"/>
          <w:szCs w:val="24"/>
          <w:highlight w:val="none"/>
          <w:lang w:val="en-US" w:eastAsia="zh-CN"/>
        </w:rPr>
        <w:t>7.2.4</w:t>
      </w:r>
      <w:r>
        <w:rPr>
          <w:rFonts w:hint="eastAsia" w:ascii="宋体" w:hAnsi="宋体"/>
          <w:b/>
          <w:bCs/>
          <w:color w:val="auto"/>
          <w:sz w:val="24"/>
          <w:szCs w:val="24"/>
          <w:highlight w:val="none"/>
        </w:rPr>
        <w:t xml:space="preserve">             修改类型：</w:t>
      </w:r>
      <w:r>
        <w:rPr>
          <w:rFonts w:hint="eastAsia" w:ascii="宋体" w:hAnsi="宋体"/>
          <w:b/>
          <w:bCs/>
          <w:color w:val="auto"/>
          <w:sz w:val="24"/>
          <w:szCs w:val="24"/>
          <w:highlight w:val="none"/>
          <w:lang w:val="en-US" w:eastAsia="zh-CN"/>
        </w:rPr>
        <w:t>修改</w:t>
      </w:r>
    </w:p>
    <w:p>
      <w:pPr>
        <w:pBdr>
          <w:bottom w:val="single" w:color="auto" w:sz="6" w:space="1"/>
        </w:pBdr>
        <w:spacing w:line="360" w:lineRule="auto"/>
        <w:ind w:firstLine="482" w:firstLineChars="200"/>
        <w:rPr>
          <w:rFonts w:hint="eastAsia" w:ascii="宋体" w:hAnsi="宋体"/>
          <w:color w:val="auto"/>
          <w:sz w:val="24"/>
          <w:szCs w:val="24"/>
          <w:highlight w:val="none"/>
        </w:rPr>
      </w:pPr>
      <w:r>
        <w:rPr>
          <w:rFonts w:hint="eastAsia" w:ascii="宋体" w:hAnsi="宋体"/>
          <w:b/>
          <w:bCs/>
          <w:color w:val="auto"/>
          <w:sz w:val="24"/>
          <w:szCs w:val="24"/>
          <w:highlight w:val="none"/>
        </w:rPr>
        <w:t>原文：</w:t>
      </w:r>
      <w:r>
        <w:rPr>
          <w:rFonts w:hint="eastAsia" w:ascii="宋体" w:hAnsi="宋体"/>
          <w:color w:val="auto"/>
          <w:sz w:val="24"/>
          <w:highlight w:val="none"/>
        </w:rPr>
        <w:t>7.2.4 重新评标的，评标信息（含业绩、奖项等）仍以投标截止时投标人的信息为准。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r>
        <w:rPr>
          <w:rFonts w:hint="eastAsia" w:ascii="宋体" w:hAnsi="宋体"/>
          <w:color w:val="auto"/>
          <w:sz w:val="24"/>
          <w:szCs w:val="24"/>
          <w:highlight w:val="none"/>
        </w:rPr>
        <w:t>。</w:t>
      </w:r>
    </w:p>
    <w:p>
      <w:pPr>
        <w:pBdr>
          <w:bottom w:val="single" w:color="auto" w:sz="6" w:space="1"/>
        </w:pBdr>
        <w:spacing w:line="360" w:lineRule="auto"/>
        <w:ind w:firstLine="482" w:firstLineChars="200"/>
        <w:rPr>
          <w:rFonts w:ascii="宋体" w:hAnsi="宋体"/>
          <w:color w:val="auto"/>
          <w:sz w:val="24"/>
          <w:szCs w:val="24"/>
          <w:highlight w:val="none"/>
        </w:rPr>
      </w:pPr>
      <w:r>
        <w:rPr>
          <w:rFonts w:hint="eastAsia" w:ascii="宋体" w:hAnsi="宋体"/>
          <w:b/>
          <w:bCs/>
          <w:color w:val="auto"/>
          <w:sz w:val="24"/>
          <w:szCs w:val="24"/>
          <w:highlight w:val="none"/>
          <w:lang w:val="en-US" w:eastAsia="zh-CN"/>
        </w:rPr>
        <w:t>现文：</w:t>
      </w:r>
      <w:r>
        <w:rPr>
          <w:rFonts w:hint="eastAsia" w:ascii="宋体" w:hAnsi="宋体"/>
          <w:color w:val="auto"/>
          <w:sz w:val="24"/>
          <w:highlight w:val="none"/>
        </w:rPr>
        <w:t xml:space="preserve">7.2.4 </w:t>
      </w:r>
      <w:r>
        <w:rPr>
          <w:rFonts w:hint="eastAsia" w:ascii="宋体" w:hAnsi="宋体"/>
          <w:color w:val="auto"/>
          <w:sz w:val="24"/>
          <w:highlight w:val="none"/>
          <w:u w:val="single"/>
        </w:rPr>
        <w:t>重新评标的，评标信息（含业绩、奖项等）仍以投标截止时投标人的信息为准。出现特殊情况需要延长投标有效期的，招标人以书面形式通知所有投标人延长投标有效期。投标人同意延长的，不得要求或被允许修改或撤销其投标文件；投标人拒绝延长的，其投标失效</w:t>
      </w:r>
      <w:r>
        <w:rPr>
          <w:rFonts w:hint="eastAsia" w:ascii="宋体" w:hAnsi="宋体"/>
          <w:color w:val="auto"/>
          <w:sz w:val="24"/>
          <w:szCs w:val="24"/>
          <w:highlight w:val="none"/>
          <w:u w:val="single"/>
        </w:rPr>
        <w:t>。</w:t>
      </w:r>
    </w:p>
    <w:p>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条款号：7.4.1            修改类型：修改</w:t>
      </w:r>
    </w:p>
    <w:p>
      <w:pPr>
        <w:pBdr>
          <w:bottom w:val="single" w:color="auto" w:sz="6" w:space="1"/>
        </w:pBdr>
        <w:spacing w:line="360" w:lineRule="auto"/>
        <w:ind w:firstLine="482" w:firstLineChars="200"/>
        <w:rPr>
          <w:rFonts w:ascii="宋体" w:hAnsi="宋体"/>
          <w:color w:val="auto"/>
          <w:sz w:val="24"/>
          <w:szCs w:val="24"/>
          <w:highlight w:val="none"/>
        </w:rPr>
      </w:pPr>
      <w:r>
        <w:rPr>
          <w:rFonts w:hint="eastAsia" w:ascii="宋体" w:hAnsi="宋体"/>
          <w:b/>
          <w:bCs/>
          <w:color w:val="auto"/>
          <w:sz w:val="24"/>
          <w:szCs w:val="24"/>
          <w:highlight w:val="none"/>
        </w:rPr>
        <w:t>原文：7.4.1</w:t>
      </w:r>
      <w:r>
        <w:rPr>
          <w:rFonts w:hint="eastAsia" w:ascii="宋体" w:hAnsi="宋体"/>
          <w:color w:val="auto"/>
          <w:sz w:val="24"/>
          <w:szCs w:val="24"/>
          <w:highlight w:val="none"/>
        </w:rPr>
        <w:t>在签订合同前，中标人应按《投标人须知前附表》规定的担保形式和招标文件“第四章合同条款”规定的或者事先经过招标人书面认可的履约担保格式向招标人提交履约担保。</w:t>
      </w:r>
    </w:p>
    <w:p>
      <w:pPr>
        <w:pBdr>
          <w:bottom w:val="single" w:color="auto" w:sz="6" w:space="1"/>
        </w:pBdr>
        <w:spacing w:line="360" w:lineRule="auto"/>
        <w:ind w:firstLine="482" w:firstLineChars="200"/>
        <w:rPr>
          <w:rFonts w:ascii="宋体" w:hAnsi="宋体"/>
          <w:color w:val="auto"/>
          <w:highlight w:val="none"/>
        </w:rPr>
      </w:pPr>
      <w:r>
        <w:rPr>
          <w:rFonts w:hint="eastAsia" w:ascii="宋体" w:hAnsi="宋体"/>
          <w:b/>
          <w:bCs/>
          <w:color w:val="auto"/>
          <w:sz w:val="24"/>
          <w:szCs w:val="24"/>
          <w:highlight w:val="none"/>
        </w:rPr>
        <w:t>现文：</w:t>
      </w:r>
      <w:r>
        <w:rPr>
          <w:rFonts w:hint="eastAsia" w:ascii="宋体" w:hAnsi="宋体"/>
          <w:color w:val="auto"/>
          <w:sz w:val="24"/>
          <w:szCs w:val="24"/>
          <w:highlight w:val="none"/>
        </w:rPr>
        <w:t>7.4.1</w:t>
      </w:r>
      <w:r>
        <w:rPr>
          <w:rFonts w:hint="eastAsia" w:ascii="宋体" w:hAnsi="宋体"/>
          <w:color w:val="auto"/>
          <w:sz w:val="24"/>
          <w:szCs w:val="24"/>
          <w:highlight w:val="none"/>
          <w:u w:val="single"/>
        </w:rPr>
        <w:t>中标人应在合同签订后30日内，</w:t>
      </w:r>
      <w:r>
        <w:rPr>
          <w:rFonts w:hint="eastAsia" w:ascii="宋体" w:hAnsi="宋体"/>
          <w:color w:val="auto"/>
          <w:sz w:val="24"/>
          <w:szCs w:val="24"/>
          <w:highlight w:val="none"/>
        </w:rPr>
        <w:t>按《投标人须知前附表》规定的担保形式和招标文件“第四章合同条款”规定的或者事先经过招标人书面认可的履约担保格式向招标人提交履约担保。</w:t>
      </w:r>
      <w:r>
        <w:rPr>
          <w:rFonts w:ascii="宋体" w:hAnsi="宋体"/>
          <w:color w:val="auto"/>
          <w:highlight w:val="none"/>
        </w:rPr>
        <w:br w:type="page"/>
      </w:r>
    </w:p>
    <w:p>
      <w:pPr>
        <w:spacing w:line="360" w:lineRule="auto"/>
        <w:jc w:val="center"/>
        <w:outlineLvl w:val="2"/>
        <w:rPr>
          <w:rFonts w:ascii="宋体" w:hAnsi="宋体"/>
          <w:color w:val="auto"/>
          <w:sz w:val="28"/>
          <w:szCs w:val="27"/>
          <w:highlight w:val="none"/>
        </w:rPr>
      </w:pPr>
      <w:bookmarkStart w:id="4" w:name="_Toc21787639"/>
      <w:r>
        <w:rPr>
          <w:rFonts w:hint="eastAsia" w:ascii="宋体" w:hAnsi="宋体"/>
          <w:color w:val="auto"/>
          <w:sz w:val="28"/>
          <w:szCs w:val="27"/>
          <w:highlight w:val="none"/>
        </w:rPr>
        <w:t>投标人须知前附表</w:t>
      </w:r>
      <w:bookmarkEnd w:id="4"/>
    </w:p>
    <w:tbl>
      <w:tblPr>
        <w:tblStyle w:val="40"/>
        <w:tblW w:w="0" w:type="auto"/>
        <w:tblInd w:w="0" w:type="dxa"/>
        <w:tblLayout w:type="fixed"/>
        <w:tblCellMar>
          <w:top w:w="0" w:type="dxa"/>
          <w:left w:w="108" w:type="dxa"/>
          <w:bottom w:w="0" w:type="dxa"/>
          <w:right w:w="108" w:type="dxa"/>
        </w:tblCellMar>
      </w:tblPr>
      <w:tblGrid>
        <w:gridCol w:w="1498"/>
        <w:gridCol w:w="2061"/>
        <w:gridCol w:w="4963"/>
      </w:tblGrid>
      <w:tr>
        <w:tblPrEx>
          <w:tblCellMar>
            <w:top w:w="0" w:type="dxa"/>
            <w:left w:w="108" w:type="dxa"/>
            <w:bottom w:w="0" w:type="dxa"/>
            <w:right w:w="108" w:type="dxa"/>
          </w:tblCellMar>
        </w:tblPrEx>
        <w:tc>
          <w:tcPr>
            <w:tcW w:w="1498" w:type="dxa"/>
            <w:tcBorders>
              <w:top w:val="single" w:color="auto" w:sz="4" w:space="0"/>
              <w:left w:val="single" w:color="auto" w:sz="4" w:space="0"/>
              <w:bottom w:val="single" w:color="auto" w:sz="4" w:space="0"/>
              <w:right w:val="single" w:color="auto" w:sz="4" w:space="0"/>
            </w:tcBorders>
            <w:vAlign w:val="center"/>
          </w:tcPr>
          <w:p>
            <w:pPr>
              <w:spacing w:before="156" w:beforeLines="50" w:line="276" w:lineRule="auto"/>
              <w:contextualSpacing/>
              <w:jc w:val="center"/>
              <w:rPr>
                <w:rFonts w:ascii="宋体" w:hAnsi="宋体"/>
                <w:b/>
                <w:color w:val="auto"/>
                <w:szCs w:val="21"/>
                <w:highlight w:val="none"/>
              </w:rPr>
            </w:pPr>
            <w:r>
              <w:rPr>
                <w:rFonts w:ascii="宋体" w:hAnsi="宋体"/>
                <w:b/>
                <w:color w:val="auto"/>
                <w:szCs w:val="21"/>
                <w:highlight w:val="none"/>
              </w:rPr>
              <w:t>条款号</w:t>
            </w:r>
          </w:p>
        </w:tc>
        <w:tc>
          <w:tcPr>
            <w:tcW w:w="2061" w:type="dxa"/>
            <w:tcBorders>
              <w:top w:val="single" w:color="auto" w:sz="4" w:space="0"/>
              <w:left w:val="single" w:color="auto" w:sz="4" w:space="0"/>
              <w:bottom w:val="single" w:color="auto" w:sz="4" w:space="0"/>
              <w:right w:val="single" w:color="auto" w:sz="4" w:space="0"/>
            </w:tcBorders>
            <w:vAlign w:val="center"/>
          </w:tcPr>
          <w:p>
            <w:pPr>
              <w:spacing w:before="156" w:beforeLines="50" w:line="276" w:lineRule="auto"/>
              <w:contextualSpacing/>
              <w:jc w:val="center"/>
              <w:rPr>
                <w:rFonts w:ascii="宋体" w:hAnsi="宋体"/>
                <w:b/>
                <w:color w:val="auto"/>
                <w:szCs w:val="21"/>
                <w:highlight w:val="none"/>
              </w:rPr>
            </w:pPr>
            <w:r>
              <w:rPr>
                <w:rFonts w:ascii="宋体" w:hAnsi="宋体"/>
                <w:b/>
                <w:color w:val="auto"/>
                <w:szCs w:val="21"/>
                <w:highlight w:val="none"/>
              </w:rPr>
              <w:t>条款名称</w:t>
            </w:r>
          </w:p>
        </w:tc>
        <w:tc>
          <w:tcPr>
            <w:tcW w:w="4963" w:type="dxa"/>
            <w:tcBorders>
              <w:top w:val="single" w:color="auto" w:sz="4" w:space="0"/>
              <w:left w:val="single" w:color="auto" w:sz="4" w:space="0"/>
              <w:bottom w:val="single" w:color="auto" w:sz="4" w:space="0"/>
              <w:right w:val="single" w:color="auto" w:sz="4" w:space="0"/>
            </w:tcBorders>
            <w:vAlign w:val="center"/>
          </w:tcPr>
          <w:p>
            <w:pPr>
              <w:spacing w:before="156" w:beforeLines="50" w:line="276" w:lineRule="auto"/>
              <w:contextualSpacing/>
              <w:jc w:val="center"/>
              <w:rPr>
                <w:rFonts w:ascii="宋体" w:hAnsi="宋体"/>
                <w:b/>
                <w:color w:val="auto"/>
                <w:szCs w:val="21"/>
                <w:highlight w:val="none"/>
              </w:rPr>
            </w:pPr>
            <w:r>
              <w:rPr>
                <w:rFonts w:ascii="宋体" w:hAnsi="宋体"/>
                <w:b/>
                <w:color w:val="auto"/>
                <w:szCs w:val="21"/>
                <w:highlight w:val="none"/>
              </w:rPr>
              <w:t>编列内容</w:t>
            </w:r>
          </w:p>
        </w:tc>
      </w:tr>
      <w:tr>
        <w:tblPrEx>
          <w:tblCellMar>
            <w:top w:w="0" w:type="dxa"/>
            <w:left w:w="108" w:type="dxa"/>
            <w:bottom w:w="0" w:type="dxa"/>
            <w:right w:w="108" w:type="dxa"/>
          </w:tblCellMar>
        </w:tblPrEx>
        <w:trPr>
          <w:trHeight w:val="315" w:hRule="atLeast"/>
        </w:trPr>
        <w:tc>
          <w:tcPr>
            <w:tcW w:w="1498" w:type="dxa"/>
            <w:tcBorders>
              <w:top w:val="single" w:color="auto" w:sz="4" w:space="0"/>
              <w:left w:val="single" w:color="auto" w:sz="4" w:space="0"/>
              <w:bottom w:val="single" w:color="auto" w:sz="4" w:space="0"/>
              <w:right w:val="single" w:color="auto" w:sz="4" w:space="0"/>
            </w:tcBorders>
            <w:vAlign w:val="center"/>
          </w:tcPr>
          <w:p>
            <w:pPr>
              <w:spacing w:before="156" w:beforeLines="50" w:line="276" w:lineRule="auto"/>
              <w:contextualSpacing/>
              <w:jc w:val="center"/>
              <w:rPr>
                <w:rFonts w:ascii="宋体" w:hAnsi="宋体"/>
                <w:color w:val="auto"/>
                <w:szCs w:val="21"/>
                <w:highlight w:val="none"/>
              </w:rPr>
            </w:pPr>
          </w:p>
        </w:tc>
        <w:tc>
          <w:tcPr>
            <w:tcW w:w="2061" w:type="dxa"/>
            <w:tcBorders>
              <w:top w:val="single" w:color="auto" w:sz="4" w:space="0"/>
              <w:left w:val="single" w:color="auto" w:sz="4" w:space="0"/>
              <w:bottom w:val="single" w:color="auto" w:sz="4" w:space="0"/>
              <w:right w:val="single" w:color="auto" w:sz="4" w:space="0"/>
            </w:tcBorders>
            <w:vAlign w:val="center"/>
          </w:tcPr>
          <w:p>
            <w:pPr>
              <w:spacing w:before="156" w:beforeLines="50" w:line="276" w:lineRule="auto"/>
              <w:contextualSpacing/>
              <w:jc w:val="center"/>
              <w:rPr>
                <w:rFonts w:ascii="宋体" w:hAnsi="宋体"/>
                <w:color w:val="auto"/>
                <w:szCs w:val="21"/>
                <w:highlight w:val="none"/>
              </w:rPr>
            </w:pPr>
            <w:r>
              <w:rPr>
                <w:rFonts w:hint="eastAsia" w:ascii="宋体" w:hAnsi="宋体"/>
                <w:color w:val="auto"/>
                <w:szCs w:val="21"/>
                <w:highlight w:val="none"/>
              </w:rPr>
              <w:t>定义</w:t>
            </w:r>
          </w:p>
        </w:tc>
        <w:tc>
          <w:tcPr>
            <w:tcW w:w="4963" w:type="dxa"/>
            <w:tcBorders>
              <w:top w:val="single" w:color="auto" w:sz="4" w:space="0"/>
              <w:left w:val="single" w:color="auto" w:sz="4" w:space="0"/>
              <w:bottom w:val="single" w:color="auto" w:sz="4" w:space="0"/>
              <w:right w:val="single" w:color="auto" w:sz="4" w:space="0"/>
            </w:tcBorders>
            <w:vAlign w:val="center"/>
          </w:tcPr>
          <w:p>
            <w:pPr>
              <w:spacing w:before="156" w:beforeLines="50" w:line="276" w:lineRule="auto"/>
              <w:contextualSpacing/>
              <w:rPr>
                <w:rFonts w:ascii="宋体" w:hAnsi="宋体"/>
                <w:color w:val="auto"/>
                <w:szCs w:val="21"/>
                <w:highlight w:val="none"/>
                <w:u w:val="single"/>
              </w:rPr>
            </w:pPr>
            <w:r>
              <w:rPr>
                <w:rFonts w:hint="eastAsia" w:ascii="宋体" w:hAnsi="宋体"/>
                <w:color w:val="auto"/>
                <w:szCs w:val="21"/>
                <w:highlight w:val="none"/>
              </w:rPr>
              <w:t>招标人（即发包人）：</w:t>
            </w:r>
            <w:r>
              <w:rPr>
                <w:rFonts w:hint="eastAsia" w:ascii="宋体" w:hAnsi="宋体"/>
                <w:color w:val="auto"/>
                <w:szCs w:val="21"/>
                <w:highlight w:val="none"/>
                <w:u w:val="single"/>
              </w:rPr>
              <w:t>广州开发区财政投资建设项目管理中心</w:t>
            </w:r>
          </w:p>
          <w:p>
            <w:pPr>
              <w:spacing w:before="156" w:beforeLines="50" w:line="276" w:lineRule="auto"/>
              <w:contextualSpacing/>
              <w:rPr>
                <w:rFonts w:ascii="宋体" w:hAnsi="宋体"/>
                <w:color w:val="auto"/>
                <w:szCs w:val="21"/>
                <w:highlight w:val="none"/>
              </w:rPr>
            </w:pPr>
            <w:r>
              <w:rPr>
                <w:rFonts w:hint="eastAsia" w:ascii="宋体" w:hAnsi="宋体"/>
                <w:color w:val="auto"/>
                <w:szCs w:val="21"/>
                <w:highlight w:val="none"/>
              </w:rPr>
              <w:t>项目建设管理单位：/</w:t>
            </w:r>
          </w:p>
          <w:p>
            <w:pPr>
              <w:spacing w:before="156" w:beforeLines="50" w:line="276" w:lineRule="auto"/>
              <w:contextualSpacing/>
              <w:rPr>
                <w:rFonts w:hint="eastAsia" w:ascii="宋体" w:hAnsi="宋体" w:eastAsia="宋体"/>
                <w:color w:val="auto"/>
                <w:szCs w:val="21"/>
                <w:highlight w:val="none"/>
                <w:u w:val="single"/>
                <w:lang w:eastAsia="zh-CN"/>
              </w:rPr>
            </w:pPr>
            <w:r>
              <w:rPr>
                <w:rFonts w:hint="eastAsia" w:ascii="宋体" w:hAnsi="宋体"/>
                <w:color w:val="auto"/>
                <w:szCs w:val="21"/>
                <w:highlight w:val="none"/>
              </w:rPr>
              <w:t>招标代理：</w:t>
            </w:r>
            <w:r>
              <w:rPr>
                <w:rFonts w:hint="eastAsia" w:ascii="宋体" w:hAnsi="宋体"/>
                <w:color w:val="auto"/>
                <w:szCs w:val="21"/>
                <w:highlight w:val="none"/>
                <w:u w:val="single"/>
                <w:lang w:eastAsia="zh-CN"/>
              </w:rPr>
              <w:t>广州宏元建设工程咨询有限公司</w:t>
            </w:r>
          </w:p>
          <w:p>
            <w:pPr>
              <w:spacing w:before="156" w:beforeLines="50" w:line="276" w:lineRule="auto"/>
              <w:contextualSpacing/>
              <w:rPr>
                <w:rFonts w:hint="default" w:ascii="宋体" w:hAnsi="宋体" w:eastAsia="宋体"/>
                <w:color w:val="auto"/>
                <w:szCs w:val="21"/>
                <w:highlight w:val="none"/>
                <w:lang w:val="en-US" w:eastAsia="zh-CN"/>
              </w:rPr>
            </w:pPr>
            <w:r>
              <w:rPr>
                <w:rFonts w:hint="eastAsia" w:ascii="宋体" w:hAnsi="宋体"/>
                <w:color w:val="auto"/>
                <w:szCs w:val="21"/>
                <w:highlight w:val="none"/>
              </w:rPr>
              <w:t>设计单位：</w:t>
            </w:r>
            <w:r>
              <w:rPr>
                <w:rFonts w:hint="eastAsia" w:ascii="宋体" w:hAnsi="宋体"/>
                <w:color w:val="auto"/>
                <w:szCs w:val="21"/>
                <w:highlight w:val="none"/>
                <w:u w:val="single"/>
                <w:lang w:val="en-US" w:eastAsia="zh-CN"/>
              </w:rPr>
              <w:t xml:space="preserve">                       </w:t>
            </w:r>
          </w:p>
          <w:p>
            <w:pPr>
              <w:spacing w:before="156" w:beforeLines="50" w:line="276" w:lineRule="auto"/>
              <w:contextualSpacing/>
              <w:rPr>
                <w:rFonts w:hint="default" w:ascii="宋体" w:hAnsi="宋体" w:eastAsia="宋体"/>
                <w:color w:val="auto"/>
                <w:szCs w:val="21"/>
                <w:highlight w:val="none"/>
                <w:lang w:val="en-US" w:eastAsia="zh-CN"/>
              </w:rPr>
            </w:pPr>
            <w:r>
              <w:rPr>
                <w:rFonts w:hint="eastAsia" w:ascii="宋体" w:hAnsi="宋体"/>
                <w:color w:val="auto"/>
                <w:szCs w:val="21"/>
                <w:highlight w:val="none"/>
              </w:rPr>
              <w:t>监理单位：</w:t>
            </w:r>
            <w:bookmarkStart w:id="5" w:name="_Toc359263248"/>
            <w:bookmarkEnd w:id="5"/>
            <w:bookmarkStart w:id="6" w:name="_Toc221950008"/>
            <w:bookmarkStart w:id="7" w:name="_Toc359263249"/>
            <w:r>
              <w:rPr>
                <w:rFonts w:hint="eastAsia" w:ascii="宋体" w:hAnsi="宋体"/>
                <w:color w:val="auto"/>
                <w:szCs w:val="21"/>
                <w:highlight w:val="none"/>
                <w:u w:val="single"/>
                <w:lang w:val="en-US" w:eastAsia="zh-CN"/>
              </w:rPr>
              <w:t xml:space="preserve">                       </w:t>
            </w:r>
          </w:p>
          <w:bookmarkEnd w:id="6"/>
          <w:bookmarkEnd w:id="7"/>
          <w:p>
            <w:pPr>
              <w:spacing w:before="156" w:beforeLines="50" w:line="276" w:lineRule="auto"/>
              <w:contextualSpacing/>
              <w:rPr>
                <w:rFonts w:ascii="宋体" w:hAnsi="宋体"/>
                <w:color w:val="auto"/>
                <w:szCs w:val="21"/>
                <w:highlight w:val="none"/>
              </w:rPr>
            </w:pPr>
            <w:r>
              <w:rPr>
                <w:rFonts w:hint="eastAsia" w:ascii="宋体" w:hAnsi="宋体"/>
                <w:color w:val="auto"/>
                <w:szCs w:val="21"/>
                <w:highlight w:val="none"/>
              </w:rPr>
              <w:t>检测机构：</w:t>
            </w:r>
            <w:bookmarkStart w:id="8" w:name="_Toc221950011"/>
            <w:bookmarkEnd w:id="8"/>
            <w:bookmarkStart w:id="9" w:name="_Toc221950010"/>
            <w:bookmarkEnd w:id="9"/>
            <w:r>
              <w:rPr>
                <w:rFonts w:hint="eastAsia" w:ascii="宋体" w:hAnsi="宋体"/>
                <w:color w:val="auto"/>
                <w:szCs w:val="21"/>
                <w:highlight w:val="none"/>
              </w:rPr>
              <w:t>/</w:t>
            </w:r>
          </w:p>
        </w:tc>
      </w:tr>
      <w:tr>
        <w:tblPrEx>
          <w:tblCellMar>
            <w:top w:w="0" w:type="dxa"/>
            <w:left w:w="108" w:type="dxa"/>
            <w:bottom w:w="0" w:type="dxa"/>
            <w:right w:w="108" w:type="dxa"/>
          </w:tblCellMar>
        </w:tblPrEx>
        <w:trPr>
          <w:trHeight w:val="450" w:hRule="atLeast"/>
        </w:trPr>
        <w:tc>
          <w:tcPr>
            <w:tcW w:w="1498" w:type="dxa"/>
            <w:tcBorders>
              <w:top w:val="single" w:color="auto" w:sz="4" w:space="0"/>
              <w:left w:val="single" w:color="auto" w:sz="4" w:space="0"/>
              <w:bottom w:val="single" w:color="auto" w:sz="4" w:space="0"/>
              <w:right w:val="single" w:color="auto" w:sz="4" w:space="0"/>
            </w:tcBorders>
            <w:vAlign w:val="center"/>
          </w:tcPr>
          <w:p>
            <w:pPr>
              <w:spacing w:before="156" w:beforeLines="50" w:line="276" w:lineRule="auto"/>
              <w:contextualSpacing/>
              <w:jc w:val="center"/>
              <w:rPr>
                <w:rFonts w:ascii="宋体" w:hAnsi="宋体"/>
                <w:color w:val="auto"/>
                <w:szCs w:val="21"/>
                <w:highlight w:val="none"/>
              </w:rPr>
            </w:pPr>
            <w:r>
              <w:rPr>
                <w:rFonts w:hint="eastAsia" w:ascii="宋体" w:hAnsi="宋体"/>
                <w:color w:val="auto"/>
                <w:szCs w:val="21"/>
                <w:highlight w:val="none"/>
              </w:rPr>
              <w:t>1.1.3</w:t>
            </w:r>
          </w:p>
        </w:tc>
        <w:tc>
          <w:tcPr>
            <w:tcW w:w="2061" w:type="dxa"/>
            <w:tcBorders>
              <w:top w:val="single" w:color="auto" w:sz="4" w:space="0"/>
              <w:left w:val="single" w:color="auto" w:sz="4" w:space="0"/>
              <w:bottom w:val="single" w:color="auto" w:sz="4" w:space="0"/>
              <w:right w:val="single" w:color="auto" w:sz="4" w:space="0"/>
            </w:tcBorders>
            <w:vAlign w:val="center"/>
          </w:tcPr>
          <w:p>
            <w:pPr>
              <w:spacing w:before="156" w:beforeLines="50" w:line="276" w:lineRule="auto"/>
              <w:contextualSpacing/>
              <w:jc w:val="center"/>
              <w:rPr>
                <w:rFonts w:ascii="宋体" w:hAnsi="宋体"/>
                <w:color w:val="auto"/>
                <w:szCs w:val="21"/>
                <w:highlight w:val="none"/>
              </w:rPr>
            </w:pPr>
            <w:r>
              <w:rPr>
                <w:rFonts w:ascii="宋体" w:hAnsi="宋体"/>
                <w:color w:val="auto"/>
                <w:szCs w:val="21"/>
                <w:highlight w:val="none"/>
              </w:rPr>
              <w:t>项目名称</w:t>
            </w:r>
          </w:p>
        </w:tc>
        <w:tc>
          <w:tcPr>
            <w:tcW w:w="4963" w:type="dxa"/>
            <w:tcBorders>
              <w:top w:val="single" w:color="auto" w:sz="4" w:space="0"/>
              <w:left w:val="single" w:color="auto" w:sz="4" w:space="0"/>
              <w:bottom w:val="single" w:color="auto" w:sz="4" w:space="0"/>
              <w:right w:val="single" w:color="auto" w:sz="4" w:space="0"/>
            </w:tcBorders>
            <w:vAlign w:val="center"/>
          </w:tcPr>
          <w:p>
            <w:pPr>
              <w:spacing w:before="156" w:beforeLines="50" w:line="276" w:lineRule="auto"/>
              <w:contextualSpacing/>
              <w:rPr>
                <w:rFonts w:hint="eastAsia" w:ascii="宋体" w:hAnsi="宋体" w:eastAsia="宋体"/>
                <w:color w:val="auto"/>
                <w:szCs w:val="21"/>
                <w:highlight w:val="none"/>
                <w:u w:val="single"/>
                <w:lang w:eastAsia="zh-CN"/>
              </w:rPr>
            </w:pPr>
            <w:r>
              <w:rPr>
                <w:rFonts w:hint="eastAsia" w:ascii="宋体" w:hAnsi="宋体"/>
                <w:color w:val="auto"/>
                <w:szCs w:val="21"/>
                <w:highlight w:val="none"/>
                <w:u w:val="single"/>
                <w:lang w:eastAsia="zh-CN"/>
              </w:rPr>
              <w:t>芳尾涌整治工程施工总承包</w:t>
            </w:r>
          </w:p>
        </w:tc>
      </w:tr>
      <w:tr>
        <w:tblPrEx>
          <w:tblCellMar>
            <w:top w:w="0" w:type="dxa"/>
            <w:left w:w="108" w:type="dxa"/>
            <w:bottom w:w="0" w:type="dxa"/>
            <w:right w:w="108" w:type="dxa"/>
          </w:tblCellMar>
        </w:tblPrEx>
        <w:trPr>
          <w:trHeight w:val="465" w:hRule="atLeast"/>
        </w:trPr>
        <w:tc>
          <w:tcPr>
            <w:tcW w:w="1498" w:type="dxa"/>
            <w:tcBorders>
              <w:top w:val="single" w:color="auto" w:sz="4" w:space="0"/>
              <w:left w:val="single" w:color="auto" w:sz="4" w:space="0"/>
              <w:bottom w:val="single" w:color="auto" w:sz="4" w:space="0"/>
              <w:right w:val="single" w:color="auto" w:sz="4" w:space="0"/>
            </w:tcBorders>
            <w:vAlign w:val="center"/>
          </w:tcPr>
          <w:p>
            <w:pPr>
              <w:spacing w:before="156" w:beforeLines="50" w:line="276" w:lineRule="auto"/>
              <w:contextualSpacing/>
              <w:jc w:val="center"/>
              <w:rPr>
                <w:rFonts w:ascii="宋体" w:hAnsi="宋体"/>
                <w:color w:val="auto"/>
                <w:szCs w:val="21"/>
                <w:highlight w:val="none"/>
              </w:rPr>
            </w:pPr>
            <w:r>
              <w:rPr>
                <w:rFonts w:hint="eastAsia" w:ascii="宋体" w:hAnsi="宋体"/>
                <w:color w:val="auto"/>
                <w:szCs w:val="21"/>
                <w:highlight w:val="none"/>
              </w:rPr>
              <w:t>1.1.4</w:t>
            </w:r>
          </w:p>
        </w:tc>
        <w:tc>
          <w:tcPr>
            <w:tcW w:w="2061" w:type="dxa"/>
            <w:tcBorders>
              <w:top w:val="single" w:color="auto" w:sz="4" w:space="0"/>
              <w:left w:val="single" w:color="auto" w:sz="4" w:space="0"/>
              <w:bottom w:val="single" w:color="auto" w:sz="4" w:space="0"/>
              <w:right w:val="single" w:color="auto" w:sz="4" w:space="0"/>
            </w:tcBorders>
            <w:vAlign w:val="center"/>
          </w:tcPr>
          <w:p>
            <w:pPr>
              <w:spacing w:before="156" w:beforeLines="50" w:line="276" w:lineRule="auto"/>
              <w:contextualSpacing/>
              <w:jc w:val="center"/>
              <w:rPr>
                <w:rFonts w:ascii="宋体" w:hAnsi="宋体"/>
                <w:color w:val="auto"/>
                <w:szCs w:val="21"/>
                <w:highlight w:val="none"/>
              </w:rPr>
            </w:pPr>
            <w:r>
              <w:rPr>
                <w:rFonts w:ascii="宋体" w:hAnsi="宋体"/>
                <w:color w:val="auto"/>
                <w:szCs w:val="21"/>
                <w:highlight w:val="none"/>
              </w:rPr>
              <w:t>建设地点</w:t>
            </w:r>
          </w:p>
        </w:tc>
        <w:tc>
          <w:tcPr>
            <w:tcW w:w="4963" w:type="dxa"/>
            <w:tcBorders>
              <w:top w:val="single" w:color="auto" w:sz="4" w:space="0"/>
              <w:left w:val="single" w:color="auto" w:sz="4" w:space="0"/>
              <w:bottom w:val="single" w:color="auto" w:sz="4" w:space="0"/>
              <w:right w:val="single" w:color="auto" w:sz="4" w:space="0"/>
            </w:tcBorders>
            <w:vAlign w:val="center"/>
          </w:tcPr>
          <w:p>
            <w:pPr>
              <w:spacing w:before="156" w:beforeLines="50" w:line="276" w:lineRule="auto"/>
              <w:contextualSpacing/>
              <w:rPr>
                <w:rFonts w:ascii="宋体" w:hAnsi="宋体"/>
                <w:color w:val="auto"/>
                <w:szCs w:val="21"/>
                <w:highlight w:val="none"/>
              </w:rPr>
            </w:pPr>
            <w:r>
              <w:rPr>
                <w:rFonts w:hint="eastAsia" w:ascii="宋体" w:hAnsi="宋体"/>
                <w:color w:val="auto"/>
                <w:szCs w:val="21"/>
                <w:highlight w:val="none"/>
                <w:u w:val="single"/>
              </w:rPr>
              <w:t>详见招标公告</w:t>
            </w:r>
          </w:p>
        </w:tc>
      </w:tr>
      <w:tr>
        <w:tblPrEx>
          <w:tblCellMar>
            <w:top w:w="0" w:type="dxa"/>
            <w:left w:w="108" w:type="dxa"/>
            <w:bottom w:w="0" w:type="dxa"/>
            <w:right w:w="108" w:type="dxa"/>
          </w:tblCellMar>
        </w:tblPrEx>
        <w:tc>
          <w:tcPr>
            <w:tcW w:w="1498" w:type="dxa"/>
            <w:tcBorders>
              <w:top w:val="single" w:color="auto" w:sz="4" w:space="0"/>
              <w:left w:val="single" w:color="auto" w:sz="4" w:space="0"/>
              <w:bottom w:val="single" w:color="auto" w:sz="4" w:space="0"/>
              <w:right w:val="single" w:color="auto" w:sz="4" w:space="0"/>
            </w:tcBorders>
            <w:vAlign w:val="center"/>
          </w:tcPr>
          <w:p>
            <w:pPr>
              <w:spacing w:before="156" w:beforeLines="50" w:line="276" w:lineRule="auto"/>
              <w:contextualSpacing/>
              <w:jc w:val="center"/>
              <w:rPr>
                <w:rFonts w:ascii="宋体" w:hAnsi="宋体"/>
                <w:color w:val="auto"/>
                <w:szCs w:val="21"/>
                <w:highlight w:val="none"/>
              </w:rPr>
            </w:pPr>
            <w:r>
              <w:rPr>
                <w:rFonts w:hint="eastAsia" w:ascii="宋体" w:hAnsi="宋体"/>
                <w:color w:val="auto"/>
                <w:szCs w:val="21"/>
                <w:highlight w:val="none"/>
              </w:rPr>
              <w:t>1.2.1</w:t>
            </w:r>
          </w:p>
        </w:tc>
        <w:tc>
          <w:tcPr>
            <w:tcW w:w="2061" w:type="dxa"/>
            <w:tcBorders>
              <w:top w:val="single" w:color="auto" w:sz="4" w:space="0"/>
              <w:left w:val="single" w:color="auto" w:sz="4" w:space="0"/>
              <w:bottom w:val="single" w:color="auto" w:sz="4" w:space="0"/>
              <w:right w:val="single" w:color="auto" w:sz="4" w:space="0"/>
            </w:tcBorders>
            <w:vAlign w:val="center"/>
          </w:tcPr>
          <w:p>
            <w:pPr>
              <w:spacing w:before="156" w:beforeLines="50" w:line="276" w:lineRule="auto"/>
              <w:contextualSpacing/>
              <w:jc w:val="center"/>
              <w:rPr>
                <w:rFonts w:ascii="宋体" w:hAnsi="宋体"/>
                <w:color w:val="auto"/>
                <w:szCs w:val="21"/>
                <w:highlight w:val="none"/>
              </w:rPr>
            </w:pPr>
            <w:r>
              <w:rPr>
                <w:rFonts w:ascii="宋体" w:hAnsi="宋体"/>
                <w:color w:val="auto"/>
                <w:szCs w:val="21"/>
                <w:highlight w:val="none"/>
              </w:rPr>
              <w:t>资金来源</w:t>
            </w:r>
            <w:r>
              <w:rPr>
                <w:rFonts w:hint="eastAsia" w:ascii="宋体" w:hAnsi="宋体"/>
                <w:color w:val="auto"/>
                <w:szCs w:val="21"/>
                <w:highlight w:val="none"/>
              </w:rPr>
              <w:t>及比例</w:t>
            </w:r>
          </w:p>
        </w:tc>
        <w:tc>
          <w:tcPr>
            <w:tcW w:w="4963" w:type="dxa"/>
            <w:tcBorders>
              <w:top w:val="single" w:color="auto" w:sz="4" w:space="0"/>
              <w:left w:val="single" w:color="auto" w:sz="4" w:space="0"/>
              <w:bottom w:val="single" w:color="auto" w:sz="4" w:space="0"/>
              <w:right w:val="single" w:color="auto" w:sz="4" w:space="0"/>
            </w:tcBorders>
            <w:vAlign w:val="center"/>
          </w:tcPr>
          <w:p>
            <w:pPr>
              <w:spacing w:before="156" w:beforeLines="50" w:line="276" w:lineRule="auto"/>
              <w:contextualSpacing/>
              <w:rPr>
                <w:rFonts w:ascii="宋体" w:hAnsi="宋体"/>
                <w:color w:val="auto"/>
                <w:szCs w:val="21"/>
                <w:highlight w:val="none"/>
              </w:rPr>
            </w:pPr>
            <w:r>
              <w:rPr>
                <w:rFonts w:hint="eastAsia" w:ascii="宋体" w:hAnsi="宋体"/>
                <w:color w:val="auto"/>
                <w:szCs w:val="21"/>
                <w:highlight w:val="none"/>
                <w:u w:val="single"/>
              </w:rPr>
              <w:t>详见招标公告</w:t>
            </w:r>
          </w:p>
        </w:tc>
      </w:tr>
      <w:tr>
        <w:tblPrEx>
          <w:tblCellMar>
            <w:top w:w="0" w:type="dxa"/>
            <w:left w:w="108" w:type="dxa"/>
            <w:bottom w:w="0" w:type="dxa"/>
            <w:right w:w="108" w:type="dxa"/>
          </w:tblCellMar>
        </w:tblPrEx>
        <w:tc>
          <w:tcPr>
            <w:tcW w:w="1498" w:type="dxa"/>
            <w:tcBorders>
              <w:top w:val="single" w:color="auto" w:sz="4" w:space="0"/>
              <w:left w:val="single" w:color="auto" w:sz="4" w:space="0"/>
              <w:bottom w:val="single" w:color="auto" w:sz="4" w:space="0"/>
              <w:right w:val="single" w:color="auto" w:sz="4" w:space="0"/>
            </w:tcBorders>
            <w:vAlign w:val="center"/>
          </w:tcPr>
          <w:p>
            <w:pPr>
              <w:spacing w:before="156" w:beforeLines="50" w:line="276" w:lineRule="auto"/>
              <w:contextualSpacing/>
              <w:jc w:val="center"/>
              <w:rPr>
                <w:rFonts w:ascii="宋体" w:hAnsi="宋体"/>
                <w:color w:val="auto"/>
                <w:szCs w:val="21"/>
                <w:highlight w:val="none"/>
              </w:rPr>
            </w:pPr>
            <w:r>
              <w:rPr>
                <w:rFonts w:hint="eastAsia" w:ascii="宋体" w:hAnsi="宋体"/>
                <w:color w:val="auto"/>
                <w:szCs w:val="21"/>
                <w:highlight w:val="none"/>
              </w:rPr>
              <w:t>1.2.2</w:t>
            </w:r>
          </w:p>
        </w:tc>
        <w:tc>
          <w:tcPr>
            <w:tcW w:w="2061" w:type="dxa"/>
            <w:tcBorders>
              <w:top w:val="single" w:color="auto" w:sz="4" w:space="0"/>
              <w:left w:val="single" w:color="auto" w:sz="4" w:space="0"/>
              <w:bottom w:val="single" w:color="auto" w:sz="4" w:space="0"/>
              <w:right w:val="single" w:color="auto" w:sz="4" w:space="0"/>
            </w:tcBorders>
            <w:vAlign w:val="center"/>
          </w:tcPr>
          <w:p>
            <w:pPr>
              <w:spacing w:before="156" w:beforeLines="50" w:line="276" w:lineRule="auto"/>
              <w:contextualSpacing/>
              <w:jc w:val="center"/>
              <w:rPr>
                <w:rFonts w:ascii="宋体" w:hAnsi="宋体"/>
                <w:color w:val="auto"/>
                <w:szCs w:val="21"/>
                <w:highlight w:val="none"/>
              </w:rPr>
            </w:pPr>
            <w:r>
              <w:rPr>
                <w:rFonts w:hint="eastAsia" w:ascii="宋体" w:hAnsi="宋体"/>
                <w:color w:val="auto"/>
                <w:szCs w:val="21"/>
                <w:highlight w:val="none"/>
              </w:rPr>
              <w:t>资金落实情况</w:t>
            </w:r>
          </w:p>
        </w:tc>
        <w:tc>
          <w:tcPr>
            <w:tcW w:w="4963" w:type="dxa"/>
            <w:tcBorders>
              <w:top w:val="single" w:color="auto" w:sz="4" w:space="0"/>
              <w:left w:val="single" w:color="auto" w:sz="4" w:space="0"/>
              <w:bottom w:val="single" w:color="auto" w:sz="4" w:space="0"/>
              <w:right w:val="single" w:color="auto" w:sz="4" w:space="0"/>
            </w:tcBorders>
            <w:vAlign w:val="center"/>
          </w:tcPr>
          <w:p>
            <w:pPr>
              <w:spacing w:before="156" w:beforeLines="50" w:line="276" w:lineRule="auto"/>
              <w:contextualSpacing/>
              <w:rPr>
                <w:rFonts w:ascii="宋体" w:hAnsi="宋体"/>
                <w:color w:val="auto"/>
                <w:szCs w:val="21"/>
                <w:highlight w:val="none"/>
              </w:rPr>
            </w:pPr>
            <w:r>
              <w:rPr>
                <w:rFonts w:hint="eastAsia" w:ascii="宋体" w:hAnsi="宋体" w:cs="宋体"/>
                <w:color w:val="auto"/>
                <w:szCs w:val="21"/>
                <w:highlight w:val="none"/>
              </w:rPr>
              <w:t>项目所需建设资金由区财政安排解决。</w:t>
            </w:r>
          </w:p>
        </w:tc>
      </w:tr>
      <w:tr>
        <w:tblPrEx>
          <w:tblCellMar>
            <w:top w:w="0" w:type="dxa"/>
            <w:left w:w="108" w:type="dxa"/>
            <w:bottom w:w="0" w:type="dxa"/>
            <w:right w:w="108" w:type="dxa"/>
          </w:tblCellMar>
        </w:tblPrEx>
        <w:tc>
          <w:tcPr>
            <w:tcW w:w="1498" w:type="dxa"/>
            <w:tcBorders>
              <w:top w:val="single" w:color="auto" w:sz="4" w:space="0"/>
              <w:left w:val="single" w:color="auto" w:sz="4" w:space="0"/>
              <w:bottom w:val="single" w:color="auto" w:sz="4" w:space="0"/>
              <w:right w:val="single" w:color="auto" w:sz="4" w:space="0"/>
            </w:tcBorders>
            <w:vAlign w:val="center"/>
          </w:tcPr>
          <w:p>
            <w:pPr>
              <w:spacing w:before="156" w:beforeLines="50" w:line="276" w:lineRule="auto"/>
              <w:contextualSpacing/>
              <w:jc w:val="center"/>
              <w:rPr>
                <w:rFonts w:ascii="宋体" w:hAnsi="宋体"/>
                <w:color w:val="auto"/>
                <w:szCs w:val="21"/>
                <w:highlight w:val="none"/>
              </w:rPr>
            </w:pPr>
            <w:r>
              <w:rPr>
                <w:rFonts w:hint="eastAsia" w:ascii="宋体" w:hAnsi="宋体"/>
                <w:color w:val="auto"/>
                <w:szCs w:val="21"/>
                <w:highlight w:val="none"/>
              </w:rPr>
              <w:t>1.3.1</w:t>
            </w:r>
          </w:p>
        </w:tc>
        <w:tc>
          <w:tcPr>
            <w:tcW w:w="2061" w:type="dxa"/>
            <w:tcBorders>
              <w:top w:val="single" w:color="auto" w:sz="4" w:space="0"/>
              <w:left w:val="single" w:color="auto" w:sz="4" w:space="0"/>
              <w:bottom w:val="single" w:color="auto" w:sz="4" w:space="0"/>
              <w:right w:val="single" w:color="auto" w:sz="4" w:space="0"/>
            </w:tcBorders>
            <w:vAlign w:val="center"/>
          </w:tcPr>
          <w:p>
            <w:pPr>
              <w:spacing w:before="156" w:beforeLines="50" w:line="276" w:lineRule="auto"/>
              <w:contextualSpacing/>
              <w:jc w:val="center"/>
              <w:rPr>
                <w:rFonts w:ascii="宋体" w:hAnsi="宋体"/>
                <w:color w:val="auto"/>
                <w:szCs w:val="21"/>
                <w:highlight w:val="none"/>
              </w:rPr>
            </w:pPr>
            <w:r>
              <w:rPr>
                <w:rFonts w:ascii="宋体" w:hAnsi="宋体"/>
                <w:color w:val="auto"/>
                <w:szCs w:val="21"/>
                <w:highlight w:val="none"/>
              </w:rPr>
              <w:t>招标范围</w:t>
            </w:r>
          </w:p>
        </w:tc>
        <w:tc>
          <w:tcPr>
            <w:tcW w:w="4963" w:type="dxa"/>
            <w:tcBorders>
              <w:top w:val="single" w:color="auto" w:sz="4" w:space="0"/>
              <w:left w:val="single" w:color="auto" w:sz="4" w:space="0"/>
              <w:bottom w:val="single" w:color="auto" w:sz="4" w:space="0"/>
              <w:right w:val="single" w:color="auto" w:sz="4" w:space="0"/>
            </w:tcBorders>
            <w:vAlign w:val="center"/>
          </w:tcPr>
          <w:p>
            <w:pPr>
              <w:spacing w:before="156" w:beforeLines="50" w:line="276" w:lineRule="auto"/>
              <w:contextualSpacing/>
              <w:rPr>
                <w:rFonts w:ascii="宋体" w:hAnsi="宋体"/>
                <w:color w:val="auto"/>
                <w:szCs w:val="21"/>
                <w:highlight w:val="none"/>
              </w:rPr>
            </w:pPr>
            <w:r>
              <w:rPr>
                <w:rFonts w:hint="eastAsia" w:ascii="宋体" w:hAnsi="宋体"/>
                <w:color w:val="auto"/>
                <w:szCs w:val="21"/>
                <w:highlight w:val="none"/>
                <w:u w:val="single"/>
              </w:rPr>
              <w:t>详见招标公告</w:t>
            </w:r>
          </w:p>
        </w:tc>
      </w:tr>
      <w:tr>
        <w:tblPrEx>
          <w:tblCellMar>
            <w:top w:w="0" w:type="dxa"/>
            <w:left w:w="108" w:type="dxa"/>
            <w:bottom w:w="0" w:type="dxa"/>
            <w:right w:w="108" w:type="dxa"/>
          </w:tblCellMar>
        </w:tblPrEx>
        <w:tc>
          <w:tcPr>
            <w:tcW w:w="1498" w:type="dxa"/>
            <w:tcBorders>
              <w:top w:val="single" w:color="auto" w:sz="4" w:space="0"/>
              <w:left w:val="single" w:color="auto" w:sz="4" w:space="0"/>
              <w:bottom w:val="single" w:color="auto" w:sz="4" w:space="0"/>
              <w:right w:val="single" w:color="auto" w:sz="4" w:space="0"/>
            </w:tcBorders>
            <w:vAlign w:val="center"/>
          </w:tcPr>
          <w:p>
            <w:pPr>
              <w:spacing w:before="156" w:beforeLines="50" w:line="276" w:lineRule="auto"/>
              <w:contextualSpacing/>
              <w:jc w:val="center"/>
              <w:rPr>
                <w:rFonts w:ascii="宋体" w:hAnsi="宋体"/>
                <w:color w:val="auto"/>
                <w:szCs w:val="21"/>
                <w:highlight w:val="none"/>
              </w:rPr>
            </w:pPr>
            <w:r>
              <w:rPr>
                <w:rFonts w:hint="eastAsia" w:ascii="宋体" w:hAnsi="宋体"/>
                <w:color w:val="auto"/>
                <w:szCs w:val="21"/>
                <w:highlight w:val="none"/>
              </w:rPr>
              <w:t>1.3.2</w:t>
            </w:r>
          </w:p>
        </w:tc>
        <w:tc>
          <w:tcPr>
            <w:tcW w:w="2061" w:type="dxa"/>
            <w:tcBorders>
              <w:top w:val="single" w:color="auto" w:sz="4" w:space="0"/>
              <w:left w:val="single" w:color="auto" w:sz="4" w:space="0"/>
              <w:bottom w:val="single" w:color="auto" w:sz="4" w:space="0"/>
              <w:right w:val="single" w:color="auto" w:sz="4" w:space="0"/>
            </w:tcBorders>
            <w:vAlign w:val="center"/>
          </w:tcPr>
          <w:p>
            <w:pPr>
              <w:spacing w:before="156" w:beforeLines="50" w:line="276" w:lineRule="auto"/>
              <w:contextualSpacing/>
              <w:jc w:val="center"/>
              <w:rPr>
                <w:rFonts w:ascii="宋体" w:hAnsi="宋体"/>
                <w:color w:val="auto"/>
                <w:szCs w:val="21"/>
                <w:highlight w:val="none"/>
              </w:rPr>
            </w:pPr>
            <w:r>
              <w:rPr>
                <w:rFonts w:ascii="宋体" w:hAnsi="宋体"/>
                <w:color w:val="auto"/>
                <w:szCs w:val="21"/>
                <w:highlight w:val="none"/>
              </w:rPr>
              <w:t>计划工期</w:t>
            </w:r>
          </w:p>
        </w:tc>
        <w:tc>
          <w:tcPr>
            <w:tcW w:w="4963" w:type="dxa"/>
            <w:tcBorders>
              <w:top w:val="single" w:color="auto" w:sz="4" w:space="0"/>
              <w:left w:val="single" w:color="auto" w:sz="4" w:space="0"/>
              <w:bottom w:val="single" w:color="auto" w:sz="4" w:space="0"/>
              <w:right w:val="single" w:color="auto" w:sz="4" w:space="0"/>
            </w:tcBorders>
            <w:vAlign w:val="center"/>
          </w:tcPr>
          <w:p>
            <w:pPr>
              <w:spacing w:before="156" w:beforeLines="50" w:line="276" w:lineRule="auto"/>
              <w:contextualSpacing/>
              <w:rPr>
                <w:rFonts w:ascii="宋体" w:hAnsi="宋体"/>
                <w:color w:val="auto"/>
                <w:szCs w:val="21"/>
                <w:highlight w:val="none"/>
              </w:rPr>
            </w:pPr>
            <w:r>
              <w:rPr>
                <w:rFonts w:ascii="宋体" w:hAnsi="宋体"/>
                <w:color w:val="auto"/>
                <w:szCs w:val="21"/>
                <w:highlight w:val="none"/>
              </w:rPr>
              <w:t>计划工期：</w:t>
            </w:r>
            <w:r>
              <w:rPr>
                <w:rFonts w:hint="eastAsia" w:ascii="宋体" w:hAnsi="宋体"/>
                <w:color w:val="auto"/>
                <w:szCs w:val="21"/>
                <w:highlight w:val="none"/>
                <w:u w:val="single"/>
                <w:lang w:val="en-US" w:eastAsia="zh-CN"/>
              </w:rPr>
              <w:t xml:space="preserve"> </w:t>
            </w:r>
            <w:r>
              <w:rPr>
                <w:rFonts w:hint="default" w:ascii="宋体" w:hAnsi="宋体"/>
                <w:color w:val="auto"/>
                <w:szCs w:val="21"/>
                <w:highlight w:val="none"/>
                <w:u w:val="single"/>
                <w:lang w:val="en-US" w:eastAsia="zh-CN"/>
              </w:rPr>
              <w:t xml:space="preserve"> </w:t>
            </w:r>
            <w:r>
              <w:rPr>
                <w:rFonts w:hint="eastAsia" w:ascii="宋体" w:hAnsi="宋体"/>
                <w:color w:val="auto"/>
                <w:szCs w:val="21"/>
                <w:highlight w:val="none"/>
                <w:u w:val="single"/>
                <w:lang w:val="en-US" w:eastAsia="zh-CN"/>
              </w:rPr>
              <w:t xml:space="preserve"> </w:t>
            </w:r>
            <w:r>
              <w:rPr>
                <w:rFonts w:ascii="宋体" w:hAnsi="宋体"/>
                <w:color w:val="auto"/>
                <w:szCs w:val="21"/>
                <w:highlight w:val="none"/>
              </w:rPr>
              <w:t>日历天</w:t>
            </w:r>
          </w:p>
        </w:tc>
      </w:tr>
      <w:tr>
        <w:tblPrEx>
          <w:tblCellMar>
            <w:top w:w="0" w:type="dxa"/>
            <w:left w:w="108" w:type="dxa"/>
            <w:bottom w:w="0" w:type="dxa"/>
            <w:right w:w="108" w:type="dxa"/>
          </w:tblCellMar>
        </w:tblPrEx>
        <w:tc>
          <w:tcPr>
            <w:tcW w:w="1498" w:type="dxa"/>
            <w:tcBorders>
              <w:top w:val="single" w:color="auto" w:sz="4" w:space="0"/>
              <w:left w:val="single" w:color="auto" w:sz="4" w:space="0"/>
              <w:bottom w:val="single" w:color="auto" w:sz="4" w:space="0"/>
              <w:right w:val="single" w:color="auto" w:sz="4" w:space="0"/>
            </w:tcBorders>
            <w:vAlign w:val="center"/>
          </w:tcPr>
          <w:p>
            <w:pPr>
              <w:spacing w:before="156" w:beforeLines="50" w:line="276" w:lineRule="auto"/>
              <w:contextualSpacing/>
              <w:jc w:val="center"/>
              <w:rPr>
                <w:rFonts w:ascii="宋体" w:hAnsi="宋体"/>
                <w:color w:val="auto"/>
                <w:szCs w:val="21"/>
                <w:highlight w:val="none"/>
              </w:rPr>
            </w:pPr>
            <w:r>
              <w:rPr>
                <w:rFonts w:hint="eastAsia" w:ascii="宋体" w:hAnsi="宋体"/>
                <w:color w:val="auto"/>
                <w:szCs w:val="21"/>
                <w:highlight w:val="none"/>
              </w:rPr>
              <w:t>1.3.3</w:t>
            </w:r>
          </w:p>
        </w:tc>
        <w:tc>
          <w:tcPr>
            <w:tcW w:w="2061" w:type="dxa"/>
            <w:tcBorders>
              <w:top w:val="single" w:color="auto" w:sz="4" w:space="0"/>
              <w:left w:val="single" w:color="auto" w:sz="4" w:space="0"/>
              <w:bottom w:val="single" w:color="auto" w:sz="4" w:space="0"/>
              <w:right w:val="single" w:color="auto" w:sz="4" w:space="0"/>
            </w:tcBorders>
            <w:vAlign w:val="center"/>
          </w:tcPr>
          <w:p>
            <w:pPr>
              <w:spacing w:before="156" w:beforeLines="50" w:line="276" w:lineRule="auto"/>
              <w:contextualSpacing/>
              <w:jc w:val="center"/>
              <w:rPr>
                <w:rFonts w:ascii="宋体" w:hAnsi="宋体"/>
                <w:color w:val="auto"/>
                <w:szCs w:val="21"/>
                <w:highlight w:val="none"/>
              </w:rPr>
            </w:pPr>
            <w:r>
              <w:rPr>
                <w:rFonts w:ascii="宋体" w:hAnsi="宋体"/>
                <w:color w:val="auto"/>
                <w:szCs w:val="21"/>
                <w:highlight w:val="none"/>
              </w:rPr>
              <w:t>质量要求</w:t>
            </w:r>
          </w:p>
        </w:tc>
        <w:tc>
          <w:tcPr>
            <w:tcW w:w="4963" w:type="dxa"/>
            <w:tcBorders>
              <w:top w:val="single" w:color="auto" w:sz="4" w:space="0"/>
              <w:left w:val="single" w:color="auto" w:sz="4" w:space="0"/>
              <w:bottom w:val="single" w:color="auto" w:sz="4" w:space="0"/>
              <w:right w:val="single" w:color="auto" w:sz="4" w:space="0"/>
            </w:tcBorders>
            <w:vAlign w:val="center"/>
          </w:tcPr>
          <w:p>
            <w:pPr>
              <w:spacing w:before="156" w:beforeLines="50" w:line="276" w:lineRule="auto"/>
              <w:contextualSpacing/>
              <w:rPr>
                <w:rFonts w:ascii="宋体" w:hAnsi="宋体"/>
                <w:color w:val="auto"/>
                <w:szCs w:val="21"/>
                <w:highlight w:val="none"/>
              </w:rPr>
            </w:pPr>
            <w:r>
              <w:rPr>
                <w:rFonts w:ascii="Segoe UI Symbol" w:hAnsi="Segoe UI Symbol" w:cs="Segoe UI Symbol"/>
                <w:color w:val="auto"/>
                <w:szCs w:val="21"/>
                <w:highlight w:val="none"/>
              </w:rPr>
              <w:t>☑</w:t>
            </w:r>
            <w:r>
              <w:rPr>
                <w:rFonts w:hint="eastAsia" w:ascii="宋体" w:hAnsi="宋体"/>
                <w:color w:val="auto"/>
                <w:szCs w:val="21"/>
                <w:highlight w:val="none"/>
              </w:rPr>
              <w:t>合格</w:t>
            </w:r>
          </w:p>
          <w:p>
            <w:pPr>
              <w:spacing w:before="156" w:beforeLines="50" w:line="276" w:lineRule="auto"/>
              <w:contextualSpacing/>
              <w:rPr>
                <w:rFonts w:ascii="宋体" w:hAnsi="宋体"/>
                <w:color w:val="auto"/>
                <w:szCs w:val="21"/>
                <w:highlight w:val="none"/>
              </w:rPr>
            </w:pPr>
            <w:r>
              <w:rPr>
                <w:rFonts w:hint="eastAsia" w:ascii="宋体" w:hAnsi="宋体"/>
                <w:color w:val="auto"/>
                <w:szCs w:val="21"/>
                <w:highlight w:val="none"/>
              </w:rPr>
              <w:t>□优良</w:t>
            </w:r>
          </w:p>
        </w:tc>
      </w:tr>
      <w:tr>
        <w:tblPrEx>
          <w:tblCellMar>
            <w:top w:w="0" w:type="dxa"/>
            <w:left w:w="108" w:type="dxa"/>
            <w:bottom w:w="0" w:type="dxa"/>
            <w:right w:w="108" w:type="dxa"/>
          </w:tblCellMar>
        </w:tblPrEx>
        <w:tc>
          <w:tcPr>
            <w:tcW w:w="1498" w:type="dxa"/>
            <w:tcBorders>
              <w:top w:val="single" w:color="auto" w:sz="4" w:space="0"/>
              <w:left w:val="single" w:color="auto" w:sz="4" w:space="0"/>
              <w:bottom w:val="single" w:color="auto" w:sz="4" w:space="0"/>
              <w:right w:val="single" w:color="auto" w:sz="4" w:space="0"/>
            </w:tcBorders>
            <w:vAlign w:val="center"/>
          </w:tcPr>
          <w:p>
            <w:pPr>
              <w:spacing w:before="156" w:beforeLines="50" w:line="276" w:lineRule="auto"/>
              <w:contextualSpacing/>
              <w:jc w:val="center"/>
              <w:rPr>
                <w:rFonts w:ascii="宋体" w:hAnsi="宋体"/>
                <w:color w:val="auto"/>
                <w:szCs w:val="21"/>
                <w:highlight w:val="none"/>
              </w:rPr>
            </w:pPr>
            <w:r>
              <w:rPr>
                <w:rFonts w:hint="eastAsia" w:ascii="宋体" w:hAnsi="宋体"/>
                <w:color w:val="auto"/>
                <w:szCs w:val="21"/>
                <w:highlight w:val="none"/>
              </w:rPr>
              <w:t>1.3.4</w:t>
            </w:r>
          </w:p>
        </w:tc>
        <w:tc>
          <w:tcPr>
            <w:tcW w:w="2061" w:type="dxa"/>
            <w:tcBorders>
              <w:top w:val="single" w:color="auto" w:sz="4" w:space="0"/>
              <w:left w:val="single" w:color="auto" w:sz="4" w:space="0"/>
              <w:bottom w:val="single" w:color="auto" w:sz="4" w:space="0"/>
              <w:right w:val="single" w:color="auto" w:sz="4" w:space="0"/>
            </w:tcBorders>
            <w:vAlign w:val="center"/>
          </w:tcPr>
          <w:p>
            <w:pPr>
              <w:spacing w:before="156" w:beforeLines="50" w:line="276" w:lineRule="auto"/>
              <w:contextualSpacing/>
              <w:jc w:val="center"/>
              <w:rPr>
                <w:rFonts w:ascii="宋体" w:hAnsi="宋体"/>
                <w:color w:val="auto"/>
                <w:szCs w:val="21"/>
                <w:highlight w:val="none"/>
              </w:rPr>
            </w:pPr>
            <w:r>
              <w:rPr>
                <w:rFonts w:hint="eastAsia" w:ascii="宋体" w:hAnsi="宋体"/>
                <w:color w:val="auto"/>
                <w:szCs w:val="21"/>
                <w:highlight w:val="none"/>
              </w:rPr>
              <w:t>承包方式</w:t>
            </w:r>
          </w:p>
        </w:tc>
        <w:tc>
          <w:tcPr>
            <w:tcW w:w="4963" w:type="dxa"/>
            <w:tcBorders>
              <w:top w:val="single" w:color="auto" w:sz="4" w:space="0"/>
              <w:left w:val="single" w:color="auto" w:sz="4" w:space="0"/>
              <w:bottom w:val="single" w:color="auto" w:sz="4" w:space="0"/>
              <w:right w:val="single" w:color="auto" w:sz="4" w:space="0"/>
            </w:tcBorders>
            <w:vAlign w:val="center"/>
          </w:tcPr>
          <w:p>
            <w:pPr>
              <w:pStyle w:val="15"/>
              <w:topLinePunct/>
              <w:spacing w:after="0" w:line="276" w:lineRule="auto"/>
              <w:rPr>
                <w:rFonts w:ascii="宋体" w:hAnsi="宋体"/>
                <w:color w:val="auto"/>
                <w:sz w:val="21"/>
                <w:szCs w:val="21"/>
                <w:highlight w:val="none"/>
              </w:rPr>
            </w:pPr>
            <w:r>
              <w:rPr>
                <w:rFonts w:hint="eastAsia" w:ascii="宋体" w:hAnsi="宋体"/>
                <w:color w:val="auto"/>
                <w:sz w:val="21"/>
                <w:szCs w:val="21"/>
                <w:highlight w:val="none"/>
              </w:rPr>
              <w:t>□固定总价</w:t>
            </w:r>
          </w:p>
          <w:p>
            <w:pPr>
              <w:pStyle w:val="15"/>
              <w:topLinePunct/>
              <w:spacing w:after="0" w:line="276" w:lineRule="auto"/>
              <w:rPr>
                <w:rFonts w:ascii="宋体" w:hAnsi="宋体"/>
                <w:color w:val="auto"/>
                <w:sz w:val="21"/>
                <w:szCs w:val="21"/>
                <w:highlight w:val="none"/>
              </w:rPr>
            </w:pPr>
            <w:r>
              <w:rPr>
                <w:rFonts w:hint="eastAsia" w:ascii="宋体" w:hAnsi="宋体"/>
                <w:color w:val="auto"/>
                <w:sz w:val="21"/>
                <w:szCs w:val="21"/>
                <w:highlight w:val="none"/>
              </w:rPr>
              <w:t>□综合单价</w:t>
            </w:r>
          </w:p>
          <w:p>
            <w:pPr>
              <w:pStyle w:val="15"/>
              <w:topLinePunct/>
              <w:spacing w:after="0" w:line="276" w:lineRule="auto"/>
              <w:rPr>
                <w:rFonts w:ascii="宋体" w:hAnsi="宋体"/>
                <w:color w:val="auto"/>
                <w:sz w:val="21"/>
                <w:szCs w:val="21"/>
                <w:highlight w:val="none"/>
              </w:rPr>
            </w:pPr>
            <w:r>
              <w:rPr>
                <w:rFonts w:hint="eastAsia" w:ascii="宋体" w:hAnsi="宋体"/>
                <w:color w:val="auto"/>
                <w:sz w:val="21"/>
                <w:szCs w:val="21"/>
                <w:highlight w:val="none"/>
                <w:lang w:eastAsia="zh-CN"/>
              </w:rPr>
              <w:t>☑</w:t>
            </w:r>
            <w:r>
              <w:rPr>
                <w:rFonts w:hint="eastAsia" w:ascii="宋体" w:hAnsi="宋体"/>
                <w:color w:val="auto"/>
                <w:sz w:val="21"/>
                <w:szCs w:val="21"/>
                <w:highlight w:val="none"/>
              </w:rPr>
              <w:t>其他：</w:t>
            </w:r>
            <w:r>
              <w:rPr>
                <w:rFonts w:hint="eastAsia" w:ascii="宋体" w:hAnsi="宋体"/>
                <w:color w:val="auto"/>
                <w:sz w:val="21"/>
                <w:szCs w:val="21"/>
                <w:highlight w:val="none"/>
                <w:u w:val="single"/>
              </w:rPr>
              <w:t>详见招标公告</w:t>
            </w:r>
          </w:p>
        </w:tc>
      </w:tr>
      <w:tr>
        <w:tblPrEx>
          <w:tblCellMar>
            <w:top w:w="0" w:type="dxa"/>
            <w:left w:w="108" w:type="dxa"/>
            <w:bottom w:w="0" w:type="dxa"/>
            <w:right w:w="108" w:type="dxa"/>
          </w:tblCellMar>
        </w:tblPrEx>
        <w:trPr>
          <w:trHeight w:val="70" w:hRule="atLeast"/>
        </w:trPr>
        <w:tc>
          <w:tcPr>
            <w:tcW w:w="1498" w:type="dxa"/>
            <w:tcBorders>
              <w:top w:val="single" w:color="auto" w:sz="4" w:space="0"/>
              <w:left w:val="single" w:color="auto" w:sz="4" w:space="0"/>
              <w:right w:val="single" w:color="auto" w:sz="4" w:space="0"/>
            </w:tcBorders>
            <w:vAlign w:val="center"/>
          </w:tcPr>
          <w:p>
            <w:pPr>
              <w:spacing w:before="156" w:beforeLines="50" w:line="276" w:lineRule="auto"/>
              <w:contextualSpacing/>
              <w:jc w:val="center"/>
              <w:rPr>
                <w:rFonts w:ascii="宋体" w:hAnsi="宋体"/>
                <w:color w:val="auto"/>
                <w:szCs w:val="21"/>
                <w:highlight w:val="none"/>
              </w:rPr>
            </w:pPr>
            <w:r>
              <w:rPr>
                <w:rFonts w:hint="eastAsia" w:ascii="宋体" w:hAnsi="宋体"/>
                <w:color w:val="auto"/>
                <w:szCs w:val="21"/>
                <w:highlight w:val="none"/>
              </w:rPr>
              <w:t>1.4.1</w:t>
            </w:r>
          </w:p>
        </w:tc>
        <w:tc>
          <w:tcPr>
            <w:tcW w:w="2061" w:type="dxa"/>
            <w:tcBorders>
              <w:top w:val="single" w:color="auto" w:sz="4" w:space="0"/>
              <w:left w:val="single" w:color="auto" w:sz="4" w:space="0"/>
              <w:right w:val="single" w:color="auto" w:sz="4" w:space="0"/>
            </w:tcBorders>
            <w:vAlign w:val="center"/>
          </w:tcPr>
          <w:p>
            <w:pPr>
              <w:spacing w:before="156" w:beforeLines="50" w:line="276" w:lineRule="auto"/>
              <w:contextualSpacing/>
              <w:jc w:val="center"/>
              <w:rPr>
                <w:rFonts w:ascii="宋体" w:hAnsi="宋体"/>
                <w:color w:val="auto"/>
                <w:szCs w:val="21"/>
                <w:highlight w:val="none"/>
              </w:rPr>
            </w:pPr>
            <w:r>
              <w:rPr>
                <w:rFonts w:hint="eastAsia" w:ascii="宋体" w:hAnsi="宋体"/>
                <w:color w:val="auto"/>
                <w:szCs w:val="21"/>
                <w:highlight w:val="none"/>
              </w:rPr>
              <w:t>投标人资质条件、</w:t>
            </w:r>
          </w:p>
          <w:p>
            <w:pPr>
              <w:spacing w:before="156" w:beforeLines="50" w:line="276" w:lineRule="auto"/>
              <w:contextualSpacing/>
              <w:jc w:val="center"/>
              <w:rPr>
                <w:rFonts w:ascii="宋体" w:hAnsi="宋体"/>
                <w:color w:val="auto"/>
                <w:szCs w:val="21"/>
                <w:highlight w:val="none"/>
              </w:rPr>
            </w:pPr>
            <w:r>
              <w:rPr>
                <w:rFonts w:hint="eastAsia" w:ascii="宋体" w:hAnsi="宋体"/>
                <w:color w:val="auto"/>
                <w:szCs w:val="21"/>
                <w:highlight w:val="none"/>
              </w:rPr>
              <w:t>能力、信誉</w:t>
            </w:r>
          </w:p>
        </w:tc>
        <w:tc>
          <w:tcPr>
            <w:tcW w:w="4963" w:type="dxa"/>
            <w:tcBorders>
              <w:top w:val="single" w:color="auto" w:sz="4" w:space="0"/>
              <w:left w:val="single" w:color="auto" w:sz="4" w:space="0"/>
              <w:right w:val="single" w:color="auto" w:sz="4" w:space="0"/>
            </w:tcBorders>
            <w:vAlign w:val="center"/>
          </w:tcPr>
          <w:p>
            <w:pPr>
              <w:spacing w:line="276" w:lineRule="auto"/>
              <w:rPr>
                <w:color w:val="auto"/>
                <w:szCs w:val="21"/>
                <w:highlight w:val="none"/>
              </w:rPr>
            </w:pPr>
            <w:r>
              <w:rPr>
                <w:rFonts w:hint="eastAsia"/>
                <w:color w:val="auto"/>
                <w:szCs w:val="21"/>
                <w:highlight w:val="none"/>
              </w:rPr>
              <w:t>详</w:t>
            </w:r>
            <w:bookmarkStart w:id="10" w:name="_Toc221950015"/>
            <w:r>
              <w:rPr>
                <w:rFonts w:hint="eastAsia"/>
                <w:color w:val="auto"/>
                <w:szCs w:val="21"/>
                <w:highlight w:val="none"/>
              </w:rPr>
              <w:t>见本项目招</w:t>
            </w:r>
            <w:bookmarkEnd w:id="10"/>
            <w:r>
              <w:rPr>
                <w:rFonts w:hint="eastAsia"/>
                <w:color w:val="auto"/>
                <w:szCs w:val="21"/>
                <w:highlight w:val="none"/>
              </w:rPr>
              <w:t>标公告</w:t>
            </w:r>
          </w:p>
        </w:tc>
      </w:tr>
      <w:tr>
        <w:tblPrEx>
          <w:tblCellMar>
            <w:top w:w="0" w:type="dxa"/>
            <w:left w:w="108" w:type="dxa"/>
            <w:bottom w:w="0" w:type="dxa"/>
            <w:right w:w="108" w:type="dxa"/>
          </w:tblCellMar>
        </w:tblPrEx>
        <w:trPr>
          <w:trHeight w:val="450" w:hRule="atLeast"/>
        </w:trPr>
        <w:tc>
          <w:tcPr>
            <w:tcW w:w="1498" w:type="dxa"/>
            <w:tcBorders>
              <w:top w:val="single" w:color="auto" w:sz="4" w:space="0"/>
              <w:left w:val="single" w:color="auto" w:sz="4" w:space="0"/>
              <w:bottom w:val="single" w:color="auto" w:sz="4" w:space="0"/>
              <w:right w:val="single" w:color="auto" w:sz="4" w:space="0"/>
            </w:tcBorders>
            <w:vAlign w:val="center"/>
          </w:tcPr>
          <w:p>
            <w:pPr>
              <w:spacing w:before="156" w:beforeLines="50" w:line="276" w:lineRule="auto"/>
              <w:contextualSpacing/>
              <w:jc w:val="center"/>
              <w:rPr>
                <w:rFonts w:ascii="宋体" w:hAnsi="宋体"/>
                <w:color w:val="auto"/>
                <w:szCs w:val="21"/>
                <w:highlight w:val="none"/>
              </w:rPr>
            </w:pPr>
            <w:r>
              <w:rPr>
                <w:rFonts w:hint="eastAsia" w:ascii="宋体" w:hAnsi="宋体"/>
                <w:color w:val="auto"/>
                <w:szCs w:val="21"/>
                <w:highlight w:val="none"/>
              </w:rPr>
              <w:t>1.4.2</w:t>
            </w:r>
          </w:p>
        </w:tc>
        <w:tc>
          <w:tcPr>
            <w:tcW w:w="2061" w:type="dxa"/>
            <w:tcBorders>
              <w:top w:val="single" w:color="auto" w:sz="4" w:space="0"/>
              <w:left w:val="single" w:color="auto" w:sz="4" w:space="0"/>
              <w:bottom w:val="single" w:color="auto" w:sz="4" w:space="0"/>
              <w:right w:val="single" w:color="auto" w:sz="4" w:space="0"/>
            </w:tcBorders>
            <w:vAlign w:val="center"/>
          </w:tcPr>
          <w:p>
            <w:pPr>
              <w:spacing w:before="156" w:beforeLines="50" w:line="276" w:lineRule="auto"/>
              <w:contextualSpacing/>
              <w:jc w:val="center"/>
              <w:rPr>
                <w:rFonts w:ascii="宋体" w:hAnsi="宋体"/>
                <w:color w:val="auto"/>
                <w:szCs w:val="21"/>
                <w:highlight w:val="none"/>
              </w:rPr>
            </w:pPr>
            <w:r>
              <w:rPr>
                <w:rFonts w:hint="eastAsia" w:ascii="宋体" w:hAnsi="宋体"/>
                <w:color w:val="auto"/>
                <w:szCs w:val="21"/>
                <w:highlight w:val="none"/>
              </w:rPr>
              <w:t>是否接受</w:t>
            </w:r>
          </w:p>
          <w:p>
            <w:pPr>
              <w:spacing w:before="156" w:beforeLines="50" w:line="276" w:lineRule="auto"/>
              <w:contextualSpacing/>
              <w:jc w:val="center"/>
              <w:rPr>
                <w:rFonts w:ascii="宋体" w:hAnsi="宋体"/>
                <w:color w:val="auto"/>
                <w:szCs w:val="21"/>
                <w:highlight w:val="none"/>
              </w:rPr>
            </w:pPr>
            <w:r>
              <w:rPr>
                <w:rFonts w:hint="eastAsia" w:ascii="宋体" w:hAnsi="宋体"/>
                <w:color w:val="auto"/>
                <w:szCs w:val="21"/>
                <w:highlight w:val="none"/>
              </w:rPr>
              <w:t>联合</w:t>
            </w:r>
            <w:bookmarkStart w:id="11" w:name="_Toc221950019"/>
            <w:r>
              <w:rPr>
                <w:rFonts w:hint="eastAsia" w:ascii="宋体" w:hAnsi="宋体"/>
                <w:color w:val="auto"/>
                <w:szCs w:val="21"/>
                <w:highlight w:val="none"/>
              </w:rPr>
              <w:t>体投标</w:t>
            </w:r>
          </w:p>
          <w:bookmarkEnd w:id="11"/>
        </w:tc>
        <w:tc>
          <w:tcPr>
            <w:tcW w:w="4963" w:type="dxa"/>
            <w:tcBorders>
              <w:top w:val="single" w:color="auto" w:sz="4" w:space="0"/>
              <w:left w:val="single" w:color="auto" w:sz="4" w:space="0"/>
              <w:bottom w:val="single" w:color="auto" w:sz="4" w:space="0"/>
              <w:right w:val="single" w:color="auto" w:sz="4" w:space="0"/>
            </w:tcBorders>
            <w:vAlign w:val="center"/>
          </w:tcPr>
          <w:p>
            <w:pPr>
              <w:spacing w:before="156" w:beforeLines="50" w:line="276" w:lineRule="auto"/>
              <w:contextualSpacing/>
              <w:rPr>
                <w:rFonts w:ascii="宋体" w:hAnsi="宋体"/>
                <w:color w:val="auto"/>
                <w:szCs w:val="21"/>
                <w:highlight w:val="none"/>
              </w:rPr>
            </w:pPr>
            <w:r>
              <w:rPr>
                <w:rFonts w:ascii="Segoe UI Symbol" w:hAnsi="Segoe UI Symbol" w:cs="Segoe UI Symbol"/>
                <w:color w:val="auto"/>
                <w:szCs w:val="21"/>
                <w:highlight w:val="none"/>
              </w:rPr>
              <w:t>☑</w:t>
            </w:r>
            <w:r>
              <w:rPr>
                <w:rFonts w:hint="eastAsia" w:ascii="宋体" w:hAnsi="宋体" w:cs="宋体"/>
                <w:color w:val="auto"/>
                <w:szCs w:val="21"/>
                <w:highlight w:val="none"/>
              </w:rPr>
              <w:t>不接受</w:t>
            </w:r>
          </w:p>
          <w:p>
            <w:pPr>
              <w:spacing w:before="156" w:beforeLines="50" w:line="276" w:lineRule="auto"/>
              <w:contextualSpacing/>
              <w:rPr>
                <w:rFonts w:ascii="宋体" w:hAnsi="宋体"/>
                <w:color w:val="auto"/>
                <w:szCs w:val="21"/>
                <w:highlight w:val="none"/>
              </w:rPr>
            </w:pPr>
            <w:r>
              <w:rPr>
                <w:rFonts w:hint="eastAsia" w:ascii="宋体" w:hAnsi="宋体"/>
                <w:color w:val="auto"/>
                <w:szCs w:val="21"/>
                <w:highlight w:val="none"/>
              </w:rPr>
              <w:t>□接受，</w:t>
            </w:r>
            <w:bookmarkStart w:id="12" w:name="_Toc221950031"/>
            <w:r>
              <w:rPr>
                <w:rFonts w:hint="eastAsia" w:ascii="宋体" w:hAnsi="宋体"/>
                <w:color w:val="auto"/>
                <w:szCs w:val="21"/>
                <w:highlight w:val="none"/>
              </w:rPr>
              <w:t>应满足下</w:t>
            </w:r>
            <w:bookmarkEnd w:id="12"/>
            <w:r>
              <w:rPr>
                <w:rFonts w:hint="eastAsia" w:ascii="宋体" w:hAnsi="宋体"/>
                <w:color w:val="auto"/>
                <w:szCs w:val="21"/>
                <w:highlight w:val="none"/>
              </w:rPr>
              <w:t>列要求：________</w:t>
            </w:r>
            <w:bookmarkStart w:id="13" w:name="_Toc221950037"/>
            <w:r>
              <w:rPr>
                <w:rFonts w:hint="eastAsia" w:ascii="宋体" w:hAnsi="宋体"/>
                <w:color w:val="auto"/>
                <w:szCs w:val="21"/>
                <w:highlight w:val="none"/>
              </w:rPr>
              <w:t>____</w:t>
            </w:r>
            <w:bookmarkEnd w:id="13"/>
            <w:r>
              <w:rPr>
                <w:rFonts w:hint="eastAsia" w:ascii="宋体" w:hAnsi="宋体"/>
                <w:color w:val="auto"/>
                <w:szCs w:val="21"/>
                <w:highlight w:val="none"/>
              </w:rPr>
              <w:t>_____</w:t>
            </w:r>
          </w:p>
        </w:tc>
      </w:tr>
      <w:tr>
        <w:tblPrEx>
          <w:tblCellMar>
            <w:top w:w="0" w:type="dxa"/>
            <w:left w:w="108" w:type="dxa"/>
            <w:bottom w:w="0" w:type="dxa"/>
            <w:right w:w="108" w:type="dxa"/>
          </w:tblCellMar>
        </w:tblPrEx>
        <w:trPr>
          <w:trHeight w:val="70" w:hRule="atLeast"/>
        </w:trPr>
        <w:tc>
          <w:tcPr>
            <w:tcW w:w="1498" w:type="dxa"/>
            <w:tcBorders>
              <w:top w:val="single" w:color="auto" w:sz="4" w:space="0"/>
              <w:left w:val="single" w:color="auto" w:sz="4" w:space="0"/>
              <w:right w:val="single" w:color="auto" w:sz="4" w:space="0"/>
            </w:tcBorders>
            <w:vAlign w:val="center"/>
          </w:tcPr>
          <w:p>
            <w:pPr>
              <w:spacing w:before="156" w:beforeLines="50" w:line="276" w:lineRule="auto"/>
              <w:contextualSpacing/>
              <w:jc w:val="center"/>
              <w:rPr>
                <w:rFonts w:ascii="宋体" w:hAnsi="宋体"/>
                <w:color w:val="auto"/>
                <w:szCs w:val="21"/>
                <w:highlight w:val="none"/>
              </w:rPr>
            </w:pPr>
            <w:bookmarkStart w:id="14" w:name="_Toc221950039"/>
          </w:p>
        </w:tc>
        <w:tc>
          <w:tcPr>
            <w:tcW w:w="2061" w:type="dxa"/>
            <w:tcBorders>
              <w:top w:val="single" w:color="auto" w:sz="4" w:space="0"/>
              <w:left w:val="single" w:color="auto" w:sz="4" w:space="0"/>
              <w:right w:val="single" w:color="auto" w:sz="4" w:space="0"/>
            </w:tcBorders>
            <w:vAlign w:val="center"/>
          </w:tcPr>
          <w:p>
            <w:pPr>
              <w:spacing w:before="156" w:beforeLines="50" w:line="276" w:lineRule="auto"/>
              <w:contextualSpacing/>
              <w:jc w:val="center"/>
              <w:rPr>
                <w:rFonts w:ascii="宋体" w:hAnsi="宋体"/>
                <w:color w:val="auto"/>
                <w:szCs w:val="21"/>
                <w:highlight w:val="none"/>
              </w:rPr>
            </w:pPr>
            <w:r>
              <w:rPr>
                <w:rFonts w:hint="eastAsia" w:ascii="宋体" w:hAnsi="宋体"/>
                <w:color w:val="auto"/>
                <w:szCs w:val="21"/>
                <w:highlight w:val="none"/>
              </w:rPr>
              <w:t>资格</w:t>
            </w:r>
            <w:bookmarkEnd w:id="14"/>
            <w:r>
              <w:rPr>
                <w:rFonts w:hint="eastAsia" w:ascii="宋体" w:hAnsi="宋体"/>
                <w:color w:val="auto"/>
                <w:szCs w:val="21"/>
                <w:highlight w:val="none"/>
              </w:rPr>
              <w:t>审</w:t>
            </w:r>
            <w:bookmarkStart w:id="15" w:name="_Toc221950040"/>
            <w:r>
              <w:rPr>
                <w:rFonts w:hint="eastAsia" w:ascii="宋体" w:hAnsi="宋体"/>
                <w:color w:val="auto"/>
                <w:szCs w:val="21"/>
                <w:highlight w:val="none"/>
              </w:rPr>
              <w:t>查方式</w:t>
            </w:r>
          </w:p>
        </w:tc>
        <w:tc>
          <w:tcPr>
            <w:tcW w:w="4963" w:type="dxa"/>
            <w:tcBorders>
              <w:top w:val="single" w:color="auto" w:sz="4" w:space="0"/>
              <w:left w:val="single" w:color="auto" w:sz="4" w:space="0"/>
              <w:right w:val="single" w:color="auto" w:sz="4" w:space="0"/>
            </w:tcBorders>
            <w:vAlign w:val="center"/>
          </w:tcPr>
          <w:p>
            <w:pPr>
              <w:pStyle w:val="15"/>
              <w:topLinePunct/>
              <w:spacing w:before="156" w:beforeLines="50" w:after="0" w:line="276" w:lineRule="auto"/>
              <w:contextualSpacing/>
              <w:rPr>
                <w:rFonts w:ascii="宋体" w:hAnsi="宋体"/>
                <w:color w:val="auto"/>
                <w:sz w:val="21"/>
                <w:szCs w:val="21"/>
                <w:highlight w:val="none"/>
              </w:rPr>
            </w:pPr>
            <w:r>
              <w:rPr>
                <w:rFonts w:hint="eastAsia" w:ascii="宋体" w:hAnsi="宋体"/>
                <w:color w:val="auto"/>
                <w:sz w:val="21"/>
                <w:szCs w:val="21"/>
                <w:highlight w:val="none"/>
              </w:rPr>
              <w:t>资格后审</w:t>
            </w:r>
          </w:p>
        </w:tc>
      </w:tr>
      <w:tr>
        <w:tblPrEx>
          <w:tblCellMar>
            <w:top w:w="0" w:type="dxa"/>
            <w:left w:w="108" w:type="dxa"/>
            <w:bottom w:w="0" w:type="dxa"/>
            <w:right w:w="108" w:type="dxa"/>
          </w:tblCellMar>
        </w:tblPrEx>
        <w:trPr>
          <w:trHeight w:val="70" w:hRule="atLeast"/>
        </w:trPr>
        <w:tc>
          <w:tcPr>
            <w:tcW w:w="1498" w:type="dxa"/>
            <w:tcBorders>
              <w:top w:val="single" w:color="auto" w:sz="4" w:space="0"/>
              <w:left w:val="single" w:color="auto" w:sz="4" w:space="0"/>
              <w:right w:val="single" w:color="auto" w:sz="4" w:space="0"/>
            </w:tcBorders>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1.9.1</w:t>
            </w:r>
          </w:p>
          <w:bookmarkEnd w:id="15"/>
        </w:tc>
        <w:tc>
          <w:tcPr>
            <w:tcW w:w="2061" w:type="dxa"/>
            <w:tcBorders>
              <w:top w:val="single" w:color="auto" w:sz="4" w:space="0"/>
              <w:left w:val="single" w:color="auto" w:sz="4" w:space="0"/>
              <w:right w:val="single" w:color="auto" w:sz="4" w:space="0"/>
            </w:tcBorders>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踏</w:t>
            </w:r>
            <w:bookmarkStart w:id="16" w:name="_Toc221950041"/>
            <w:r>
              <w:rPr>
                <w:rFonts w:hint="eastAsia" w:ascii="宋体" w:hAnsi="宋体"/>
                <w:color w:val="auto"/>
                <w:szCs w:val="21"/>
                <w:highlight w:val="none"/>
              </w:rPr>
              <w:t>勘现场</w:t>
            </w:r>
          </w:p>
        </w:tc>
        <w:tc>
          <w:tcPr>
            <w:tcW w:w="4963" w:type="dxa"/>
            <w:tcBorders>
              <w:top w:val="single" w:color="auto" w:sz="4" w:space="0"/>
              <w:left w:val="single" w:color="auto" w:sz="4" w:space="0"/>
              <w:right w:val="single" w:color="auto" w:sz="4" w:space="0"/>
            </w:tcBorders>
            <w:vAlign w:val="center"/>
          </w:tcPr>
          <w:p>
            <w:pPr>
              <w:spacing w:line="276" w:lineRule="auto"/>
              <w:rPr>
                <w:rFonts w:ascii="宋体" w:hAnsi="宋体"/>
                <w:color w:val="auto"/>
                <w:szCs w:val="21"/>
                <w:highlight w:val="none"/>
              </w:rPr>
            </w:pPr>
            <w:r>
              <w:rPr>
                <w:rFonts w:hint="eastAsia" w:ascii="宋体" w:hAnsi="宋体"/>
                <w:color w:val="auto"/>
                <w:szCs w:val="21"/>
                <w:highlight w:val="none"/>
              </w:rPr>
              <w:t>招标人不集中组织，由投标人自行踏勘；</w:t>
            </w:r>
          </w:p>
          <w:p>
            <w:pPr>
              <w:spacing w:line="276" w:lineRule="auto"/>
              <w:rPr>
                <w:rFonts w:ascii="宋体" w:hAnsi="宋体"/>
                <w:color w:val="auto"/>
                <w:szCs w:val="21"/>
                <w:highlight w:val="none"/>
              </w:rPr>
            </w:pPr>
            <w:r>
              <w:rPr>
                <w:rFonts w:hint="eastAsia" w:ascii="宋体" w:hAnsi="宋体"/>
                <w:color w:val="auto"/>
                <w:szCs w:val="21"/>
                <w:highlight w:val="none"/>
              </w:rPr>
              <w:t>时</w:t>
            </w:r>
            <w:bookmarkEnd w:id="16"/>
            <w:r>
              <w:rPr>
                <w:rFonts w:hint="eastAsia" w:ascii="宋体" w:hAnsi="宋体"/>
                <w:color w:val="auto"/>
                <w:szCs w:val="21"/>
                <w:highlight w:val="none"/>
              </w:rPr>
              <w:t>间</w:t>
            </w:r>
            <w:bookmarkStart w:id="17" w:name="_Toc221950042"/>
            <w:r>
              <w:rPr>
                <w:rFonts w:hint="eastAsia" w:ascii="宋体" w:hAnsi="宋体"/>
                <w:color w:val="auto"/>
                <w:szCs w:val="21"/>
                <w:highlight w:val="none"/>
              </w:rPr>
              <w:t>：自</w:t>
            </w:r>
            <w:r>
              <w:rPr>
                <w:rFonts w:hint="eastAsia" w:ascii="宋体" w:hAnsi="宋体"/>
                <w:color w:val="auto"/>
                <w:szCs w:val="21"/>
                <w:highlight w:val="none"/>
                <w:u w:val="single"/>
              </w:rPr>
              <w:t>招标公告发布之日</w:t>
            </w:r>
            <w:r>
              <w:rPr>
                <w:rFonts w:hint="eastAsia" w:ascii="宋体" w:hAnsi="宋体"/>
                <w:color w:val="auto"/>
                <w:szCs w:val="21"/>
                <w:highlight w:val="none"/>
              </w:rPr>
              <w:t>起具备现场踏勘条</w:t>
            </w:r>
            <w:bookmarkEnd w:id="17"/>
            <w:r>
              <w:rPr>
                <w:rFonts w:hint="eastAsia" w:ascii="宋体" w:hAnsi="宋体"/>
                <w:color w:val="auto"/>
                <w:szCs w:val="21"/>
                <w:highlight w:val="none"/>
              </w:rPr>
              <w:t>件；</w:t>
            </w:r>
          </w:p>
          <w:p>
            <w:pPr>
              <w:spacing w:line="276" w:lineRule="auto"/>
              <w:rPr>
                <w:rFonts w:ascii="宋体" w:hAnsi="宋体"/>
                <w:color w:val="auto"/>
                <w:szCs w:val="21"/>
                <w:highlight w:val="none"/>
              </w:rPr>
            </w:pPr>
            <w:r>
              <w:rPr>
                <w:rFonts w:hint="eastAsia" w:ascii="宋体" w:hAnsi="宋体"/>
                <w:color w:val="auto"/>
                <w:szCs w:val="21"/>
                <w:highlight w:val="none"/>
              </w:rPr>
              <w:t>现场详细地</w:t>
            </w:r>
            <w:bookmarkStart w:id="18" w:name="_Toc221950044"/>
            <w:r>
              <w:rPr>
                <w:rFonts w:hint="eastAsia" w:ascii="宋体" w:hAnsi="宋体"/>
                <w:color w:val="auto"/>
                <w:szCs w:val="21"/>
                <w:highlight w:val="none"/>
              </w:rPr>
              <w:t>点：</w:t>
            </w:r>
            <w:bookmarkEnd w:id="18"/>
            <w:r>
              <w:rPr>
                <w:rFonts w:hint="eastAsia" w:ascii="宋体" w:hAnsi="宋体"/>
                <w:color w:val="auto"/>
                <w:szCs w:val="21"/>
                <w:highlight w:val="none"/>
                <w:u w:val="single"/>
              </w:rPr>
              <w:t>详见招标公告</w:t>
            </w:r>
            <w:r>
              <w:rPr>
                <w:rFonts w:hint="eastAsia" w:ascii="宋体" w:hAnsi="宋体"/>
                <w:color w:val="auto"/>
                <w:szCs w:val="21"/>
                <w:highlight w:val="none"/>
              </w:rPr>
              <w:t>；</w:t>
            </w:r>
          </w:p>
        </w:tc>
      </w:tr>
      <w:tr>
        <w:tblPrEx>
          <w:tblCellMar>
            <w:top w:w="0" w:type="dxa"/>
            <w:left w:w="108" w:type="dxa"/>
            <w:bottom w:w="0" w:type="dxa"/>
            <w:right w:w="108" w:type="dxa"/>
          </w:tblCellMar>
        </w:tblPrEx>
        <w:trPr>
          <w:trHeight w:val="465" w:hRule="atLeast"/>
        </w:trPr>
        <w:tc>
          <w:tcPr>
            <w:tcW w:w="1498" w:type="dxa"/>
            <w:tcBorders>
              <w:top w:val="single" w:color="auto" w:sz="4" w:space="0"/>
              <w:left w:val="single" w:color="auto" w:sz="4" w:space="0"/>
              <w:bottom w:val="single" w:color="auto" w:sz="4" w:space="0"/>
              <w:right w:val="single" w:color="auto" w:sz="4" w:space="0"/>
            </w:tcBorders>
            <w:vAlign w:val="center"/>
          </w:tcPr>
          <w:p>
            <w:pPr>
              <w:spacing w:before="156" w:beforeLines="50" w:line="276" w:lineRule="auto"/>
              <w:contextualSpacing/>
              <w:jc w:val="center"/>
              <w:rPr>
                <w:rFonts w:ascii="宋体" w:hAnsi="宋体"/>
                <w:color w:val="auto"/>
                <w:szCs w:val="21"/>
                <w:highlight w:val="none"/>
              </w:rPr>
            </w:pPr>
            <w:r>
              <w:rPr>
                <w:rFonts w:hint="eastAsia" w:ascii="宋体" w:hAnsi="宋体"/>
                <w:color w:val="auto"/>
                <w:szCs w:val="21"/>
                <w:highlight w:val="none"/>
              </w:rPr>
              <w:t>1.11</w:t>
            </w:r>
          </w:p>
        </w:tc>
        <w:tc>
          <w:tcPr>
            <w:tcW w:w="2061" w:type="dxa"/>
            <w:tcBorders>
              <w:top w:val="single" w:color="auto" w:sz="4" w:space="0"/>
              <w:left w:val="single" w:color="auto" w:sz="4" w:space="0"/>
              <w:bottom w:val="single" w:color="auto" w:sz="4" w:space="0"/>
              <w:right w:val="single" w:color="auto" w:sz="4" w:space="0"/>
            </w:tcBorders>
            <w:vAlign w:val="center"/>
          </w:tcPr>
          <w:p>
            <w:pPr>
              <w:spacing w:before="156" w:beforeLines="50" w:line="276" w:lineRule="auto"/>
              <w:contextualSpacing/>
              <w:jc w:val="center"/>
              <w:rPr>
                <w:rFonts w:ascii="宋体" w:hAnsi="宋体"/>
                <w:color w:val="auto"/>
                <w:szCs w:val="21"/>
                <w:highlight w:val="none"/>
              </w:rPr>
            </w:pPr>
            <w:r>
              <w:rPr>
                <w:rFonts w:hint="eastAsia" w:ascii="宋体" w:hAnsi="宋体"/>
                <w:color w:val="auto"/>
                <w:szCs w:val="21"/>
                <w:highlight w:val="none"/>
              </w:rPr>
              <w:t>偏离</w:t>
            </w:r>
          </w:p>
        </w:tc>
        <w:tc>
          <w:tcPr>
            <w:tcW w:w="4963" w:type="dxa"/>
            <w:tcBorders>
              <w:top w:val="single" w:color="auto" w:sz="4" w:space="0"/>
              <w:left w:val="single" w:color="auto" w:sz="4" w:space="0"/>
              <w:bottom w:val="single" w:color="auto" w:sz="4" w:space="0"/>
              <w:right w:val="single" w:color="auto" w:sz="4" w:space="0"/>
            </w:tcBorders>
            <w:vAlign w:val="center"/>
          </w:tcPr>
          <w:p>
            <w:pPr>
              <w:spacing w:line="276" w:lineRule="auto"/>
              <w:rPr>
                <w:color w:val="auto"/>
                <w:szCs w:val="21"/>
                <w:highlight w:val="none"/>
              </w:rPr>
            </w:pPr>
            <w:r>
              <w:rPr>
                <w:rFonts w:ascii="Segoe UI Symbol" w:hAnsi="Segoe UI Symbol" w:cs="Segoe UI Symbol"/>
                <w:color w:val="auto"/>
                <w:szCs w:val="21"/>
                <w:highlight w:val="none"/>
              </w:rPr>
              <w:t>☑</w:t>
            </w:r>
            <w:r>
              <w:rPr>
                <w:color w:val="auto"/>
                <w:szCs w:val="21"/>
                <w:highlight w:val="none"/>
              </w:rPr>
              <w:t xml:space="preserve"> </w:t>
            </w:r>
            <w:r>
              <w:rPr>
                <w:rFonts w:hint="eastAsia"/>
                <w:color w:val="auto"/>
                <w:szCs w:val="21"/>
                <w:highlight w:val="none"/>
              </w:rPr>
              <w:t>不允许</w:t>
            </w:r>
          </w:p>
          <w:p>
            <w:pPr>
              <w:spacing w:line="276" w:lineRule="auto"/>
              <w:rPr>
                <w:color w:val="auto"/>
                <w:szCs w:val="21"/>
                <w:highlight w:val="none"/>
              </w:rPr>
            </w:pPr>
            <w:r>
              <w:rPr>
                <w:rFonts w:hint="eastAsia"/>
                <w:color w:val="auto"/>
                <w:szCs w:val="21"/>
                <w:highlight w:val="none"/>
              </w:rPr>
              <w:t>□允许。偏离允许幅度及其处理方法：_</w:t>
            </w:r>
            <w:r>
              <w:rPr>
                <w:color w:val="auto"/>
                <w:szCs w:val="21"/>
                <w:highlight w:val="none"/>
              </w:rPr>
              <w:t>_</w:t>
            </w:r>
            <w:bookmarkStart w:id="19" w:name="_Toc221950046"/>
            <w:r>
              <w:rPr>
                <w:color w:val="auto"/>
                <w:szCs w:val="21"/>
                <w:highlight w:val="none"/>
              </w:rPr>
              <w:t>_________</w:t>
            </w:r>
            <w:bookmarkEnd w:id="19"/>
          </w:p>
        </w:tc>
      </w:tr>
      <w:tr>
        <w:tblPrEx>
          <w:tblCellMar>
            <w:top w:w="0" w:type="dxa"/>
            <w:left w:w="108" w:type="dxa"/>
            <w:bottom w:w="0" w:type="dxa"/>
            <w:right w:w="108" w:type="dxa"/>
          </w:tblCellMar>
        </w:tblPrEx>
        <w:trPr>
          <w:trHeight w:val="450" w:hRule="atLeast"/>
        </w:trPr>
        <w:tc>
          <w:tcPr>
            <w:tcW w:w="1498" w:type="dxa"/>
            <w:tcBorders>
              <w:top w:val="single" w:color="auto" w:sz="4" w:space="0"/>
              <w:left w:val="single" w:color="auto" w:sz="4" w:space="0"/>
              <w:bottom w:val="single" w:color="auto" w:sz="4" w:space="0"/>
              <w:right w:val="single" w:color="auto" w:sz="4" w:space="0"/>
            </w:tcBorders>
            <w:vAlign w:val="center"/>
          </w:tcPr>
          <w:p>
            <w:pPr>
              <w:spacing w:before="156" w:beforeLines="50" w:line="276" w:lineRule="auto"/>
              <w:contextualSpacing/>
              <w:jc w:val="center"/>
              <w:rPr>
                <w:rFonts w:ascii="宋体" w:hAnsi="宋体"/>
                <w:color w:val="auto"/>
                <w:szCs w:val="21"/>
                <w:highlight w:val="none"/>
              </w:rPr>
            </w:pPr>
            <w:r>
              <w:rPr>
                <w:rFonts w:hint="eastAsia" w:ascii="宋体" w:hAnsi="宋体"/>
                <w:color w:val="auto"/>
                <w:szCs w:val="21"/>
                <w:highlight w:val="none"/>
              </w:rPr>
              <w:t>2.2.1</w:t>
            </w:r>
          </w:p>
        </w:tc>
        <w:tc>
          <w:tcPr>
            <w:tcW w:w="2061" w:type="dxa"/>
            <w:tcBorders>
              <w:top w:val="single" w:color="auto" w:sz="4" w:space="0"/>
              <w:left w:val="single" w:color="auto" w:sz="4" w:space="0"/>
              <w:bottom w:val="single" w:color="auto" w:sz="4" w:space="0"/>
              <w:right w:val="single" w:color="auto" w:sz="4" w:space="0"/>
            </w:tcBorders>
            <w:vAlign w:val="center"/>
          </w:tcPr>
          <w:p>
            <w:pPr>
              <w:spacing w:before="156" w:beforeLines="50" w:line="276" w:lineRule="auto"/>
              <w:contextualSpacing/>
              <w:jc w:val="center"/>
              <w:rPr>
                <w:rFonts w:ascii="宋体" w:hAnsi="宋体"/>
                <w:color w:val="auto"/>
                <w:szCs w:val="21"/>
                <w:highlight w:val="none"/>
              </w:rPr>
            </w:pPr>
            <w:r>
              <w:rPr>
                <w:rFonts w:hint="eastAsia" w:ascii="宋体" w:hAnsi="宋体"/>
                <w:color w:val="auto"/>
                <w:szCs w:val="21"/>
                <w:highlight w:val="none"/>
              </w:rPr>
              <w:t>招标答疑</w:t>
            </w:r>
          </w:p>
        </w:tc>
        <w:tc>
          <w:tcPr>
            <w:tcW w:w="4963" w:type="dxa"/>
            <w:tcBorders>
              <w:top w:val="single" w:color="auto" w:sz="4" w:space="0"/>
              <w:left w:val="single" w:color="auto" w:sz="4" w:space="0"/>
              <w:bottom w:val="single" w:color="auto" w:sz="4" w:space="0"/>
              <w:right w:val="single" w:color="auto" w:sz="4" w:space="0"/>
            </w:tcBorders>
            <w:vAlign w:val="center"/>
          </w:tcPr>
          <w:p>
            <w:pPr>
              <w:spacing w:before="156" w:beforeLines="50" w:line="276" w:lineRule="auto"/>
              <w:contextualSpacing/>
              <w:rPr>
                <w:rFonts w:ascii="宋体" w:hAnsi="宋体"/>
                <w:color w:val="auto"/>
                <w:szCs w:val="21"/>
                <w:highlight w:val="none"/>
              </w:rPr>
            </w:pPr>
            <w:r>
              <w:rPr>
                <w:rFonts w:hint="eastAsia" w:ascii="宋体" w:hAnsi="宋体"/>
                <w:color w:val="auto"/>
                <w:szCs w:val="21"/>
                <w:highlight w:val="none"/>
              </w:rPr>
              <w:t>疑问提交时间：</w:t>
            </w:r>
            <w:r>
              <w:rPr>
                <w:rFonts w:hint="eastAsia" w:ascii="宋体" w:hAnsi="宋体"/>
                <w:color w:val="auto"/>
                <w:szCs w:val="21"/>
                <w:highlight w:val="none"/>
                <w:u w:val="single"/>
              </w:rPr>
              <w:t>在递交投标文件截止日期前18 日</w:t>
            </w:r>
            <w:r>
              <w:rPr>
                <w:rFonts w:hint="eastAsia" w:ascii="宋体" w:hAnsi="宋体"/>
                <w:color w:val="auto"/>
                <w:szCs w:val="21"/>
                <w:highlight w:val="none"/>
              </w:rPr>
              <w:t>；</w:t>
            </w:r>
          </w:p>
          <w:p>
            <w:pPr>
              <w:spacing w:before="156" w:beforeLines="50" w:line="276" w:lineRule="auto"/>
              <w:contextualSpacing/>
              <w:rPr>
                <w:rFonts w:ascii="宋体" w:hAnsi="宋体"/>
                <w:color w:val="auto"/>
                <w:szCs w:val="21"/>
                <w:highlight w:val="none"/>
              </w:rPr>
            </w:pPr>
            <w:r>
              <w:rPr>
                <w:rFonts w:hint="eastAsia" w:ascii="宋体" w:hAnsi="宋体"/>
                <w:color w:val="auto"/>
                <w:szCs w:val="21"/>
                <w:highlight w:val="none"/>
              </w:rPr>
              <w:t>形式：投标人的疑问通过广州公共资源交易平台提交。</w:t>
            </w:r>
          </w:p>
          <w:p>
            <w:pPr>
              <w:spacing w:before="156" w:beforeLines="50" w:line="276" w:lineRule="auto"/>
              <w:contextualSpacing/>
              <w:rPr>
                <w:rFonts w:ascii="宋体" w:hAnsi="宋体"/>
                <w:color w:val="auto"/>
                <w:szCs w:val="21"/>
                <w:highlight w:val="none"/>
              </w:rPr>
            </w:pPr>
            <w:r>
              <w:rPr>
                <w:rFonts w:hint="eastAsia" w:ascii="宋体" w:hAnsi="宋体"/>
                <w:color w:val="auto"/>
                <w:szCs w:val="21"/>
                <w:highlight w:val="none"/>
              </w:rPr>
              <w:t>具体要求：按照广州公共资源交易平台关于全流程电子化项目的相关指南进行操作，详见：</w:t>
            </w:r>
            <w:r>
              <w:rPr>
                <w:rFonts w:hint="eastAsia" w:ascii="宋体" w:hAnsi="宋体"/>
                <w:color w:val="auto"/>
                <w:szCs w:val="21"/>
                <w:highlight w:val="none"/>
                <w:u w:val="single"/>
                <w:lang w:eastAsia="zh-CN"/>
              </w:rPr>
              <w:t>广州交易集团有限公司（广州公共资源交易中心）网</w:t>
            </w:r>
            <w:r>
              <w:rPr>
                <w:rFonts w:hint="eastAsia" w:ascii="宋体" w:hAnsi="宋体"/>
                <w:color w:val="auto"/>
                <w:szCs w:val="21"/>
                <w:highlight w:val="none"/>
                <w:u w:val="single"/>
              </w:rPr>
              <w:t>站发布的最新版操作指引</w:t>
            </w:r>
            <w:r>
              <w:rPr>
                <w:rFonts w:hint="eastAsia" w:ascii="宋体" w:hAnsi="宋体"/>
                <w:color w:val="auto"/>
                <w:szCs w:val="21"/>
                <w:highlight w:val="none"/>
              </w:rPr>
              <w:t>。 提问一律不得署名。</w:t>
            </w:r>
          </w:p>
        </w:tc>
      </w:tr>
      <w:tr>
        <w:tblPrEx>
          <w:tblCellMar>
            <w:top w:w="0" w:type="dxa"/>
            <w:left w:w="108" w:type="dxa"/>
            <w:bottom w:w="0" w:type="dxa"/>
            <w:right w:w="108" w:type="dxa"/>
          </w:tblCellMar>
        </w:tblPrEx>
        <w:trPr>
          <w:trHeight w:val="450" w:hRule="atLeast"/>
        </w:trPr>
        <w:tc>
          <w:tcPr>
            <w:tcW w:w="1498" w:type="dxa"/>
            <w:tcBorders>
              <w:top w:val="single" w:color="auto" w:sz="4" w:space="0"/>
              <w:left w:val="single" w:color="auto" w:sz="4" w:space="0"/>
              <w:bottom w:val="single" w:color="auto" w:sz="4" w:space="0"/>
              <w:right w:val="single" w:color="auto" w:sz="4" w:space="0"/>
            </w:tcBorders>
            <w:vAlign w:val="center"/>
          </w:tcPr>
          <w:p>
            <w:pPr>
              <w:spacing w:before="156" w:beforeLines="50" w:line="276" w:lineRule="auto"/>
              <w:contextualSpacing/>
              <w:jc w:val="center"/>
              <w:rPr>
                <w:rFonts w:ascii="宋体" w:hAnsi="宋体"/>
                <w:color w:val="auto"/>
                <w:szCs w:val="21"/>
                <w:highlight w:val="none"/>
              </w:rPr>
            </w:pPr>
            <w:r>
              <w:rPr>
                <w:rFonts w:hint="eastAsia" w:ascii="宋体" w:hAnsi="宋体"/>
                <w:color w:val="auto"/>
                <w:szCs w:val="21"/>
                <w:highlight w:val="none"/>
              </w:rPr>
              <w:t>2.3</w:t>
            </w:r>
          </w:p>
        </w:tc>
        <w:tc>
          <w:tcPr>
            <w:tcW w:w="2061" w:type="dxa"/>
            <w:tcBorders>
              <w:top w:val="single" w:color="auto" w:sz="4" w:space="0"/>
              <w:left w:val="single" w:color="auto" w:sz="4" w:space="0"/>
              <w:bottom w:val="single" w:color="auto" w:sz="4" w:space="0"/>
              <w:right w:val="single" w:color="auto" w:sz="4" w:space="0"/>
            </w:tcBorders>
            <w:vAlign w:val="center"/>
          </w:tcPr>
          <w:p>
            <w:pPr>
              <w:spacing w:before="156" w:beforeLines="50" w:line="276" w:lineRule="auto"/>
              <w:contextualSpacing/>
              <w:jc w:val="center"/>
              <w:rPr>
                <w:rFonts w:ascii="宋体" w:hAnsi="宋体"/>
                <w:color w:val="auto"/>
                <w:szCs w:val="21"/>
                <w:highlight w:val="none"/>
              </w:rPr>
            </w:pPr>
            <w:r>
              <w:rPr>
                <w:rFonts w:hint="eastAsia" w:ascii="宋体" w:hAnsi="宋体"/>
                <w:color w:val="auto"/>
                <w:szCs w:val="21"/>
                <w:highlight w:val="none"/>
              </w:rPr>
              <w:t>招标文件修改</w:t>
            </w:r>
          </w:p>
        </w:tc>
        <w:tc>
          <w:tcPr>
            <w:tcW w:w="4963" w:type="dxa"/>
            <w:tcBorders>
              <w:top w:val="single" w:color="auto" w:sz="4" w:space="0"/>
              <w:left w:val="single" w:color="auto" w:sz="4" w:space="0"/>
              <w:bottom w:val="single" w:color="auto" w:sz="4" w:space="0"/>
              <w:right w:val="single" w:color="auto" w:sz="4" w:space="0"/>
            </w:tcBorders>
            <w:vAlign w:val="center"/>
          </w:tcPr>
          <w:p>
            <w:pPr>
              <w:spacing w:before="156" w:beforeLines="50" w:line="276" w:lineRule="auto"/>
              <w:contextualSpacing/>
              <w:rPr>
                <w:rFonts w:ascii="宋体" w:hAnsi="宋体"/>
                <w:color w:val="auto"/>
                <w:szCs w:val="21"/>
                <w:highlight w:val="none"/>
              </w:rPr>
            </w:pPr>
            <w:r>
              <w:rPr>
                <w:rFonts w:hint="eastAsia" w:ascii="宋体" w:hAnsi="宋体"/>
                <w:color w:val="auto"/>
                <w:szCs w:val="21"/>
                <w:highlight w:val="none"/>
              </w:rPr>
              <w:t>招标文件的修改期限：招标人在投标截止时间</w:t>
            </w:r>
            <w:r>
              <w:rPr>
                <w:rFonts w:hint="eastAsia" w:ascii="宋体" w:hAnsi="宋体"/>
                <w:color w:val="auto"/>
                <w:szCs w:val="21"/>
                <w:highlight w:val="none"/>
                <w:u w:val="single"/>
              </w:rPr>
              <w:t>15</w:t>
            </w:r>
            <w:r>
              <w:rPr>
                <w:rFonts w:hint="eastAsia" w:ascii="宋体" w:hAnsi="宋体"/>
                <w:color w:val="auto"/>
                <w:szCs w:val="21"/>
                <w:highlight w:val="none"/>
              </w:rPr>
              <w:t>天前</w:t>
            </w:r>
          </w:p>
        </w:tc>
      </w:tr>
      <w:tr>
        <w:tblPrEx>
          <w:tblCellMar>
            <w:top w:w="0" w:type="dxa"/>
            <w:left w:w="108" w:type="dxa"/>
            <w:bottom w:w="0" w:type="dxa"/>
            <w:right w:w="108" w:type="dxa"/>
          </w:tblCellMar>
        </w:tblPrEx>
        <w:trPr>
          <w:trHeight w:val="450" w:hRule="atLeast"/>
        </w:trPr>
        <w:tc>
          <w:tcPr>
            <w:tcW w:w="1498" w:type="dxa"/>
            <w:tcBorders>
              <w:top w:val="single" w:color="auto" w:sz="4" w:space="0"/>
              <w:left w:val="single" w:color="auto" w:sz="4" w:space="0"/>
              <w:bottom w:val="single" w:color="auto" w:sz="4" w:space="0"/>
              <w:right w:val="single" w:color="auto" w:sz="4" w:space="0"/>
            </w:tcBorders>
            <w:vAlign w:val="center"/>
          </w:tcPr>
          <w:p>
            <w:pPr>
              <w:spacing w:before="156" w:beforeLines="50" w:line="276" w:lineRule="auto"/>
              <w:contextualSpacing/>
              <w:jc w:val="center"/>
              <w:rPr>
                <w:rFonts w:ascii="宋体" w:hAnsi="宋体"/>
                <w:color w:val="auto"/>
                <w:szCs w:val="21"/>
                <w:highlight w:val="none"/>
              </w:rPr>
            </w:pPr>
            <w:r>
              <w:rPr>
                <w:rFonts w:hint="eastAsia" w:ascii="宋体" w:hAnsi="宋体"/>
                <w:color w:val="auto"/>
                <w:szCs w:val="21"/>
                <w:highlight w:val="none"/>
              </w:rPr>
              <w:t>4.3.1</w:t>
            </w:r>
          </w:p>
        </w:tc>
        <w:tc>
          <w:tcPr>
            <w:tcW w:w="2061" w:type="dxa"/>
            <w:tcBorders>
              <w:top w:val="single" w:color="auto" w:sz="4" w:space="0"/>
              <w:left w:val="single" w:color="auto" w:sz="4" w:space="0"/>
              <w:bottom w:val="single" w:color="auto" w:sz="4" w:space="0"/>
              <w:right w:val="single" w:color="auto" w:sz="4" w:space="0"/>
            </w:tcBorders>
            <w:vAlign w:val="center"/>
          </w:tcPr>
          <w:p>
            <w:pPr>
              <w:spacing w:before="156" w:beforeLines="50" w:line="276" w:lineRule="auto"/>
              <w:contextualSpacing/>
              <w:jc w:val="center"/>
              <w:rPr>
                <w:rFonts w:ascii="宋体" w:hAnsi="宋体"/>
                <w:color w:val="auto"/>
                <w:szCs w:val="21"/>
                <w:highlight w:val="none"/>
              </w:rPr>
            </w:pPr>
            <w:r>
              <w:rPr>
                <w:rFonts w:hint="eastAsia" w:ascii="宋体" w:hAnsi="宋体"/>
                <w:color w:val="auto"/>
                <w:szCs w:val="21"/>
                <w:highlight w:val="none"/>
              </w:rPr>
              <w:t>投标截止时间</w:t>
            </w:r>
          </w:p>
        </w:tc>
        <w:tc>
          <w:tcPr>
            <w:tcW w:w="4963" w:type="dxa"/>
            <w:tcBorders>
              <w:top w:val="single" w:color="auto" w:sz="4" w:space="0"/>
              <w:left w:val="single" w:color="auto" w:sz="4" w:space="0"/>
              <w:bottom w:val="single" w:color="auto" w:sz="4" w:space="0"/>
              <w:right w:val="single" w:color="auto" w:sz="4" w:space="0"/>
            </w:tcBorders>
            <w:vAlign w:val="center"/>
          </w:tcPr>
          <w:p>
            <w:pPr>
              <w:spacing w:before="156" w:beforeLines="50" w:line="276" w:lineRule="auto"/>
              <w:ind w:firstLine="420" w:firstLineChars="200"/>
              <w:contextualSpacing/>
              <w:rPr>
                <w:rFonts w:ascii="宋体" w:hAnsi="宋体"/>
                <w:color w:val="auto"/>
                <w:szCs w:val="21"/>
                <w:highlight w:val="none"/>
              </w:rPr>
            </w:pPr>
            <w:r>
              <w:rPr>
                <w:rFonts w:hint="eastAsia" w:ascii="宋体" w:hAnsi="宋体"/>
                <w:color w:val="auto"/>
                <w:szCs w:val="21"/>
                <w:highlight w:val="none"/>
              </w:rPr>
              <w:t>年  月  日   时（北京时间）</w:t>
            </w:r>
          </w:p>
        </w:tc>
      </w:tr>
      <w:tr>
        <w:tblPrEx>
          <w:tblCellMar>
            <w:top w:w="0" w:type="dxa"/>
            <w:left w:w="108" w:type="dxa"/>
            <w:bottom w:w="0" w:type="dxa"/>
            <w:right w:w="108" w:type="dxa"/>
          </w:tblCellMar>
        </w:tblPrEx>
        <w:trPr>
          <w:trHeight w:val="465" w:hRule="atLeast"/>
        </w:trPr>
        <w:tc>
          <w:tcPr>
            <w:tcW w:w="1498" w:type="dxa"/>
            <w:tcBorders>
              <w:top w:val="single" w:color="auto" w:sz="4" w:space="0"/>
              <w:left w:val="single" w:color="auto" w:sz="4" w:space="0"/>
              <w:bottom w:val="single" w:color="auto" w:sz="4" w:space="0"/>
              <w:right w:val="single" w:color="auto" w:sz="4" w:space="0"/>
            </w:tcBorders>
            <w:vAlign w:val="center"/>
          </w:tcPr>
          <w:p>
            <w:pPr>
              <w:spacing w:before="156" w:beforeLines="50" w:line="276" w:lineRule="auto"/>
              <w:contextualSpacing/>
              <w:jc w:val="center"/>
              <w:rPr>
                <w:rFonts w:ascii="宋体" w:hAnsi="宋体"/>
                <w:color w:val="auto"/>
                <w:szCs w:val="21"/>
                <w:highlight w:val="none"/>
              </w:rPr>
            </w:pPr>
            <w:r>
              <w:rPr>
                <w:rFonts w:hint="eastAsia" w:ascii="宋体" w:hAnsi="宋体"/>
                <w:color w:val="auto"/>
                <w:szCs w:val="21"/>
                <w:highlight w:val="none"/>
              </w:rPr>
              <w:t>3.1</w:t>
            </w:r>
          </w:p>
        </w:tc>
        <w:tc>
          <w:tcPr>
            <w:tcW w:w="2061" w:type="dxa"/>
            <w:tcBorders>
              <w:top w:val="single" w:color="auto" w:sz="4" w:space="0"/>
              <w:left w:val="single" w:color="auto" w:sz="4" w:space="0"/>
              <w:bottom w:val="single" w:color="auto" w:sz="4" w:space="0"/>
              <w:right w:val="single" w:color="auto" w:sz="4" w:space="0"/>
            </w:tcBorders>
            <w:vAlign w:val="center"/>
          </w:tcPr>
          <w:p>
            <w:pPr>
              <w:spacing w:before="156" w:beforeLines="50" w:line="276" w:lineRule="auto"/>
              <w:contextualSpacing/>
              <w:jc w:val="center"/>
              <w:rPr>
                <w:rFonts w:ascii="宋体" w:hAnsi="宋体"/>
                <w:color w:val="auto"/>
                <w:szCs w:val="21"/>
                <w:highlight w:val="none"/>
              </w:rPr>
            </w:pPr>
            <w:r>
              <w:rPr>
                <w:rFonts w:hint="eastAsia" w:ascii="宋体" w:hAnsi="宋体"/>
                <w:color w:val="auto"/>
                <w:szCs w:val="21"/>
                <w:highlight w:val="none"/>
              </w:rPr>
              <w:t>投标文件的组成</w:t>
            </w:r>
          </w:p>
        </w:tc>
        <w:tc>
          <w:tcPr>
            <w:tcW w:w="4963" w:type="dxa"/>
            <w:tcBorders>
              <w:top w:val="single" w:color="auto" w:sz="4" w:space="0"/>
              <w:left w:val="single" w:color="auto" w:sz="4" w:space="0"/>
              <w:bottom w:val="single" w:color="auto" w:sz="4" w:space="0"/>
              <w:right w:val="single" w:color="auto" w:sz="4" w:space="0"/>
            </w:tcBorders>
            <w:vAlign w:val="center"/>
          </w:tcPr>
          <w:p>
            <w:pPr>
              <w:spacing w:before="156" w:beforeLines="50" w:line="276" w:lineRule="auto"/>
              <w:contextualSpacing/>
              <w:rPr>
                <w:rFonts w:ascii="宋体" w:hAnsi="宋体"/>
                <w:color w:val="auto"/>
                <w:szCs w:val="21"/>
                <w:highlight w:val="none"/>
              </w:rPr>
            </w:pPr>
            <w:r>
              <w:rPr>
                <w:rFonts w:hint="eastAsia" w:ascii="宋体" w:hAnsi="宋体"/>
                <w:color w:val="auto"/>
                <w:szCs w:val="21"/>
                <w:highlight w:val="none"/>
              </w:rPr>
              <w:t>采用综合评估法二：投标文件由资格审查文件、商务文件和技术文件组成。</w:t>
            </w:r>
            <w:r>
              <w:rPr>
                <w:rFonts w:hint="eastAsia" w:ascii="宋体" w:hAnsi="宋体"/>
                <w:color w:val="auto"/>
                <w:szCs w:val="21"/>
                <w:highlight w:val="none"/>
                <w:u w:val="single"/>
              </w:rPr>
              <w:t>（详见第八章投标文件格式）</w:t>
            </w:r>
          </w:p>
        </w:tc>
      </w:tr>
      <w:tr>
        <w:tblPrEx>
          <w:tblCellMar>
            <w:top w:w="0" w:type="dxa"/>
            <w:left w:w="108" w:type="dxa"/>
            <w:bottom w:w="0" w:type="dxa"/>
            <w:right w:w="108" w:type="dxa"/>
          </w:tblCellMar>
        </w:tblPrEx>
        <w:trPr>
          <w:trHeight w:val="429" w:hRule="atLeast"/>
        </w:trPr>
        <w:tc>
          <w:tcPr>
            <w:tcW w:w="1498" w:type="dxa"/>
            <w:tcBorders>
              <w:top w:val="single" w:color="auto" w:sz="4" w:space="0"/>
              <w:left w:val="single" w:color="auto" w:sz="4" w:space="0"/>
              <w:bottom w:val="single" w:color="auto" w:sz="4" w:space="0"/>
              <w:right w:val="single" w:color="auto" w:sz="4" w:space="0"/>
            </w:tcBorders>
            <w:vAlign w:val="center"/>
          </w:tcPr>
          <w:p>
            <w:pPr>
              <w:spacing w:before="156" w:beforeLines="50" w:line="276" w:lineRule="auto"/>
              <w:contextualSpacing/>
              <w:jc w:val="center"/>
              <w:rPr>
                <w:rFonts w:ascii="宋体" w:hAnsi="宋体"/>
                <w:color w:val="auto"/>
                <w:szCs w:val="21"/>
                <w:highlight w:val="none"/>
              </w:rPr>
            </w:pPr>
            <w:r>
              <w:rPr>
                <w:rFonts w:hint="eastAsia" w:ascii="宋体" w:hAnsi="宋体"/>
                <w:color w:val="auto"/>
                <w:szCs w:val="21"/>
                <w:highlight w:val="none"/>
              </w:rPr>
              <w:t>3.2.3</w:t>
            </w:r>
          </w:p>
        </w:tc>
        <w:tc>
          <w:tcPr>
            <w:tcW w:w="2061" w:type="dxa"/>
            <w:tcBorders>
              <w:top w:val="single" w:color="auto" w:sz="4" w:space="0"/>
              <w:left w:val="single" w:color="auto" w:sz="4" w:space="0"/>
              <w:bottom w:val="single" w:color="auto" w:sz="4" w:space="0"/>
              <w:right w:val="single" w:color="auto" w:sz="4" w:space="0"/>
            </w:tcBorders>
            <w:vAlign w:val="center"/>
          </w:tcPr>
          <w:p>
            <w:pPr>
              <w:spacing w:before="156" w:beforeLines="50" w:line="276" w:lineRule="auto"/>
              <w:contextualSpacing/>
              <w:jc w:val="center"/>
              <w:rPr>
                <w:rFonts w:ascii="宋体" w:hAnsi="宋体"/>
                <w:color w:val="auto"/>
                <w:szCs w:val="21"/>
                <w:highlight w:val="none"/>
              </w:rPr>
            </w:pPr>
            <w:r>
              <w:rPr>
                <w:rFonts w:hint="eastAsia" w:ascii="宋体" w:hAnsi="宋体"/>
                <w:color w:val="auto"/>
                <w:szCs w:val="21"/>
                <w:highlight w:val="none"/>
              </w:rPr>
              <w:t>最高投标限价</w:t>
            </w:r>
          </w:p>
        </w:tc>
        <w:tc>
          <w:tcPr>
            <w:tcW w:w="4963" w:type="dxa"/>
            <w:tcBorders>
              <w:top w:val="single" w:color="auto" w:sz="4" w:space="0"/>
              <w:left w:val="single" w:color="auto" w:sz="4" w:space="0"/>
              <w:bottom w:val="single" w:color="auto" w:sz="4" w:space="0"/>
              <w:right w:val="single" w:color="auto" w:sz="4" w:space="0"/>
            </w:tcBorders>
            <w:vAlign w:val="center"/>
          </w:tcPr>
          <w:p>
            <w:pPr>
              <w:spacing w:before="156" w:beforeLines="50" w:line="276" w:lineRule="auto"/>
              <w:contextualSpacing/>
              <w:rPr>
                <w:rFonts w:ascii="宋体" w:hAnsi="宋体"/>
                <w:color w:val="auto"/>
                <w:szCs w:val="21"/>
                <w:highlight w:val="none"/>
              </w:rPr>
            </w:pPr>
            <w:r>
              <w:rPr>
                <w:rFonts w:hint="eastAsia" w:ascii="宋体" w:hAnsi="宋体"/>
                <w:color w:val="auto"/>
                <w:szCs w:val="21"/>
                <w:highlight w:val="none"/>
              </w:rPr>
              <w:t>本工程最高投标限价为人民币</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万元。</w:t>
            </w:r>
          </w:p>
          <w:p>
            <w:pPr>
              <w:spacing w:before="156" w:beforeLines="50" w:line="276" w:lineRule="auto"/>
              <w:contextualSpacing/>
              <w:rPr>
                <w:rFonts w:ascii="宋体" w:hAnsi="宋体"/>
                <w:color w:val="auto"/>
                <w:szCs w:val="21"/>
                <w:highlight w:val="none"/>
              </w:rPr>
            </w:pPr>
            <w:r>
              <w:rPr>
                <w:rFonts w:hint="eastAsia" w:ascii="宋体" w:hAnsi="宋体"/>
                <w:color w:val="auto"/>
                <w:szCs w:val="21"/>
                <w:highlight w:val="none"/>
              </w:rPr>
              <w:t>本项目安全生产措施费为万元，余泥渣土运输与排放费为</w:t>
            </w:r>
            <w:r>
              <w:rPr>
                <w:rFonts w:ascii="宋体" w:hAnsi="宋体"/>
                <w:color w:val="auto"/>
                <w:szCs w:val="21"/>
                <w:highlight w:val="none"/>
                <w:u w:val="single"/>
              </w:rPr>
              <w:t xml:space="preserve">  / </w:t>
            </w:r>
            <w:r>
              <w:rPr>
                <w:rFonts w:hint="eastAsia" w:ascii="宋体" w:hAnsi="宋体"/>
                <w:color w:val="auto"/>
                <w:szCs w:val="21"/>
                <w:highlight w:val="none"/>
              </w:rPr>
              <w:t>万元，暂列金额为</w:t>
            </w:r>
            <w:r>
              <w:rPr>
                <w:rFonts w:ascii="宋体" w:hAnsi="宋体"/>
                <w:color w:val="auto"/>
                <w:szCs w:val="21"/>
                <w:highlight w:val="none"/>
                <w:u w:val="single"/>
              </w:rPr>
              <w:t xml:space="preserve">  0  </w:t>
            </w:r>
            <w:r>
              <w:rPr>
                <w:rFonts w:hint="eastAsia" w:ascii="宋体" w:hAnsi="宋体"/>
                <w:color w:val="auto"/>
                <w:szCs w:val="21"/>
                <w:highlight w:val="none"/>
              </w:rPr>
              <w:t>万元，暂估价为</w:t>
            </w:r>
            <w:r>
              <w:rPr>
                <w:rFonts w:ascii="宋体" w:hAnsi="宋体"/>
                <w:color w:val="auto"/>
                <w:szCs w:val="21"/>
                <w:highlight w:val="none"/>
                <w:u w:val="single"/>
              </w:rPr>
              <w:t xml:space="preserve">  0  </w:t>
            </w:r>
            <w:r>
              <w:rPr>
                <w:rFonts w:hint="eastAsia" w:ascii="宋体" w:hAnsi="宋体"/>
                <w:color w:val="auto"/>
                <w:szCs w:val="21"/>
                <w:highlight w:val="none"/>
              </w:rPr>
              <w:t>万元。</w:t>
            </w:r>
          </w:p>
        </w:tc>
      </w:tr>
      <w:tr>
        <w:tblPrEx>
          <w:tblCellMar>
            <w:top w:w="0" w:type="dxa"/>
            <w:left w:w="108" w:type="dxa"/>
            <w:bottom w:w="0" w:type="dxa"/>
            <w:right w:w="108" w:type="dxa"/>
          </w:tblCellMar>
        </w:tblPrEx>
        <w:trPr>
          <w:trHeight w:val="429" w:hRule="atLeast"/>
        </w:trPr>
        <w:tc>
          <w:tcPr>
            <w:tcW w:w="1498" w:type="dxa"/>
            <w:tcBorders>
              <w:top w:val="single" w:color="auto" w:sz="4" w:space="0"/>
              <w:left w:val="single" w:color="auto" w:sz="4" w:space="0"/>
              <w:bottom w:val="single" w:color="auto" w:sz="4" w:space="0"/>
              <w:right w:val="single" w:color="auto" w:sz="4" w:space="0"/>
            </w:tcBorders>
            <w:vAlign w:val="center"/>
          </w:tcPr>
          <w:p>
            <w:pPr>
              <w:spacing w:before="156" w:beforeLines="50" w:line="276" w:lineRule="auto"/>
              <w:contextualSpacing/>
              <w:jc w:val="center"/>
              <w:rPr>
                <w:rFonts w:ascii="宋体" w:hAnsi="宋体"/>
                <w:color w:val="auto"/>
                <w:szCs w:val="21"/>
                <w:highlight w:val="none"/>
              </w:rPr>
            </w:pPr>
            <w:r>
              <w:rPr>
                <w:rFonts w:hint="eastAsia" w:ascii="宋体" w:hAnsi="宋体"/>
                <w:color w:val="auto"/>
                <w:szCs w:val="21"/>
                <w:highlight w:val="none"/>
              </w:rPr>
              <w:t>3.2.4</w:t>
            </w:r>
          </w:p>
        </w:tc>
        <w:tc>
          <w:tcPr>
            <w:tcW w:w="2061" w:type="dxa"/>
            <w:tcBorders>
              <w:top w:val="single" w:color="auto" w:sz="4" w:space="0"/>
              <w:left w:val="single" w:color="auto" w:sz="4" w:space="0"/>
              <w:bottom w:val="single" w:color="auto" w:sz="4" w:space="0"/>
              <w:right w:val="single" w:color="auto" w:sz="4" w:space="0"/>
            </w:tcBorders>
            <w:vAlign w:val="center"/>
          </w:tcPr>
          <w:p>
            <w:pPr>
              <w:spacing w:before="156" w:beforeLines="50" w:line="276" w:lineRule="auto"/>
              <w:contextualSpacing/>
              <w:jc w:val="center"/>
              <w:rPr>
                <w:rFonts w:ascii="宋体" w:hAnsi="宋体"/>
                <w:color w:val="auto"/>
                <w:szCs w:val="21"/>
                <w:highlight w:val="none"/>
              </w:rPr>
            </w:pPr>
            <w:r>
              <w:rPr>
                <w:rFonts w:hint="eastAsia" w:ascii="宋体" w:hAnsi="宋体"/>
                <w:color w:val="auto"/>
                <w:szCs w:val="21"/>
                <w:highlight w:val="none"/>
              </w:rPr>
              <w:t>成本警示价</w:t>
            </w:r>
          </w:p>
        </w:tc>
        <w:tc>
          <w:tcPr>
            <w:tcW w:w="4963" w:type="dxa"/>
            <w:tcBorders>
              <w:top w:val="single" w:color="auto" w:sz="4" w:space="0"/>
              <w:left w:val="single" w:color="auto" w:sz="4" w:space="0"/>
              <w:bottom w:val="single" w:color="auto" w:sz="4" w:space="0"/>
              <w:right w:val="single" w:color="auto" w:sz="4" w:space="0"/>
            </w:tcBorders>
            <w:vAlign w:val="center"/>
          </w:tcPr>
          <w:p>
            <w:pPr>
              <w:spacing w:before="156" w:beforeLines="50" w:line="276" w:lineRule="auto"/>
              <w:contextualSpacing/>
              <w:rPr>
                <w:rFonts w:ascii="宋体" w:hAnsi="宋体"/>
                <w:color w:val="auto"/>
                <w:szCs w:val="21"/>
                <w:highlight w:val="none"/>
              </w:rPr>
            </w:pPr>
            <w:r>
              <w:rPr>
                <w:rFonts w:hint="eastAsia" w:ascii="宋体" w:hAnsi="宋体" w:cs="宋体"/>
                <w:color w:val="auto"/>
                <w:szCs w:val="21"/>
                <w:highlight w:val="none"/>
              </w:rPr>
              <w:t>成本警示价为</w:t>
            </w:r>
            <w:r>
              <w:rPr>
                <w:rFonts w:hint="eastAsia" w:ascii="宋体" w:hAnsi="宋体"/>
                <w:color w:val="auto"/>
                <w:szCs w:val="21"/>
                <w:highlight w:val="none"/>
              </w:rPr>
              <w:t>万</w:t>
            </w:r>
            <w:r>
              <w:rPr>
                <w:rFonts w:hint="eastAsia" w:ascii="宋体" w:hAnsi="宋体" w:cs="宋体"/>
                <w:color w:val="auto"/>
                <w:szCs w:val="21"/>
                <w:highlight w:val="none"/>
              </w:rPr>
              <w:t>元。（招标控制价的</w:t>
            </w:r>
            <w:r>
              <w:rPr>
                <w:rFonts w:hint="eastAsia" w:ascii="宋体" w:hAnsi="宋体" w:cs="宋体"/>
                <w:color w:val="auto"/>
                <w:szCs w:val="21"/>
                <w:highlight w:val="none"/>
                <w:u w:val="single"/>
              </w:rPr>
              <w:t>90</w:t>
            </w:r>
            <w:r>
              <w:rPr>
                <w:rFonts w:hint="eastAsia" w:ascii="宋体" w:hAnsi="宋体" w:cs="宋体"/>
                <w:color w:val="auto"/>
                <w:szCs w:val="21"/>
                <w:highlight w:val="none"/>
              </w:rPr>
              <w:t>%设置为成本警示价）</w:t>
            </w:r>
          </w:p>
        </w:tc>
      </w:tr>
      <w:tr>
        <w:tblPrEx>
          <w:tblCellMar>
            <w:top w:w="0" w:type="dxa"/>
            <w:left w:w="108" w:type="dxa"/>
            <w:bottom w:w="0" w:type="dxa"/>
            <w:right w:w="108" w:type="dxa"/>
          </w:tblCellMar>
        </w:tblPrEx>
        <w:trPr>
          <w:trHeight w:val="70" w:hRule="atLeast"/>
        </w:trPr>
        <w:tc>
          <w:tcPr>
            <w:tcW w:w="1498" w:type="dxa"/>
            <w:tcBorders>
              <w:top w:val="single" w:color="auto" w:sz="4" w:space="0"/>
              <w:left w:val="single" w:color="auto" w:sz="4" w:space="0"/>
              <w:right w:val="single" w:color="auto" w:sz="4" w:space="0"/>
            </w:tcBorders>
            <w:vAlign w:val="center"/>
          </w:tcPr>
          <w:p>
            <w:pPr>
              <w:spacing w:before="156" w:beforeLines="50" w:line="276" w:lineRule="auto"/>
              <w:contextualSpacing/>
              <w:jc w:val="center"/>
              <w:rPr>
                <w:rFonts w:ascii="宋体" w:hAnsi="宋体"/>
                <w:color w:val="auto"/>
                <w:szCs w:val="21"/>
                <w:highlight w:val="none"/>
              </w:rPr>
            </w:pPr>
            <w:r>
              <w:rPr>
                <w:rFonts w:hint="eastAsia" w:ascii="宋体" w:hAnsi="宋体"/>
                <w:color w:val="auto"/>
                <w:szCs w:val="21"/>
                <w:highlight w:val="none"/>
              </w:rPr>
              <w:t>3.3.1</w:t>
            </w:r>
          </w:p>
        </w:tc>
        <w:tc>
          <w:tcPr>
            <w:tcW w:w="2061" w:type="dxa"/>
            <w:tcBorders>
              <w:top w:val="single" w:color="auto" w:sz="4" w:space="0"/>
              <w:left w:val="single" w:color="auto" w:sz="4" w:space="0"/>
              <w:right w:val="single" w:color="auto" w:sz="4" w:space="0"/>
            </w:tcBorders>
            <w:vAlign w:val="center"/>
          </w:tcPr>
          <w:p>
            <w:pPr>
              <w:spacing w:before="156" w:beforeLines="50" w:line="276" w:lineRule="auto"/>
              <w:contextualSpacing/>
              <w:jc w:val="center"/>
              <w:rPr>
                <w:rFonts w:ascii="宋体" w:hAnsi="宋体"/>
                <w:color w:val="auto"/>
                <w:szCs w:val="21"/>
                <w:highlight w:val="none"/>
              </w:rPr>
            </w:pPr>
            <w:r>
              <w:rPr>
                <w:rFonts w:hint="eastAsia" w:ascii="宋体" w:hAnsi="宋体"/>
                <w:color w:val="auto"/>
                <w:szCs w:val="21"/>
                <w:highlight w:val="none"/>
              </w:rPr>
              <w:t>投标有效期</w:t>
            </w:r>
          </w:p>
        </w:tc>
        <w:tc>
          <w:tcPr>
            <w:tcW w:w="4963" w:type="dxa"/>
            <w:tcBorders>
              <w:top w:val="single" w:color="auto" w:sz="4" w:space="0"/>
              <w:left w:val="single" w:color="auto" w:sz="4" w:space="0"/>
              <w:right w:val="single" w:color="auto" w:sz="4" w:space="0"/>
            </w:tcBorders>
            <w:vAlign w:val="center"/>
          </w:tcPr>
          <w:p>
            <w:pPr>
              <w:pStyle w:val="15"/>
              <w:topLinePunct/>
              <w:spacing w:before="156" w:beforeLines="50" w:after="0" w:line="276" w:lineRule="auto"/>
              <w:contextualSpacing/>
              <w:rPr>
                <w:rFonts w:ascii="宋体" w:hAnsi="宋体"/>
                <w:color w:val="auto"/>
                <w:sz w:val="21"/>
                <w:szCs w:val="21"/>
                <w:highlight w:val="none"/>
              </w:rPr>
            </w:pPr>
            <w:r>
              <w:rPr>
                <w:rFonts w:hint="eastAsia" w:ascii="宋体" w:hAnsi="宋体"/>
                <w:color w:val="auto"/>
                <w:sz w:val="21"/>
                <w:szCs w:val="21"/>
                <w:highlight w:val="none"/>
                <w:u w:val="single"/>
              </w:rPr>
              <w:t>90</w:t>
            </w:r>
            <w:r>
              <w:rPr>
                <w:rFonts w:hint="eastAsia" w:ascii="宋体" w:hAnsi="宋体"/>
                <w:color w:val="auto"/>
                <w:sz w:val="21"/>
                <w:szCs w:val="21"/>
                <w:highlight w:val="none"/>
              </w:rPr>
              <w:t>日历天（从投标截止之日计起）</w:t>
            </w:r>
          </w:p>
        </w:tc>
      </w:tr>
      <w:tr>
        <w:tblPrEx>
          <w:tblCellMar>
            <w:top w:w="0" w:type="dxa"/>
            <w:left w:w="108" w:type="dxa"/>
            <w:bottom w:w="0" w:type="dxa"/>
            <w:right w:w="108" w:type="dxa"/>
          </w:tblCellMar>
        </w:tblPrEx>
        <w:tc>
          <w:tcPr>
            <w:tcW w:w="1498" w:type="dxa"/>
            <w:tcBorders>
              <w:top w:val="single" w:color="auto" w:sz="4" w:space="0"/>
              <w:left w:val="single" w:color="auto" w:sz="4" w:space="0"/>
              <w:bottom w:val="single" w:color="auto" w:sz="4" w:space="0"/>
              <w:right w:val="single" w:color="auto" w:sz="4" w:space="0"/>
            </w:tcBorders>
            <w:vAlign w:val="center"/>
          </w:tcPr>
          <w:p>
            <w:pPr>
              <w:spacing w:before="156" w:beforeLines="50" w:line="276" w:lineRule="auto"/>
              <w:contextualSpacing/>
              <w:jc w:val="center"/>
              <w:rPr>
                <w:rFonts w:ascii="宋体" w:hAnsi="宋体"/>
                <w:color w:val="auto"/>
                <w:szCs w:val="21"/>
                <w:highlight w:val="none"/>
              </w:rPr>
            </w:pPr>
            <w:r>
              <w:rPr>
                <w:rFonts w:hint="eastAsia" w:ascii="宋体" w:hAnsi="宋体"/>
                <w:color w:val="auto"/>
                <w:szCs w:val="21"/>
                <w:highlight w:val="none"/>
              </w:rPr>
              <w:t>3.4.1</w:t>
            </w:r>
          </w:p>
        </w:tc>
        <w:tc>
          <w:tcPr>
            <w:tcW w:w="2061" w:type="dxa"/>
            <w:tcBorders>
              <w:top w:val="single" w:color="auto" w:sz="4" w:space="0"/>
              <w:left w:val="single" w:color="auto" w:sz="4" w:space="0"/>
              <w:bottom w:val="single" w:color="auto" w:sz="4" w:space="0"/>
              <w:right w:val="single" w:color="auto" w:sz="4" w:space="0"/>
            </w:tcBorders>
            <w:vAlign w:val="center"/>
          </w:tcPr>
          <w:p>
            <w:pPr>
              <w:spacing w:before="156" w:beforeLines="50" w:line="276" w:lineRule="auto"/>
              <w:contextualSpacing/>
              <w:jc w:val="center"/>
              <w:rPr>
                <w:rFonts w:ascii="宋体" w:hAnsi="宋体"/>
                <w:color w:val="auto"/>
                <w:szCs w:val="21"/>
                <w:highlight w:val="none"/>
              </w:rPr>
            </w:pPr>
            <w:r>
              <w:rPr>
                <w:rFonts w:ascii="宋体" w:hAnsi="宋体"/>
                <w:color w:val="auto"/>
                <w:szCs w:val="21"/>
                <w:highlight w:val="none"/>
              </w:rPr>
              <w:t>投标保证金</w:t>
            </w:r>
          </w:p>
        </w:tc>
        <w:tc>
          <w:tcPr>
            <w:tcW w:w="4963"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Cs w:val="21"/>
                <w:highlight w:val="none"/>
              </w:rPr>
            </w:pPr>
            <w:r>
              <w:rPr>
                <w:rFonts w:hint="eastAsia" w:ascii="宋体" w:hAnsi="宋体"/>
                <w:color w:val="auto"/>
                <w:szCs w:val="21"/>
                <w:highlight w:val="none"/>
              </w:rPr>
              <w:t>是否要求投标人递交投标保证金：</w:t>
            </w:r>
          </w:p>
          <w:p>
            <w:pPr>
              <w:spacing w:line="276" w:lineRule="auto"/>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要求，投标保证金：</w:t>
            </w:r>
            <w:r>
              <w:rPr>
                <w:rFonts w:ascii="宋体" w:hAnsi="宋体"/>
                <w:color w:val="auto"/>
                <w:szCs w:val="21"/>
                <w:highlight w:val="none"/>
                <w:u w:val="single"/>
              </w:rPr>
              <w:t xml:space="preserve">  </w:t>
            </w:r>
            <w:r>
              <w:rPr>
                <w:rFonts w:ascii="宋体" w:hAnsi="宋体"/>
                <w:b/>
                <w:bCs/>
                <w:color w:val="auto"/>
                <w:szCs w:val="21"/>
                <w:highlight w:val="none"/>
                <w:u w:val="single"/>
              </w:rPr>
              <w:t>/</w:t>
            </w:r>
            <w:r>
              <w:rPr>
                <w:rFonts w:ascii="宋体" w:hAnsi="宋体"/>
                <w:color w:val="auto"/>
                <w:szCs w:val="21"/>
                <w:highlight w:val="none"/>
                <w:u w:val="single"/>
              </w:rPr>
              <w:t xml:space="preserve"> </w:t>
            </w:r>
            <w:r>
              <w:rPr>
                <w:rFonts w:hint="eastAsia" w:ascii="宋体" w:hAnsi="宋体"/>
                <w:color w:val="auto"/>
                <w:szCs w:val="21"/>
                <w:highlight w:val="none"/>
              </w:rPr>
              <w:t>万元人民币；</w:t>
            </w:r>
          </w:p>
          <w:p>
            <w:pPr>
              <w:spacing w:line="276" w:lineRule="auto"/>
              <w:rPr>
                <w:rFonts w:ascii="宋体" w:hAnsi="宋体" w:cs="宋体"/>
                <w:color w:val="auto"/>
                <w:szCs w:val="21"/>
                <w:highlight w:val="none"/>
                <w:u w:val="single"/>
              </w:rPr>
            </w:pPr>
            <w:r>
              <w:rPr>
                <w:rFonts w:hint="eastAsia" w:ascii="宋体" w:hAnsi="宋体"/>
                <w:color w:val="auto"/>
                <w:szCs w:val="21"/>
                <w:highlight w:val="none"/>
              </w:rPr>
              <w:t>按以下方式递交：</w:t>
            </w:r>
            <w:r>
              <w:rPr>
                <w:rFonts w:hint="eastAsia" w:ascii="宋体" w:hAnsi="宋体" w:cs="宋体"/>
                <w:color w:val="auto"/>
                <w:szCs w:val="21"/>
                <w:highlight w:val="none"/>
                <w:u w:val="single"/>
              </w:rPr>
              <w:t>/</w:t>
            </w:r>
          </w:p>
          <w:p>
            <w:pPr>
              <w:spacing w:line="276" w:lineRule="auto"/>
              <w:rPr>
                <w:rFonts w:ascii="宋体" w:hAnsi="宋体"/>
                <w:color w:val="auto"/>
                <w:szCs w:val="21"/>
                <w:highlight w:val="none"/>
              </w:rPr>
            </w:pPr>
            <w:r>
              <w:rPr>
                <w:rFonts w:hint="eastAsia" w:ascii="宋体" w:hAnsi="宋体"/>
                <w:color w:val="auto"/>
                <w:szCs w:val="21"/>
                <w:highlight w:val="none"/>
              </w:rPr>
              <w:t>缴纳时间：</w:t>
            </w:r>
            <w:r>
              <w:rPr>
                <w:rFonts w:hint="eastAsia" w:ascii="宋体" w:hAnsi="宋体" w:cs="宋体"/>
                <w:color w:val="auto"/>
                <w:szCs w:val="21"/>
                <w:highlight w:val="none"/>
                <w:u w:val="single"/>
              </w:rPr>
              <w:t>/</w:t>
            </w:r>
          </w:p>
          <w:p>
            <w:pPr>
              <w:spacing w:line="276" w:lineRule="auto"/>
              <w:rPr>
                <w:rFonts w:ascii="宋体" w:hAnsi="宋体"/>
                <w:color w:val="auto"/>
                <w:szCs w:val="21"/>
                <w:highlight w:val="none"/>
              </w:rPr>
            </w:pPr>
            <w:r>
              <w:rPr>
                <w:rFonts w:ascii="Segoe UI Symbol" w:hAnsi="Segoe UI Symbol" w:cs="Segoe UI Symbol"/>
                <w:color w:val="auto"/>
                <w:szCs w:val="21"/>
                <w:highlight w:val="none"/>
              </w:rPr>
              <w:t>☑</w:t>
            </w:r>
            <w:r>
              <w:rPr>
                <w:rFonts w:hint="eastAsia" w:ascii="宋体" w:hAnsi="宋体"/>
                <w:color w:val="auto"/>
                <w:szCs w:val="21"/>
                <w:highlight w:val="none"/>
              </w:rPr>
              <w:t>不要求。</w:t>
            </w:r>
          </w:p>
        </w:tc>
      </w:tr>
      <w:tr>
        <w:tblPrEx>
          <w:tblCellMar>
            <w:top w:w="0" w:type="dxa"/>
            <w:left w:w="108" w:type="dxa"/>
            <w:bottom w:w="0" w:type="dxa"/>
            <w:right w:w="108" w:type="dxa"/>
          </w:tblCellMar>
        </w:tblPrEx>
        <w:trPr>
          <w:trHeight w:val="70" w:hRule="atLeast"/>
        </w:trPr>
        <w:tc>
          <w:tcPr>
            <w:tcW w:w="1498" w:type="dxa"/>
            <w:tcBorders>
              <w:top w:val="single" w:color="auto" w:sz="4" w:space="0"/>
              <w:left w:val="single" w:color="auto" w:sz="4" w:space="0"/>
              <w:right w:val="single" w:color="auto" w:sz="4" w:space="0"/>
            </w:tcBorders>
            <w:vAlign w:val="center"/>
          </w:tcPr>
          <w:p>
            <w:pPr>
              <w:spacing w:before="156" w:beforeLines="50" w:line="276" w:lineRule="auto"/>
              <w:contextualSpacing/>
              <w:jc w:val="center"/>
              <w:rPr>
                <w:rFonts w:ascii="宋体" w:hAnsi="宋体"/>
                <w:color w:val="auto"/>
                <w:szCs w:val="21"/>
                <w:highlight w:val="none"/>
              </w:rPr>
            </w:pPr>
            <w:r>
              <w:rPr>
                <w:rFonts w:hint="eastAsia" w:ascii="宋体" w:hAnsi="宋体"/>
                <w:color w:val="auto"/>
                <w:szCs w:val="21"/>
                <w:highlight w:val="none"/>
              </w:rPr>
              <w:t>3.6.4</w:t>
            </w:r>
          </w:p>
        </w:tc>
        <w:tc>
          <w:tcPr>
            <w:tcW w:w="2061" w:type="dxa"/>
            <w:tcBorders>
              <w:top w:val="single" w:color="auto" w:sz="4" w:space="0"/>
              <w:left w:val="single" w:color="auto" w:sz="4" w:space="0"/>
              <w:right w:val="single" w:color="auto" w:sz="4" w:space="0"/>
            </w:tcBorders>
            <w:vAlign w:val="center"/>
          </w:tcPr>
          <w:p>
            <w:pPr>
              <w:spacing w:before="156" w:beforeLines="50" w:line="276" w:lineRule="auto"/>
              <w:contextualSpacing/>
              <w:jc w:val="center"/>
              <w:rPr>
                <w:rFonts w:ascii="宋体" w:hAnsi="宋体"/>
                <w:color w:val="auto"/>
                <w:szCs w:val="21"/>
                <w:highlight w:val="none"/>
              </w:rPr>
            </w:pPr>
            <w:r>
              <w:rPr>
                <w:rFonts w:ascii="宋体" w:hAnsi="宋体"/>
                <w:color w:val="auto"/>
                <w:szCs w:val="21"/>
                <w:highlight w:val="none"/>
              </w:rPr>
              <w:t>签字</w:t>
            </w:r>
            <w:r>
              <w:rPr>
                <w:rFonts w:hint="eastAsia" w:ascii="宋体" w:hAnsi="宋体"/>
                <w:color w:val="auto"/>
                <w:szCs w:val="21"/>
                <w:highlight w:val="none"/>
              </w:rPr>
              <w:t>和</w:t>
            </w:r>
            <w:r>
              <w:rPr>
                <w:rFonts w:ascii="宋体" w:hAnsi="宋体"/>
                <w:color w:val="auto"/>
                <w:szCs w:val="21"/>
                <w:highlight w:val="none"/>
              </w:rPr>
              <w:t>盖章要求</w:t>
            </w:r>
          </w:p>
        </w:tc>
        <w:tc>
          <w:tcPr>
            <w:tcW w:w="4963" w:type="dxa"/>
            <w:tcBorders>
              <w:top w:val="single" w:color="auto" w:sz="4" w:space="0"/>
              <w:left w:val="single" w:color="auto" w:sz="4" w:space="0"/>
              <w:right w:val="single" w:color="auto" w:sz="4" w:space="0"/>
            </w:tcBorders>
            <w:vAlign w:val="center"/>
          </w:tcPr>
          <w:p>
            <w:pPr>
              <w:spacing w:line="276" w:lineRule="auto"/>
              <w:rPr>
                <w:rFonts w:ascii="宋体" w:hAnsi="宋体" w:cs="宋体"/>
                <w:color w:val="auto"/>
                <w:kern w:val="0"/>
                <w:szCs w:val="21"/>
                <w:highlight w:val="none"/>
              </w:rPr>
            </w:pPr>
            <w:r>
              <w:rPr>
                <w:rFonts w:hint="eastAsia" w:ascii="宋体" w:hAnsi="宋体"/>
                <w:color w:val="auto"/>
                <w:szCs w:val="21"/>
                <w:highlight w:val="none"/>
              </w:rPr>
              <w:t>投标文件格式规定需个人签字的，应签字或签章后扫描上传。投标文件格式规定盖单位公章的页面必须盖单位公章（公章与电子公章具有相同法律效力）。</w:t>
            </w:r>
          </w:p>
        </w:tc>
      </w:tr>
      <w:tr>
        <w:tblPrEx>
          <w:tblCellMar>
            <w:top w:w="0" w:type="dxa"/>
            <w:left w:w="108" w:type="dxa"/>
            <w:bottom w:w="0" w:type="dxa"/>
            <w:right w:w="108" w:type="dxa"/>
          </w:tblCellMar>
        </w:tblPrEx>
        <w:trPr>
          <w:trHeight w:val="880" w:hRule="atLeast"/>
        </w:trPr>
        <w:tc>
          <w:tcPr>
            <w:tcW w:w="1498" w:type="dxa"/>
            <w:tcBorders>
              <w:top w:val="single" w:color="auto" w:sz="4" w:space="0"/>
              <w:left w:val="single" w:color="auto" w:sz="4" w:space="0"/>
              <w:right w:val="single" w:color="auto" w:sz="4" w:space="0"/>
            </w:tcBorders>
            <w:vAlign w:val="center"/>
          </w:tcPr>
          <w:p>
            <w:pPr>
              <w:spacing w:before="156" w:beforeLines="50" w:line="276" w:lineRule="auto"/>
              <w:contextualSpacing/>
              <w:jc w:val="center"/>
              <w:rPr>
                <w:rFonts w:ascii="宋体" w:hAnsi="宋体"/>
                <w:color w:val="auto"/>
                <w:szCs w:val="21"/>
                <w:highlight w:val="none"/>
              </w:rPr>
            </w:pPr>
            <w:r>
              <w:rPr>
                <w:rFonts w:hint="eastAsia" w:ascii="宋体" w:hAnsi="宋体"/>
                <w:color w:val="auto"/>
                <w:szCs w:val="21"/>
                <w:highlight w:val="none"/>
              </w:rPr>
              <w:t>4.6.1</w:t>
            </w:r>
          </w:p>
        </w:tc>
        <w:tc>
          <w:tcPr>
            <w:tcW w:w="2061" w:type="dxa"/>
            <w:tcBorders>
              <w:top w:val="single" w:color="auto" w:sz="4" w:space="0"/>
              <w:left w:val="single" w:color="auto" w:sz="4" w:space="0"/>
              <w:right w:val="single" w:color="auto" w:sz="4" w:space="0"/>
            </w:tcBorders>
            <w:vAlign w:val="center"/>
          </w:tcPr>
          <w:p>
            <w:pPr>
              <w:spacing w:before="156" w:beforeLines="50" w:line="276" w:lineRule="auto"/>
              <w:contextualSpacing/>
              <w:jc w:val="center"/>
              <w:rPr>
                <w:rFonts w:ascii="宋体" w:hAnsi="宋体"/>
                <w:color w:val="auto"/>
                <w:szCs w:val="21"/>
                <w:highlight w:val="none"/>
              </w:rPr>
            </w:pPr>
            <w:r>
              <w:rPr>
                <w:rFonts w:hint="eastAsia" w:ascii="宋体" w:hAnsi="宋体"/>
                <w:color w:val="auto"/>
                <w:szCs w:val="21"/>
                <w:highlight w:val="none"/>
              </w:rPr>
              <w:t>投标文件解密</w:t>
            </w:r>
          </w:p>
        </w:tc>
        <w:tc>
          <w:tcPr>
            <w:tcW w:w="4963" w:type="dxa"/>
            <w:tcBorders>
              <w:top w:val="single" w:color="auto" w:sz="4" w:space="0"/>
              <w:left w:val="single" w:color="auto" w:sz="4" w:space="0"/>
              <w:right w:val="single" w:color="auto" w:sz="4" w:space="0"/>
            </w:tcBorders>
            <w:vAlign w:val="center"/>
          </w:tcPr>
          <w:p>
            <w:pPr>
              <w:spacing w:line="276" w:lineRule="auto"/>
              <w:rPr>
                <w:rFonts w:ascii="宋体" w:hAnsi="宋体"/>
                <w:color w:val="auto"/>
                <w:szCs w:val="21"/>
                <w:highlight w:val="none"/>
              </w:rPr>
            </w:pPr>
            <w:r>
              <w:rPr>
                <w:rFonts w:hint="eastAsia" w:ascii="宋体" w:hAnsi="宋体"/>
                <w:color w:val="auto"/>
                <w:szCs w:val="21"/>
                <w:highlight w:val="none"/>
              </w:rPr>
              <w:t>在投标截止时间后</w:t>
            </w:r>
            <w:r>
              <w:rPr>
                <w:rFonts w:hint="eastAsia" w:ascii="宋体" w:hAnsi="宋体"/>
                <w:color w:val="auto"/>
                <w:szCs w:val="21"/>
                <w:highlight w:val="none"/>
                <w:u w:val="single"/>
              </w:rPr>
              <w:t xml:space="preserve"> 半小时 </w:t>
            </w:r>
            <w:r>
              <w:rPr>
                <w:rFonts w:hint="eastAsia" w:ascii="宋体" w:hAnsi="宋体"/>
                <w:color w:val="auto"/>
                <w:szCs w:val="21"/>
                <w:highlight w:val="none"/>
              </w:rPr>
              <w:t>内，投标人通过广州公共资源交易平台对已递交的电子投标文件进行解密。</w:t>
            </w:r>
          </w:p>
        </w:tc>
      </w:tr>
      <w:tr>
        <w:tblPrEx>
          <w:tblCellMar>
            <w:top w:w="0" w:type="dxa"/>
            <w:left w:w="108" w:type="dxa"/>
            <w:bottom w:w="0" w:type="dxa"/>
            <w:right w:w="108" w:type="dxa"/>
          </w:tblCellMar>
        </w:tblPrEx>
        <w:trPr>
          <w:trHeight w:val="880" w:hRule="atLeast"/>
        </w:trPr>
        <w:tc>
          <w:tcPr>
            <w:tcW w:w="1498" w:type="dxa"/>
            <w:tcBorders>
              <w:top w:val="single" w:color="auto" w:sz="4" w:space="0"/>
              <w:left w:val="single" w:color="auto" w:sz="4" w:space="0"/>
              <w:right w:val="single" w:color="auto" w:sz="4" w:space="0"/>
            </w:tcBorders>
            <w:vAlign w:val="center"/>
          </w:tcPr>
          <w:p>
            <w:pPr>
              <w:spacing w:before="156" w:beforeLines="50" w:line="276" w:lineRule="auto"/>
              <w:contextualSpacing/>
              <w:jc w:val="center"/>
              <w:rPr>
                <w:rFonts w:ascii="宋体" w:hAnsi="宋体"/>
                <w:color w:val="auto"/>
                <w:szCs w:val="21"/>
                <w:highlight w:val="none"/>
              </w:rPr>
            </w:pPr>
            <w:r>
              <w:rPr>
                <w:rFonts w:hint="eastAsia" w:ascii="宋体" w:hAnsi="宋体"/>
                <w:color w:val="auto"/>
                <w:szCs w:val="21"/>
                <w:highlight w:val="none"/>
              </w:rPr>
              <w:t>5.1.1</w:t>
            </w:r>
          </w:p>
        </w:tc>
        <w:tc>
          <w:tcPr>
            <w:tcW w:w="2061" w:type="dxa"/>
            <w:tcBorders>
              <w:top w:val="single" w:color="auto" w:sz="4" w:space="0"/>
              <w:left w:val="single" w:color="auto" w:sz="4" w:space="0"/>
              <w:right w:val="single" w:color="auto" w:sz="4" w:space="0"/>
            </w:tcBorders>
            <w:vAlign w:val="center"/>
          </w:tcPr>
          <w:p>
            <w:pPr>
              <w:spacing w:before="156" w:beforeLines="50" w:line="276" w:lineRule="auto"/>
              <w:contextualSpacing/>
              <w:jc w:val="center"/>
              <w:rPr>
                <w:rFonts w:ascii="宋体" w:hAnsi="宋体"/>
                <w:color w:val="auto"/>
                <w:szCs w:val="21"/>
                <w:highlight w:val="none"/>
              </w:rPr>
            </w:pPr>
            <w:r>
              <w:rPr>
                <w:rFonts w:hint="eastAsia" w:ascii="宋体" w:hAnsi="宋体"/>
                <w:color w:val="auto"/>
                <w:szCs w:val="21"/>
                <w:highlight w:val="none"/>
              </w:rPr>
              <w:t>开标时间和地点</w:t>
            </w:r>
          </w:p>
        </w:tc>
        <w:tc>
          <w:tcPr>
            <w:tcW w:w="4963" w:type="dxa"/>
            <w:tcBorders>
              <w:top w:val="single" w:color="auto" w:sz="4" w:space="0"/>
              <w:left w:val="single" w:color="auto" w:sz="4" w:space="0"/>
              <w:right w:val="single" w:color="auto" w:sz="4" w:space="0"/>
            </w:tcBorders>
            <w:vAlign w:val="center"/>
          </w:tcPr>
          <w:p>
            <w:pPr>
              <w:spacing w:before="156" w:beforeLines="50" w:line="276" w:lineRule="auto"/>
              <w:contextualSpacing/>
              <w:rPr>
                <w:rFonts w:ascii="宋体" w:hAnsi="宋体"/>
                <w:color w:val="auto"/>
                <w:szCs w:val="21"/>
                <w:highlight w:val="none"/>
              </w:rPr>
            </w:pPr>
            <w:r>
              <w:rPr>
                <w:rFonts w:hint="eastAsia" w:ascii="宋体" w:hAnsi="宋体"/>
                <w:color w:val="auto"/>
                <w:szCs w:val="21"/>
                <w:highlight w:val="none"/>
              </w:rPr>
              <w:t>1、开标时间：____年__月</w:t>
            </w:r>
            <w:r>
              <w:rPr>
                <w:rFonts w:ascii="宋体" w:hAnsi="宋体"/>
                <w:color w:val="auto"/>
                <w:szCs w:val="21"/>
                <w:highlight w:val="none"/>
              </w:rPr>
              <w:t>__</w:t>
            </w:r>
            <w:r>
              <w:rPr>
                <w:rFonts w:hint="eastAsia" w:ascii="宋体" w:hAnsi="宋体"/>
                <w:color w:val="auto"/>
                <w:szCs w:val="21"/>
                <w:highlight w:val="none"/>
              </w:rPr>
              <w:t>日</w:t>
            </w:r>
            <w:r>
              <w:rPr>
                <w:rFonts w:ascii="宋体" w:hAnsi="宋体"/>
                <w:color w:val="auto"/>
                <w:szCs w:val="21"/>
                <w:highlight w:val="none"/>
              </w:rPr>
              <w:t>__</w:t>
            </w:r>
            <w:r>
              <w:rPr>
                <w:rFonts w:hint="eastAsia" w:ascii="宋体" w:hAnsi="宋体"/>
                <w:color w:val="auto"/>
                <w:szCs w:val="21"/>
                <w:highlight w:val="none"/>
              </w:rPr>
              <w:t>时</w:t>
            </w:r>
            <w:r>
              <w:rPr>
                <w:rFonts w:ascii="宋体" w:hAnsi="宋体"/>
                <w:color w:val="auto"/>
                <w:szCs w:val="21"/>
                <w:highlight w:val="none"/>
              </w:rPr>
              <w:t>__</w:t>
            </w:r>
            <w:r>
              <w:rPr>
                <w:rFonts w:hint="eastAsia" w:ascii="宋体" w:hAnsi="宋体"/>
                <w:color w:val="auto"/>
                <w:szCs w:val="21"/>
                <w:highlight w:val="none"/>
              </w:rPr>
              <w:t>分</w:t>
            </w:r>
          </w:p>
          <w:p>
            <w:pPr>
              <w:spacing w:before="156" w:beforeLines="50" w:line="276" w:lineRule="auto"/>
              <w:contextualSpacing/>
              <w:rPr>
                <w:rFonts w:hint="eastAsia" w:ascii="宋体" w:hAnsi="宋体" w:eastAsia="宋体"/>
                <w:color w:val="auto"/>
                <w:szCs w:val="21"/>
                <w:highlight w:val="none"/>
                <w:u w:val="single"/>
                <w:lang w:eastAsia="zh-CN"/>
              </w:rPr>
            </w:pPr>
            <w:r>
              <w:rPr>
                <w:rFonts w:hint="eastAsia" w:ascii="宋体" w:hAnsi="宋体"/>
                <w:color w:val="auto"/>
                <w:szCs w:val="21"/>
                <w:highlight w:val="none"/>
              </w:rPr>
              <w:t>2、地点：</w:t>
            </w:r>
            <w:r>
              <w:rPr>
                <w:rFonts w:hint="eastAsia" w:ascii="宋体" w:hAnsi="宋体"/>
                <w:color w:val="auto"/>
                <w:szCs w:val="21"/>
                <w:highlight w:val="none"/>
                <w:u w:val="single"/>
                <w:lang w:eastAsia="zh-CN"/>
              </w:rPr>
              <w:t>广州交易集团有限公司（广州公共资源交易中心）</w:t>
            </w:r>
            <w:r>
              <w:rPr>
                <w:rFonts w:hint="eastAsia" w:ascii="宋体" w:hAnsi="宋体"/>
                <w:color w:val="auto"/>
                <w:szCs w:val="21"/>
                <w:highlight w:val="none"/>
                <w:u w:val="single"/>
              </w:rPr>
              <w:t>黄埔交易部第  开标室</w:t>
            </w:r>
            <w:r>
              <w:rPr>
                <w:rFonts w:hint="eastAsia" w:ascii="宋体" w:hAnsi="宋体"/>
                <w:color w:val="auto"/>
                <w:szCs w:val="21"/>
                <w:highlight w:val="none"/>
                <w:u w:val="single"/>
                <w:lang w:eastAsia="zh-CN"/>
              </w:rPr>
              <w:t>，投标人也可选择参加在线开标，具体按照交易平台相关指南进行操作。详见：广州交易集团有限公司（广州公共资源交易中心）网站最新指引。</w:t>
            </w:r>
          </w:p>
          <w:p>
            <w:pPr>
              <w:spacing w:before="156" w:beforeLines="50" w:line="276" w:lineRule="auto"/>
              <w:contextualSpacing/>
              <w:rPr>
                <w:rFonts w:ascii="宋体" w:hAnsi="宋体"/>
                <w:color w:val="auto"/>
                <w:szCs w:val="21"/>
                <w:highlight w:val="none"/>
              </w:rPr>
            </w:pPr>
            <w:r>
              <w:rPr>
                <w:rFonts w:hint="eastAsia" w:ascii="宋体" w:hAnsi="宋体"/>
                <w:color w:val="auto"/>
                <w:szCs w:val="21"/>
                <w:highlight w:val="none"/>
              </w:rPr>
              <w:t>3、</w:t>
            </w:r>
            <w:r>
              <w:rPr>
                <w:rFonts w:hint="eastAsia" w:ascii="宋体" w:hAnsi="宋体"/>
                <w:color w:val="auto"/>
                <w:szCs w:val="21"/>
                <w:highlight w:val="none"/>
                <w:u w:val="single"/>
              </w:rPr>
              <w:t>递交投标文件备用光盘时间：   年   月    日     时   分至   年   月   日   时   分；递交地点：</w:t>
            </w:r>
            <w:r>
              <w:rPr>
                <w:rFonts w:hint="eastAsia" w:ascii="宋体" w:hAnsi="宋体"/>
                <w:color w:val="auto"/>
                <w:szCs w:val="21"/>
                <w:highlight w:val="none"/>
                <w:u w:val="single"/>
                <w:lang w:eastAsia="zh-CN"/>
              </w:rPr>
              <w:t>广州交易集团有限公司（广州公共资源交易中心）</w:t>
            </w:r>
            <w:r>
              <w:rPr>
                <w:rFonts w:hint="eastAsia" w:ascii="宋体" w:hAnsi="宋体"/>
                <w:color w:val="auto"/>
                <w:szCs w:val="21"/>
                <w:highlight w:val="none"/>
                <w:u w:val="single"/>
              </w:rPr>
              <w:t>黄埔交易部第  开标室 。(建议安排在投标文件截止时间前15分钟至投标文件截止时间)</w:t>
            </w:r>
          </w:p>
          <w:p>
            <w:pPr>
              <w:spacing w:before="156" w:beforeLines="50" w:line="276" w:lineRule="auto"/>
              <w:contextualSpacing/>
              <w:rPr>
                <w:rFonts w:ascii="宋体" w:hAnsi="宋体"/>
                <w:color w:val="auto"/>
                <w:szCs w:val="21"/>
                <w:highlight w:val="none"/>
              </w:rPr>
            </w:pPr>
            <w:r>
              <w:rPr>
                <w:rFonts w:hint="eastAsia" w:ascii="宋体" w:hAnsi="宋体"/>
                <w:color w:val="auto"/>
                <w:szCs w:val="21"/>
                <w:highlight w:val="none"/>
              </w:rPr>
              <w:t>4、上述时间及地点是否有改变，请密切留意招标答疑纪要的相关信息。</w:t>
            </w:r>
          </w:p>
        </w:tc>
      </w:tr>
      <w:tr>
        <w:tblPrEx>
          <w:tblCellMar>
            <w:top w:w="0" w:type="dxa"/>
            <w:left w:w="108" w:type="dxa"/>
            <w:bottom w:w="0" w:type="dxa"/>
            <w:right w:w="108" w:type="dxa"/>
          </w:tblCellMar>
        </w:tblPrEx>
        <w:trPr>
          <w:trHeight w:val="634" w:hRule="atLeast"/>
        </w:trPr>
        <w:tc>
          <w:tcPr>
            <w:tcW w:w="1498" w:type="dxa"/>
            <w:tcBorders>
              <w:top w:val="single" w:color="auto" w:sz="4" w:space="0"/>
              <w:left w:val="single" w:color="auto" w:sz="4" w:space="0"/>
              <w:right w:val="single" w:color="auto" w:sz="4" w:space="0"/>
            </w:tcBorders>
            <w:vAlign w:val="center"/>
          </w:tcPr>
          <w:p>
            <w:pPr>
              <w:spacing w:before="156" w:beforeLines="50" w:line="276" w:lineRule="auto"/>
              <w:contextualSpacing/>
              <w:jc w:val="center"/>
              <w:rPr>
                <w:rFonts w:ascii="宋体" w:hAnsi="宋体"/>
                <w:color w:val="auto"/>
                <w:szCs w:val="21"/>
                <w:highlight w:val="none"/>
              </w:rPr>
            </w:pPr>
            <w:r>
              <w:rPr>
                <w:rFonts w:hint="eastAsia" w:ascii="宋体" w:hAnsi="宋体"/>
                <w:color w:val="auto"/>
                <w:szCs w:val="21"/>
                <w:highlight w:val="none"/>
              </w:rPr>
              <w:t>6.3</w:t>
            </w:r>
          </w:p>
        </w:tc>
        <w:tc>
          <w:tcPr>
            <w:tcW w:w="2061" w:type="dxa"/>
            <w:tcBorders>
              <w:top w:val="single" w:color="auto" w:sz="4" w:space="0"/>
              <w:left w:val="single" w:color="auto" w:sz="4" w:space="0"/>
              <w:right w:val="single" w:color="auto" w:sz="4" w:space="0"/>
            </w:tcBorders>
            <w:vAlign w:val="center"/>
          </w:tcPr>
          <w:p>
            <w:pPr>
              <w:spacing w:before="156" w:beforeLines="50" w:line="276" w:lineRule="auto"/>
              <w:contextualSpacing/>
              <w:jc w:val="center"/>
              <w:rPr>
                <w:rFonts w:ascii="宋体" w:hAnsi="宋体"/>
                <w:color w:val="auto"/>
                <w:szCs w:val="21"/>
                <w:highlight w:val="none"/>
              </w:rPr>
            </w:pPr>
            <w:r>
              <w:rPr>
                <w:rFonts w:hint="eastAsia" w:ascii="宋体" w:hAnsi="宋体"/>
                <w:color w:val="auto"/>
                <w:szCs w:val="21"/>
                <w:highlight w:val="none"/>
              </w:rPr>
              <w:t>开标评标办法</w:t>
            </w:r>
          </w:p>
        </w:tc>
        <w:tc>
          <w:tcPr>
            <w:tcW w:w="4963" w:type="dxa"/>
            <w:tcBorders>
              <w:top w:val="single" w:color="auto" w:sz="4" w:space="0"/>
              <w:left w:val="single" w:color="auto" w:sz="4" w:space="0"/>
              <w:right w:val="single" w:color="auto" w:sz="4" w:space="0"/>
            </w:tcBorders>
            <w:vAlign w:val="center"/>
          </w:tcPr>
          <w:p>
            <w:pPr>
              <w:spacing w:before="156" w:beforeLines="50" w:line="276" w:lineRule="auto"/>
              <w:contextualSpacing/>
              <w:rPr>
                <w:rFonts w:ascii="宋体" w:hAnsi="宋体"/>
                <w:color w:val="auto"/>
                <w:szCs w:val="21"/>
                <w:highlight w:val="none"/>
              </w:rPr>
            </w:pPr>
            <w:r>
              <w:rPr>
                <w:rFonts w:ascii="Segoe UI Symbol" w:hAnsi="Segoe UI Symbol" w:cs="Segoe UI Symbol"/>
                <w:color w:val="auto"/>
                <w:szCs w:val="21"/>
                <w:highlight w:val="none"/>
              </w:rPr>
              <w:t>☑</w:t>
            </w:r>
            <w:r>
              <w:rPr>
                <w:rFonts w:hint="eastAsia" w:ascii="宋体" w:hAnsi="宋体"/>
                <w:color w:val="auto"/>
                <w:szCs w:val="21"/>
                <w:highlight w:val="none"/>
              </w:rPr>
              <w:t>综合评估法（二）</w:t>
            </w:r>
          </w:p>
        </w:tc>
      </w:tr>
      <w:tr>
        <w:tblPrEx>
          <w:tblCellMar>
            <w:top w:w="0" w:type="dxa"/>
            <w:left w:w="108" w:type="dxa"/>
            <w:bottom w:w="0" w:type="dxa"/>
            <w:right w:w="108" w:type="dxa"/>
          </w:tblCellMar>
        </w:tblPrEx>
        <w:trPr>
          <w:trHeight w:val="634" w:hRule="atLeast"/>
        </w:trPr>
        <w:tc>
          <w:tcPr>
            <w:tcW w:w="1498" w:type="dxa"/>
            <w:tcBorders>
              <w:top w:val="single" w:color="auto" w:sz="4" w:space="0"/>
              <w:left w:val="single" w:color="auto" w:sz="4" w:space="0"/>
              <w:right w:val="single" w:color="auto" w:sz="4" w:space="0"/>
            </w:tcBorders>
            <w:vAlign w:val="center"/>
          </w:tcPr>
          <w:p>
            <w:pPr>
              <w:spacing w:before="156" w:beforeLines="50" w:line="276" w:lineRule="auto"/>
              <w:contextualSpacing/>
              <w:jc w:val="center"/>
              <w:rPr>
                <w:rFonts w:ascii="宋体" w:hAnsi="宋体"/>
                <w:color w:val="auto"/>
                <w:szCs w:val="21"/>
                <w:highlight w:val="none"/>
              </w:rPr>
            </w:pPr>
            <w:r>
              <w:rPr>
                <w:rFonts w:hint="eastAsia" w:ascii="宋体" w:hAnsi="宋体"/>
                <w:color w:val="auto"/>
                <w:szCs w:val="21"/>
                <w:highlight w:val="none"/>
              </w:rPr>
              <w:t>6.1.1</w:t>
            </w:r>
          </w:p>
        </w:tc>
        <w:tc>
          <w:tcPr>
            <w:tcW w:w="2061" w:type="dxa"/>
            <w:tcBorders>
              <w:top w:val="single" w:color="auto" w:sz="4" w:space="0"/>
              <w:left w:val="single" w:color="auto" w:sz="4" w:space="0"/>
              <w:right w:val="single" w:color="auto" w:sz="4" w:space="0"/>
            </w:tcBorders>
            <w:vAlign w:val="center"/>
          </w:tcPr>
          <w:p>
            <w:pPr>
              <w:spacing w:before="156" w:beforeLines="50" w:line="276" w:lineRule="auto"/>
              <w:contextualSpacing/>
              <w:jc w:val="center"/>
              <w:rPr>
                <w:rFonts w:ascii="宋体" w:hAnsi="宋体"/>
                <w:color w:val="auto"/>
                <w:szCs w:val="21"/>
                <w:highlight w:val="none"/>
              </w:rPr>
            </w:pPr>
            <w:r>
              <w:rPr>
                <w:rFonts w:hint="eastAsia" w:ascii="宋体" w:hAnsi="宋体"/>
                <w:color w:val="auto"/>
                <w:szCs w:val="21"/>
                <w:highlight w:val="none"/>
              </w:rPr>
              <w:t>评标委员会的组建</w:t>
            </w:r>
          </w:p>
        </w:tc>
        <w:tc>
          <w:tcPr>
            <w:tcW w:w="4963" w:type="dxa"/>
            <w:tcBorders>
              <w:top w:val="single" w:color="auto" w:sz="4" w:space="0"/>
              <w:left w:val="single" w:color="auto" w:sz="4" w:space="0"/>
              <w:right w:val="single" w:color="auto" w:sz="4" w:space="0"/>
            </w:tcBorders>
            <w:vAlign w:val="center"/>
          </w:tcPr>
          <w:p>
            <w:pPr>
              <w:spacing w:before="156" w:beforeLines="50" w:line="276" w:lineRule="auto"/>
              <w:contextualSpacing/>
              <w:rPr>
                <w:rFonts w:ascii="宋体" w:hAnsi="宋体"/>
                <w:color w:val="auto"/>
                <w:szCs w:val="21"/>
                <w:highlight w:val="none"/>
              </w:rPr>
            </w:pPr>
            <w:r>
              <w:rPr>
                <w:rFonts w:hint="eastAsia" w:ascii="宋体" w:hAnsi="宋体"/>
                <w:color w:val="auto"/>
                <w:szCs w:val="21"/>
                <w:highlight w:val="none"/>
                <w:u w:val="single"/>
              </w:rPr>
              <w:t>由招标人依法组建。</w:t>
            </w:r>
          </w:p>
        </w:tc>
      </w:tr>
      <w:tr>
        <w:tblPrEx>
          <w:tblCellMar>
            <w:top w:w="0" w:type="dxa"/>
            <w:left w:w="108" w:type="dxa"/>
            <w:bottom w:w="0" w:type="dxa"/>
            <w:right w:w="108" w:type="dxa"/>
          </w:tblCellMar>
        </w:tblPrEx>
        <w:trPr>
          <w:trHeight w:val="596" w:hRule="atLeast"/>
        </w:trPr>
        <w:tc>
          <w:tcPr>
            <w:tcW w:w="1498" w:type="dxa"/>
            <w:tcBorders>
              <w:top w:val="single" w:color="auto" w:sz="4" w:space="0"/>
              <w:left w:val="single" w:color="auto" w:sz="4" w:space="0"/>
              <w:bottom w:val="single" w:color="auto" w:sz="4" w:space="0"/>
              <w:right w:val="single" w:color="auto" w:sz="4" w:space="0"/>
            </w:tcBorders>
            <w:vAlign w:val="center"/>
          </w:tcPr>
          <w:p>
            <w:pPr>
              <w:spacing w:before="156" w:beforeLines="50" w:line="276" w:lineRule="auto"/>
              <w:contextualSpacing/>
              <w:jc w:val="center"/>
              <w:rPr>
                <w:rFonts w:ascii="宋体" w:hAnsi="宋体"/>
                <w:color w:val="auto"/>
                <w:szCs w:val="21"/>
                <w:highlight w:val="none"/>
              </w:rPr>
            </w:pPr>
            <w:r>
              <w:rPr>
                <w:rFonts w:hint="eastAsia" w:ascii="宋体" w:hAnsi="宋体"/>
                <w:color w:val="auto"/>
                <w:szCs w:val="21"/>
                <w:highlight w:val="none"/>
              </w:rPr>
              <w:t>7.4.1</w:t>
            </w:r>
          </w:p>
        </w:tc>
        <w:tc>
          <w:tcPr>
            <w:tcW w:w="2061" w:type="dxa"/>
            <w:tcBorders>
              <w:top w:val="single" w:color="auto" w:sz="4" w:space="0"/>
              <w:left w:val="single" w:color="auto" w:sz="4" w:space="0"/>
              <w:bottom w:val="single" w:color="auto" w:sz="4" w:space="0"/>
              <w:right w:val="single" w:color="auto" w:sz="4" w:space="0"/>
            </w:tcBorders>
            <w:vAlign w:val="center"/>
          </w:tcPr>
          <w:p>
            <w:pPr>
              <w:spacing w:before="156" w:beforeLines="50" w:line="276" w:lineRule="auto"/>
              <w:contextualSpacing/>
              <w:jc w:val="center"/>
              <w:rPr>
                <w:rFonts w:ascii="宋体" w:hAnsi="宋体"/>
                <w:color w:val="auto"/>
                <w:szCs w:val="21"/>
                <w:highlight w:val="none"/>
              </w:rPr>
            </w:pPr>
            <w:r>
              <w:rPr>
                <w:rFonts w:ascii="宋体" w:hAnsi="宋体"/>
                <w:color w:val="auto"/>
                <w:szCs w:val="21"/>
                <w:highlight w:val="none"/>
              </w:rPr>
              <w:t>履约担保</w:t>
            </w:r>
          </w:p>
        </w:tc>
        <w:tc>
          <w:tcPr>
            <w:tcW w:w="4963" w:type="dxa"/>
            <w:tcBorders>
              <w:top w:val="single" w:color="auto" w:sz="4" w:space="0"/>
              <w:left w:val="single" w:color="auto" w:sz="4" w:space="0"/>
              <w:bottom w:val="single" w:color="auto" w:sz="4" w:space="0"/>
              <w:right w:val="single" w:color="auto" w:sz="4" w:space="0"/>
            </w:tcBorders>
            <w:vAlign w:val="center"/>
          </w:tcPr>
          <w:p>
            <w:pPr>
              <w:spacing w:before="156" w:beforeLines="50" w:line="276" w:lineRule="auto"/>
              <w:contextualSpacing/>
              <w:jc w:val="left"/>
              <w:rPr>
                <w:rFonts w:ascii="宋体" w:hAnsi="宋体"/>
                <w:color w:val="auto"/>
                <w:szCs w:val="21"/>
                <w:highlight w:val="none"/>
              </w:rPr>
            </w:pPr>
            <w:r>
              <w:rPr>
                <w:rFonts w:hint="eastAsia" w:ascii="宋体" w:hAnsi="宋体"/>
                <w:color w:val="auto"/>
                <w:szCs w:val="21"/>
                <w:highlight w:val="none"/>
              </w:rPr>
              <w:t>履约保证金为中标价款的10%。</w:t>
            </w:r>
          </w:p>
        </w:tc>
      </w:tr>
      <w:tr>
        <w:tblPrEx>
          <w:tblCellMar>
            <w:top w:w="0" w:type="dxa"/>
            <w:left w:w="108" w:type="dxa"/>
            <w:bottom w:w="0" w:type="dxa"/>
            <w:right w:w="108" w:type="dxa"/>
          </w:tblCellMar>
        </w:tblPrEx>
        <w:trPr>
          <w:trHeight w:val="880" w:hRule="atLeast"/>
        </w:trPr>
        <w:tc>
          <w:tcPr>
            <w:tcW w:w="1498" w:type="dxa"/>
            <w:tcBorders>
              <w:top w:val="single" w:color="auto" w:sz="4" w:space="0"/>
              <w:left w:val="single" w:color="auto" w:sz="4" w:space="0"/>
              <w:bottom w:val="single" w:color="auto" w:sz="4" w:space="0"/>
              <w:right w:val="single" w:color="auto" w:sz="4" w:space="0"/>
            </w:tcBorders>
            <w:vAlign w:val="center"/>
          </w:tcPr>
          <w:p>
            <w:pPr>
              <w:spacing w:before="156" w:beforeLines="50" w:line="276" w:lineRule="auto"/>
              <w:contextualSpacing/>
              <w:jc w:val="center"/>
              <w:rPr>
                <w:rFonts w:ascii="宋体" w:hAnsi="宋体"/>
                <w:color w:val="auto"/>
                <w:szCs w:val="21"/>
                <w:highlight w:val="none"/>
              </w:rPr>
            </w:pPr>
            <w:r>
              <w:rPr>
                <w:rFonts w:hint="eastAsia" w:ascii="宋体" w:hAnsi="宋体"/>
                <w:color w:val="auto"/>
                <w:szCs w:val="21"/>
                <w:highlight w:val="none"/>
              </w:rPr>
              <w:t>7.1.1</w:t>
            </w:r>
          </w:p>
        </w:tc>
        <w:tc>
          <w:tcPr>
            <w:tcW w:w="2061" w:type="dxa"/>
            <w:tcBorders>
              <w:top w:val="single" w:color="auto" w:sz="4" w:space="0"/>
              <w:left w:val="single" w:color="auto" w:sz="4" w:space="0"/>
              <w:bottom w:val="single" w:color="auto" w:sz="4" w:space="0"/>
              <w:right w:val="single" w:color="auto" w:sz="4" w:space="0"/>
            </w:tcBorders>
            <w:vAlign w:val="center"/>
          </w:tcPr>
          <w:p>
            <w:pPr>
              <w:spacing w:before="156" w:beforeLines="50" w:line="276" w:lineRule="auto"/>
              <w:contextualSpacing/>
              <w:jc w:val="center"/>
              <w:rPr>
                <w:rFonts w:ascii="宋体" w:hAnsi="宋体"/>
                <w:color w:val="auto"/>
                <w:szCs w:val="21"/>
                <w:highlight w:val="none"/>
              </w:rPr>
            </w:pPr>
            <w:r>
              <w:rPr>
                <w:rFonts w:hint="eastAsia" w:ascii="宋体" w:hAnsi="宋体"/>
                <w:color w:val="auto"/>
                <w:szCs w:val="21"/>
                <w:highlight w:val="none"/>
              </w:rPr>
              <w:t>是否授权评标委员会确定中标人</w:t>
            </w:r>
          </w:p>
        </w:tc>
        <w:tc>
          <w:tcPr>
            <w:tcW w:w="4963" w:type="dxa"/>
            <w:tcBorders>
              <w:top w:val="single" w:color="auto" w:sz="4" w:space="0"/>
              <w:left w:val="single" w:color="auto" w:sz="4" w:space="0"/>
              <w:bottom w:val="single" w:color="auto" w:sz="4" w:space="0"/>
              <w:right w:val="single" w:color="auto" w:sz="4" w:space="0"/>
            </w:tcBorders>
            <w:vAlign w:val="center"/>
          </w:tcPr>
          <w:p>
            <w:pPr>
              <w:spacing w:line="276" w:lineRule="auto"/>
              <w:contextualSpacing/>
              <w:rPr>
                <w:rFonts w:ascii="宋体" w:hAnsi="宋体"/>
                <w:color w:val="auto"/>
                <w:szCs w:val="21"/>
                <w:highlight w:val="none"/>
                <w:u w:val="single"/>
              </w:rPr>
            </w:pPr>
            <w:r>
              <w:rPr>
                <w:rFonts w:hint="eastAsia" w:ascii="宋体" w:hAnsi="宋体" w:cs="宋体"/>
                <w:color w:val="auto"/>
                <w:kern w:val="0"/>
                <w:szCs w:val="21"/>
                <w:highlight w:val="none"/>
                <w:lang w:val="zh-CN"/>
              </w:rPr>
              <w:t>□</w:t>
            </w:r>
            <w:r>
              <w:rPr>
                <w:rFonts w:hint="eastAsia" w:ascii="宋体" w:hAnsi="宋体"/>
                <w:color w:val="auto"/>
                <w:szCs w:val="21"/>
                <w:highlight w:val="none"/>
                <w:u w:val="single"/>
              </w:rPr>
              <w:t>是</w:t>
            </w:r>
          </w:p>
          <w:p>
            <w:pPr>
              <w:spacing w:line="276" w:lineRule="auto"/>
              <w:contextualSpacing/>
              <w:rPr>
                <w:rFonts w:ascii="宋体" w:hAnsi="宋体"/>
                <w:color w:val="auto"/>
                <w:szCs w:val="21"/>
                <w:highlight w:val="none"/>
              </w:rPr>
            </w:pPr>
            <w:r>
              <w:rPr>
                <w:rFonts w:ascii="Segoe UI Symbol" w:hAnsi="Segoe UI Symbol" w:cs="Segoe UI Symbol"/>
                <w:color w:val="auto"/>
                <w:kern w:val="0"/>
                <w:szCs w:val="21"/>
                <w:highlight w:val="none"/>
                <w:lang w:val="zh-CN"/>
              </w:rPr>
              <w:t>☑</w:t>
            </w:r>
            <w:r>
              <w:rPr>
                <w:rFonts w:hint="eastAsia" w:ascii="宋体" w:hAnsi="宋体"/>
                <w:color w:val="auto"/>
                <w:szCs w:val="21"/>
                <w:highlight w:val="none"/>
                <w:u w:val="single"/>
              </w:rPr>
              <w:t>否，</w:t>
            </w:r>
            <w:r>
              <w:rPr>
                <w:rFonts w:hint="eastAsia" w:ascii="宋体" w:hAnsi="宋体"/>
                <w:color w:val="auto"/>
                <w:szCs w:val="21"/>
                <w:highlight w:val="none"/>
              </w:rPr>
              <w:t>推荐中标候选人的人数</w:t>
            </w:r>
            <w:r>
              <w:rPr>
                <w:rFonts w:hint="eastAsia" w:ascii="宋体" w:hAnsi="宋体"/>
                <w:color w:val="auto"/>
                <w:szCs w:val="21"/>
                <w:highlight w:val="none"/>
                <w:u w:val="single"/>
              </w:rPr>
              <w:t>3</w:t>
            </w:r>
            <w:r>
              <w:rPr>
                <w:rFonts w:hint="eastAsia" w:ascii="宋体" w:hAnsi="宋体"/>
                <w:color w:val="auto"/>
                <w:szCs w:val="21"/>
                <w:highlight w:val="none"/>
              </w:rPr>
              <w:t>名。</w:t>
            </w:r>
          </w:p>
        </w:tc>
      </w:tr>
      <w:tr>
        <w:tblPrEx>
          <w:tblCellMar>
            <w:top w:w="0" w:type="dxa"/>
            <w:left w:w="108" w:type="dxa"/>
            <w:bottom w:w="0" w:type="dxa"/>
            <w:right w:w="108" w:type="dxa"/>
          </w:tblCellMar>
        </w:tblPrEx>
        <w:trPr>
          <w:trHeight w:val="880" w:hRule="atLeast"/>
        </w:trPr>
        <w:tc>
          <w:tcPr>
            <w:tcW w:w="1498" w:type="dxa"/>
            <w:tcBorders>
              <w:top w:val="single" w:color="auto" w:sz="4" w:space="0"/>
              <w:left w:val="single" w:color="auto" w:sz="4" w:space="0"/>
              <w:bottom w:val="single" w:color="auto" w:sz="4" w:space="0"/>
              <w:right w:val="single" w:color="auto" w:sz="4" w:space="0"/>
            </w:tcBorders>
            <w:vAlign w:val="center"/>
          </w:tcPr>
          <w:p>
            <w:pPr>
              <w:spacing w:before="156" w:beforeLines="50" w:line="276" w:lineRule="auto"/>
              <w:contextualSpacing/>
              <w:jc w:val="center"/>
              <w:rPr>
                <w:rFonts w:ascii="宋体" w:hAnsi="宋体"/>
                <w:color w:val="auto"/>
                <w:szCs w:val="21"/>
                <w:highlight w:val="none"/>
              </w:rPr>
            </w:pPr>
            <w:r>
              <w:rPr>
                <w:rFonts w:hint="eastAsia" w:ascii="宋体" w:hAnsi="宋体"/>
                <w:color w:val="auto"/>
                <w:szCs w:val="21"/>
                <w:highlight w:val="none"/>
              </w:rPr>
              <w:t>7.2.1</w:t>
            </w:r>
          </w:p>
        </w:tc>
        <w:tc>
          <w:tcPr>
            <w:tcW w:w="2061" w:type="dxa"/>
            <w:tcBorders>
              <w:top w:val="single" w:color="auto" w:sz="4" w:space="0"/>
              <w:left w:val="single" w:color="auto" w:sz="4" w:space="0"/>
              <w:bottom w:val="single" w:color="auto" w:sz="4" w:space="0"/>
              <w:right w:val="single" w:color="auto" w:sz="4" w:space="0"/>
            </w:tcBorders>
            <w:vAlign w:val="center"/>
          </w:tcPr>
          <w:p>
            <w:pPr>
              <w:spacing w:before="156" w:beforeLines="50" w:line="276" w:lineRule="auto"/>
              <w:contextualSpacing/>
              <w:jc w:val="center"/>
              <w:rPr>
                <w:rFonts w:ascii="宋体" w:hAnsi="宋体"/>
                <w:color w:val="auto"/>
                <w:szCs w:val="21"/>
                <w:highlight w:val="none"/>
              </w:rPr>
            </w:pPr>
            <w:r>
              <w:rPr>
                <w:rFonts w:hint="eastAsia" w:ascii="宋体" w:hAnsi="宋体"/>
                <w:color w:val="auto"/>
                <w:szCs w:val="21"/>
                <w:highlight w:val="none"/>
              </w:rPr>
              <w:t>中标候选人公示媒介</w:t>
            </w:r>
          </w:p>
        </w:tc>
        <w:tc>
          <w:tcPr>
            <w:tcW w:w="4963" w:type="dxa"/>
            <w:tcBorders>
              <w:top w:val="single" w:color="auto" w:sz="4" w:space="0"/>
              <w:left w:val="single" w:color="auto" w:sz="4" w:space="0"/>
              <w:bottom w:val="single" w:color="auto" w:sz="4" w:space="0"/>
              <w:right w:val="single" w:color="auto" w:sz="4" w:space="0"/>
            </w:tcBorders>
            <w:vAlign w:val="center"/>
          </w:tcPr>
          <w:p>
            <w:pPr>
              <w:spacing w:line="276" w:lineRule="auto"/>
              <w:contextualSpacing/>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广州交易集团有限公司（广州公共资源交易中心）网、广东省招标投标监管网和</w:t>
            </w:r>
            <w:r>
              <w:rPr>
                <w:rFonts w:hint="eastAsia" w:ascii="宋体" w:hAnsi="宋体" w:cs="宋体"/>
                <w:color w:val="auto"/>
                <w:kern w:val="0"/>
                <w:szCs w:val="21"/>
                <w:highlight w:val="none"/>
                <w:u w:val="single"/>
                <w:lang w:val="zh-CN"/>
              </w:rPr>
              <w:t>中国招标投标公共服务平台</w:t>
            </w:r>
          </w:p>
        </w:tc>
      </w:tr>
      <w:tr>
        <w:tblPrEx>
          <w:tblCellMar>
            <w:top w:w="0" w:type="dxa"/>
            <w:left w:w="108" w:type="dxa"/>
            <w:bottom w:w="0" w:type="dxa"/>
            <w:right w:w="108" w:type="dxa"/>
          </w:tblCellMar>
        </w:tblPrEx>
        <w:trPr>
          <w:trHeight w:val="844" w:hRule="atLeast"/>
        </w:trPr>
        <w:tc>
          <w:tcPr>
            <w:tcW w:w="1498" w:type="dxa"/>
            <w:tcBorders>
              <w:top w:val="single" w:color="auto" w:sz="4" w:space="0"/>
              <w:left w:val="single" w:color="auto" w:sz="4" w:space="0"/>
              <w:bottom w:val="single" w:color="auto" w:sz="4" w:space="0"/>
              <w:right w:val="single" w:color="auto" w:sz="4" w:space="0"/>
            </w:tcBorders>
            <w:vAlign w:val="center"/>
          </w:tcPr>
          <w:p>
            <w:pPr>
              <w:spacing w:before="156" w:beforeLines="50" w:line="276" w:lineRule="auto"/>
              <w:contextualSpacing/>
              <w:jc w:val="center"/>
              <w:rPr>
                <w:rFonts w:ascii="宋体" w:hAnsi="宋体"/>
                <w:color w:val="auto"/>
                <w:szCs w:val="21"/>
                <w:highlight w:val="none"/>
              </w:rPr>
            </w:pPr>
          </w:p>
        </w:tc>
        <w:tc>
          <w:tcPr>
            <w:tcW w:w="2061" w:type="dxa"/>
            <w:tcBorders>
              <w:top w:val="single" w:color="auto" w:sz="4" w:space="0"/>
              <w:left w:val="single" w:color="auto" w:sz="4" w:space="0"/>
              <w:bottom w:val="single" w:color="auto" w:sz="4" w:space="0"/>
              <w:right w:val="single" w:color="auto" w:sz="4" w:space="0"/>
            </w:tcBorders>
            <w:vAlign w:val="center"/>
          </w:tcPr>
          <w:p>
            <w:pPr>
              <w:spacing w:before="156" w:beforeLines="50" w:line="276" w:lineRule="auto"/>
              <w:contextualSpacing/>
              <w:jc w:val="center"/>
              <w:rPr>
                <w:rFonts w:ascii="宋体" w:hAnsi="宋体"/>
                <w:color w:val="auto"/>
                <w:szCs w:val="21"/>
                <w:highlight w:val="none"/>
              </w:rPr>
            </w:pPr>
            <w:r>
              <w:rPr>
                <w:rFonts w:hint="eastAsia" w:ascii="宋体" w:hAnsi="宋体"/>
                <w:color w:val="auto"/>
                <w:szCs w:val="21"/>
                <w:highlight w:val="none"/>
              </w:rPr>
              <w:t>分包</w:t>
            </w:r>
          </w:p>
        </w:tc>
        <w:tc>
          <w:tcPr>
            <w:tcW w:w="4963"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□不允许；</w:t>
            </w:r>
          </w:p>
          <w:p>
            <w:pPr>
              <w:spacing w:line="276" w:lineRule="auto"/>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sym w:font="Wingdings 2" w:char="0052"/>
            </w:r>
            <w:r>
              <w:rPr>
                <w:rFonts w:hint="eastAsia" w:ascii="宋体" w:hAnsi="宋体" w:cs="宋体"/>
                <w:color w:val="auto"/>
                <w:kern w:val="0"/>
                <w:szCs w:val="21"/>
                <w:highlight w:val="none"/>
                <w:lang w:val="zh-CN"/>
              </w:rPr>
              <w:t>允许：分包内容要要求：</w:t>
            </w:r>
            <w:r>
              <w:rPr>
                <w:rFonts w:hint="eastAsia" w:ascii="宋体" w:hAnsi="宋体" w:cs="宋体"/>
                <w:color w:val="auto"/>
                <w:kern w:val="0"/>
                <w:szCs w:val="21"/>
                <w:highlight w:val="none"/>
                <w:u w:val="single"/>
                <w:lang w:val="zh-CN"/>
              </w:rPr>
              <w:t>中标人按照合同约定或者经招标人同意，可以将中标项目的部分非主体、非关键性工作分包给他人完成。</w:t>
            </w:r>
          </w:p>
          <w:p>
            <w:pPr>
              <w:spacing w:line="276" w:lineRule="auto"/>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分包金额要求：</w:t>
            </w:r>
            <w:r>
              <w:rPr>
                <w:rFonts w:hint="eastAsia" w:ascii="宋体" w:hAnsi="宋体" w:cs="宋体"/>
                <w:color w:val="auto"/>
                <w:kern w:val="0"/>
                <w:szCs w:val="21"/>
                <w:highlight w:val="none"/>
                <w:u w:val="single"/>
                <w:lang w:val="zh-CN"/>
              </w:rPr>
              <w:t>根据实际情况确定。</w:t>
            </w:r>
          </w:p>
          <w:p>
            <w:pPr>
              <w:spacing w:line="276" w:lineRule="auto"/>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对分包人的资质要求：</w:t>
            </w:r>
            <w:r>
              <w:rPr>
                <w:rFonts w:hint="eastAsia" w:ascii="宋体" w:hAnsi="宋体" w:cs="宋体"/>
                <w:color w:val="auto"/>
                <w:kern w:val="0"/>
                <w:szCs w:val="21"/>
                <w:highlight w:val="none"/>
                <w:u w:val="single"/>
                <w:lang w:val="zh-CN"/>
              </w:rPr>
              <w:t>接受分包的人应当具备相应的资质条件，并不得再次分包。</w:t>
            </w:r>
          </w:p>
          <w:p>
            <w:pPr>
              <w:spacing w:line="276" w:lineRule="auto"/>
              <w:rPr>
                <w:rFonts w:ascii="宋体" w:hAnsi="宋体"/>
                <w:color w:val="auto"/>
                <w:szCs w:val="21"/>
                <w:highlight w:val="none"/>
              </w:rPr>
            </w:pPr>
            <w:r>
              <w:rPr>
                <w:rFonts w:hint="eastAsia" w:ascii="宋体" w:hAnsi="宋体" w:cs="宋体"/>
                <w:color w:val="auto"/>
                <w:kern w:val="0"/>
                <w:szCs w:val="21"/>
                <w:highlight w:val="none"/>
                <w:lang w:val="zh-CN"/>
              </w:rPr>
              <w:t>对分包人的其他要求：。</w:t>
            </w:r>
          </w:p>
        </w:tc>
      </w:tr>
      <w:tr>
        <w:tblPrEx>
          <w:tblCellMar>
            <w:top w:w="0" w:type="dxa"/>
            <w:left w:w="108" w:type="dxa"/>
            <w:bottom w:w="0" w:type="dxa"/>
            <w:right w:w="108" w:type="dxa"/>
          </w:tblCellMar>
        </w:tblPrEx>
        <w:trPr>
          <w:trHeight w:val="844" w:hRule="atLeast"/>
        </w:trPr>
        <w:tc>
          <w:tcPr>
            <w:tcW w:w="1498" w:type="dxa"/>
            <w:tcBorders>
              <w:top w:val="single" w:color="auto" w:sz="4" w:space="0"/>
              <w:left w:val="single" w:color="auto" w:sz="4" w:space="0"/>
              <w:bottom w:val="single" w:color="auto" w:sz="4" w:space="0"/>
              <w:right w:val="single" w:color="auto" w:sz="4" w:space="0"/>
            </w:tcBorders>
            <w:vAlign w:val="center"/>
          </w:tcPr>
          <w:p>
            <w:pPr>
              <w:spacing w:before="156" w:beforeLines="50" w:line="276" w:lineRule="auto"/>
              <w:contextualSpacing/>
              <w:jc w:val="center"/>
              <w:rPr>
                <w:rFonts w:ascii="宋体" w:hAnsi="宋体"/>
                <w:color w:val="auto"/>
                <w:szCs w:val="21"/>
                <w:highlight w:val="none"/>
              </w:rPr>
            </w:pPr>
          </w:p>
        </w:tc>
        <w:tc>
          <w:tcPr>
            <w:tcW w:w="2061" w:type="dxa"/>
            <w:tcBorders>
              <w:top w:val="single" w:color="auto" w:sz="4" w:space="0"/>
              <w:left w:val="single" w:color="auto" w:sz="4" w:space="0"/>
              <w:bottom w:val="single" w:color="auto" w:sz="4" w:space="0"/>
              <w:right w:val="single" w:color="auto" w:sz="4" w:space="0"/>
            </w:tcBorders>
            <w:vAlign w:val="center"/>
          </w:tcPr>
          <w:p>
            <w:pPr>
              <w:spacing w:before="156" w:beforeLines="50" w:line="276" w:lineRule="auto"/>
              <w:contextualSpacing/>
              <w:jc w:val="center"/>
              <w:rPr>
                <w:rFonts w:ascii="宋体" w:hAnsi="宋体"/>
                <w:color w:val="auto"/>
                <w:szCs w:val="21"/>
                <w:highlight w:val="none"/>
                <w:u w:val="single"/>
              </w:rPr>
            </w:pPr>
            <w:r>
              <w:rPr>
                <w:rFonts w:hint="eastAsia" w:ascii="宋体" w:hAnsi="宋体"/>
                <w:color w:val="auto"/>
                <w:szCs w:val="21"/>
                <w:highlight w:val="none"/>
                <w:u w:val="single"/>
              </w:rPr>
              <w:t>电子招标投标解密失败及突发情况的补救</w:t>
            </w:r>
          </w:p>
        </w:tc>
        <w:tc>
          <w:tcPr>
            <w:tcW w:w="4963" w:type="dxa"/>
            <w:tcBorders>
              <w:top w:val="single" w:color="auto" w:sz="4" w:space="0"/>
              <w:left w:val="single" w:color="auto" w:sz="4" w:space="0"/>
              <w:bottom w:val="single" w:color="auto" w:sz="4" w:space="0"/>
              <w:right w:val="single" w:color="auto" w:sz="4" w:space="0"/>
            </w:tcBorders>
            <w:vAlign w:val="center"/>
          </w:tcPr>
          <w:p>
            <w:pPr>
              <w:numPr>
                <w:ilvl w:val="0"/>
                <w:numId w:val="5"/>
              </w:numPr>
              <w:spacing w:line="276" w:lineRule="auto"/>
              <w:ind w:left="0" w:firstLine="0"/>
              <w:rPr>
                <w:rFonts w:ascii="宋体" w:hAnsi="宋体" w:cs="宋体"/>
                <w:color w:val="auto"/>
                <w:kern w:val="0"/>
                <w:szCs w:val="21"/>
                <w:highlight w:val="none"/>
                <w:u w:val="single"/>
                <w:lang w:val="zh-CN"/>
              </w:rPr>
            </w:pPr>
            <w:r>
              <w:rPr>
                <w:rFonts w:hint="eastAsia" w:ascii="宋体" w:hAnsi="宋体" w:cs="宋体"/>
                <w:color w:val="auto"/>
                <w:kern w:val="0"/>
                <w:szCs w:val="21"/>
                <w:highlight w:val="none"/>
                <w:u w:val="single"/>
                <w:lang w:val="zh-CN"/>
              </w:rPr>
              <w:t>按照交易平台关于全流程电子化项目的相关指南进行操作。详见：广州交易集团有限公司（广州公共资源交易中心）网站首页-服务指南-系统帮助-广州交易集团有限公司（广州公共资源交易中心）网站首页-服务指南-系统帮助-【全流程电子化项目】电子招投标操作手册（无纸化）.</w:t>
            </w:r>
          </w:p>
          <w:p>
            <w:pPr>
              <w:spacing w:line="276" w:lineRule="auto"/>
              <w:rPr>
                <w:rFonts w:ascii="宋体" w:hAnsi="宋体" w:cs="宋体"/>
                <w:color w:val="auto"/>
                <w:kern w:val="0"/>
                <w:szCs w:val="21"/>
                <w:highlight w:val="none"/>
                <w:u w:val="single"/>
                <w:lang w:val="zh-CN"/>
              </w:rPr>
            </w:pPr>
            <w:r>
              <w:rPr>
                <w:rFonts w:hint="eastAsia" w:ascii="宋体" w:hAnsi="宋体" w:cs="宋体"/>
                <w:color w:val="auto"/>
                <w:kern w:val="0"/>
                <w:szCs w:val="21"/>
                <w:highlight w:val="none"/>
                <w:u w:val="single"/>
                <w:lang w:val="zh-CN"/>
              </w:rPr>
              <w:t>2、提交投标文件光盘备用</w:t>
            </w:r>
          </w:p>
          <w:p>
            <w:pPr>
              <w:spacing w:line="276" w:lineRule="auto"/>
              <w:rPr>
                <w:rFonts w:ascii="宋体" w:hAnsi="宋体" w:cs="宋体"/>
                <w:color w:val="auto"/>
                <w:kern w:val="0"/>
                <w:szCs w:val="21"/>
                <w:highlight w:val="none"/>
                <w:u w:val="single"/>
                <w:lang w:val="zh-CN"/>
              </w:rPr>
            </w:pPr>
            <w:r>
              <w:rPr>
                <w:rFonts w:hint="eastAsia" w:ascii="宋体" w:hAnsi="宋体" w:cs="宋体"/>
                <w:color w:val="auto"/>
                <w:kern w:val="0"/>
                <w:szCs w:val="21"/>
                <w:highlight w:val="none"/>
                <w:u w:val="single"/>
                <w:lang w:val="zh-CN"/>
              </w:rPr>
              <w:t>投标人可制作非加密的电子投标文件（PDF格式）刻入光盘（1份），在投标须知前附表条款号5</w:t>
            </w:r>
            <w:r>
              <w:rPr>
                <w:rFonts w:ascii="宋体" w:hAnsi="宋体" w:cs="宋体"/>
                <w:color w:val="auto"/>
                <w:kern w:val="0"/>
                <w:szCs w:val="21"/>
                <w:highlight w:val="none"/>
                <w:u w:val="single"/>
                <w:lang w:val="zh-CN"/>
              </w:rPr>
              <w:t>.1.1</w:t>
            </w:r>
            <w:r>
              <w:rPr>
                <w:rFonts w:hint="eastAsia" w:ascii="宋体" w:hAnsi="宋体" w:cs="宋体"/>
                <w:color w:val="auto"/>
                <w:kern w:val="0"/>
                <w:szCs w:val="21"/>
                <w:highlight w:val="none"/>
                <w:u w:val="single"/>
                <w:lang w:val="zh-CN"/>
              </w:rPr>
              <w:t>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pPr>
              <w:spacing w:line="276" w:lineRule="auto"/>
              <w:rPr>
                <w:rFonts w:ascii="宋体" w:hAnsi="宋体" w:cs="宋体"/>
                <w:color w:val="auto"/>
                <w:kern w:val="0"/>
                <w:szCs w:val="21"/>
                <w:highlight w:val="none"/>
                <w:u w:val="single"/>
                <w:lang w:val="zh-CN"/>
              </w:rPr>
            </w:pPr>
            <w:r>
              <w:rPr>
                <w:rFonts w:hint="eastAsia" w:ascii="宋体" w:hAnsi="宋体" w:cs="宋体"/>
                <w:color w:val="auto"/>
                <w:kern w:val="0"/>
                <w:szCs w:val="21"/>
                <w:highlight w:val="none"/>
                <w:u w:val="single"/>
                <w:lang w:val="zh-CN"/>
              </w:rPr>
              <w:t xml:space="preserve"> 3、补救方案</w:t>
            </w:r>
          </w:p>
          <w:p>
            <w:pPr>
              <w:spacing w:line="276" w:lineRule="auto"/>
              <w:rPr>
                <w:rFonts w:ascii="宋体" w:hAnsi="宋体" w:cs="宋体"/>
                <w:color w:val="auto"/>
                <w:kern w:val="0"/>
                <w:szCs w:val="21"/>
                <w:highlight w:val="none"/>
                <w:u w:val="single"/>
                <w:lang w:val="zh-CN"/>
              </w:rPr>
            </w:pPr>
            <w:r>
              <w:rPr>
                <w:rFonts w:hint="eastAsia" w:ascii="宋体" w:hAnsi="宋体" w:cs="宋体"/>
                <w:color w:val="auto"/>
                <w:kern w:val="0"/>
                <w:szCs w:val="21"/>
                <w:highlight w:val="none"/>
                <w:u w:val="single"/>
                <w:lang w:val="zh-CN"/>
              </w:rPr>
              <w:t>（1）投标文件解密失败的补救方案：</w:t>
            </w:r>
          </w:p>
          <w:p>
            <w:pPr>
              <w:spacing w:line="276" w:lineRule="auto"/>
              <w:rPr>
                <w:rFonts w:ascii="宋体" w:hAnsi="宋体" w:cs="宋体"/>
                <w:color w:val="auto"/>
                <w:kern w:val="0"/>
                <w:szCs w:val="21"/>
                <w:highlight w:val="none"/>
                <w:u w:val="single"/>
                <w:lang w:val="zh-CN"/>
              </w:rPr>
            </w:pPr>
            <w:r>
              <w:rPr>
                <w:rFonts w:hint="eastAsia" w:ascii="宋体" w:hAnsi="宋体" w:cs="宋体"/>
                <w:color w:val="auto"/>
                <w:kern w:val="0"/>
                <w:szCs w:val="21"/>
                <w:highlight w:val="none"/>
                <w:u w:val="single"/>
                <w:lang w:val="zh-CN"/>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spacing w:line="276" w:lineRule="auto"/>
              <w:rPr>
                <w:rFonts w:ascii="宋体" w:hAnsi="宋体" w:cs="宋体"/>
                <w:color w:val="auto"/>
                <w:kern w:val="0"/>
                <w:szCs w:val="21"/>
                <w:highlight w:val="none"/>
                <w:u w:val="single"/>
                <w:lang w:val="zh-CN"/>
              </w:rPr>
            </w:pPr>
            <w:r>
              <w:rPr>
                <w:rFonts w:hint="eastAsia" w:ascii="宋体" w:hAnsi="宋体" w:cs="宋体"/>
                <w:color w:val="auto"/>
                <w:kern w:val="0"/>
                <w:szCs w:val="21"/>
                <w:highlight w:val="none"/>
                <w:u w:val="single"/>
                <w:lang w:val="zh-CN"/>
              </w:rPr>
              <w:t>（2）评标时突发情况的补救方案</w:t>
            </w:r>
          </w:p>
          <w:p>
            <w:pPr>
              <w:spacing w:line="276" w:lineRule="auto"/>
              <w:rPr>
                <w:rFonts w:ascii="宋体" w:hAnsi="宋体" w:cs="宋体"/>
                <w:color w:val="auto"/>
                <w:kern w:val="0"/>
                <w:szCs w:val="21"/>
                <w:highlight w:val="none"/>
                <w:u w:val="single"/>
                <w:lang w:val="zh-CN"/>
              </w:rPr>
            </w:pPr>
            <w:r>
              <w:rPr>
                <w:rFonts w:hint="eastAsia" w:ascii="宋体" w:hAnsi="宋体" w:cs="宋体"/>
                <w:color w:val="auto"/>
                <w:kern w:val="0"/>
                <w:szCs w:val="21"/>
                <w:highlight w:val="none"/>
                <w:u w:val="single"/>
                <w:lang w:val="zh-CN"/>
              </w:rPr>
              <w:t>若遇不可抗力发生（指网络瘫痪、服务器损坏、交易系统故障短期无法恢复等因素），由评标委员会开启投标人递交的全部投标文件光盘，并按光盘内容进行评审。</w:t>
            </w:r>
          </w:p>
          <w:p>
            <w:pPr>
              <w:spacing w:line="276" w:lineRule="auto"/>
              <w:rPr>
                <w:rFonts w:ascii="宋体" w:hAnsi="宋体" w:cs="宋体"/>
                <w:color w:val="auto"/>
                <w:kern w:val="0"/>
                <w:szCs w:val="21"/>
                <w:highlight w:val="none"/>
                <w:u w:val="single"/>
                <w:lang w:val="zh-CN"/>
              </w:rPr>
            </w:pPr>
            <w:r>
              <w:rPr>
                <w:rFonts w:hint="eastAsia" w:ascii="宋体" w:hAnsi="宋体" w:cs="宋体"/>
                <w:color w:val="auto"/>
                <w:kern w:val="0"/>
                <w:szCs w:val="21"/>
                <w:highlight w:val="none"/>
                <w:u w:val="single"/>
                <w:lang w:val="zh-CN"/>
              </w:rPr>
              <w:t>（3）除发生上述情况外，开标评标均以投标人通过交易平台网上递交的电子投标文件为准。</w:t>
            </w:r>
          </w:p>
        </w:tc>
      </w:tr>
      <w:tr>
        <w:tblPrEx>
          <w:tblCellMar>
            <w:top w:w="0" w:type="dxa"/>
            <w:left w:w="108" w:type="dxa"/>
            <w:bottom w:w="0" w:type="dxa"/>
            <w:right w:w="108" w:type="dxa"/>
          </w:tblCellMar>
        </w:tblPrEx>
        <w:trPr>
          <w:trHeight w:val="844" w:hRule="atLeast"/>
        </w:trPr>
        <w:tc>
          <w:tcPr>
            <w:tcW w:w="1498" w:type="dxa"/>
            <w:tcBorders>
              <w:top w:val="single" w:color="auto" w:sz="4" w:space="0"/>
              <w:left w:val="single" w:color="auto" w:sz="4" w:space="0"/>
              <w:bottom w:val="single" w:color="auto" w:sz="4" w:space="0"/>
              <w:right w:val="single" w:color="auto" w:sz="4" w:space="0"/>
            </w:tcBorders>
            <w:vAlign w:val="center"/>
          </w:tcPr>
          <w:p>
            <w:pPr>
              <w:spacing w:before="156" w:beforeLines="50" w:line="276" w:lineRule="auto"/>
              <w:contextualSpacing/>
              <w:jc w:val="center"/>
              <w:rPr>
                <w:rFonts w:ascii="宋体" w:hAnsi="宋体"/>
                <w:color w:val="auto"/>
                <w:szCs w:val="21"/>
                <w:highlight w:val="none"/>
              </w:rPr>
            </w:pPr>
          </w:p>
        </w:tc>
        <w:tc>
          <w:tcPr>
            <w:tcW w:w="2061" w:type="dxa"/>
            <w:tcBorders>
              <w:top w:val="single" w:color="auto" w:sz="4" w:space="0"/>
              <w:left w:val="single" w:color="auto" w:sz="4" w:space="0"/>
              <w:bottom w:val="single" w:color="auto" w:sz="4" w:space="0"/>
              <w:right w:val="single" w:color="auto" w:sz="4" w:space="0"/>
            </w:tcBorders>
            <w:vAlign w:val="center"/>
          </w:tcPr>
          <w:p>
            <w:pPr>
              <w:spacing w:before="156" w:beforeLines="50" w:line="276" w:lineRule="auto"/>
              <w:contextualSpacing/>
              <w:jc w:val="center"/>
              <w:rPr>
                <w:rFonts w:ascii="宋体" w:hAnsi="宋体"/>
                <w:color w:val="auto"/>
                <w:szCs w:val="21"/>
                <w:highlight w:val="none"/>
                <w:u w:val="single"/>
              </w:rPr>
            </w:pPr>
            <w:r>
              <w:rPr>
                <w:rFonts w:hint="eastAsia" w:ascii="宋体" w:hAnsi="宋体"/>
                <w:color w:val="auto"/>
                <w:szCs w:val="21"/>
                <w:highlight w:val="none"/>
                <w:u w:val="single"/>
              </w:rPr>
              <w:t>施工实名制及工人工资分账管理</w:t>
            </w:r>
          </w:p>
        </w:tc>
        <w:tc>
          <w:tcPr>
            <w:tcW w:w="4963"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kern w:val="0"/>
                <w:szCs w:val="21"/>
                <w:highlight w:val="none"/>
                <w:u w:val="single"/>
                <w:lang w:val="zh-CN"/>
              </w:rPr>
            </w:pPr>
            <w:r>
              <w:rPr>
                <w:rFonts w:hint="eastAsia" w:ascii="宋体" w:hAnsi="宋体"/>
                <w:color w:val="auto"/>
                <w:szCs w:val="21"/>
                <w:highlight w:val="none"/>
                <w:u w:val="single"/>
              </w:rPr>
              <w:t>工程进度款中的工人工资款比例参照施工招标的《中标通知书》中单列的人工费金额除以中标金额计算。</w:t>
            </w:r>
          </w:p>
        </w:tc>
      </w:tr>
      <w:tr>
        <w:tblPrEx>
          <w:tblCellMar>
            <w:top w:w="0" w:type="dxa"/>
            <w:left w:w="108" w:type="dxa"/>
            <w:bottom w:w="0" w:type="dxa"/>
            <w:right w:w="108" w:type="dxa"/>
          </w:tblCellMar>
        </w:tblPrEx>
        <w:trPr>
          <w:trHeight w:val="844" w:hRule="atLeast"/>
        </w:trPr>
        <w:tc>
          <w:tcPr>
            <w:tcW w:w="1498" w:type="dxa"/>
            <w:tcBorders>
              <w:top w:val="single" w:color="auto" w:sz="4" w:space="0"/>
              <w:left w:val="single" w:color="auto" w:sz="4" w:space="0"/>
              <w:bottom w:val="single" w:color="auto" w:sz="4" w:space="0"/>
              <w:right w:val="single" w:color="auto" w:sz="4" w:space="0"/>
            </w:tcBorders>
            <w:vAlign w:val="center"/>
          </w:tcPr>
          <w:p>
            <w:pPr>
              <w:spacing w:before="156" w:beforeLines="50" w:line="276" w:lineRule="auto"/>
              <w:contextualSpacing/>
              <w:jc w:val="center"/>
              <w:rPr>
                <w:rFonts w:ascii="宋体" w:hAnsi="宋体"/>
                <w:color w:val="auto"/>
                <w:szCs w:val="21"/>
                <w:highlight w:val="none"/>
              </w:rPr>
            </w:pPr>
          </w:p>
        </w:tc>
        <w:tc>
          <w:tcPr>
            <w:tcW w:w="2061" w:type="dxa"/>
            <w:tcBorders>
              <w:top w:val="single" w:color="auto" w:sz="4" w:space="0"/>
              <w:left w:val="single" w:color="auto" w:sz="4" w:space="0"/>
              <w:bottom w:val="single" w:color="auto" w:sz="4" w:space="0"/>
              <w:right w:val="single" w:color="auto" w:sz="4" w:space="0"/>
            </w:tcBorders>
            <w:vAlign w:val="center"/>
          </w:tcPr>
          <w:p>
            <w:pPr>
              <w:spacing w:before="156" w:beforeLines="50" w:line="276" w:lineRule="auto"/>
              <w:contextualSpacing/>
              <w:jc w:val="center"/>
              <w:rPr>
                <w:rFonts w:ascii="宋体" w:hAnsi="宋体"/>
                <w:color w:val="auto"/>
                <w:szCs w:val="21"/>
                <w:highlight w:val="none"/>
                <w:u w:val="single"/>
              </w:rPr>
            </w:pPr>
            <w:r>
              <w:rPr>
                <w:rFonts w:hint="eastAsia" w:ascii="宋体" w:hAnsi="宋体"/>
                <w:color w:val="auto"/>
                <w:szCs w:val="21"/>
                <w:highlight w:val="none"/>
                <w:u w:val="single"/>
              </w:rPr>
              <w:t>其他</w:t>
            </w:r>
          </w:p>
        </w:tc>
        <w:tc>
          <w:tcPr>
            <w:tcW w:w="4963" w:type="dxa"/>
            <w:tcBorders>
              <w:top w:val="single" w:color="auto" w:sz="4" w:space="0"/>
              <w:left w:val="single" w:color="auto" w:sz="4" w:space="0"/>
              <w:bottom w:val="single" w:color="auto" w:sz="4" w:space="0"/>
              <w:right w:val="single" w:color="auto" w:sz="4" w:space="0"/>
            </w:tcBorders>
            <w:vAlign w:val="center"/>
          </w:tcPr>
          <w:p>
            <w:pPr>
              <w:spacing w:line="276" w:lineRule="auto"/>
              <w:ind w:left="273" w:hanging="273" w:hangingChars="130"/>
              <w:rPr>
                <w:rFonts w:ascii="宋体" w:hAnsi="宋体" w:cs="宋体"/>
                <w:color w:val="auto"/>
                <w:kern w:val="0"/>
                <w:szCs w:val="21"/>
                <w:highlight w:val="none"/>
                <w:u w:val="single"/>
                <w:lang w:val="zh-CN"/>
              </w:rPr>
            </w:pPr>
            <w:r>
              <w:rPr>
                <w:rFonts w:hint="eastAsia" w:ascii="宋体" w:hAnsi="宋体" w:cs="宋体"/>
                <w:color w:val="auto"/>
                <w:kern w:val="0"/>
                <w:szCs w:val="21"/>
                <w:highlight w:val="none"/>
                <w:u w:val="single"/>
                <w:lang w:val="zh-CN"/>
              </w:rPr>
              <w:t>1、本项目的公共资源交易服务费由中标人缴纳，费用包含在投标价中。</w:t>
            </w:r>
          </w:p>
          <w:p>
            <w:pPr>
              <w:pBdr>
                <w:bottom w:val="single" w:color="auto" w:sz="6" w:space="1"/>
              </w:pBdr>
              <w:spacing w:line="276" w:lineRule="auto"/>
              <w:ind w:left="273" w:hanging="273" w:hangingChars="130"/>
              <w:rPr>
                <w:rFonts w:ascii="宋体" w:hAnsi="宋体"/>
                <w:color w:val="auto"/>
                <w:szCs w:val="21"/>
                <w:highlight w:val="none"/>
                <w:u w:val="single"/>
              </w:rPr>
            </w:pPr>
            <w:r>
              <w:rPr>
                <w:rFonts w:ascii="宋体" w:hAnsi="宋体" w:cs="宋体"/>
                <w:color w:val="auto"/>
                <w:kern w:val="0"/>
                <w:szCs w:val="21"/>
                <w:highlight w:val="none"/>
                <w:u w:val="single"/>
                <w:lang w:val="zh-CN"/>
              </w:rPr>
              <w:t>2</w:t>
            </w:r>
            <w:r>
              <w:rPr>
                <w:rFonts w:hint="eastAsia" w:ascii="宋体" w:hAnsi="宋体" w:cs="宋体"/>
                <w:color w:val="auto"/>
                <w:kern w:val="0"/>
                <w:szCs w:val="21"/>
                <w:highlight w:val="none"/>
                <w:u w:val="single"/>
                <w:lang w:val="zh-CN"/>
              </w:rPr>
              <w:t>、若</w:t>
            </w:r>
            <w:r>
              <w:rPr>
                <w:rFonts w:ascii="宋体" w:hAnsi="宋体" w:cs="宋体"/>
                <w:color w:val="auto"/>
                <w:kern w:val="0"/>
                <w:szCs w:val="21"/>
                <w:highlight w:val="none"/>
                <w:u w:val="single"/>
                <w:lang w:val="zh-CN"/>
              </w:rPr>
              <w:t>参加开标会议</w:t>
            </w:r>
            <w:r>
              <w:rPr>
                <w:rFonts w:hint="eastAsia" w:ascii="宋体" w:hAnsi="宋体" w:cs="宋体"/>
                <w:color w:val="auto"/>
                <w:kern w:val="0"/>
                <w:szCs w:val="21"/>
                <w:highlight w:val="none"/>
                <w:u w:val="single"/>
                <w:lang w:val="zh-CN"/>
              </w:rPr>
              <w:t>，</w:t>
            </w:r>
            <w:r>
              <w:rPr>
                <w:rFonts w:ascii="宋体" w:hAnsi="宋体" w:cs="宋体"/>
                <w:color w:val="auto"/>
                <w:kern w:val="0"/>
                <w:szCs w:val="21"/>
                <w:highlight w:val="none"/>
                <w:u w:val="single"/>
                <w:lang w:val="zh-CN"/>
              </w:rPr>
              <w:t>投标人代表须同时出示法人证明书原件、法人身份证正反面复印件、授权委托书、被授权人身份证正反面复印件及本人身份证原件，除身份证原件外，以上资料均需加盖投标人单位公章。投标人</w:t>
            </w:r>
            <w:r>
              <w:rPr>
                <w:rFonts w:hint="eastAsia" w:ascii="宋体" w:hAnsi="宋体" w:cs="宋体"/>
                <w:color w:val="auto"/>
                <w:kern w:val="0"/>
                <w:szCs w:val="21"/>
                <w:highlight w:val="none"/>
                <w:u w:val="single"/>
                <w:lang w:val="zh-CN"/>
              </w:rPr>
              <w:t>也可选择不参加</w:t>
            </w:r>
            <w:r>
              <w:rPr>
                <w:rFonts w:ascii="宋体" w:hAnsi="宋体" w:cs="宋体"/>
                <w:color w:val="auto"/>
                <w:kern w:val="0"/>
                <w:szCs w:val="21"/>
                <w:highlight w:val="none"/>
                <w:u w:val="single"/>
                <w:lang w:val="zh-CN"/>
              </w:rPr>
              <w:t>开标会议</w:t>
            </w:r>
            <w:r>
              <w:rPr>
                <w:rFonts w:hint="eastAsia" w:ascii="宋体" w:hAnsi="宋体" w:cs="宋体"/>
                <w:color w:val="auto"/>
                <w:kern w:val="0"/>
                <w:szCs w:val="21"/>
                <w:highlight w:val="none"/>
                <w:u w:val="single"/>
                <w:lang w:val="zh-CN"/>
              </w:rPr>
              <w:t>。</w:t>
            </w:r>
          </w:p>
        </w:tc>
      </w:tr>
    </w:tbl>
    <w:p>
      <w:pPr>
        <w:jc w:val="right"/>
        <w:rPr>
          <w:rFonts w:ascii="宋体" w:hAnsi="宋体"/>
          <w:color w:val="auto"/>
          <w:highlight w:val="none"/>
        </w:rPr>
      </w:pPr>
    </w:p>
    <w:p>
      <w:pPr>
        <w:jc w:val="right"/>
        <w:rPr>
          <w:rFonts w:ascii="宋体" w:hAnsi="宋体"/>
          <w:color w:val="auto"/>
          <w:highlight w:val="none"/>
        </w:rPr>
      </w:pPr>
      <w:r>
        <w:rPr>
          <w:rFonts w:ascii="宋体" w:hAnsi="宋体"/>
          <w:color w:val="auto"/>
          <w:highlight w:val="none"/>
        </w:rPr>
        <w:br w:type="page"/>
      </w:r>
    </w:p>
    <w:p>
      <w:pPr>
        <w:spacing w:line="360" w:lineRule="auto"/>
        <w:jc w:val="center"/>
        <w:outlineLvl w:val="2"/>
        <w:rPr>
          <w:rFonts w:ascii="宋体" w:hAnsi="宋体"/>
          <w:color w:val="auto"/>
          <w:sz w:val="28"/>
          <w:szCs w:val="27"/>
          <w:highlight w:val="none"/>
        </w:rPr>
      </w:pPr>
      <w:bookmarkStart w:id="20" w:name="_Toc21787640"/>
      <w:r>
        <w:rPr>
          <w:rFonts w:hint="eastAsia" w:ascii="宋体" w:hAnsi="宋体"/>
          <w:color w:val="auto"/>
          <w:sz w:val="28"/>
          <w:szCs w:val="27"/>
          <w:highlight w:val="none"/>
        </w:rPr>
        <w:t>投标须知通用条款</w:t>
      </w:r>
      <w:bookmarkEnd w:id="20"/>
    </w:p>
    <w:p>
      <w:pPr>
        <w:pStyle w:val="3"/>
        <w:numPr>
          <w:ilvl w:val="0"/>
          <w:numId w:val="6"/>
        </w:numPr>
        <w:rPr>
          <w:rFonts w:ascii="宋体" w:hAnsi="宋体"/>
          <w:b/>
          <w:color w:val="auto"/>
          <w:highlight w:val="none"/>
        </w:rPr>
      </w:pPr>
      <w:bookmarkStart w:id="21" w:name="_Toc21787641"/>
      <w:r>
        <w:rPr>
          <w:rFonts w:hint="eastAsia" w:ascii="宋体" w:hAnsi="宋体"/>
          <w:b/>
          <w:color w:val="auto"/>
          <w:highlight w:val="none"/>
        </w:rPr>
        <w:t>总则</w:t>
      </w:r>
      <w:bookmarkEnd w:id="21"/>
    </w:p>
    <w:p>
      <w:pPr>
        <w:pStyle w:val="39"/>
        <w:spacing w:line="360" w:lineRule="auto"/>
        <w:ind w:firstLine="480" w:firstLineChars="200"/>
        <w:rPr>
          <w:rFonts w:ascii="宋体" w:hAnsi="宋体" w:eastAsia="宋体"/>
          <w:bCs/>
          <w:color w:val="auto"/>
          <w:kern w:val="2"/>
          <w:sz w:val="24"/>
          <w:szCs w:val="22"/>
          <w:highlight w:val="none"/>
        </w:rPr>
      </w:pPr>
      <w:r>
        <w:rPr>
          <w:rFonts w:hint="eastAsia" w:ascii="宋体" w:hAnsi="宋体" w:eastAsia="宋体"/>
          <w:bCs/>
          <w:color w:val="auto"/>
          <w:kern w:val="2"/>
          <w:sz w:val="24"/>
          <w:szCs w:val="22"/>
          <w:highlight w:val="none"/>
        </w:rPr>
        <w:t>本招标文件使用的下列词语具有如下规定的意义：</w:t>
      </w:r>
    </w:p>
    <w:p>
      <w:pPr>
        <w:pStyle w:val="39"/>
        <w:spacing w:line="360" w:lineRule="auto"/>
        <w:ind w:firstLine="480" w:firstLineChars="200"/>
        <w:rPr>
          <w:rFonts w:ascii="宋体" w:hAnsi="宋体" w:eastAsia="宋体"/>
          <w:bCs/>
          <w:color w:val="auto"/>
          <w:kern w:val="2"/>
          <w:sz w:val="24"/>
          <w:szCs w:val="22"/>
          <w:highlight w:val="none"/>
        </w:rPr>
      </w:pPr>
      <w:r>
        <w:rPr>
          <w:rFonts w:hint="eastAsia" w:ascii="宋体" w:hAnsi="宋体" w:eastAsia="宋体"/>
          <w:bCs/>
          <w:color w:val="auto"/>
          <w:kern w:val="2"/>
          <w:sz w:val="24"/>
          <w:szCs w:val="22"/>
          <w:highlight w:val="none"/>
        </w:rPr>
        <w:t>（1）“招标人”（即发包人）、“项目建设管理单位”（或称“项目代建单位”）、“招标代理”、“设计单位”、“监理单位”均已在投标须知前附表中列明。</w:t>
      </w:r>
    </w:p>
    <w:p>
      <w:pPr>
        <w:pStyle w:val="39"/>
        <w:spacing w:line="360" w:lineRule="auto"/>
        <w:ind w:firstLine="480" w:firstLineChars="200"/>
        <w:rPr>
          <w:rFonts w:ascii="宋体" w:hAnsi="宋体" w:eastAsia="宋体"/>
          <w:bCs/>
          <w:color w:val="auto"/>
          <w:kern w:val="2"/>
          <w:sz w:val="24"/>
          <w:szCs w:val="22"/>
          <w:highlight w:val="none"/>
        </w:rPr>
      </w:pPr>
      <w:r>
        <w:rPr>
          <w:rFonts w:hint="eastAsia" w:ascii="宋体" w:hAnsi="宋体" w:eastAsia="宋体"/>
          <w:bCs/>
          <w:color w:val="auto"/>
          <w:kern w:val="2"/>
          <w:sz w:val="24"/>
          <w:szCs w:val="22"/>
          <w:highlight w:val="none"/>
        </w:rPr>
        <w:t xml:space="preserve">（2）“投标人”指向招标人提交投标文件的当事人。   </w:t>
      </w:r>
    </w:p>
    <w:p>
      <w:pPr>
        <w:pStyle w:val="39"/>
        <w:spacing w:line="360" w:lineRule="auto"/>
        <w:ind w:firstLine="480" w:firstLineChars="200"/>
        <w:rPr>
          <w:rFonts w:ascii="宋体" w:hAnsi="宋体" w:eastAsia="宋体"/>
          <w:bCs/>
          <w:color w:val="auto"/>
          <w:kern w:val="2"/>
          <w:sz w:val="24"/>
          <w:szCs w:val="22"/>
          <w:highlight w:val="none"/>
        </w:rPr>
      </w:pPr>
      <w:r>
        <w:rPr>
          <w:rFonts w:hint="eastAsia" w:ascii="宋体" w:hAnsi="宋体" w:eastAsia="宋体"/>
          <w:bCs/>
          <w:color w:val="auto"/>
          <w:kern w:val="2"/>
          <w:sz w:val="24"/>
          <w:szCs w:val="22"/>
          <w:highlight w:val="none"/>
        </w:rPr>
        <w:t>（3）“承包人”指其投标被招标人接受并与其签订承包合同的当事人。</w:t>
      </w:r>
    </w:p>
    <w:p>
      <w:pPr>
        <w:pStyle w:val="39"/>
        <w:spacing w:line="360" w:lineRule="auto"/>
        <w:ind w:firstLine="480" w:firstLineChars="200"/>
        <w:rPr>
          <w:rFonts w:ascii="宋体" w:hAnsi="宋体" w:eastAsia="宋体"/>
          <w:bCs/>
          <w:color w:val="auto"/>
          <w:kern w:val="2"/>
          <w:sz w:val="24"/>
          <w:szCs w:val="22"/>
          <w:highlight w:val="none"/>
        </w:rPr>
      </w:pPr>
      <w:r>
        <w:rPr>
          <w:rFonts w:hint="eastAsia" w:ascii="宋体" w:hAnsi="宋体" w:eastAsia="宋体"/>
          <w:bCs/>
          <w:color w:val="auto"/>
          <w:kern w:val="2"/>
          <w:sz w:val="24"/>
          <w:szCs w:val="22"/>
          <w:highlight w:val="none"/>
        </w:rPr>
        <w:t>（4）“招标文件”指由招标代理发出的本文件（包括全部章节、附件）及招标答疑会会议纪要和招标文件的澄清与修改文件。</w:t>
      </w:r>
    </w:p>
    <w:p>
      <w:pPr>
        <w:pStyle w:val="39"/>
        <w:spacing w:line="360" w:lineRule="auto"/>
        <w:ind w:firstLine="480" w:firstLineChars="200"/>
        <w:rPr>
          <w:rFonts w:ascii="宋体" w:hAnsi="宋体" w:eastAsia="宋体"/>
          <w:bCs/>
          <w:color w:val="auto"/>
          <w:kern w:val="2"/>
          <w:sz w:val="24"/>
          <w:szCs w:val="22"/>
          <w:highlight w:val="none"/>
        </w:rPr>
      </w:pPr>
      <w:r>
        <w:rPr>
          <w:rFonts w:hint="eastAsia" w:ascii="宋体" w:hAnsi="宋体" w:eastAsia="宋体"/>
          <w:bCs/>
          <w:color w:val="auto"/>
          <w:kern w:val="2"/>
          <w:sz w:val="24"/>
          <w:szCs w:val="22"/>
          <w:highlight w:val="none"/>
        </w:rPr>
        <w:t>（5）“投标文件</w:t>
      </w:r>
      <w:bookmarkStart w:id="22" w:name="_Toc359263251"/>
      <w:r>
        <w:rPr>
          <w:rFonts w:hint="eastAsia" w:ascii="宋体" w:hAnsi="宋体" w:eastAsia="宋体"/>
          <w:bCs/>
          <w:color w:val="auto"/>
          <w:kern w:val="2"/>
          <w:sz w:val="24"/>
          <w:szCs w:val="22"/>
          <w:highlight w:val="none"/>
        </w:rPr>
        <w:t>”指投标人根据本项目</w:t>
      </w:r>
      <w:bookmarkEnd w:id="22"/>
      <w:r>
        <w:rPr>
          <w:rFonts w:hint="eastAsia" w:ascii="宋体" w:hAnsi="宋体" w:eastAsia="宋体"/>
          <w:bCs/>
          <w:color w:val="auto"/>
          <w:kern w:val="2"/>
          <w:sz w:val="24"/>
          <w:szCs w:val="22"/>
          <w:highlight w:val="none"/>
        </w:rPr>
        <w:t>招</w:t>
      </w:r>
      <w:bookmarkStart w:id="23" w:name="_Toc262229163"/>
      <w:bookmarkStart w:id="24" w:name="_Toc85505512"/>
      <w:bookmarkStart w:id="25" w:name="_Toc101777612"/>
      <w:r>
        <w:rPr>
          <w:rFonts w:hint="eastAsia" w:ascii="宋体" w:hAnsi="宋体" w:eastAsia="宋体"/>
          <w:bCs/>
          <w:color w:val="auto"/>
          <w:kern w:val="2"/>
          <w:sz w:val="24"/>
          <w:szCs w:val="22"/>
          <w:highlight w:val="none"/>
        </w:rPr>
        <w:t>标文件向招</w:t>
      </w:r>
      <w:bookmarkEnd w:id="23"/>
      <w:bookmarkEnd w:id="24"/>
      <w:bookmarkEnd w:id="25"/>
      <w:r>
        <w:rPr>
          <w:rFonts w:hint="eastAsia" w:ascii="宋体" w:hAnsi="宋体" w:eastAsia="宋体"/>
          <w:bCs/>
          <w:color w:val="auto"/>
          <w:kern w:val="2"/>
          <w:sz w:val="24"/>
          <w:szCs w:val="22"/>
          <w:highlight w:val="none"/>
        </w:rPr>
        <w:t>标人提交的全部文件。</w:t>
      </w:r>
    </w:p>
    <w:p>
      <w:pPr>
        <w:pStyle w:val="39"/>
        <w:spacing w:after="0" w:line="360" w:lineRule="auto"/>
        <w:ind w:firstLine="480" w:firstLineChars="200"/>
        <w:rPr>
          <w:rFonts w:ascii="宋体" w:hAnsi="宋体" w:eastAsia="宋体"/>
          <w:bCs/>
          <w:color w:val="auto"/>
          <w:kern w:val="2"/>
          <w:sz w:val="24"/>
          <w:szCs w:val="22"/>
          <w:highlight w:val="none"/>
        </w:rPr>
      </w:pPr>
      <w:r>
        <w:rPr>
          <w:rFonts w:hint="eastAsia" w:ascii="宋体" w:hAnsi="宋体" w:eastAsia="宋体"/>
          <w:bCs/>
          <w:color w:val="auto"/>
          <w:kern w:val="2"/>
          <w:sz w:val="24"/>
          <w:szCs w:val="22"/>
          <w:highlight w:val="none"/>
        </w:rPr>
        <w:t>（6）“书面形式”指打字或印刷的文件和数据电文（包括电报、电传、传真、电子数据交换和电子邮件）。</w:t>
      </w:r>
    </w:p>
    <w:p>
      <w:pPr>
        <w:pStyle w:val="5"/>
        <w:rPr>
          <w:rFonts w:ascii="宋体" w:hAnsi="宋体"/>
          <w:color w:val="auto"/>
          <w:highlight w:val="none"/>
        </w:rPr>
      </w:pPr>
      <w:r>
        <w:rPr>
          <w:rFonts w:hint="eastAsia" w:ascii="宋体" w:hAnsi="宋体"/>
          <w:color w:val="auto"/>
          <w:highlight w:val="none"/>
        </w:rPr>
        <w:t>项目概况</w:t>
      </w:r>
    </w:p>
    <w:p>
      <w:pPr>
        <w:numPr>
          <w:ilvl w:val="0"/>
          <w:numId w:val="7"/>
        </w:numPr>
        <w:spacing w:line="360" w:lineRule="auto"/>
        <w:ind w:left="0" w:firstLine="0"/>
        <w:rPr>
          <w:rFonts w:ascii="宋体" w:hAnsi="宋体"/>
          <w:color w:val="auto"/>
          <w:sz w:val="24"/>
          <w:szCs w:val="24"/>
          <w:highlight w:val="none"/>
        </w:rPr>
      </w:pPr>
      <w:r>
        <w:rPr>
          <w:rFonts w:hint="eastAsia" w:ascii="宋体" w:hAnsi="宋体"/>
          <w:color w:val="auto"/>
          <w:sz w:val="24"/>
          <w:szCs w:val="24"/>
          <w:highlight w:val="none"/>
        </w:rPr>
        <w:t>根据《中华人民共和国招标投标法》等有关法律、法规和规章的规定，本招标项目已具备招标条件，现对本标段施工进行招标。</w:t>
      </w:r>
    </w:p>
    <w:p>
      <w:pPr>
        <w:numPr>
          <w:ilvl w:val="0"/>
          <w:numId w:val="7"/>
        </w:numPr>
        <w:spacing w:line="360" w:lineRule="auto"/>
        <w:ind w:left="0" w:firstLine="0"/>
        <w:rPr>
          <w:rFonts w:ascii="宋体" w:hAnsi="宋体"/>
          <w:color w:val="auto"/>
          <w:sz w:val="24"/>
          <w:szCs w:val="24"/>
          <w:highlight w:val="none"/>
        </w:rPr>
      </w:pPr>
      <w:r>
        <w:rPr>
          <w:rFonts w:hint="eastAsia" w:ascii="宋体" w:hAnsi="宋体"/>
          <w:color w:val="auto"/>
          <w:sz w:val="24"/>
          <w:szCs w:val="24"/>
          <w:highlight w:val="none"/>
        </w:rPr>
        <w:t>本标段招标代理机构：见投标人须知前附表。</w:t>
      </w:r>
    </w:p>
    <w:p>
      <w:pPr>
        <w:numPr>
          <w:ilvl w:val="0"/>
          <w:numId w:val="7"/>
        </w:numPr>
        <w:spacing w:line="360" w:lineRule="auto"/>
        <w:ind w:left="0" w:firstLine="0"/>
        <w:rPr>
          <w:rFonts w:ascii="宋体" w:hAnsi="宋体"/>
          <w:color w:val="auto"/>
          <w:sz w:val="24"/>
          <w:szCs w:val="24"/>
          <w:highlight w:val="none"/>
        </w:rPr>
      </w:pPr>
      <w:r>
        <w:rPr>
          <w:rFonts w:hint="eastAsia" w:ascii="宋体" w:hAnsi="宋体"/>
          <w:color w:val="auto"/>
          <w:sz w:val="24"/>
          <w:szCs w:val="24"/>
          <w:highlight w:val="none"/>
        </w:rPr>
        <w:t>本招标项目名称：见投标人须知前附表。</w:t>
      </w:r>
    </w:p>
    <w:p>
      <w:pPr>
        <w:numPr>
          <w:ilvl w:val="0"/>
          <w:numId w:val="7"/>
        </w:numPr>
        <w:spacing w:line="360" w:lineRule="auto"/>
        <w:ind w:left="0" w:firstLine="0"/>
        <w:rPr>
          <w:rFonts w:ascii="宋体" w:hAnsi="宋体"/>
          <w:color w:val="auto"/>
          <w:sz w:val="24"/>
          <w:szCs w:val="24"/>
          <w:highlight w:val="none"/>
        </w:rPr>
      </w:pPr>
      <w:r>
        <w:rPr>
          <w:rFonts w:hint="eastAsia" w:ascii="宋体" w:hAnsi="宋体"/>
          <w:color w:val="auto"/>
          <w:sz w:val="24"/>
          <w:szCs w:val="24"/>
          <w:highlight w:val="none"/>
        </w:rPr>
        <w:t>本标段建设地点：见投标人须知前附表。</w:t>
      </w:r>
    </w:p>
    <w:p>
      <w:pPr>
        <w:pStyle w:val="5"/>
        <w:rPr>
          <w:rFonts w:ascii="宋体" w:hAnsi="宋体"/>
          <w:color w:val="auto"/>
          <w:highlight w:val="none"/>
        </w:rPr>
      </w:pPr>
      <w:r>
        <w:rPr>
          <w:rFonts w:hint="eastAsia" w:ascii="宋体" w:hAnsi="宋体"/>
          <w:color w:val="auto"/>
          <w:highlight w:val="none"/>
        </w:rPr>
        <w:t>资金来源和落实情况</w:t>
      </w:r>
    </w:p>
    <w:p>
      <w:pPr>
        <w:pStyle w:val="7"/>
        <w:numPr>
          <w:ilvl w:val="0"/>
          <w:numId w:val="8"/>
        </w:numPr>
        <w:spacing w:line="360" w:lineRule="auto"/>
        <w:ind w:firstLineChars="0"/>
        <w:rPr>
          <w:rFonts w:ascii="宋体" w:hAnsi="宋体"/>
          <w:color w:val="auto"/>
          <w:sz w:val="24"/>
          <w:szCs w:val="24"/>
          <w:highlight w:val="none"/>
        </w:rPr>
      </w:pPr>
      <w:r>
        <w:rPr>
          <w:rFonts w:hint="eastAsia" w:ascii="宋体" w:hAnsi="宋体"/>
          <w:color w:val="auto"/>
          <w:sz w:val="24"/>
          <w:szCs w:val="24"/>
          <w:highlight w:val="none"/>
        </w:rPr>
        <w:t>本招标项目的资金来源及出资比例：见投标人须知前附表。</w:t>
      </w:r>
    </w:p>
    <w:p>
      <w:pPr>
        <w:pStyle w:val="7"/>
        <w:numPr>
          <w:ilvl w:val="0"/>
          <w:numId w:val="8"/>
        </w:numPr>
        <w:spacing w:line="360" w:lineRule="auto"/>
        <w:ind w:firstLineChars="0"/>
        <w:rPr>
          <w:rFonts w:ascii="宋体" w:hAnsi="宋体"/>
          <w:color w:val="auto"/>
          <w:sz w:val="24"/>
          <w:szCs w:val="24"/>
          <w:highlight w:val="none"/>
        </w:rPr>
      </w:pPr>
      <w:r>
        <w:rPr>
          <w:rFonts w:hint="eastAsia" w:ascii="宋体" w:hAnsi="宋体"/>
          <w:color w:val="auto"/>
          <w:sz w:val="24"/>
          <w:szCs w:val="24"/>
          <w:highlight w:val="none"/>
        </w:rPr>
        <w:t>本招标项目的资金来落实情况：见投标人须知前附表。</w:t>
      </w:r>
    </w:p>
    <w:p>
      <w:pPr>
        <w:pStyle w:val="5"/>
        <w:rPr>
          <w:rFonts w:ascii="宋体" w:hAnsi="宋体"/>
          <w:color w:val="auto"/>
          <w:highlight w:val="none"/>
        </w:rPr>
      </w:pPr>
      <w:r>
        <w:rPr>
          <w:rFonts w:hint="eastAsia" w:ascii="宋体" w:hAnsi="宋体"/>
          <w:color w:val="auto"/>
          <w:highlight w:val="none"/>
        </w:rPr>
        <w:t>招标范围、计划工期和质量要求</w:t>
      </w:r>
    </w:p>
    <w:p>
      <w:pPr>
        <w:numPr>
          <w:ilvl w:val="0"/>
          <w:numId w:val="9"/>
        </w:numPr>
        <w:spacing w:line="360" w:lineRule="auto"/>
        <w:jc w:val="left"/>
        <w:rPr>
          <w:rFonts w:ascii="宋体" w:hAnsi="宋体"/>
          <w:color w:val="auto"/>
          <w:sz w:val="24"/>
          <w:highlight w:val="none"/>
        </w:rPr>
      </w:pPr>
      <w:r>
        <w:rPr>
          <w:rFonts w:hint="eastAsia" w:ascii="宋体" w:hAnsi="宋体"/>
          <w:color w:val="auto"/>
          <w:sz w:val="24"/>
          <w:highlight w:val="none"/>
        </w:rPr>
        <w:t>本次招标范围：见投标人须知前附表。</w:t>
      </w:r>
    </w:p>
    <w:p>
      <w:pPr>
        <w:numPr>
          <w:ilvl w:val="0"/>
          <w:numId w:val="9"/>
        </w:numPr>
        <w:spacing w:line="360" w:lineRule="auto"/>
        <w:jc w:val="left"/>
        <w:rPr>
          <w:rFonts w:ascii="宋体" w:hAnsi="宋体"/>
          <w:color w:val="auto"/>
          <w:sz w:val="24"/>
          <w:highlight w:val="none"/>
        </w:rPr>
      </w:pPr>
      <w:r>
        <w:rPr>
          <w:rFonts w:hint="eastAsia" w:ascii="宋体" w:hAnsi="宋体"/>
          <w:color w:val="auto"/>
          <w:sz w:val="24"/>
          <w:highlight w:val="none"/>
        </w:rPr>
        <w:t>本标段的计划工期：见投标人须知前附表。</w:t>
      </w:r>
    </w:p>
    <w:p>
      <w:pPr>
        <w:numPr>
          <w:ilvl w:val="0"/>
          <w:numId w:val="9"/>
        </w:numPr>
        <w:spacing w:line="360" w:lineRule="auto"/>
        <w:jc w:val="left"/>
        <w:rPr>
          <w:rFonts w:ascii="宋体" w:hAnsi="宋体"/>
          <w:color w:val="auto"/>
          <w:sz w:val="24"/>
          <w:highlight w:val="none"/>
        </w:rPr>
      </w:pPr>
      <w:r>
        <w:rPr>
          <w:rFonts w:hint="eastAsia" w:ascii="宋体" w:hAnsi="宋体"/>
          <w:color w:val="auto"/>
          <w:sz w:val="24"/>
          <w:highlight w:val="none"/>
        </w:rPr>
        <w:t>本标段的质量要求：见投标人须知前附表。</w:t>
      </w:r>
    </w:p>
    <w:p>
      <w:pPr>
        <w:numPr>
          <w:ilvl w:val="0"/>
          <w:numId w:val="9"/>
        </w:numPr>
        <w:spacing w:line="360" w:lineRule="auto"/>
        <w:jc w:val="left"/>
        <w:rPr>
          <w:rFonts w:ascii="宋体" w:hAnsi="宋体"/>
          <w:color w:val="auto"/>
          <w:sz w:val="24"/>
          <w:highlight w:val="none"/>
        </w:rPr>
      </w:pPr>
      <w:r>
        <w:rPr>
          <w:rFonts w:hint="eastAsia" w:ascii="宋体" w:hAnsi="宋体"/>
          <w:color w:val="auto"/>
          <w:sz w:val="24"/>
          <w:highlight w:val="none"/>
        </w:rPr>
        <w:t>本招标项目的承包方式：见投标人须知前附表。</w:t>
      </w:r>
    </w:p>
    <w:p>
      <w:pPr>
        <w:pStyle w:val="5"/>
        <w:rPr>
          <w:rFonts w:ascii="宋体" w:hAnsi="宋体"/>
          <w:color w:val="auto"/>
          <w:highlight w:val="none"/>
        </w:rPr>
      </w:pPr>
      <w:r>
        <w:rPr>
          <w:rFonts w:hint="eastAsia" w:ascii="宋体" w:hAnsi="宋体"/>
          <w:color w:val="auto"/>
          <w:highlight w:val="none"/>
        </w:rPr>
        <w:t>投标人资格要求</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1.4.1投标人应具备承担本项目施工的资质条件、能力和信誉。详见本项目《招标公告》</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1.4.2 投标人须知前附表规定接受联合体投标的，除应符合本章第1.4.1项和投标人须知前附表的要求外，还应遵守以下规定：</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（1）联合体各方应按招标文件提供的格式签订联合体协议书，明确联合体</w:t>
      </w:r>
      <w:r>
        <w:rPr>
          <w:rFonts w:hint="eastAsia" w:ascii="宋体" w:hAnsi="宋体"/>
          <w:strike/>
          <w:color w:val="auto"/>
          <w:sz w:val="24"/>
          <w:highlight w:val="none"/>
        </w:rPr>
        <w:t>牵头人</w:t>
      </w:r>
      <w:r>
        <w:rPr>
          <w:rFonts w:hint="eastAsia" w:ascii="宋体" w:hAnsi="宋体"/>
          <w:color w:val="auto"/>
          <w:sz w:val="28"/>
          <w:szCs w:val="28"/>
          <w:highlight w:val="none"/>
        </w:rPr>
        <w:t>主办方</w:t>
      </w:r>
      <w:r>
        <w:rPr>
          <w:rFonts w:hint="eastAsia" w:ascii="宋体" w:hAnsi="宋体"/>
          <w:color w:val="auto"/>
          <w:sz w:val="24"/>
          <w:highlight w:val="none"/>
        </w:rPr>
        <w:t>和各方权利义务；</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（2）由同一专业的单位组成的联合体，按照资质等级较低的单位确定资质等级；</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（3）联合体各方不得再以自己名义单独或参加其他联合体在同一标段中投标。</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1.4.3投标人不得存在下列情形之一：</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（1）为招标人不具有独立法人资格的附属机构（单位）；</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（2）为本次招标项目前期准备提供设计或咨询服务的；</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（3）为本次招标项目的监理人；</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（4）为本次招标项目的代建人；</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（5）为本次招标项目提供招标代理服务的；</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（6）与本次招标项目的监理人或代建人或招标代理机构同为一个法定代表人的；</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（7）与本次招标项目的监理人或代建人或招标代理机构相互控股或参股的；</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（8）与本次招标项目的监理人或代建人或招标代理机构相互任职或工作的；</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（9）被责令停业的；</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（10）被暂停或取消投标资格的；</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（11）财产被接管或冻结的；</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（12）在最近三年内有骗取中标或严重违约或重大工程质量问题的。</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1.4.4单位负责人为同一人或者存在控股、管理关系的不同单位，不得同时参加本招标项目投标。</w:t>
      </w:r>
    </w:p>
    <w:p>
      <w:pPr>
        <w:pStyle w:val="5"/>
        <w:rPr>
          <w:rFonts w:ascii="宋体" w:hAnsi="宋体"/>
          <w:color w:val="auto"/>
          <w:highlight w:val="none"/>
        </w:rPr>
      </w:pPr>
      <w:r>
        <w:rPr>
          <w:rFonts w:hint="eastAsia" w:ascii="宋体" w:hAnsi="宋体"/>
          <w:color w:val="auto"/>
          <w:highlight w:val="none"/>
        </w:rPr>
        <w:t>费用承担</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投标人准备和参加投标活动发生的费用自理。</w:t>
      </w:r>
    </w:p>
    <w:p>
      <w:pPr>
        <w:pStyle w:val="5"/>
        <w:rPr>
          <w:rFonts w:ascii="宋体" w:hAnsi="宋体"/>
          <w:color w:val="auto"/>
          <w:highlight w:val="none"/>
        </w:rPr>
      </w:pPr>
      <w:r>
        <w:rPr>
          <w:rFonts w:hint="eastAsia" w:ascii="宋体" w:hAnsi="宋体"/>
          <w:color w:val="auto"/>
          <w:highlight w:val="none"/>
        </w:rPr>
        <w:t>保密</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参与招标投标活动的各方应对招标文件和投标文件中的商业和技术等秘密保密，违者应对由此造成的后果承担法律责任。</w:t>
      </w:r>
    </w:p>
    <w:p>
      <w:pPr>
        <w:pStyle w:val="5"/>
        <w:rPr>
          <w:rFonts w:ascii="宋体" w:hAnsi="宋体"/>
          <w:color w:val="auto"/>
          <w:highlight w:val="none"/>
        </w:rPr>
      </w:pPr>
      <w:r>
        <w:rPr>
          <w:rFonts w:hint="eastAsia" w:ascii="宋体" w:hAnsi="宋体"/>
          <w:color w:val="auto"/>
          <w:highlight w:val="none"/>
        </w:rPr>
        <w:t>语言文字</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除专用术语外，与招标投标有关的语言均使用中文。必要时专用术语应附有中文注释。</w:t>
      </w:r>
    </w:p>
    <w:p>
      <w:pPr>
        <w:pStyle w:val="5"/>
        <w:rPr>
          <w:rFonts w:ascii="宋体" w:hAnsi="宋体"/>
          <w:color w:val="auto"/>
          <w:highlight w:val="none"/>
        </w:rPr>
      </w:pPr>
      <w:r>
        <w:rPr>
          <w:rFonts w:hint="eastAsia" w:ascii="宋体" w:hAnsi="宋体"/>
          <w:color w:val="auto"/>
          <w:highlight w:val="none"/>
        </w:rPr>
        <w:t>计量单位</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所有计量均采用中华人民共和国法定计量单位。</w:t>
      </w:r>
    </w:p>
    <w:p>
      <w:pPr>
        <w:pStyle w:val="5"/>
        <w:rPr>
          <w:rFonts w:ascii="宋体" w:hAnsi="宋体"/>
          <w:color w:val="auto"/>
          <w:highlight w:val="none"/>
        </w:rPr>
      </w:pPr>
      <w:r>
        <w:rPr>
          <w:rFonts w:hint="eastAsia" w:ascii="宋体" w:hAnsi="宋体"/>
          <w:color w:val="auto"/>
          <w:highlight w:val="none"/>
        </w:rPr>
        <w:t>踏勘现场</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1.9.1 投标人按投标人须知前附表规定的时间、地点自行踏勘项目现场。</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1.9.2 投标人踏勘现场发生的费用自理。</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1.9.3 除招标人的原因外，投标人自行负责在踏勘现场中所发生的人员伤亡和财产损失。</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1.9.4 招标人在踏勘现场中了解的工程场地和相关的周边环境情况，供投标人在编制投标文件时参考，招标人不对投标人据此作出的判断和决策负责。</w:t>
      </w:r>
    </w:p>
    <w:p>
      <w:pPr>
        <w:pStyle w:val="5"/>
        <w:rPr>
          <w:rFonts w:ascii="宋体" w:hAnsi="宋体"/>
          <w:color w:val="auto"/>
          <w:highlight w:val="none"/>
        </w:rPr>
      </w:pPr>
      <w:r>
        <w:rPr>
          <w:rFonts w:hint="eastAsia" w:ascii="宋体" w:hAnsi="宋体"/>
          <w:color w:val="auto"/>
          <w:highlight w:val="none"/>
        </w:rPr>
        <w:t>投标预备会</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不召开。</w:t>
      </w:r>
    </w:p>
    <w:p>
      <w:pPr>
        <w:pStyle w:val="5"/>
        <w:rPr>
          <w:rFonts w:ascii="宋体" w:hAnsi="宋体"/>
          <w:color w:val="auto"/>
          <w:highlight w:val="none"/>
        </w:rPr>
      </w:pPr>
      <w:r>
        <w:rPr>
          <w:rFonts w:hint="eastAsia" w:ascii="宋体" w:hAnsi="宋体"/>
          <w:color w:val="auto"/>
          <w:highlight w:val="none"/>
        </w:rPr>
        <w:t>偏离</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投标人须知前附表允许投标文件偏离招标文件某些要求的，偏离应当符合招标文件规定的偏离范围和幅度。</w:t>
      </w:r>
    </w:p>
    <w:p>
      <w:pPr>
        <w:pStyle w:val="3"/>
        <w:rPr>
          <w:rFonts w:ascii="宋体" w:hAnsi="宋体"/>
          <w:color w:val="auto"/>
          <w:highlight w:val="none"/>
        </w:rPr>
      </w:pPr>
      <w:bookmarkStart w:id="26" w:name="_Toc21787642"/>
      <w:r>
        <w:rPr>
          <w:rFonts w:hint="eastAsia" w:ascii="宋体" w:hAnsi="宋体"/>
          <w:color w:val="auto"/>
          <w:highlight w:val="none"/>
        </w:rPr>
        <w:t>招标文件</w:t>
      </w:r>
      <w:bookmarkEnd w:id="26"/>
    </w:p>
    <w:p>
      <w:pPr>
        <w:numPr>
          <w:ilvl w:val="0"/>
          <w:numId w:val="10"/>
        </w:numPr>
        <w:spacing w:line="360" w:lineRule="auto"/>
        <w:ind w:left="562" w:hanging="562" w:hangingChars="200"/>
        <w:outlineLvl w:val="2"/>
        <w:rPr>
          <w:rFonts w:ascii="宋体" w:hAnsi="宋体"/>
          <w:b/>
          <w:color w:val="auto"/>
          <w:sz w:val="28"/>
          <w:szCs w:val="28"/>
          <w:highlight w:val="none"/>
        </w:rPr>
      </w:pPr>
      <w:bookmarkStart w:id="27" w:name="_Toc21787643"/>
      <w:r>
        <w:rPr>
          <w:rFonts w:hint="eastAsia" w:ascii="宋体" w:hAnsi="宋体"/>
          <w:b/>
          <w:color w:val="auto"/>
          <w:sz w:val="28"/>
          <w:szCs w:val="28"/>
          <w:highlight w:val="none"/>
        </w:rPr>
        <w:t>招标文件的组成</w:t>
      </w:r>
      <w:bookmarkEnd w:id="27"/>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2.1.1</w:t>
      </w:r>
      <w:r>
        <w:rPr>
          <w:rFonts w:hint="eastAsia" w:ascii="宋体" w:hAnsi="宋体"/>
          <w:color w:val="auto"/>
          <w:sz w:val="24"/>
          <w:highlight w:val="none"/>
        </w:rPr>
        <w:t>本招标文件包括：</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（1）招标公告（或投标邀请书）；</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（2）投标人须知；</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（3）评标办法；</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（4）合同条款；</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 xml:space="preserve">（5）工程量清单； </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 xml:space="preserve">（6）图纸及勘察资料； </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 xml:space="preserve">（7）技术标准和要求； </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（8）投标文件格式；</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（9）否决性条款汇总；</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（10）最高投标限价（招标控制价）</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2.1.2根据本章第2.2款和第2.3款对招标文件所作的澄清、修改，构成招标文件的组成部分。</w:t>
      </w:r>
      <w:bookmarkStart w:id="28" w:name="_Toc262229164"/>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 xml:space="preserve">2.1.3 </w:t>
      </w:r>
      <w:bookmarkEnd w:id="28"/>
      <w:r>
        <w:rPr>
          <w:rFonts w:hint="eastAsia" w:ascii="宋体" w:hAnsi="宋体"/>
          <w:bCs/>
          <w:color w:val="auto"/>
          <w:sz w:val="24"/>
          <w:highlight w:val="none"/>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2.1.4 投标人一旦中标，招标文件的内容对招标人和中标人双方均有约束力。</w:t>
      </w:r>
    </w:p>
    <w:p>
      <w:pPr>
        <w:spacing w:line="360" w:lineRule="auto"/>
        <w:ind w:firstLine="480" w:firstLineChars="200"/>
        <w:rPr>
          <w:rFonts w:ascii="宋体" w:hAnsi="宋体"/>
          <w:bCs/>
          <w:color w:val="auto"/>
          <w:sz w:val="24"/>
          <w:highlight w:val="none"/>
        </w:rPr>
      </w:pPr>
      <w:r>
        <w:rPr>
          <w:rFonts w:ascii="宋体" w:hAnsi="宋体"/>
          <w:bCs/>
          <w:color w:val="auto"/>
          <w:sz w:val="24"/>
          <w:highlight w:val="none"/>
        </w:rPr>
        <w:t>2.1.5</w:t>
      </w:r>
      <w:r>
        <w:rPr>
          <w:rFonts w:hint="eastAsia" w:ascii="宋体" w:hAnsi="宋体"/>
          <w:bCs/>
          <w:color w:val="auto"/>
          <w:sz w:val="24"/>
          <w:highlight w:val="none"/>
        </w:rPr>
        <w:t>招标人应在招标文件中明确投标文件主要内容编制的格式要求。</w:t>
      </w:r>
    </w:p>
    <w:p>
      <w:pPr>
        <w:numPr>
          <w:ilvl w:val="0"/>
          <w:numId w:val="10"/>
        </w:numPr>
        <w:spacing w:line="360" w:lineRule="auto"/>
        <w:ind w:left="562" w:hanging="562" w:hangingChars="200"/>
        <w:outlineLvl w:val="2"/>
        <w:rPr>
          <w:rFonts w:ascii="宋体" w:hAnsi="宋体"/>
          <w:b/>
          <w:color w:val="auto"/>
          <w:sz w:val="28"/>
          <w:szCs w:val="28"/>
          <w:highlight w:val="none"/>
        </w:rPr>
      </w:pPr>
      <w:bookmarkStart w:id="29" w:name="_Toc21787644"/>
      <w:r>
        <w:rPr>
          <w:rFonts w:hint="eastAsia" w:ascii="宋体" w:hAnsi="宋体"/>
          <w:b/>
          <w:color w:val="auto"/>
          <w:sz w:val="28"/>
          <w:szCs w:val="28"/>
          <w:highlight w:val="none"/>
        </w:rPr>
        <w:t>招标答疑</w:t>
      </w:r>
      <w:bookmarkEnd w:id="29"/>
    </w:p>
    <w:p>
      <w:pPr>
        <w:spacing w:line="360" w:lineRule="auto"/>
        <w:ind w:firstLine="480" w:firstLineChars="200"/>
        <w:contextualSpacing/>
        <w:rPr>
          <w:rFonts w:ascii="宋体" w:hAnsi="宋体"/>
          <w:bCs/>
          <w:color w:val="auto"/>
          <w:sz w:val="24"/>
          <w:highlight w:val="none"/>
        </w:rPr>
      </w:pPr>
      <w:r>
        <w:rPr>
          <w:rFonts w:ascii="宋体" w:hAnsi="宋体"/>
          <w:bCs/>
          <w:color w:val="auto"/>
          <w:sz w:val="24"/>
          <w:highlight w:val="none"/>
        </w:rPr>
        <w:t>2.2.1 招标答疑采用网上答疑方式进行。投标人若对招标文件（包括招标图纸、清单、招标控制价）有疑问的，</w:t>
      </w:r>
      <w:r>
        <w:rPr>
          <w:rFonts w:hint="eastAsia" w:ascii="宋体" w:hAnsi="宋体"/>
          <w:bCs/>
          <w:color w:val="auto"/>
          <w:sz w:val="24"/>
          <w:highlight w:val="none"/>
        </w:rPr>
        <w:t>应按照</w:t>
      </w:r>
      <w:r>
        <w:rPr>
          <w:rFonts w:hint="eastAsia" w:ascii="宋体" w:hAnsi="宋体"/>
          <w:bCs/>
          <w:color w:val="auto"/>
          <w:sz w:val="24"/>
          <w:szCs w:val="24"/>
          <w:highlight w:val="none"/>
        </w:rPr>
        <w:t>广州交易集团有限公司（广州公共资源交易中心）</w:t>
      </w:r>
      <w:r>
        <w:rPr>
          <w:rFonts w:hint="eastAsia" w:ascii="宋体" w:hAnsi="宋体"/>
          <w:bCs/>
          <w:color w:val="auto"/>
          <w:sz w:val="24"/>
          <w:highlight w:val="none"/>
        </w:rPr>
        <w:t>交易平台关于全流程电子化项目的相关指南进行操作。提问一律不得署名。</w:t>
      </w:r>
    </w:p>
    <w:p>
      <w:pPr>
        <w:spacing w:line="360" w:lineRule="auto"/>
        <w:ind w:firstLine="480" w:firstLineChars="200"/>
        <w:contextualSpacing/>
        <w:rPr>
          <w:rFonts w:ascii="宋体" w:hAnsi="宋体"/>
          <w:bCs/>
          <w:color w:val="auto"/>
          <w:sz w:val="24"/>
          <w:highlight w:val="none"/>
        </w:rPr>
      </w:pPr>
      <w:r>
        <w:rPr>
          <w:rFonts w:ascii="宋体" w:hAnsi="宋体"/>
          <w:bCs/>
          <w:color w:val="auto"/>
          <w:sz w:val="24"/>
          <w:highlight w:val="none"/>
        </w:rPr>
        <w:t>2.2.2</w:t>
      </w:r>
      <w:r>
        <w:rPr>
          <w:rFonts w:hint="eastAsia" w:ascii="宋体" w:hAnsi="宋体"/>
          <w:bCs/>
          <w:color w:val="auto"/>
          <w:sz w:val="24"/>
          <w:highlight w:val="none"/>
        </w:rPr>
        <w:t>答疑纪要一经在</w:t>
      </w:r>
      <w:r>
        <w:rPr>
          <w:rFonts w:hint="eastAsia" w:ascii="宋体" w:hAnsi="宋体"/>
          <w:bCs/>
          <w:color w:val="auto"/>
          <w:sz w:val="24"/>
          <w:szCs w:val="24"/>
          <w:highlight w:val="none"/>
          <w:u w:val="single"/>
        </w:rPr>
        <w:t>广州交易集团有限公司（广州公共资源交易中心）</w:t>
      </w:r>
      <w:r>
        <w:rPr>
          <w:rFonts w:hint="eastAsia" w:ascii="宋体" w:hAnsi="宋体"/>
          <w:bCs/>
          <w:color w:val="auto"/>
          <w:sz w:val="24"/>
          <w:highlight w:val="none"/>
        </w:rPr>
        <w:t>交易平台发布，视作已发放给所有投标人。</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2.2.</w:t>
      </w:r>
      <w:r>
        <w:rPr>
          <w:rFonts w:hint="eastAsia" w:ascii="宋体" w:hAnsi="宋体"/>
          <w:color w:val="auto"/>
          <w:sz w:val="24"/>
          <w:highlight w:val="none"/>
        </w:rPr>
        <w:t>3招标答疑纪要为招标文件的一部分。</w:t>
      </w:r>
    </w:p>
    <w:p>
      <w:pPr>
        <w:pStyle w:val="39"/>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2.2.</w:t>
      </w:r>
      <w:r>
        <w:rPr>
          <w:rFonts w:hint="eastAsia" w:ascii="宋体" w:hAnsi="宋体" w:eastAsia="宋体"/>
          <w:color w:val="auto"/>
          <w:sz w:val="24"/>
          <w:highlight w:val="none"/>
        </w:rPr>
        <w:t>4若招标答疑纪要与招标文件有矛盾时，以</w:t>
      </w:r>
      <w:r>
        <w:rPr>
          <w:rFonts w:hint="eastAsia" w:ascii="宋体" w:hAnsi="宋体" w:eastAsia="宋体"/>
          <w:color w:val="auto"/>
          <w:sz w:val="24"/>
          <w:highlight w:val="none"/>
          <w:u w:val="single"/>
        </w:rPr>
        <w:t>广州交易集团有限公司（广州公共资源交易中心）</w:t>
      </w:r>
      <w:r>
        <w:rPr>
          <w:rFonts w:hint="eastAsia" w:ascii="宋体" w:hAnsi="宋体" w:eastAsia="宋体"/>
          <w:color w:val="auto"/>
          <w:sz w:val="24"/>
          <w:highlight w:val="none"/>
        </w:rPr>
        <w:t>交</w:t>
      </w:r>
      <w:r>
        <w:rPr>
          <w:rFonts w:hint="eastAsia" w:ascii="宋体" w:hAnsi="宋体" w:eastAsia="宋体"/>
          <w:color w:val="auto"/>
          <w:kern w:val="2"/>
          <w:sz w:val="24"/>
          <w:szCs w:val="22"/>
          <w:highlight w:val="none"/>
        </w:rPr>
        <w:t>易平台</w:t>
      </w:r>
      <w:r>
        <w:rPr>
          <w:rFonts w:hint="eastAsia" w:ascii="宋体" w:hAnsi="宋体" w:eastAsia="宋体"/>
          <w:color w:val="auto"/>
          <w:sz w:val="24"/>
          <w:highlight w:val="none"/>
        </w:rPr>
        <w:t>最后发布的答疑纪要为准。</w:t>
      </w:r>
    </w:p>
    <w:p>
      <w:pPr>
        <w:numPr>
          <w:ilvl w:val="0"/>
          <w:numId w:val="10"/>
        </w:numPr>
        <w:spacing w:line="360" w:lineRule="auto"/>
        <w:ind w:left="562" w:hanging="562" w:hangingChars="200"/>
        <w:outlineLvl w:val="2"/>
        <w:rPr>
          <w:rFonts w:ascii="宋体" w:hAnsi="宋体"/>
          <w:b/>
          <w:color w:val="auto"/>
          <w:sz w:val="28"/>
          <w:szCs w:val="28"/>
          <w:highlight w:val="none"/>
        </w:rPr>
      </w:pPr>
      <w:bookmarkStart w:id="30" w:name="_Toc21787645"/>
      <w:r>
        <w:rPr>
          <w:rFonts w:ascii="宋体" w:hAnsi="宋体"/>
          <w:b/>
          <w:color w:val="auto"/>
          <w:sz w:val="28"/>
          <w:szCs w:val="28"/>
          <w:highlight w:val="none"/>
        </w:rPr>
        <w:t>招标文件的</w:t>
      </w:r>
      <w:r>
        <w:rPr>
          <w:rFonts w:hint="eastAsia" w:ascii="宋体" w:hAnsi="宋体"/>
          <w:b/>
          <w:color w:val="auto"/>
          <w:sz w:val="28"/>
          <w:szCs w:val="28"/>
          <w:highlight w:val="none"/>
        </w:rPr>
        <w:t>澄清与</w:t>
      </w:r>
      <w:r>
        <w:rPr>
          <w:rFonts w:ascii="宋体" w:hAnsi="宋体"/>
          <w:b/>
          <w:color w:val="auto"/>
          <w:sz w:val="28"/>
          <w:szCs w:val="28"/>
          <w:highlight w:val="none"/>
        </w:rPr>
        <w:t>修改</w:t>
      </w:r>
      <w:bookmarkEnd w:id="30"/>
    </w:p>
    <w:p>
      <w:pPr>
        <w:spacing w:line="360" w:lineRule="auto"/>
        <w:ind w:firstLine="480" w:firstLineChars="200"/>
        <w:rPr>
          <w:rFonts w:ascii="宋体" w:hAnsi="宋体"/>
          <w:bCs/>
          <w:color w:val="auto"/>
          <w:sz w:val="24"/>
          <w:highlight w:val="none"/>
        </w:rPr>
      </w:pPr>
      <w:r>
        <w:rPr>
          <w:rFonts w:ascii="宋体" w:hAnsi="宋体"/>
          <w:bCs/>
          <w:color w:val="auto"/>
          <w:sz w:val="24"/>
          <w:highlight w:val="none"/>
        </w:rPr>
        <w:t>2.3.1</w:t>
      </w:r>
      <w:r>
        <w:rPr>
          <w:rFonts w:hint="eastAsia" w:ascii="宋体" w:hAnsi="宋体"/>
          <w:color w:val="auto"/>
          <w:sz w:val="24"/>
          <w:highlight w:val="none"/>
        </w:rPr>
        <w:t>招标文件的澄清或修改在</w:t>
      </w:r>
      <w:r>
        <w:rPr>
          <w:rFonts w:hint="eastAsia" w:ascii="宋体" w:hAnsi="宋体"/>
          <w:bCs/>
          <w:color w:val="auto"/>
          <w:sz w:val="24"/>
          <w:szCs w:val="24"/>
          <w:highlight w:val="none"/>
          <w:u w:val="single"/>
        </w:rPr>
        <w:t>广州交易集团有限公司（广州公共资源交易中心）</w:t>
      </w:r>
      <w:r>
        <w:rPr>
          <w:rFonts w:hint="eastAsia" w:ascii="宋体" w:hAnsi="宋体"/>
          <w:color w:val="auto"/>
          <w:sz w:val="24"/>
          <w:highlight w:val="none"/>
        </w:rPr>
        <w:t>交易平台发布。招标文件的澄清或修改一经在</w:t>
      </w:r>
      <w:r>
        <w:rPr>
          <w:rFonts w:hint="eastAsia" w:ascii="宋体" w:hAnsi="宋体"/>
          <w:bCs/>
          <w:color w:val="auto"/>
          <w:sz w:val="24"/>
          <w:szCs w:val="24"/>
          <w:highlight w:val="none"/>
          <w:u w:val="single"/>
        </w:rPr>
        <w:t>广州交易集团有限公司（广州公共资源交易中心）</w:t>
      </w:r>
      <w:r>
        <w:rPr>
          <w:rFonts w:hint="eastAsia" w:ascii="宋体" w:hAnsi="宋体"/>
          <w:color w:val="auto"/>
          <w:sz w:val="24"/>
          <w:highlight w:val="none"/>
        </w:rPr>
        <w:t>交易平台发布，视作已发放给所有投标人。</w:t>
      </w:r>
    </w:p>
    <w:p>
      <w:pPr>
        <w:spacing w:line="360" w:lineRule="auto"/>
        <w:ind w:firstLine="480" w:firstLineChars="200"/>
        <w:rPr>
          <w:rFonts w:ascii="宋体" w:hAnsi="宋体"/>
          <w:color w:val="auto"/>
          <w:sz w:val="24"/>
          <w:highlight w:val="none"/>
        </w:rPr>
      </w:pPr>
      <w:r>
        <w:rPr>
          <w:rFonts w:ascii="宋体" w:hAnsi="宋体"/>
          <w:bCs/>
          <w:color w:val="auto"/>
          <w:sz w:val="24"/>
          <w:highlight w:val="none"/>
        </w:rPr>
        <w:t>2.3.2</w:t>
      </w:r>
      <w:r>
        <w:rPr>
          <w:rFonts w:hint="eastAsia" w:ascii="宋体" w:hAnsi="宋体"/>
          <w:color w:val="auto"/>
          <w:sz w:val="24"/>
          <w:highlight w:val="none"/>
        </w:rPr>
        <w:t>招标文件的澄清、修改作为招标文件的组成部分，具有约束作用。</w:t>
      </w:r>
    </w:p>
    <w:p>
      <w:pPr>
        <w:pStyle w:val="39"/>
        <w:spacing w:before="50" w:after="50" w:line="360" w:lineRule="auto"/>
        <w:ind w:firstLine="480" w:firstLineChars="200"/>
        <w:rPr>
          <w:rFonts w:ascii="宋体" w:hAnsi="宋体" w:eastAsia="宋体"/>
          <w:color w:val="auto"/>
          <w:kern w:val="2"/>
          <w:sz w:val="24"/>
          <w:szCs w:val="22"/>
          <w:highlight w:val="none"/>
        </w:rPr>
      </w:pPr>
      <w:r>
        <w:rPr>
          <w:rFonts w:ascii="宋体" w:hAnsi="宋体" w:eastAsia="宋体"/>
          <w:color w:val="auto"/>
          <w:kern w:val="2"/>
          <w:sz w:val="24"/>
          <w:szCs w:val="22"/>
          <w:highlight w:val="none"/>
        </w:rPr>
        <w:t>2.3.3</w:t>
      </w:r>
      <w:r>
        <w:rPr>
          <w:rFonts w:hint="eastAsia" w:ascii="宋体" w:hAnsi="宋体" w:eastAsia="宋体"/>
          <w:color w:val="auto"/>
          <w:kern w:val="2"/>
          <w:sz w:val="24"/>
          <w:szCs w:val="22"/>
          <w:highlight w:val="none"/>
        </w:rPr>
        <w:t>招标文件的澄清、修改均以</w:t>
      </w:r>
      <w:r>
        <w:rPr>
          <w:rFonts w:hint="eastAsia" w:ascii="宋体" w:hAnsi="宋体" w:eastAsia="宋体"/>
          <w:bCs w:val="0"/>
          <w:color w:val="auto"/>
          <w:kern w:val="2"/>
          <w:sz w:val="24"/>
          <w:szCs w:val="22"/>
          <w:highlight w:val="none"/>
          <w:u w:val="single"/>
        </w:rPr>
        <w:t>广州交易集团有限公司（广州公共资源交易中心）</w:t>
      </w:r>
      <w:r>
        <w:rPr>
          <w:rFonts w:hint="eastAsia" w:ascii="宋体" w:hAnsi="宋体" w:eastAsia="宋体"/>
          <w:color w:val="auto"/>
          <w:kern w:val="2"/>
          <w:sz w:val="24"/>
          <w:szCs w:val="22"/>
          <w:highlight w:val="none"/>
        </w:rPr>
        <w:t>交易平台发布的内容为准。当招标文件的澄清、修改在同一内容的表述不一致时，以广州交易集团有限公司（广州公共资源交易中心）交易平台最后发布的内容为准。</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2.3.</w:t>
      </w:r>
      <w:r>
        <w:rPr>
          <w:rFonts w:hint="eastAsia" w:ascii="宋体" w:hAnsi="宋体"/>
          <w:color w:val="auto"/>
          <w:sz w:val="24"/>
          <w:highlight w:val="none"/>
        </w:rPr>
        <w:t>4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pPr>
        <w:pStyle w:val="3"/>
        <w:rPr>
          <w:rFonts w:ascii="宋体" w:hAnsi="宋体"/>
          <w:color w:val="auto"/>
          <w:highlight w:val="none"/>
        </w:rPr>
      </w:pPr>
      <w:bookmarkStart w:id="31" w:name="_Toc21787646"/>
      <w:r>
        <w:rPr>
          <w:rFonts w:hint="eastAsia" w:ascii="宋体" w:hAnsi="宋体"/>
          <w:color w:val="auto"/>
          <w:highlight w:val="none"/>
        </w:rPr>
        <w:t>投标文件</w:t>
      </w:r>
      <w:bookmarkEnd w:id="31"/>
    </w:p>
    <w:p>
      <w:pPr>
        <w:widowControl/>
        <w:numPr>
          <w:ilvl w:val="0"/>
          <w:numId w:val="11"/>
        </w:numPr>
        <w:spacing w:line="360" w:lineRule="auto"/>
        <w:ind w:left="959"/>
        <w:jc w:val="left"/>
        <w:outlineLvl w:val="2"/>
        <w:rPr>
          <w:rFonts w:ascii="宋体" w:hAnsi="宋体"/>
          <w:b/>
          <w:color w:val="auto"/>
          <w:sz w:val="28"/>
          <w:szCs w:val="28"/>
          <w:highlight w:val="none"/>
        </w:rPr>
      </w:pPr>
      <w:bookmarkStart w:id="32" w:name="_Toc21787647"/>
      <w:r>
        <w:rPr>
          <w:rFonts w:hint="eastAsia" w:ascii="宋体" w:hAnsi="宋体"/>
          <w:b/>
          <w:color w:val="auto"/>
          <w:sz w:val="28"/>
          <w:szCs w:val="28"/>
          <w:highlight w:val="none"/>
        </w:rPr>
        <w:t>投标文件的组成</w:t>
      </w:r>
      <w:bookmarkEnd w:id="32"/>
    </w:p>
    <w:p>
      <w:pPr>
        <w:pStyle w:val="39"/>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投标文件应包括下列内容：</w:t>
      </w:r>
    </w:p>
    <w:p>
      <w:pPr>
        <w:pStyle w:val="39"/>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（1）投标函及投标函附录；</w:t>
      </w:r>
    </w:p>
    <w:p>
      <w:pPr>
        <w:pStyle w:val="39"/>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（2）法定代表人身份证明或附有法定代表人身份证明的授权委托书；</w:t>
      </w:r>
    </w:p>
    <w:p>
      <w:pPr>
        <w:pStyle w:val="39"/>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（3）联合体协议书（注：非联合体投标无需提交）；</w:t>
      </w:r>
    </w:p>
    <w:p>
      <w:pPr>
        <w:pStyle w:val="39"/>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（4）投标保证金；</w:t>
      </w:r>
    </w:p>
    <w:p>
      <w:pPr>
        <w:pStyle w:val="39"/>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（5）已标价工程量清单；</w:t>
      </w:r>
    </w:p>
    <w:p>
      <w:pPr>
        <w:pStyle w:val="39"/>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 xml:space="preserve">（6）施工组织设计（不要求技术标的可不编制，提交施工组织设计要点）； </w:t>
      </w:r>
    </w:p>
    <w:p>
      <w:pPr>
        <w:pStyle w:val="39"/>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（7）项目管理机构；</w:t>
      </w:r>
    </w:p>
    <w:p>
      <w:pPr>
        <w:pStyle w:val="39"/>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（8）资格审查资料；</w:t>
      </w:r>
    </w:p>
    <w:p>
      <w:pPr>
        <w:pStyle w:val="39"/>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（9）投标人声明</w:t>
      </w:r>
    </w:p>
    <w:p>
      <w:pPr>
        <w:pStyle w:val="39"/>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（10）其他应</w:t>
      </w:r>
      <w:bookmarkStart w:id="33" w:name="_Toc101777614"/>
      <w:bookmarkStart w:id="34" w:name="_Toc262229165"/>
      <w:r>
        <w:rPr>
          <w:rFonts w:hint="eastAsia" w:ascii="宋体" w:hAnsi="宋体" w:eastAsia="宋体"/>
          <w:color w:val="auto"/>
          <w:sz w:val="24"/>
          <w:highlight w:val="none"/>
        </w:rPr>
        <w:t>提交的材料。</w:t>
      </w:r>
      <w:bookmarkEnd w:id="33"/>
      <w:bookmarkEnd w:id="34"/>
    </w:p>
    <w:p>
      <w:pPr>
        <w:widowControl/>
        <w:numPr>
          <w:ilvl w:val="0"/>
          <w:numId w:val="11"/>
        </w:numPr>
        <w:spacing w:line="360" w:lineRule="auto"/>
        <w:ind w:left="959"/>
        <w:jc w:val="left"/>
        <w:outlineLvl w:val="2"/>
        <w:rPr>
          <w:rFonts w:ascii="宋体" w:hAnsi="宋体"/>
          <w:b/>
          <w:color w:val="auto"/>
          <w:sz w:val="28"/>
          <w:szCs w:val="28"/>
          <w:highlight w:val="none"/>
        </w:rPr>
      </w:pPr>
      <w:bookmarkStart w:id="35" w:name="_Toc21787648"/>
      <w:r>
        <w:rPr>
          <w:rFonts w:hint="eastAsia" w:ascii="宋体" w:hAnsi="宋体"/>
          <w:b/>
          <w:color w:val="auto"/>
          <w:sz w:val="28"/>
          <w:szCs w:val="28"/>
          <w:highlight w:val="none"/>
        </w:rPr>
        <w:t>投标报价</w:t>
      </w:r>
      <w:bookmarkEnd w:id="35"/>
    </w:p>
    <w:p>
      <w:pPr>
        <w:pStyle w:val="39"/>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3.2.1 投标人应按第五章“工程量清单”的要求填写相应表格（注：此条不适用于综合评估法三）。</w:t>
      </w:r>
    </w:p>
    <w:p>
      <w:pPr>
        <w:pStyle w:val="39"/>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3.2.2 投标人在投标截止时间前修改投标函中的投标报价总额，应同时修改“已标价工程量清单”中的相应报价，投标报价总额为各分项金额之和。此修改须符合本章第4.3款的有关要求。（注：适用于综合评估法一、综合评估法二、经评审最低价法）</w:t>
      </w:r>
    </w:p>
    <w:p>
      <w:pPr>
        <w:pStyle w:val="39"/>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3.2.2投标人在投标截止时间前修改投标函中的投标报价总额，并根据评标办法列明的方法重新计算投标单价下浮率。此修改须符合本章第4.3款的有关要求。（注：适用于综合评估法三）</w:t>
      </w:r>
    </w:p>
    <w:p>
      <w:pPr>
        <w:pStyle w:val="39"/>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3.2.3投标人的投标报价不得超过最高投标限价，最高投标限价见投标人须知前附表。</w:t>
      </w:r>
    </w:p>
    <w:p>
      <w:pPr>
        <w:pStyle w:val="39"/>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3.2.4成本警示价见投标人须知前附表。对低于该警示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示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widowControl/>
        <w:numPr>
          <w:ilvl w:val="0"/>
          <w:numId w:val="11"/>
        </w:numPr>
        <w:spacing w:line="360" w:lineRule="auto"/>
        <w:ind w:left="959"/>
        <w:jc w:val="left"/>
        <w:outlineLvl w:val="2"/>
        <w:rPr>
          <w:rFonts w:ascii="宋体" w:hAnsi="宋体"/>
          <w:b/>
          <w:color w:val="auto"/>
          <w:sz w:val="28"/>
          <w:szCs w:val="28"/>
          <w:highlight w:val="none"/>
        </w:rPr>
      </w:pPr>
      <w:bookmarkStart w:id="36" w:name="_Toc21787649"/>
      <w:r>
        <w:rPr>
          <w:rFonts w:hint="eastAsia" w:ascii="宋体" w:hAnsi="宋体"/>
          <w:b/>
          <w:color w:val="auto"/>
          <w:sz w:val="28"/>
          <w:szCs w:val="28"/>
          <w:highlight w:val="none"/>
        </w:rPr>
        <w:t>投标有效期</w:t>
      </w:r>
      <w:bookmarkEnd w:id="36"/>
    </w:p>
    <w:p>
      <w:pPr>
        <w:pStyle w:val="39"/>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3.3.1除投标人须知前附表另外有规定外，投标有效期为60天。</w:t>
      </w:r>
    </w:p>
    <w:p>
      <w:pPr>
        <w:pStyle w:val="39"/>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3.3.2在投标有效期内，投标人撤销或修改其投标文件的，应承担招标文件和法律规定的责任。</w:t>
      </w:r>
    </w:p>
    <w:p>
      <w:pPr>
        <w:pStyle w:val="39"/>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3.3.3</w:t>
      </w:r>
      <w:r>
        <w:rPr>
          <w:rFonts w:ascii="宋体" w:hAnsi="宋体" w:eastAsia="宋体"/>
          <w:color w:val="auto"/>
          <w:sz w:val="24"/>
          <w:highlight w:val="none"/>
        </w:rPr>
        <w:t>出现特殊情况需要延长投标有效期的，招标人以书面形式通知所有投标人延长投标有效期。投标人同意延长的，应相应延长其投标担保的有效期，但不得要求或被允许修改或撤销其投标文件；投标人拒绝延长的，其投标失效，但投标人有权收回其投标担保。</w:t>
      </w:r>
    </w:p>
    <w:p>
      <w:pPr>
        <w:widowControl/>
        <w:numPr>
          <w:ilvl w:val="0"/>
          <w:numId w:val="11"/>
        </w:numPr>
        <w:spacing w:line="360" w:lineRule="auto"/>
        <w:ind w:left="959"/>
        <w:jc w:val="left"/>
        <w:outlineLvl w:val="2"/>
        <w:rPr>
          <w:rFonts w:ascii="宋体" w:hAnsi="宋体"/>
          <w:b/>
          <w:color w:val="auto"/>
          <w:sz w:val="28"/>
          <w:szCs w:val="28"/>
          <w:highlight w:val="none"/>
        </w:rPr>
      </w:pPr>
      <w:bookmarkStart w:id="37" w:name="_Toc21787650"/>
      <w:r>
        <w:rPr>
          <w:rFonts w:hint="eastAsia" w:ascii="宋体" w:hAnsi="宋体"/>
          <w:b/>
          <w:color w:val="auto"/>
          <w:sz w:val="28"/>
          <w:szCs w:val="28"/>
          <w:highlight w:val="none"/>
        </w:rPr>
        <w:t>投标保证金</w:t>
      </w:r>
      <w:bookmarkEnd w:id="37"/>
    </w:p>
    <w:p>
      <w:pPr>
        <w:pStyle w:val="39"/>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3.4.1投标人应按投标须知前附表规定的金额和时间递交投标保证金。投标保证金以现金或者支票形式提交的，必须由投标人的银行基本账户转出。投标人如采用投标保函或投标保证保险的形式递交的，须在投标截止前单独密封递交至开标室。联合体投标的，其投标担保可以由牵头人递交，并应符合投标人须知前附表的规定。</w:t>
      </w:r>
    </w:p>
    <w:p>
      <w:pPr>
        <w:pStyle w:val="39"/>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3.4</w:t>
      </w:r>
      <w:r>
        <w:rPr>
          <w:rFonts w:hint="eastAsia" w:ascii="宋体" w:hAnsi="宋体" w:eastAsia="宋体"/>
          <w:color w:val="auto"/>
          <w:sz w:val="24"/>
          <w:highlight w:val="none"/>
        </w:rPr>
        <w:t>.2招标人可委托广州交易集团有限公司（广州公共资源交易中心）交易平台具体实施保证金的收取和退还工作。通过广州交易集团有限公司（广州公共资源交易中心）交易平台递交投标保证金的相关事宜，请自行咨询广州交易集团有限公司（广州公共资源交易中心）交易平台。广州交易集团有限公司（广州公共资源交易中心）交易平台代收投标保证金的，其缴纳情况以广州交易集团有限公司（广州公共资源交易中心）交易平台数据库记录的信息为准。（注：适用于广州交易集团有限公司（广州公共资源交易中心）交易平台代收投标保证金）</w:t>
      </w:r>
    </w:p>
    <w:p>
      <w:pPr>
        <w:pStyle w:val="39"/>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3.4.2投标人应按照第八章“投标文件格式”规定的投标保证金格式（或银行规定的格式）提供投标保函，提交投标保函的彩色扫描件，并作为其投标文件的组成部分。（注：适用于投标保证金采用投标保函的形式）</w:t>
      </w:r>
    </w:p>
    <w:p>
      <w:pPr>
        <w:pStyle w:val="39"/>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3.4.2投标人应将提交投标保证金的银行汇款或转账凭证的彩色扫描件，（必须清晰可辨）并作为其投标文件的组成部分。采用网上银行汇款或转账的，其网上银行系统提供的汇款或转账凭证必须经投标人的基本存款账户开户银行加盖确认章后方为有效。（注：适用于招标人自行收取的形式）</w:t>
      </w:r>
    </w:p>
    <w:p>
      <w:pPr>
        <w:pStyle w:val="39"/>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3.4</w:t>
      </w:r>
      <w:r>
        <w:rPr>
          <w:rFonts w:hint="eastAsia" w:ascii="宋体" w:hAnsi="宋体" w:eastAsia="宋体"/>
          <w:color w:val="auto"/>
          <w:sz w:val="24"/>
          <w:highlight w:val="none"/>
        </w:rPr>
        <w:t>.3开标时投标人未按本须知第3.4.1条规定提交投标保证金的，评标委员会将否决其投标。</w:t>
      </w:r>
    </w:p>
    <w:p>
      <w:pPr>
        <w:pStyle w:val="39"/>
        <w:spacing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3.4</w:t>
      </w:r>
      <w:r>
        <w:rPr>
          <w:rFonts w:hint="eastAsia" w:ascii="宋体" w:hAnsi="宋体" w:eastAsia="宋体"/>
          <w:color w:val="auto"/>
          <w:sz w:val="24"/>
          <w:highlight w:val="none"/>
        </w:rPr>
        <w:t>.4中标候选人以外的投标人的投标保证金将尽快退还，最迟不超过中标通知书发出之日起五日内。</w:t>
      </w:r>
    </w:p>
    <w:p>
      <w:pPr>
        <w:pStyle w:val="39"/>
        <w:spacing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3.4</w:t>
      </w:r>
      <w:r>
        <w:rPr>
          <w:rFonts w:hint="eastAsia" w:ascii="宋体" w:hAnsi="宋体" w:eastAsia="宋体"/>
          <w:color w:val="auto"/>
          <w:sz w:val="24"/>
          <w:highlight w:val="none"/>
        </w:rPr>
        <w:t>.5中标人和其他中标候选人的投标保证金，在书面合同订立之日起五日内予以退还。</w:t>
      </w:r>
    </w:p>
    <w:p>
      <w:pPr>
        <w:pStyle w:val="39"/>
        <w:spacing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3.4</w:t>
      </w:r>
      <w:r>
        <w:rPr>
          <w:rFonts w:hint="eastAsia" w:ascii="宋体" w:hAnsi="宋体" w:eastAsia="宋体"/>
          <w:color w:val="auto"/>
          <w:sz w:val="24"/>
          <w:highlight w:val="none"/>
        </w:rPr>
        <w:t>.6有下列情形之一的，投标保证金将不予退还：</w:t>
      </w:r>
    </w:p>
    <w:p>
      <w:pPr>
        <w:pStyle w:val="39"/>
        <w:spacing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3.4</w:t>
      </w:r>
      <w:r>
        <w:rPr>
          <w:rFonts w:hint="eastAsia" w:ascii="宋体" w:hAnsi="宋体" w:eastAsia="宋体"/>
          <w:color w:val="auto"/>
          <w:sz w:val="24"/>
          <w:highlight w:val="none"/>
        </w:rPr>
        <w:t>.6.1因投标人原因造成投标文件未解密的；</w:t>
      </w:r>
    </w:p>
    <w:p>
      <w:pPr>
        <w:pStyle w:val="39"/>
        <w:spacing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3.4</w:t>
      </w:r>
      <w:r>
        <w:rPr>
          <w:rFonts w:hint="eastAsia" w:ascii="宋体" w:hAnsi="宋体" w:eastAsia="宋体"/>
          <w:color w:val="auto"/>
          <w:sz w:val="24"/>
          <w:highlight w:val="none"/>
        </w:rPr>
        <w:t>.6.2投标人在规定的投标有效期内撤回其投标文件；</w:t>
      </w:r>
    </w:p>
    <w:p>
      <w:pPr>
        <w:pStyle w:val="39"/>
        <w:spacing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3.4</w:t>
      </w:r>
      <w:r>
        <w:rPr>
          <w:rFonts w:hint="eastAsia" w:ascii="宋体" w:hAnsi="宋体" w:eastAsia="宋体"/>
          <w:color w:val="auto"/>
          <w:sz w:val="24"/>
          <w:highlight w:val="none"/>
        </w:rPr>
        <w:t>.6.3中标人未能在规定期限内按要求提交履约担保；</w:t>
      </w:r>
    </w:p>
    <w:p>
      <w:pPr>
        <w:pStyle w:val="39"/>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3.4</w:t>
      </w:r>
      <w:r>
        <w:rPr>
          <w:rFonts w:hint="eastAsia" w:ascii="宋体" w:hAnsi="宋体" w:eastAsia="宋体"/>
          <w:color w:val="auto"/>
          <w:sz w:val="24"/>
          <w:highlight w:val="none"/>
        </w:rPr>
        <w:t>.6.4中标人未能在规定期限内签署合同协议。</w:t>
      </w:r>
    </w:p>
    <w:p>
      <w:pPr>
        <w:widowControl/>
        <w:numPr>
          <w:ilvl w:val="0"/>
          <w:numId w:val="11"/>
        </w:numPr>
        <w:spacing w:line="360" w:lineRule="auto"/>
        <w:ind w:left="959"/>
        <w:jc w:val="left"/>
        <w:outlineLvl w:val="2"/>
        <w:rPr>
          <w:rFonts w:ascii="宋体" w:hAnsi="宋体"/>
          <w:b/>
          <w:color w:val="auto"/>
          <w:sz w:val="28"/>
          <w:szCs w:val="28"/>
          <w:highlight w:val="none"/>
        </w:rPr>
      </w:pPr>
      <w:bookmarkStart w:id="38" w:name="_Toc21787651"/>
      <w:r>
        <w:rPr>
          <w:rFonts w:hint="eastAsia" w:ascii="宋体" w:hAnsi="宋体"/>
          <w:b/>
          <w:color w:val="auto"/>
          <w:sz w:val="28"/>
          <w:szCs w:val="28"/>
          <w:highlight w:val="none"/>
        </w:rPr>
        <w:t>资格审查资料</w:t>
      </w:r>
      <w:bookmarkEnd w:id="38"/>
    </w:p>
    <w:p>
      <w:pPr>
        <w:pStyle w:val="39"/>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3.5.1投标人声明；</w:t>
      </w:r>
    </w:p>
    <w:p>
      <w:pPr>
        <w:pStyle w:val="39"/>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3.5.2法定代表人证明书、法定代表人签字或盖章的本投标文件授权委托证明书；</w:t>
      </w:r>
    </w:p>
    <w:p>
      <w:pPr>
        <w:pStyle w:val="39"/>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3.5.3“投标人基本情况表”应附投标人企业营业执照、企业资质证书和建筑施工企业安全生产许可证等；</w:t>
      </w:r>
    </w:p>
    <w:p>
      <w:pPr>
        <w:pStyle w:val="39"/>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3.5.4项目负责人的建造师证（或小型项目负责人相关证明）和安全培训考核合格证明或在有效期内的安全考核合格证书（B类）；</w:t>
      </w:r>
    </w:p>
    <w:p>
      <w:pPr>
        <w:pStyle w:val="39"/>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3.5.5专职安全员须具有在有效期内的安全考核合格证书（C类）；</w:t>
      </w:r>
    </w:p>
    <w:p>
      <w:pPr>
        <w:pStyle w:val="39"/>
        <w:spacing w:after="0" w:line="360" w:lineRule="auto"/>
        <w:ind w:firstLine="480" w:firstLineChars="200"/>
        <w:rPr>
          <w:rFonts w:ascii="宋体" w:hAnsi="宋体" w:eastAsia="宋体"/>
          <w:i/>
          <w:color w:val="auto"/>
          <w:sz w:val="24"/>
          <w:highlight w:val="none"/>
        </w:rPr>
      </w:pPr>
      <w:r>
        <w:rPr>
          <w:rFonts w:hint="eastAsia" w:ascii="宋体" w:hAnsi="宋体" w:eastAsia="宋体"/>
          <w:color w:val="auto"/>
          <w:sz w:val="24"/>
          <w:highlight w:val="none"/>
        </w:rPr>
        <w:t>3.5.6 “近年完成的类似项目情况表”应按照投标前附表的要求附中标通知书、施工合同、单位工程验收鉴定书（或合同工程完工验收鉴定书或工程竣工验收鉴定书）纸质原件的扫描件。每张表格只填写一个项目，并标明序号。</w:t>
      </w:r>
    </w:p>
    <w:p>
      <w:pPr>
        <w:pStyle w:val="39"/>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3.5.7授权的委托代理人及项目部主要组成人员（项目负责人、技术负责人（如有）、专职安全员）在本单位交纳的社保证明文件（以加盖社会保险基金管理中心印章的《投保单》或《社会保险参保人员证明》资料为准）。</w:t>
      </w:r>
    </w:p>
    <w:p>
      <w:pPr>
        <w:pStyle w:val="39"/>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3.5.8投标人须知前附表规定接受联合体投标的，本章第3.5.1项至第3.5.6项规定的表格和资料应包括联合体各方相关情况。</w:t>
      </w:r>
    </w:p>
    <w:p>
      <w:pPr>
        <w:widowControl/>
        <w:numPr>
          <w:ilvl w:val="0"/>
          <w:numId w:val="11"/>
        </w:numPr>
        <w:spacing w:line="360" w:lineRule="auto"/>
        <w:ind w:left="959"/>
        <w:jc w:val="left"/>
        <w:outlineLvl w:val="2"/>
        <w:rPr>
          <w:rFonts w:ascii="宋体" w:hAnsi="宋体"/>
          <w:b/>
          <w:color w:val="auto"/>
          <w:sz w:val="28"/>
          <w:szCs w:val="28"/>
          <w:highlight w:val="none"/>
        </w:rPr>
      </w:pPr>
      <w:bookmarkStart w:id="39" w:name="_Toc21787652"/>
      <w:r>
        <w:rPr>
          <w:rFonts w:hint="eastAsia" w:ascii="宋体" w:hAnsi="宋体"/>
          <w:b/>
          <w:color w:val="auto"/>
          <w:sz w:val="28"/>
          <w:szCs w:val="28"/>
          <w:highlight w:val="none"/>
        </w:rPr>
        <w:t>投标文件的编制</w:t>
      </w:r>
      <w:bookmarkEnd w:id="39"/>
    </w:p>
    <w:p>
      <w:pPr>
        <w:spacing w:line="360" w:lineRule="auto"/>
        <w:ind w:firstLine="470" w:firstLineChars="196"/>
        <w:rPr>
          <w:rFonts w:ascii="宋体" w:hAnsi="宋体"/>
          <w:bCs/>
          <w:color w:val="auto"/>
          <w:kern w:val="0"/>
          <w:sz w:val="24"/>
          <w:szCs w:val="24"/>
          <w:highlight w:val="none"/>
        </w:rPr>
      </w:pPr>
      <w:r>
        <w:rPr>
          <w:rFonts w:hint="eastAsia" w:ascii="宋体" w:hAnsi="宋体"/>
          <w:color w:val="auto"/>
          <w:sz w:val="24"/>
          <w:szCs w:val="24"/>
          <w:highlight w:val="none"/>
        </w:rPr>
        <w:t>3.6.1投标文件应当对招标文件有关招标范围、投标有效期、工期、质量</w:t>
      </w:r>
      <w:r>
        <w:rPr>
          <w:rFonts w:hint="eastAsia" w:ascii="宋体" w:hAnsi="宋体"/>
          <w:bCs/>
          <w:color w:val="auto"/>
          <w:kern w:val="0"/>
          <w:sz w:val="24"/>
          <w:szCs w:val="24"/>
          <w:highlight w:val="none"/>
        </w:rPr>
        <w:t>要求、发包人要求等实质性内容作出响应。</w:t>
      </w:r>
    </w:p>
    <w:p>
      <w:pPr>
        <w:spacing w:line="360" w:lineRule="auto"/>
        <w:ind w:firstLine="470" w:firstLineChars="196"/>
        <w:rPr>
          <w:rFonts w:ascii="宋体" w:hAnsi="宋体"/>
          <w:bCs/>
          <w:color w:val="auto"/>
          <w:kern w:val="0"/>
          <w:sz w:val="24"/>
          <w:szCs w:val="24"/>
          <w:highlight w:val="none"/>
        </w:rPr>
      </w:pPr>
      <w:r>
        <w:rPr>
          <w:rFonts w:hint="eastAsia" w:ascii="宋体" w:hAnsi="宋体"/>
          <w:bCs/>
          <w:color w:val="auto"/>
          <w:kern w:val="0"/>
          <w:sz w:val="24"/>
          <w:szCs w:val="24"/>
          <w:highlight w:val="none"/>
        </w:rPr>
        <w:t>3.6.2投标文件包括本须知3.1中规定的内容，投标人提交的投标文件应当使用招标文件所提供的投标文件全部格式（表格可以按同样格式扩展）。</w:t>
      </w:r>
    </w:p>
    <w:p>
      <w:pPr>
        <w:pStyle w:val="39"/>
        <w:spacing w:after="0" w:line="360" w:lineRule="auto"/>
        <w:ind w:firstLine="480" w:firstLineChars="200"/>
        <w:rPr>
          <w:rFonts w:ascii="宋体" w:hAnsi="宋体" w:eastAsia="宋体"/>
          <w:bCs/>
          <w:color w:val="auto"/>
          <w:sz w:val="24"/>
          <w:szCs w:val="24"/>
          <w:highlight w:val="none"/>
        </w:rPr>
      </w:pPr>
      <w:r>
        <w:rPr>
          <w:rFonts w:hint="eastAsia" w:ascii="宋体" w:hAnsi="宋体" w:eastAsia="宋体"/>
          <w:bCs/>
          <w:color w:val="auto"/>
          <w:sz w:val="24"/>
          <w:szCs w:val="24"/>
          <w:highlight w:val="none"/>
        </w:rPr>
        <w:t>3.6.3联合体投标时，联合体共同投标协议、投标申请人声明需联合体各方按要求共同盖章签字，其余可由联合体主办方签字、盖章即可，由联合体主办方法人签字的电子投标文件需提供牵头主办方法定代表人证明书，若由联合体主办方法定代表人授权签字的电子投标文件需提供法定代表人证明书及其授权委托书、授权委托人身份证复印件。</w:t>
      </w:r>
    </w:p>
    <w:p>
      <w:pPr>
        <w:spacing w:line="360" w:lineRule="auto"/>
        <w:ind w:firstLine="480" w:firstLineChars="200"/>
        <w:rPr>
          <w:rFonts w:ascii="宋体" w:hAnsi="宋体"/>
          <w:bCs/>
          <w:color w:val="auto"/>
          <w:sz w:val="24"/>
          <w:szCs w:val="24"/>
          <w:highlight w:val="none"/>
        </w:rPr>
      </w:pPr>
      <w:r>
        <w:rPr>
          <w:rFonts w:hint="eastAsia" w:ascii="宋体" w:hAnsi="宋体"/>
          <w:color w:val="auto"/>
          <w:sz w:val="24"/>
          <w:szCs w:val="24"/>
          <w:highlight w:val="none"/>
        </w:rPr>
        <w:t>3.6.4</w:t>
      </w:r>
      <w:r>
        <w:rPr>
          <w:rFonts w:hint="eastAsia" w:ascii="宋体" w:hAnsi="宋体"/>
          <w:bCs/>
          <w:color w:val="auto"/>
          <w:sz w:val="24"/>
          <w:szCs w:val="24"/>
          <w:highlight w:val="none"/>
        </w:rPr>
        <w:t>投标文件全部采用电子文档，投标文件所附证书证件均为纸质原件的扫描件，</w:t>
      </w:r>
      <w:r>
        <w:rPr>
          <w:rFonts w:hint="eastAsia" w:ascii="宋体" w:hAnsi="宋体"/>
          <w:color w:val="auto"/>
          <w:sz w:val="24"/>
          <w:highlight w:val="none"/>
        </w:rPr>
        <w:t>并采用单位数字证书，按招标文件要求在相应位置加盖电子印章。签字或盖章的具体要求见投标人须知前附表。</w:t>
      </w:r>
    </w:p>
    <w:p>
      <w:pPr>
        <w:spacing w:line="360" w:lineRule="auto"/>
        <w:ind w:firstLine="480" w:firstLineChars="200"/>
        <w:rPr>
          <w:rFonts w:ascii="宋体" w:hAnsi="宋体"/>
          <w:bCs/>
          <w:color w:val="auto"/>
          <w:sz w:val="24"/>
          <w:szCs w:val="24"/>
          <w:highlight w:val="none"/>
        </w:rPr>
      </w:pPr>
      <w:r>
        <w:rPr>
          <w:rFonts w:hint="eastAsia" w:ascii="宋体" w:hAnsi="宋体"/>
          <w:color w:val="auto"/>
          <w:sz w:val="24"/>
          <w:szCs w:val="24"/>
          <w:highlight w:val="none"/>
        </w:rPr>
        <w:t>3.6.5</w:t>
      </w:r>
      <w:r>
        <w:rPr>
          <w:rFonts w:hint="eastAsia" w:ascii="宋体" w:hAnsi="宋体"/>
          <w:bCs/>
          <w:color w:val="auto"/>
          <w:sz w:val="24"/>
          <w:szCs w:val="24"/>
          <w:highlight w:val="none"/>
        </w:rPr>
        <w:t>投标文件应按</w:t>
      </w:r>
      <w:r>
        <w:rPr>
          <w:rFonts w:hint="eastAsia" w:ascii="宋体" w:hAnsi="宋体"/>
          <w:color w:val="auto"/>
          <w:sz w:val="24"/>
          <w:highlight w:val="none"/>
        </w:rPr>
        <w:t>照</w:t>
      </w:r>
      <w:r>
        <w:rPr>
          <w:rFonts w:hint="eastAsia" w:ascii="宋体" w:hAnsi="宋体"/>
          <w:color w:val="auto"/>
          <w:sz w:val="24"/>
          <w:szCs w:val="24"/>
          <w:highlight w:val="none"/>
        </w:rPr>
        <w:t>广州公共资源</w:t>
      </w:r>
      <w:r>
        <w:rPr>
          <w:rFonts w:hint="eastAsia" w:ascii="宋体" w:hAnsi="宋体"/>
          <w:color w:val="auto"/>
          <w:sz w:val="24"/>
          <w:highlight w:val="none"/>
        </w:rPr>
        <w:t>交易平台关于全流程电子化项目的相关指南进行编制。</w:t>
      </w:r>
      <w:r>
        <w:rPr>
          <w:rFonts w:hint="eastAsia" w:ascii="宋体" w:hAnsi="宋体"/>
          <w:bCs/>
          <w:color w:val="auto"/>
          <w:sz w:val="24"/>
          <w:szCs w:val="24"/>
          <w:highlight w:val="none"/>
        </w:rPr>
        <w:t>如因不按上述编排要求编制而所引起系统无法检索、读取相关信息时，其后果将由投标人自行承担。</w:t>
      </w:r>
    </w:p>
    <w:p>
      <w:pPr>
        <w:pStyle w:val="3"/>
        <w:rPr>
          <w:rFonts w:ascii="宋体" w:hAnsi="宋体"/>
          <w:color w:val="auto"/>
          <w:highlight w:val="none"/>
        </w:rPr>
      </w:pPr>
      <w:bookmarkStart w:id="40" w:name="_Toc17471890"/>
      <w:bookmarkEnd w:id="40"/>
      <w:bookmarkStart w:id="41" w:name="_Toc17471889"/>
      <w:bookmarkEnd w:id="41"/>
      <w:bookmarkStart w:id="42" w:name="_Toc21787653"/>
      <w:r>
        <w:rPr>
          <w:rFonts w:hint="eastAsia" w:ascii="宋体" w:hAnsi="宋体"/>
          <w:color w:val="auto"/>
          <w:highlight w:val="none"/>
        </w:rPr>
        <w:t>投标</w:t>
      </w:r>
      <w:bookmarkEnd w:id="42"/>
    </w:p>
    <w:p>
      <w:pPr>
        <w:widowControl/>
        <w:numPr>
          <w:ilvl w:val="1"/>
          <w:numId w:val="1"/>
        </w:numPr>
        <w:shd w:val="clear" w:color="auto" w:fill="FFFFFF"/>
        <w:snapToGrid w:val="0"/>
        <w:spacing w:line="360" w:lineRule="auto"/>
        <w:ind w:left="759" w:hanging="759" w:hangingChars="270"/>
        <w:outlineLvl w:val="2"/>
        <w:rPr>
          <w:rFonts w:ascii="宋体" w:hAnsi="宋体"/>
          <w:b/>
          <w:color w:val="auto"/>
          <w:sz w:val="28"/>
          <w:szCs w:val="28"/>
          <w:highlight w:val="none"/>
        </w:rPr>
      </w:pPr>
      <w:bookmarkStart w:id="43" w:name="_Toc21787654"/>
      <w:r>
        <w:rPr>
          <w:rFonts w:hint="eastAsia" w:ascii="宋体" w:hAnsi="宋体"/>
          <w:b/>
          <w:color w:val="auto"/>
          <w:sz w:val="28"/>
          <w:szCs w:val="28"/>
          <w:highlight w:val="none"/>
        </w:rPr>
        <w:t>投标文件的加密</w:t>
      </w:r>
      <w:bookmarkEnd w:id="43"/>
    </w:p>
    <w:p>
      <w:pPr>
        <w:spacing w:line="360" w:lineRule="auto"/>
        <w:ind w:firstLine="480" w:firstLineChars="200"/>
        <w:rPr>
          <w:rFonts w:ascii="宋体" w:hAnsi="宋体"/>
          <w:color w:val="auto"/>
          <w:sz w:val="24"/>
          <w:szCs w:val="21"/>
          <w:highlight w:val="none"/>
        </w:rPr>
      </w:pPr>
      <w:r>
        <w:rPr>
          <w:rFonts w:hint="eastAsia" w:ascii="宋体" w:hAnsi="宋体"/>
          <w:color w:val="auto"/>
          <w:sz w:val="24"/>
          <w:szCs w:val="21"/>
          <w:highlight w:val="none"/>
        </w:rPr>
        <w:t>4.1.1递交的电子投标文件必须进行加密。按照</w:t>
      </w:r>
      <w:r>
        <w:rPr>
          <w:rFonts w:hint="eastAsia" w:ascii="宋体" w:hAnsi="宋体" w:eastAsia="宋体"/>
          <w:color w:val="auto"/>
          <w:sz w:val="24"/>
          <w:highlight w:val="none"/>
          <w:u w:val="single"/>
        </w:rPr>
        <w:t>广州交易集团有限公司（广州公共资源交易中心）</w:t>
      </w:r>
      <w:r>
        <w:rPr>
          <w:rFonts w:hint="eastAsia" w:ascii="宋体" w:hAnsi="宋体"/>
          <w:color w:val="auto"/>
          <w:sz w:val="24"/>
          <w:szCs w:val="21"/>
          <w:highlight w:val="none"/>
        </w:rPr>
        <w:t>交易平台关于全流程电子化项目的相关指南进行操作。</w:t>
      </w:r>
    </w:p>
    <w:p>
      <w:pPr>
        <w:spacing w:line="360" w:lineRule="auto"/>
        <w:ind w:firstLine="480" w:firstLineChars="200"/>
        <w:rPr>
          <w:rFonts w:ascii="宋体" w:hAnsi="宋体"/>
          <w:color w:val="auto"/>
          <w:sz w:val="24"/>
          <w:szCs w:val="21"/>
          <w:highlight w:val="none"/>
        </w:rPr>
      </w:pPr>
      <w:r>
        <w:rPr>
          <w:rFonts w:hint="eastAsia" w:ascii="宋体" w:hAnsi="宋体"/>
          <w:color w:val="auto"/>
          <w:sz w:val="24"/>
          <w:szCs w:val="21"/>
          <w:highlight w:val="none"/>
        </w:rPr>
        <w:t>4.1.2 未按要求加密的投标文件，</w:t>
      </w:r>
      <w:r>
        <w:rPr>
          <w:rFonts w:hint="eastAsia" w:ascii="宋体" w:hAnsi="宋体" w:eastAsia="宋体"/>
          <w:color w:val="auto"/>
          <w:sz w:val="24"/>
          <w:highlight w:val="none"/>
          <w:u w:val="single"/>
        </w:rPr>
        <w:t>广州交易集团有限公司（广州公共资源交易中心）</w:t>
      </w:r>
      <w:r>
        <w:rPr>
          <w:rFonts w:hint="eastAsia" w:ascii="宋体" w:hAnsi="宋体"/>
          <w:color w:val="auto"/>
          <w:sz w:val="24"/>
          <w:szCs w:val="21"/>
          <w:highlight w:val="none"/>
        </w:rPr>
        <w:t>交易平台将予以拒收。</w:t>
      </w:r>
    </w:p>
    <w:p>
      <w:pPr>
        <w:widowControl/>
        <w:numPr>
          <w:ilvl w:val="1"/>
          <w:numId w:val="1"/>
        </w:numPr>
        <w:shd w:val="clear" w:color="auto" w:fill="FFFFFF"/>
        <w:snapToGrid w:val="0"/>
        <w:spacing w:line="360" w:lineRule="auto"/>
        <w:ind w:left="759" w:hanging="759" w:hangingChars="270"/>
        <w:outlineLvl w:val="2"/>
        <w:rPr>
          <w:rFonts w:ascii="宋体" w:hAnsi="宋体"/>
          <w:b/>
          <w:color w:val="auto"/>
          <w:sz w:val="28"/>
          <w:szCs w:val="28"/>
          <w:highlight w:val="none"/>
        </w:rPr>
      </w:pPr>
      <w:bookmarkStart w:id="44" w:name="_Toc21787655"/>
      <w:r>
        <w:rPr>
          <w:rFonts w:hint="eastAsia" w:ascii="宋体" w:hAnsi="宋体"/>
          <w:b/>
          <w:color w:val="auto"/>
          <w:sz w:val="28"/>
          <w:szCs w:val="28"/>
          <w:highlight w:val="none"/>
        </w:rPr>
        <w:t>投标文件的递交和接收</w:t>
      </w:r>
      <w:bookmarkEnd w:id="44"/>
    </w:p>
    <w:p>
      <w:pPr>
        <w:spacing w:line="360" w:lineRule="auto"/>
        <w:ind w:firstLine="523" w:firstLineChars="218"/>
        <w:rPr>
          <w:rFonts w:ascii="宋体" w:hAnsi="宋体"/>
          <w:color w:val="auto"/>
          <w:sz w:val="24"/>
          <w:szCs w:val="24"/>
          <w:highlight w:val="none"/>
        </w:rPr>
      </w:pPr>
      <w:r>
        <w:rPr>
          <w:rFonts w:hint="eastAsia" w:ascii="宋体" w:hAnsi="宋体"/>
          <w:color w:val="auto"/>
          <w:sz w:val="24"/>
          <w:szCs w:val="24"/>
          <w:highlight w:val="none"/>
        </w:rPr>
        <w:t>4.2.1投标人通过</w:t>
      </w:r>
      <w:r>
        <w:rPr>
          <w:rFonts w:hint="eastAsia" w:ascii="宋体" w:hAnsi="宋体" w:eastAsia="宋体"/>
          <w:color w:val="auto"/>
          <w:sz w:val="24"/>
          <w:highlight w:val="none"/>
          <w:u w:val="single"/>
        </w:rPr>
        <w:t>广州交易集团有限公司（广州公共资源交易中心）</w:t>
      </w:r>
      <w:r>
        <w:rPr>
          <w:rFonts w:hint="eastAsia" w:ascii="宋体" w:hAnsi="宋体"/>
          <w:color w:val="auto"/>
          <w:sz w:val="24"/>
          <w:szCs w:val="24"/>
          <w:highlight w:val="none"/>
        </w:rPr>
        <w:t>交易平台递交电子投标文件。</w:t>
      </w:r>
    </w:p>
    <w:p>
      <w:pPr>
        <w:spacing w:line="360" w:lineRule="auto"/>
        <w:ind w:firstLine="523" w:firstLineChars="218"/>
        <w:rPr>
          <w:rFonts w:ascii="宋体" w:hAnsi="宋体"/>
          <w:color w:val="auto"/>
          <w:sz w:val="24"/>
          <w:szCs w:val="24"/>
          <w:highlight w:val="none"/>
        </w:rPr>
      </w:pPr>
      <w:r>
        <w:rPr>
          <w:rFonts w:hint="eastAsia" w:ascii="宋体" w:hAnsi="宋体"/>
          <w:color w:val="auto"/>
          <w:sz w:val="24"/>
          <w:szCs w:val="24"/>
          <w:highlight w:val="none"/>
        </w:rPr>
        <w:t>4.2.2投标人完成电子投标文件上传后，</w:t>
      </w:r>
      <w:r>
        <w:rPr>
          <w:rFonts w:hint="eastAsia" w:ascii="宋体" w:hAnsi="宋体" w:eastAsia="宋体"/>
          <w:color w:val="auto"/>
          <w:sz w:val="24"/>
          <w:highlight w:val="none"/>
          <w:u w:val="single"/>
        </w:rPr>
        <w:t>广州交易集团有限公司（广州公共资源交易中心）</w:t>
      </w:r>
      <w:r>
        <w:rPr>
          <w:rFonts w:hint="eastAsia" w:ascii="宋体" w:hAnsi="宋体"/>
          <w:color w:val="auto"/>
          <w:sz w:val="24"/>
          <w:szCs w:val="24"/>
          <w:highlight w:val="none"/>
        </w:rPr>
        <w:t>交易平台即时向投标人发出递交回执通知。递交时间以递交回执通知载明的传输完成时间为</w:t>
      </w:r>
      <w:bookmarkStart w:id="45" w:name="_Toc101777615"/>
      <w:bookmarkStart w:id="46" w:name="_Toc262229166"/>
      <w:r>
        <w:rPr>
          <w:rFonts w:hint="eastAsia" w:ascii="宋体" w:hAnsi="宋体"/>
          <w:color w:val="auto"/>
          <w:sz w:val="24"/>
          <w:szCs w:val="24"/>
          <w:highlight w:val="none"/>
        </w:rPr>
        <w:t>准。</w:t>
      </w:r>
    </w:p>
    <w:p>
      <w:pPr>
        <w:spacing w:line="360" w:lineRule="auto"/>
        <w:ind w:firstLine="523" w:firstLineChars="218"/>
        <w:rPr>
          <w:rFonts w:ascii="宋体" w:hAnsi="宋体"/>
          <w:color w:val="auto"/>
          <w:sz w:val="24"/>
          <w:szCs w:val="24"/>
          <w:highlight w:val="none"/>
        </w:rPr>
      </w:pPr>
      <w:r>
        <w:rPr>
          <w:rFonts w:hint="eastAsia" w:ascii="宋体" w:hAnsi="宋体"/>
          <w:color w:val="auto"/>
          <w:sz w:val="24"/>
          <w:szCs w:val="24"/>
          <w:highlight w:val="none"/>
        </w:rPr>
        <w:t>4.2.3逾期</w:t>
      </w:r>
      <w:bookmarkEnd w:id="45"/>
      <w:bookmarkEnd w:id="46"/>
      <w:r>
        <w:rPr>
          <w:rFonts w:hint="eastAsia" w:ascii="宋体" w:hAnsi="宋体"/>
          <w:color w:val="auto"/>
          <w:sz w:val="24"/>
          <w:szCs w:val="24"/>
          <w:highlight w:val="none"/>
        </w:rPr>
        <w:t>送达的电子投标文件，</w:t>
      </w:r>
      <w:r>
        <w:rPr>
          <w:rFonts w:hint="eastAsia" w:ascii="宋体" w:hAnsi="宋体" w:eastAsia="宋体"/>
          <w:color w:val="auto"/>
          <w:sz w:val="24"/>
          <w:highlight w:val="none"/>
          <w:u w:val="single"/>
        </w:rPr>
        <w:t>广州交易集团有限公司（广州公共资源交易中心）</w:t>
      </w:r>
      <w:r>
        <w:rPr>
          <w:rFonts w:hint="eastAsia" w:ascii="宋体" w:hAnsi="宋体"/>
          <w:color w:val="auto"/>
          <w:sz w:val="24"/>
          <w:szCs w:val="24"/>
          <w:highlight w:val="none"/>
        </w:rPr>
        <w:t>交易平台将予以拒收。</w:t>
      </w:r>
    </w:p>
    <w:p>
      <w:pPr>
        <w:spacing w:line="360" w:lineRule="auto"/>
        <w:ind w:firstLine="523" w:firstLineChars="218"/>
        <w:rPr>
          <w:rFonts w:ascii="宋体" w:hAnsi="宋体"/>
          <w:color w:val="auto"/>
          <w:sz w:val="24"/>
          <w:szCs w:val="24"/>
          <w:highlight w:val="none"/>
        </w:rPr>
      </w:pPr>
      <w:r>
        <w:rPr>
          <w:rFonts w:hint="eastAsia" w:ascii="宋体" w:hAnsi="宋体"/>
          <w:color w:val="auto"/>
          <w:sz w:val="24"/>
          <w:szCs w:val="24"/>
          <w:highlight w:val="none"/>
        </w:rPr>
        <w:t>4.2</w:t>
      </w:r>
      <w:r>
        <w:rPr>
          <w:rFonts w:hint="eastAsia" w:ascii="宋体" w:hAnsi="宋体"/>
          <w:color w:val="auto"/>
          <w:sz w:val="24"/>
          <w:highlight w:val="none"/>
        </w:rPr>
        <w:t xml:space="preserve">.4 </w:t>
      </w:r>
      <w:r>
        <w:rPr>
          <w:rFonts w:hint="eastAsia" w:ascii="宋体" w:hAnsi="宋体"/>
          <w:color w:val="auto"/>
          <w:sz w:val="24"/>
          <w:szCs w:val="24"/>
          <w:highlight w:val="none"/>
        </w:rPr>
        <w:t>投标截止前，招标人拒绝接收符合条件的投标文件，投标人可向招标监督机构投诉。</w:t>
      </w:r>
    </w:p>
    <w:p>
      <w:pPr>
        <w:widowControl/>
        <w:numPr>
          <w:ilvl w:val="1"/>
          <w:numId w:val="1"/>
        </w:numPr>
        <w:shd w:val="clear" w:color="auto" w:fill="FFFFFF"/>
        <w:snapToGrid w:val="0"/>
        <w:spacing w:line="360" w:lineRule="auto"/>
        <w:ind w:left="759" w:hanging="759" w:hangingChars="270"/>
        <w:outlineLvl w:val="2"/>
        <w:rPr>
          <w:rFonts w:ascii="宋体" w:hAnsi="宋体"/>
          <w:b/>
          <w:color w:val="auto"/>
          <w:sz w:val="28"/>
          <w:szCs w:val="28"/>
          <w:highlight w:val="none"/>
        </w:rPr>
      </w:pPr>
      <w:bookmarkStart w:id="47" w:name="_Toc21787656"/>
      <w:r>
        <w:rPr>
          <w:rFonts w:hint="eastAsia" w:ascii="宋体" w:hAnsi="宋体"/>
          <w:b/>
          <w:color w:val="auto"/>
          <w:sz w:val="28"/>
          <w:szCs w:val="28"/>
          <w:highlight w:val="none"/>
        </w:rPr>
        <w:t>投标文件递交的截止时间</w:t>
      </w:r>
      <w:bookmarkEnd w:id="47"/>
    </w:p>
    <w:p>
      <w:pPr>
        <w:spacing w:line="360" w:lineRule="auto"/>
        <w:ind w:firstLine="480" w:firstLineChars="200"/>
        <w:rPr>
          <w:rFonts w:ascii="宋体" w:hAnsi="宋体"/>
          <w:b/>
          <w:bCs/>
          <w:color w:val="auto"/>
          <w:sz w:val="24"/>
          <w:highlight w:val="none"/>
        </w:rPr>
      </w:pPr>
      <w:r>
        <w:rPr>
          <w:rFonts w:hint="eastAsia" w:ascii="宋体" w:hAnsi="宋体"/>
          <w:color w:val="auto"/>
          <w:sz w:val="24"/>
          <w:szCs w:val="24"/>
          <w:highlight w:val="none"/>
        </w:rPr>
        <w:t>4.3</w:t>
      </w:r>
      <w:r>
        <w:rPr>
          <w:rFonts w:hint="eastAsia" w:ascii="宋体" w:hAnsi="宋体"/>
          <w:color w:val="auto"/>
          <w:sz w:val="24"/>
          <w:highlight w:val="none"/>
        </w:rPr>
        <w:t>.1投标人应在《投标须知前附表》述的投标截止时间前提交投标文件。</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4.3</w:t>
      </w:r>
      <w:r>
        <w:rPr>
          <w:rFonts w:hint="eastAsia" w:ascii="宋体" w:hAnsi="宋体"/>
          <w:color w:val="auto"/>
          <w:sz w:val="24"/>
          <w:highlight w:val="none"/>
        </w:rPr>
        <w:t>.2招标人可按本须知第2.3条规定以招标文件修改的方式，酌情延长递交投标文件的截止时间。在此情况下，投标的所有权利和义务以及投标人受制约的截止时间，均以延长后新的投标截止时间为准。</w:t>
      </w:r>
    </w:p>
    <w:p>
      <w:pPr>
        <w:spacing w:line="360" w:lineRule="auto"/>
        <w:ind w:firstLine="480" w:firstLineChars="200"/>
        <w:rPr>
          <w:rFonts w:ascii="宋体" w:hAnsi="宋体"/>
          <w:color w:val="auto"/>
          <w:sz w:val="24"/>
          <w:highlight w:val="none"/>
        </w:rPr>
      </w:pPr>
      <w:r>
        <w:rPr>
          <w:rFonts w:hint="eastAsia" w:ascii="宋体" w:hAnsi="宋体"/>
          <w:color w:val="auto"/>
          <w:sz w:val="24"/>
          <w:szCs w:val="24"/>
          <w:highlight w:val="none"/>
        </w:rPr>
        <w:t>4.3</w:t>
      </w:r>
      <w:r>
        <w:rPr>
          <w:rFonts w:hint="eastAsia" w:ascii="宋体" w:hAnsi="宋体"/>
          <w:color w:val="auto"/>
          <w:sz w:val="24"/>
          <w:highlight w:val="none"/>
        </w:rPr>
        <w:t>.3 到投标截止时间止，招标人收到的投标文件少于3家的，招标人将重新组织招标（当N个标段同时招标且不允许兼中时，若有效投标人不足N+2家，则重新组织招标）。</w:t>
      </w:r>
    </w:p>
    <w:p>
      <w:pPr>
        <w:widowControl/>
        <w:numPr>
          <w:ilvl w:val="1"/>
          <w:numId w:val="1"/>
        </w:numPr>
        <w:shd w:val="clear" w:color="auto" w:fill="FFFFFF"/>
        <w:snapToGrid w:val="0"/>
        <w:spacing w:line="360" w:lineRule="auto"/>
        <w:ind w:left="759" w:hanging="759" w:hangingChars="270"/>
        <w:outlineLvl w:val="2"/>
        <w:rPr>
          <w:rFonts w:ascii="宋体" w:hAnsi="宋体"/>
          <w:b/>
          <w:color w:val="auto"/>
          <w:sz w:val="28"/>
          <w:szCs w:val="28"/>
          <w:highlight w:val="none"/>
        </w:rPr>
      </w:pPr>
      <w:bookmarkStart w:id="48" w:name="_Toc21787657"/>
      <w:r>
        <w:rPr>
          <w:rFonts w:hint="eastAsia" w:ascii="宋体" w:hAnsi="宋体"/>
          <w:b/>
          <w:color w:val="auto"/>
          <w:sz w:val="28"/>
          <w:szCs w:val="28"/>
          <w:highlight w:val="none"/>
        </w:rPr>
        <w:t>迟交的投标文件</w:t>
      </w:r>
      <w:bookmarkEnd w:id="48"/>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本须知前附表第4.3.1项规定的投标截止时间后送达的电子投标文件，</w:t>
      </w:r>
      <w:r>
        <w:rPr>
          <w:rFonts w:hint="eastAsia" w:ascii="宋体" w:hAnsi="宋体"/>
          <w:color w:val="auto"/>
          <w:sz w:val="24"/>
          <w:szCs w:val="24"/>
          <w:highlight w:val="none"/>
        </w:rPr>
        <w:t>广州公共资源</w:t>
      </w:r>
      <w:r>
        <w:rPr>
          <w:rFonts w:hint="eastAsia" w:ascii="宋体" w:hAnsi="宋体"/>
          <w:color w:val="auto"/>
          <w:sz w:val="24"/>
          <w:highlight w:val="none"/>
        </w:rPr>
        <w:t>交易平台将予以拒收。</w:t>
      </w:r>
    </w:p>
    <w:p>
      <w:pPr>
        <w:widowControl/>
        <w:numPr>
          <w:ilvl w:val="1"/>
          <w:numId w:val="1"/>
        </w:numPr>
        <w:shd w:val="clear" w:color="auto" w:fill="FFFFFF"/>
        <w:snapToGrid w:val="0"/>
        <w:spacing w:line="360" w:lineRule="auto"/>
        <w:ind w:left="759" w:hanging="759" w:hangingChars="270"/>
        <w:outlineLvl w:val="2"/>
        <w:rPr>
          <w:rFonts w:ascii="宋体" w:hAnsi="宋体"/>
          <w:b/>
          <w:color w:val="auto"/>
          <w:sz w:val="28"/>
          <w:szCs w:val="28"/>
          <w:highlight w:val="none"/>
        </w:rPr>
      </w:pPr>
      <w:bookmarkStart w:id="49" w:name="_Toc21787658"/>
      <w:r>
        <w:rPr>
          <w:rFonts w:hint="eastAsia" w:ascii="宋体" w:hAnsi="宋体"/>
          <w:b/>
          <w:color w:val="auto"/>
          <w:sz w:val="28"/>
          <w:szCs w:val="28"/>
          <w:highlight w:val="none"/>
        </w:rPr>
        <w:t>投标文件的补充、修改与撤回</w:t>
      </w:r>
      <w:bookmarkEnd w:id="49"/>
    </w:p>
    <w:p>
      <w:pPr>
        <w:spacing w:line="360" w:lineRule="auto"/>
        <w:ind w:firstLine="480" w:firstLineChars="200"/>
        <w:rPr>
          <w:rFonts w:ascii="宋体" w:hAnsi="宋体"/>
          <w:color w:val="auto"/>
          <w:sz w:val="24"/>
          <w:highlight w:val="none"/>
        </w:rPr>
      </w:pPr>
      <w:r>
        <w:rPr>
          <w:rFonts w:hint="eastAsia" w:ascii="宋体" w:hAnsi="宋体"/>
          <w:color w:val="auto"/>
          <w:sz w:val="24"/>
          <w:szCs w:val="24"/>
          <w:highlight w:val="none"/>
        </w:rPr>
        <w:t>4.5</w:t>
      </w:r>
      <w:r>
        <w:rPr>
          <w:rFonts w:hint="eastAsia" w:ascii="宋体" w:hAnsi="宋体"/>
          <w:color w:val="auto"/>
          <w:sz w:val="24"/>
          <w:highlight w:val="none"/>
        </w:rPr>
        <w:t>.1 投标人在递交投标文件以后，在规定的投标截止时间之前，可以修改或撤回已递交的投标文件。</w:t>
      </w:r>
      <w:r>
        <w:rPr>
          <w:rFonts w:hint="eastAsia" w:ascii="宋体" w:hAnsi="宋体"/>
          <w:color w:val="auto"/>
          <w:sz w:val="24"/>
          <w:szCs w:val="24"/>
          <w:highlight w:val="none"/>
        </w:rPr>
        <w:t>投标截止时间前未完成投标文件传输的，视为投标人撤回投标文件。</w:t>
      </w:r>
    </w:p>
    <w:p>
      <w:pPr>
        <w:spacing w:line="360" w:lineRule="auto"/>
        <w:ind w:firstLine="480" w:firstLineChars="200"/>
        <w:rPr>
          <w:rFonts w:ascii="宋体" w:hAnsi="宋体"/>
          <w:color w:val="auto"/>
          <w:sz w:val="24"/>
          <w:highlight w:val="none"/>
        </w:rPr>
      </w:pPr>
      <w:r>
        <w:rPr>
          <w:rFonts w:hint="eastAsia" w:ascii="宋体" w:hAnsi="宋体"/>
          <w:color w:val="auto"/>
          <w:sz w:val="24"/>
          <w:szCs w:val="24"/>
          <w:highlight w:val="none"/>
        </w:rPr>
        <w:t>4.5</w:t>
      </w:r>
      <w:r>
        <w:rPr>
          <w:rFonts w:hint="eastAsia" w:ascii="宋体" w:hAnsi="宋体"/>
          <w:color w:val="auto"/>
          <w:sz w:val="24"/>
          <w:highlight w:val="none"/>
        </w:rPr>
        <w:t>.3 在投标截止时间之后，投标人不得补充、修改和更换投标文件。</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szCs w:val="24"/>
          <w:highlight w:val="none"/>
        </w:rPr>
        <w:t>4.5</w:t>
      </w:r>
      <w:r>
        <w:rPr>
          <w:rFonts w:hint="eastAsia" w:ascii="宋体" w:hAnsi="宋体"/>
          <w:color w:val="auto"/>
          <w:sz w:val="24"/>
          <w:highlight w:val="none"/>
        </w:rPr>
        <w:t>.4在投标文件递交截止时间后，至投标文件格式中规定的有效期终止日前，投标人不能撤回投标文件，否则其投标担保将被没收，且招标人有权就其撤回行为报告行政主管部门载入不良信用记录。</w:t>
      </w:r>
    </w:p>
    <w:p>
      <w:pPr>
        <w:widowControl/>
        <w:numPr>
          <w:ilvl w:val="1"/>
          <w:numId w:val="1"/>
        </w:numPr>
        <w:shd w:val="clear" w:color="auto" w:fill="FFFFFF"/>
        <w:snapToGrid w:val="0"/>
        <w:spacing w:line="360" w:lineRule="auto"/>
        <w:ind w:left="759" w:hanging="759" w:hangingChars="270"/>
        <w:outlineLvl w:val="2"/>
        <w:rPr>
          <w:rFonts w:ascii="宋体" w:hAnsi="宋体"/>
          <w:b/>
          <w:color w:val="auto"/>
          <w:sz w:val="28"/>
          <w:szCs w:val="28"/>
          <w:highlight w:val="none"/>
        </w:rPr>
      </w:pPr>
      <w:bookmarkStart w:id="50" w:name="_Toc21787659"/>
      <w:r>
        <w:rPr>
          <w:rFonts w:hint="eastAsia" w:ascii="宋体" w:hAnsi="宋体"/>
          <w:b/>
          <w:color w:val="auto"/>
          <w:sz w:val="28"/>
          <w:szCs w:val="28"/>
          <w:highlight w:val="none"/>
        </w:rPr>
        <w:t>投标文件解密</w:t>
      </w:r>
      <w:bookmarkEnd w:id="50"/>
    </w:p>
    <w:p>
      <w:pPr>
        <w:tabs>
          <w:tab w:val="left" w:pos="105"/>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4.6.1投标人必须在《投标须知前附表》规定的时间内对投标文件进行解密。</w:t>
      </w:r>
      <w:r>
        <w:rPr>
          <w:rFonts w:hint="eastAsia" w:ascii="宋体" w:hAnsi="宋体" w:cs="仿宋_GB2312"/>
          <w:color w:val="auto"/>
          <w:sz w:val="24"/>
          <w:szCs w:val="24"/>
          <w:highlight w:val="none"/>
        </w:rPr>
        <w:t>因投标人原因造成投标文件未解密或未在规定的时间内解密的，视为撤销其投标文件。</w:t>
      </w:r>
    </w:p>
    <w:p>
      <w:pPr>
        <w:spacing w:line="360" w:lineRule="auto"/>
        <w:ind w:firstLine="480" w:firstLineChars="200"/>
        <w:jc w:val="left"/>
        <w:rPr>
          <w:rFonts w:ascii="宋体" w:hAnsi="宋体"/>
          <w:color w:val="auto"/>
          <w:highlight w:val="none"/>
        </w:rPr>
      </w:pPr>
      <w:r>
        <w:rPr>
          <w:rFonts w:hint="eastAsia" w:ascii="宋体" w:hAnsi="宋体"/>
          <w:color w:val="auto"/>
          <w:sz w:val="24"/>
          <w:highlight w:val="none"/>
        </w:rPr>
        <w:t>4.6.2电子投标文件解密</w:t>
      </w:r>
      <w:r>
        <w:rPr>
          <w:rFonts w:hint="eastAsia" w:ascii="宋体" w:hAnsi="宋体" w:cs="宋体"/>
          <w:color w:val="auto"/>
          <w:kern w:val="0"/>
          <w:sz w:val="24"/>
          <w:szCs w:val="24"/>
          <w:highlight w:val="none"/>
        </w:rPr>
        <w:t>应按照</w:t>
      </w:r>
      <w:r>
        <w:rPr>
          <w:rFonts w:hint="eastAsia" w:ascii="宋体" w:hAnsi="宋体" w:eastAsia="宋体"/>
          <w:color w:val="auto"/>
          <w:sz w:val="24"/>
          <w:highlight w:val="none"/>
        </w:rPr>
        <w:t>广州交易集团有限公司（广州公共资源交易中心）</w:t>
      </w:r>
      <w:r>
        <w:rPr>
          <w:rFonts w:hint="eastAsia" w:ascii="宋体" w:hAnsi="宋体" w:cs="宋体"/>
          <w:color w:val="auto"/>
          <w:kern w:val="0"/>
          <w:sz w:val="24"/>
          <w:szCs w:val="24"/>
          <w:highlight w:val="none"/>
        </w:rPr>
        <w:t>交易平台关于全流程电子化项目的相关指南进行操作。</w:t>
      </w:r>
    </w:p>
    <w:p>
      <w:pPr>
        <w:pStyle w:val="3"/>
        <w:rPr>
          <w:rFonts w:ascii="宋体" w:hAnsi="宋体"/>
          <w:color w:val="auto"/>
          <w:highlight w:val="none"/>
        </w:rPr>
      </w:pPr>
      <w:bookmarkStart w:id="51" w:name="_Toc21787660"/>
      <w:r>
        <w:rPr>
          <w:rFonts w:hint="eastAsia" w:ascii="宋体" w:hAnsi="宋体"/>
          <w:color w:val="auto"/>
          <w:highlight w:val="none"/>
        </w:rPr>
        <w:t>开标</w:t>
      </w:r>
      <w:bookmarkEnd w:id="51"/>
    </w:p>
    <w:p>
      <w:pPr>
        <w:numPr>
          <w:ilvl w:val="1"/>
          <w:numId w:val="12"/>
        </w:numPr>
        <w:spacing w:line="360" w:lineRule="auto"/>
        <w:jc w:val="left"/>
        <w:outlineLvl w:val="2"/>
        <w:rPr>
          <w:rFonts w:ascii="宋体" w:hAnsi="宋体"/>
          <w:b/>
          <w:color w:val="auto"/>
          <w:sz w:val="28"/>
          <w:szCs w:val="28"/>
          <w:highlight w:val="none"/>
        </w:rPr>
      </w:pPr>
      <w:bookmarkStart w:id="52" w:name="_Toc21787661"/>
      <w:r>
        <w:rPr>
          <w:rFonts w:hint="eastAsia" w:ascii="宋体" w:hAnsi="宋体"/>
          <w:b/>
          <w:color w:val="auto"/>
          <w:sz w:val="28"/>
          <w:szCs w:val="28"/>
          <w:highlight w:val="none"/>
        </w:rPr>
        <w:t>开标时间和地点</w:t>
      </w:r>
      <w:bookmarkEnd w:id="52"/>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5.1.1招标人按《投标须知前附表》规定的时间和地点公开开标，并邀请所有投标人参加。投标人不派代表出席开标会，则视其为放弃参与开标的权利，认可开标结果。截标后，开标开始时间因故推迟的，相关评标信息仍以原定的开标开始时间的信息为准。</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5.1.2招标人在招标文件要求提交投标文件的截止时间前收到的投标文件，开标时都当众予以解密、公布。</w:t>
      </w:r>
    </w:p>
    <w:p>
      <w:pPr>
        <w:numPr>
          <w:ilvl w:val="1"/>
          <w:numId w:val="12"/>
        </w:numPr>
        <w:spacing w:line="360" w:lineRule="auto"/>
        <w:jc w:val="left"/>
        <w:outlineLvl w:val="2"/>
        <w:rPr>
          <w:rFonts w:ascii="宋体" w:hAnsi="宋体"/>
          <w:b/>
          <w:color w:val="auto"/>
          <w:sz w:val="28"/>
          <w:szCs w:val="28"/>
          <w:highlight w:val="none"/>
        </w:rPr>
      </w:pPr>
      <w:bookmarkStart w:id="53" w:name="_Toc21787662"/>
      <w:r>
        <w:rPr>
          <w:rFonts w:hint="eastAsia" w:ascii="宋体" w:hAnsi="宋体"/>
          <w:b/>
          <w:color w:val="auto"/>
          <w:sz w:val="28"/>
          <w:szCs w:val="28"/>
          <w:highlight w:val="none"/>
        </w:rPr>
        <w:t>开标程序</w:t>
      </w:r>
      <w:bookmarkEnd w:id="53"/>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主持人按下列程序进行开标：</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5.2.1投标人按照《投标人须知前附表》的要求，对电子投标文件进行解密。</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5.2.2宣布开标纪律；</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5.2.3招标人或招标代理通过</w:t>
      </w:r>
      <w:r>
        <w:rPr>
          <w:rFonts w:hint="eastAsia" w:ascii="宋体" w:hAnsi="宋体" w:eastAsia="宋体"/>
          <w:color w:val="auto"/>
          <w:sz w:val="24"/>
          <w:highlight w:val="none"/>
        </w:rPr>
        <w:t>广州交易集团有限公司（广州公共资源交易中心）</w:t>
      </w:r>
      <w:r>
        <w:rPr>
          <w:rFonts w:hint="eastAsia" w:ascii="宋体" w:hAnsi="宋体"/>
          <w:color w:val="auto"/>
          <w:sz w:val="24"/>
          <w:highlight w:val="none"/>
        </w:rPr>
        <w:t>交易平台对所有投标人电子投标文件进行招标人解密；</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5.2.4公布招标项目名称、投标人名称、投标文件解密情况、投标保证金的递交情况、投标报价、质量要求、工期、项目负责人、专职安全员及其他内容，并记录在案；</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5.2.5公开摇取评标基准价下浮率。下浮率从2%、2.5%、3%、3.5%、4%、4.5%、5%中通过摇珠机随机抽取。（适用于采用综合评估法一、综合评估法二） </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5.2.6投标人代表、招标人代表、监标人、记录人等有关人员在开标记录上签字确认；若有关人员不签字的，不影响开标程序。</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5.2.7开标结束。</w:t>
      </w:r>
    </w:p>
    <w:p>
      <w:pPr>
        <w:numPr>
          <w:ilvl w:val="1"/>
          <w:numId w:val="12"/>
        </w:numPr>
        <w:spacing w:line="360" w:lineRule="auto"/>
        <w:jc w:val="left"/>
        <w:outlineLvl w:val="2"/>
        <w:rPr>
          <w:rFonts w:ascii="宋体" w:hAnsi="宋体"/>
          <w:b/>
          <w:color w:val="auto"/>
          <w:sz w:val="28"/>
          <w:szCs w:val="28"/>
          <w:highlight w:val="none"/>
        </w:rPr>
      </w:pPr>
      <w:bookmarkStart w:id="54" w:name="_Toc21787663"/>
      <w:r>
        <w:rPr>
          <w:rFonts w:hint="eastAsia" w:ascii="宋体" w:hAnsi="宋体"/>
          <w:b/>
          <w:color w:val="auto"/>
          <w:sz w:val="28"/>
          <w:szCs w:val="28"/>
          <w:highlight w:val="none"/>
        </w:rPr>
        <w:t>开标异议</w:t>
      </w:r>
      <w:bookmarkEnd w:id="54"/>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5.3.1投标人代表对开标有异议的，应当在开标现场提出，招标人当场作出答复，并制作记录。该投标人代表须同时出示本人身份证原件。</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5.3.2对开标的异议，招标人应当当场作出答复并予以书面记录，异议成立的，招标人应当及时采取纠正措施，或者提交评标委员会评审确认；异议不成立的，招标人应当当场给予解释说明。</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5.3.3招标人应当按照同一异议提起人一份记录的方式，对异议事项的处理应逐条进行书面记录，其中异议事项由异议提起人签名确认，作出的答复由招标人签名确认。书面记录含义应清晰而明确，包括但不限于纠正的措施、解释说明的内容、相关依据等。</w:t>
      </w:r>
    </w:p>
    <w:p>
      <w:pPr>
        <w:numPr>
          <w:ilvl w:val="1"/>
          <w:numId w:val="12"/>
        </w:numPr>
        <w:spacing w:line="360" w:lineRule="auto"/>
        <w:jc w:val="left"/>
        <w:outlineLvl w:val="2"/>
        <w:rPr>
          <w:rFonts w:ascii="宋体" w:hAnsi="宋体"/>
          <w:b/>
          <w:color w:val="auto"/>
          <w:sz w:val="28"/>
          <w:szCs w:val="28"/>
          <w:highlight w:val="none"/>
        </w:rPr>
      </w:pPr>
      <w:bookmarkStart w:id="55" w:name="_Toc21787664"/>
      <w:r>
        <w:rPr>
          <w:rFonts w:hint="eastAsia" w:ascii="宋体" w:hAnsi="宋体"/>
          <w:b/>
          <w:color w:val="auto"/>
          <w:sz w:val="28"/>
          <w:szCs w:val="28"/>
          <w:highlight w:val="none"/>
        </w:rPr>
        <w:t>开标时重新招标情形</w:t>
      </w:r>
      <w:bookmarkEnd w:id="55"/>
    </w:p>
    <w:p>
      <w:pPr>
        <w:spacing w:line="360" w:lineRule="auto"/>
        <w:ind w:left="420"/>
        <w:jc w:val="left"/>
        <w:rPr>
          <w:rFonts w:ascii="宋体" w:hAnsi="宋体"/>
          <w:color w:val="auto"/>
          <w:sz w:val="24"/>
          <w:highlight w:val="none"/>
        </w:rPr>
      </w:pPr>
      <w:r>
        <w:rPr>
          <w:rFonts w:hint="eastAsia" w:ascii="宋体" w:hAnsi="宋体"/>
          <w:color w:val="auto"/>
          <w:sz w:val="24"/>
          <w:highlight w:val="none"/>
        </w:rPr>
        <w:t>5.4.1开标时，出现下列情形之一的，投标文件由招标人作否决投标处理，不参与评标：</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）未成功递交投标文件的；</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（1）因投标人原因造成投标文件未解密的；</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（3）未按规定时间对投标文件进行解密的；</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（4）未按招标文件要求提供投标保证金的；</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（5）两个（含两个）以上的投标人加密打包投标文件电脑机器码一致的；</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（6）项目负责人和安全员为同一人的；</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（7）投标文件中的投标人企业名称、项目负责人、专职安全员与投标登记时的信息不一致的。</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5.4.2若递交投标文件的投标人不足3家，则重新组织招标。（当N个标段同时招标且不允许兼中时，若有效投标人不足N+2家，则重新组织招标）</w:t>
      </w:r>
    </w:p>
    <w:p>
      <w:pPr>
        <w:pStyle w:val="3"/>
        <w:rPr>
          <w:rFonts w:ascii="宋体" w:hAnsi="宋体"/>
          <w:color w:val="auto"/>
          <w:highlight w:val="none"/>
        </w:rPr>
      </w:pPr>
      <w:bookmarkStart w:id="56" w:name="_Toc17471904"/>
      <w:bookmarkEnd w:id="56"/>
      <w:bookmarkStart w:id="57" w:name="_Toc17471903"/>
      <w:bookmarkEnd w:id="57"/>
      <w:bookmarkStart w:id="58" w:name="_Toc21787665"/>
      <w:r>
        <w:rPr>
          <w:rFonts w:hint="eastAsia" w:ascii="宋体" w:hAnsi="宋体"/>
          <w:color w:val="auto"/>
          <w:highlight w:val="none"/>
        </w:rPr>
        <w:t>评标</w:t>
      </w:r>
      <w:bookmarkEnd w:id="58"/>
    </w:p>
    <w:p>
      <w:pPr>
        <w:numPr>
          <w:ilvl w:val="1"/>
          <w:numId w:val="13"/>
        </w:numPr>
        <w:spacing w:line="360" w:lineRule="auto"/>
        <w:jc w:val="left"/>
        <w:outlineLvl w:val="2"/>
        <w:rPr>
          <w:rFonts w:ascii="宋体" w:hAnsi="宋体"/>
          <w:b/>
          <w:color w:val="auto"/>
          <w:sz w:val="28"/>
          <w:szCs w:val="28"/>
          <w:highlight w:val="none"/>
        </w:rPr>
      </w:pPr>
      <w:bookmarkStart w:id="59" w:name="_Toc21787666"/>
      <w:r>
        <w:rPr>
          <w:rFonts w:hint="eastAsia" w:ascii="宋体" w:hAnsi="宋体"/>
          <w:b/>
          <w:color w:val="auto"/>
          <w:sz w:val="28"/>
          <w:szCs w:val="28"/>
          <w:highlight w:val="none"/>
        </w:rPr>
        <w:t>评标委员会</w:t>
      </w:r>
      <w:bookmarkEnd w:id="59"/>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6.1.1评标由招标人依法组建的评标委员会负责。评标委员会成员人数以及技术、经济等方面专家的确定方式见《投标人须知前附表》。</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6.1.2 评标委员会成员有下列情形之一的，应当回避：</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（1）招标人或投标人的主要负责人的近亲属；</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（2）项目主管部门或者行政监督部门的人员；</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（3）与投标人有经济利益关系，可能影响对投标公正评审的；</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（4）曾因在招标、评标以及其他与招标投标有关活动中从事违法行为而受过行政处罚或刑事处罚的。</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（5）与投标人有其他利害关系。</w:t>
      </w:r>
    </w:p>
    <w:p>
      <w:pPr>
        <w:numPr>
          <w:ilvl w:val="1"/>
          <w:numId w:val="13"/>
        </w:numPr>
        <w:spacing w:line="360" w:lineRule="auto"/>
        <w:jc w:val="left"/>
        <w:outlineLvl w:val="2"/>
        <w:rPr>
          <w:rFonts w:ascii="宋体" w:hAnsi="宋体"/>
          <w:b/>
          <w:color w:val="auto"/>
          <w:sz w:val="28"/>
          <w:szCs w:val="28"/>
          <w:highlight w:val="none"/>
        </w:rPr>
      </w:pPr>
      <w:bookmarkStart w:id="60" w:name="_Toc21787667"/>
      <w:r>
        <w:rPr>
          <w:rFonts w:hint="eastAsia" w:ascii="宋体" w:hAnsi="宋体"/>
          <w:b/>
          <w:color w:val="auto"/>
          <w:sz w:val="28"/>
          <w:szCs w:val="28"/>
          <w:highlight w:val="none"/>
        </w:rPr>
        <w:t>评标原则</w:t>
      </w:r>
      <w:bookmarkEnd w:id="60"/>
      <w:r>
        <w:rPr>
          <w:rFonts w:hint="eastAsia" w:ascii="宋体" w:hAnsi="宋体"/>
          <w:b/>
          <w:color w:val="auto"/>
          <w:sz w:val="28"/>
          <w:szCs w:val="28"/>
          <w:highlight w:val="none"/>
        </w:rPr>
        <w:tab/>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评标活动遵循公平、公正、科学和择优的原则。</w:t>
      </w:r>
    </w:p>
    <w:p>
      <w:pPr>
        <w:numPr>
          <w:ilvl w:val="1"/>
          <w:numId w:val="13"/>
        </w:numPr>
        <w:spacing w:line="360" w:lineRule="auto"/>
        <w:jc w:val="left"/>
        <w:outlineLvl w:val="2"/>
        <w:rPr>
          <w:rFonts w:ascii="宋体" w:hAnsi="宋体"/>
          <w:b/>
          <w:color w:val="auto"/>
          <w:sz w:val="28"/>
          <w:szCs w:val="28"/>
          <w:highlight w:val="none"/>
        </w:rPr>
      </w:pPr>
      <w:bookmarkStart w:id="61" w:name="_Toc21787668"/>
      <w:r>
        <w:rPr>
          <w:rFonts w:hint="eastAsia" w:ascii="宋体" w:hAnsi="宋体"/>
          <w:b/>
          <w:color w:val="auto"/>
          <w:sz w:val="28"/>
          <w:szCs w:val="28"/>
          <w:highlight w:val="none"/>
        </w:rPr>
        <w:t>评审</w:t>
      </w:r>
      <w:bookmarkEnd w:id="61"/>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评标委员会按照第三章“评标办法”规定的方法、评审因素、标准和程序对投标文件进行评审。第三章“评标办法”没有规定的方法、评审因素和标准，不作为评标依据。</w:t>
      </w:r>
    </w:p>
    <w:p>
      <w:pPr>
        <w:numPr>
          <w:ilvl w:val="1"/>
          <w:numId w:val="13"/>
        </w:numPr>
        <w:spacing w:line="360" w:lineRule="auto"/>
        <w:jc w:val="left"/>
        <w:outlineLvl w:val="2"/>
        <w:rPr>
          <w:rFonts w:ascii="宋体" w:hAnsi="宋体"/>
          <w:b/>
          <w:color w:val="auto"/>
          <w:sz w:val="28"/>
          <w:szCs w:val="28"/>
          <w:highlight w:val="none"/>
        </w:rPr>
      </w:pPr>
      <w:bookmarkStart w:id="62" w:name="_Toc21787669"/>
      <w:r>
        <w:rPr>
          <w:rFonts w:hint="eastAsia" w:ascii="宋体" w:hAnsi="宋体"/>
          <w:b/>
          <w:color w:val="auto"/>
          <w:sz w:val="28"/>
          <w:szCs w:val="28"/>
          <w:highlight w:val="none"/>
        </w:rPr>
        <w:t>评标过程的保密</w:t>
      </w:r>
      <w:bookmarkEnd w:id="62"/>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6.4.1 开标后，直至中标公示为止，凡属于对投标文件的审查、澄清、评价和比较有关的资料以及中标候选人的推荐情况，与评标有关的其他任何情况均严格保密。</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6.4.2 在投标文件的评审和比较、中标候选人推荐以及授予合同的过程中，投标人向招标人和评标委员会施加不公正影响的任何行为，都将会导致其投标被拒绝。</w:t>
      </w:r>
    </w:p>
    <w:p>
      <w:pPr>
        <w:pStyle w:val="3"/>
        <w:rPr>
          <w:rFonts w:ascii="宋体" w:hAnsi="宋体"/>
          <w:color w:val="auto"/>
          <w:sz w:val="24"/>
          <w:highlight w:val="none"/>
        </w:rPr>
      </w:pPr>
      <w:bookmarkStart w:id="63" w:name="_Toc21787670"/>
      <w:r>
        <w:rPr>
          <w:rFonts w:hint="eastAsia" w:ascii="宋体" w:hAnsi="宋体"/>
          <w:color w:val="auto"/>
          <w:highlight w:val="none"/>
        </w:rPr>
        <w:t>合同授予</w:t>
      </w:r>
      <w:bookmarkEnd w:id="63"/>
    </w:p>
    <w:p>
      <w:pPr>
        <w:numPr>
          <w:ilvl w:val="1"/>
          <w:numId w:val="14"/>
        </w:numPr>
        <w:spacing w:line="360" w:lineRule="auto"/>
        <w:ind w:left="0" w:firstLine="567"/>
        <w:jc w:val="left"/>
        <w:outlineLvl w:val="2"/>
        <w:rPr>
          <w:rFonts w:ascii="宋体" w:hAnsi="宋体"/>
          <w:b/>
          <w:color w:val="auto"/>
          <w:sz w:val="28"/>
          <w:szCs w:val="28"/>
          <w:highlight w:val="none"/>
        </w:rPr>
      </w:pPr>
      <w:bookmarkStart w:id="64" w:name="_Toc21787671"/>
      <w:r>
        <w:rPr>
          <w:rFonts w:hint="eastAsia" w:ascii="宋体" w:hAnsi="宋体"/>
          <w:b/>
          <w:color w:val="auto"/>
          <w:sz w:val="28"/>
          <w:szCs w:val="28"/>
          <w:highlight w:val="none"/>
        </w:rPr>
        <w:t>中标候选人公示</w:t>
      </w:r>
      <w:bookmarkEnd w:id="64"/>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7.1.1招标人在《投标人须知前附表》规定的媒介公示中标候选人，公示期为三天，最后一天应为工作日。</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7.1.2在产生中标候选人后，招标人将中标候选人的投标文件商务部分文件的所有内容（包括人员、业绩、奖项等资料）在</w:t>
      </w:r>
      <w:r>
        <w:rPr>
          <w:rFonts w:hint="eastAsia" w:ascii="宋体" w:hAnsi="宋体" w:eastAsia="宋体"/>
          <w:color w:val="auto"/>
          <w:sz w:val="24"/>
          <w:highlight w:val="none"/>
        </w:rPr>
        <w:t>广州交易集团有限公司（广州公共资源交易中心）</w:t>
      </w:r>
      <w:r>
        <w:rPr>
          <w:rFonts w:hint="eastAsia" w:ascii="宋体" w:hAnsi="宋体"/>
          <w:color w:val="auto"/>
          <w:sz w:val="24"/>
          <w:highlight w:val="none"/>
        </w:rPr>
        <w:t>网和广东省招标投标监管网公开。</w:t>
      </w:r>
    </w:p>
    <w:p>
      <w:pPr>
        <w:numPr>
          <w:ilvl w:val="1"/>
          <w:numId w:val="14"/>
        </w:numPr>
        <w:spacing w:line="360" w:lineRule="auto"/>
        <w:ind w:left="0" w:firstLine="567"/>
        <w:jc w:val="left"/>
        <w:outlineLvl w:val="2"/>
        <w:rPr>
          <w:rFonts w:ascii="宋体" w:hAnsi="宋体"/>
          <w:b/>
          <w:color w:val="auto"/>
          <w:sz w:val="28"/>
          <w:szCs w:val="28"/>
          <w:highlight w:val="none"/>
        </w:rPr>
      </w:pPr>
      <w:bookmarkStart w:id="65" w:name="_Toc21787672"/>
      <w:r>
        <w:rPr>
          <w:rFonts w:hint="eastAsia" w:ascii="宋体" w:hAnsi="宋体"/>
          <w:b/>
          <w:color w:val="auto"/>
          <w:sz w:val="28"/>
          <w:szCs w:val="28"/>
          <w:highlight w:val="none"/>
        </w:rPr>
        <w:t>定标方式</w:t>
      </w:r>
      <w:bookmarkEnd w:id="65"/>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7.2.1除投标人须知前附表规定评标委员会直接确定中标人外，招标人依据评标委员会推荐的中标候选人确定中标人，评标委员会推荐中标候选人的人数见投标人须知前附表。</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7.2.2 依法必须进行公开招标的项目，招标人应当确定排名第一的中标候选人为中标人。</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7.2.3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7.2.4 重新评标的，评标信息（含业绩、奖项等）仍以投标截止时投标人的信息为准。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numPr>
          <w:ilvl w:val="1"/>
          <w:numId w:val="14"/>
        </w:numPr>
        <w:spacing w:line="360" w:lineRule="auto"/>
        <w:ind w:left="0" w:firstLine="567"/>
        <w:jc w:val="left"/>
        <w:outlineLvl w:val="2"/>
        <w:rPr>
          <w:rFonts w:ascii="宋体" w:hAnsi="宋体"/>
          <w:b/>
          <w:color w:val="auto"/>
          <w:sz w:val="28"/>
          <w:szCs w:val="28"/>
          <w:highlight w:val="none"/>
        </w:rPr>
      </w:pPr>
      <w:bookmarkStart w:id="66" w:name="_Toc21787673"/>
      <w:r>
        <w:rPr>
          <w:rFonts w:hint="eastAsia" w:ascii="宋体" w:hAnsi="宋体"/>
          <w:b/>
          <w:color w:val="auto"/>
          <w:sz w:val="28"/>
          <w:szCs w:val="28"/>
          <w:highlight w:val="none"/>
        </w:rPr>
        <w:t>中标通知</w:t>
      </w:r>
      <w:bookmarkEnd w:id="66"/>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在中标人确定之日起七日内且在《投标须知前附表》规定的投标有效期内，招标人以书面形式向中标人发出中标通知书，在</w:t>
      </w:r>
      <w:r>
        <w:rPr>
          <w:rFonts w:hint="eastAsia" w:ascii="宋体" w:hAnsi="宋体" w:eastAsia="宋体"/>
          <w:color w:val="auto"/>
          <w:sz w:val="24"/>
          <w:highlight w:val="none"/>
        </w:rPr>
        <w:t>广州交易集团有限公司（广州公共资源交易中心）</w:t>
      </w:r>
      <w:r>
        <w:rPr>
          <w:rFonts w:hint="eastAsia" w:ascii="宋体" w:hAnsi="宋体"/>
          <w:color w:val="auto"/>
          <w:sz w:val="24"/>
          <w:szCs w:val="24"/>
          <w:highlight w:val="none"/>
        </w:rPr>
        <w:t>网</w:t>
      </w:r>
      <w:r>
        <w:rPr>
          <w:rFonts w:hint="eastAsia" w:ascii="宋体" w:hAnsi="宋体"/>
          <w:color w:val="auto"/>
          <w:sz w:val="24"/>
          <w:highlight w:val="none"/>
        </w:rPr>
        <w:t>发布中标信息，视同将中标结果通知未中标的投标人。</w:t>
      </w:r>
    </w:p>
    <w:p>
      <w:pPr>
        <w:numPr>
          <w:ilvl w:val="1"/>
          <w:numId w:val="14"/>
        </w:numPr>
        <w:spacing w:line="360" w:lineRule="auto"/>
        <w:ind w:left="0" w:firstLine="567"/>
        <w:jc w:val="left"/>
        <w:outlineLvl w:val="2"/>
        <w:rPr>
          <w:rFonts w:ascii="宋体" w:hAnsi="宋体"/>
          <w:b/>
          <w:color w:val="auto"/>
          <w:sz w:val="28"/>
          <w:szCs w:val="28"/>
          <w:highlight w:val="none"/>
        </w:rPr>
      </w:pPr>
      <w:bookmarkStart w:id="67" w:name="_Toc21787674"/>
      <w:r>
        <w:rPr>
          <w:rFonts w:hint="eastAsia" w:ascii="宋体" w:hAnsi="宋体"/>
          <w:b/>
          <w:color w:val="auto"/>
          <w:sz w:val="28"/>
          <w:szCs w:val="28"/>
          <w:highlight w:val="none"/>
        </w:rPr>
        <w:t>履约担保</w:t>
      </w:r>
      <w:bookmarkEnd w:id="67"/>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7.4.1在签订合同前，中标人应按《投标人须知前附表》规定的担保形式和招标文件“第四章合同条款”规定的或者事先经过招标人书面认可的履约担保格式向招标人提交履约担保。</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7.4.2 中标人不能按本章第7.4.1项要求提交履约担保的，视为放弃中标，其投标保证金不予退还，给招标人造成的损失超过投标保证金数额的，中标人还应当对超过部分予以赔偿。</w:t>
      </w:r>
    </w:p>
    <w:p>
      <w:pPr>
        <w:numPr>
          <w:ilvl w:val="1"/>
          <w:numId w:val="14"/>
        </w:numPr>
        <w:spacing w:line="360" w:lineRule="auto"/>
        <w:ind w:left="0" w:firstLine="567"/>
        <w:jc w:val="left"/>
        <w:outlineLvl w:val="2"/>
        <w:rPr>
          <w:rFonts w:ascii="宋体" w:hAnsi="宋体"/>
          <w:b/>
          <w:color w:val="auto"/>
          <w:sz w:val="28"/>
          <w:szCs w:val="28"/>
          <w:highlight w:val="none"/>
        </w:rPr>
      </w:pPr>
      <w:bookmarkStart w:id="68" w:name="_Toc21787675"/>
      <w:r>
        <w:rPr>
          <w:rFonts w:hint="eastAsia" w:ascii="宋体" w:hAnsi="宋体"/>
          <w:b/>
          <w:color w:val="auto"/>
          <w:sz w:val="28"/>
          <w:szCs w:val="28"/>
          <w:highlight w:val="none"/>
        </w:rPr>
        <w:t>签订合同</w:t>
      </w:r>
      <w:bookmarkEnd w:id="68"/>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7.5.1招标人和中标人应当自中标通知书发出之日起30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7.5.2 发出中标通知书后，招标人无正当理由拒签合同的，招标人向中标人退还投标保证金；给中标人造成损失的，还应当赔偿损失。</w:t>
      </w:r>
      <w:bookmarkStart w:id="69" w:name="_Toc17362594"/>
      <w:bookmarkEnd w:id="69"/>
    </w:p>
    <w:p>
      <w:pPr>
        <w:pStyle w:val="3"/>
        <w:rPr>
          <w:rFonts w:ascii="宋体" w:hAnsi="宋体"/>
          <w:color w:val="auto"/>
          <w:highlight w:val="none"/>
        </w:rPr>
      </w:pPr>
      <w:bookmarkStart w:id="70" w:name="_Toc21787676"/>
      <w:r>
        <w:rPr>
          <w:rFonts w:hint="eastAsia" w:ascii="宋体" w:hAnsi="宋体"/>
          <w:color w:val="auto"/>
          <w:highlight w:val="none"/>
        </w:rPr>
        <w:t>纪律和监督</w:t>
      </w:r>
      <w:bookmarkEnd w:id="70"/>
    </w:p>
    <w:p>
      <w:pPr>
        <w:numPr>
          <w:ilvl w:val="1"/>
          <w:numId w:val="15"/>
        </w:numPr>
        <w:spacing w:line="360" w:lineRule="auto"/>
        <w:jc w:val="left"/>
        <w:outlineLvl w:val="2"/>
        <w:rPr>
          <w:rFonts w:ascii="宋体" w:hAnsi="宋体"/>
          <w:b/>
          <w:color w:val="auto"/>
          <w:sz w:val="28"/>
          <w:szCs w:val="28"/>
          <w:highlight w:val="none"/>
        </w:rPr>
      </w:pPr>
      <w:bookmarkStart w:id="71" w:name="_Toc21787677"/>
      <w:r>
        <w:rPr>
          <w:rFonts w:hint="eastAsia" w:ascii="宋体" w:hAnsi="宋体"/>
          <w:b/>
          <w:color w:val="auto"/>
          <w:sz w:val="28"/>
          <w:szCs w:val="28"/>
          <w:highlight w:val="none"/>
        </w:rPr>
        <w:t>对招标人的纪律要求</w:t>
      </w:r>
      <w:bookmarkEnd w:id="71"/>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招标人不得泄漏招标投标活动中应当保密的情况和资料，不得与投标人串通损害国家利益、社会公共利益或者他人合法权益。</w:t>
      </w:r>
    </w:p>
    <w:p>
      <w:pPr>
        <w:numPr>
          <w:ilvl w:val="1"/>
          <w:numId w:val="15"/>
        </w:numPr>
        <w:spacing w:line="360" w:lineRule="auto"/>
        <w:jc w:val="left"/>
        <w:outlineLvl w:val="2"/>
        <w:rPr>
          <w:rFonts w:ascii="宋体" w:hAnsi="宋体"/>
          <w:b/>
          <w:color w:val="auto"/>
          <w:sz w:val="28"/>
          <w:szCs w:val="28"/>
          <w:highlight w:val="none"/>
        </w:rPr>
      </w:pPr>
      <w:bookmarkStart w:id="72" w:name="_Toc21787678"/>
      <w:r>
        <w:rPr>
          <w:rFonts w:hint="eastAsia" w:ascii="宋体" w:hAnsi="宋体"/>
          <w:b/>
          <w:color w:val="auto"/>
          <w:sz w:val="28"/>
          <w:szCs w:val="28"/>
          <w:highlight w:val="none"/>
        </w:rPr>
        <w:t>对投标人的纪律要求</w:t>
      </w:r>
      <w:bookmarkEnd w:id="72"/>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numPr>
          <w:ilvl w:val="1"/>
          <w:numId w:val="15"/>
        </w:numPr>
        <w:spacing w:line="360" w:lineRule="auto"/>
        <w:jc w:val="left"/>
        <w:outlineLvl w:val="2"/>
        <w:rPr>
          <w:rFonts w:ascii="宋体" w:hAnsi="宋体"/>
          <w:b/>
          <w:color w:val="auto"/>
          <w:sz w:val="28"/>
          <w:szCs w:val="28"/>
          <w:highlight w:val="none"/>
        </w:rPr>
      </w:pPr>
      <w:bookmarkStart w:id="73" w:name="_Toc21787679"/>
      <w:r>
        <w:rPr>
          <w:rFonts w:hint="eastAsia" w:ascii="宋体" w:hAnsi="宋体"/>
          <w:b/>
          <w:color w:val="auto"/>
          <w:sz w:val="28"/>
          <w:szCs w:val="28"/>
          <w:highlight w:val="none"/>
        </w:rPr>
        <w:t>对评标委员会成员的纪律要求</w:t>
      </w:r>
      <w:bookmarkEnd w:id="73"/>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numPr>
          <w:ilvl w:val="1"/>
          <w:numId w:val="15"/>
        </w:numPr>
        <w:spacing w:line="360" w:lineRule="auto"/>
        <w:jc w:val="left"/>
        <w:outlineLvl w:val="2"/>
        <w:rPr>
          <w:rFonts w:ascii="宋体" w:hAnsi="宋体"/>
          <w:b/>
          <w:color w:val="auto"/>
          <w:sz w:val="28"/>
          <w:szCs w:val="28"/>
          <w:highlight w:val="none"/>
        </w:rPr>
      </w:pPr>
      <w:bookmarkStart w:id="74" w:name="_Toc21787680"/>
      <w:r>
        <w:rPr>
          <w:rFonts w:hint="eastAsia" w:ascii="宋体" w:hAnsi="宋体"/>
          <w:b/>
          <w:color w:val="auto"/>
          <w:sz w:val="28"/>
          <w:szCs w:val="28"/>
          <w:highlight w:val="none"/>
        </w:rPr>
        <w:t>对与评标活动有关的工作人员的纪律要求</w:t>
      </w:r>
      <w:bookmarkEnd w:id="74"/>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numPr>
          <w:ilvl w:val="1"/>
          <w:numId w:val="15"/>
        </w:numPr>
        <w:spacing w:line="360" w:lineRule="auto"/>
        <w:jc w:val="left"/>
        <w:outlineLvl w:val="2"/>
        <w:rPr>
          <w:rFonts w:ascii="宋体" w:hAnsi="宋体"/>
          <w:b/>
          <w:color w:val="auto"/>
          <w:sz w:val="28"/>
          <w:szCs w:val="28"/>
          <w:highlight w:val="none"/>
        </w:rPr>
      </w:pPr>
      <w:bookmarkStart w:id="75" w:name="_Toc21787681"/>
      <w:r>
        <w:rPr>
          <w:rFonts w:hint="eastAsia" w:ascii="宋体" w:hAnsi="宋体"/>
          <w:b/>
          <w:color w:val="auto"/>
          <w:sz w:val="28"/>
          <w:szCs w:val="28"/>
          <w:highlight w:val="none"/>
        </w:rPr>
        <w:t>投诉处理</w:t>
      </w:r>
      <w:bookmarkEnd w:id="75"/>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投标人和其他利害关系人认为本次招标活动违反法律、法规和规章规定的，有权向投标人须知前附表规定的行政监督部门投诉。就招标文件、开标、评标结果进行投诉的，投标人和其他利害关系人应当先向招标人提出异议。</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8.5.1依据《中华人民共和国招标投标法实施条例》第五十五条，对于中标公示期间的投诉处理的原则为：除第一中标候选人或中标人以外的其他投标人存在串通投标、弄虚作假、行贿情形且在评标过程中未被发现的，视为对中标结果没有造成实质性影响，可依法继续开展招标活动。投标人的违法行为由招标监管部门依法处理。</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8.5.2在招投标过程中，投标人（含中标候选人）被投诉且经查实存在招标投标活动中列明被禁止行为的，招标人将提请行政主管部门，并按《中华人民共和国招标投标法实施条例》、《工程建设项目招标投标活动投诉处理办法》等进行处理，同时将记录到市水务工程企业信息库及诚信评价管理系统。</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在招投标过程中，投诉人投诉事项经查实不属实的恶意投诉，招标人将提请行政主管部门，并按《中华人民共和国招标投标法实施条例》、《工程建设项目招标投标活动投诉处理办法》等进行处理，同时将记录到市水务工程企业信息库及诚信评价管理系统。</w:t>
      </w:r>
    </w:p>
    <w:p>
      <w:pPr>
        <w:pStyle w:val="3"/>
        <w:rPr>
          <w:rFonts w:ascii="宋体" w:hAnsi="宋体"/>
          <w:color w:val="auto"/>
          <w:highlight w:val="none"/>
        </w:rPr>
      </w:pPr>
      <w:bookmarkStart w:id="76" w:name="_Toc21787682"/>
      <w:r>
        <w:rPr>
          <w:rFonts w:hint="eastAsia" w:ascii="宋体" w:hAnsi="宋体"/>
          <w:color w:val="auto"/>
          <w:highlight w:val="none"/>
        </w:rPr>
        <w:t>需要补充的其他内容</w:t>
      </w:r>
      <w:bookmarkEnd w:id="76"/>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需要补充的其他内容：见投标人须知前附表。</w:t>
      </w:r>
    </w:p>
    <w:p>
      <w:pPr>
        <w:spacing w:line="360" w:lineRule="auto"/>
        <w:jc w:val="left"/>
        <w:outlineLvl w:val="2"/>
        <w:rPr>
          <w:rFonts w:ascii="宋体" w:hAnsi="宋体"/>
          <w:color w:val="auto"/>
          <w:sz w:val="24"/>
          <w:highlight w:val="none"/>
        </w:rPr>
        <w:sectPr>
          <w:footerReference r:id="rId3" w:type="default"/>
          <w:pgSz w:w="11906" w:h="16838"/>
          <w:pgMar w:top="1440" w:right="1800" w:bottom="1440" w:left="1800" w:header="851" w:footer="992" w:gutter="0"/>
          <w:pgNumType w:start="1"/>
          <w:cols w:space="720" w:num="1"/>
          <w:docGrid w:type="lines" w:linePitch="312" w:charSpace="0"/>
        </w:sectPr>
      </w:pPr>
    </w:p>
    <w:p>
      <w:pPr>
        <w:spacing w:line="360" w:lineRule="auto"/>
        <w:jc w:val="left"/>
        <w:outlineLvl w:val="2"/>
        <w:rPr>
          <w:rFonts w:ascii="宋体" w:hAnsi="宋体"/>
          <w:color w:val="auto"/>
          <w:sz w:val="28"/>
          <w:szCs w:val="27"/>
          <w:highlight w:val="none"/>
        </w:rPr>
      </w:pPr>
      <w:bookmarkStart w:id="77" w:name="_Toc21787683"/>
      <w:r>
        <w:rPr>
          <w:rFonts w:hint="eastAsia" w:ascii="宋体" w:hAnsi="宋体"/>
          <w:color w:val="auto"/>
          <w:sz w:val="28"/>
          <w:szCs w:val="27"/>
          <w:highlight w:val="none"/>
        </w:rPr>
        <w:t>附件1：开标记录表</w:t>
      </w:r>
      <w:bookmarkEnd w:id="77"/>
    </w:p>
    <w:p>
      <w:pPr>
        <w:spacing w:line="400" w:lineRule="exact"/>
        <w:jc w:val="center"/>
        <w:rPr>
          <w:rFonts w:ascii="宋体" w:hAnsi="宋体"/>
          <w:b/>
          <w:color w:val="auto"/>
          <w:sz w:val="28"/>
          <w:szCs w:val="28"/>
          <w:highlight w:val="none"/>
        </w:rPr>
      </w:pPr>
      <w:r>
        <w:rPr>
          <w:rFonts w:hint="eastAsia" w:ascii="宋体" w:hAnsi="宋体"/>
          <w:b/>
          <w:color w:val="auto"/>
          <w:sz w:val="28"/>
          <w:szCs w:val="28"/>
          <w:highlight w:val="none"/>
        </w:rPr>
        <w:t>（项目名称）开标记录表</w:t>
      </w:r>
    </w:p>
    <w:p>
      <w:pPr>
        <w:spacing w:line="500" w:lineRule="exact"/>
        <w:rPr>
          <w:rFonts w:ascii="宋体" w:hAnsi="宋体"/>
          <w:color w:val="auto"/>
          <w:highlight w:val="none"/>
        </w:rPr>
      </w:pPr>
      <w:r>
        <w:rPr>
          <w:rFonts w:hint="eastAsia" w:ascii="宋体" w:hAnsi="宋体"/>
          <w:color w:val="auto"/>
          <w:szCs w:val="21"/>
          <w:highlight w:val="none"/>
        </w:rPr>
        <w:t>评标基准价下浮率：                开标时间：  年   月   日    时分</w:t>
      </w:r>
    </w:p>
    <w:tbl>
      <w:tblPr>
        <w:tblStyle w:val="40"/>
        <w:tblW w:w="0" w:type="auto"/>
        <w:tblInd w:w="0" w:type="dxa"/>
        <w:tblLayout w:type="fixed"/>
        <w:tblCellMar>
          <w:top w:w="0" w:type="dxa"/>
          <w:left w:w="108" w:type="dxa"/>
          <w:bottom w:w="0" w:type="dxa"/>
          <w:right w:w="108" w:type="dxa"/>
        </w:tblCellMar>
      </w:tblPr>
      <w:tblGrid>
        <w:gridCol w:w="392"/>
        <w:gridCol w:w="2126"/>
        <w:gridCol w:w="851"/>
        <w:gridCol w:w="1134"/>
        <w:gridCol w:w="1278"/>
        <w:gridCol w:w="1418"/>
        <w:gridCol w:w="991"/>
        <w:gridCol w:w="1134"/>
        <w:gridCol w:w="1132"/>
        <w:gridCol w:w="1132"/>
        <w:gridCol w:w="1172"/>
        <w:gridCol w:w="1564"/>
      </w:tblGrid>
      <w:tr>
        <w:tblPrEx>
          <w:tblCellMar>
            <w:top w:w="0" w:type="dxa"/>
            <w:left w:w="108" w:type="dxa"/>
            <w:bottom w:w="0" w:type="dxa"/>
            <w:right w:w="108" w:type="dxa"/>
          </w:tblCellMar>
        </w:tblPrEx>
        <w:trPr>
          <w:trHeight w:val="2003" w:hRule="atLeast"/>
        </w:trPr>
        <w:tc>
          <w:tcPr>
            <w:tcW w:w="392" w:type="dxa"/>
            <w:tcBorders>
              <w:top w:val="single" w:color="auto" w:sz="4" w:space="0"/>
              <w:left w:val="single" w:color="auto" w:sz="4" w:space="0"/>
              <w:right w:val="single" w:color="auto" w:sz="4" w:space="0"/>
            </w:tcBorders>
            <w:vAlign w:val="center"/>
          </w:tcPr>
          <w:p>
            <w:pPr>
              <w:spacing w:line="500" w:lineRule="exact"/>
              <w:jc w:val="center"/>
              <w:rPr>
                <w:rFonts w:ascii="宋体" w:hAnsi="宋体"/>
                <w:color w:val="auto"/>
                <w:szCs w:val="21"/>
                <w:highlight w:val="none"/>
              </w:rPr>
            </w:pPr>
            <w:r>
              <w:rPr>
                <w:rFonts w:ascii="宋体" w:hAnsi="宋体"/>
                <w:color w:val="auto"/>
                <w:szCs w:val="21"/>
                <w:highlight w:val="none"/>
              </w:rPr>
              <w:t>序号</w:t>
            </w:r>
          </w:p>
        </w:tc>
        <w:tc>
          <w:tcPr>
            <w:tcW w:w="2126" w:type="dxa"/>
            <w:tcBorders>
              <w:top w:val="single" w:color="auto" w:sz="4" w:space="0"/>
              <w:left w:val="single" w:color="auto" w:sz="4" w:space="0"/>
              <w:right w:val="single" w:color="auto" w:sz="4" w:space="0"/>
            </w:tcBorders>
            <w:vAlign w:val="center"/>
          </w:tcPr>
          <w:p>
            <w:pPr>
              <w:spacing w:line="500" w:lineRule="exact"/>
              <w:jc w:val="center"/>
              <w:rPr>
                <w:rFonts w:ascii="宋体" w:hAnsi="宋体"/>
                <w:color w:val="auto"/>
                <w:szCs w:val="21"/>
                <w:highlight w:val="none"/>
              </w:rPr>
            </w:pPr>
            <w:r>
              <w:rPr>
                <w:rFonts w:ascii="宋体" w:hAnsi="宋体"/>
                <w:color w:val="auto"/>
                <w:szCs w:val="21"/>
                <w:highlight w:val="none"/>
              </w:rPr>
              <w:t>投标人</w:t>
            </w:r>
          </w:p>
        </w:tc>
        <w:tc>
          <w:tcPr>
            <w:tcW w:w="851" w:type="dxa"/>
            <w:tcBorders>
              <w:top w:val="single" w:color="auto" w:sz="4" w:space="0"/>
              <w:left w:val="single" w:color="auto" w:sz="4" w:space="0"/>
              <w:right w:val="single" w:color="auto" w:sz="4" w:space="0"/>
            </w:tcBorders>
            <w:vAlign w:val="center"/>
          </w:tcPr>
          <w:p>
            <w:pPr>
              <w:spacing w:line="500" w:lineRule="exact"/>
              <w:jc w:val="center"/>
              <w:rPr>
                <w:rFonts w:ascii="宋体" w:hAnsi="宋体"/>
                <w:color w:val="auto"/>
                <w:szCs w:val="21"/>
                <w:highlight w:val="none"/>
              </w:rPr>
            </w:pPr>
            <w:r>
              <w:rPr>
                <w:rFonts w:hint="eastAsia" w:ascii="宋体" w:hAnsi="宋体"/>
                <w:color w:val="auto"/>
                <w:szCs w:val="21"/>
                <w:highlight w:val="none"/>
              </w:rPr>
              <w:t>解密情况</w:t>
            </w:r>
          </w:p>
        </w:tc>
        <w:tc>
          <w:tcPr>
            <w:tcW w:w="1134" w:type="dxa"/>
            <w:tcBorders>
              <w:top w:val="single" w:color="auto" w:sz="4" w:space="0"/>
              <w:left w:val="single" w:color="auto" w:sz="4" w:space="0"/>
              <w:right w:val="single" w:color="auto" w:sz="4" w:space="0"/>
            </w:tcBorders>
            <w:vAlign w:val="center"/>
          </w:tcPr>
          <w:p>
            <w:pPr>
              <w:spacing w:line="500" w:lineRule="exact"/>
              <w:jc w:val="center"/>
              <w:rPr>
                <w:rFonts w:ascii="宋体" w:hAnsi="宋体"/>
                <w:color w:val="auto"/>
                <w:szCs w:val="21"/>
                <w:highlight w:val="none"/>
              </w:rPr>
            </w:pPr>
            <w:r>
              <w:rPr>
                <w:rFonts w:ascii="宋体" w:hAnsi="宋体"/>
                <w:color w:val="auto"/>
                <w:szCs w:val="21"/>
                <w:highlight w:val="none"/>
              </w:rPr>
              <w:t>投标保证金</w:t>
            </w:r>
          </w:p>
        </w:tc>
        <w:tc>
          <w:tcPr>
            <w:tcW w:w="1278" w:type="dxa"/>
            <w:tcBorders>
              <w:top w:val="single" w:color="auto" w:sz="4" w:space="0"/>
              <w:left w:val="single" w:color="auto" w:sz="4" w:space="0"/>
              <w:right w:val="single" w:color="auto" w:sz="4" w:space="0"/>
            </w:tcBorders>
            <w:vAlign w:val="center"/>
          </w:tcPr>
          <w:p>
            <w:pPr>
              <w:spacing w:line="500" w:lineRule="exact"/>
              <w:jc w:val="center"/>
              <w:rPr>
                <w:rFonts w:ascii="宋体" w:hAnsi="宋体"/>
                <w:color w:val="auto"/>
                <w:szCs w:val="21"/>
                <w:highlight w:val="none"/>
              </w:rPr>
            </w:pPr>
            <w:r>
              <w:rPr>
                <w:rFonts w:ascii="宋体" w:hAnsi="宋体"/>
                <w:color w:val="auto"/>
                <w:szCs w:val="21"/>
                <w:highlight w:val="none"/>
              </w:rPr>
              <w:t>投标报价（元）</w:t>
            </w:r>
          </w:p>
        </w:tc>
        <w:tc>
          <w:tcPr>
            <w:tcW w:w="1418" w:type="dxa"/>
            <w:tcBorders>
              <w:top w:val="single" w:color="auto" w:sz="4" w:space="0"/>
              <w:left w:val="single" w:color="auto" w:sz="4" w:space="0"/>
              <w:right w:val="single" w:color="auto" w:sz="4" w:space="0"/>
            </w:tcBorders>
            <w:vAlign w:val="center"/>
          </w:tcPr>
          <w:p>
            <w:pPr>
              <w:spacing w:line="500" w:lineRule="exact"/>
              <w:jc w:val="center"/>
              <w:rPr>
                <w:rFonts w:ascii="宋体" w:hAnsi="宋体"/>
                <w:color w:val="auto"/>
                <w:szCs w:val="21"/>
                <w:highlight w:val="none"/>
              </w:rPr>
            </w:pPr>
            <w:r>
              <w:rPr>
                <w:rFonts w:ascii="宋体" w:hAnsi="宋体"/>
                <w:color w:val="auto"/>
                <w:szCs w:val="21"/>
                <w:highlight w:val="none"/>
              </w:rPr>
              <w:t>质量</w:t>
            </w:r>
            <w:r>
              <w:rPr>
                <w:rFonts w:hint="eastAsia" w:ascii="宋体" w:hAnsi="宋体"/>
                <w:color w:val="auto"/>
                <w:szCs w:val="21"/>
                <w:highlight w:val="none"/>
              </w:rPr>
              <w:t>标准</w:t>
            </w:r>
          </w:p>
        </w:tc>
        <w:tc>
          <w:tcPr>
            <w:tcW w:w="991" w:type="dxa"/>
            <w:tcBorders>
              <w:top w:val="single" w:color="auto" w:sz="4" w:space="0"/>
              <w:left w:val="single" w:color="auto" w:sz="4" w:space="0"/>
              <w:right w:val="single" w:color="auto" w:sz="4" w:space="0"/>
            </w:tcBorders>
            <w:vAlign w:val="center"/>
          </w:tcPr>
          <w:p>
            <w:pPr>
              <w:spacing w:line="500" w:lineRule="exact"/>
              <w:jc w:val="center"/>
              <w:rPr>
                <w:rFonts w:ascii="宋体" w:hAnsi="宋体"/>
                <w:color w:val="auto"/>
                <w:szCs w:val="21"/>
                <w:highlight w:val="none"/>
              </w:rPr>
            </w:pPr>
            <w:r>
              <w:rPr>
                <w:rFonts w:ascii="宋体" w:hAnsi="宋体"/>
                <w:color w:val="auto"/>
                <w:szCs w:val="21"/>
                <w:highlight w:val="none"/>
              </w:rPr>
              <w:t>工期</w:t>
            </w:r>
            <w:r>
              <w:rPr>
                <w:rFonts w:hint="eastAsia" w:ascii="宋体" w:hAnsi="宋体"/>
                <w:color w:val="auto"/>
                <w:szCs w:val="21"/>
                <w:highlight w:val="none"/>
              </w:rPr>
              <w:t>（天）</w:t>
            </w:r>
          </w:p>
        </w:tc>
        <w:tc>
          <w:tcPr>
            <w:tcW w:w="1134" w:type="dxa"/>
            <w:tcBorders>
              <w:top w:val="single" w:color="auto" w:sz="4" w:space="0"/>
              <w:left w:val="single" w:color="auto" w:sz="4" w:space="0"/>
              <w:right w:val="single" w:color="auto" w:sz="4" w:space="0"/>
            </w:tcBorders>
            <w:vAlign w:val="center"/>
          </w:tcPr>
          <w:p>
            <w:pPr>
              <w:spacing w:line="500" w:lineRule="exact"/>
              <w:jc w:val="center"/>
              <w:rPr>
                <w:rFonts w:ascii="宋体" w:hAnsi="宋体"/>
                <w:color w:val="auto"/>
                <w:szCs w:val="21"/>
                <w:highlight w:val="none"/>
              </w:rPr>
            </w:pPr>
            <w:r>
              <w:rPr>
                <w:rFonts w:hint="eastAsia" w:ascii="宋体" w:hAnsi="宋体"/>
                <w:color w:val="auto"/>
                <w:szCs w:val="21"/>
                <w:highlight w:val="none"/>
              </w:rPr>
              <w:t>项目负责人投报登记时</w:t>
            </w:r>
          </w:p>
        </w:tc>
        <w:tc>
          <w:tcPr>
            <w:tcW w:w="1132" w:type="dxa"/>
            <w:tcBorders>
              <w:top w:val="single" w:color="auto" w:sz="4" w:space="0"/>
              <w:left w:val="single" w:color="auto" w:sz="4" w:space="0"/>
              <w:right w:val="single" w:color="auto" w:sz="4" w:space="0"/>
            </w:tcBorders>
            <w:vAlign w:val="center"/>
          </w:tcPr>
          <w:p>
            <w:pPr>
              <w:spacing w:line="500" w:lineRule="exact"/>
              <w:jc w:val="center"/>
              <w:rPr>
                <w:rFonts w:ascii="宋体" w:hAnsi="宋体"/>
                <w:color w:val="auto"/>
                <w:szCs w:val="21"/>
                <w:highlight w:val="none"/>
              </w:rPr>
            </w:pPr>
            <w:r>
              <w:rPr>
                <w:rFonts w:hint="eastAsia" w:ascii="宋体" w:hAnsi="宋体"/>
                <w:color w:val="auto"/>
                <w:szCs w:val="21"/>
                <w:highlight w:val="none"/>
              </w:rPr>
              <w:t>项目负责人投标时</w:t>
            </w:r>
          </w:p>
        </w:tc>
        <w:tc>
          <w:tcPr>
            <w:tcW w:w="1132" w:type="dxa"/>
            <w:tcBorders>
              <w:top w:val="single" w:color="auto" w:sz="4" w:space="0"/>
              <w:left w:val="single" w:color="auto" w:sz="4" w:space="0"/>
              <w:right w:val="single" w:color="auto" w:sz="4" w:space="0"/>
            </w:tcBorders>
            <w:vAlign w:val="center"/>
          </w:tcPr>
          <w:p>
            <w:pPr>
              <w:spacing w:line="500" w:lineRule="exact"/>
              <w:jc w:val="center"/>
              <w:rPr>
                <w:rFonts w:ascii="宋体" w:hAnsi="宋体"/>
                <w:color w:val="auto"/>
                <w:szCs w:val="21"/>
                <w:highlight w:val="none"/>
              </w:rPr>
            </w:pPr>
            <w:r>
              <w:rPr>
                <w:rFonts w:hint="eastAsia" w:ascii="宋体" w:hAnsi="宋体"/>
                <w:color w:val="auto"/>
                <w:szCs w:val="21"/>
                <w:highlight w:val="none"/>
              </w:rPr>
              <w:t>专职安全员投报登记时</w:t>
            </w:r>
          </w:p>
        </w:tc>
        <w:tc>
          <w:tcPr>
            <w:tcW w:w="1172" w:type="dxa"/>
            <w:tcBorders>
              <w:top w:val="single" w:color="auto" w:sz="4" w:space="0"/>
              <w:left w:val="single" w:color="auto" w:sz="4" w:space="0"/>
              <w:right w:val="single" w:color="auto" w:sz="4" w:space="0"/>
            </w:tcBorders>
            <w:vAlign w:val="center"/>
          </w:tcPr>
          <w:p>
            <w:pPr>
              <w:spacing w:line="500" w:lineRule="exact"/>
              <w:jc w:val="center"/>
              <w:rPr>
                <w:rFonts w:ascii="宋体" w:hAnsi="宋体"/>
                <w:color w:val="auto"/>
                <w:szCs w:val="21"/>
                <w:highlight w:val="none"/>
              </w:rPr>
            </w:pPr>
            <w:r>
              <w:rPr>
                <w:rFonts w:hint="eastAsia" w:ascii="宋体" w:hAnsi="宋体"/>
                <w:color w:val="auto"/>
                <w:szCs w:val="21"/>
                <w:highlight w:val="none"/>
              </w:rPr>
              <w:t>专职安全员投标时</w:t>
            </w:r>
          </w:p>
        </w:tc>
        <w:tc>
          <w:tcPr>
            <w:tcW w:w="1564" w:type="dxa"/>
            <w:tcBorders>
              <w:top w:val="single" w:color="auto" w:sz="4" w:space="0"/>
              <w:left w:val="single" w:color="auto" w:sz="4" w:space="0"/>
              <w:right w:val="single" w:color="auto" w:sz="4" w:space="0"/>
            </w:tcBorders>
            <w:vAlign w:val="center"/>
          </w:tcPr>
          <w:p>
            <w:pPr>
              <w:spacing w:line="500" w:lineRule="exact"/>
              <w:jc w:val="center"/>
              <w:rPr>
                <w:rFonts w:ascii="宋体" w:hAnsi="宋体"/>
                <w:color w:val="auto"/>
                <w:szCs w:val="21"/>
                <w:highlight w:val="none"/>
              </w:rPr>
            </w:pPr>
            <w:r>
              <w:rPr>
                <w:rFonts w:hint="eastAsia" w:ascii="宋体" w:hAnsi="宋体"/>
                <w:color w:val="auto"/>
                <w:szCs w:val="21"/>
                <w:highlight w:val="none"/>
              </w:rPr>
              <w:t>备注</w:t>
            </w:r>
          </w:p>
        </w:tc>
      </w:tr>
      <w:tr>
        <w:tblPrEx>
          <w:tblCellMar>
            <w:top w:w="0" w:type="dxa"/>
            <w:left w:w="108" w:type="dxa"/>
            <w:bottom w:w="0" w:type="dxa"/>
            <w:right w:w="108" w:type="dxa"/>
          </w:tblCellMar>
        </w:tblPrEx>
        <w:tc>
          <w:tcPr>
            <w:tcW w:w="392"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2126"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851"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1278"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991"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1132"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1132"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1172"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1564"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r>
      <w:tr>
        <w:tblPrEx>
          <w:tblCellMar>
            <w:top w:w="0" w:type="dxa"/>
            <w:left w:w="108" w:type="dxa"/>
            <w:bottom w:w="0" w:type="dxa"/>
            <w:right w:w="108" w:type="dxa"/>
          </w:tblCellMar>
        </w:tblPrEx>
        <w:tc>
          <w:tcPr>
            <w:tcW w:w="392"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2126"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851"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1278"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991"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1132"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1132"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1172"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1564"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r>
      <w:tr>
        <w:tblPrEx>
          <w:tblCellMar>
            <w:top w:w="0" w:type="dxa"/>
            <w:left w:w="108" w:type="dxa"/>
            <w:bottom w:w="0" w:type="dxa"/>
            <w:right w:w="108" w:type="dxa"/>
          </w:tblCellMar>
        </w:tblPrEx>
        <w:tc>
          <w:tcPr>
            <w:tcW w:w="392"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2126"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851"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1278"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991"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1132"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1132"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1172"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1564"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r>
      <w:tr>
        <w:tblPrEx>
          <w:tblCellMar>
            <w:top w:w="0" w:type="dxa"/>
            <w:left w:w="108" w:type="dxa"/>
            <w:bottom w:w="0" w:type="dxa"/>
            <w:right w:w="108" w:type="dxa"/>
          </w:tblCellMar>
        </w:tblPrEx>
        <w:tc>
          <w:tcPr>
            <w:tcW w:w="392"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2126"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851"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1278"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991"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1132"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1132"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1172"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1564"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r>
      <w:tr>
        <w:tblPrEx>
          <w:tblCellMar>
            <w:top w:w="0" w:type="dxa"/>
            <w:left w:w="108" w:type="dxa"/>
            <w:bottom w:w="0" w:type="dxa"/>
            <w:right w:w="108" w:type="dxa"/>
          </w:tblCellMar>
        </w:tblPrEx>
        <w:tc>
          <w:tcPr>
            <w:tcW w:w="5781" w:type="dxa"/>
            <w:gridSpan w:val="5"/>
            <w:tcBorders>
              <w:top w:val="single" w:color="auto" w:sz="4" w:space="0"/>
              <w:left w:val="single" w:color="auto" w:sz="4" w:space="0"/>
              <w:bottom w:val="single" w:color="auto" w:sz="4" w:space="0"/>
              <w:right w:val="single" w:color="auto" w:sz="4" w:space="0"/>
            </w:tcBorders>
            <w:vAlign w:val="center"/>
          </w:tcPr>
          <w:p>
            <w:pPr>
              <w:spacing w:line="500" w:lineRule="exact"/>
              <w:rPr>
                <w:rFonts w:ascii="宋体" w:hAnsi="宋体"/>
                <w:color w:val="auto"/>
                <w:szCs w:val="21"/>
                <w:highlight w:val="none"/>
              </w:rPr>
            </w:pPr>
            <w:r>
              <w:rPr>
                <w:rFonts w:ascii="宋体" w:hAnsi="宋体"/>
                <w:color w:val="auto"/>
                <w:szCs w:val="21"/>
                <w:highlight w:val="none"/>
              </w:rPr>
              <w:t>招标人编制</w:t>
            </w:r>
            <w:r>
              <w:rPr>
                <w:rFonts w:hint="eastAsia" w:ascii="宋体" w:hAnsi="宋体"/>
                <w:color w:val="auto"/>
                <w:szCs w:val="21"/>
                <w:highlight w:val="none"/>
              </w:rPr>
              <w:t>最高投标限价（单位：元）</w:t>
            </w:r>
          </w:p>
        </w:tc>
        <w:tc>
          <w:tcPr>
            <w:tcW w:w="8543" w:type="dxa"/>
            <w:gridSpan w:val="7"/>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r>
    </w:tbl>
    <w:p>
      <w:pPr>
        <w:spacing w:line="440" w:lineRule="exact"/>
        <w:rPr>
          <w:rFonts w:ascii="宋体" w:hAnsi="宋体"/>
          <w:color w:val="auto"/>
          <w:highlight w:val="none"/>
          <w:u w:val="single"/>
        </w:rPr>
      </w:pPr>
      <w:r>
        <w:rPr>
          <w:rFonts w:hint="eastAsia" w:ascii="宋体" w:hAnsi="宋体"/>
          <w:color w:val="auto"/>
          <w:highlight w:val="none"/>
          <w:u w:val="single"/>
        </w:rPr>
        <w:t>(以</w:t>
      </w:r>
      <w:r>
        <w:rPr>
          <w:rFonts w:hint="eastAsia" w:ascii="宋体" w:hAnsi="宋体"/>
          <w:color w:val="auto"/>
          <w:highlight w:val="none"/>
          <w:u w:val="single"/>
          <w:lang w:eastAsia="zh-CN"/>
        </w:rPr>
        <w:t>广州交易集团有限公司（广州公共资源交易中心）网</w:t>
      </w:r>
      <w:r>
        <w:rPr>
          <w:rFonts w:hint="eastAsia" w:ascii="宋体" w:hAnsi="宋体"/>
          <w:color w:val="auto"/>
          <w:highlight w:val="none"/>
          <w:u w:val="single"/>
        </w:rPr>
        <w:t>站上为准</w:t>
      </w:r>
      <w:r>
        <w:rPr>
          <w:rFonts w:ascii="宋体" w:hAnsi="宋体"/>
          <w:color w:val="auto"/>
          <w:highlight w:val="none"/>
          <w:u w:val="single"/>
        </w:rPr>
        <w:t>)</w:t>
      </w:r>
    </w:p>
    <w:p>
      <w:pPr>
        <w:spacing w:line="440" w:lineRule="exact"/>
        <w:rPr>
          <w:rFonts w:ascii="宋体" w:hAnsi="宋体"/>
          <w:color w:val="auto"/>
          <w:highlight w:val="none"/>
        </w:rPr>
      </w:pPr>
    </w:p>
    <w:p>
      <w:pPr>
        <w:spacing w:line="440" w:lineRule="exact"/>
        <w:rPr>
          <w:rFonts w:ascii="宋体" w:hAnsi="宋体"/>
          <w:color w:val="auto"/>
          <w:highlight w:val="none"/>
          <w:u w:val="single"/>
        </w:rPr>
      </w:pPr>
      <w:r>
        <w:rPr>
          <w:rFonts w:hint="eastAsia" w:ascii="宋体" w:hAnsi="宋体"/>
          <w:color w:val="auto"/>
          <w:highlight w:val="none"/>
        </w:rPr>
        <w:t>招标人代表：            记录人：</w:t>
      </w:r>
    </w:p>
    <w:p>
      <w:pPr>
        <w:wordWrap w:val="0"/>
        <w:spacing w:line="440" w:lineRule="exact"/>
        <w:jc w:val="right"/>
        <w:rPr>
          <w:rFonts w:ascii="宋体" w:hAnsi="宋体"/>
          <w:color w:val="auto"/>
          <w:highlight w:val="none"/>
          <w:u w:val="single"/>
        </w:rPr>
      </w:pPr>
      <w:r>
        <w:rPr>
          <w:rFonts w:hint="eastAsia" w:ascii="宋体" w:hAnsi="宋体"/>
          <w:color w:val="auto"/>
          <w:highlight w:val="none"/>
        </w:rPr>
        <w:t>年    月    日</w:t>
      </w:r>
    </w:p>
    <w:p>
      <w:pPr>
        <w:spacing w:line="360" w:lineRule="auto"/>
        <w:jc w:val="center"/>
        <w:rPr>
          <w:rFonts w:ascii="宋体" w:hAnsi="宋体"/>
          <w:b/>
          <w:color w:val="auto"/>
          <w:sz w:val="32"/>
          <w:szCs w:val="32"/>
          <w:highlight w:val="none"/>
        </w:rPr>
        <w:sectPr>
          <w:pgSz w:w="16838" w:h="11906" w:orient="landscape"/>
          <w:pgMar w:top="1797" w:right="1440" w:bottom="1797" w:left="1440" w:header="851" w:footer="992" w:gutter="0"/>
          <w:cols w:space="720" w:num="1"/>
          <w:docGrid w:type="linesAndChars" w:linePitch="312" w:charSpace="0"/>
        </w:sectPr>
      </w:pPr>
    </w:p>
    <w:p>
      <w:pPr>
        <w:spacing w:line="360" w:lineRule="auto"/>
        <w:jc w:val="center"/>
        <w:rPr>
          <w:rFonts w:ascii="宋体" w:hAnsi="宋体"/>
          <w:b/>
          <w:color w:val="auto"/>
          <w:sz w:val="32"/>
          <w:szCs w:val="32"/>
          <w:highlight w:val="none"/>
        </w:rPr>
      </w:pPr>
      <w:r>
        <w:rPr>
          <w:rFonts w:hint="eastAsia" w:ascii="宋体" w:hAnsi="宋体"/>
          <w:color w:val="auto"/>
          <w:sz w:val="28"/>
          <w:szCs w:val="27"/>
          <w:highlight w:val="none"/>
        </w:rPr>
        <w:t>附件2：抽取评标基准价的下浮率记录表</w:t>
      </w:r>
    </w:p>
    <w:p>
      <w:pPr>
        <w:spacing w:line="360" w:lineRule="auto"/>
        <w:rPr>
          <w:rFonts w:ascii="宋体" w:hAnsi="宋体"/>
          <w:b/>
          <w:color w:val="auto"/>
          <w:szCs w:val="21"/>
          <w:highlight w:val="none"/>
        </w:rPr>
      </w:pPr>
    </w:p>
    <w:p>
      <w:pPr>
        <w:tabs>
          <w:tab w:val="left" w:pos="720"/>
        </w:tabs>
        <w:snapToGrid w:val="0"/>
        <w:spacing w:line="360" w:lineRule="auto"/>
        <w:jc w:val="center"/>
        <w:rPr>
          <w:rFonts w:ascii="宋体" w:hAnsi="宋体"/>
          <w:b/>
          <w:color w:val="auto"/>
          <w:sz w:val="28"/>
          <w:szCs w:val="28"/>
          <w:highlight w:val="none"/>
        </w:rPr>
      </w:pPr>
      <w:r>
        <w:rPr>
          <w:rFonts w:hint="eastAsia" w:ascii="宋体" w:hAnsi="宋体"/>
          <w:b/>
          <w:color w:val="auto"/>
          <w:sz w:val="28"/>
          <w:szCs w:val="28"/>
          <w:highlight w:val="none"/>
        </w:rPr>
        <w:t>抽取评标基准价的下浮率记录表</w:t>
      </w:r>
    </w:p>
    <w:p>
      <w:pPr>
        <w:tabs>
          <w:tab w:val="left" w:pos="720"/>
        </w:tabs>
        <w:snapToGrid w:val="0"/>
        <w:spacing w:line="360" w:lineRule="auto"/>
        <w:jc w:val="left"/>
        <w:rPr>
          <w:rFonts w:ascii="宋体" w:hAnsi="宋体"/>
          <w:color w:val="auto"/>
          <w:sz w:val="24"/>
          <w:highlight w:val="none"/>
        </w:rPr>
      </w:pPr>
      <w:r>
        <w:rPr>
          <w:rFonts w:hint="eastAsia" w:ascii="宋体" w:hAnsi="宋体"/>
          <w:color w:val="auto"/>
          <w:sz w:val="24"/>
          <w:highlight w:val="none"/>
        </w:rPr>
        <w:t>项目名称：</w:t>
      </w:r>
    </w:p>
    <w:p>
      <w:pPr>
        <w:tabs>
          <w:tab w:val="left" w:pos="720"/>
        </w:tabs>
        <w:snapToGrid w:val="0"/>
        <w:spacing w:line="360" w:lineRule="auto"/>
        <w:jc w:val="left"/>
        <w:rPr>
          <w:rFonts w:ascii="宋体" w:hAnsi="宋体"/>
          <w:color w:val="auto"/>
          <w:sz w:val="24"/>
          <w:highlight w:val="none"/>
        </w:rPr>
      </w:pPr>
      <w:r>
        <w:rPr>
          <w:rFonts w:hint="eastAsia" w:ascii="宋体" w:hAnsi="宋体"/>
          <w:color w:val="auto"/>
          <w:sz w:val="24"/>
          <w:highlight w:val="none"/>
        </w:rPr>
        <w:t>开标地点：</w:t>
      </w:r>
    </w:p>
    <w:tbl>
      <w:tblPr>
        <w:tblStyle w:val="4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8"/>
        <w:gridCol w:w="1534"/>
        <w:gridCol w:w="1619"/>
        <w:gridCol w:w="42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8" w:type="dxa"/>
            <w:vAlign w:val="center"/>
          </w:tcPr>
          <w:p>
            <w:pPr>
              <w:tabs>
                <w:tab w:val="left" w:pos="720"/>
              </w:tabs>
              <w:snapToGrid w:val="0"/>
              <w:jc w:val="center"/>
              <w:rPr>
                <w:rFonts w:ascii="宋体" w:hAnsi="宋体"/>
                <w:color w:val="auto"/>
                <w:sz w:val="24"/>
                <w:highlight w:val="none"/>
              </w:rPr>
            </w:pPr>
            <w:r>
              <w:rPr>
                <w:rFonts w:hint="eastAsia" w:ascii="宋体" w:hAnsi="宋体"/>
                <w:color w:val="auto"/>
                <w:sz w:val="24"/>
                <w:highlight w:val="none"/>
              </w:rPr>
              <w:t>球号</w:t>
            </w:r>
          </w:p>
        </w:tc>
        <w:tc>
          <w:tcPr>
            <w:tcW w:w="1534" w:type="dxa"/>
            <w:vAlign w:val="center"/>
          </w:tcPr>
          <w:p>
            <w:pPr>
              <w:tabs>
                <w:tab w:val="left" w:pos="720"/>
              </w:tabs>
              <w:snapToGrid w:val="0"/>
              <w:jc w:val="center"/>
              <w:rPr>
                <w:rFonts w:ascii="宋体" w:hAnsi="宋体"/>
                <w:color w:val="auto"/>
                <w:sz w:val="24"/>
                <w:highlight w:val="none"/>
              </w:rPr>
            </w:pPr>
            <w:r>
              <w:rPr>
                <w:rFonts w:hint="eastAsia" w:ascii="宋体" w:hAnsi="宋体"/>
                <w:color w:val="auto"/>
                <w:sz w:val="24"/>
                <w:highlight w:val="none"/>
              </w:rPr>
              <w:t>代表下浮率（%）</w:t>
            </w:r>
          </w:p>
        </w:tc>
        <w:tc>
          <w:tcPr>
            <w:tcW w:w="1619" w:type="dxa"/>
            <w:vAlign w:val="center"/>
          </w:tcPr>
          <w:p>
            <w:pPr>
              <w:tabs>
                <w:tab w:val="left" w:pos="720"/>
              </w:tabs>
              <w:snapToGrid w:val="0"/>
              <w:jc w:val="center"/>
              <w:rPr>
                <w:rFonts w:ascii="宋体" w:hAnsi="宋体"/>
                <w:color w:val="auto"/>
                <w:sz w:val="24"/>
                <w:highlight w:val="none"/>
              </w:rPr>
            </w:pPr>
            <w:r>
              <w:rPr>
                <w:rFonts w:hint="eastAsia" w:ascii="宋体" w:hAnsi="宋体"/>
                <w:color w:val="auto"/>
                <w:sz w:val="24"/>
                <w:highlight w:val="none"/>
              </w:rPr>
              <w:t>摇出球号</w:t>
            </w:r>
          </w:p>
        </w:tc>
        <w:tc>
          <w:tcPr>
            <w:tcW w:w="4261" w:type="dxa"/>
            <w:vAlign w:val="center"/>
          </w:tcPr>
          <w:p>
            <w:pPr>
              <w:tabs>
                <w:tab w:val="left" w:pos="720"/>
              </w:tabs>
              <w:snapToGrid w:val="0"/>
              <w:jc w:val="center"/>
              <w:rPr>
                <w:rFonts w:ascii="宋体" w:hAnsi="宋体"/>
                <w:color w:val="auto"/>
                <w:sz w:val="24"/>
                <w:highlight w:val="none"/>
              </w:rPr>
            </w:pPr>
            <w:r>
              <w:rPr>
                <w:rFonts w:hint="eastAsia" w:ascii="宋体" w:hAnsi="宋体"/>
                <w:color w:val="auto"/>
                <w:sz w:val="24"/>
                <w:highlight w:val="none"/>
              </w:rPr>
              <w:t>随机抽取的评标基准价的下浮率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8" w:type="dxa"/>
          </w:tcPr>
          <w:p>
            <w:pPr>
              <w:tabs>
                <w:tab w:val="left" w:pos="720"/>
              </w:tabs>
              <w:snapToGrid w:val="0"/>
              <w:jc w:val="center"/>
              <w:rPr>
                <w:rFonts w:ascii="宋体" w:hAnsi="宋体"/>
                <w:color w:val="auto"/>
                <w:sz w:val="24"/>
                <w:highlight w:val="none"/>
              </w:rPr>
            </w:pPr>
          </w:p>
        </w:tc>
        <w:tc>
          <w:tcPr>
            <w:tcW w:w="1534" w:type="dxa"/>
          </w:tcPr>
          <w:p>
            <w:pPr>
              <w:tabs>
                <w:tab w:val="left" w:pos="720"/>
              </w:tabs>
              <w:snapToGrid w:val="0"/>
              <w:jc w:val="center"/>
              <w:rPr>
                <w:rFonts w:ascii="宋体" w:hAnsi="宋体"/>
                <w:color w:val="auto"/>
                <w:sz w:val="24"/>
                <w:highlight w:val="none"/>
              </w:rPr>
            </w:pPr>
            <w:r>
              <w:rPr>
                <w:rFonts w:hint="eastAsia" w:ascii="宋体" w:hAnsi="宋体"/>
                <w:color w:val="auto"/>
                <w:sz w:val="24"/>
                <w:highlight w:val="none"/>
              </w:rPr>
              <w:t>2</w:t>
            </w:r>
          </w:p>
        </w:tc>
        <w:tc>
          <w:tcPr>
            <w:tcW w:w="1619" w:type="dxa"/>
            <w:vMerge w:val="restart"/>
          </w:tcPr>
          <w:p>
            <w:pPr>
              <w:tabs>
                <w:tab w:val="left" w:pos="720"/>
              </w:tabs>
              <w:snapToGrid w:val="0"/>
              <w:jc w:val="center"/>
              <w:rPr>
                <w:rFonts w:ascii="宋体" w:hAnsi="宋体"/>
                <w:color w:val="auto"/>
                <w:sz w:val="24"/>
                <w:highlight w:val="none"/>
              </w:rPr>
            </w:pPr>
          </w:p>
        </w:tc>
        <w:tc>
          <w:tcPr>
            <w:tcW w:w="4261" w:type="dxa"/>
            <w:vMerge w:val="restart"/>
          </w:tcPr>
          <w:p>
            <w:pPr>
              <w:tabs>
                <w:tab w:val="left" w:pos="720"/>
              </w:tabs>
              <w:snapToGrid w:val="0"/>
              <w:jc w:val="center"/>
              <w:rPr>
                <w:rFonts w:ascii="宋体" w:hAnsi="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8" w:type="dxa"/>
          </w:tcPr>
          <w:p>
            <w:pPr>
              <w:tabs>
                <w:tab w:val="left" w:pos="720"/>
              </w:tabs>
              <w:snapToGrid w:val="0"/>
              <w:jc w:val="center"/>
              <w:rPr>
                <w:rFonts w:ascii="宋体" w:hAnsi="宋体"/>
                <w:color w:val="auto"/>
                <w:sz w:val="24"/>
                <w:highlight w:val="none"/>
              </w:rPr>
            </w:pPr>
          </w:p>
        </w:tc>
        <w:tc>
          <w:tcPr>
            <w:tcW w:w="1534" w:type="dxa"/>
          </w:tcPr>
          <w:p>
            <w:pPr>
              <w:tabs>
                <w:tab w:val="left" w:pos="720"/>
              </w:tabs>
              <w:snapToGrid w:val="0"/>
              <w:jc w:val="center"/>
              <w:rPr>
                <w:rFonts w:ascii="宋体" w:hAnsi="宋体"/>
                <w:color w:val="auto"/>
                <w:sz w:val="24"/>
                <w:highlight w:val="none"/>
              </w:rPr>
            </w:pPr>
            <w:r>
              <w:rPr>
                <w:rFonts w:hint="eastAsia" w:ascii="宋体" w:hAnsi="宋体"/>
                <w:color w:val="auto"/>
                <w:sz w:val="24"/>
                <w:highlight w:val="none"/>
              </w:rPr>
              <w:t>2.5</w:t>
            </w:r>
          </w:p>
        </w:tc>
        <w:tc>
          <w:tcPr>
            <w:tcW w:w="1619" w:type="dxa"/>
            <w:vMerge w:val="continue"/>
          </w:tcPr>
          <w:p>
            <w:pPr>
              <w:tabs>
                <w:tab w:val="left" w:pos="720"/>
              </w:tabs>
              <w:snapToGrid w:val="0"/>
              <w:jc w:val="center"/>
              <w:rPr>
                <w:rFonts w:ascii="宋体" w:hAnsi="宋体"/>
                <w:color w:val="auto"/>
                <w:sz w:val="24"/>
                <w:highlight w:val="none"/>
              </w:rPr>
            </w:pPr>
          </w:p>
        </w:tc>
        <w:tc>
          <w:tcPr>
            <w:tcW w:w="4261" w:type="dxa"/>
            <w:vMerge w:val="continue"/>
          </w:tcPr>
          <w:p>
            <w:pPr>
              <w:tabs>
                <w:tab w:val="left" w:pos="720"/>
              </w:tabs>
              <w:snapToGrid w:val="0"/>
              <w:jc w:val="center"/>
              <w:rPr>
                <w:rFonts w:ascii="宋体" w:hAnsi="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8" w:type="dxa"/>
          </w:tcPr>
          <w:p>
            <w:pPr>
              <w:tabs>
                <w:tab w:val="left" w:pos="720"/>
              </w:tabs>
              <w:snapToGrid w:val="0"/>
              <w:jc w:val="center"/>
              <w:rPr>
                <w:rFonts w:ascii="宋体" w:hAnsi="宋体"/>
                <w:color w:val="auto"/>
                <w:sz w:val="24"/>
                <w:highlight w:val="none"/>
              </w:rPr>
            </w:pPr>
          </w:p>
        </w:tc>
        <w:tc>
          <w:tcPr>
            <w:tcW w:w="1534" w:type="dxa"/>
          </w:tcPr>
          <w:p>
            <w:pPr>
              <w:tabs>
                <w:tab w:val="left" w:pos="720"/>
              </w:tabs>
              <w:snapToGrid w:val="0"/>
              <w:jc w:val="center"/>
              <w:rPr>
                <w:rFonts w:ascii="宋体" w:hAnsi="宋体"/>
                <w:color w:val="auto"/>
                <w:sz w:val="24"/>
                <w:highlight w:val="none"/>
              </w:rPr>
            </w:pPr>
            <w:r>
              <w:rPr>
                <w:rFonts w:hint="eastAsia" w:ascii="宋体" w:hAnsi="宋体"/>
                <w:color w:val="auto"/>
                <w:sz w:val="24"/>
                <w:highlight w:val="none"/>
              </w:rPr>
              <w:t>3</w:t>
            </w:r>
          </w:p>
        </w:tc>
        <w:tc>
          <w:tcPr>
            <w:tcW w:w="1619" w:type="dxa"/>
            <w:vMerge w:val="continue"/>
          </w:tcPr>
          <w:p>
            <w:pPr>
              <w:tabs>
                <w:tab w:val="left" w:pos="720"/>
              </w:tabs>
              <w:snapToGrid w:val="0"/>
              <w:jc w:val="center"/>
              <w:rPr>
                <w:rFonts w:ascii="宋体" w:hAnsi="宋体"/>
                <w:color w:val="auto"/>
                <w:sz w:val="24"/>
                <w:highlight w:val="none"/>
              </w:rPr>
            </w:pPr>
          </w:p>
        </w:tc>
        <w:tc>
          <w:tcPr>
            <w:tcW w:w="4261" w:type="dxa"/>
            <w:vMerge w:val="continue"/>
          </w:tcPr>
          <w:p>
            <w:pPr>
              <w:tabs>
                <w:tab w:val="left" w:pos="720"/>
              </w:tabs>
              <w:snapToGrid w:val="0"/>
              <w:jc w:val="center"/>
              <w:rPr>
                <w:rFonts w:ascii="宋体" w:hAnsi="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8" w:type="dxa"/>
          </w:tcPr>
          <w:p>
            <w:pPr>
              <w:tabs>
                <w:tab w:val="left" w:pos="720"/>
              </w:tabs>
              <w:snapToGrid w:val="0"/>
              <w:jc w:val="center"/>
              <w:rPr>
                <w:rFonts w:ascii="宋体" w:hAnsi="宋体"/>
                <w:color w:val="auto"/>
                <w:sz w:val="24"/>
                <w:highlight w:val="none"/>
              </w:rPr>
            </w:pPr>
          </w:p>
        </w:tc>
        <w:tc>
          <w:tcPr>
            <w:tcW w:w="1534" w:type="dxa"/>
          </w:tcPr>
          <w:p>
            <w:pPr>
              <w:tabs>
                <w:tab w:val="left" w:pos="720"/>
              </w:tabs>
              <w:snapToGrid w:val="0"/>
              <w:jc w:val="center"/>
              <w:rPr>
                <w:rFonts w:ascii="宋体" w:hAnsi="宋体"/>
                <w:color w:val="auto"/>
                <w:sz w:val="24"/>
                <w:highlight w:val="none"/>
              </w:rPr>
            </w:pPr>
            <w:r>
              <w:rPr>
                <w:rFonts w:hint="eastAsia" w:ascii="宋体" w:hAnsi="宋体"/>
                <w:color w:val="auto"/>
                <w:sz w:val="24"/>
                <w:highlight w:val="none"/>
              </w:rPr>
              <w:t>3.5</w:t>
            </w:r>
          </w:p>
        </w:tc>
        <w:tc>
          <w:tcPr>
            <w:tcW w:w="1619" w:type="dxa"/>
            <w:vMerge w:val="continue"/>
          </w:tcPr>
          <w:p>
            <w:pPr>
              <w:tabs>
                <w:tab w:val="left" w:pos="720"/>
              </w:tabs>
              <w:snapToGrid w:val="0"/>
              <w:jc w:val="center"/>
              <w:rPr>
                <w:rFonts w:ascii="宋体" w:hAnsi="宋体"/>
                <w:color w:val="auto"/>
                <w:sz w:val="24"/>
                <w:highlight w:val="none"/>
              </w:rPr>
            </w:pPr>
          </w:p>
        </w:tc>
        <w:tc>
          <w:tcPr>
            <w:tcW w:w="4261" w:type="dxa"/>
            <w:vMerge w:val="continue"/>
          </w:tcPr>
          <w:p>
            <w:pPr>
              <w:tabs>
                <w:tab w:val="left" w:pos="720"/>
              </w:tabs>
              <w:snapToGrid w:val="0"/>
              <w:jc w:val="center"/>
              <w:rPr>
                <w:rFonts w:ascii="宋体" w:hAnsi="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8" w:type="dxa"/>
          </w:tcPr>
          <w:p>
            <w:pPr>
              <w:tabs>
                <w:tab w:val="left" w:pos="720"/>
              </w:tabs>
              <w:snapToGrid w:val="0"/>
              <w:jc w:val="center"/>
              <w:rPr>
                <w:rFonts w:ascii="宋体" w:hAnsi="宋体"/>
                <w:color w:val="auto"/>
                <w:sz w:val="24"/>
                <w:highlight w:val="none"/>
              </w:rPr>
            </w:pPr>
          </w:p>
        </w:tc>
        <w:tc>
          <w:tcPr>
            <w:tcW w:w="1534" w:type="dxa"/>
          </w:tcPr>
          <w:p>
            <w:pPr>
              <w:tabs>
                <w:tab w:val="left" w:pos="720"/>
              </w:tabs>
              <w:snapToGrid w:val="0"/>
              <w:jc w:val="center"/>
              <w:rPr>
                <w:rFonts w:ascii="宋体" w:hAnsi="宋体"/>
                <w:color w:val="auto"/>
                <w:sz w:val="24"/>
                <w:highlight w:val="none"/>
              </w:rPr>
            </w:pPr>
            <w:r>
              <w:rPr>
                <w:rFonts w:hint="eastAsia" w:ascii="宋体" w:hAnsi="宋体"/>
                <w:color w:val="auto"/>
                <w:sz w:val="24"/>
                <w:highlight w:val="none"/>
              </w:rPr>
              <w:t>4</w:t>
            </w:r>
          </w:p>
        </w:tc>
        <w:tc>
          <w:tcPr>
            <w:tcW w:w="1619" w:type="dxa"/>
            <w:vMerge w:val="continue"/>
          </w:tcPr>
          <w:p>
            <w:pPr>
              <w:tabs>
                <w:tab w:val="left" w:pos="720"/>
              </w:tabs>
              <w:snapToGrid w:val="0"/>
              <w:jc w:val="center"/>
              <w:rPr>
                <w:rFonts w:ascii="宋体" w:hAnsi="宋体"/>
                <w:color w:val="auto"/>
                <w:sz w:val="24"/>
                <w:highlight w:val="none"/>
              </w:rPr>
            </w:pPr>
          </w:p>
        </w:tc>
        <w:tc>
          <w:tcPr>
            <w:tcW w:w="4261" w:type="dxa"/>
            <w:vMerge w:val="continue"/>
          </w:tcPr>
          <w:p>
            <w:pPr>
              <w:tabs>
                <w:tab w:val="left" w:pos="720"/>
              </w:tabs>
              <w:snapToGrid w:val="0"/>
              <w:jc w:val="center"/>
              <w:rPr>
                <w:rFonts w:ascii="宋体" w:hAnsi="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8" w:type="dxa"/>
          </w:tcPr>
          <w:p>
            <w:pPr>
              <w:tabs>
                <w:tab w:val="left" w:pos="720"/>
              </w:tabs>
              <w:snapToGrid w:val="0"/>
              <w:jc w:val="center"/>
              <w:rPr>
                <w:rFonts w:ascii="宋体" w:hAnsi="宋体"/>
                <w:color w:val="auto"/>
                <w:sz w:val="24"/>
                <w:highlight w:val="none"/>
              </w:rPr>
            </w:pPr>
          </w:p>
        </w:tc>
        <w:tc>
          <w:tcPr>
            <w:tcW w:w="1534" w:type="dxa"/>
          </w:tcPr>
          <w:p>
            <w:pPr>
              <w:tabs>
                <w:tab w:val="left" w:pos="720"/>
              </w:tabs>
              <w:snapToGrid w:val="0"/>
              <w:jc w:val="center"/>
              <w:rPr>
                <w:rFonts w:ascii="宋体" w:hAnsi="宋体"/>
                <w:color w:val="auto"/>
                <w:sz w:val="24"/>
                <w:highlight w:val="none"/>
              </w:rPr>
            </w:pPr>
            <w:r>
              <w:rPr>
                <w:rFonts w:hint="eastAsia" w:ascii="宋体" w:hAnsi="宋体"/>
                <w:color w:val="auto"/>
                <w:sz w:val="24"/>
                <w:highlight w:val="none"/>
              </w:rPr>
              <w:t>4.5</w:t>
            </w:r>
          </w:p>
        </w:tc>
        <w:tc>
          <w:tcPr>
            <w:tcW w:w="1619" w:type="dxa"/>
            <w:vMerge w:val="continue"/>
          </w:tcPr>
          <w:p>
            <w:pPr>
              <w:tabs>
                <w:tab w:val="left" w:pos="720"/>
              </w:tabs>
              <w:snapToGrid w:val="0"/>
              <w:jc w:val="center"/>
              <w:rPr>
                <w:rFonts w:ascii="宋体" w:hAnsi="宋体"/>
                <w:color w:val="auto"/>
                <w:sz w:val="24"/>
                <w:highlight w:val="none"/>
              </w:rPr>
            </w:pPr>
          </w:p>
        </w:tc>
        <w:tc>
          <w:tcPr>
            <w:tcW w:w="4261" w:type="dxa"/>
            <w:vMerge w:val="continue"/>
          </w:tcPr>
          <w:p>
            <w:pPr>
              <w:tabs>
                <w:tab w:val="left" w:pos="720"/>
              </w:tabs>
              <w:snapToGrid w:val="0"/>
              <w:jc w:val="center"/>
              <w:rPr>
                <w:rFonts w:ascii="宋体" w:hAnsi="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8" w:type="dxa"/>
          </w:tcPr>
          <w:p>
            <w:pPr>
              <w:tabs>
                <w:tab w:val="left" w:pos="720"/>
              </w:tabs>
              <w:snapToGrid w:val="0"/>
              <w:jc w:val="center"/>
              <w:rPr>
                <w:rFonts w:ascii="宋体" w:hAnsi="宋体"/>
                <w:color w:val="auto"/>
                <w:sz w:val="24"/>
                <w:highlight w:val="none"/>
              </w:rPr>
            </w:pPr>
          </w:p>
        </w:tc>
        <w:tc>
          <w:tcPr>
            <w:tcW w:w="1534" w:type="dxa"/>
          </w:tcPr>
          <w:p>
            <w:pPr>
              <w:tabs>
                <w:tab w:val="left" w:pos="720"/>
              </w:tabs>
              <w:snapToGrid w:val="0"/>
              <w:jc w:val="center"/>
              <w:rPr>
                <w:rFonts w:ascii="宋体" w:hAnsi="宋体"/>
                <w:color w:val="auto"/>
                <w:sz w:val="24"/>
                <w:highlight w:val="none"/>
              </w:rPr>
            </w:pPr>
            <w:r>
              <w:rPr>
                <w:rFonts w:hint="eastAsia" w:ascii="宋体" w:hAnsi="宋体"/>
                <w:color w:val="auto"/>
                <w:sz w:val="24"/>
                <w:highlight w:val="none"/>
              </w:rPr>
              <w:t>5</w:t>
            </w:r>
          </w:p>
        </w:tc>
        <w:tc>
          <w:tcPr>
            <w:tcW w:w="1619" w:type="dxa"/>
            <w:vMerge w:val="continue"/>
          </w:tcPr>
          <w:p>
            <w:pPr>
              <w:tabs>
                <w:tab w:val="left" w:pos="720"/>
              </w:tabs>
              <w:snapToGrid w:val="0"/>
              <w:jc w:val="center"/>
              <w:rPr>
                <w:rFonts w:ascii="宋体" w:hAnsi="宋体"/>
                <w:color w:val="auto"/>
                <w:sz w:val="24"/>
                <w:highlight w:val="none"/>
              </w:rPr>
            </w:pPr>
          </w:p>
        </w:tc>
        <w:tc>
          <w:tcPr>
            <w:tcW w:w="4261" w:type="dxa"/>
            <w:vMerge w:val="continue"/>
          </w:tcPr>
          <w:p>
            <w:pPr>
              <w:tabs>
                <w:tab w:val="left" w:pos="720"/>
              </w:tabs>
              <w:snapToGrid w:val="0"/>
              <w:jc w:val="center"/>
              <w:rPr>
                <w:rFonts w:ascii="宋体" w:hAnsi="宋体"/>
                <w:color w:val="auto"/>
                <w:sz w:val="24"/>
                <w:highlight w:val="none"/>
              </w:rPr>
            </w:pPr>
          </w:p>
        </w:tc>
      </w:tr>
    </w:tbl>
    <w:p>
      <w:pPr>
        <w:spacing w:line="440" w:lineRule="exact"/>
        <w:rPr>
          <w:rFonts w:ascii="宋体" w:hAnsi="宋体"/>
          <w:b/>
          <w:color w:val="auto"/>
          <w:szCs w:val="21"/>
          <w:highlight w:val="none"/>
        </w:rPr>
      </w:pPr>
      <w:r>
        <w:rPr>
          <w:rFonts w:hint="eastAsia" w:ascii="宋体" w:hAnsi="宋体"/>
          <w:b/>
          <w:color w:val="auto"/>
          <w:szCs w:val="21"/>
          <w:highlight w:val="none"/>
        </w:rPr>
        <w:t>注：1、计算评标基准价的下浮率从2%、2.5%、3%、3.5%、4%、4.5%、5%中随机抽取</w:t>
      </w:r>
    </w:p>
    <w:p>
      <w:pPr>
        <w:spacing w:line="440" w:lineRule="exact"/>
        <w:rPr>
          <w:rFonts w:ascii="宋体" w:hAnsi="宋体"/>
          <w:color w:val="auto"/>
          <w:szCs w:val="21"/>
          <w:highlight w:val="none"/>
        </w:rPr>
      </w:pPr>
      <w:r>
        <w:rPr>
          <w:rFonts w:hint="eastAsia" w:ascii="宋体" w:hAnsi="宋体"/>
          <w:b/>
          <w:color w:val="auto"/>
          <w:szCs w:val="21"/>
          <w:highlight w:val="none"/>
        </w:rPr>
        <w:t xml:space="preserve">    2、球号根据广州公共资源交易平台提供号球填写，如提供的球为1、2、3、4、5、6、7，则按从小到大的顺序对应填写1、2、3、4、5、6、7；如提供的球号2、2.5、3、3.5、4、4.5、5，则对应填写2、2.5、3、3.5、4、4.5、5。</w:t>
      </w:r>
    </w:p>
    <w:p>
      <w:pPr>
        <w:spacing w:line="440" w:lineRule="exact"/>
        <w:rPr>
          <w:rFonts w:ascii="宋体" w:hAnsi="宋体"/>
          <w:color w:val="auto"/>
          <w:szCs w:val="21"/>
          <w:highlight w:val="none"/>
        </w:rPr>
      </w:pPr>
    </w:p>
    <w:p>
      <w:pPr>
        <w:spacing w:line="440" w:lineRule="exact"/>
        <w:rPr>
          <w:rFonts w:ascii="宋体" w:hAnsi="宋体"/>
          <w:color w:val="auto"/>
          <w:szCs w:val="21"/>
          <w:highlight w:val="none"/>
        </w:rPr>
      </w:pPr>
      <w:r>
        <w:rPr>
          <w:rFonts w:hint="eastAsia" w:ascii="宋体" w:hAnsi="宋体"/>
          <w:color w:val="auto"/>
          <w:szCs w:val="21"/>
          <w:highlight w:val="none"/>
        </w:rPr>
        <w:t xml:space="preserve">监督人：             </w:t>
      </w:r>
    </w:p>
    <w:p>
      <w:pPr>
        <w:spacing w:line="440" w:lineRule="exact"/>
        <w:rPr>
          <w:rFonts w:ascii="宋体" w:hAnsi="宋体"/>
          <w:color w:val="auto"/>
          <w:szCs w:val="21"/>
          <w:highlight w:val="none"/>
        </w:rPr>
      </w:pPr>
    </w:p>
    <w:p>
      <w:pPr>
        <w:spacing w:line="440" w:lineRule="exact"/>
        <w:rPr>
          <w:rFonts w:ascii="宋体" w:hAnsi="宋体"/>
          <w:color w:val="auto"/>
          <w:szCs w:val="21"/>
          <w:highlight w:val="none"/>
        </w:rPr>
      </w:pPr>
      <w:r>
        <w:rPr>
          <w:rFonts w:hint="eastAsia" w:ascii="宋体" w:hAnsi="宋体"/>
          <w:color w:val="auto"/>
          <w:szCs w:val="21"/>
          <w:highlight w:val="none"/>
        </w:rPr>
        <w:t xml:space="preserve">招标代理记录人：              </w:t>
      </w:r>
    </w:p>
    <w:p>
      <w:pPr>
        <w:spacing w:line="440" w:lineRule="exact"/>
        <w:rPr>
          <w:rFonts w:ascii="宋体" w:hAnsi="宋体"/>
          <w:color w:val="auto"/>
          <w:szCs w:val="21"/>
          <w:highlight w:val="none"/>
        </w:rPr>
      </w:pPr>
    </w:p>
    <w:p>
      <w:pPr>
        <w:spacing w:line="440" w:lineRule="exact"/>
        <w:rPr>
          <w:rFonts w:ascii="宋体" w:hAnsi="宋体"/>
          <w:color w:val="auto"/>
          <w:szCs w:val="21"/>
          <w:highlight w:val="none"/>
        </w:rPr>
      </w:pPr>
      <w:r>
        <w:rPr>
          <w:rFonts w:hint="eastAsia" w:ascii="宋体" w:hAnsi="宋体"/>
          <w:color w:val="auto"/>
          <w:szCs w:val="21"/>
          <w:highlight w:val="none"/>
        </w:rPr>
        <w:t xml:space="preserve">招标代理唱标人:               </w:t>
      </w:r>
    </w:p>
    <w:p>
      <w:pPr>
        <w:spacing w:line="440" w:lineRule="exact"/>
        <w:rPr>
          <w:rFonts w:ascii="宋体" w:hAnsi="宋体"/>
          <w:color w:val="auto"/>
          <w:szCs w:val="21"/>
          <w:highlight w:val="none"/>
        </w:rPr>
      </w:pPr>
    </w:p>
    <w:p>
      <w:pPr>
        <w:spacing w:line="440" w:lineRule="exact"/>
        <w:rPr>
          <w:rFonts w:ascii="宋体" w:hAnsi="宋体"/>
          <w:color w:val="auto"/>
          <w:szCs w:val="21"/>
          <w:highlight w:val="none"/>
        </w:rPr>
      </w:pPr>
      <w:r>
        <w:rPr>
          <w:rFonts w:hint="eastAsia" w:ascii="宋体" w:hAnsi="宋体"/>
          <w:color w:val="auto"/>
          <w:szCs w:val="21"/>
          <w:highlight w:val="none"/>
        </w:rPr>
        <w:t xml:space="preserve">见证人员:              </w:t>
      </w:r>
    </w:p>
    <w:p>
      <w:pPr>
        <w:spacing w:line="440" w:lineRule="exact"/>
        <w:rPr>
          <w:rFonts w:ascii="宋体" w:hAnsi="宋体"/>
          <w:color w:val="auto"/>
          <w:szCs w:val="21"/>
          <w:highlight w:val="none"/>
        </w:rPr>
      </w:pPr>
    </w:p>
    <w:p>
      <w:pPr>
        <w:spacing w:line="440" w:lineRule="exact"/>
        <w:rPr>
          <w:rFonts w:ascii="宋体" w:hAnsi="宋体"/>
          <w:color w:val="auto"/>
          <w:szCs w:val="21"/>
          <w:highlight w:val="none"/>
        </w:rPr>
      </w:pPr>
      <w:r>
        <w:rPr>
          <w:rFonts w:hint="eastAsia" w:ascii="宋体" w:hAnsi="宋体"/>
          <w:color w:val="auto"/>
          <w:szCs w:val="21"/>
          <w:highlight w:val="none"/>
        </w:rPr>
        <w:t xml:space="preserve"> 日期:     年  月  日</w:t>
      </w:r>
    </w:p>
    <w:p>
      <w:pPr>
        <w:spacing w:line="440" w:lineRule="exact"/>
        <w:rPr>
          <w:rFonts w:ascii="宋体" w:hAnsi="宋体"/>
          <w:color w:val="auto"/>
          <w:szCs w:val="21"/>
          <w:highlight w:val="none"/>
        </w:rPr>
      </w:pPr>
      <w:r>
        <w:rPr>
          <w:rFonts w:ascii="宋体" w:hAnsi="宋体"/>
          <w:color w:val="auto"/>
          <w:szCs w:val="21"/>
          <w:highlight w:val="none"/>
        </w:rPr>
        <w:br w:type="page"/>
      </w:r>
    </w:p>
    <w:p>
      <w:pPr>
        <w:spacing w:line="360" w:lineRule="auto"/>
        <w:jc w:val="left"/>
        <w:outlineLvl w:val="2"/>
        <w:rPr>
          <w:rFonts w:ascii="宋体" w:hAnsi="宋体"/>
          <w:color w:val="auto"/>
          <w:sz w:val="28"/>
          <w:szCs w:val="27"/>
          <w:highlight w:val="none"/>
        </w:rPr>
      </w:pPr>
      <w:bookmarkStart w:id="78" w:name="_Toc21787684"/>
      <w:r>
        <w:rPr>
          <w:rFonts w:ascii="宋体" w:hAnsi="宋体"/>
          <w:color w:val="auto"/>
          <w:sz w:val="28"/>
          <w:szCs w:val="27"/>
          <w:highlight w:val="none"/>
        </w:rPr>
        <w:t>附</w:t>
      </w:r>
      <w:r>
        <w:rPr>
          <w:rFonts w:hint="eastAsia" w:ascii="宋体" w:hAnsi="宋体"/>
          <w:color w:val="auto"/>
          <w:sz w:val="28"/>
          <w:szCs w:val="27"/>
          <w:highlight w:val="none"/>
        </w:rPr>
        <w:t>件3</w:t>
      </w:r>
      <w:r>
        <w:rPr>
          <w:rFonts w:ascii="宋体" w:hAnsi="宋体"/>
          <w:color w:val="auto"/>
          <w:sz w:val="28"/>
          <w:szCs w:val="27"/>
          <w:highlight w:val="none"/>
        </w:rPr>
        <w:t>：问题澄清通知</w:t>
      </w:r>
      <w:bookmarkEnd w:id="78"/>
    </w:p>
    <w:p>
      <w:pPr>
        <w:spacing w:line="440" w:lineRule="exact"/>
        <w:jc w:val="center"/>
        <w:rPr>
          <w:rFonts w:ascii="宋体" w:hAnsi="宋体"/>
          <w:color w:val="auto"/>
          <w:szCs w:val="21"/>
          <w:highlight w:val="none"/>
        </w:rPr>
      </w:pPr>
    </w:p>
    <w:p>
      <w:pPr>
        <w:spacing w:line="440" w:lineRule="exact"/>
        <w:jc w:val="center"/>
        <w:rPr>
          <w:rFonts w:ascii="宋体" w:hAnsi="宋体"/>
          <w:b/>
          <w:color w:val="auto"/>
          <w:sz w:val="36"/>
          <w:szCs w:val="28"/>
          <w:highlight w:val="none"/>
        </w:rPr>
      </w:pPr>
      <w:r>
        <w:rPr>
          <w:rFonts w:ascii="宋体" w:hAnsi="宋体"/>
          <w:b/>
          <w:color w:val="auto"/>
          <w:sz w:val="36"/>
          <w:szCs w:val="28"/>
          <w:highlight w:val="none"/>
        </w:rPr>
        <w:t>问题澄清通知</w:t>
      </w:r>
    </w:p>
    <w:p>
      <w:pPr>
        <w:spacing w:line="440" w:lineRule="exact"/>
        <w:jc w:val="center"/>
        <w:rPr>
          <w:rFonts w:ascii="宋体" w:hAnsi="宋体"/>
          <w:color w:val="auto"/>
          <w:szCs w:val="21"/>
          <w:highlight w:val="none"/>
        </w:rPr>
      </w:pPr>
      <w:r>
        <w:rPr>
          <w:rFonts w:ascii="宋体" w:hAnsi="宋体"/>
          <w:color w:val="auto"/>
          <w:szCs w:val="21"/>
          <w:highlight w:val="none"/>
        </w:rPr>
        <w:t>编号：</w:t>
      </w:r>
      <w:r>
        <w:rPr>
          <w:rFonts w:hint="eastAsia" w:ascii="宋体" w:hAnsi="宋体"/>
          <w:color w:val="auto"/>
          <w:szCs w:val="21"/>
          <w:highlight w:val="none"/>
        </w:rPr>
        <w:t>__________________________</w:t>
      </w:r>
    </w:p>
    <w:p>
      <w:pPr>
        <w:spacing w:line="440" w:lineRule="exact"/>
        <w:rPr>
          <w:rFonts w:ascii="宋体" w:hAnsi="宋体"/>
          <w:color w:val="auto"/>
          <w:szCs w:val="21"/>
          <w:highlight w:val="none"/>
        </w:rPr>
      </w:pPr>
    </w:p>
    <w:p>
      <w:pPr>
        <w:spacing w:line="440" w:lineRule="exact"/>
        <w:rPr>
          <w:rFonts w:ascii="宋体" w:hAnsi="宋体"/>
          <w:color w:val="auto"/>
          <w:sz w:val="24"/>
          <w:szCs w:val="21"/>
          <w:highlight w:val="none"/>
        </w:rPr>
      </w:pPr>
      <w:r>
        <w:rPr>
          <w:rFonts w:ascii="宋体" w:hAnsi="宋体"/>
          <w:color w:val="auto"/>
          <w:sz w:val="24"/>
          <w:szCs w:val="21"/>
          <w:highlight w:val="none"/>
        </w:rPr>
        <w:t>（投标人名称）：</w:t>
      </w:r>
    </w:p>
    <w:p>
      <w:pPr>
        <w:spacing w:line="440" w:lineRule="exact"/>
        <w:rPr>
          <w:rFonts w:ascii="宋体" w:hAnsi="宋体"/>
          <w:color w:val="auto"/>
          <w:szCs w:val="21"/>
          <w:highlight w:val="none"/>
        </w:rPr>
      </w:pPr>
    </w:p>
    <w:p>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u w:val="single"/>
        </w:rPr>
        <w:t xml:space="preserve">　              </w:t>
      </w:r>
      <w:r>
        <w:rPr>
          <w:rFonts w:ascii="宋体" w:hAnsi="宋体"/>
          <w:color w:val="auto"/>
          <w:sz w:val="24"/>
          <w:highlight w:val="none"/>
        </w:rPr>
        <w:t>（项目名称）招标的评标委员会，对你方的投标文件进行了仔细的审查，现需你方对下列问题以书面形式予以澄清：</w:t>
      </w:r>
    </w:p>
    <w:p>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1.</w:t>
      </w:r>
    </w:p>
    <w:p>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2.</w:t>
      </w:r>
    </w:p>
    <w:p>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w:t>
      </w:r>
    </w:p>
    <w:p>
      <w:pPr>
        <w:spacing w:line="440" w:lineRule="exact"/>
        <w:rPr>
          <w:rFonts w:ascii="宋体" w:hAnsi="宋体"/>
          <w:color w:val="auto"/>
          <w:sz w:val="24"/>
          <w:szCs w:val="24"/>
          <w:highlight w:val="none"/>
        </w:rPr>
      </w:pPr>
      <w:r>
        <w:rPr>
          <w:rFonts w:ascii="宋体" w:hAnsi="宋体"/>
          <w:color w:val="auto"/>
          <w:sz w:val="24"/>
          <w:szCs w:val="24"/>
          <w:highlight w:val="none"/>
        </w:rPr>
        <w:t>　　请将上述问题的澄清于年月日时前递交至（详细地址）</w:t>
      </w:r>
      <w:r>
        <w:rPr>
          <w:rFonts w:hint="eastAsia" w:ascii="宋体" w:hAnsi="宋体"/>
          <w:color w:val="auto"/>
          <w:sz w:val="24"/>
          <w:szCs w:val="24"/>
          <w:highlight w:val="none"/>
        </w:rPr>
        <w:t>或传真至</w:t>
      </w:r>
      <w:bookmarkStart w:id="79" w:name="_Toc359263253"/>
      <w:bookmarkStart w:id="80" w:name="_Toc144974549"/>
      <w:bookmarkStart w:id="81" w:name="_Toc332641307"/>
      <w:bookmarkStart w:id="82" w:name="_Toc246996225"/>
      <w:bookmarkStart w:id="83" w:name="_Toc246996968"/>
      <w:bookmarkStart w:id="84" w:name="_Toc179632600"/>
      <w:bookmarkStart w:id="85" w:name="_Toc152045582"/>
      <w:bookmarkStart w:id="86" w:name="_Toc152042359"/>
      <w:bookmarkStart w:id="87" w:name="_Toc247085740"/>
      <w:r>
        <w:rPr>
          <w:rFonts w:hint="eastAsia" w:ascii="宋体" w:hAnsi="宋体"/>
          <w:color w:val="auto"/>
          <w:sz w:val="24"/>
          <w:szCs w:val="24"/>
          <w:highlight w:val="none"/>
        </w:rPr>
        <w:t>（传真</w:t>
      </w:r>
      <w:bookmarkEnd w:id="79"/>
      <w:bookmarkEnd w:id="80"/>
      <w:bookmarkEnd w:id="81"/>
      <w:bookmarkEnd w:id="82"/>
      <w:bookmarkEnd w:id="83"/>
      <w:bookmarkEnd w:id="84"/>
      <w:bookmarkEnd w:id="85"/>
      <w:bookmarkEnd w:id="86"/>
      <w:bookmarkEnd w:id="87"/>
      <w:r>
        <w:rPr>
          <w:rFonts w:hint="eastAsia" w:ascii="宋体" w:hAnsi="宋体"/>
          <w:color w:val="auto"/>
          <w:sz w:val="24"/>
          <w:szCs w:val="24"/>
          <w:highlight w:val="none"/>
        </w:rPr>
        <w:t>号码）。采用传真方式的，应在</w:t>
      </w:r>
      <w:r>
        <w:rPr>
          <w:rFonts w:ascii="宋体" w:hAnsi="宋体"/>
          <w:color w:val="auto"/>
          <w:sz w:val="24"/>
          <w:szCs w:val="24"/>
          <w:highlight w:val="none"/>
        </w:rPr>
        <w:t>年月日</w:t>
      </w:r>
      <w:r>
        <w:rPr>
          <w:rFonts w:hint="eastAsia" w:ascii="宋体" w:hAnsi="宋体"/>
          <w:color w:val="auto"/>
          <w:sz w:val="24"/>
          <w:szCs w:val="24"/>
          <w:highlight w:val="none"/>
        </w:rPr>
        <w:t>时前将原件递交至</w:t>
      </w:r>
      <w:r>
        <w:rPr>
          <w:rFonts w:ascii="宋体" w:hAnsi="宋体"/>
          <w:color w:val="auto"/>
          <w:sz w:val="24"/>
          <w:szCs w:val="24"/>
          <w:highlight w:val="none"/>
        </w:rPr>
        <w:t>（详细地址）。</w:t>
      </w:r>
    </w:p>
    <w:p>
      <w:pPr>
        <w:spacing w:line="440" w:lineRule="exact"/>
        <w:rPr>
          <w:rFonts w:ascii="宋体" w:hAnsi="宋体"/>
          <w:color w:val="auto"/>
          <w:szCs w:val="21"/>
          <w:highlight w:val="none"/>
        </w:rPr>
      </w:pPr>
    </w:p>
    <w:p>
      <w:pPr>
        <w:spacing w:line="440" w:lineRule="exact"/>
        <w:rPr>
          <w:rFonts w:ascii="宋体" w:hAnsi="宋体"/>
          <w:color w:val="auto"/>
          <w:szCs w:val="21"/>
          <w:highlight w:val="none"/>
        </w:rPr>
      </w:pPr>
    </w:p>
    <w:p>
      <w:pPr>
        <w:spacing w:line="440" w:lineRule="exact"/>
        <w:rPr>
          <w:rFonts w:ascii="宋体" w:hAnsi="宋体"/>
          <w:color w:val="auto"/>
          <w:szCs w:val="21"/>
          <w:highlight w:val="none"/>
        </w:rPr>
      </w:pPr>
    </w:p>
    <w:p>
      <w:pPr>
        <w:wordWrap w:val="0"/>
        <w:spacing w:line="360" w:lineRule="auto"/>
        <w:jc w:val="right"/>
        <w:rPr>
          <w:rFonts w:ascii="宋体" w:hAnsi="宋体"/>
          <w:color w:val="auto"/>
          <w:sz w:val="24"/>
          <w:szCs w:val="24"/>
          <w:highlight w:val="none"/>
        </w:rPr>
      </w:pPr>
      <w:r>
        <w:rPr>
          <w:rFonts w:hint="eastAsia" w:ascii="宋体" w:hAnsi="宋体"/>
          <w:color w:val="auto"/>
          <w:sz w:val="24"/>
          <w:szCs w:val="24"/>
          <w:highlight w:val="none"/>
        </w:rPr>
        <w:t>招标人或招标代理机构</w:t>
      </w:r>
      <w:r>
        <w:rPr>
          <w:rFonts w:ascii="宋体" w:hAnsi="宋体"/>
          <w:color w:val="auto"/>
          <w:sz w:val="24"/>
          <w:szCs w:val="24"/>
          <w:highlight w:val="none"/>
        </w:rPr>
        <w:t>：</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或盖章</w:t>
      </w:r>
      <w:r>
        <w:rPr>
          <w:rFonts w:ascii="宋体" w:hAnsi="宋体"/>
          <w:color w:val="auto"/>
          <w:sz w:val="24"/>
          <w:szCs w:val="24"/>
          <w:highlight w:val="none"/>
          <w:u w:val="single"/>
        </w:rPr>
        <w:t>）</w:t>
      </w:r>
    </w:p>
    <w:p>
      <w:pPr>
        <w:spacing w:line="360" w:lineRule="auto"/>
        <w:ind w:firstLine="480" w:firstLineChars="200"/>
        <w:jc w:val="left"/>
        <w:rPr>
          <w:rFonts w:ascii="宋体" w:hAnsi="宋体"/>
          <w:color w:val="auto"/>
          <w:sz w:val="24"/>
          <w:szCs w:val="24"/>
          <w:highlight w:val="none"/>
        </w:rPr>
      </w:pPr>
      <w:r>
        <w:rPr>
          <w:rFonts w:ascii="宋体" w:hAnsi="宋体"/>
          <w:color w:val="auto"/>
          <w:sz w:val="24"/>
          <w:szCs w:val="24"/>
          <w:highlight w:val="none"/>
        </w:rPr>
        <w:t>年 月 日</w:t>
      </w:r>
    </w:p>
    <w:p>
      <w:pPr>
        <w:spacing w:line="360" w:lineRule="auto"/>
        <w:jc w:val="left"/>
        <w:outlineLvl w:val="2"/>
        <w:rPr>
          <w:rFonts w:ascii="宋体" w:hAnsi="宋体"/>
          <w:color w:val="auto"/>
          <w:sz w:val="28"/>
          <w:szCs w:val="27"/>
          <w:highlight w:val="none"/>
        </w:rPr>
      </w:pPr>
      <w:r>
        <w:rPr>
          <w:rFonts w:ascii="宋体" w:hAnsi="宋体"/>
          <w:color w:val="auto"/>
          <w:sz w:val="24"/>
          <w:highlight w:val="none"/>
        </w:rPr>
        <w:br w:type="page"/>
      </w:r>
      <w:bookmarkStart w:id="88" w:name="_Toc152042360"/>
      <w:bookmarkStart w:id="89" w:name="_Toc144974550"/>
      <w:bookmarkStart w:id="90" w:name="_Toc247085741"/>
      <w:bookmarkStart w:id="91" w:name="_Toc21787685"/>
      <w:bookmarkStart w:id="92" w:name="_Toc246996226"/>
      <w:bookmarkStart w:id="93" w:name="_Toc179632601"/>
      <w:bookmarkStart w:id="94" w:name="_Toc152045583"/>
      <w:bookmarkStart w:id="95" w:name="_Toc246996969"/>
      <w:bookmarkStart w:id="96" w:name="_Toc332641308"/>
      <w:bookmarkStart w:id="97" w:name="_Toc359263254"/>
      <w:r>
        <w:rPr>
          <w:rFonts w:hint="eastAsia" w:ascii="宋体" w:hAnsi="宋体"/>
          <w:color w:val="auto"/>
          <w:sz w:val="28"/>
          <w:szCs w:val="27"/>
          <w:highlight w:val="none"/>
        </w:rPr>
        <w:t>附件4：中标通知书</w:t>
      </w:r>
      <w:bookmarkEnd w:id="88"/>
      <w:bookmarkEnd w:id="89"/>
      <w:bookmarkEnd w:id="90"/>
      <w:bookmarkEnd w:id="91"/>
      <w:bookmarkEnd w:id="92"/>
      <w:bookmarkEnd w:id="93"/>
      <w:bookmarkEnd w:id="94"/>
      <w:bookmarkEnd w:id="95"/>
      <w:bookmarkEnd w:id="96"/>
      <w:bookmarkEnd w:id="97"/>
    </w:p>
    <w:p>
      <w:pPr>
        <w:spacing w:line="360" w:lineRule="auto"/>
        <w:rPr>
          <w:rFonts w:ascii="宋体" w:hAnsi="宋体"/>
          <w:color w:val="auto"/>
          <w:sz w:val="24"/>
          <w:highlight w:val="none"/>
        </w:rPr>
      </w:pPr>
    </w:p>
    <w:p>
      <w:pPr>
        <w:spacing w:line="360" w:lineRule="auto"/>
        <w:ind w:firstLine="480" w:firstLineChars="200"/>
        <w:jc w:val="left"/>
        <w:rPr>
          <w:rFonts w:ascii="宋体" w:hAnsi="宋体"/>
          <w:color w:val="auto"/>
          <w:sz w:val="24"/>
          <w:highlight w:val="none"/>
        </w:rPr>
      </w:pPr>
      <w:r>
        <w:rPr>
          <w:rFonts w:hint="eastAsia" w:ascii="宋体" w:hAnsi="宋体"/>
          <w:color w:val="auto"/>
          <w:sz w:val="24"/>
          <w:szCs w:val="21"/>
          <w:highlight w:val="none"/>
          <w:u w:val="single"/>
        </w:rPr>
        <w:t>（注：中标通知书采用广州公共资源交易平台规定的格式）</w:t>
      </w:r>
    </w:p>
    <w:p>
      <w:pPr>
        <w:pStyle w:val="2"/>
        <w:jc w:val="center"/>
        <w:rPr>
          <w:rFonts w:ascii="宋体" w:hAnsi="宋体"/>
          <w:color w:val="auto"/>
          <w:highlight w:val="none"/>
        </w:rPr>
      </w:pPr>
      <w:r>
        <w:rPr>
          <w:rFonts w:ascii="宋体" w:hAnsi="宋体"/>
          <w:color w:val="auto"/>
          <w:sz w:val="24"/>
          <w:highlight w:val="none"/>
        </w:rPr>
        <w:br w:type="page"/>
      </w:r>
      <w:bookmarkStart w:id="98" w:name="_Toc21787686"/>
      <w:r>
        <w:rPr>
          <w:rFonts w:hint="eastAsia" w:ascii="宋体" w:hAnsi="宋体"/>
          <w:color w:val="auto"/>
          <w:highlight w:val="none"/>
        </w:rPr>
        <w:t>第三章评标办法（综合评估法）</w:t>
      </w:r>
      <w:bookmarkEnd w:id="98"/>
    </w:p>
    <w:p>
      <w:pPr>
        <w:spacing w:line="360" w:lineRule="auto"/>
        <w:ind w:firstLine="560" w:firstLineChars="200"/>
        <w:jc w:val="center"/>
        <w:outlineLvl w:val="1"/>
        <w:rPr>
          <w:rFonts w:ascii="宋体" w:hAnsi="宋体"/>
          <w:color w:val="auto"/>
          <w:sz w:val="28"/>
          <w:szCs w:val="27"/>
          <w:highlight w:val="none"/>
        </w:rPr>
      </w:pPr>
      <w:bookmarkStart w:id="99" w:name="_Toc21787687"/>
      <w:r>
        <w:rPr>
          <w:rFonts w:hint="eastAsia" w:ascii="宋体" w:hAnsi="宋体"/>
          <w:color w:val="auto"/>
          <w:sz w:val="28"/>
          <w:szCs w:val="27"/>
          <w:highlight w:val="none"/>
        </w:rPr>
        <w:t>评标办法修改表</w:t>
      </w:r>
      <w:bookmarkEnd w:id="99"/>
    </w:p>
    <w:p>
      <w:pPr>
        <w:pStyle w:val="39"/>
        <w:spacing w:after="0" w:line="360" w:lineRule="auto"/>
        <w:rPr>
          <w:rFonts w:ascii="宋体" w:hAnsi="宋体" w:eastAsia="宋体"/>
          <w:color w:val="auto"/>
          <w:sz w:val="24"/>
          <w:szCs w:val="24"/>
          <w:highlight w:val="none"/>
        </w:rPr>
      </w:pPr>
      <w:r>
        <w:rPr>
          <w:rFonts w:hint="eastAsia" w:ascii="宋体" w:hAnsi="宋体" w:eastAsia="宋体"/>
          <w:color w:val="auto"/>
          <w:sz w:val="24"/>
          <w:highlight w:val="none"/>
        </w:rPr>
        <w:t>声明：本评标办法使用</w:t>
      </w:r>
      <w:r>
        <w:rPr>
          <w:rFonts w:hint="eastAsia" w:ascii="宋体" w:hAnsi="宋体" w:eastAsia="宋体"/>
          <w:color w:val="auto"/>
          <w:sz w:val="24"/>
          <w:szCs w:val="24"/>
          <w:highlight w:val="none"/>
        </w:rPr>
        <w:t>SWZB2019-02招标文件范本的评标办法条款，与该条款不同之处，均在本表中列明，并以现文为准，原文不再有效。本招标文件范本请投标人自行到广州市水务局网站下载</w:t>
      </w:r>
      <w:r>
        <w:rPr>
          <w:rFonts w:ascii="宋体" w:hAnsi="宋体" w:eastAsia="宋体"/>
          <w:color w:val="auto"/>
          <w:sz w:val="24"/>
          <w:szCs w:val="24"/>
          <w:highlight w:val="none"/>
        </w:rPr>
        <w:fldChar w:fldCharType="begin"/>
      </w:r>
      <w:r>
        <w:rPr>
          <w:rFonts w:ascii="宋体" w:hAnsi="宋体" w:eastAsia="宋体"/>
          <w:color w:val="auto"/>
          <w:sz w:val="24"/>
          <w:szCs w:val="24"/>
          <w:highlight w:val="none"/>
        </w:rPr>
        <w:instrText xml:space="preserve"> HYPER</w:instrText>
      </w:r>
      <w:bookmarkStart w:id="100" w:name="_Toc246996227"/>
      <w:bookmarkStart w:id="101" w:name="_Toc144974551"/>
      <w:bookmarkStart w:id="102" w:name="_Toc359263255"/>
      <w:bookmarkStart w:id="103" w:name="_Toc332641309"/>
      <w:bookmarkStart w:id="104" w:name="_Toc247085742"/>
      <w:bookmarkStart w:id="105" w:name="_Toc246996970"/>
      <w:bookmarkStart w:id="106" w:name="_Toc179632602"/>
      <w:bookmarkStart w:id="107" w:name="_Toc152042361"/>
      <w:bookmarkStart w:id="108" w:name="_Toc152045584"/>
      <w:r>
        <w:rPr>
          <w:rFonts w:ascii="宋体" w:hAnsi="宋体" w:eastAsia="宋体"/>
          <w:color w:val="auto"/>
          <w:sz w:val="24"/>
          <w:szCs w:val="24"/>
          <w:highlight w:val="none"/>
        </w:rPr>
        <w:instrText xml:space="preserve">LINK "htt</w:instrText>
      </w:r>
      <w:bookmarkEnd w:id="100"/>
      <w:bookmarkEnd w:id="101"/>
      <w:bookmarkEnd w:id="102"/>
      <w:bookmarkEnd w:id="103"/>
      <w:bookmarkEnd w:id="104"/>
      <w:bookmarkEnd w:id="105"/>
      <w:bookmarkEnd w:id="106"/>
      <w:bookmarkEnd w:id="107"/>
      <w:bookmarkEnd w:id="108"/>
      <w:r>
        <w:rPr>
          <w:rFonts w:ascii="宋体" w:hAnsi="宋体" w:eastAsia="宋体"/>
          <w:color w:val="auto"/>
          <w:sz w:val="24"/>
          <w:szCs w:val="24"/>
          <w:highlight w:val="none"/>
        </w:rPr>
        <w:instrText xml:space="preserve">p://www.gzwater.gov.cn</w:instrText>
      </w:r>
      <w:r>
        <w:rPr>
          <w:rFonts w:hint="eastAsia" w:ascii="宋体" w:hAnsi="宋体" w:eastAsia="宋体"/>
          <w:color w:val="auto"/>
          <w:sz w:val="24"/>
          <w:szCs w:val="24"/>
          <w:highlight w:val="none"/>
        </w:rPr>
        <w:instrText xml:space="preserve">）下载查阅</w:instrText>
      </w:r>
      <w:r>
        <w:rPr>
          <w:rFonts w:ascii="宋体" w:hAnsi="宋体" w:eastAsia="宋体"/>
          <w:color w:val="auto"/>
          <w:sz w:val="24"/>
          <w:szCs w:val="24"/>
          <w:highlight w:val="none"/>
        </w:rPr>
        <w:instrText xml:space="preserve">" </w:instrText>
      </w:r>
      <w:r>
        <w:rPr>
          <w:rFonts w:ascii="宋体" w:hAnsi="宋体" w:eastAsia="宋体"/>
          <w:color w:val="auto"/>
          <w:sz w:val="24"/>
          <w:szCs w:val="24"/>
          <w:highlight w:val="none"/>
        </w:rPr>
        <w:fldChar w:fldCharType="separate"/>
      </w:r>
      <w:r>
        <w:rPr>
          <w:rStyle w:val="50"/>
          <w:rFonts w:ascii="宋体" w:hAnsi="宋体" w:eastAsia="宋体"/>
          <w:color w:val="auto"/>
          <w:sz w:val="24"/>
          <w:szCs w:val="24"/>
          <w:highlight w:val="none"/>
        </w:rPr>
        <w:t>http://www.gzwater.gov.cn</w:t>
      </w:r>
      <w:r>
        <w:rPr>
          <w:rStyle w:val="50"/>
          <w:rFonts w:hint="eastAsia" w:ascii="宋体" w:hAnsi="宋体" w:eastAsia="宋体"/>
          <w:color w:val="auto"/>
          <w:sz w:val="24"/>
          <w:szCs w:val="24"/>
          <w:highlight w:val="none"/>
        </w:rPr>
        <w:t>）下载查阅</w:t>
      </w:r>
      <w:r>
        <w:rPr>
          <w:rFonts w:ascii="宋体" w:hAnsi="宋体" w:eastAsia="宋体"/>
          <w:color w:val="auto"/>
          <w:sz w:val="24"/>
          <w:szCs w:val="24"/>
          <w:highlight w:val="none"/>
        </w:rPr>
        <w:fldChar w:fldCharType="end"/>
      </w:r>
      <w:r>
        <w:rPr>
          <w:rFonts w:hint="eastAsia" w:ascii="宋体" w:hAnsi="宋体" w:eastAsia="宋体"/>
          <w:color w:val="auto"/>
          <w:sz w:val="24"/>
          <w:szCs w:val="24"/>
          <w:highlight w:val="none"/>
        </w:rPr>
        <w:t>。</w:t>
      </w:r>
    </w:p>
    <w:p>
      <w:pPr>
        <w:pStyle w:val="39"/>
        <w:spacing w:after="0" w:line="360" w:lineRule="auto"/>
        <w:rPr>
          <w:rFonts w:ascii="宋体" w:hAnsi="宋体" w:eastAsia="宋体"/>
          <w:b/>
          <w:color w:val="auto"/>
          <w:sz w:val="24"/>
          <w:szCs w:val="21"/>
          <w:highlight w:val="none"/>
        </w:rPr>
      </w:pPr>
    </w:p>
    <w:p>
      <w:pPr>
        <w:spacing w:line="360" w:lineRule="auto"/>
        <w:ind w:firstLine="540" w:firstLineChars="224"/>
        <w:rPr>
          <w:rFonts w:ascii="宋体" w:hAnsi="宋体"/>
          <w:b/>
          <w:bCs/>
          <w:color w:val="auto"/>
          <w:sz w:val="24"/>
          <w:szCs w:val="21"/>
          <w:highlight w:val="none"/>
        </w:rPr>
      </w:pPr>
      <w:r>
        <w:rPr>
          <w:rFonts w:hint="eastAsia" w:ascii="宋体" w:hAnsi="宋体"/>
          <w:b/>
          <w:bCs/>
          <w:color w:val="auto"/>
          <w:sz w:val="24"/>
          <w:szCs w:val="21"/>
          <w:highlight w:val="none"/>
        </w:rPr>
        <w:t>条款号：</w:t>
      </w:r>
      <w:bookmarkStart w:id="109" w:name="_Toc262229169"/>
      <w:bookmarkEnd w:id="109"/>
      <w:bookmarkStart w:id="110" w:name="_Toc155150493"/>
      <w:bookmarkEnd w:id="110"/>
      <w:bookmarkStart w:id="111" w:name="_Toc359263257"/>
      <w:bookmarkEnd w:id="111"/>
      <w:r>
        <w:rPr>
          <w:rFonts w:hint="eastAsia" w:ascii="宋体" w:hAnsi="宋体"/>
          <w:b/>
          <w:bCs/>
          <w:color w:val="auto"/>
          <w:sz w:val="24"/>
          <w:szCs w:val="21"/>
          <w:highlight w:val="none"/>
        </w:rPr>
        <w:t xml:space="preserve">可选方法一   </w:t>
      </w:r>
      <w:r>
        <w:rPr>
          <w:rFonts w:ascii="宋体" w:hAnsi="宋体"/>
          <w:b/>
          <w:bCs/>
          <w:color w:val="auto"/>
          <w:sz w:val="24"/>
          <w:szCs w:val="21"/>
          <w:highlight w:val="none"/>
        </w:rPr>
        <w:t xml:space="preserve">    </w:t>
      </w:r>
      <w:r>
        <w:rPr>
          <w:rFonts w:hint="eastAsia" w:ascii="宋体" w:hAnsi="宋体"/>
          <w:b/>
          <w:bCs/>
          <w:color w:val="auto"/>
          <w:sz w:val="24"/>
          <w:szCs w:val="21"/>
          <w:highlight w:val="none"/>
        </w:rPr>
        <w:t xml:space="preserve"> 修改类型：删除</w:t>
      </w:r>
    </w:p>
    <w:p>
      <w:pPr>
        <w:pBdr>
          <w:bottom w:val="single" w:color="auto" w:sz="6" w:space="1"/>
        </w:pBdr>
        <w:spacing w:line="360" w:lineRule="auto"/>
        <w:ind w:firstLine="540" w:firstLineChars="224"/>
        <w:rPr>
          <w:rFonts w:ascii="宋体" w:hAnsi="宋体"/>
          <w:color w:val="auto"/>
          <w:sz w:val="24"/>
          <w:szCs w:val="24"/>
          <w:highlight w:val="none"/>
        </w:rPr>
      </w:pPr>
      <w:r>
        <w:rPr>
          <w:rFonts w:hint="eastAsia" w:ascii="宋体" w:hAnsi="宋体"/>
          <w:b/>
          <w:bCs/>
          <w:color w:val="auto"/>
          <w:sz w:val="24"/>
          <w:szCs w:val="24"/>
          <w:highlight w:val="none"/>
        </w:rPr>
        <w:t>原文：</w:t>
      </w:r>
      <w:r>
        <w:rPr>
          <w:rFonts w:hint="eastAsia" w:ascii="宋体" w:hAnsi="宋体"/>
          <w:color w:val="auto"/>
          <w:sz w:val="24"/>
          <w:szCs w:val="24"/>
          <w:highlight w:val="none"/>
        </w:rPr>
        <w:t>可选方法一：综合评估法一（综合评估分值由技术、商务、投标报价和诚信分数组成）</w:t>
      </w:r>
    </w:p>
    <w:p>
      <w:pPr>
        <w:spacing w:line="360" w:lineRule="auto"/>
        <w:ind w:firstLine="540" w:firstLineChars="224"/>
        <w:rPr>
          <w:rFonts w:ascii="宋体" w:hAnsi="宋体"/>
          <w:b/>
          <w:bCs/>
          <w:color w:val="auto"/>
          <w:sz w:val="24"/>
          <w:szCs w:val="21"/>
          <w:highlight w:val="none"/>
        </w:rPr>
      </w:pPr>
      <w:r>
        <w:rPr>
          <w:rFonts w:hint="eastAsia" w:ascii="宋体" w:hAnsi="宋体"/>
          <w:b/>
          <w:bCs/>
          <w:color w:val="auto"/>
          <w:sz w:val="24"/>
          <w:szCs w:val="21"/>
          <w:highlight w:val="none"/>
        </w:rPr>
        <w:t>条款号：可选方法二         修改类型：修改</w:t>
      </w:r>
    </w:p>
    <w:p>
      <w:pPr>
        <w:spacing w:line="360" w:lineRule="auto"/>
        <w:ind w:firstLine="540" w:firstLineChars="224"/>
        <w:rPr>
          <w:rFonts w:ascii="宋体" w:hAnsi="宋体"/>
          <w:color w:val="auto"/>
          <w:sz w:val="24"/>
          <w:szCs w:val="24"/>
          <w:highlight w:val="none"/>
        </w:rPr>
      </w:pPr>
      <w:r>
        <w:rPr>
          <w:rFonts w:hint="eastAsia" w:ascii="宋体" w:hAnsi="宋体"/>
          <w:b/>
          <w:bCs/>
          <w:color w:val="auto"/>
          <w:sz w:val="24"/>
          <w:szCs w:val="24"/>
          <w:highlight w:val="none"/>
        </w:rPr>
        <w:t>原文：</w:t>
      </w:r>
      <w:r>
        <w:rPr>
          <w:rFonts w:hint="eastAsia" w:ascii="宋体" w:hAnsi="宋体"/>
          <w:color w:val="auto"/>
          <w:sz w:val="24"/>
          <w:szCs w:val="24"/>
          <w:highlight w:val="none"/>
        </w:rPr>
        <w:t>《评标办法前附表》（原文略）</w:t>
      </w:r>
    </w:p>
    <w:p>
      <w:pPr>
        <w:pBdr>
          <w:bottom w:val="single" w:color="auto" w:sz="6" w:space="1"/>
        </w:pBdr>
        <w:spacing w:line="360" w:lineRule="auto"/>
        <w:ind w:firstLine="540" w:firstLineChars="224"/>
        <w:rPr>
          <w:rFonts w:ascii="宋体" w:hAnsi="宋体"/>
          <w:color w:val="auto"/>
          <w:sz w:val="24"/>
          <w:szCs w:val="24"/>
          <w:highlight w:val="none"/>
        </w:rPr>
      </w:pPr>
      <w:r>
        <w:rPr>
          <w:rFonts w:hint="eastAsia" w:ascii="宋体" w:hAnsi="宋体"/>
          <w:b/>
          <w:bCs/>
          <w:color w:val="auto"/>
          <w:sz w:val="24"/>
          <w:szCs w:val="24"/>
          <w:highlight w:val="none"/>
        </w:rPr>
        <w:t>现文：</w:t>
      </w:r>
      <w:r>
        <w:rPr>
          <w:rFonts w:hint="eastAsia" w:ascii="宋体" w:hAnsi="宋体"/>
          <w:color w:val="auto"/>
          <w:sz w:val="24"/>
          <w:szCs w:val="24"/>
          <w:highlight w:val="none"/>
        </w:rPr>
        <w:t>修改后的《评标办法前附表》后附。</w:t>
      </w:r>
    </w:p>
    <w:p>
      <w:pPr>
        <w:spacing w:line="360" w:lineRule="auto"/>
        <w:ind w:firstLine="540" w:firstLineChars="224"/>
        <w:rPr>
          <w:rFonts w:ascii="宋体" w:hAnsi="宋体"/>
          <w:b/>
          <w:bCs/>
          <w:color w:val="auto"/>
          <w:sz w:val="24"/>
          <w:szCs w:val="21"/>
          <w:highlight w:val="none"/>
        </w:rPr>
      </w:pPr>
      <w:r>
        <w:rPr>
          <w:rFonts w:hint="eastAsia" w:ascii="宋体" w:hAnsi="宋体"/>
          <w:b/>
          <w:bCs/>
          <w:color w:val="auto"/>
          <w:sz w:val="24"/>
          <w:szCs w:val="21"/>
          <w:highlight w:val="none"/>
        </w:rPr>
        <w:t>条款号：可选方法二         修改类型：删除</w:t>
      </w:r>
    </w:p>
    <w:p>
      <w:pPr>
        <w:pBdr>
          <w:bottom w:val="single" w:color="auto" w:sz="6" w:space="1"/>
        </w:pBdr>
        <w:spacing w:line="360" w:lineRule="auto"/>
        <w:ind w:firstLine="540" w:firstLineChars="224"/>
        <w:rPr>
          <w:rFonts w:ascii="宋体" w:hAnsi="宋体"/>
          <w:color w:val="auto"/>
          <w:sz w:val="24"/>
          <w:szCs w:val="21"/>
          <w:highlight w:val="none"/>
        </w:rPr>
      </w:pPr>
      <w:r>
        <w:rPr>
          <w:rFonts w:hint="eastAsia" w:ascii="宋体" w:hAnsi="宋体"/>
          <w:b/>
          <w:bCs/>
          <w:color w:val="auto"/>
          <w:sz w:val="24"/>
          <w:szCs w:val="24"/>
          <w:highlight w:val="none"/>
        </w:rPr>
        <w:t>原文：</w:t>
      </w:r>
      <w:r>
        <w:rPr>
          <w:rFonts w:hint="eastAsia" w:ascii="宋体" w:hAnsi="宋体"/>
          <w:color w:val="auto"/>
          <w:sz w:val="24"/>
          <w:szCs w:val="24"/>
          <w:highlight w:val="none"/>
        </w:rPr>
        <w:t>可选方法三：综合评估法三（综合评估分值由投标报价和诚信分数组成，投标人无需编制技术文件）</w:t>
      </w:r>
    </w:p>
    <w:p>
      <w:pPr>
        <w:spacing w:line="360" w:lineRule="auto"/>
        <w:ind w:firstLine="540" w:firstLineChars="224"/>
        <w:rPr>
          <w:rFonts w:ascii="宋体" w:hAnsi="宋体"/>
          <w:b/>
          <w:bCs/>
          <w:color w:val="auto"/>
          <w:sz w:val="24"/>
          <w:szCs w:val="21"/>
          <w:highlight w:val="none"/>
        </w:rPr>
      </w:pPr>
      <w:r>
        <w:rPr>
          <w:rFonts w:hint="eastAsia" w:ascii="宋体" w:hAnsi="宋体"/>
          <w:b/>
          <w:bCs/>
          <w:color w:val="auto"/>
          <w:sz w:val="24"/>
          <w:szCs w:val="21"/>
          <w:highlight w:val="none"/>
        </w:rPr>
        <w:t>条款号：</w:t>
      </w:r>
      <w:r>
        <w:rPr>
          <w:rFonts w:hint="eastAsia" w:ascii="宋体" w:hAnsi="宋体"/>
          <w:b/>
          <w:bCs/>
          <w:color w:val="auto"/>
          <w:sz w:val="24"/>
          <w:szCs w:val="24"/>
          <w:highlight w:val="none"/>
        </w:rPr>
        <w:t>第三章评标办法（经评审的最低投标价法）</w:t>
      </w:r>
      <w:r>
        <w:rPr>
          <w:rFonts w:hint="eastAsia" w:ascii="宋体" w:hAnsi="宋体"/>
          <w:b/>
          <w:bCs/>
          <w:color w:val="auto"/>
          <w:sz w:val="24"/>
          <w:szCs w:val="21"/>
          <w:highlight w:val="none"/>
        </w:rPr>
        <w:t xml:space="preserve">    修改类型：删除</w:t>
      </w:r>
    </w:p>
    <w:p>
      <w:pPr>
        <w:pBdr>
          <w:bottom w:val="single" w:color="auto" w:sz="6" w:space="1"/>
        </w:pBdr>
        <w:spacing w:line="480" w:lineRule="auto"/>
        <w:ind w:firstLine="540" w:firstLineChars="224"/>
        <w:rPr>
          <w:rFonts w:ascii="宋体" w:hAnsi="宋体"/>
          <w:color w:val="auto"/>
          <w:sz w:val="24"/>
          <w:szCs w:val="21"/>
          <w:highlight w:val="none"/>
        </w:rPr>
      </w:pPr>
      <w:r>
        <w:rPr>
          <w:rFonts w:hint="eastAsia" w:ascii="宋体" w:hAnsi="宋体"/>
          <w:b/>
          <w:bCs/>
          <w:color w:val="auto"/>
          <w:sz w:val="24"/>
          <w:szCs w:val="21"/>
          <w:highlight w:val="none"/>
        </w:rPr>
        <w:t>原文：</w:t>
      </w:r>
      <w:r>
        <w:rPr>
          <w:rFonts w:hint="eastAsia" w:ascii="宋体" w:hAnsi="宋体"/>
          <w:color w:val="auto"/>
          <w:sz w:val="24"/>
          <w:szCs w:val="24"/>
          <w:highlight w:val="none"/>
        </w:rPr>
        <w:t>第三章评标办法（经评审的最低投标价法）</w:t>
      </w:r>
    </w:p>
    <w:p>
      <w:pPr>
        <w:spacing w:line="360" w:lineRule="auto"/>
        <w:ind w:firstLine="482" w:firstLineChars="200"/>
        <w:jc w:val="left"/>
        <w:rPr>
          <w:rFonts w:ascii="宋体" w:hAnsi="宋体" w:cs="宋体"/>
          <w:b/>
          <w:bCs/>
          <w:color w:val="auto"/>
          <w:sz w:val="24"/>
          <w:szCs w:val="21"/>
          <w:highlight w:val="none"/>
        </w:rPr>
      </w:pPr>
      <w:r>
        <w:rPr>
          <w:rFonts w:hint="eastAsia" w:ascii="宋体" w:hAnsi="宋体" w:cs="宋体"/>
          <w:b/>
          <w:bCs/>
          <w:color w:val="auto"/>
          <w:sz w:val="24"/>
          <w:szCs w:val="21"/>
          <w:highlight w:val="none"/>
          <w:lang w:bidi="ar"/>
        </w:rPr>
        <w:t>条款号：2.2.3             修改类型：修改</w:t>
      </w:r>
    </w:p>
    <w:p>
      <w:pPr>
        <w:spacing w:line="360" w:lineRule="auto"/>
        <w:ind w:firstLine="482" w:firstLineChars="200"/>
        <w:jc w:val="left"/>
        <w:rPr>
          <w:rFonts w:ascii="宋体" w:hAnsi="宋体"/>
          <w:b/>
          <w:color w:val="auto"/>
          <w:sz w:val="24"/>
          <w:szCs w:val="24"/>
          <w:highlight w:val="none"/>
        </w:rPr>
      </w:pPr>
      <w:r>
        <w:rPr>
          <w:rFonts w:hint="eastAsia" w:ascii="宋体" w:hAnsi="宋体" w:cs="宋体"/>
          <w:b/>
          <w:bCs/>
          <w:color w:val="auto"/>
          <w:sz w:val="24"/>
          <w:szCs w:val="21"/>
          <w:highlight w:val="none"/>
          <w:lang w:bidi="ar"/>
        </w:rPr>
        <w:t>原文：</w:t>
      </w:r>
      <w:r>
        <w:rPr>
          <w:rFonts w:hint="eastAsia" w:ascii="宋体" w:hAnsi="宋体"/>
          <w:color w:val="auto"/>
          <w:sz w:val="24"/>
          <w:szCs w:val="24"/>
          <w:highlight w:val="none"/>
        </w:rPr>
        <w:t>评标基准价可按以下方式确定：</w:t>
      </w:r>
      <w:r>
        <w:rPr>
          <w:rFonts w:hint="eastAsia" w:ascii="宋体" w:hAnsi="宋体"/>
          <w:b/>
          <w:color w:val="auto"/>
          <w:sz w:val="24"/>
          <w:szCs w:val="24"/>
          <w:highlight w:val="none"/>
        </w:rPr>
        <w:t>（注：招标人自行选择，两选一）</w:t>
      </w:r>
    </w:p>
    <w:p>
      <w:pPr>
        <w:spacing w:line="360" w:lineRule="auto"/>
        <w:ind w:firstLine="482" w:firstLineChars="200"/>
        <w:rPr>
          <w:rFonts w:ascii="宋体" w:hAnsi="宋体"/>
          <w:color w:val="auto"/>
          <w:sz w:val="24"/>
          <w:szCs w:val="24"/>
          <w:highlight w:val="none"/>
        </w:rPr>
      </w:pPr>
      <w:r>
        <w:rPr>
          <w:rFonts w:hint="eastAsia" w:ascii="宋体" w:hAnsi="宋体"/>
          <w:b/>
          <w:color w:val="auto"/>
          <w:sz w:val="24"/>
          <w:szCs w:val="24"/>
          <w:highlight w:val="none"/>
        </w:rPr>
        <w:t>可选方式一</w:t>
      </w:r>
      <w:r>
        <w:rPr>
          <w:rFonts w:hint="eastAsia" w:ascii="宋体" w:hAnsi="宋体"/>
          <w:color w:val="auto"/>
          <w:sz w:val="24"/>
          <w:szCs w:val="24"/>
          <w:highlight w:val="none"/>
        </w:rPr>
        <w:t>：以全部或随机抽取的有效投标报价的算术平均值按随机抽取的评标基准价下浮率（2～5%，0.5一个级别）下浮作为评标基准价。具体确定方法如下：</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a</w:t>
      </w:r>
      <w:r>
        <w:rPr>
          <w:rFonts w:hint="eastAsia" w:ascii="宋体" w:hAnsi="宋体"/>
          <w:color w:val="auto"/>
          <w:sz w:val="24"/>
          <w:szCs w:val="24"/>
          <w:highlight w:val="none"/>
        </w:rPr>
        <w:t>、当有效投标报价的投标人少于或等于5个时，取全部有效投标报价的算术平均按随机抽取的评标基准价下浮率（2～5%，0.5一个级别）下浮作为评标基准价。</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b</w:t>
      </w:r>
      <w:r>
        <w:rPr>
          <w:rFonts w:hint="eastAsia" w:ascii="宋体" w:hAnsi="宋体"/>
          <w:color w:val="auto"/>
          <w:sz w:val="24"/>
          <w:szCs w:val="24"/>
          <w:highlight w:val="none"/>
        </w:rPr>
        <w:t>、当有效投标报价的投标人为6至10个时，从全部有效投标报价中去掉一个最大值和最小值，其他有效投标报价的算术平均值按随机抽取的评标基准价下浮率（2～5%，0.5一个级别）下浮作为评标基准价。</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c</w:t>
      </w:r>
      <w:r>
        <w:rPr>
          <w:rFonts w:hint="eastAsia" w:ascii="宋体" w:hAnsi="宋体"/>
          <w:color w:val="auto"/>
          <w:sz w:val="24"/>
          <w:szCs w:val="24"/>
          <w:highlight w:val="none"/>
        </w:rPr>
        <w:t>、当有效投标报价的投标人大于10个时，随机抽取10个有效投标报价并从中去掉一个最大值和最小值后计算算术平均值，该平均值按随机抽取的评标基准价下浮率（2～5%，0.5一个级别）下浮作为评标基准价。</w:t>
      </w:r>
    </w:p>
    <w:p>
      <w:pPr>
        <w:pBdr>
          <w:bottom w:val="single" w:color="auto" w:sz="4" w:space="0"/>
        </w:pBdr>
        <w:spacing w:line="360" w:lineRule="auto"/>
        <w:ind w:firstLine="480" w:firstLineChars="200"/>
        <w:jc w:val="left"/>
        <w:rPr>
          <w:rFonts w:ascii="宋体" w:hAnsi="宋体"/>
          <w:color w:val="auto"/>
          <w:highlight w:val="none"/>
        </w:rPr>
      </w:pPr>
      <w:r>
        <w:rPr>
          <w:rFonts w:hint="eastAsia" w:ascii="宋体" w:hAnsi="宋体" w:cs="宋体"/>
          <w:color w:val="auto"/>
          <w:sz w:val="24"/>
          <w:szCs w:val="24"/>
          <w:highlight w:val="none"/>
        </w:rPr>
        <w:t>在首次评标过程中，投标人未被发现存在串通投标、弄虚作假、行贿等情形的，无论是否重评，经确定的评标基准价不变。</w:t>
      </w:r>
    </w:p>
    <w:p>
      <w:pPr>
        <w:pBdr>
          <w:bottom w:val="single" w:color="auto" w:sz="4" w:space="0"/>
        </w:pBdr>
        <w:spacing w:line="360" w:lineRule="auto"/>
        <w:ind w:firstLine="482" w:firstLineChars="200"/>
        <w:jc w:val="left"/>
        <w:rPr>
          <w:rFonts w:ascii="宋体" w:hAnsi="宋体" w:cs="宋体"/>
          <w:color w:val="auto"/>
          <w:sz w:val="24"/>
          <w:szCs w:val="21"/>
          <w:highlight w:val="none"/>
          <w:lang w:bidi="ar"/>
        </w:rPr>
      </w:pPr>
      <w:r>
        <w:rPr>
          <w:rFonts w:hint="eastAsia" w:ascii="宋体" w:hAnsi="宋体" w:cs="宋体"/>
          <w:b/>
          <w:bCs/>
          <w:color w:val="auto"/>
          <w:sz w:val="24"/>
          <w:szCs w:val="21"/>
          <w:highlight w:val="none"/>
          <w:lang w:bidi="ar"/>
        </w:rPr>
        <w:t>可选方式二：</w:t>
      </w:r>
      <w:r>
        <w:rPr>
          <w:rFonts w:hint="eastAsia" w:ascii="宋体" w:hAnsi="宋体" w:cs="宋体"/>
          <w:color w:val="auto"/>
          <w:sz w:val="24"/>
          <w:szCs w:val="21"/>
          <w:highlight w:val="none"/>
          <w:lang w:bidi="ar"/>
        </w:rPr>
        <w:t>以有效投标报价的算术平均值按随机抽取的评标基准价下浮率（2～5%，0.5一个级别）下浮作为评标基准价。</w:t>
      </w:r>
    </w:p>
    <w:p>
      <w:pPr>
        <w:pBdr>
          <w:bottom w:val="single" w:color="auto" w:sz="4" w:space="0"/>
        </w:pBdr>
        <w:spacing w:line="360" w:lineRule="auto"/>
        <w:ind w:firstLine="480" w:firstLineChars="200"/>
        <w:jc w:val="left"/>
        <w:rPr>
          <w:rFonts w:ascii="宋体" w:hAnsi="宋体" w:cs="宋体"/>
          <w:b/>
          <w:bCs/>
          <w:color w:val="auto"/>
          <w:sz w:val="24"/>
          <w:szCs w:val="21"/>
          <w:highlight w:val="none"/>
          <w:lang w:bidi="ar"/>
        </w:rPr>
      </w:pPr>
      <w:r>
        <w:rPr>
          <w:rFonts w:hint="eastAsia" w:ascii="宋体" w:hAnsi="宋体" w:cs="宋体"/>
          <w:color w:val="auto"/>
          <w:sz w:val="24"/>
          <w:szCs w:val="21"/>
          <w:highlight w:val="none"/>
          <w:lang w:bidi="ar"/>
        </w:rPr>
        <w:t>在首次评标过程中，投标人未被发现存在串通投标、弄虚作假、行贿等情形的，无论是否重评，经确定的评标基准价不变。</w:t>
      </w:r>
    </w:p>
    <w:p>
      <w:pPr>
        <w:pBdr>
          <w:bottom w:val="single" w:color="auto" w:sz="4" w:space="0"/>
        </w:pBdr>
        <w:spacing w:line="360" w:lineRule="auto"/>
        <w:ind w:firstLine="482" w:firstLineChars="200"/>
        <w:jc w:val="left"/>
        <w:rPr>
          <w:rFonts w:ascii="宋体" w:hAnsi="宋体" w:cs="宋体"/>
          <w:color w:val="auto"/>
          <w:sz w:val="24"/>
          <w:szCs w:val="21"/>
          <w:highlight w:val="none"/>
          <w:lang w:bidi="ar"/>
        </w:rPr>
      </w:pPr>
      <w:r>
        <w:rPr>
          <w:rFonts w:hint="eastAsia" w:ascii="宋体" w:hAnsi="宋体" w:cs="宋体"/>
          <w:b/>
          <w:bCs/>
          <w:color w:val="auto"/>
          <w:sz w:val="24"/>
          <w:szCs w:val="21"/>
          <w:highlight w:val="none"/>
          <w:lang w:bidi="ar"/>
        </w:rPr>
        <w:t>现文:可选方式二：</w:t>
      </w:r>
      <w:r>
        <w:rPr>
          <w:rFonts w:hint="eastAsia" w:ascii="宋体" w:hAnsi="宋体" w:cs="宋体"/>
          <w:color w:val="auto"/>
          <w:sz w:val="24"/>
          <w:szCs w:val="21"/>
          <w:highlight w:val="none"/>
          <w:lang w:bidi="ar"/>
        </w:rPr>
        <w:t>以有效投标报价的算术平均值按随机抽取的评标基准价下浮率（2～5%，0.5一个级别）下浮作为评标基准价。</w:t>
      </w:r>
    </w:p>
    <w:p>
      <w:pPr>
        <w:pBdr>
          <w:bottom w:val="single" w:color="auto" w:sz="4" w:space="0"/>
        </w:pBd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1"/>
          <w:highlight w:val="none"/>
          <w:lang w:bidi="ar"/>
        </w:rPr>
        <w:t>在首次评标过程中，投标人未被发现存在串通投标、弄虚作假、行贿等情形的，无论是否重评，经确定的评标基准价不变</w:t>
      </w:r>
      <w:r>
        <w:rPr>
          <w:rFonts w:hint="eastAsia" w:ascii="宋体" w:hAnsi="宋体" w:cs="宋体"/>
          <w:color w:val="auto"/>
          <w:sz w:val="24"/>
          <w:szCs w:val="24"/>
          <w:highlight w:val="none"/>
        </w:rPr>
        <w:t>。</w:t>
      </w:r>
    </w:p>
    <w:p>
      <w:pPr>
        <w:spacing w:line="360" w:lineRule="auto"/>
        <w:ind w:firstLine="482" w:firstLineChars="200"/>
        <w:jc w:val="left"/>
        <w:rPr>
          <w:rFonts w:ascii="宋体" w:hAnsi="宋体"/>
          <w:b/>
          <w:bCs/>
          <w:color w:val="auto"/>
          <w:highlight w:val="none"/>
        </w:rPr>
      </w:pPr>
      <w:r>
        <w:rPr>
          <w:rFonts w:hint="eastAsia" w:ascii="宋体" w:hAnsi="宋体" w:cs="宋体"/>
          <w:b/>
          <w:bCs/>
          <w:color w:val="auto"/>
          <w:sz w:val="24"/>
          <w:szCs w:val="21"/>
          <w:highlight w:val="none"/>
          <w:lang w:bidi="ar"/>
        </w:rPr>
        <w:t>条款号：3.2.3             修改类型：修改</w:t>
      </w:r>
    </w:p>
    <w:p>
      <w:pPr>
        <w:spacing w:line="360" w:lineRule="auto"/>
        <w:ind w:firstLine="482" w:firstLineChars="200"/>
        <w:rPr>
          <w:rFonts w:ascii="宋体" w:hAnsi="宋体"/>
          <w:color w:val="auto"/>
          <w:sz w:val="24"/>
          <w:highlight w:val="none"/>
        </w:rPr>
      </w:pPr>
      <w:r>
        <w:rPr>
          <w:rFonts w:hint="eastAsia" w:ascii="宋体" w:hAnsi="宋体" w:cs="宋体"/>
          <w:b/>
          <w:bCs/>
          <w:color w:val="auto"/>
          <w:sz w:val="24"/>
          <w:szCs w:val="21"/>
          <w:highlight w:val="none"/>
          <w:lang w:bidi="ar"/>
        </w:rPr>
        <w:t>原文：</w:t>
      </w:r>
      <w:r>
        <w:rPr>
          <w:rFonts w:ascii="宋体" w:hAnsi="宋体"/>
          <w:color w:val="auto"/>
          <w:sz w:val="24"/>
          <w:highlight w:val="none"/>
        </w:rPr>
        <w:t xml:space="preserve"> </w:t>
      </w:r>
      <w:r>
        <w:rPr>
          <w:rFonts w:hint="eastAsia" w:ascii="宋体" w:hAnsi="宋体"/>
          <w:color w:val="auto"/>
          <w:sz w:val="24"/>
          <w:highlight w:val="none"/>
        </w:rPr>
        <w:t>3.2.3投标人的得分=A*</w:t>
      </w:r>
      <w:r>
        <w:rPr>
          <w:rFonts w:hint="eastAsia" w:ascii="宋体" w:hAnsi="宋体"/>
          <w:color w:val="auto"/>
          <w:sz w:val="24"/>
          <w:highlight w:val="none"/>
          <w:u w:val="single"/>
        </w:rPr>
        <w:t xml:space="preserve">    </w:t>
      </w:r>
      <w:r>
        <w:rPr>
          <w:rFonts w:hint="eastAsia" w:ascii="宋体" w:hAnsi="宋体"/>
          <w:color w:val="auto"/>
          <w:sz w:val="24"/>
          <w:highlight w:val="none"/>
        </w:rPr>
        <w:t>+B*</w:t>
      </w:r>
      <w:r>
        <w:rPr>
          <w:rFonts w:hint="eastAsia" w:ascii="宋体" w:hAnsi="宋体"/>
          <w:color w:val="auto"/>
          <w:sz w:val="24"/>
          <w:highlight w:val="none"/>
          <w:u w:val="single"/>
        </w:rPr>
        <w:t xml:space="preserve">    </w:t>
      </w:r>
      <w:r>
        <w:rPr>
          <w:rFonts w:hint="eastAsia" w:ascii="宋体" w:hAnsi="宋体"/>
          <w:color w:val="auto"/>
          <w:sz w:val="24"/>
          <w:highlight w:val="none"/>
        </w:rPr>
        <w:t>。（注：由招标人根据相关规定自行设置计分权重）</w:t>
      </w:r>
    </w:p>
    <w:p>
      <w:pPr>
        <w:pBdr>
          <w:bottom w:val="single" w:color="auto" w:sz="6" w:space="1"/>
        </w:pBdr>
        <w:spacing w:line="360" w:lineRule="auto"/>
        <w:ind w:firstLine="540" w:firstLineChars="224"/>
        <w:rPr>
          <w:rFonts w:ascii="宋体" w:hAnsi="宋体"/>
          <w:color w:val="auto"/>
          <w:sz w:val="24"/>
          <w:szCs w:val="21"/>
          <w:highlight w:val="none"/>
        </w:rPr>
      </w:pPr>
      <w:r>
        <w:rPr>
          <w:rFonts w:hint="eastAsia" w:ascii="宋体" w:hAnsi="宋体" w:cs="宋体"/>
          <w:b/>
          <w:bCs/>
          <w:color w:val="auto"/>
          <w:sz w:val="24"/>
          <w:szCs w:val="21"/>
          <w:highlight w:val="none"/>
          <w:lang w:bidi="ar"/>
        </w:rPr>
        <w:t>现文:</w:t>
      </w:r>
      <w:r>
        <w:rPr>
          <w:rFonts w:ascii="宋体" w:hAnsi="宋体"/>
          <w:color w:val="auto"/>
          <w:sz w:val="24"/>
          <w:highlight w:val="none"/>
        </w:rPr>
        <w:t xml:space="preserve"> </w:t>
      </w:r>
      <w:r>
        <w:rPr>
          <w:rFonts w:hint="eastAsia" w:ascii="宋体" w:hAnsi="宋体"/>
          <w:color w:val="auto"/>
          <w:sz w:val="24"/>
          <w:highlight w:val="none"/>
        </w:rPr>
        <w:t>3.2.3</w:t>
      </w:r>
      <w:r>
        <w:rPr>
          <w:rFonts w:hint="eastAsia" w:ascii="宋体" w:hAnsi="宋体"/>
          <w:color w:val="auto"/>
          <w:sz w:val="24"/>
          <w:highlight w:val="none"/>
          <w:u w:val="single"/>
        </w:rPr>
        <w:t>投标人总得分=A*</w:t>
      </w:r>
      <w:r>
        <w:rPr>
          <w:rFonts w:ascii="宋体" w:hAnsi="宋体"/>
          <w:color w:val="auto"/>
          <w:sz w:val="24"/>
          <w:highlight w:val="none"/>
          <w:u w:val="single"/>
        </w:rPr>
        <w:t>80</w:t>
      </w:r>
      <w:r>
        <w:rPr>
          <w:rFonts w:hint="eastAsia" w:ascii="宋体" w:hAnsi="宋体"/>
          <w:color w:val="auto"/>
          <w:sz w:val="24"/>
          <w:highlight w:val="none"/>
          <w:u w:val="single"/>
        </w:rPr>
        <w:t>%+B*</w:t>
      </w:r>
      <w:r>
        <w:rPr>
          <w:rFonts w:ascii="宋体" w:hAnsi="宋体"/>
          <w:color w:val="auto"/>
          <w:sz w:val="24"/>
          <w:highlight w:val="none"/>
          <w:u w:val="single"/>
        </w:rPr>
        <w:t>20</w:t>
      </w:r>
      <w:r>
        <w:rPr>
          <w:rFonts w:hint="eastAsia" w:ascii="宋体" w:hAnsi="宋体"/>
          <w:color w:val="auto"/>
          <w:sz w:val="24"/>
          <w:highlight w:val="none"/>
          <w:u w:val="single"/>
        </w:rPr>
        <w:t>%</w:t>
      </w:r>
      <w:r>
        <w:rPr>
          <w:rFonts w:hint="eastAsia" w:ascii="宋体" w:hAnsi="宋体"/>
          <w:color w:val="auto"/>
          <w:sz w:val="24"/>
          <w:highlight w:val="none"/>
        </w:rPr>
        <w:t>。</w:t>
      </w:r>
    </w:p>
    <w:p>
      <w:pPr>
        <w:spacing w:line="480" w:lineRule="auto"/>
        <w:ind w:firstLine="540" w:firstLineChars="224"/>
        <w:rPr>
          <w:rFonts w:ascii="宋体" w:hAnsi="宋体"/>
          <w:b/>
          <w:bCs/>
          <w:color w:val="auto"/>
          <w:sz w:val="24"/>
          <w:szCs w:val="21"/>
          <w:highlight w:val="none"/>
        </w:rPr>
      </w:pPr>
      <w:r>
        <w:rPr>
          <w:rFonts w:hint="eastAsia" w:ascii="宋体" w:hAnsi="宋体"/>
          <w:b/>
          <w:bCs/>
          <w:color w:val="auto"/>
          <w:sz w:val="24"/>
          <w:szCs w:val="21"/>
          <w:highlight w:val="none"/>
        </w:rPr>
        <w:t>条款号：</w:t>
      </w:r>
      <w:r>
        <w:rPr>
          <w:rFonts w:hint="eastAsia" w:ascii="宋体" w:hAnsi="宋体"/>
          <w:b/>
          <w:bCs/>
          <w:color w:val="auto"/>
          <w:sz w:val="24"/>
          <w:szCs w:val="24"/>
          <w:highlight w:val="none"/>
        </w:rPr>
        <w:t>附表</w:t>
      </w:r>
      <w:r>
        <w:rPr>
          <w:rFonts w:ascii="宋体" w:hAnsi="宋体"/>
          <w:b/>
          <w:bCs/>
          <w:color w:val="auto"/>
          <w:sz w:val="24"/>
          <w:szCs w:val="24"/>
          <w:highlight w:val="none"/>
        </w:rPr>
        <w:t>4</w:t>
      </w:r>
      <w:r>
        <w:rPr>
          <w:rFonts w:hint="eastAsia" w:ascii="宋体" w:hAnsi="宋体"/>
          <w:b/>
          <w:bCs/>
          <w:color w:val="auto"/>
          <w:sz w:val="24"/>
          <w:szCs w:val="21"/>
          <w:highlight w:val="none"/>
        </w:rPr>
        <w:t xml:space="preserve">            修改类型：修改</w:t>
      </w:r>
    </w:p>
    <w:p>
      <w:pPr>
        <w:pBdr>
          <w:bottom w:val="single" w:color="auto" w:sz="6" w:space="1"/>
        </w:pBdr>
        <w:spacing w:line="360" w:lineRule="auto"/>
        <w:ind w:firstLine="540" w:firstLineChars="224"/>
        <w:rPr>
          <w:rFonts w:ascii="宋体" w:hAnsi="宋体"/>
          <w:b/>
          <w:bCs/>
          <w:color w:val="auto"/>
          <w:sz w:val="24"/>
          <w:szCs w:val="21"/>
          <w:highlight w:val="none"/>
        </w:rPr>
      </w:pPr>
      <w:r>
        <w:rPr>
          <w:rFonts w:hint="eastAsia" w:ascii="宋体" w:hAnsi="宋体"/>
          <w:b/>
          <w:bCs/>
          <w:color w:val="auto"/>
          <w:sz w:val="24"/>
          <w:szCs w:val="21"/>
          <w:highlight w:val="none"/>
        </w:rPr>
        <w:t>原文：</w:t>
      </w:r>
      <w:r>
        <w:rPr>
          <w:rFonts w:hint="eastAsia" w:ascii="宋体" w:hAnsi="宋体"/>
          <w:color w:val="auto"/>
          <w:sz w:val="24"/>
          <w:szCs w:val="24"/>
          <w:highlight w:val="none"/>
        </w:rPr>
        <w:t>附表</w:t>
      </w:r>
      <w:r>
        <w:rPr>
          <w:rFonts w:ascii="宋体" w:hAnsi="宋体"/>
          <w:color w:val="auto"/>
          <w:sz w:val="24"/>
          <w:szCs w:val="24"/>
          <w:highlight w:val="none"/>
        </w:rPr>
        <w:t>4</w:t>
      </w:r>
      <w:r>
        <w:rPr>
          <w:rFonts w:hint="eastAsia" w:ascii="宋体" w:hAnsi="宋体"/>
          <w:color w:val="auto"/>
          <w:sz w:val="24"/>
          <w:szCs w:val="24"/>
          <w:highlight w:val="none"/>
        </w:rPr>
        <w:t>（原文略）</w:t>
      </w:r>
    </w:p>
    <w:p>
      <w:pPr>
        <w:pBdr>
          <w:bottom w:val="single" w:color="auto" w:sz="6" w:space="1"/>
        </w:pBdr>
        <w:spacing w:line="360" w:lineRule="auto"/>
        <w:ind w:firstLine="540" w:firstLineChars="224"/>
        <w:rPr>
          <w:rFonts w:ascii="宋体" w:hAnsi="宋体"/>
          <w:b/>
          <w:bCs/>
          <w:color w:val="auto"/>
          <w:sz w:val="24"/>
          <w:szCs w:val="21"/>
          <w:highlight w:val="none"/>
        </w:rPr>
      </w:pPr>
      <w:r>
        <w:rPr>
          <w:rFonts w:hint="eastAsia" w:ascii="宋体" w:hAnsi="宋体"/>
          <w:b/>
          <w:bCs/>
          <w:color w:val="auto"/>
          <w:sz w:val="24"/>
          <w:szCs w:val="21"/>
          <w:highlight w:val="none"/>
        </w:rPr>
        <w:t>现文：</w:t>
      </w:r>
      <w:r>
        <w:rPr>
          <w:rFonts w:hint="eastAsia" w:ascii="宋体" w:hAnsi="宋体"/>
          <w:bCs/>
          <w:color w:val="auto"/>
          <w:sz w:val="24"/>
          <w:szCs w:val="21"/>
          <w:highlight w:val="none"/>
        </w:rPr>
        <w:t>修改后的</w:t>
      </w:r>
      <w:r>
        <w:rPr>
          <w:rFonts w:hint="eastAsia" w:ascii="宋体" w:hAnsi="宋体"/>
          <w:color w:val="auto"/>
          <w:sz w:val="24"/>
          <w:szCs w:val="24"/>
          <w:highlight w:val="none"/>
        </w:rPr>
        <w:t>附表</w:t>
      </w:r>
      <w:r>
        <w:rPr>
          <w:rFonts w:ascii="宋体" w:hAnsi="宋体"/>
          <w:color w:val="auto"/>
          <w:sz w:val="24"/>
          <w:szCs w:val="24"/>
          <w:highlight w:val="none"/>
        </w:rPr>
        <w:t>4</w:t>
      </w:r>
      <w:r>
        <w:rPr>
          <w:rFonts w:hint="eastAsia" w:ascii="宋体" w:hAnsi="宋体"/>
          <w:bCs/>
          <w:color w:val="auto"/>
          <w:sz w:val="24"/>
          <w:szCs w:val="21"/>
          <w:highlight w:val="none"/>
        </w:rPr>
        <w:t>后附。</w:t>
      </w:r>
    </w:p>
    <w:p>
      <w:pPr>
        <w:spacing w:line="480" w:lineRule="auto"/>
        <w:ind w:firstLine="540" w:firstLineChars="224"/>
        <w:rPr>
          <w:rFonts w:ascii="宋体" w:hAnsi="宋体"/>
          <w:b/>
          <w:bCs/>
          <w:color w:val="auto"/>
          <w:sz w:val="24"/>
          <w:szCs w:val="21"/>
          <w:highlight w:val="none"/>
        </w:rPr>
      </w:pPr>
      <w:r>
        <w:rPr>
          <w:rFonts w:hint="eastAsia" w:ascii="宋体" w:hAnsi="宋体"/>
          <w:b/>
          <w:bCs/>
          <w:color w:val="auto"/>
          <w:sz w:val="24"/>
          <w:szCs w:val="21"/>
          <w:highlight w:val="none"/>
        </w:rPr>
        <w:t>条款号：</w:t>
      </w:r>
      <w:r>
        <w:rPr>
          <w:rFonts w:hint="eastAsia" w:ascii="宋体" w:hAnsi="宋体"/>
          <w:b/>
          <w:bCs/>
          <w:color w:val="auto"/>
          <w:sz w:val="24"/>
          <w:szCs w:val="24"/>
          <w:highlight w:val="none"/>
        </w:rPr>
        <w:t>附表</w:t>
      </w:r>
      <w:r>
        <w:rPr>
          <w:rFonts w:ascii="宋体" w:hAnsi="宋体"/>
          <w:b/>
          <w:bCs/>
          <w:color w:val="auto"/>
          <w:sz w:val="24"/>
          <w:szCs w:val="24"/>
          <w:highlight w:val="none"/>
        </w:rPr>
        <w:t>5</w:t>
      </w:r>
      <w:r>
        <w:rPr>
          <w:rFonts w:hint="eastAsia" w:ascii="宋体" w:hAnsi="宋体"/>
          <w:b/>
          <w:bCs/>
          <w:color w:val="auto"/>
          <w:sz w:val="24"/>
          <w:szCs w:val="21"/>
          <w:highlight w:val="none"/>
        </w:rPr>
        <w:t xml:space="preserve">            修改类型：删除</w:t>
      </w:r>
    </w:p>
    <w:p>
      <w:pPr>
        <w:pBdr>
          <w:bottom w:val="single" w:color="auto" w:sz="6" w:space="1"/>
        </w:pBdr>
        <w:spacing w:line="360" w:lineRule="auto"/>
        <w:ind w:firstLine="540" w:firstLineChars="224"/>
        <w:rPr>
          <w:rFonts w:ascii="宋体" w:hAnsi="宋体"/>
          <w:color w:val="auto"/>
          <w:sz w:val="24"/>
          <w:szCs w:val="21"/>
          <w:highlight w:val="none"/>
        </w:rPr>
      </w:pPr>
      <w:r>
        <w:rPr>
          <w:rFonts w:hint="eastAsia" w:ascii="宋体" w:hAnsi="宋体"/>
          <w:b/>
          <w:bCs/>
          <w:color w:val="auto"/>
          <w:sz w:val="24"/>
          <w:szCs w:val="21"/>
          <w:highlight w:val="none"/>
        </w:rPr>
        <w:t>原文：</w:t>
      </w:r>
      <w:r>
        <w:rPr>
          <w:rFonts w:hint="eastAsia" w:ascii="宋体" w:hAnsi="宋体"/>
          <w:color w:val="auto"/>
          <w:sz w:val="24"/>
          <w:szCs w:val="24"/>
          <w:highlight w:val="none"/>
        </w:rPr>
        <w:t>附表</w:t>
      </w:r>
      <w:r>
        <w:rPr>
          <w:rFonts w:ascii="宋体" w:hAnsi="宋体"/>
          <w:color w:val="auto"/>
          <w:sz w:val="24"/>
          <w:szCs w:val="24"/>
          <w:highlight w:val="none"/>
        </w:rPr>
        <w:t>5</w:t>
      </w:r>
      <w:r>
        <w:rPr>
          <w:rFonts w:hint="eastAsia" w:ascii="宋体" w:hAnsi="宋体"/>
          <w:color w:val="auto"/>
          <w:sz w:val="24"/>
          <w:szCs w:val="24"/>
          <w:highlight w:val="none"/>
        </w:rPr>
        <w:t>（原文略）</w:t>
      </w:r>
    </w:p>
    <w:p>
      <w:pPr>
        <w:spacing w:line="360" w:lineRule="auto"/>
        <w:ind w:firstLine="480" w:firstLineChars="200"/>
        <w:jc w:val="left"/>
        <w:rPr>
          <w:rFonts w:ascii="宋体" w:hAnsi="宋体"/>
          <w:color w:val="auto"/>
          <w:sz w:val="24"/>
          <w:szCs w:val="21"/>
          <w:highlight w:val="none"/>
        </w:rPr>
      </w:pPr>
    </w:p>
    <w:p>
      <w:pPr>
        <w:spacing w:line="360" w:lineRule="auto"/>
        <w:jc w:val="center"/>
        <w:outlineLvl w:val="2"/>
        <w:rPr>
          <w:rFonts w:ascii="宋体" w:hAnsi="宋体"/>
          <w:color w:val="auto"/>
          <w:sz w:val="28"/>
          <w:szCs w:val="27"/>
          <w:highlight w:val="none"/>
        </w:rPr>
      </w:pPr>
      <w:r>
        <w:rPr>
          <w:rFonts w:ascii="宋体" w:hAnsi="宋体"/>
          <w:color w:val="auto"/>
          <w:sz w:val="24"/>
          <w:szCs w:val="21"/>
          <w:highlight w:val="none"/>
        </w:rPr>
        <w:br w:type="page"/>
      </w:r>
      <w:r>
        <w:rPr>
          <w:rFonts w:hint="eastAsia" w:ascii="宋体" w:hAnsi="宋体"/>
          <w:color w:val="auto"/>
          <w:sz w:val="28"/>
          <w:szCs w:val="27"/>
          <w:highlight w:val="none"/>
        </w:rPr>
        <w:t>可选方法二：综合评估法二（综合评估分值由投标报价和诚信分数组成，要求投标人编制技术文件并对其进行合格性审查）</w:t>
      </w:r>
    </w:p>
    <w:p>
      <w:pPr>
        <w:spacing w:line="360" w:lineRule="auto"/>
        <w:ind w:firstLine="560" w:firstLineChars="200"/>
        <w:jc w:val="center"/>
        <w:outlineLvl w:val="1"/>
        <w:rPr>
          <w:rFonts w:ascii="宋体" w:hAnsi="宋体"/>
          <w:color w:val="auto"/>
          <w:sz w:val="28"/>
          <w:szCs w:val="27"/>
          <w:highlight w:val="none"/>
        </w:rPr>
      </w:pPr>
      <w:bookmarkStart w:id="112" w:name="_Toc21787689"/>
      <w:r>
        <w:rPr>
          <w:rFonts w:hint="eastAsia" w:ascii="宋体" w:hAnsi="宋体"/>
          <w:color w:val="auto"/>
          <w:sz w:val="28"/>
          <w:szCs w:val="27"/>
          <w:highlight w:val="none"/>
        </w:rPr>
        <w:t>评标办法前附表</w:t>
      </w:r>
      <w:bookmarkEnd w:id="112"/>
    </w:p>
    <w:tbl>
      <w:tblPr>
        <w:tblStyle w:val="40"/>
        <w:tblpPr w:leftFromText="180" w:rightFromText="180" w:vertAnchor="text" w:tblpY="1"/>
        <w:tblOverlap w:val="never"/>
        <w:tblW w:w="852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7"/>
        <w:gridCol w:w="1193"/>
        <w:gridCol w:w="1874"/>
        <w:gridCol w:w="477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1870" w:type="dxa"/>
            <w:gridSpan w:val="2"/>
            <w:tcBorders>
              <w:top w:val="single" w:color="auto" w:sz="4" w:space="0"/>
              <w:bottom w:val="single" w:color="auto" w:sz="4" w:space="0"/>
              <w:right w:val="single" w:color="auto" w:sz="4" w:space="0"/>
            </w:tcBorders>
            <w:vAlign w:val="center"/>
          </w:tcPr>
          <w:p>
            <w:pPr>
              <w:jc w:val="center"/>
              <w:rPr>
                <w:rFonts w:ascii="宋体" w:hAnsi="宋体"/>
                <w:b/>
                <w:color w:val="auto"/>
                <w:szCs w:val="21"/>
                <w:highlight w:val="none"/>
              </w:rPr>
            </w:pPr>
            <w:r>
              <w:rPr>
                <w:rFonts w:ascii="宋体" w:hAnsi="宋体"/>
                <w:b/>
                <w:color w:val="auto"/>
                <w:szCs w:val="21"/>
                <w:highlight w:val="none"/>
              </w:rPr>
              <w:t>条款号</w:t>
            </w:r>
          </w:p>
        </w:tc>
        <w:tc>
          <w:tcPr>
            <w:tcW w:w="18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highlight w:val="none"/>
              </w:rPr>
            </w:pPr>
            <w:r>
              <w:rPr>
                <w:rFonts w:ascii="宋体" w:hAnsi="宋体"/>
                <w:b/>
                <w:color w:val="auto"/>
                <w:szCs w:val="21"/>
                <w:highlight w:val="none"/>
              </w:rPr>
              <w:t>评审因素</w:t>
            </w:r>
          </w:p>
        </w:tc>
        <w:tc>
          <w:tcPr>
            <w:tcW w:w="477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highlight w:val="none"/>
              </w:rPr>
            </w:pPr>
            <w:r>
              <w:rPr>
                <w:rFonts w:ascii="宋体" w:hAnsi="宋体"/>
                <w:b/>
                <w:color w:val="auto"/>
                <w:szCs w:val="21"/>
                <w:highlight w:val="none"/>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8" w:hRule="atLeast"/>
        </w:trPr>
        <w:tc>
          <w:tcPr>
            <w:tcW w:w="677" w:type="dxa"/>
            <w:tcBorders>
              <w:top w:val="single" w:color="auto" w:sz="4" w:space="0"/>
              <w:right w:val="single" w:color="auto" w:sz="4" w:space="0"/>
            </w:tcBorders>
            <w:vAlign w:val="center"/>
          </w:tcPr>
          <w:p>
            <w:pPr>
              <w:jc w:val="center"/>
              <w:rPr>
                <w:rFonts w:ascii="宋体" w:hAnsi="宋体"/>
                <w:color w:val="auto"/>
                <w:szCs w:val="21"/>
                <w:highlight w:val="none"/>
              </w:rPr>
            </w:pPr>
          </w:p>
        </w:tc>
        <w:tc>
          <w:tcPr>
            <w:tcW w:w="1193" w:type="dxa"/>
            <w:tcBorders>
              <w:top w:val="single" w:color="auto" w:sz="4" w:space="0"/>
              <w:right w:val="single" w:color="auto" w:sz="4" w:space="0"/>
            </w:tcBorders>
            <w:vAlign w:val="center"/>
          </w:tcPr>
          <w:p>
            <w:pPr>
              <w:jc w:val="center"/>
              <w:rPr>
                <w:rFonts w:ascii="宋体" w:hAnsi="宋体"/>
                <w:color w:val="auto"/>
                <w:szCs w:val="21"/>
                <w:highlight w:val="none"/>
              </w:rPr>
            </w:pPr>
          </w:p>
        </w:tc>
        <w:tc>
          <w:tcPr>
            <w:tcW w:w="18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highlight w:val="none"/>
              </w:rPr>
            </w:pPr>
            <w:r>
              <w:rPr>
                <w:rFonts w:hint="eastAsia" w:ascii="宋体" w:hAnsi="宋体"/>
                <w:b/>
                <w:color w:val="auto"/>
                <w:highlight w:val="none"/>
              </w:rPr>
              <w:t>初步评审</w:t>
            </w:r>
          </w:p>
        </w:tc>
        <w:tc>
          <w:tcPr>
            <w:tcW w:w="477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7" w:type="dxa"/>
            <w:vMerge w:val="restart"/>
            <w:tcBorders>
              <w:top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2.1.</w:t>
            </w:r>
            <w:r>
              <w:rPr>
                <w:rFonts w:hint="eastAsia" w:ascii="宋体" w:hAnsi="宋体"/>
                <w:color w:val="auto"/>
                <w:szCs w:val="21"/>
                <w:highlight w:val="none"/>
              </w:rPr>
              <w:t>1</w:t>
            </w:r>
          </w:p>
        </w:tc>
        <w:tc>
          <w:tcPr>
            <w:tcW w:w="1193" w:type="dxa"/>
            <w:vMerge w:val="restart"/>
            <w:tcBorders>
              <w:top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资格评审标准</w:t>
            </w:r>
          </w:p>
        </w:tc>
        <w:tc>
          <w:tcPr>
            <w:tcW w:w="18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投标人声明签字盖章</w:t>
            </w:r>
          </w:p>
        </w:tc>
        <w:tc>
          <w:tcPr>
            <w:tcW w:w="4778"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szCs w:val="21"/>
                <w:highlight w:val="none"/>
              </w:rPr>
            </w:pPr>
            <w:r>
              <w:rPr>
                <w:rFonts w:hint="eastAsia" w:ascii="宋体" w:hAnsi="宋体"/>
                <w:color w:val="auto"/>
                <w:highlight w:val="none"/>
              </w:rPr>
              <w:t>法定代表人或其委托代理人、项目负责人、技术负责人签字或签章及加盖单位公章（签字和盖章要求见《投标人须知前附表》第3.6.4条）。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7" w:type="dxa"/>
            <w:vMerge w:val="continue"/>
            <w:tcBorders>
              <w:top w:val="single" w:color="auto" w:sz="4" w:space="0"/>
              <w:right w:val="single" w:color="auto" w:sz="4" w:space="0"/>
            </w:tcBorders>
            <w:vAlign w:val="center"/>
          </w:tcPr>
          <w:p>
            <w:pPr>
              <w:jc w:val="center"/>
              <w:rPr>
                <w:rFonts w:ascii="宋体" w:hAnsi="宋体"/>
                <w:color w:val="auto"/>
                <w:szCs w:val="21"/>
                <w:highlight w:val="none"/>
              </w:rPr>
            </w:pPr>
          </w:p>
        </w:tc>
        <w:tc>
          <w:tcPr>
            <w:tcW w:w="1193" w:type="dxa"/>
            <w:vMerge w:val="continue"/>
            <w:tcBorders>
              <w:top w:val="single" w:color="auto" w:sz="4" w:space="0"/>
              <w:right w:val="single" w:color="auto" w:sz="4" w:space="0"/>
            </w:tcBorders>
            <w:vAlign w:val="center"/>
          </w:tcPr>
          <w:p>
            <w:pPr>
              <w:jc w:val="center"/>
              <w:rPr>
                <w:rFonts w:ascii="宋体" w:hAnsi="宋体"/>
                <w:color w:val="auto"/>
                <w:szCs w:val="21"/>
                <w:highlight w:val="none"/>
              </w:rPr>
            </w:pPr>
          </w:p>
        </w:tc>
        <w:tc>
          <w:tcPr>
            <w:tcW w:w="1874"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highlight w:val="none"/>
              </w:rPr>
            </w:pPr>
            <w:r>
              <w:rPr>
                <w:rFonts w:hint="eastAsia" w:ascii="宋体" w:hAnsi="宋体"/>
                <w:color w:val="auto"/>
                <w:highlight w:val="none"/>
              </w:rPr>
              <w:t>营业执照</w:t>
            </w:r>
          </w:p>
        </w:tc>
        <w:tc>
          <w:tcPr>
            <w:tcW w:w="4778"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具备有效的营业执照。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7" w:type="dxa"/>
            <w:vMerge w:val="continue"/>
            <w:tcBorders>
              <w:top w:val="single" w:color="auto" w:sz="4" w:space="0"/>
              <w:right w:val="single" w:color="auto" w:sz="4" w:space="0"/>
            </w:tcBorders>
            <w:vAlign w:val="center"/>
          </w:tcPr>
          <w:p>
            <w:pPr>
              <w:jc w:val="center"/>
              <w:rPr>
                <w:rFonts w:ascii="宋体" w:hAnsi="宋体"/>
                <w:color w:val="auto"/>
                <w:szCs w:val="21"/>
                <w:highlight w:val="none"/>
              </w:rPr>
            </w:pPr>
          </w:p>
        </w:tc>
        <w:tc>
          <w:tcPr>
            <w:tcW w:w="1193" w:type="dxa"/>
            <w:vMerge w:val="continue"/>
            <w:tcBorders>
              <w:top w:val="single" w:color="auto" w:sz="4" w:space="0"/>
              <w:right w:val="single" w:color="auto" w:sz="4" w:space="0"/>
            </w:tcBorders>
            <w:vAlign w:val="center"/>
          </w:tcPr>
          <w:p>
            <w:pPr>
              <w:jc w:val="center"/>
              <w:rPr>
                <w:rFonts w:ascii="宋体" w:hAnsi="宋体"/>
                <w:color w:val="auto"/>
                <w:szCs w:val="21"/>
                <w:highlight w:val="none"/>
              </w:rPr>
            </w:pPr>
          </w:p>
        </w:tc>
        <w:tc>
          <w:tcPr>
            <w:tcW w:w="18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安全生产许可证</w:t>
            </w:r>
          </w:p>
        </w:tc>
        <w:tc>
          <w:tcPr>
            <w:tcW w:w="477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highlight w:val="none"/>
              </w:rPr>
            </w:pPr>
            <w:r>
              <w:rPr>
                <w:rFonts w:hint="eastAsia" w:ascii="宋体" w:hAnsi="宋体"/>
                <w:color w:val="auto"/>
                <w:szCs w:val="21"/>
                <w:highlight w:val="none"/>
              </w:rPr>
              <w:t>具有有效的建设行政主管部门颁发的安全生产许可证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7" w:type="dxa"/>
            <w:vMerge w:val="continue"/>
            <w:tcBorders>
              <w:top w:val="single" w:color="auto" w:sz="4" w:space="0"/>
              <w:right w:val="single" w:color="auto" w:sz="4" w:space="0"/>
            </w:tcBorders>
            <w:vAlign w:val="center"/>
          </w:tcPr>
          <w:p>
            <w:pPr>
              <w:jc w:val="center"/>
              <w:rPr>
                <w:rFonts w:ascii="宋体" w:hAnsi="宋体"/>
                <w:color w:val="auto"/>
                <w:szCs w:val="21"/>
                <w:highlight w:val="none"/>
              </w:rPr>
            </w:pPr>
          </w:p>
        </w:tc>
        <w:tc>
          <w:tcPr>
            <w:tcW w:w="1193" w:type="dxa"/>
            <w:vMerge w:val="continue"/>
            <w:tcBorders>
              <w:top w:val="single" w:color="auto" w:sz="4" w:space="0"/>
              <w:right w:val="single" w:color="auto" w:sz="4" w:space="0"/>
            </w:tcBorders>
            <w:vAlign w:val="center"/>
          </w:tcPr>
          <w:p>
            <w:pPr>
              <w:jc w:val="center"/>
              <w:rPr>
                <w:rFonts w:ascii="宋体" w:hAnsi="宋体"/>
                <w:color w:val="auto"/>
                <w:szCs w:val="21"/>
                <w:highlight w:val="none"/>
              </w:rPr>
            </w:pPr>
          </w:p>
        </w:tc>
        <w:tc>
          <w:tcPr>
            <w:tcW w:w="18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szCs w:val="21"/>
                <w:highlight w:val="none"/>
              </w:rPr>
              <w:t>资质等级</w:t>
            </w:r>
          </w:p>
        </w:tc>
        <w:tc>
          <w:tcPr>
            <w:tcW w:w="477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highlight w:val="none"/>
              </w:rPr>
            </w:pPr>
            <w:r>
              <w:rPr>
                <w:rFonts w:hint="eastAsia" w:ascii="宋体" w:hAnsi="宋体"/>
                <w:color w:val="auto"/>
                <w:szCs w:val="21"/>
                <w:highlight w:val="none"/>
              </w:rPr>
              <w:t>符合第二章</w:t>
            </w:r>
            <w:r>
              <w:rPr>
                <w:rFonts w:ascii="宋体" w:hAnsi="宋体"/>
                <w:color w:val="auto"/>
                <w:szCs w:val="21"/>
                <w:highlight w:val="none"/>
              </w:rPr>
              <w:t>“</w:t>
            </w:r>
            <w:r>
              <w:rPr>
                <w:rFonts w:hint="eastAsia" w:ascii="宋体" w:hAnsi="宋体"/>
                <w:color w:val="auto"/>
                <w:szCs w:val="21"/>
                <w:highlight w:val="none"/>
              </w:rPr>
              <w:t>投标人须知</w:t>
            </w:r>
            <w:r>
              <w:rPr>
                <w:rFonts w:ascii="宋体" w:hAnsi="宋体"/>
                <w:color w:val="auto"/>
                <w:szCs w:val="21"/>
                <w:highlight w:val="none"/>
              </w:rPr>
              <w:t>”</w:t>
            </w:r>
            <w:r>
              <w:rPr>
                <w:rFonts w:hint="eastAsia" w:ascii="宋体" w:hAnsi="宋体"/>
                <w:color w:val="auto"/>
                <w:szCs w:val="21"/>
                <w:highlight w:val="none"/>
              </w:rPr>
              <w:t>第</w:t>
            </w:r>
            <w:r>
              <w:rPr>
                <w:rFonts w:ascii="宋体" w:hAnsi="宋体"/>
                <w:color w:val="auto"/>
                <w:szCs w:val="21"/>
                <w:highlight w:val="none"/>
              </w:rPr>
              <w:t>1.4.1</w:t>
            </w:r>
            <w:r>
              <w:rPr>
                <w:rFonts w:hint="eastAsia" w:ascii="宋体" w:hAnsi="宋体"/>
                <w:color w:val="auto"/>
                <w:szCs w:val="21"/>
                <w:highlight w:val="none"/>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7" w:type="dxa"/>
            <w:vMerge w:val="continue"/>
            <w:tcBorders>
              <w:top w:val="single" w:color="auto" w:sz="4" w:space="0"/>
              <w:right w:val="single" w:color="auto" w:sz="4" w:space="0"/>
            </w:tcBorders>
            <w:vAlign w:val="center"/>
          </w:tcPr>
          <w:p>
            <w:pPr>
              <w:jc w:val="center"/>
              <w:rPr>
                <w:rFonts w:ascii="宋体" w:hAnsi="宋体"/>
                <w:color w:val="auto"/>
                <w:szCs w:val="21"/>
                <w:highlight w:val="none"/>
              </w:rPr>
            </w:pPr>
          </w:p>
        </w:tc>
        <w:tc>
          <w:tcPr>
            <w:tcW w:w="1193" w:type="dxa"/>
            <w:vMerge w:val="continue"/>
            <w:tcBorders>
              <w:top w:val="single" w:color="auto" w:sz="4" w:space="0"/>
              <w:right w:val="single" w:color="auto" w:sz="4" w:space="0"/>
            </w:tcBorders>
            <w:vAlign w:val="center"/>
          </w:tcPr>
          <w:p>
            <w:pPr>
              <w:jc w:val="center"/>
              <w:rPr>
                <w:rFonts w:ascii="宋体" w:hAnsi="宋体"/>
                <w:color w:val="auto"/>
                <w:szCs w:val="21"/>
                <w:highlight w:val="none"/>
              </w:rPr>
            </w:pPr>
          </w:p>
        </w:tc>
        <w:tc>
          <w:tcPr>
            <w:tcW w:w="18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szCs w:val="21"/>
                <w:highlight w:val="none"/>
              </w:rPr>
              <w:t>项目负责人</w:t>
            </w:r>
          </w:p>
        </w:tc>
        <w:tc>
          <w:tcPr>
            <w:tcW w:w="477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highlight w:val="none"/>
              </w:rPr>
            </w:pPr>
            <w:r>
              <w:rPr>
                <w:rFonts w:hint="eastAsia" w:ascii="宋体" w:hAnsi="宋体"/>
                <w:color w:val="auto"/>
                <w:szCs w:val="21"/>
                <w:highlight w:val="none"/>
              </w:rPr>
              <w:t>符合第二章</w:t>
            </w:r>
            <w:r>
              <w:rPr>
                <w:rFonts w:ascii="宋体" w:hAnsi="宋体"/>
                <w:color w:val="auto"/>
                <w:szCs w:val="21"/>
                <w:highlight w:val="none"/>
              </w:rPr>
              <w:t>“</w:t>
            </w:r>
            <w:r>
              <w:rPr>
                <w:rFonts w:hint="eastAsia" w:ascii="宋体" w:hAnsi="宋体"/>
                <w:color w:val="auto"/>
                <w:szCs w:val="21"/>
                <w:highlight w:val="none"/>
              </w:rPr>
              <w:t>投标人须知</w:t>
            </w:r>
            <w:r>
              <w:rPr>
                <w:rFonts w:ascii="宋体" w:hAnsi="宋体"/>
                <w:color w:val="auto"/>
                <w:szCs w:val="21"/>
                <w:highlight w:val="none"/>
              </w:rPr>
              <w:t>”</w:t>
            </w:r>
            <w:r>
              <w:rPr>
                <w:rFonts w:hint="eastAsia" w:ascii="宋体" w:hAnsi="宋体"/>
                <w:color w:val="auto"/>
                <w:szCs w:val="21"/>
                <w:highlight w:val="none"/>
              </w:rPr>
              <w:t>第</w:t>
            </w:r>
            <w:r>
              <w:rPr>
                <w:rFonts w:ascii="宋体" w:hAnsi="宋体"/>
                <w:color w:val="auto"/>
                <w:szCs w:val="21"/>
                <w:highlight w:val="none"/>
              </w:rPr>
              <w:t>1.4.1</w:t>
            </w:r>
            <w:r>
              <w:rPr>
                <w:rFonts w:hint="eastAsia" w:ascii="宋体" w:hAnsi="宋体"/>
                <w:color w:val="auto"/>
                <w:szCs w:val="21"/>
                <w:highlight w:val="none"/>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7" w:type="dxa"/>
            <w:vMerge w:val="continue"/>
            <w:tcBorders>
              <w:top w:val="single" w:color="auto" w:sz="4" w:space="0"/>
              <w:right w:val="single" w:color="auto" w:sz="4" w:space="0"/>
            </w:tcBorders>
            <w:vAlign w:val="center"/>
          </w:tcPr>
          <w:p>
            <w:pPr>
              <w:jc w:val="center"/>
              <w:rPr>
                <w:rFonts w:ascii="宋体" w:hAnsi="宋体"/>
                <w:color w:val="auto"/>
                <w:szCs w:val="21"/>
                <w:highlight w:val="none"/>
              </w:rPr>
            </w:pPr>
          </w:p>
        </w:tc>
        <w:tc>
          <w:tcPr>
            <w:tcW w:w="1193" w:type="dxa"/>
            <w:vMerge w:val="continue"/>
            <w:tcBorders>
              <w:top w:val="single" w:color="auto" w:sz="4" w:space="0"/>
              <w:right w:val="single" w:color="auto" w:sz="4" w:space="0"/>
            </w:tcBorders>
            <w:vAlign w:val="center"/>
          </w:tcPr>
          <w:p>
            <w:pPr>
              <w:jc w:val="center"/>
              <w:rPr>
                <w:rFonts w:ascii="宋体" w:hAnsi="宋体"/>
                <w:color w:val="auto"/>
                <w:szCs w:val="21"/>
                <w:highlight w:val="none"/>
              </w:rPr>
            </w:pPr>
          </w:p>
        </w:tc>
        <w:tc>
          <w:tcPr>
            <w:tcW w:w="18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安全生产考核合格证</w:t>
            </w:r>
          </w:p>
        </w:tc>
        <w:tc>
          <w:tcPr>
            <w:tcW w:w="477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highlight w:val="none"/>
              </w:rPr>
            </w:pPr>
            <w:r>
              <w:rPr>
                <w:rFonts w:hint="eastAsia" w:ascii="宋体" w:hAnsi="宋体"/>
                <w:color w:val="auto"/>
                <w:szCs w:val="21"/>
                <w:highlight w:val="none"/>
              </w:rPr>
              <w:t>项目负责人及专职安全员具备符合招标公告规定的行政主管部门颁发的有效安全生产考核合格证。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7" w:type="dxa"/>
            <w:vMerge w:val="continue"/>
            <w:tcBorders>
              <w:top w:val="single" w:color="auto" w:sz="4" w:space="0"/>
              <w:right w:val="single" w:color="auto" w:sz="4" w:space="0"/>
            </w:tcBorders>
            <w:vAlign w:val="center"/>
          </w:tcPr>
          <w:p>
            <w:pPr>
              <w:jc w:val="center"/>
              <w:rPr>
                <w:rFonts w:ascii="宋体" w:hAnsi="宋体"/>
                <w:color w:val="auto"/>
                <w:szCs w:val="21"/>
                <w:highlight w:val="none"/>
              </w:rPr>
            </w:pPr>
          </w:p>
        </w:tc>
        <w:tc>
          <w:tcPr>
            <w:tcW w:w="1193" w:type="dxa"/>
            <w:vMerge w:val="continue"/>
            <w:tcBorders>
              <w:top w:val="single" w:color="auto" w:sz="4" w:space="0"/>
              <w:right w:val="single" w:color="auto" w:sz="4" w:space="0"/>
            </w:tcBorders>
            <w:vAlign w:val="center"/>
          </w:tcPr>
          <w:p>
            <w:pPr>
              <w:jc w:val="center"/>
              <w:rPr>
                <w:rFonts w:ascii="宋体" w:hAnsi="宋体"/>
                <w:color w:val="auto"/>
                <w:szCs w:val="21"/>
                <w:highlight w:val="none"/>
              </w:rPr>
            </w:pPr>
          </w:p>
        </w:tc>
        <w:tc>
          <w:tcPr>
            <w:tcW w:w="18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社保要求</w:t>
            </w:r>
          </w:p>
        </w:tc>
        <w:tc>
          <w:tcPr>
            <w:tcW w:w="477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highlight w:val="none"/>
              </w:rPr>
            </w:pPr>
            <w:r>
              <w:rPr>
                <w:rFonts w:hint="eastAsia" w:ascii="宋体" w:hAnsi="宋体"/>
                <w:color w:val="auto"/>
                <w:szCs w:val="21"/>
                <w:highlight w:val="none"/>
              </w:rPr>
              <w:t>符合第二章</w:t>
            </w:r>
            <w:r>
              <w:rPr>
                <w:rFonts w:ascii="宋体" w:hAnsi="宋体"/>
                <w:color w:val="auto"/>
                <w:szCs w:val="21"/>
                <w:highlight w:val="none"/>
              </w:rPr>
              <w:t>“</w:t>
            </w:r>
            <w:r>
              <w:rPr>
                <w:rFonts w:hint="eastAsia" w:ascii="宋体" w:hAnsi="宋体"/>
                <w:color w:val="auto"/>
                <w:szCs w:val="21"/>
                <w:highlight w:val="none"/>
              </w:rPr>
              <w:t>投标人须知</w:t>
            </w:r>
            <w:r>
              <w:rPr>
                <w:rFonts w:ascii="宋体" w:hAnsi="宋体"/>
                <w:color w:val="auto"/>
                <w:szCs w:val="21"/>
                <w:highlight w:val="none"/>
              </w:rPr>
              <w:t>”</w:t>
            </w:r>
            <w:r>
              <w:rPr>
                <w:rFonts w:hint="eastAsia" w:ascii="宋体" w:hAnsi="宋体"/>
                <w:color w:val="auto"/>
                <w:szCs w:val="21"/>
                <w:highlight w:val="none"/>
              </w:rPr>
              <w:t>第</w:t>
            </w:r>
            <w:r>
              <w:rPr>
                <w:rFonts w:ascii="宋体" w:hAnsi="宋体"/>
                <w:color w:val="auto"/>
                <w:szCs w:val="21"/>
                <w:highlight w:val="none"/>
              </w:rPr>
              <w:t>1.4.1</w:t>
            </w:r>
            <w:r>
              <w:rPr>
                <w:rFonts w:hint="eastAsia" w:ascii="宋体" w:hAnsi="宋体"/>
                <w:color w:val="auto"/>
                <w:szCs w:val="21"/>
                <w:highlight w:val="none"/>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7" w:type="dxa"/>
            <w:vMerge w:val="continue"/>
            <w:tcBorders>
              <w:top w:val="single" w:color="auto" w:sz="4" w:space="0"/>
              <w:right w:val="single" w:color="auto" w:sz="4" w:space="0"/>
            </w:tcBorders>
            <w:vAlign w:val="center"/>
          </w:tcPr>
          <w:p>
            <w:pPr>
              <w:jc w:val="center"/>
              <w:rPr>
                <w:rFonts w:ascii="宋体" w:hAnsi="宋体"/>
                <w:color w:val="auto"/>
                <w:szCs w:val="21"/>
                <w:highlight w:val="none"/>
              </w:rPr>
            </w:pPr>
          </w:p>
        </w:tc>
        <w:tc>
          <w:tcPr>
            <w:tcW w:w="1193" w:type="dxa"/>
            <w:vMerge w:val="continue"/>
            <w:tcBorders>
              <w:top w:val="single" w:color="auto" w:sz="4" w:space="0"/>
              <w:right w:val="single" w:color="auto" w:sz="4" w:space="0"/>
            </w:tcBorders>
            <w:vAlign w:val="center"/>
          </w:tcPr>
          <w:p>
            <w:pPr>
              <w:jc w:val="center"/>
              <w:rPr>
                <w:rFonts w:ascii="宋体" w:hAnsi="宋体"/>
                <w:color w:val="auto"/>
                <w:szCs w:val="21"/>
                <w:highlight w:val="none"/>
              </w:rPr>
            </w:pPr>
          </w:p>
        </w:tc>
        <w:tc>
          <w:tcPr>
            <w:tcW w:w="18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ascii="宋体" w:hAnsi="宋体"/>
                <w:color w:val="auto"/>
                <w:szCs w:val="21"/>
                <w:highlight w:val="none"/>
              </w:rPr>
              <w:t>联合体</w:t>
            </w:r>
            <w:r>
              <w:rPr>
                <w:rFonts w:hint="eastAsia" w:ascii="宋体" w:hAnsi="宋体"/>
                <w:color w:val="auto"/>
                <w:szCs w:val="21"/>
                <w:highlight w:val="none"/>
              </w:rPr>
              <w:t>要求</w:t>
            </w:r>
          </w:p>
        </w:tc>
        <w:tc>
          <w:tcPr>
            <w:tcW w:w="477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highlight w:val="none"/>
              </w:rPr>
            </w:pPr>
            <w:r>
              <w:rPr>
                <w:rFonts w:hint="eastAsia" w:ascii="宋体" w:hAnsi="宋体"/>
                <w:color w:val="auto"/>
                <w:highlight w:val="none"/>
              </w:rPr>
              <w:t>本项目不接受联合体投标。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7" w:type="dxa"/>
            <w:vMerge w:val="continue"/>
            <w:tcBorders>
              <w:top w:val="single" w:color="auto" w:sz="4" w:space="0"/>
              <w:right w:val="single" w:color="auto" w:sz="4" w:space="0"/>
            </w:tcBorders>
            <w:vAlign w:val="center"/>
          </w:tcPr>
          <w:p>
            <w:pPr>
              <w:jc w:val="center"/>
              <w:rPr>
                <w:rFonts w:ascii="宋体" w:hAnsi="宋体"/>
                <w:color w:val="auto"/>
                <w:szCs w:val="21"/>
                <w:highlight w:val="none"/>
              </w:rPr>
            </w:pPr>
          </w:p>
        </w:tc>
        <w:tc>
          <w:tcPr>
            <w:tcW w:w="1193" w:type="dxa"/>
            <w:vMerge w:val="continue"/>
            <w:tcBorders>
              <w:top w:val="single" w:color="auto" w:sz="4" w:space="0"/>
              <w:right w:val="single" w:color="auto" w:sz="4" w:space="0"/>
            </w:tcBorders>
            <w:vAlign w:val="center"/>
          </w:tcPr>
          <w:p>
            <w:pPr>
              <w:jc w:val="center"/>
              <w:rPr>
                <w:rFonts w:ascii="宋体" w:hAnsi="宋体"/>
                <w:color w:val="auto"/>
                <w:szCs w:val="21"/>
                <w:highlight w:val="none"/>
              </w:rPr>
            </w:pPr>
          </w:p>
        </w:tc>
        <w:tc>
          <w:tcPr>
            <w:tcW w:w="18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szCs w:val="21"/>
                <w:highlight w:val="none"/>
                <w:u w:val="single"/>
              </w:rPr>
              <w:t>投标人声明</w:t>
            </w:r>
          </w:p>
        </w:tc>
        <w:tc>
          <w:tcPr>
            <w:tcW w:w="477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highlight w:val="none"/>
              </w:rPr>
            </w:pPr>
            <w:r>
              <w:rPr>
                <w:rFonts w:hint="eastAsia" w:ascii="宋体" w:hAnsi="宋体"/>
                <w:color w:val="auto"/>
                <w:szCs w:val="21"/>
                <w:highlight w:val="none"/>
                <w:u w:val="single"/>
              </w:rPr>
              <w:t>按规定的格式及内容要求签署了《投标人声明》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7" w:type="dxa"/>
            <w:vMerge w:val="continue"/>
            <w:tcBorders>
              <w:top w:val="single" w:color="auto" w:sz="4" w:space="0"/>
              <w:right w:val="single" w:color="auto" w:sz="4" w:space="0"/>
            </w:tcBorders>
            <w:vAlign w:val="center"/>
          </w:tcPr>
          <w:p>
            <w:pPr>
              <w:jc w:val="center"/>
              <w:rPr>
                <w:rFonts w:ascii="宋体" w:hAnsi="宋体"/>
                <w:color w:val="auto"/>
                <w:szCs w:val="21"/>
                <w:highlight w:val="none"/>
              </w:rPr>
            </w:pPr>
          </w:p>
        </w:tc>
        <w:tc>
          <w:tcPr>
            <w:tcW w:w="1193" w:type="dxa"/>
            <w:vMerge w:val="continue"/>
            <w:tcBorders>
              <w:top w:val="single" w:color="auto" w:sz="4" w:space="0"/>
              <w:right w:val="single" w:color="auto" w:sz="4" w:space="0"/>
            </w:tcBorders>
            <w:vAlign w:val="center"/>
          </w:tcPr>
          <w:p>
            <w:pPr>
              <w:jc w:val="center"/>
              <w:rPr>
                <w:rFonts w:ascii="宋体" w:hAnsi="宋体"/>
                <w:color w:val="auto"/>
                <w:szCs w:val="21"/>
                <w:highlight w:val="none"/>
              </w:rPr>
            </w:pPr>
          </w:p>
        </w:tc>
        <w:tc>
          <w:tcPr>
            <w:tcW w:w="18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s="宋体"/>
                <w:color w:val="auto"/>
                <w:szCs w:val="21"/>
                <w:highlight w:val="none"/>
                <w:u w:val="single"/>
              </w:rPr>
              <w:t>未被纳入失信联合惩戒名单</w:t>
            </w:r>
          </w:p>
        </w:tc>
        <w:tc>
          <w:tcPr>
            <w:tcW w:w="477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highlight w:val="none"/>
              </w:rPr>
            </w:pPr>
            <w:r>
              <w:rPr>
                <w:rFonts w:hint="eastAsia" w:ascii="宋体" w:hAnsi="宋体"/>
                <w:color w:val="auto"/>
                <w:highlight w:val="none"/>
              </w:rPr>
              <w:t>投标人未被纳入失信联合惩戒名单，失信联合惩戒名单以 “信用广州”网站公布的“黑名单”为准（网址：https://credit1.gz.gov.cn/publicity/honourFuzzyList?type=2）。注：因联合惩戒措施表述存在细微差别，惩戒措施与上文不完全一致但措施内容相同的，也应属于被限制参与相关项目的投标。投标人无需提供资料，按交易系统“联合惩戒”比对的结果进行评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7" w:type="dxa"/>
            <w:vMerge w:val="restart"/>
            <w:tcBorders>
              <w:top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2.1.</w:t>
            </w:r>
            <w:r>
              <w:rPr>
                <w:rFonts w:hint="eastAsia" w:ascii="宋体" w:hAnsi="宋体"/>
                <w:color w:val="auto"/>
                <w:szCs w:val="21"/>
                <w:highlight w:val="none"/>
              </w:rPr>
              <w:t>2</w:t>
            </w:r>
          </w:p>
        </w:tc>
        <w:tc>
          <w:tcPr>
            <w:tcW w:w="1193" w:type="dxa"/>
            <w:vMerge w:val="restart"/>
            <w:tcBorders>
              <w:top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形式评审标准</w:t>
            </w:r>
          </w:p>
        </w:tc>
        <w:tc>
          <w:tcPr>
            <w:tcW w:w="1874"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1"/>
                <w:highlight w:val="none"/>
              </w:rPr>
            </w:pPr>
            <w:r>
              <w:rPr>
                <w:rFonts w:hint="eastAsia" w:ascii="宋体" w:hAnsi="宋体"/>
                <w:color w:val="auto"/>
                <w:highlight w:val="none"/>
              </w:rPr>
              <w:t>投标人参加投标的意思表达清楚，投标人代表被授权有效</w:t>
            </w:r>
          </w:p>
        </w:tc>
        <w:tc>
          <w:tcPr>
            <w:tcW w:w="4778"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szCs w:val="21"/>
                <w:highlight w:val="none"/>
              </w:rPr>
            </w:pPr>
            <w:r>
              <w:rPr>
                <w:rFonts w:hint="eastAsia" w:ascii="宋体" w:hAnsi="宋体"/>
                <w:color w:val="auto"/>
                <w:highlight w:val="none"/>
              </w:rPr>
              <w:t>投标人声明、廉洁承诺书、法定代表人证明书；委托投标的还应提供法人授权委托证明书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7" w:type="dxa"/>
            <w:vMerge w:val="continue"/>
            <w:tcBorders>
              <w:right w:val="single" w:color="auto" w:sz="4" w:space="0"/>
            </w:tcBorders>
            <w:vAlign w:val="center"/>
          </w:tcPr>
          <w:p>
            <w:pPr>
              <w:jc w:val="center"/>
              <w:rPr>
                <w:rFonts w:ascii="宋体" w:hAnsi="宋体"/>
                <w:color w:val="auto"/>
                <w:szCs w:val="21"/>
                <w:highlight w:val="none"/>
              </w:rPr>
            </w:pPr>
          </w:p>
        </w:tc>
        <w:tc>
          <w:tcPr>
            <w:tcW w:w="1193" w:type="dxa"/>
            <w:vMerge w:val="continue"/>
            <w:tcBorders>
              <w:right w:val="single" w:color="auto" w:sz="4" w:space="0"/>
            </w:tcBorders>
            <w:vAlign w:val="center"/>
          </w:tcPr>
          <w:p>
            <w:pPr>
              <w:jc w:val="center"/>
              <w:rPr>
                <w:rFonts w:ascii="宋体" w:hAnsi="宋体"/>
                <w:color w:val="auto"/>
                <w:szCs w:val="21"/>
                <w:highlight w:val="none"/>
              </w:rPr>
            </w:pPr>
          </w:p>
        </w:tc>
        <w:tc>
          <w:tcPr>
            <w:tcW w:w="18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投标人名称</w:t>
            </w:r>
          </w:p>
        </w:tc>
        <w:tc>
          <w:tcPr>
            <w:tcW w:w="477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Cs w:val="21"/>
                <w:highlight w:val="none"/>
              </w:rPr>
            </w:pPr>
            <w:r>
              <w:rPr>
                <w:rFonts w:ascii="宋体" w:hAnsi="宋体"/>
                <w:color w:val="auto"/>
                <w:szCs w:val="21"/>
                <w:highlight w:val="none"/>
              </w:rPr>
              <w:t>与营业执照、资质证书</w:t>
            </w:r>
            <w:r>
              <w:rPr>
                <w:rFonts w:hint="eastAsia" w:ascii="宋体" w:hAnsi="宋体"/>
                <w:color w:val="auto"/>
                <w:szCs w:val="21"/>
                <w:highlight w:val="none"/>
              </w:rPr>
              <w:t>、安全生产许可证</w:t>
            </w:r>
            <w:r>
              <w:rPr>
                <w:rFonts w:ascii="宋体" w:hAnsi="宋体"/>
                <w:color w:val="auto"/>
                <w:szCs w:val="21"/>
                <w:highlight w:val="none"/>
              </w:rPr>
              <w:t>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1" w:hRule="atLeast"/>
        </w:trPr>
        <w:tc>
          <w:tcPr>
            <w:tcW w:w="677" w:type="dxa"/>
            <w:vMerge w:val="continue"/>
            <w:tcBorders>
              <w:right w:val="single" w:color="auto" w:sz="4" w:space="0"/>
            </w:tcBorders>
            <w:vAlign w:val="center"/>
          </w:tcPr>
          <w:p>
            <w:pPr>
              <w:jc w:val="center"/>
              <w:rPr>
                <w:rFonts w:ascii="宋体" w:hAnsi="宋体"/>
                <w:color w:val="auto"/>
                <w:szCs w:val="21"/>
                <w:highlight w:val="none"/>
              </w:rPr>
            </w:pPr>
          </w:p>
        </w:tc>
        <w:tc>
          <w:tcPr>
            <w:tcW w:w="1193" w:type="dxa"/>
            <w:vMerge w:val="continue"/>
            <w:tcBorders>
              <w:right w:val="single" w:color="auto" w:sz="4" w:space="0"/>
            </w:tcBorders>
            <w:vAlign w:val="center"/>
          </w:tcPr>
          <w:p>
            <w:pPr>
              <w:jc w:val="center"/>
              <w:rPr>
                <w:rFonts w:ascii="宋体" w:hAnsi="宋体"/>
                <w:color w:val="auto"/>
                <w:szCs w:val="21"/>
                <w:highlight w:val="none"/>
              </w:rPr>
            </w:pPr>
          </w:p>
        </w:tc>
        <w:tc>
          <w:tcPr>
            <w:tcW w:w="18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投标函签字盖章</w:t>
            </w:r>
          </w:p>
        </w:tc>
        <w:tc>
          <w:tcPr>
            <w:tcW w:w="477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highlight w:val="none"/>
              </w:rPr>
            </w:pPr>
            <w:r>
              <w:rPr>
                <w:rFonts w:hint="eastAsia" w:ascii="宋体" w:hAnsi="宋体"/>
                <w:color w:val="auto"/>
                <w:highlight w:val="none"/>
              </w:rPr>
              <w:t>法定代表人或其委托代理人签字或签章及加盖单位公章（签字和盖章要求见《投标人须知前附表》第3.6.4条）。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677" w:type="dxa"/>
            <w:vMerge w:val="continue"/>
            <w:tcBorders>
              <w:right w:val="single" w:color="auto" w:sz="4" w:space="0"/>
            </w:tcBorders>
            <w:vAlign w:val="center"/>
          </w:tcPr>
          <w:p>
            <w:pPr>
              <w:jc w:val="center"/>
              <w:rPr>
                <w:rFonts w:ascii="宋体" w:hAnsi="宋体"/>
                <w:color w:val="auto"/>
                <w:szCs w:val="21"/>
                <w:highlight w:val="none"/>
              </w:rPr>
            </w:pPr>
          </w:p>
        </w:tc>
        <w:tc>
          <w:tcPr>
            <w:tcW w:w="1193" w:type="dxa"/>
            <w:vMerge w:val="continue"/>
            <w:tcBorders>
              <w:right w:val="single" w:color="auto" w:sz="4" w:space="0"/>
            </w:tcBorders>
            <w:vAlign w:val="center"/>
          </w:tcPr>
          <w:p>
            <w:pPr>
              <w:jc w:val="center"/>
              <w:rPr>
                <w:rFonts w:ascii="宋体" w:hAnsi="宋体"/>
                <w:color w:val="auto"/>
                <w:szCs w:val="21"/>
                <w:highlight w:val="none"/>
              </w:rPr>
            </w:pPr>
          </w:p>
        </w:tc>
        <w:tc>
          <w:tcPr>
            <w:tcW w:w="1874" w:type="dxa"/>
            <w:tcBorders>
              <w:top w:val="single" w:color="auto" w:sz="4" w:space="0"/>
              <w:left w:val="single" w:color="auto" w:sz="4" w:space="0"/>
              <w:right w:val="single" w:color="auto" w:sz="4" w:space="0"/>
            </w:tcBorders>
          </w:tcPr>
          <w:p>
            <w:pPr>
              <w:jc w:val="center"/>
              <w:rPr>
                <w:rFonts w:ascii="宋体" w:hAnsi="宋体"/>
                <w:color w:val="auto"/>
                <w:szCs w:val="21"/>
                <w:highlight w:val="none"/>
              </w:rPr>
            </w:pPr>
            <w:r>
              <w:rPr>
                <w:rFonts w:hint="eastAsia" w:ascii="宋体" w:hAnsi="宋体"/>
                <w:color w:val="auto"/>
                <w:highlight w:val="none"/>
              </w:rPr>
              <w:t>投标文件格式</w:t>
            </w:r>
          </w:p>
        </w:tc>
        <w:tc>
          <w:tcPr>
            <w:tcW w:w="4778"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szCs w:val="21"/>
                <w:highlight w:val="none"/>
              </w:rPr>
            </w:pPr>
            <w:r>
              <w:rPr>
                <w:rFonts w:hint="eastAsia" w:ascii="宋体" w:hAnsi="宋体"/>
                <w:color w:val="auto"/>
                <w:highlight w:val="none"/>
              </w:rPr>
              <w:t>符合第八章“投标文件格式”的要求。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677" w:type="dxa"/>
            <w:vMerge w:val="continue"/>
            <w:tcBorders>
              <w:right w:val="single" w:color="auto" w:sz="4" w:space="0"/>
            </w:tcBorders>
            <w:vAlign w:val="center"/>
          </w:tcPr>
          <w:p>
            <w:pPr>
              <w:jc w:val="center"/>
              <w:rPr>
                <w:rFonts w:ascii="宋体" w:hAnsi="宋体"/>
                <w:color w:val="auto"/>
                <w:szCs w:val="21"/>
                <w:highlight w:val="none"/>
              </w:rPr>
            </w:pPr>
          </w:p>
        </w:tc>
        <w:tc>
          <w:tcPr>
            <w:tcW w:w="1193" w:type="dxa"/>
            <w:vMerge w:val="continue"/>
            <w:tcBorders>
              <w:right w:val="single" w:color="auto" w:sz="4" w:space="0"/>
            </w:tcBorders>
            <w:vAlign w:val="center"/>
          </w:tcPr>
          <w:p>
            <w:pPr>
              <w:jc w:val="center"/>
              <w:rPr>
                <w:rFonts w:ascii="宋体" w:hAnsi="宋体"/>
                <w:color w:val="auto"/>
                <w:szCs w:val="21"/>
                <w:highlight w:val="none"/>
              </w:rPr>
            </w:pPr>
          </w:p>
        </w:tc>
        <w:tc>
          <w:tcPr>
            <w:tcW w:w="1874" w:type="dxa"/>
            <w:tcBorders>
              <w:top w:val="single" w:color="auto" w:sz="4" w:space="0"/>
              <w:left w:val="single" w:color="auto" w:sz="4" w:space="0"/>
              <w:right w:val="single" w:color="auto" w:sz="4" w:space="0"/>
            </w:tcBorders>
          </w:tcPr>
          <w:p>
            <w:pPr>
              <w:jc w:val="center"/>
              <w:rPr>
                <w:rFonts w:ascii="宋体" w:hAnsi="宋体"/>
                <w:color w:val="auto"/>
                <w:highlight w:val="none"/>
              </w:rPr>
            </w:pPr>
            <w:r>
              <w:rPr>
                <w:rFonts w:hint="eastAsia" w:ascii="宋体" w:hAnsi="宋体"/>
                <w:color w:val="auto"/>
                <w:highlight w:val="none"/>
              </w:rPr>
              <w:t>报价唯一</w:t>
            </w:r>
          </w:p>
        </w:tc>
        <w:tc>
          <w:tcPr>
            <w:tcW w:w="4778"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szCs w:val="21"/>
                <w:highlight w:val="none"/>
              </w:rPr>
            </w:pPr>
            <w:r>
              <w:rPr>
                <w:rFonts w:hint="eastAsia" w:ascii="宋体" w:hAnsi="宋体"/>
                <w:color w:val="auto"/>
                <w:highlight w:val="none"/>
              </w:rPr>
              <w:t>只能有一个有效报价，有效报价是指符合第三章“评标办法”2.2.2的投标报价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677" w:type="dxa"/>
            <w:vMerge w:val="restart"/>
            <w:tcBorders>
              <w:top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2.1.3</w:t>
            </w:r>
          </w:p>
        </w:tc>
        <w:tc>
          <w:tcPr>
            <w:tcW w:w="1193" w:type="dxa"/>
            <w:vMerge w:val="restart"/>
            <w:tcBorders>
              <w:top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响应性评审标准</w:t>
            </w:r>
          </w:p>
        </w:tc>
        <w:tc>
          <w:tcPr>
            <w:tcW w:w="18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投标报价</w:t>
            </w:r>
          </w:p>
        </w:tc>
        <w:tc>
          <w:tcPr>
            <w:tcW w:w="477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Cs w:val="21"/>
                <w:highlight w:val="none"/>
              </w:rPr>
            </w:pPr>
            <w:r>
              <w:rPr>
                <w:rFonts w:ascii="宋体" w:hAnsi="宋体"/>
                <w:color w:val="auto"/>
                <w:szCs w:val="21"/>
                <w:highlight w:val="none"/>
              </w:rPr>
              <w:t>符合第</w:t>
            </w:r>
            <w:r>
              <w:rPr>
                <w:rFonts w:hint="eastAsia" w:ascii="宋体" w:hAnsi="宋体"/>
                <w:color w:val="auto"/>
                <w:szCs w:val="21"/>
                <w:highlight w:val="none"/>
              </w:rPr>
              <w:t>二</w:t>
            </w:r>
            <w:r>
              <w:rPr>
                <w:rFonts w:ascii="宋体" w:hAnsi="宋体"/>
                <w:color w:val="auto"/>
                <w:szCs w:val="21"/>
                <w:highlight w:val="none"/>
              </w:rPr>
              <w:t>章“投标人须知”第</w:t>
            </w: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3</w:t>
            </w:r>
            <w:r>
              <w:rPr>
                <w:rFonts w:ascii="宋体" w:hAnsi="宋体"/>
                <w:color w:val="auto"/>
                <w:szCs w:val="21"/>
                <w:highlight w:val="none"/>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677" w:type="dxa"/>
            <w:vMerge w:val="continue"/>
            <w:tcBorders>
              <w:right w:val="single" w:color="auto" w:sz="4" w:space="0"/>
            </w:tcBorders>
            <w:vAlign w:val="center"/>
          </w:tcPr>
          <w:p>
            <w:pPr>
              <w:jc w:val="center"/>
              <w:rPr>
                <w:rFonts w:ascii="宋体" w:hAnsi="宋体"/>
                <w:color w:val="auto"/>
                <w:szCs w:val="21"/>
                <w:highlight w:val="none"/>
              </w:rPr>
            </w:pPr>
          </w:p>
        </w:tc>
        <w:tc>
          <w:tcPr>
            <w:tcW w:w="1193" w:type="dxa"/>
            <w:vMerge w:val="continue"/>
            <w:tcBorders>
              <w:right w:val="single" w:color="auto" w:sz="4" w:space="0"/>
            </w:tcBorders>
            <w:vAlign w:val="center"/>
          </w:tcPr>
          <w:p>
            <w:pPr>
              <w:jc w:val="center"/>
              <w:rPr>
                <w:rFonts w:ascii="宋体" w:hAnsi="宋体"/>
                <w:color w:val="auto"/>
                <w:szCs w:val="21"/>
                <w:highlight w:val="none"/>
              </w:rPr>
            </w:pPr>
          </w:p>
        </w:tc>
        <w:tc>
          <w:tcPr>
            <w:tcW w:w="18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投标内容</w:t>
            </w:r>
          </w:p>
        </w:tc>
        <w:tc>
          <w:tcPr>
            <w:tcW w:w="477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Cs w:val="21"/>
                <w:highlight w:val="none"/>
              </w:rPr>
            </w:pPr>
            <w:r>
              <w:rPr>
                <w:rFonts w:ascii="宋体" w:hAnsi="宋体"/>
                <w:color w:val="auto"/>
                <w:szCs w:val="21"/>
                <w:highlight w:val="none"/>
              </w:rPr>
              <w:t>符合第</w:t>
            </w:r>
            <w:r>
              <w:rPr>
                <w:rFonts w:hint="eastAsia" w:ascii="宋体" w:hAnsi="宋体"/>
                <w:color w:val="auto"/>
                <w:szCs w:val="21"/>
                <w:highlight w:val="none"/>
              </w:rPr>
              <w:t>二</w:t>
            </w:r>
            <w:r>
              <w:rPr>
                <w:rFonts w:ascii="宋体" w:hAnsi="宋体"/>
                <w:color w:val="auto"/>
                <w:szCs w:val="21"/>
                <w:highlight w:val="none"/>
              </w:rPr>
              <w:t>章“投标人须知”第1.3.</w:t>
            </w:r>
            <w:r>
              <w:rPr>
                <w:rFonts w:hint="eastAsia" w:ascii="宋体" w:hAnsi="宋体"/>
                <w:color w:val="auto"/>
                <w:szCs w:val="21"/>
                <w:highlight w:val="none"/>
              </w:rPr>
              <w:t>1</w:t>
            </w:r>
            <w:r>
              <w:rPr>
                <w:rFonts w:ascii="宋体" w:hAnsi="宋体"/>
                <w:color w:val="auto"/>
                <w:szCs w:val="21"/>
                <w:highlight w:val="none"/>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677" w:type="dxa"/>
            <w:vMerge w:val="continue"/>
            <w:tcBorders>
              <w:right w:val="single" w:color="auto" w:sz="4" w:space="0"/>
            </w:tcBorders>
            <w:vAlign w:val="center"/>
          </w:tcPr>
          <w:p>
            <w:pPr>
              <w:jc w:val="center"/>
              <w:rPr>
                <w:rFonts w:ascii="宋体" w:hAnsi="宋体"/>
                <w:color w:val="auto"/>
                <w:szCs w:val="21"/>
                <w:highlight w:val="none"/>
              </w:rPr>
            </w:pPr>
          </w:p>
        </w:tc>
        <w:tc>
          <w:tcPr>
            <w:tcW w:w="1193" w:type="dxa"/>
            <w:vMerge w:val="continue"/>
            <w:tcBorders>
              <w:right w:val="single" w:color="auto" w:sz="4" w:space="0"/>
            </w:tcBorders>
            <w:vAlign w:val="center"/>
          </w:tcPr>
          <w:p>
            <w:pPr>
              <w:jc w:val="center"/>
              <w:rPr>
                <w:rFonts w:ascii="宋体" w:hAnsi="宋体"/>
                <w:color w:val="auto"/>
                <w:szCs w:val="21"/>
                <w:highlight w:val="none"/>
              </w:rPr>
            </w:pPr>
          </w:p>
        </w:tc>
        <w:tc>
          <w:tcPr>
            <w:tcW w:w="18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工期</w:t>
            </w:r>
          </w:p>
        </w:tc>
        <w:tc>
          <w:tcPr>
            <w:tcW w:w="477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Cs w:val="21"/>
                <w:highlight w:val="none"/>
              </w:rPr>
            </w:pPr>
            <w:r>
              <w:rPr>
                <w:rFonts w:ascii="宋体" w:hAnsi="宋体"/>
                <w:color w:val="auto"/>
                <w:szCs w:val="21"/>
                <w:highlight w:val="none"/>
              </w:rPr>
              <w:t>符合第</w:t>
            </w:r>
            <w:r>
              <w:rPr>
                <w:rFonts w:hint="eastAsia" w:ascii="宋体" w:hAnsi="宋体"/>
                <w:color w:val="auto"/>
                <w:szCs w:val="21"/>
                <w:highlight w:val="none"/>
              </w:rPr>
              <w:t>二</w:t>
            </w:r>
            <w:r>
              <w:rPr>
                <w:rFonts w:ascii="宋体" w:hAnsi="宋体"/>
                <w:color w:val="auto"/>
                <w:szCs w:val="21"/>
                <w:highlight w:val="none"/>
              </w:rPr>
              <w:t>章“投标人须知”第1.3.2项规定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677" w:type="dxa"/>
            <w:vMerge w:val="continue"/>
            <w:tcBorders>
              <w:right w:val="single" w:color="auto" w:sz="4" w:space="0"/>
            </w:tcBorders>
            <w:vAlign w:val="center"/>
          </w:tcPr>
          <w:p>
            <w:pPr>
              <w:jc w:val="center"/>
              <w:rPr>
                <w:rFonts w:ascii="宋体" w:hAnsi="宋体"/>
                <w:color w:val="auto"/>
                <w:szCs w:val="21"/>
                <w:highlight w:val="none"/>
              </w:rPr>
            </w:pPr>
          </w:p>
        </w:tc>
        <w:tc>
          <w:tcPr>
            <w:tcW w:w="1193" w:type="dxa"/>
            <w:vMerge w:val="continue"/>
            <w:tcBorders>
              <w:right w:val="single" w:color="auto" w:sz="4" w:space="0"/>
            </w:tcBorders>
            <w:vAlign w:val="center"/>
          </w:tcPr>
          <w:p>
            <w:pPr>
              <w:jc w:val="center"/>
              <w:rPr>
                <w:rFonts w:ascii="宋体" w:hAnsi="宋体"/>
                <w:color w:val="auto"/>
                <w:szCs w:val="21"/>
                <w:highlight w:val="none"/>
              </w:rPr>
            </w:pPr>
          </w:p>
        </w:tc>
        <w:tc>
          <w:tcPr>
            <w:tcW w:w="18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工程质量</w:t>
            </w:r>
          </w:p>
        </w:tc>
        <w:tc>
          <w:tcPr>
            <w:tcW w:w="477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Cs w:val="21"/>
                <w:highlight w:val="none"/>
              </w:rPr>
            </w:pPr>
            <w:r>
              <w:rPr>
                <w:rFonts w:ascii="宋体" w:hAnsi="宋体"/>
                <w:color w:val="auto"/>
                <w:szCs w:val="21"/>
                <w:highlight w:val="none"/>
              </w:rPr>
              <w:t>符合第</w:t>
            </w:r>
            <w:r>
              <w:rPr>
                <w:rFonts w:hint="eastAsia" w:ascii="宋体" w:hAnsi="宋体"/>
                <w:color w:val="auto"/>
                <w:szCs w:val="21"/>
                <w:highlight w:val="none"/>
              </w:rPr>
              <w:t>二</w:t>
            </w:r>
            <w:r>
              <w:rPr>
                <w:rFonts w:ascii="宋体" w:hAnsi="宋体"/>
                <w:color w:val="auto"/>
                <w:szCs w:val="21"/>
                <w:highlight w:val="none"/>
              </w:rPr>
              <w:t>章“投标人须知”第1.3.3项规定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677" w:type="dxa"/>
            <w:vMerge w:val="continue"/>
            <w:tcBorders>
              <w:right w:val="single" w:color="auto" w:sz="4" w:space="0"/>
            </w:tcBorders>
            <w:vAlign w:val="center"/>
          </w:tcPr>
          <w:p>
            <w:pPr>
              <w:jc w:val="center"/>
              <w:rPr>
                <w:rFonts w:ascii="宋体" w:hAnsi="宋体"/>
                <w:color w:val="auto"/>
                <w:szCs w:val="21"/>
                <w:highlight w:val="none"/>
              </w:rPr>
            </w:pPr>
          </w:p>
        </w:tc>
        <w:tc>
          <w:tcPr>
            <w:tcW w:w="1193" w:type="dxa"/>
            <w:vMerge w:val="continue"/>
            <w:tcBorders>
              <w:right w:val="single" w:color="auto" w:sz="4" w:space="0"/>
            </w:tcBorders>
            <w:vAlign w:val="center"/>
          </w:tcPr>
          <w:p>
            <w:pPr>
              <w:jc w:val="center"/>
              <w:rPr>
                <w:rFonts w:ascii="宋体" w:hAnsi="宋体"/>
                <w:color w:val="auto"/>
                <w:szCs w:val="21"/>
                <w:highlight w:val="none"/>
              </w:rPr>
            </w:pPr>
          </w:p>
        </w:tc>
        <w:tc>
          <w:tcPr>
            <w:tcW w:w="18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投标有效期</w:t>
            </w:r>
          </w:p>
        </w:tc>
        <w:tc>
          <w:tcPr>
            <w:tcW w:w="477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Cs w:val="21"/>
                <w:highlight w:val="none"/>
              </w:rPr>
            </w:pPr>
            <w:r>
              <w:rPr>
                <w:rFonts w:ascii="宋体" w:hAnsi="宋体"/>
                <w:color w:val="auto"/>
                <w:szCs w:val="21"/>
                <w:highlight w:val="none"/>
              </w:rPr>
              <w:t>符合第</w:t>
            </w:r>
            <w:r>
              <w:rPr>
                <w:rFonts w:hint="eastAsia" w:ascii="宋体" w:hAnsi="宋体"/>
                <w:color w:val="auto"/>
                <w:szCs w:val="21"/>
                <w:highlight w:val="none"/>
              </w:rPr>
              <w:t>二</w:t>
            </w:r>
            <w:r>
              <w:rPr>
                <w:rFonts w:ascii="宋体" w:hAnsi="宋体"/>
                <w:color w:val="auto"/>
                <w:szCs w:val="21"/>
                <w:highlight w:val="none"/>
              </w:rPr>
              <w:t>章“投标人须知”第3.3.1项规定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677" w:type="dxa"/>
            <w:vMerge w:val="continue"/>
            <w:tcBorders>
              <w:right w:val="single" w:color="auto" w:sz="4" w:space="0"/>
            </w:tcBorders>
            <w:vAlign w:val="center"/>
          </w:tcPr>
          <w:p>
            <w:pPr>
              <w:jc w:val="center"/>
              <w:rPr>
                <w:rFonts w:ascii="宋体" w:hAnsi="宋体"/>
                <w:color w:val="auto"/>
                <w:szCs w:val="21"/>
                <w:highlight w:val="none"/>
              </w:rPr>
            </w:pPr>
          </w:p>
        </w:tc>
        <w:tc>
          <w:tcPr>
            <w:tcW w:w="1193" w:type="dxa"/>
            <w:vMerge w:val="continue"/>
            <w:tcBorders>
              <w:right w:val="single" w:color="auto" w:sz="4" w:space="0"/>
            </w:tcBorders>
            <w:vAlign w:val="center"/>
          </w:tcPr>
          <w:p>
            <w:pPr>
              <w:jc w:val="center"/>
              <w:rPr>
                <w:rFonts w:ascii="宋体" w:hAnsi="宋体"/>
                <w:color w:val="auto"/>
                <w:szCs w:val="21"/>
                <w:highlight w:val="none"/>
              </w:rPr>
            </w:pPr>
          </w:p>
        </w:tc>
        <w:tc>
          <w:tcPr>
            <w:tcW w:w="18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trike/>
                <w:color w:val="auto"/>
                <w:szCs w:val="21"/>
                <w:highlight w:val="none"/>
              </w:rPr>
            </w:pPr>
            <w:r>
              <w:rPr>
                <w:rFonts w:ascii="宋体" w:hAnsi="宋体"/>
                <w:color w:val="auto"/>
                <w:szCs w:val="21"/>
                <w:highlight w:val="none"/>
              </w:rPr>
              <w:t>已标价工程量清单</w:t>
            </w:r>
          </w:p>
        </w:tc>
        <w:tc>
          <w:tcPr>
            <w:tcW w:w="477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trike/>
                <w:color w:val="auto"/>
                <w:szCs w:val="21"/>
                <w:highlight w:val="none"/>
              </w:rPr>
            </w:pPr>
            <w:r>
              <w:rPr>
                <w:rFonts w:ascii="宋体" w:hAnsi="宋体"/>
                <w:color w:val="auto"/>
                <w:szCs w:val="21"/>
                <w:highlight w:val="none"/>
              </w:rPr>
              <w:t>符合第</w:t>
            </w:r>
            <w:r>
              <w:rPr>
                <w:rFonts w:hint="eastAsia" w:ascii="宋体" w:hAnsi="宋体"/>
                <w:color w:val="auto"/>
                <w:szCs w:val="21"/>
                <w:highlight w:val="none"/>
              </w:rPr>
              <w:t>五</w:t>
            </w:r>
            <w:r>
              <w:rPr>
                <w:rFonts w:ascii="宋体" w:hAnsi="宋体"/>
                <w:color w:val="auto"/>
                <w:szCs w:val="21"/>
                <w:highlight w:val="none"/>
              </w:rPr>
              <w:t>章“工程量清单”给出的范围及数量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4" w:hRule="atLeast"/>
        </w:trPr>
        <w:tc>
          <w:tcPr>
            <w:tcW w:w="677" w:type="dxa"/>
            <w:vMerge w:val="continue"/>
            <w:tcBorders>
              <w:right w:val="single" w:color="auto" w:sz="4" w:space="0"/>
            </w:tcBorders>
            <w:vAlign w:val="center"/>
          </w:tcPr>
          <w:p>
            <w:pPr>
              <w:jc w:val="center"/>
              <w:rPr>
                <w:rFonts w:ascii="宋体" w:hAnsi="宋体"/>
                <w:color w:val="auto"/>
                <w:szCs w:val="21"/>
                <w:highlight w:val="none"/>
              </w:rPr>
            </w:pPr>
          </w:p>
        </w:tc>
        <w:tc>
          <w:tcPr>
            <w:tcW w:w="1193" w:type="dxa"/>
            <w:vMerge w:val="continue"/>
            <w:tcBorders>
              <w:right w:val="single" w:color="auto" w:sz="4" w:space="0"/>
            </w:tcBorders>
            <w:vAlign w:val="center"/>
          </w:tcPr>
          <w:p>
            <w:pPr>
              <w:jc w:val="center"/>
              <w:rPr>
                <w:rFonts w:ascii="宋体" w:hAnsi="宋体"/>
                <w:color w:val="auto"/>
                <w:szCs w:val="21"/>
                <w:highlight w:val="none"/>
              </w:rPr>
            </w:pPr>
          </w:p>
        </w:tc>
        <w:tc>
          <w:tcPr>
            <w:tcW w:w="18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投标承诺</w:t>
            </w:r>
          </w:p>
        </w:tc>
        <w:tc>
          <w:tcPr>
            <w:tcW w:w="477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Cs w:val="21"/>
                <w:highlight w:val="none"/>
              </w:rPr>
            </w:pPr>
            <w:r>
              <w:rPr>
                <w:rFonts w:hint="eastAsia" w:ascii="宋体" w:hAnsi="宋体"/>
                <w:color w:val="auto"/>
                <w:szCs w:val="21"/>
                <w:highlight w:val="none"/>
                <w:u w:val="single"/>
              </w:rPr>
              <w:t>按规定的格式及内容要求提供</w:t>
            </w:r>
            <w:r>
              <w:rPr>
                <w:rFonts w:hint="eastAsia" w:ascii="宋体" w:hAnsi="宋体"/>
                <w:color w:val="auto"/>
                <w:szCs w:val="21"/>
                <w:highlight w:val="none"/>
              </w:rPr>
              <w:t>《标函承诺书》《项目负责人驻场承诺书》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4" w:hRule="atLeast"/>
        </w:trPr>
        <w:tc>
          <w:tcPr>
            <w:tcW w:w="677" w:type="dxa"/>
            <w:vMerge w:val="continue"/>
            <w:tcBorders>
              <w:right w:val="single" w:color="auto" w:sz="4" w:space="0"/>
            </w:tcBorders>
            <w:vAlign w:val="center"/>
          </w:tcPr>
          <w:p>
            <w:pPr>
              <w:jc w:val="center"/>
              <w:rPr>
                <w:rFonts w:ascii="宋体" w:hAnsi="宋体"/>
                <w:color w:val="auto"/>
                <w:szCs w:val="21"/>
                <w:highlight w:val="none"/>
              </w:rPr>
            </w:pPr>
          </w:p>
        </w:tc>
        <w:tc>
          <w:tcPr>
            <w:tcW w:w="1193" w:type="dxa"/>
            <w:vMerge w:val="continue"/>
            <w:tcBorders>
              <w:right w:val="single" w:color="auto" w:sz="4" w:space="0"/>
            </w:tcBorders>
            <w:vAlign w:val="center"/>
          </w:tcPr>
          <w:p>
            <w:pPr>
              <w:jc w:val="center"/>
              <w:rPr>
                <w:rFonts w:ascii="宋体" w:hAnsi="宋体"/>
                <w:color w:val="auto"/>
                <w:szCs w:val="21"/>
                <w:highlight w:val="none"/>
              </w:rPr>
            </w:pPr>
          </w:p>
        </w:tc>
        <w:tc>
          <w:tcPr>
            <w:tcW w:w="18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u w:val="single"/>
              </w:rPr>
              <w:t>不存在禁止投标的情形</w:t>
            </w:r>
          </w:p>
        </w:tc>
        <w:tc>
          <w:tcPr>
            <w:tcW w:w="477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Cs w:val="21"/>
                <w:highlight w:val="none"/>
              </w:rPr>
            </w:pPr>
            <w:r>
              <w:rPr>
                <w:rFonts w:hint="eastAsia" w:ascii="宋体" w:hAnsi="宋体"/>
                <w:color w:val="auto"/>
                <w:szCs w:val="21"/>
                <w:highlight w:val="none"/>
                <w:u w:val="single"/>
              </w:rPr>
              <w:t>不存在第二章“投标人须知”第1.4.3和第1.4.4项规定的任何一种情形（以《投标函》为准）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7" w:type="dxa"/>
            <w:vMerge w:val="continue"/>
            <w:tcBorders>
              <w:bottom w:val="single" w:color="auto" w:sz="4" w:space="0"/>
              <w:right w:val="single" w:color="auto" w:sz="4" w:space="0"/>
            </w:tcBorders>
            <w:vAlign w:val="center"/>
          </w:tcPr>
          <w:p>
            <w:pPr>
              <w:jc w:val="center"/>
              <w:rPr>
                <w:rFonts w:ascii="宋体" w:hAnsi="宋体"/>
                <w:color w:val="auto"/>
                <w:szCs w:val="21"/>
                <w:highlight w:val="none"/>
              </w:rPr>
            </w:pPr>
          </w:p>
        </w:tc>
        <w:tc>
          <w:tcPr>
            <w:tcW w:w="1193" w:type="dxa"/>
            <w:vMerge w:val="continue"/>
            <w:tcBorders>
              <w:bottom w:val="single" w:color="auto" w:sz="4" w:space="0"/>
              <w:right w:val="single" w:color="auto" w:sz="4" w:space="0"/>
            </w:tcBorders>
            <w:vAlign w:val="center"/>
          </w:tcPr>
          <w:p>
            <w:pPr>
              <w:jc w:val="center"/>
              <w:rPr>
                <w:rFonts w:ascii="宋体" w:hAnsi="宋体"/>
                <w:color w:val="auto"/>
                <w:szCs w:val="21"/>
                <w:highlight w:val="none"/>
              </w:rPr>
            </w:pPr>
          </w:p>
        </w:tc>
        <w:tc>
          <w:tcPr>
            <w:tcW w:w="187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u w:val="single"/>
              </w:rPr>
              <w:t>机器码唯一</w:t>
            </w:r>
          </w:p>
        </w:tc>
        <w:tc>
          <w:tcPr>
            <w:tcW w:w="477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auto"/>
                <w:szCs w:val="21"/>
                <w:highlight w:val="none"/>
                <w:u w:val="single"/>
              </w:rPr>
            </w:pPr>
            <w:r>
              <w:rPr>
                <w:rFonts w:hint="eastAsia" w:ascii="宋体" w:hAnsi="宋体"/>
                <w:color w:val="auto"/>
                <w:szCs w:val="21"/>
                <w:highlight w:val="none"/>
                <w:u w:val="single"/>
              </w:rPr>
              <w:t>不存在以下情形：</w:t>
            </w:r>
          </w:p>
          <w:p>
            <w:pPr>
              <w:spacing w:line="276" w:lineRule="auto"/>
              <w:jc w:val="left"/>
              <w:rPr>
                <w:rFonts w:ascii="宋体" w:hAnsi="宋体"/>
                <w:color w:val="auto"/>
                <w:szCs w:val="21"/>
                <w:highlight w:val="none"/>
              </w:rPr>
            </w:pPr>
            <w:r>
              <w:rPr>
                <w:rFonts w:hint="eastAsia" w:ascii="宋体" w:hAnsi="宋体"/>
                <w:color w:val="auto"/>
                <w:szCs w:val="21"/>
                <w:highlight w:val="none"/>
                <w:u w:val="single"/>
              </w:rPr>
              <w:t>投标人与本项目其他投标人的加密打包投标文件工程量清单编制机器硬件信息一致的（以交易平台评标系统的检索信息为准）。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7" w:type="dxa"/>
            <w:vMerge w:val="restart"/>
            <w:tcBorders>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.1.4</w:t>
            </w:r>
          </w:p>
        </w:tc>
        <w:tc>
          <w:tcPr>
            <w:tcW w:w="1193" w:type="dxa"/>
            <w:vMerge w:val="restart"/>
            <w:tcBorders>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技术评审</w:t>
            </w:r>
          </w:p>
        </w:tc>
        <w:tc>
          <w:tcPr>
            <w:tcW w:w="18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u w:val="single"/>
              </w:rPr>
            </w:pPr>
            <w:r>
              <w:rPr>
                <w:rFonts w:hint="eastAsia" w:ascii="宋体" w:hAnsi="宋体"/>
                <w:color w:val="auto"/>
                <w:szCs w:val="21"/>
                <w:highlight w:val="none"/>
              </w:rPr>
              <w:t>施工组织设计内容完整性和编制水平</w:t>
            </w:r>
          </w:p>
        </w:tc>
        <w:tc>
          <w:tcPr>
            <w:tcW w:w="477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Cs w:val="21"/>
                <w:highlight w:val="none"/>
                <w:u w:val="single"/>
              </w:rPr>
            </w:pPr>
            <w:r>
              <w:rPr>
                <w:rFonts w:hint="eastAsia" w:ascii="宋体" w:hAnsi="宋体"/>
                <w:color w:val="auto"/>
                <w:szCs w:val="21"/>
                <w:highlight w:val="none"/>
              </w:rPr>
              <w:t>合格或不合格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7" w:type="dxa"/>
            <w:vMerge w:val="continue"/>
            <w:tcBorders>
              <w:right w:val="single" w:color="auto" w:sz="4" w:space="0"/>
            </w:tcBorders>
            <w:vAlign w:val="center"/>
          </w:tcPr>
          <w:p>
            <w:pPr>
              <w:jc w:val="center"/>
              <w:rPr>
                <w:rFonts w:ascii="宋体" w:hAnsi="宋体"/>
                <w:color w:val="auto"/>
                <w:szCs w:val="21"/>
                <w:highlight w:val="none"/>
              </w:rPr>
            </w:pPr>
          </w:p>
        </w:tc>
        <w:tc>
          <w:tcPr>
            <w:tcW w:w="1193" w:type="dxa"/>
            <w:vMerge w:val="continue"/>
            <w:tcBorders>
              <w:right w:val="single" w:color="auto" w:sz="4" w:space="0"/>
            </w:tcBorders>
            <w:vAlign w:val="center"/>
          </w:tcPr>
          <w:p>
            <w:pPr>
              <w:jc w:val="center"/>
              <w:rPr>
                <w:rFonts w:ascii="宋体" w:hAnsi="宋体"/>
                <w:color w:val="auto"/>
                <w:szCs w:val="21"/>
                <w:highlight w:val="none"/>
              </w:rPr>
            </w:pPr>
          </w:p>
        </w:tc>
        <w:tc>
          <w:tcPr>
            <w:tcW w:w="18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u w:val="single"/>
              </w:rPr>
            </w:pPr>
            <w:r>
              <w:rPr>
                <w:rFonts w:hint="eastAsia" w:ascii="宋体" w:hAnsi="宋体"/>
                <w:color w:val="auto"/>
                <w:szCs w:val="21"/>
                <w:highlight w:val="none"/>
              </w:rPr>
              <w:t>施工方案与技术措施的合理性、科学性与可行性</w:t>
            </w:r>
          </w:p>
        </w:tc>
        <w:tc>
          <w:tcPr>
            <w:tcW w:w="477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Cs w:val="21"/>
                <w:highlight w:val="none"/>
                <w:u w:val="single"/>
              </w:rPr>
            </w:pPr>
            <w:r>
              <w:rPr>
                <w:rFonts w:hint="eastAsia" w:ascii="宋体" w:hAnsi="宋体"/>
                <w:color w:val="auto"/>
                <w:szCs w:val="21"/>
                <w:highlight w:val="none"/>
              </w:rPr>
              <w:t>合格或不合格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7" w:type="dxa"/>
            <w:vMerge w:val="continue"/>
            <w:tcBorders>
              <w:right w:val="single" w:color="auto" w:sz="4" w:space="0"/>
            </w:tcBorders>
            <w:vAlign w:val="center"/>
          </w:tcPr>
          <w:p>
            <w:pPr>
              <w:jc w:val="center"/>
              <w:rPr>
                <w:rFonts w:ascii="宋体" w:hAnsi="宋体"/>
                <w:color w:val="auto"/>
                <w:szCs w:val="21"/>
                <w:highlight w:val="none"/>
              </w:rPr>
            </w:pPr>
          </w:p>
        </w:tc>
        <w:tc>
          <w:tcPr>
            <w:tcW w:w="1193" w:type="dxa"/>
            <w:vMerge w:val="continue"/>
            <w:tcBorders>
              <w:right w:val="single" w:color="auto" w:sz="4" w:space="0"/>
            </w:tcBorders>
            <w:vAlign w:val="center"/>
          </w:tcPr>
          <w:p>
            <w:pPr>
              <w:jc w:val="center"/>
              <w:rPr>
                <w:rFonts w:ascii="宋体" w:hAnsi="宋体"/>
                <w:color w:val="auto"/>
                <w:szCs w:val="21"/>
                <w:highlight w:val="none"/>
              </w:rPr>
            </w:pPr>
          </w:p>
        </w:tc>
        <w:tc>
          <w:tcPr>
            <w:tcW w:w="18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u w:val="single"/>
              </w:rPr>
            </w:pPr>
            <w:r>
              <w:rPr>
                <w:rFonts w:hint="eastAsia" w:ascii="宋体" w:hAnsi="宋体"/>
                <w:color w:val="auto"/>
                <w:szCs w:val="21"/>
                <w:highlight w:val="none"/>
              </w:rPr>
              <w:t>质量管理体系与措施</w:t>
            </w:r>
          </w:p>
        </w:tc>
        <w:tc>
          <w:tcPr>
            <w:tcW w:w="477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Cs w:val="21"/>
                <w:highlight w:val="none"/>
                <w:u w:val="single"/>
              </w:rPr>
            </w:pPr>
            <w:r>
              <w:rPr>
                <w:rFonts w:hint="eastAsia" w:ascii="宋体" w:hAnsi="宋体"/>
                <w:color w:val="auto"/>
                <w:szCs w:val="21"/>
                <w:highlight w:val="none"/>
              </w:rPr>
              <w:t>合格或不合格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7" w:type="dxa"/>
            <w:vMerge w:val="continue"/>
            <w:tcBorders>
              <w:right w:val="single" w:color="auto" w:sz="4" w:space="0"/>
            </w:tcBorders>
            <w:vAlign w:val="center"/>
          </w:tcPr>
          <w:p>
            <w:pPr>
              <w:jc w:val="center"/>
              <w:rPr>
                <w:rFonts w:ascii="宋体" w:hAnsi="宋体"/>
                <w:color w:val="auto"/>
                <w:szCs w:val="21"/>
                <w:highlight w:val="none"/>
              </w:rPr>
            </w:pPr>
          </w:p>
        </w:tc>
        <w:tc>
          <w:tcPr>
            <w:tcW w:w="1193" w:type="dxa"/>
            <w:vMerge w:val="continue"/>
            <w:tcBorders>
              <w:right w:val="single" w:color="auto" w:sz="4" w:space="0"/>
            </w:tcBorders>
            <w:vAlign w:val="center"/>
          </w:tcPr>
          <w:p>
            <w:pPr>
              <w:jc w:val="center"/>
              <w:rPr>
                <w:rFonts w:ascii="宋体" w:hAnsi="宋体"/>
                <w:color w:val="auto"/>
                <w:szCs w:val="21"/>
                <w:highlight w:val="none"/>
              </w:rPr>
            </w:pPr>
          </w:p>
        </w:tc>
        <w:tc>
          <w:tcPr>
            <w:tcW w:w="18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u w:val="single"/>
              </w:rPr>
            </w:pPr>
            <w:r>
              <w:rPr>
                <w:rFonts w:hint="eastAsia" w:ascii="宋体" w:hAnsi="宋体"/>
                <w:color w:val="auto"/>
                <w:szCs w:val="21"/>
                <w:highlight w:val="none"/>
              </w:rPr>
              <w:t>安全管理体系与措施</w:t>
            </w:r>
          </w:p>
        </w:tc>
        <w:tc>
          <w:tcPr>
            <w:tcW w:w="477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Cs w:val="21"/>
                <w:highlight w:val="none"/>
                <w:u w:val="single"/>
              </w:rPr>
            </w:pPr>
            <w:r>
              <w:rPr>
                <w:rFonts w:hint="eastAsia" w:ascii="宋体" w:hAnsi="宋体"/>
                <w:color w:val="auto"/>
                <w:szCs w:val="21"/>
                <w:highlight w:val="none"/>
              </w:rPr>
              <w:t>合格或不合格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7" w:type="dxa"/>
            <w:vMerge w:val="continue"/>
            <w:tcBorders>
              <w:right w:val="single" w:color="auto" w:sz="4" w:space="0"/>
            </w:tcBorders>
            <w:vAlign w:val="center"/>
          </w:tcPr>
          <w:p>
            <w:pPr>
              <w:jc w:val="center"/>
              <w:rPr>
                <w:rFonts w:ascii="宋体" w:hAnsi="宋体"/>
                <w:color w:val="auto"/>
                <w:szCs w:val="21"/>
                <w:highlight w:val="none"/>
              </w:rPr>
            </w:pPr>
          </w:p>
        </w:tc>
        <w:tc>
          <w:tcPr>
            <w:tcW w:w="1193" w:type="dxa"/>
            <w:vMerge w:val="continue"/>
            <w:tcBorders>
              <w:right w:val="single" w:color="auto" w:sz="4" w:space="0"/>
            </w:tcBorders>
            <w:vAlign w:val="center"/>
          </w:tcPr>
          <w:p>
            <w:pPr>
              <w:jc w:val="center"/>
              <w:rPr>
                <w:rFonts w:ascii="宋体" w:hAnsi="宋体"/>
                <w:color w:val="auto"/>
                <w:szCs w:val="21"/>
                <w:highlight w:val="none"/>
              </w:rPr>
            </w:pPr>
          </w:p>
        </w:tc>
        <w:tc>
          <w:tcPr>
            <w:tcW w:w="18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u w:val="single"/>
              </w:rPr>
            </w:pPr>
            <w:r>
              <w:rPr>
                <w:rFonts w:hint="eastAsia" w:ascii="宋体" w:hAnsi="宋体"/>
                <w:color w:val="auto"/>
                <w:szCs w:val="21"/>
                <w:highlight w:val="none"/>
              </w:rPr>
              <w:t>环境保护管理体系与措施</w:t>
            </w:r>
          </w:p>
        </w:tc>
        <w:tc>
          <w:tcPr>
            <w:tcW w:w="477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Cs w:val="21"/>
                <w:highlight w:val="none"/>
                <w:u w:val="single"/>
              </w:rPr>
            </w:pPr>
            <w:r>
              <w:rPr>
                <w:rFonts w:hint="eastAsia" w:ascii="宋体" w:hAnsi="宋体"/>
                <w:color w:val="auto"/>
                <w:szCs w:val="21"/>
                <w:highlight w:val="none"/>
              </w:rPr>
              <w:t>合格或不合格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7" w:type="dxa"/>
            <w:vMerge w:val="continue"/>
            <w:tcBorders>
              <w:right w:val="single" w:color="auto" w:sz="4" w:space="0"/>
            </w:tcBorders>
            <w:vAlign w:val="center"/>
          </w:tcPr>
          <w:p>
            <w:pPr>
              <w:jc w:val="center"/>
              <w:rPr>
                <w:rFonts w:ascii="宋体" w:hAnsi="宋体"/>
                <w:color w:val="auto"/>
                <w:szCs w:val="21"/>
                <w:highlight w:val="none"/>
              </w:rPr>
            </w:pPr>
          </w:p>
        </w:tc>
        <w:tc>
          <w:tcPr>
            <w:tcW w:w="1193" w:type="dxa"/>
            <w:vMerge w:val="continue"/>
            <w:tcBorders>
              <w:right w:val="single" w:color="auto" w:sz="4" w:space="0"/>
            </w:tcBorders>
            <w:vAlign w:val="center"/>
          </w:tcPr>
          <w:p>
            <w:pPr>
              <w:jc w:val="center"/>
              <w:rPr>
                <w:rFonts w:ascii="宋体" w:hAnsi="宋体"/>
                <w:color w:val="auto"/>
                <w:szCs w:val="21"/>
                <w:highlight w:val="none"/>
              </w:rPr>
            </w:pPr>
          </w:p>
        </w:tc>
        <w:tc>
          <w:tcPr>
            <w:tcW w:w="18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u w:val="single"/>
              </w:rPr>
            </w:pPr>
            <w:r>
              <w:rPr>
                <w:rFonts w:hint="eastAsia" w:ascii="宋体" w:hAnsi="宋体"/>
                <w:color w:val="auto"/>
                <w:szCs w:val="21"/>
                <w:highlight w:val="none"/>
              </w:rPr>
              <w:t>工程建设进度计划与措施</w:t>
            </w:r>
          </w:p>
        </w:tc>
        <w:tc>
          <w:tcPr>
            <w:tcW w:w="477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Cs w:val="21"/>
                <w:highlight w:val="none"/>
                <w:u w:val="single"/>
              </w:rPr>
            </w:pPr>
            <w:r>
              <w:rPr>
                <w:rFonts w:hint="eastAsia" w:ascii="宋体" w:hAnsi="宋体"/>
                <w:color w:val="auto"/>
                <w:szCs w:val="21"/>
                <w:highlight w:val="none"/>
              </w:rPr>
              <w:t>合格或不合格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7" w:type="dxa"/>
            <w:vMerge w:val="continue"/>
            <w:tcBorders>
              <w:bottom w:val="single" w:color="auto" w:sz="4" w:space="0"/>
              <w:right w:val="single" w:color="auto" w:sz="4" w:space="0"/>
            </w:tcBorders>
            <w:vAlign w:val="center"/>
          </w:tcPr>
          <w:p>
            <w:pPr>
              <w:jc w:val="center"/>
              <w:rPr>
                <w:rFonts w:ascii="宋体" w:hAnsi="宋体"/>
                <w:color w:val="auto"/>
                <w:szCs w:val="21"/>
                <w:highlight w:val="none"/>
              </w:rPr>
            </w:pPr>
          </w:p>
        </w:tc>
        <w:tc>
          <w:tcPr>
            <w:tcW w:w="1193" w:type="dxa"/>
            <w:vMerge w:val="continue"/>
            <w:tcBorders>
              <w:bottom w:val="single" w:color="auto" w:sz="4" w:space="0"/>
              <w:right w:val="single" w:color="auto" w:sz="4" w:space="0"/>
            </w:tcBorders>
            <w:vAlign w:val="center"/>
          </w:tcPr>
          <w:p>
            <w:pPr>
              <w:jc w:val="center"/>
              <w:rPr>
                <w:rFonts w:ascii="宋体" w:hAnsi="宋体"/>
                <w:color w:val="auto"/>
                <w:szCs w:val="21"/>
                <w:highlight w:val="none"/>
              </w:rPr>
            </w:pPr>
          </w:p>
        </w:tc>
        <w:tc>
          <w:tcPr>
            <w:tcW w:w="18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u w:val="single"/>
              </w:rPr>
            </w:pPr>
            <w:r>
              <w:rPr>
                <w:rFonts w:hint="eastAsia" w:ascii="宋体" w:hAnsi="宋体"/>
                <w:color w:val="auto"/>
                <w:szCs w:val="21"/>
                <w:highlight w:val="none"/>
              </w:rPr>
              <w:t>资源配备计划</w:t>
            </w:r>
          </w:p>
        </w:tc>
        <w:tc>
          <w:tcPr>
            <w:tcW w:w="477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Cs w:val="21"/>
                <w:highlight w:val="none"/>
                <w:u w:val="single"/>
              </w:rPr>
            </w:pPr>
            <w:r>
              <w:rPr>
                <w:rFonts w:hint="eastAsia" w:ascii="宋体" w:hAnsi="宋体"/>
                <w:color w:val="auto"/>
                <w:szCs w:val="21"/>
                <w:highlight w:val="none"/>
              </w:rPr>
              <w:t>合格或不合格</w:t>
            </w:r>
          </w:p>
        </w:tc>
      </w:tr>
    </w:tbl>
    <w:tbl>
      <w:tblPr>
        <w:tblStyle w:val="40"/>
        <w:tblW w:w="852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31"/>
        <w:gridCol w:w="939"/>
        <w:gridCol w:w="1885"/>
        <w:gridCol w:w="476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70" w:type="dxa"/>
            <w:gridSpan w:val="2"/>
            <w:tcBorders>
              <w:top w:val="single" w:color="auto" w:sz="4" w:space="0"/>
              <w:bottom w:val="single" w:color="auto" w:sz="4" w:space="0"/>
              <w:right w:val="single" w:color="auto" w:sz="4" w:space="0"/>
            </w:tcBorders>
            <w:vAlign w:val="center"/>
          </w:tcPr>
          <w:p>
            <w:pPr>
              <w:jc w:val="center"/>
              <w:rPr>
                <w:rFonts w:ascii="宋体" w:hAnsi="宋体"/>
                <w:b/>
                <w:color w:val="auto"/>
                <w:szCs w:val="21"/>
                <w:highlight w:val="none"/>
              </w:rPr>
            </w:pPr>
            <w:r>
              <w:rPr>
                <w:rFonts w:ascii="宋体" w:hAnsi="宋体"/>
                <w:b/>
                <w:color w:val="auto"/>
                <w:szCs w:val="21"/>
                <w:highlight w:val="none"/>
              </w:rPr>
              <w:t>条款号</w:t>
            </w:r>
          </w:p>
        </w:tc>
        <w:tc>
          <w:tcPr>
            <w:tcW w:w="188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highlight w:val="none"/>
              </w:rPr>
            </w:pPr>
            <w:r>
              <w:rPr>
                <w:rFonts w:ascii="宋体" w:hAnsi="宋体"/>
                <w:b/>
                <w:color w:val="auto"/>
                <w:szCs w:val="21"/>
                <w:highlight w:val="none"/>
              </w:rPr>
              <w:t>条款内容</w:t>
            </w:r>
          </w:p>
        </w:tc>
        <w:tc>
          <w:tcPr>
            <w:tcW w:w="47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highlight w:val="none"/>
              </w:rPr>
            </w:pPr>
            <w:r>
              <w:rPr>
                <w:rFonts w:ascii="宋体" w:hAnsi="宋体"/>
                <w:b/>
                <w:color w:val="auto"/>
                <w:szCs w:val="21"/>
                <w:highlight w:val="none"/>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8" w:hRule="atLeast"/>
        </w:trPr>
        <w:tc>
          <w:tcPr>
            <w:tcW w:w="1870" w:type="dxa"/>
            <w:gridSpan w:val="2"/>
            <w:tcBorders>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2.2.1</w:t>
            </w:r>
          </w:p>
        </w:tc>
        <w:tc>
          <w:tcPr>
            <w:tcW w:w="188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综合评估得分</w:t>
            </w:r>
            <w:r>
              <w:rPr>
                <w:rFonts w:ascii="宋体" w:hAnsi="宋体"/>
                <w:color w:val="auto"/>
                <w:szCs w:val="21"/>
                <w:highlight w:val="none"/>
              </w:rPr>
              <w:t>构成</w:t>
            </w:r>
          </w:p>
          <w:p>
            <w:pPr>
              <w:jc w:val="center"/>
              <w:rPr>
                <w:rFonts w:ascii="宋体" w:hAnsi="宋体"/>
                <w:color w:val="auto"/>
                <w:szCs w:val="21"/>
                <w:highlight w:val="none"/>
              </w:rPr>
            </w:pPr>
            <w:r>
              <w:rPr>
                <w:rFonts w:ascii="宋体" w:hAnsi="宋体"/>
                <w:color w:val="auto"/>
                <w:szCs w:val="21"/>
                <w:highlight w:val="none"/>
              </w:rPr>
              <w:t>(总分100分)</w:t>
            </w:r>
          </w:p>
        </w:tc>
        <w:tc>
          <w:tcPr>
            <w:tcW w:w="476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szCs w:val="21"/>
                <w:highlight w:val="none"/>
              </w:rPr>
            </w:pPr>
            <w:r>
              <w:rPr>
                <w:rFonts w:hint="eastAsia" w:ascii="宋体" w:hAnsi="宋体" w:cs="宋体"/>
                <w:color w:val="auto"/>
                <w:szCs w:val="21"/>
                <w:highlight w:val="none"/>
              </w:rPr>
              <w:t>A.投标报价权重：</w:t>
            </w:r>
            <w:r>
              <w:rPr>
                <w:rFonts w:hint="eastAsia" w:ascii="宋体" w:hAnsi="宋体" w:cs="宋体"/>
                <w:color w:val="auto"/>
                <w:szCs w:val="21"/>
                <w:highlight w:val="none"/>
                <w:u w:val="single"/>
              </w:rPr>
              <w:t>80%</w:t>
            </w:r>
          </w:p>
          <w:p>
            <w:pPr>
              <w:jc w:val="left"/>
              <w:rPr>
                <w:rFonts w:ascii="宋体" w:hAnsi="宋体" w:cs="宋体"/>
                <w:color w:val="auto"/>
                <w:szCs w:val="21"/>
                <w:highlight w:val="none"/>
              </w:rPr>
            </w:pPr>
            <w:r>
              <w:rPr>
                <w:rFonts w:hint="eastAsia" w:ascii="宋体" w:hAnsi="宋体" w:cs="宋体"/>
                <w:color w:val="auto"/>
                <w:szCs w:val="21"/>
                <w:highlight w:val="none"/>
              </w:rPr>
              <w:t>B.诚信得分权重：</w:t>
            </w:r>
            <w:r>
              <w:rPr>
                <w:rFonts w:ascii="宋体" w:hAnsi="宋体" w:cs="宋体"/>
                <w:color w:val="auto"/>
                <w:szCs w:val="21"/>
                <w:highlight w:val="none"/>
                <w:u w:val="single"/>
              </w:rPr>
              <w:t>20</w:t>
            </w:r>
            <w:r>
              <w:rPr>
                <w:rFonts w:hint="eastAsia" w:ascii="宋体" w:hAnsi="宋体" w:cs="宋体"/>
                <w:color w:val="auto"/>
                <w:szCs w:val="21"/>
                <w:highlight w:val="none"/>
                <w:u w:val="single"/>
              </w:rPr>
              <w:t>%</w:t>
            </w:r>
          </w:p>
          <w:p>
            <w:pPr>
              <w:pStyle w:val="79"/>
              <w:rPr>
                <w:rFonts w:ascii="宋体" w:hAnsi="宋体"/>
                <w:color w:val="auto"/>
                <w:sz w:val="21"/>
                <w:szCs w:val="21"/>
                <w:highlight w:val="none"/>
                <w:u w:val="single"/>
              </w:rPr>
            </w:pPr>
            <w:r>
              <w:rPr>
                <w:rFonts w:hint="eastAsia" w:ascii="宋体" w:hAnsi="宋体" w:cs="宋体"/>
                <w:color w:val="auto"/>
                <w:sz w:val="21"/>
                <w:szCs w:val="21"/>
                <w:highlight w:val="none"/>
                <w:u w:val="single"/>
              </w:rPr>
              <w:t>投标人总得分=A*</w:t>
            </w:r>
            <w:r>
              <w:rPr>
                <w:rFonts w:ascii="宋体" w:hAnsi="宋体" w:cs="宋体"/>
                <w:color w:val="auto"/>
                <w:sz w:val="21"/>
                <w:szCs w:val="21"/>
                <w:highlight w:val="none"/>
                <w:u w:val="single"/>
              </w:rPr>
              <w:t>80</w:t>
            </w:r>
            <w:r>
              <w:rPr>
                <w:rFonts w:hint="eastAsia" w:ascii="宋体" w:hAnsi="宋体" w:cs="宋体"/>
                <w:color w:val="auto"/>
                <w:sz w:val="21"/>
                <w:szCs w:val="21"/>
                <w:highlight w:val="none"/>
                <w:u w:val="single"/>
              </w:rPr>
              <w:t>%+B*</w:t>
            </w:r>
            <w:r>
              <w:rPr>
                <w:rFonts w:ascii="宋体" w:hAnsi="宋体" w:cs="宋体"/>
                <w:color w:val="auto"/>
                <w:sz w:val="21"/>
                <w:szCs w:val="21"/>
                <w:highlight w:val="none"/>
                <w:u w:val="single"/>
              </w:rPr>
              <w:t>20</w:t>
            </w:r>
            <w:r>
              <w:rPr>
                <w:rFonts w:hint="eastAsia" w:ascii="宋体" w:hAnsi="宋体" w:cs="宋体"/>
                <w:color w:val="auto"/>
                <w:sz w:val="21"/>
                <w:szCs w:val="21"/>
                <w:highlight w:val="none"/>
                <w:u w:val="singl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27" w:hRule="atLeast"/>
        </w:trPr>
        <w:tc>
          <w:tcPr>
            <w:tcW w:w="1870" w:type="dxa"/>
            <w:gridSpan w:val="2"/>
            <w:tcBorders>
              <w:top w:val="nil"/>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2.2.3</w:t>
            </w:r>
          </w:p>
        </w:tc>
        <w:tc>
          <w:tcPr>
            <w:tcW w:w="188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评标基准价计算方法</w:t>
            </w:r>
          </w:p>
        </w:tc>
        <w:tc>
          <w:tcPr>
            <w:tcW w:w="4767" w:type="dxa"/>
            <w:tcBorders>
              <w:top w:val="single" w:color="auto" w:sz="4" w:space="0"/>
              <w:left w:val="single" w:color="auto" w:sz="4" w:space="0"/>
              <w:bottom w:val="single" w:color="auto" w:sz="4" w:space="0"/>
              <w:right w:val="single" w:color="auto" w:sz="4" w:space="0"/>
            </w:tcBorders>
            <w:vAlign w:val="center"/>
          </w:tcPr>
          <w:p>
            <w:pPr>
              <w:ind w:firstLine="420" w:firstLineChars="200"/>
              <w:jc w:val="left"/>
              <w:rPr>
                <w:rFonts w:hint="eastAsia" w:ascii="宋体" w:hAnsi="宋体"/>
                <w:b w:val="0"/>
                <w:bCs/>
                <w:color w:val="auto"/>
                <w:szCs w:val="21"/>
                <w:highlight w:val="none"/>
              </w:rPr>
            </w:pPr>
            <w:r>
              <w:rPr>
                <w:rFonts w:hint="eastAsia" w:ascii="宋体" w:hAnsi="宋体"/>
                <w:b w:val="0"/>
                <w:bCs/>
                <w:color w:val="auto"/>
                <w:szCs w:val="21"/>
                <w:highlight w:val="none"/>
              </w:rPr>
              <w:t>以有效投标报价的算术平均值按随机抽取的评标基准价下浮率（2～5%，0.5一个级别）下浮作为评标基准价。</w:t>
            </w:r>
          </w:p>
          <w:p>
            <w:pPr>
              <w:ind w:firstLine="420" w:firstLineChars="200"/>
              <w:jc w:val="left"/>
              <w:rPr>
                <w:rFonts w:ascii="宋体" w:hAnsi="宋体"/>
                <w:b/>
                <w:color w:val="auto"/>
                <w:szCs w:val="21"/>
                <w:highlight w:val="none"/>
              </w:rPr>
            </w:pPr>
            <w:r>
              <w:rPr>
                <w:rFonts w:hint="eastAsia" w:ascii="宋体" w:hAnsi="宋体"/>
                <w:b w:val="0"/>
                <w:bCs/>
                <w:color w:val="auto"/>
                <w:szCs w:val="21"/>
                <w:highlight w:val="none"/>
              </w:rPr>
              <w:t>在首次评标过程中，投标人未被发现存在串通投标、弄虚作假、行贿等情形的，无论是否重评，经确定的评标基准价不变。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1" w:hRule="atLeast"/>
        </w:trPr>
        <w:tc>
          <w:tcPr>
            <w:tcW w:w="1870" w:type="dxa"/>
            <w:gridSpan w:val="2"/>
            <w:tcBorders>
              <w:top w:val="nil"/>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2.2.4</w:t>
            </w:r>
          </w:p>
        </w:tc>
        <w:tc>
          <w:tcPr>
            <w:tcW w:w="188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投标报价偏差率计算公式</w:t>
            </w:r>
          </w:p>
        </w:tc>
        <w:tc>
          <w:tcPr>
            <w:tcW w:w="47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highlight w:val="none"/>
              </w:rPr>
            </w:pPr>
            <w:r>
              <w:rPr>
                <w:rFonts w:hint="eastAsia" w:ascii="宋体" w:hAnsi="宋体"/>
                <w:color w:val="auto"/>
                <w:szCs w:val="21"/>
                <w:highlight w:val="none"/>
              </w:rPr>
              <w:t>偏差率=（投标报价-评标基准价）/评标基准价×100%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9" w:hRule="atLeast"/>
        </w:trPr>
        <w:tc>
          <w:tcPr>
            <w:tcW w:w="1870" w:type="dxa"/>
            <w:gridSpan w:val="2"/>
            <w:tcBorders>
              <w:top w:val="nil"/>
              <w:bottom w:val="single" w:color="auto" w:sz="4" w:space="0"/>
              <w:right w:val="single" w:color="auto" w:sz="4" w:space="0"/>
            </w:tcBorders>
            <w:vAlign w:val="center"/>
          </w:tcPr>
          <w:p>
            <w:pPr>
              <w:jc w:val="center"/>
              <w:rPr>
                <w:rFonts w:ascii="宋体" w:hAnsi="宋体"/>
                <w:b/>
                <w:color w:val="auto"/>
                <w:szCs w:val="21"/>
                <w:highlight w:val="none"/>
              </w:rPr>
            </w:pPr>
          </w:p>
        </w:tc>
        <w:tc>
          <w:tcPr>
            <w:tcW w:w="188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highlight w:val="none"/>
              </w:rPr>
            </w:pPr>
            <w:r>
              <w:rPr>
                <w:rFonts w:hint="eastAsia" w:ascii="宋体" w:hAnsi="宋体"/>
                <w:b/>
                <w:color w:val="auto"/>
                <w:szCs w:val="21"/>
                <w:highlight w:val="none"/>
              </w:rPr>
              <w:t>详细评审</w:t>
            </w:r>
          </w:p>
        </w:tc>
        <w:tc>
          <w:tcPr>
            <w:tcW w:w="47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93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2.2.</w:t>
            </w:r>
            <w:r>
              <w:rPr>
                <w:rFonts w:hint="eastAsia" w:ascii="宋体" w:hAnsi="宋体"/>
                <w:color w:val="auto"/>
                <w:szCs w:val="21"/>
                <w:highlight w:val="none"/>
              </w:rPr>
              <w:t>5（1）</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投标报价评审</w:t>
            </w:r>
          </w:p>
        </w:tc>
        <w:tc>
          <w:tcPr>
            <w:tcW w:w="665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投标人的投标报价等于评标基准价的，得100分，投标报价比评标基准价每高</w:t>
            </w:r>
            <w:r>
              <w:rPr>
                <w:rFonts w:ascii="宋体" w:hAnsi="宋体"/>
                <w:color w:val="auto"/>
                <w:szCs w:val="21"/>
                <w:highlight w:val="none"/>
              </w:rPr>
              <w:t>1%</w:t>
            </w:r>
            <w:r>
              <w:rPr>
                <w:rFonts w:hint="eastAsia" w:ascii="宋体" w:hAnsi="宋体"/>
                <w:color w:val="auto"/>
                <w:szCs w:val="21"/>
                <w:highlight w:val="none"/>
              </w:rPr>
              <w:t>的，扣</w:t>
            </w:r>
            <w:r>
              <w:rPr>
                <w:rFonts w:ascii="宋体" w:hAnsi="宋体"/>
                <w:color w:val="auto"/>
                <w:szCs w:val="21"/>
                <w:highlight w:val="none"/>
              </w:rPr>
              <w:t>1</w:t>
            </w:r>
            <w:r>
              <w:rPr>
                <w:rFonts w:hint="eastAsia" w:ascii="宋体" w:hAnsi="宋体"/>
                <w:color w:val="auto"/>
                <w:szCs w:val="21"/>
                <w:highlight w:val="none"/>
              </w:rPr>
              <w:t>.</w:t>
            </w:r>
            <w:r>
              <w:rPr>
                <w:rFonts w:ascii="宋体" w:hAnsi="宋体"/>
                <w:color w:val="auto"/>
                <w:szCs w:val="21"/>
                <w:highlight w:val="none"/>
              </w:rPr>
              <w:t>5</w:t>
            </w:r>
            <w:r>
              <w:rPr>
                <w:rFonts w:hint="eastAsia" w:ascii="宋体" w:hAnsi="宋体"/>
                <w:color w:val="auto"/>
                <w:szCs w:val="21"/>
                <w:highlight w:val="none"/>
              </w:rPr>
              <w:t>分；每低1%扣</w:t>
            </w:r>
            <w:r>
              <w:rPr>
                <w:rFonts w:ascii="宋体" w:hAnsi="宋体"/>
                <w:color w:val="auto"/>
                <w:szCs w:val="21"/>
                <w:highlight w:val="none"/>
              </w:rPr>
              <w:t>1</w:t>
            </w:r>
            <w:r>
              <w:rPr>
                <w:rFonts w:hint="eastAsia" w:ascii="宋体" w:hAnsi="宋体"/>
                <w:color w:val="auto"/>
                <w:szCs w:val="21"/>
                <w:highlight w:val="none"/>
              </w:rPr>
              <w:t>分，扣至0分为止。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8" w:hRule="atLeast"/>
        </w:trPr>
        <w:tc>
          <w:tcPr>
            <w:tcW w:w="93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2.2.5</w:t>
            </w: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诚信得分评审</w:t>
            </w:r>
          </w:p>
        </w:tc>
        <w:tc>
          <w:tcPr>
            <w:tcW w:w="6652" w:type="dxa"/>
            <w:gridSpan w:val="2"/>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hAnsi="宋体"/>
                <w:color w:val="auto"/>
                <w:szCs w:val="21"/>
                <w:highlight w:val="none"/>
              </w:rPr>
            </w:pPr>
            <w:r>
              <w:rPr>
                <w:rFonts w:hint="eastAsia" w:ascii="宋体" w:hAnsi="宋体"/>
                <w:color w:val="auto"/>
                <w:szCs w:val="21"/>
                <w:highlight w:val="none"/>
              </w:rPr>
              <w:t>投标人诚信分数取自本项目招标公告发布第1天所在季度的上一季度广州市水务工程企业库及诚信评价系统（http://120.236.111.11:8001/#/website）中的“企业诚信排名&gt;&gt;施工—水利”中“诚信综合评价”分，未入库企业或在广州市水务工程企业库及诚信评价系统中尚无诚信排名“施工－水利”得分的投标人，其诚信评价分按80分计算。</w:t>
            </w:r>
          </w:p>
        </w:tc>
      </w:tr>
    </w:tbl>
    <w:p>
      <w:pPr>
        <w:pStyle w:val="3"/>
        <w:numPr>
          <w:ilvl w:val="0"/>
          <w:numId w:val="0"/>
        </w:numPr>
        <w:rPr>
          <w:rFonts w:ascii="宋体" w:hAnsi="宋体"/>
          <w:color w:val="auto"/>
          <w:highlight w:val="none"/>
        </w:rPr>
      </w:pPr>
      <w:r>
        <w:rPr>
          <w:rFonts w:hint="eastAsia" w:ascii="宋体" w:hAnsi="宋体"/>
          <w:color w:val="auto"/>
          <w:sz w:val="21"/>
          <w:szCs w:val="21"/>
          <w:highlight w:val="none"/>
        </w:rPr>
        <w:br w:type="page"/>
      </w:r>
      <w:r>
        <w:rPr>
          <w:rFonts w:hint="eastAsia" w:ascii="宋体" w:hAnsi="宋体"/>
          <w:color w:val="auto"/>
          <w:highlight w:val="none"/>
        </w:rPr>
        <w:t>1.</w:t>
      </w:r>
      <w:bookmarkStart w:id="113" w:name="_Toc21787690"/>
      <w:r>
        <w:rPr>
          <w:rFonts w:hint="eastAsia" w:ascii="宋体" w:hAnsi="宋体"/>
          <w:color w:val="auto"/>
          <w:highlight w:val="none"/>
        </w:rPr>
        <w:t>评标方法</w:t>
      </w:r>
      <w:bookmarkEnd w:id="113"/>
    </w:p>
    <w:p>
      <w:pPr>
        <w:spacing w:line="360" w:lineRule="auto"/>
        <w:ind w:firstLine="480" w:firstLineChars="200"/>
        <w:jc w:val="left"/>
        <w:rPr>
          <w:rFonts w:ascii="宋体" w:hAnsi="宋体"/>
          <w:color w:val="auto"/>
          <w:sz w:val="24"/>
          <w:highlight w:val="none"/>
        </w:rPr>
      </w:pPr>
      <w:r>
        <w:rPr>
          <w:rFonts w:hint="eastAsia" w:ascii="宋体" w:hAnsi="宋体"/>
          <w:color w:val="auto"/>
          <w:sz w:val="24"/>
          <w:szCs w:val="24"/>
          <w:highlight w:val="none"/>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w:t>
      </w:r>
      <w:r>
        <w:rPr>
          <w:color w:val="auto"/>
          <w:sz w:val="24"/>
          <w:szCs w:val="24"/>
          <w:highlight w:val="none"/>
        </w:rPr>
        <w:t>总得分相同的，</w:t>
      </w:r>
      <w:r>
        <w:rPr>
          <w:rFonts w:hint="eastAsia"/>
          <w:color w:val="auto"/>
          <w:sz w:val="24"/>
          <w:szCs w:val="24"/>
          <w:highlight w:val="none"/>
        </w:rPr>
        <w:t>投标报价</w:t>
      </w:r>
      <w:r>
        <w:rPr>
          <w:color w:val="auto"/>
          <w:sz w:val="24"/>
          <w:szCs w:val="24"/>
          <w:highlight w:val="none"/>
        </w:rPr>
        <w:t>得分高的投标人排序为先；若</w:t>
      </w:r>
      <w:r>
        <w:rPr>
          <w:rFonts w:hint="eastAsia"/>
          <w:color w:val="auto"/>
          <w:sz w:val="24"/>
          <w:szCs w:val="24"/>
          <w:highlight w:val="none"/>
        </w:rPr>
        <w:t>投标报价</w:t>
      </w:r>
      <w:r>
        <w:rPr>
          <w:color w:val="auto"/>
          <w:sz w:val="24"/>
          <w:szCs w:val="24"/>
          <w:highlight w:val="none"/>
        </w:rPr>
        <w:t>得分也相同，</w:t>
      </w:r>
      <w:r>
        <w:rPr>
          <w:rFonts w:hint="eastAsia"/>
          <w:color w:val="auto"/>
          <w:sz w:val="24"/>
          <w:szCs w:val="24"/>
          <w:highlight w:val="none"/>
        </w:rPr>
        <w:t>诚信</w:t>
      </w:r>
      <w:r>
        <w:rPr>
          <w:color w:val="auto"/>
          <w:sz w:val="24"/>
          <w:szCs w:val="24"/>
          <w:highlight w:val="none"/>
        </w:rPr>
        <w:t>得分高的投标人排序为先；若</w:t>
      </w:r>
      <w:r>
        <w:rPr>
          <w:rFonts w:hint="eastAsia"/>
          <w:color w:val="auto"/>
          <w:sz w:val="24"/>
          <w:szCs w:val="24"/>
          <w:highlight w:val="none"/>
        </w:rPr>
        <w:t>诚信</w:t>
      </w:r>
      <w:r>
        <w:rPr>
          <w:color w:val="auto"/>
          <w:sz w:val="24"/>
          <w:szCs w:val="24"/>
          <w:highlight w:val="none"/>
        </w:rPr>
        <w:t>得分、</w:t>
      </w:r>
      <w:r>
        <w:rPr>
          <w:rFonts w:hint="eastAsia"/>
          <w:color w:val="auto"/>
          <w:sz w:val="24"/>
          <w:szCs w:val="24"/>
          <w:highlight w:val="none"/>
        </w:rPr>
        <w:t>投标报价</w:t>
      </w:r>
      <w:r>
        <w:rPr>
          <w:color w:val="auto"/>
          <w:sz w:val="24"/>
          <w:szCs w:val="24"/>
          <w:highlight w:val="none"/>
        </w:rPr>
        <w:t>得分均相同，则由评委根据</w:t>
      </w:r>
      <w:r>
        <w:rPr>
          <w:rFonts w:hint="eastAsia"/>
          <w:color w:val="auto"/>
          <w:sz w:val="24"/>
          <w:szCs w:val="24"/>
          <w:highlight w:val="none"/>
        </w:rPr>
        <w:t>技术方案</w:t>
      </w:r>
      <w:r>
        <w:rPr>
          <w:color w:val="auto"/>
          <w:sz w:val="24"/>
          <w:szCs w:val="24"/>
          <w:highlight w:val="none"/>
        </w:rPr>
        <w:t>、投标报价均衡度等，通过记名投票表决（不得弃权），以“少数服从多数”的原则确定排序。</w:t>
      </w:r>
    </w:p>
    <w:p>
      <w:pPr>
        <w:pStyle w:val="3"/>
        <w:numPr>
          <w:ilvl w:val="0"/>
          <w:numId w:val="0"/>
        </w:numPr>
        <w:rPr>
          <w:rFonts w:ascii="宋体" w:hAnsi="宋体"/>
          <w:color w:val="auto"/>
          <w:highlight w:val="none"/>
        </w:rPr>
      </w:pPr>
      <w:bookmarkStart w:id="114" w:name="_Toc21787691"/>
      <w:r>
        <w:rPr>
          <w:rFonts w:hint="eastAsia" w:ascii="宋体" w:hAnsi="宋体"/>
          <w:color w:val="auto"/>
          <w:highlight w:val="none"/>
        </w:rPr>
        <w:t>2.评审标准</w:t>
      </w:r>
      <w:bookmarkEnd w:id="114"/>
    </w:p>
    <w:p>
      <w:pPr>
        <w:numPr>
          <w:ilvl w:val="1"/>
          <w:numId w:val="16"/>
        </w:numPr>
        <w:spacing w:line="360" w:lineRule="auto"/>
        <w:ind w:left="1322"/>
        <w:outlineLvl w:val="2"/>
        <w:rPr>
          <w:rFonts w:ascii="宋体" w:hAnsi="宋体"/>
          <w:b/>
          <w:color w:val="auto"/>
          <w:sz w:val="28"/>
          <w:szCs w:val="28"/>
          <w:highlight w:val="none"/>
        </w:rPr>
      </w:pPr>
      <w:bookmarkStart w:id="115" w:name="_Toc21787692"/>
      <w:r>
        <w:rPr>
          <w:rFonts w:hint="eastAsia" w:ascii="宋体" w:hAnsi="宋体"/>
          <w:b/>
          <w:color w:val="auto"/>
          <w:sz w:val="28"/>
          <w:szCs w:val="28"/>
          <w:highlight w:val="none"/>
        </w:rPr>
        <w:t>初步评审标准</w:t>
      </w:r>
      <w:bookmarkEnd w:id="115"/>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2.1.1资格评审标准：见评标办法前附表。</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2.1.2形式评审标准：见评标办法前附表。</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2.1.3 响应性评审标准：见评标办法前附表。</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2.1.4技术评审标准：见评标办法前附表。</w:t>
      </w:r>
    </w:p>
    <w:p>
      <w:pPr>
        <w:numPr>
          <w:ilvl w:val="1"/>
          <w:numId w:val="16"/>
        </w:numPr>
        <w:spacing w:line="360" w:lineRule="auto"/>
        <w:ind w:left="1322"/>
        <w:outlineLvl w:val="2"/>
        <w:rPr>
          <w:rFonts w:ascii="宋体" w:hAnsi="宋体"/>
          <w:b/>
          <w:color w:val="auto"/>
          <w:sz w:val="28"/>
          <w:szCs w:val="28"/>
          <w:highlight w:val="none"/>
        </w:rPr>
      </w:pPr>
      <w:bookmarkStart w:id="116" w:name="_Toc21787693"/>
      <w:r>
        <w:rPr>
          <w:rFonts w:hint="eastAsia" w:ascii="宋体" w:hAnsi="宋体"/>
          <w:b/>
          <w:color w:val="auto"/>
          <w:sz w:val="28"/>
          <w:szCs w:val="28"/>
          <w:highlight w:val="none"/>
        </w:rPr>
        <w:t>分值构成与评分标准</w:t>
      </w:r>
      <w:bookmarkEnd w:id="116"/>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2.2.1 分值构成</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（1）投标报价：见评标办法前附表；</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（2）诚信得分：见评标办法前附表；</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2.2.2有效投标报价</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通过初步评审且不高于最高投标限价的投标报价为有效投标报价。非竞争性费用需与招标人发布的金额一致，不一致的投标报价无效。投标报价不得低于成本价，否则投标报</w:t>
      </w:r>
      <w:bookmarkStart w:id="117" w:name="_Toc152042378"/>
      <w:bookmarkStart w:id="118" w:name="_Toc179632619"/>
      <w:bookmarkStart w:id="119" w:name="_Toc152045601"/>
      <w:bookmarkStart w:id="120" w:name="_Toc144974568"/>
      <w:r>
        <w:rPr>
          <w:rFonts w:hint="eastAsia" w:ascii="宋体" w:hAnsi="宋体"/>
          <w:color w:val="auto"/>
          <w:sz w:val="24"/>
          <w:highlight w:val="none"/>
        </w:rPr>
        <w:t>价为无效投标报</w:t>
      </w:r>
      <w:bookmarkEnd w:id="117"/>
      <w:bookmarkEnd w:id="118"/>
      <w:bookmarkEnd w:id="119"/>
      <w:bookmarkEnd w:id="120"/>
      <w:r>
        <w:rPr>
          <w:rFonts w:hint="eastAsia" w:ascii="宋体" w:hAnsi="宋体"/>
          <w:color w:val="auto"/>
          <w:sz w:val="24"/>
          <w:highlight w:val="none"/>
        </w:rPr>
        <w:t>价</w:t>
      </w:r>
      <w:bookmarkStart w:id="121" w:name="_Toc179632620"/>
      <w:bookmarkStart w:id="122" w:name="_Toc152045602"/>
      <w:bookmarkStart w:id="123" w:name="_Toc144974569"/>
      <w:bookmarkStart w:id="124" w:name="_Toc152042379"/>
      <w:r>
        <w:rPr>
          <w:rFonts w:hint="eastAsia" w:ascii="宋体" w:hAnsi="宋体"/>
          <w:color w:val="auto"/>
          <w:sz w:val="24"/>
          <w:highlight w:val="none"/>
        </w:rPr>
        <w:t>。</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highlight w:val="none"/>
        </w:rPr>
        <w:t>成本警示价见第二章投</w:t>
      </w:r>
      <w:bookmarkEnd w:id="121"/>
      <w:bookmarkEnd w:id="122"/>
      <w:bookmarkEnd w:id="123"/>
      <w:bookmarkEnd w:id="124"/>
      <w:r>
        <w:rPr>
          <w:rFonts w:hint="eastAsia" w:ascii="宋体" w:hAnsi="宋体"/>
          <w:color w:val="auto"/>
          <w:sz w:val="24"/>
          <w:highlight w:val="none"/>
        </w:rPr>
        <w:t>标人须知前附表第3.2.4项。对低于该警示价的投标报价，投标人必须提供详细的施工组织设计、单价、措施性费用、单价分析表、主要材料价格表、投标人</w:t>
      </w:r>
      <w:bookmarkStart w:id="125" w:name="_Toc179632621"/>
      <w:bookmarkStart w:id="126" w:name="_Toc152042380"/>
      <w:bookmarkStart w:id="127" w:name="_Toc152045603"/>
      <w:bookmarkStart w:id="128" w:name="_Toc144974570"/>
      <w:r>
        <w:rPr>
          <w:rFonts w:hint="eastAsia" w:ascii="宋体" w:hAnsi="宋体"/>
          <w:color w:val="auto"/>
          <w:sz w:val="24"/>
          <w:highlight w:val="none"/>
        </w:rPr>
        <w:t>成本分析供评标委员会评审，</w:t>
      </w:r>
      <w:bookmarkEnd w:id="125"/>
      <w:bookmarkEnd w:id="126"/>
      <w:bookmarkEnd w:id="127"/>
      <w:bookmarkEnd w:id="128"/>
      <w:r>
        <w:rPr>
          <w:rFonts w:hint="eastAsia" w:ascii="宋体" w:hAnsi="宋体"/>
          <w:color w:val="auto"/>
          <w:sz w:val="24"/>
          <w:highlight w:val="none"/>
        </w:rPr>
        <w:t>由评标委员会判定其是否低于企业自身成本。在评标过程中，评标委员会发现投标人的报价明显低于其他投标报价或者低于成本警示价，使得其投标报价可能低于其个别成本的，应当要求该投标人作出书面说明并提供相关</w:t>
      </w:r>
      <w:r>
        <w:rPr>
          <w:rFonts w:hint="eastAsia" w:ascii="宋体" w:hAnsi="宋体"/>
          <w:color w:val="auto"/>
          <w:sz w:val="24"/>
          <w:szCs w:val="24"/>
          <w:highlight w:val="none"/>
        </w:rPr>
        <w:t>证明材料。投标人不能合理说明或者不能提供相关证明材料的，由评标委员会认定该投标人以低于成本报价竞标，应当否决其投标。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2.2.</w:t>
      </w:r>
      <w:r>
        <w:rPr>
          <w:rFonts w:ascii="宋体" w:hAnsi="宋体"/>
          <w:color w:val="auto"/>
          <w:sz w:val="24"/>
          <w:szCs w:val="24"/>
          <w:highlight w:val="none"/>
        </w:rPr>
        <w:t>3</w:t>
      </w:r>
      <w:r>
        <w:rPr>
          <w:rFonts w:hint="eastAsia" w:ascii="宋体" w:hAnsi="宋体"/>
          <w:color w:val="auto"/>
          <w:sz w:val="24"/>
          <w:szCs w:val="24"/>
          <w:highlight w:val="none"/>
        </w:rPr>
        <w:t xml:space="preserve"> 评标基准价计算</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评标基准价可按以下方式确定：</w:t>
      </w:r>
      <w:r>
        <w:rPr>
          <w:rFonts w:hint="eastAsia" w:ascii="宋体" w:hAnsi="宋体"/>
          <w:b/>
          <w:color w:val="auto"/>
          <w:sz w:val="24"/>
          <w:szCs w:val="24"/>
          <w:highlight w:val="none"/>
        </w:rPr>
        <w:t>（注：招标人自行选择，两选一）</w:t>
      </w:r>
    </w:p>
    <w:p>
      <w:pPr>
        <w:spacing w:line="360" w:lineRule="auto"/>
        <w:ind w:firstLine="482" w:firstLineChars="200"/>
        <w:rPr>
          <w:rFonts w:ascii="宋体" w:hAnsi="宋体"/>
          <w:color w:val="auto"/>
          <w:sz w:val="24"/>
          <w:szCs w:val="24"/>
          <w:highlight w:val="none"/>
        </w:rPr>
      </w:pPr>
      <w:r>
        <w:rPr>
          <w:rFonts w:hint="eastAsia" w:ascii="宋体" w:hAnsi="宋体"/>
          <w:b/>
          <w:color w:val="auto"/>
          <w:sz w:val="24"/>
          <w:szCs w:val="24"/>
          <w:highlight w:val="none"/>
        </w:rPr>
        <w:t>可选方式一</w:t>
      </w:r>
      <w:r>
        <w:rPr>
          <w:rFonts w:hint="eastAsia" w:ascii="宋体" w:hAnsi="宋体"/>
          <w:color w:val="auto"/>
          <w:sz w:val="24"/>
          <w:szCs w:val="24"/>
          <w:highlight w:val="none"/>
        </w:rPr>
        <w:t>：以全部或随机抽取的有效投标报价的算术平均值按随机抽取的评标基准价下浮率（2～5%，0.5一个级别）下浮作为评标基准价。具体确定方法如下：</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a</w:t>
      </w:r>
      <w:r>
        <w:rPr>
          <w:rFonts w:hint="eastAsia" w:ascii="宋体" w:hAnsi="宋体"/>
          <w:color w:val="auto"/>
          <w:sz w:val="24"/>
          <w:szCs w:val="24"/>
          <w:highlight w:val="none"/>
        </w:rPr>
        <w:t>、当有效投标报价的投标人少于或等于5个时，取全部有效投标报价的算术平均按随机抽取的评标基准价下浮率（2～5%，0.5一个级别）下浮作为评标基准价。</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b</w:t>
      </w:r>
      <w:r>
        <w:rPr>
          <w:rFonts w:hint="eastAsia" w:ascii="宋体" w:hAnsi="宋体"/>
          <w:color w:val="auto"/>
          <w:sz w:val="24"/>
          <w:szCs w:val="24"/>
          <w:highlight w:val="none"/>
        </w:rPr>
        <w:t>、当有效投标报价的投标人为6至10个时，从全部有效投标报价中去掉一个最大值和最小值，其他有效投标报价的算术平均值按随机抽取的评标基准价下浮率（2～5%，0.5一个级别）下浮作为评标基准价。</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c</w:t>
      </w:r>
      <w:r>
        <w:rPr>
          <w:rFonts w:hint="eastAsia" w:ascii="宋体" w:hAnsi="宋体"/>
          <w:color w:val="auto"/>
          <w:sz w:val="24"/>
          <w:szCs w:val="24"/>
          <w:highlight w:val="none"/>
        </w:rPr>
        <w:t>、当有效投标报价的投标人大于10个时，随机抽取10个有效投标报价并从中去掉一个最大值和最小值后计算算术平均值，该平均值按随机抽取的评标基准价下浮率（2～5%，0.5一个级别）下浮作为评标基准价。</w:t>
      </w:r>
    </w:p>
    <w:p>
      <w:pPr>
        <w:spacing w:line="360" w:lineRule="auto"/>
        <w:ind w:firstLine="480" w:firstLineChars="200"/>
        <w:rPr>
          <w:rFonts w:ascii="宋体" w:hAnsi="宋体"/>
          <w:color w:val="auto"/>
          <w:sz w:val="24"/>
          <w:szCs w:val="24"/>
          <w:highlight w:val="none"/>
        </w:rPr>
      </w:pPr>
      <w:r>
        <w:rPr>
          <w:rFonts w:hint="eastAsia" w:ascii="宋体" w:hAnsi="宋体" w:cs="宋体"/>
          <w:color w:val="auto"/>
          <w:sz w:val="24"/>
          <w:szCs w:val="24"/>
          <w:highlight w:val="none"/>
        </w:rPr>
        <w:t>在首次评标过程中，投标人未被发现存在串通投标、弄虚作假、行贿等情形的，无论是否重评，经确定的评标基准价不变。</w:t>
      </w:r>
    </w:p>
    <w:p>
      <w:pPr>
        <w:spacing w:line="360" w:lineRule="auto"/>
        <w:ind w:firstLine="482" w:firstLineChars="200"/>
        <w:rPr>
          <w:rFonts w:ascii="宋体" w:hAnsi="宋体"/>
          <w:color w:val="auto"/>
          <w:sz w:val="24"/>
          <w:szCs w:val="24"/>
          <w:highlight w:val="none"/>
        </w:rPr>
      </w:pPr>
      <w:r>
        <w:rPr>
          <w:rFonts w:hint="eastAsia" w:ascii="宋体" w:hAnsi="宋体"/>
          <w:b/>
          <w:color w:val="auto"/>
          <w:sz w:val="24"/>
          <w:szCs w:val="24"/>
          <w:highlight w:val="none"/>
        </w:rPr>
        <w:t>可选方式二</w:t>
      </w:r>
      <w:r>
        <w:rPr>
          <w:rFonts w:hint="eastAsia" w:ascii="宋体" w:hAnsi="宋体"/>
          <w:color w:val="auto"/>
          <w:sz w:val="24"/>
          <w:szCs w:val="24"/>
          <w:highlight w:val="none"/>
        </w:rPr>
        <w:t>：以有效投标报价的算术平均值按随机抽取的评标基准价下浮率（2～5%，0.5一个级别）下浮作为评标基准价。</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在首次评标过程中，投标人未被发现存在串通投标、弄虚作假、行贿等情形的，无论是否重评，经确定的评标基准价不变。</w:t>
      </w:r>
    </w:p>
    <w:p>
      <w:pPr>
        <w:spacing w:line="360" w:lineRule="auto"/>
        <w:ind w:firstLine="480" w:firstLineChars="200"/>
        <w:rPr>
          <w:rFonts w:ascii="宋体" w:hAnsi="宋体"/>
          <w:color w:val="auto"/>
          <w:sz w:val="24"/>
          <w:szCs w:val="24"/>
          <w:highlight w:val="none"/>
        </w:rPr>
      </w:pPr>
      <w:r>
        <w:rPr>
          <w:rFonts w:ascii="宋体" w:hAnsi="宋体"/>
          <w:color w:val="auto"/>
          <w:sz w:val="24"/>
          <w:highlight w:val="none"/>
        </w:rPr>
        <w:t>2.2.4</w:t>
      </w:r>
      <w:r>
        <w:rPr>
          <w:rFonts w:hint="eastAsia" w:ascii="宋体" w:hAnsi="宋体"/>
          <w:color w:val="auto"/>
          <w:sz w:val="24"/>
          <w:szCs w:val="24"/>
          <w:highlight w:val="none"/>
        </w:rPr>
        <w:t>投标报价偏差率计算</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投标报价的偏差率计算公式：见评标办法前附表；</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2.2.5</w:t>
      </w:r>
      <w:r>
        <w:rPr>
          <w:rFonts w:hint="eastAsia" w:ascii="宋体" w:hAnsi="宋体"/>
          <w:color w:val="auto"/>
          <w:sz w:val="24"/>
          <w:highlight w:val="none"/>
        </w:rPr>
        <w:t>评标标准</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（1）投标报价评分标准：见评标办法前附表；</w:t>
      </w:r>
    </w:p>
    <w:p>
      <w:pPr>
        <w:spacing w:line="360" w:lineRule="auto"/>
        <w:ind w:firstLine="480" w:firstLineChars="200"/>
        <w:jc w:val="left"/>
        <w:rPr>
          <w:rFonts w:ascii="宋体" w:hAnsi="宋体"/>
          <w:color w:val="auto"/>
          <w:sz w:val="24"/>
          <w:szCs w:val="24"/>
          <w:highlight w:val="none"/>
        </w:rPr>
      </w:pPr>
      <w:r>
        <w:rPr>
          <w:rFonts w:hint="eastAsia" w:ascii="宋体" w:hAnsi="宋体"/>
          <w:color w:val="auto"/>
          <w:sz w:val="24"/>
          <w:highlight w:val="none"/>
        </w:rPr>
        <w:t>（2）诚信得分评分标准：见评标办法前附表。</w:t>
      </w:r>
    </w:p>
    <w:p>
      <w:pPr>
        <w:pStyle w:val="3"/>
        <w:numPr>
          <w:ilvl w:val="0"/>
          <w:numId w:val="0"/>
        </w:numPr>
        <w:rPr>
          <w:rFonts w:ascii="宋体" w:hAnsi="宋体"/>
          <w:color w:val="auto"/>
          <w:highlight w:val="none"/>
        </w:rPr>
      </w:pPr>
      <w:bookmarkStart w:id="129" w:name="_Toc21787694"/>
      <w:r>
        <w:rPr>
          <w:rFonts w:hint="eastAsia" w:ascii="宋体" w:hAnsi="宋体"/>
          <w:color w:val="auto"/>
          <w:highlight w:val="none"/>
        </w:rPr>
        <w:t>3.评标程序</w:t>
      </w:r>
      <w:bookmarkEnd w:id="129"/>
    </w:p>
    <w:p>
      <w:pPr>
        <w:numPr>
          <w:ilvl w:val="1"/>
          <w:numId w:val="17"/>
        </w:numPr>
        <w:spacing w:line="360" w:lineRule="auto"/>
        <w:outlineLvl w:val="2"/>
        <w:rPr>
          <w:rFonts w:ascii="宋体" w:hAnsi="宋体"/>
          <w:b/>
          <w:color w:val="auto"/>
          <w:sz w:val="28"/>
          <w:szCs w:val="28"/>
          <w:highlight w:val="none"/>
        </w:rPr>
      </w:pPr>
      <w:bookmarkStart w:id="130" w:name="_Toc21787695"/>
      <w:r>
        <w:rPr>
          <w:rFonts w:hint="eastAsia" w:ascii="宋体" w:hAnsi="宋体"/>
          <w:b/>
          <w:color w:val="auto"/>
          <w:sz w:val="28"/>
          <w:szCs w:val="28"/>
          <w:highlight w:val="none"/>
        </w:rPr>
        <w:t>初步评审</w:t>
      </w:r>
      <w:bookmarkEnd w:id="130"/>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3.1.1评标委员会依据本章第2.1节规定的标准对投标文件进行初步评审。初步评审只进行合格性审查，具体包括资格评审、形式评审、响应性评审、技术部分评审。有一项不符合评审标准的，评标委员会应当否决其投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3.1.2评标委员会各成员对所有递交投标文件的投标人分别进行独立的资格评审、形式评审、响应性评审、技术部分评审和否决性评审，并形成书面意见。</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评标委员会根据独立评审意见，按照少数服从多数的原则形成评审结果。评审结果有一项不符合评审标准的投标人，作否决投标处理。通过初步评审的投标人少等于3家的，结束评审，重新招标。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3.1.3 投标人有以下情形之一的，评标委员会应当否决其投标：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（1）第二章“投标人须知”第1.4.3项规定的任何一种情形的；</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（2）串通投标或弄虚作假或有其他违法行为的；</w:t>
      </w:r>
    </w:p>
    <w:p>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（3）不按评标委员会要求澄清、说明或补正的。</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（4）两个（含两个）以上投标人加密打包投标文件工程量清单编制机器硬件信息一致。</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3.1.3投标报价有算术错误的，评标委员会按以下原则对投标报价进行修正，修正的价格经投标人书面确认后具有约束力。投标人不接受修正价格的，其投标作否决投标处理。如评标委员会成员的评审意见不一致时，以评标委员会过半数成员的意见作为评标委员会对该情形的认定结论。</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（1）投标文件中的大写金额与小写金额不一致的，以大写金额为准。</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（2）总价金额与依据单价计算出的结果不一致的，以单价金额为准修正总价，但单价金额小数点有明显错误的除外。</w:t>
      </w:r>
    </w:p>
    <w:p>
      <w:pPr>
        <w:numPr>
          <w:ilvl w:val="1"/>
          <w:numId w:val="17"/>
        </w:numPr>
        <w:spacing w:line="360" w:lineRule="auto"/>
        <w:outlineLvl w:val="2"/>
        <w:rPr>
          <w:rFonts w:ascii="宋体" w:hAnsi="宋体"/>
          <w:b/>
          <w:color w:val="auto"/>
          <w:sz w:val="28"/>
          <w:szCs w:val="28"/>
          <w:highlight w:val="none"/>
        </w:rPr>
      </w:pPr>
      <w:bookmarkStart w:id="131" w:name="_Toc21787696"/>
      <w:r>
        <w:rPr>
          <w:rFonts w:hint="eastAsia" w:ascii="宋体" w:hAnsi="宋体"/>
          <w:b/>
          <w:color w:val="auto"/>
          <w:sz w:val="28"/>
          <w:szCs w:val="28"/>
          <w:highlight w:val="none"/>
        </w:rPr>
        <w:t>详细评审</w:t>
      </w:r>
      <w:bookmarkEnd w:id="131"/>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3.2.1通过初步评审的投标人全部进入详细评审。详细评审包括投标报价评审、诚信得分评审。</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3.2.2评标委员会按本章第2.2款规定的量化因素和分值进行打分，并计算出综合评估得分。</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（1）按本章第2.2.1（1）目规定的评审因素和分值对投标报价计算出得分A；</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（2）按本章第2.2.1（2）目规定的评审因素和分值对诚信评价计算出得分B；</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3.2.2 评分分值计算保留小数点后两位，小数点后第三位“四舍五入”。</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3.2.3投标人的得分=A*</w:t>
      </w:r>
      <w:r>
        <w:rPr>
          <w:rFonts w:hint="eastAsia" w:ascii="宋体" w:hAnsi="宋体"/>
          <w:color w:val="auto"/>
          <w:sz w:val="24"/>
          <w:highlight w:val="none"/>
          <w:u w:val="single"/>
        </w:rPr>
        <w:t xml:space="preserve">    </w:t>
      </w:r>
      <w:r>
        <w:rPr>
          <w:rFonts w:hint="eastAsia" w:ascii="宋体" w:hAnsi="宋体"/>
          <w:color w:val="auto"/>
          <w:sz w:val="24"/>
          <w:highlight w:val="none"/>
        </w:rPr>
        <w:t>+B*</w:t>
      </w:r>
      <w:r>
        <w:rPr>
          <w:rFonts w:hint="eastAsia" w:ascii="宋体" w:hAnsi="宋体"/>
          <w:color w:val="auto"/>
          <w:sz w:val="24"/>
          <w:highlight w:val="none"/>
          <w:u w:val="single"/>
        </w:rPr>
        <w:t xml:space="preserve">    </w:t>
      </w:r>
      <w:r>
        <w:rPr>
          <w:rFonts w:hint="eastAsia" w:ascii="宋体" w:hAnsi="宋体"/>
          <w:color w:val="auto"/>
          <w:sz w:val="24"/>
          <w:highlight w:val="none"/>
        </w:rPr>
        <w:t>。（注：由招标人根据相关规定自行设置计分权重）</w:t>
      </w:r>
    </w:p>
    <w:p>
      <w:pPr>
        <w:numPr>
          <w:ilvl w:val="1"/>
          <w:numId w:val="17"/>
        </w:numPr>
        <w:spacing w:line="360" w:lineRule="auto"/>
        <w:outlineLvl w:val="2"/>
        <w:rPr>
          <w:rFonts w:ascii="宋体" w:hAnsi="宋体"/>
          <w:b/>
          <w:color w:val="auto"/>
          <w:sz w:val="28"/>
          <w:szCs w:val="28"/>
          <w:highlight w:val="none"/>
        </w:rPr>
      </w:pPr>
      <w:bookmarkStart w:id="132" w:name="_Toc21787697"/>
      <w:r>
        <w:rPr>
          <w:rFonts w:hint="eastAsia" w:ascii="宋体" w:hAnsi="宋体"/>
          <w:b/>
          <w:color w:val="auto"/>
          <w:sz w:val="28"/>
          <w:szCs w:val="28"/>
          <w:highlight w:val="none"/>
        </w:rPr>
        <w:t>投标文件的澄清和补正</w:t>
      </w:r>
      <w:bookmarkEnd w:id="132"/>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3.3.1为有助于投标文件的审查、评价和比较，在评标过程中，经评标委员会中两人以上（含两人）以书面形式提出动议，评标委员会应当书面发出澄清通知，要求投标人对投标文件含义不明确的内容作出澄清或说明，或者对细微偏差进行补正。评标委员会不接受投标人主动提出的澄清、说明或补正。</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3.3.2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评标委员会对投标人提交的澄清、说明或补正有疑问的，可以要求投标人进一步澄清、说明或补正，直至满足评标委员会的要求。</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3.3.3 评标委员会均应当阅读投标人的澄清，但应独立参考澄清对投标文件进行评审。</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3.3.4如果投标文件实质上不响应招标文件的各项要求，评标委员会将按照符合性审查标准予以拒绝，不接受投标人通过修改或撤销其不符合要求的差异或保留，使之成为具有响应性的投标。</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3.3.5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pPr>
        <w:numPr>
          <w:ilvl w:val="1"/>
          <w:numId w:val="17"/>
        </w:numPr>
        <w:spacing w:line="360" w:lineRule="auto"/>
        <w:outlineLvl w:val="2"/>
        <w:rPr>
          <w:rFonts w:ascii="宋体" w:hAnsi="宋体"/>
          <w:b/>
          <w:color w:val="auto"/>
          <w:sz w:val="28"/>
          <w:szCs w:val="28"/>
          <w:highlight w:val="none"/>
        </w:rPr>
      </w:pPr>
      <w:bookmarkStart w:id="133" w:name="_Toc21787698"/>
      <w:r>
        <w:rPr>
          <w:rFonts w:hint="eastAsia" w:ascii="宋体" w:hAnsi="宋体"/>
          <w:b/>
          <w:color w:val="auto"/>
          <w:sz w:val="28"/>
          <w:szCs w:val="28"/>
          <w:highlight w:val="none"/>
        </w:rPr>
        <w:t>评标过程应急预案</w:t>
      </w:r>
      <w:bookmarkEnd w:id="133"/>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3.4.1在评标过程中，当采用全流程电子化招投标系统发生评审故障时，若当天可解除评审故障，则继续采用电子化系统评标；若当天无法解除评审故障，则评标委员会依据电子投标文件对未完成的评标活动采用手动评审，提交包含已完成电子评审成果在内的纸质评标报告。评审故障情况评估以广州公共资源交易平台的认定为准。当交易平台的系统维护人员在评标室告知评标委员会当天无法解除评审故障后，评标委员会即可对未完成的评标活动启动手动评审。</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3.4.2在电子评标过程中，无论遇到任何系统异常或故障，评标委员会均应出具评标报告。</w:t>
      </w:r>
    </w:p>
    <w:p>
      <w:pPr>
        <w:numPr>
          <w:ilvl w:val="1"/>
          <w:numId w:val="17"/>
        </w:numPr>
        <w:spacing w:line="360" w:lineRule="auto"/>
        <w:outlineLvl w:val="2"/>
        <w:rPr>
          <w:rFonts w:ascii="宋体" w:hAnsi="宋体"/>
          <w:b/>
          <w:color w:val="auto"/>
          <w:sz w:val="28"/>
          <w:szCs w:val="28"/>
          <w:highlight w:val="none"/>
        </w:rPr>
      </w:pPr>
      <w:bookmarkStart w:id="134" w:name="_Toc21787699"/>
      <w:r>
        <w:rPr>
          <w:rFonts w:hint="eastAsia" w:ascii="宋体" w:hAnsi="宋体"/>
          <w:b/>
          <w:color w:val="auto"/>
          <w:sz w:val="28"/>
          <w:szCs w:val="28"/>
          <w:highlight w:val="none"/>
        </w:rPr>
        <w:t>评标结</w:t>
      </w:r>
      <w:bookmarkStart w:id="135" w:name="_Toc152045607"/>
      <w:bookmarkStart w:id="136" w:name="_Toc179632625"/>
      <w:bookmarkStart w:id="137" w:name="_Toc152042385"/>
      <w:bookmarkStart w:id="138" w:name="_Toc144974575"/>
      <w:r>
        <w:rPr>
          <w:rFonts w:hint="eastAsia" w:ascii="宋体" w:hAnsi="宋体"/>
          <w:b/>
          <w:color w:val="auto"/>
          <w:sz w:val="28"/>
          <w:szCs w:val="28"/>
          <w:highlight w:val="none"/>
        </w:rPr>
        <w:t>果</w:t>
      </w:r>
      <w:bookmarkEnd w:id="134"/>
    </w:p>
    <w:bookmarkEnd w:id="135"/>
    <w:bookmarkEnd w:id="136"/>
    <w:bookmarkEnd w:id="137"/>
    <w:bookmarkEnd w:id="138"/>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3.5.1评标委员会依据本章第2.2条评分标准进行评分，按评标办法前附表的约定计算投标人综合得分，根据得分由高到低的顺序推荐3名中标候选人，并标明推荐顺序。</w:t>
      </w:r>
    </w:p>
    <w:p>
      <w:pPr>
        <w:spacing w:line="360" w:lineRule="auto"/>
        <w:ind w:firstLine="480" w:firstLineChars="200"/>
        <w:jc w:val="left"/>
        <w:rPr>
          <w:rFonts w:ascii="宋体" w:hAnsi="宋体"/>
          <w:color w:val="auto"/>
          <w:sz w:val="24"/>
          <w:highlight w:val="none"/>
        </w:rPr>
        <w:sectPr>
          <w:pgSz w:w="11906" w:h="16838"/>
          <w:pgMar w:top="1440" w:right="1800" w:bottom="1440" w:left="1800" w:header="851" w:footer="992" w:gutter="0"/>
          <w:cols w:space="720" w:num="1"/>
          <w:docGrid w:type="lines" w:linePitch="312" w:charSpace="0"/>
        </w:sectPr>
      </w:pPr>
      <w:r>
        <w:rPr>
          <w:rFonts w:hint="eastAsia" w:ascii="宋体" w:hAnsi="宋体"/>
          <w:color w:val="auto"/>
          <w:sz w:val="24"/>
          <w:highlight w:val="none"/>
        </w:rPr>
        <w:t>3.5.2 评标委员会完成评标后，应当向招标人提交书面评标报告。</w:t>
      </w:r>
    </w:p>
    <w:p>
      <w:pPr>
        <w:spacing w:line="360" w:lineRule="auto"/>
        <w:jc w:val="left"/>
        <w:outlineLvl w:val="2"/>
        <w:rPr>
          <w:rFonts w:ascii="宋体" w:hAnsi="宋体"/>
          <w:color w:val="auto"/>
          <w:sz w:val="28"/>
          <w:szCs w:val="27"/>
          <w:highlight w:val="none"/>
        </w:rPr>
      </w:pPr>
      <w:bookmarkStart w:id="139" w:name="_Toc21787739"/>
      <w:r>
        <w:rPr>
          <w:rFonts w:hint="eastAsia" w:ascii="宋体" w:hAnsi="宋体"/>
          <w:color w:val="auto"/>
          <w:sz w:val="28"/>
          <w:szCs w:val="27"/>
          <w:highlight w:val="none"/>
        </w:rPr>
        <w:t>附表1：</w:t>
      </w:r>
      <w:r>
        <w:rPr>
          <w:rFonts w:ascii="宋体" w:hAnsi="宋体"/>
          <w:b/>
          <w:color w:val="auto"/>
          <w:sz w:val="30"/>
          <w:szCs w:val="30"/>
          <w:highlight w:val="none"/>
        </w:rPr>
        <w:t>资格评审意见记录表</w:t>
      </w:r>
      <w:r>
        <w:rPr>
          <w:rFonts w:hint="eastAsia" w:ascii="宋体" w:hAnsi="宋体"/>
          <w:b/>
          <w:color w:val="auto"/>
          <w:sz w:val="30"/>
          <w:szCs w:val="30"/>
          <w:highlight w:val="none"/>
        </w:rPr>
        <w:t>（格式）</w:t>
      </w:r>
      <w:bookmarkEnd w:id="139"/>
    </w:p>
    <w:p>
      <w:pPr>
        <w:jc w:val="center"/>
        <w:rPr>
          <w:rFonts w:ascii="宋体" w:hAnsi="宋体"/>
          <w:b/>
          <w:color w:val="auto"/>
          <w:sz w:val="30"/>
          <w:szCs w:val="30"/>
          <w:highlight w:val="none"/>
        </w:rPr>
      </w:pPr>
      <w:r>
        <w:rPr>
          <w:rFonts w:hint="eastAsia" w:ascii="宋体" w:hAnsi="宋体"/>
          <w:b/>
          <w:color w:val="auto"/>
          <w:sz w:val="30"/>
          <w:szCs w:val="30"/>
          <w:highlight w:val="none"/>
        </w:rPr>
        <w:t>资格审查个人</w:t>
      </w:r>
      <w:r>
        <w:rPr>
          <w:rFonts w:ascii="宋体" w:hAnsi="宋体"/>
          <w:b/>
          <w:color w:val="auto"/>
          <w:sz w:val="30"/>
          <w:szCs w:val="30"/>
          <w:highlight w:val="none"/>
        </w:rPr>
        <w:t>表</w:t>
      </w:r>
    </w:p>
    <w:p>
      <w:pPr>
        <w:jc w:val="center"/>
        <w:rPr>
          <w:rFonts w:ascii="宋体" w:hAnsi="宋体"/>
          <w:b/>
          <w:color w:val="auto"/>
          <w:szCs w:val="21"/>
          <w:highlight w:val="none"/>
        </w:rPr>
      </w:pPr>
    </w:p>
    <w:p>
      <w:pPr>
        <w:rPr>
          <w:rFonts w:ascii="宋体" w:hAnsi="宋体"/>
          <w:color w:val="auto"/>
          <w:highlight w:val="none"/>
        </w:rPr>
      </w:pPr>
      <w:r>
        <w:rPr>
          <w:rFonts w:hint="eastAsia" w:ascii="宋体" w:hAnsi="宋体"/>
          <w:color w:val="auto"/>
          <w:highlight w:val="none"/>
        </w:rPr>
        <w:t>项目编号：</w:t>
      </w:r>
    </w:p>
    <w:p>
      <w:pPr>
        <w:rPr>
          <w:rFonts w:ascii="宋体" w:hAnsi="宋体"/>
          <w:color w:val="auto"/>
          <w:highlight w:val="none"/>
        </w:rPr>
      </w:pPr>
      <w:r>
        <w:rPr>
          <w:rFonts w:hint="eastAsia" w:ascii="宋体" w:hAnsi="宋体"/>
          <w:color w:val="auto"/>
          <w:highlight w:val="none"/>
        </w:rPr>
        <w:t>项目名称：</w:t>
      </w:r>
    </w:p>
    <w:tbl>
      <w:tblPr>
        <w:tblStyle w:val="40"/>
        <w:tblpPr w:leftFromText="180" w:rightFromText="180" w:vertAnchor="text" w:tblpY="1"/>
        <w:tblOverlap w:val="never"/>
        <w:tblW w:w="1395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15"/>
        <w:gridCol w:w="2382"/>
        <w:gridCol w:w="1885"/>
        <w:gridCol w:w="1925"/>
        <w:gridCol w:w="1924"/>
        <w:gridCol w:w="1787"/>
        <w:gridCol w:w="1787"/>
        <w:gridCol w:w="16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15" w:type="dxa"/>
            <w:vMerge w:val="restart"/>
            <w:tcBorders>
              <w:top w:val="single" w:color="auto" w:sz="4" w:space="0"/>
              <w:left w:val="single" w:color="auto" w:sz="4" w:space="0"/>
              <w:right w:val="single" w:color="auto" w:sz="4" w:space="0"/>
            </w:tcBorders>
            <w:vAlign w:val="center"/>
          </w:tcPr>
          <w:p>
            <w:pPr>
              <w:spacing w:line="320" w:lineRule="exact"/>
              <w:jc w:val="center"/>
              <w:rPr>
                <w:rFonts w:ascii="宋体" w:hAnsi="宋体"/>
                <w:b/>
                <w:color w:val="auto"/>
                <w:szCs w:val="21"/>
                <w:highlight w:val="none"/>
              </w:rPr>
            </w:pPr>
            <w:r>
              <w:rPr>
                <w:rFonts w:ascii="宋体" w:hAnsi="宋体"/>
                <w:b/>
                <w:color w:val="auto"/>
                <w:szCs w:val="21"/>
                <w:highlight w:val="none"/>
              </w:rPr>
              <w:t>序号</w:t>
            </w:r>
          </w:p>
        </w:tc>
        <w:tc>
          <w:tcPr>
            <w:tcW w:w="2382" w:type="dxa"/>
            <w:vMerge w:val="restart"/>
            <w:tcBorders>
              <w:top w:val="single" w:color="auto" w:sz="4" w:space="0"/>
              <w:left w:val="single" w:color="auto" w:sz="4" w:space="0"/>
              <w:right w:val="single" w:color="auto" w:sz="4" w:space="0"/>
            </w:tcBorders>
            <w:vAlign w:val="center"/>
          </w:tcPr>
          <w:p>
            <w:pPr>
              <w:spacing w:line="320" w:lineRule="exact"/>
              <w:jc w:val="center"/>
              <w:rPr>
                <w:rFonts w:ascii="宋体" w:hAnsi="宋体"/>
                <w:b/>
                <w:color w:val="auto"/>
                <w:szCs w:val="21"/>
                <w:highlight w:val="none"/>
              </w:rPr>
            </w:pPr>
            <w:r>
              <w:rPr>
                <w:rFonts w:ascii="宋体" w:hAnsi="宋体"/>
                <w:b/>
                <w:color w:val="auto"/>
                <w:szCs w:val="21"/>
                <w:highlight w:val="none"/>
              </w:rPr>
              <w:t>评审因素</w:t>
            </w:r>
          </w:p>
        </w:tc>
        <w:tc>
          <w:tcPr>
            <w:tcW w:w="10961" w:type="dxa"/>
            <w:gridSpan w:val="6"/>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r>
              <w:rPr>
                <w:rFonts w:hint="eastAsia" w:ascii="宋体" w:hAnsi="宋体"/>
                <w:color w:val="auto"/>
                <w:szCs w:val="21"/>
                <w:highlight w:val="none"/>
              </w:rPr>
              <w:t>投标单位名称及评审意见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15" w:type="dxa"/>
            <w:vMerge w:val="continue"/>
            <w:tcBorders>
              <w:left w:val="single" w:color="auto" w:sz="4" w:space="0"/>
              <w:bottom w:val="single" w:color="auto" w:sz="4" w:space="0"/>
              <w:right w:val="single" w:color="auto" w:sz="4" w:space="0"/>
            </w:tcBorders>
            <w:vAlign w:val="center"/>
          </w:tcPr>
          <w:p>
            <w:pPr>
              <w:spacing w:line="320" w:lineRule="exact"/>
              <w:jc w:val="center"/>
              <w:rPr>
                <w:rFonts w:ascii="宋体" w:hAnsi="宋体"/>
                <w:b/>
                <w:color w:val="auto"/>
                <w:szCs w:val="21"/>
                <w:highlight w:val="none"/>
              </w:rPr>
            </w:pPr>
          </w:p>
        </w:tc>
        <w:tc>
          <w:tcPr>
            <w:tcW w:w="2382" w:type="dxa"/>
            <w:vMerge w:val="continue"/>
            <w:tcBorders>
              <w:left w:val="single" w:color="auto" w:sz="4" w:space="0"/>
              <w:bottom w:val="single" w:color="auto" w:sz="4" w:space="0"/>
              <w:right w:val="single" w:color="auto" w:sz="4" w:space="0"/>
            </w:tcBorders>
            <w:vAlign w:val="center"/>
          </w:tcPr>
          <w:p>
            <w:pPr>
              <w:spacing w:line="320" w:lineRule="exact"/>
              <w:jc w:val="center"/>
              <w:rPr>
                <w:rFonts w:ascii="宋体" w:hAnsi="宋体"/>
                <w:b/>
                <w:color w:val="auto"/>
                <w:szCs w:val="21"/>
                <w:highlight w:val="none"/>
              </w:rPr>
            </w:pPr>
          </w:p>
        </w:tc>
        <w:tc>
          <w:tcPr>
            <w:tcW w:w="188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r>
              <w:rPr>
                <w:rFonts w:hint="eastAsia" w:ascii="宋体" w:hAnsi="宋体"/>
                <w:color w:val="auto"/>
                <w:szCs w:val="21"/>
                <w:highlight w:val="none"/>
              </w:rPr>
              <w:t>投标人一</w:t>
            </w:r>
          </w:p>
        </w:tc>
        <w:tc>
          <w:tcPr>
            <w:tcW w:w="192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r>
              <w:rPr>
                <w:rFonts w:hint="eastAsia" w:ascii="宋体" w:hAnsi="宋体"/>
                <w:color w:val="auto"/>
                <w:szCs w:val="21"/>
                <w:highlight w:val="none"/>
              </w:rPr>
              <w:t>投标人二</w:t>
            </w:r>
          </w:p>
        </w:tc>
        <w:tc>
          <w:tcPr>
            <w:tcW w:w="192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r>
              <w:rPr>
                <w:rFonts w:hint="eastAsia" w:ascii="宋体" w:hAnsi="宋体"/>
                <w:color w:val="auto"/>
                <w:szCs w:val="21"/>
                <w:highlight w:val="none"/>
              </w:rPr>
              <w:t>投标人三</w:t>
            </w:r>
          </w:p>
        </w:tc>
        <w:tc>
          <w:tcPr>
            <w:tcW w:w="178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78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61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r>
              <w:rPr>
                <w:rFonts w:hint="eastAsia" w:ascii="宋体" w:hAnsi="宋体"/>
                <w:color w:val="auto"/>
                <w:szCs w:val="21"/>
                <w:highlight w:val="none"/>
              </w:rPr>
              <w:t>1</w:t>
            </w:r>
          </w:p>
        </w:tc>
        <w:tc>
          <w:tcPr>
            <w:tcW w:w="238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r>
              <w:rPr>
                <w:rFonts w:hint="eastAsia" w:ascii="宋体" w:hAnsi="宋体"/>
                <w:color w:val="auto"/>
                <w:highlight w:val="none"/>
              </w:rPr>
              <w:t>投标人声明签字盖章</w:t>
            </w:r>
          </w:p>
        </w:tc>
        <w:tc>
          <w:tcPr>
            <w:tcW w:w="188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r>
              <w:rPr>
                <w:rFonts w:hint="eastAsia" w:ascii="宋体" w:hAnsi="宋体"/>
                <w:color w:val="auto"/>
                <w:szCs w:val="21"/>
                <w:highlight w:val="none"/>
              </w:rPr>
              <w:t>通过或不通过</w:t>
            </w:r>
          </w:p>
        </w:tc>
        <w:tc>
          <w:tcPr>
            <w:tcW w:w="192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92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78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78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61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r>
              <w:rPr>
                <w:rFonts w:hint="eastAsia" w:ascii="宋体" w:hAnsi="宋体"/>
                <w:color w:val="auto"/>
                <w:szCs w:val="21"/>
                <w:highlight w:val="none"/>
              </w:rPr>
              <w:t>2</w:t>
            </w:r>
          </w:p>
        </w:tc>
        <w:tc>
          <w:tcPr>
            <w:tcW w:w="238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r>
              <w:rPr>
                <w:rFonts w:hint="eastAsia" w:ascii="宋体" w:hAnsi="宋体"/>
                <w:color w:val="auto"/>
                <w:highlight w:val="none"/>
              </w:rPr>
              <w:t>营业执照</w:t>
            </w:r>
          </w:p>
        </w:tc>
        <w:tc>
          <w:tcPr>
            <w:tcW w:w="188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92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92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78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78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61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r>
              <w:rPr>
                <w:rFonts w:hint="eastAsia" w:ascii="宋体" w:hAnsi="宋体"/>
                <w:color w:val="auto"/>
                <w:szCs w:val="21"/>
                <w:highlight w:val="none"/>
              </w:rPr>
              <w:t>3</w:t>
            </w:r>
          </w:p>
        </w:tc>
        <w:tc>
          <w:tcPr>
            <w:tcW w:w="238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r>
              <w:rPr>
                <w:rFonts w:hint="eastAsia" w:ascii="宋体" w:hAnsi="宋体"/>
                <w:color w:val="auto"/>
                <w:highlight w:val="none"/>
              </w:rPr>
              <w:t>安全生产许可证</w:t>
            </w:r>
          </w:p>
        </w:tc>
        <w:tc>
          <w:tcPr>
            <w:tcW w:w="188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92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92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78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78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61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r>
              <w:rPr>
                <w:rFonts w:hint="eastAsia" w:ascii="宋体" w:hAnsi="宋体"/>
                <w:color w:val="auto"/>
                <w:szCs w:val="21"/>
                <w:highlight w:val="none"/>
              </w:rPr>
              <w:t>4</w:t>
            </w:r>
          </w:p>
        </w:tc>
        <w:tc>
          <w:tcPr>
            <w:tcW w:w="238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r>
              <w:rPr>
                <w:rFonts w:hint="eastAsia" w:ascii="宋体" w:hAnsi="宋体"/>
                <w:color w:val="auto"/>
                <w:szCs w:val="21"/>
                <w:highlight w:val="none"/>
              </w:rPr>
              <w:t>资质等级</w:t>
            </w:r>
          </w:p>
        </w:tc>
        <w:tc>
          <w:tcPr>
            <w:tcW w:w="188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92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92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78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78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61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r>
              <w:rPr>
                <w:rFonts w:hint="eastAsia" w:ascii="宋体" w:hAnsi="宋体"/>
                <w:color w:val="auto"/>
                <w:szCs w:val="21"/>
                <w:highlight w:val="none"/>
              </w:rPr>
              <w:t>5</w:t>
            </w:r>
          </w:p>
        </w:tc>
        <w:tc>
          <w:tcPr>
            <w:tcW w:w="238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auto"/>
                <w:szCs w:val="21"/>
                <w:highlight w:val="none"/>
              </w:rPr>
            </w:pPr>
            <w:r>
              <w:rPr>
                <w:rFonts w:hint="eastAsia" w:ascii="宋体" w:hAnsi="宋体"/>
                <w:color w:val="auto"/>
                <w:szCs w:val="21"/>
                <w:highlight w:val="none"/>
              </w:rPr>
              <w:t>项目负责人</w:t>
            </w:r>
          </w:p>
        </w:tc>
        <w:tc>
          <w:tcPr>
            <w:tcW w:w="188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92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92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78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78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61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r>
              <w:rPr>
                <w:rFonts w:hint="eastAsia" w:ascii="宋体" w:hAnsi="宋体"/>
                <w:color w:val="auto"/>
                <w:szCs w:val="21"/>
                <w:highlight w:val="none"/>
              </w:rPr>
              <w:t>6</w:t>
            </w:r>
          </w:p>
        </w:tc>
        <w:tc>
          <w:tcPr>
            <w:tcW w:w="2382"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olor w:val="auto"/>
                <w:szCs w:val="21"/>
                <w:highlight w:val="none"/>
              </w:rPr>
            </w:pPr>
            <w:r>
              <w:rPr>
                <w:rFonts w:hint="eastAsia" w:ascii="宋体" w:hAnsi="宋体"/>
                <w:color w:val="auto"/>
                <w:highlight w:val="none"/>
              </w:rPr>
              <w:t>安全生产考核合格证</w:t>
            </w:r>
          </w:p>
        </w:tc>
        <w:tc>
          <w:tcPr>
            <w:tcW w:w="188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92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92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78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78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61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r>
              <w:rPr>
                <w:rFonts w:hint="eastAsia" w:ascii="宋体" w:hAnsi="宋体"/>
                <w:color w:val="auto"/>
                <w:szCs w:val="21"/>
                <w:highlight w:val="none"/>
              </w:rPr>
              <w:t>7</w:t>
            </w:r>
          </w:p>
        </w:tc>
        <w:tc>
          <w:tcPr>
            <w:tcW w:w="238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r>
              <w:rPr>
                <w:rFonts w:hint="eastAsia" w:ascii="宋体" w:hAnsi="宋体"/>
                <w:color w:val="auto"/>
                <w:highlight w:val="none"/>
              </w:rPr>
              <w:t>社保要求</w:t>
            </w:r>
          </w:p>
        </w:tc>
        <w:tc>
          <w:tcPr>
            <w:tcW w:w="188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92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92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78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78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61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r>
              <w:rPr>
                <w:rFonts w:hint="eastAsia" w:ascii="宋体" w:hAnsi="宋体"/>
                <w:color w:val="auto"/>
                <w:szCs w:val="21"/>
                <w:highlight w:val="none"/>
              </w:rPr>
              <w:t>8</w:t>
            </w:r>
          </w:p>
        </w:tc>
        <w:tc>
          <w:tcPr>
            <w:tcW w:w="238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r>
              <w:rPr>
                <w:rFonts w:hint="eastAsia" w:ascii="宋体" w:hAnsi="宋体"/>
                <w:color w:val="auto"/>
                <w:szCs w:val="21"/>
                <w:highlight w:val="none"/>
              </w:rPr>
              <w:t>联合体要求</w:t>
            </w:r>
          </w:p>
        </w:tc>
        <w:tc>
          <w:tcPr>
            <w:tcW w:w="188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92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92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78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78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61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r>
              <w:rPr>
                <w:rFonts w:hint="eastAsia" w:ascii="宋体" w:hAnsi="宋体"/>
                <w:color w:val="auto"/>
                <w:szCs w:val="21"/>
                <w:highlight w:val="none"/>
              </w:rPr>
              <w:t>9</w:t>
            </w:r>
          </w:p>
        </w:tc>
        <w:tc>
          <w:tcPr>
            <w:tcW w:w="238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r>
              <w:rPr>
                <w:rFonts w:hint="eastAsia" w:ascii="宋体" w:hAnsi="宋体"/>
                <w:color w:val="auto"/>
                <w:szCs w:val="21"/>
                <w:highlight w:val="none"/>
              </w:rPr>
              <w:t>投标人声明</w:t>
            </w:r>
          </w:p>
        </w:tc>
        <w:tc>
          <w:tcPr>
            <w:tcW w:w="188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92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92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78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78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61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r>
              <w:rPr>
                <w:rFonts w:hint="eastAsia" w:ascii="宋体" w:hAnsi="宋体"/>
                <w:color w:val="auto"/>
                <w:szCs w:val="21"/>
                <w:highlight w:val="none"/>
              </w:rPr>
              <w:t>10</w:t>
            </w:r>
          </w:p>
        </w:tc>
        <w:tc>
          <w:tcPr>
            <w:tcW w:w="238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r>
              <w:rPr>
                <w:rFonts w:hint="eastAsia" w:ascii="宋体" w:hAnsi="宋体" w:cs="宋体"/>
                <w:color w:val="auto"/>
                <w:szCs w:val="21"/>
                <w:highlight w:val="none"/>
                <w:u w:val="single"/>
              </w:rPr>
              <w:t>未被纳入失信联合惩戒名单</w:t>
            </w:r>
          </w:p>
        </w:tc>
        <w:tc>
          <w:tcPr>
            <w:tcW w:w="188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92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92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78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78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r>
    </w:tbl>
    <w:p>
      <w:pPr>
        <w:pStyle w:val="129"/>
        <w:rPr>
          <w:color w:val="auto"/>
          <w:highlight w:val="none"/>
        </w:rPr>
        <w:sectPr>
          <w:pgSz w:w="16838" w:h="11906" w:orient="landscape"/>
          <w:pgMar w:top="1797" w:right="1440" w:bottom="1797" w:left="1440" w:header="851" w:footer="992" w:gutter="0"/>
          <w:cols w:space="720" w:num="1"/>
          <w:docGrid w:linePitch="312" w:charSpace="0"/>
        </w:sectPr>
      </w:pPr>
      <w:r>
        <w:rPr>
          <w:rFonts w:hint="eastAsia"/>
          <w:color w:val="auto"/>
          <w:highlight w:val="none"/>
        </w:rPr>
        <w:t>注：表格最终以广州公共资源交易中心系统生成的为准。</w:t>
      </w:r>
    </w:p>
    <w:p>
      <w:pPr>
        <w:jc w:val="center"/>
        <w:rPr>
          <w:rFonts w:ascii="宋体" w:hAnsi="宋体"/>
          <w:b/>
          <w:color w:val="auto"/>
          <w:sz w:val="30"/>
          <w:szCs w:val="30"/>
          <w:highlight w:val="none"/>
        </w:rPr>
      </w:pPr>
      <w:r>
        <w:rPr>
          <w:rFonts w:ascii="宋体" w:hAnsi="宋体"/>
          <w:b/>
          <w:color w:val="auto"/>
          <w:sz w:val="30"/>
          <w:szCs w:val="30"/>
          <w:highlight w:val="none"/>
        </w:rPr>
        <w:t>资格评审结果汇总表</w:t>
      </w:r>
    </w:p>
    <w:p>
      <w:pPr>
        <w:rPr>
          <w:rFonts w:ascii="宋体" w:hAnsi="宋体"/>
          <w:color w:val="auto"/>
          <w:highlight w:val="none"/>
        </w:rPr>
      </w:pPr>
      <w:r>
        <w:rPr>
          <w:rFonts w:hint="eastAsia" w:ascii="宋体" w:hAnsi="宋体"/>
          <w:color w:val="auto"/>
          <w:highlight w:val="none"/>
        </w:rPr>
        <w:t>项目编号：</w:t>
      </w:r>
    </w:p>
    <w:p>
      <w:pPr>
        <w:rPr>
          <w:rFonts w:ascii="宋体" w:hAnsi="宋体"/>
          <w:color w:val="auto"/>
          <w:highlight w:val="none"/>
        </w:rPr>
      </w:pPr>
      <w:r>
        <w:rPr>
          <w:rFonts w:hint="eastAsia" w:ascii="宋体" w:hAnsi="宋体"/>
          <w:color w:val="auto"/>
          <w:highlight w:val="none"/>
        </w:rPr>
        <w:t>项目名称：</w:t>
      </w:r>
    </w:p>
    <w:tbl>
      <w:tblPr>
        <w:tblStyle w:val="40"/>
        <w:tblpPr w:leftFromText="180" w:rightFromText="180" w:vertAnchor="text" w:tblpY="1"/>
        <w:tblOverlap w:val="never"/>
        <w:tblW w:w="1431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7"/>
        <w:gridCol w:w="2368"/>
        <w:gridCol w:w="1566"/>
        <w:gridCol w:w="1639"/>
        <w:gridCol w:w="1976"/>
        <w:gridCol w:w="1037"/>
        <w:gridCol w:w="1036"/>
        <w:gridCol w:w="1036"/>
        <w:gridCol w:w="1037"/>
        <w:gridCol w:w="1036"/>
        <w:gridCol w:w="104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547" w:type="dxa"/>
            <w:vMerge w:val="restart"/>
            <w:tcBorders>
              <w:top w:val="single" w:color="auto" w:sz="4" w:space="0"/>
              <w:left w:val="single" w:color="auto" w:sz="4" w:space="0"/>
              <w:right w:val="single" w:color="auto" w:sz="4" w:space="0"/>
            </w:tcBorders>
            <w:vAlign w:val="center"/>
          </w:tcPr>
          <w:p>
            <w:pPr>
              <w:spacing w:line="320" w:lineRule="exact"/>
              <w:jc w:val="center"/>
              <w:rPr>
                <w:rFonts w:ascii="宋体" w:hAnsi="宋体"/>
                <w:b/>
                <w:color w:val="auto"/>
                <w:szCs w:val="21"/>
                <w:highlight w:val="none"/>
              </w:rPr>
            </w:pPr>
            <w:r>
              <w:rPr>
                <w:rFonts w:ascii="宋体" w:hAnsi="宋体"/>
                <w:b/>
                <w:color w:val="auto"/>
                <w:szCs w:val="21"/>
                <w:highlight w:val="none"/>
              </w:rPr>
              <w:t>序号</w:t>
            </w:r>
          </w:p>
        </w:tc>
        <w:tc>
          <w:tcPr>
            <w:tcW w:w="2368" w:type="dxa"/>
            <w:vMerge w:val="restart"/>
            <w:tcBorders>
              <w:top w:val="single" w:color="auto" w:sz="4" w:space="0"/>
              <w:left w:val="single" w:color="auto" w:sz="4" w:space="0"/>
              <w:right w:val="single" w:color="auto" w:sz="4" w:space="0"/>
            </w:tcBorders>
            <w:vAlign w:val="center"/>
          </w:tcPr>
          <w:p>
            <w:pPr>
              <w:spacing w:line="320" w:lineRule="exact"/>
              <w:jc w:val="center"/>
              <w:rPr>
                <w:rFonts w:ascii="宋体" w:hAnsi="宋体"/>
                <w:b/>
                <w:color w:val="auto"/>
                <w:szCs w:val="21"/>
                <w:highlight w:val="none"/>
              </w:rPr>
            </w:pPr>
            <w:r>
              <w:rPr>
                <w:rFonts w:ascii="宋体" w:hAnsi="宋体"/>
                <w:b/>
                <w:color w:val="auto"/>
                <w:szCs w:val="21"/>
                <w:highlight w:val="none"/>
              </w:rPr>
              <w:t>评审因素</w:t>
            </w:r>
          </w:p>
        </w:tc>
        <w:tc>
          <w:tcPr>
            <w:tcW w:w="11404" w:type="dxa"/>
            <w:gridSpan w:val="9"/>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b/>
                <w:color w:val="auto"/>
                <w:szCs w:val="21"/>
                <w:highlight w:val="none"/>
              </w:rPr>
            </w:pPr>
            <w:r>
              <w:rPr>
                <w:rFonts w:ascii="宋体" w:hAnsi="宋体"/>
                <w:b/>
                <w:color w:val="auto"/>
                <w:szCs w:val="21"/>
                <w:highlight w:val="none"/>
              </w:rPr>
              <w:t>投标人及</w:t>
            </w:r>
            <w:r>
              <w:rPr>
                <w:rFonts w:hint="eastAsia" w:ascii="宋体" w:hAnsi="宋体"/>
                <w:b/>
                <w:color w:val="auto"/>
                <w:szCs w:val="21"/>
                <w:highlight w:val="none"/>
              </w:rPr>
              <w:t>资格</w:t>
            </w:r>
            <w:r>
              <w:rPr>
                <w:rFonts w:ascii="宋体" w:hAnsi="宋体"/>
                <w:b/>
                <w:color w:val="auto"/>
                <w:szCs w:val="21"/>
                <w:highlight w:val="none"/>
              </w:rPr>
              <w:t>评审结果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47" w:type="dxa"/>
            <w:vMerge w:val="continue"/>
            <w:tcBorders>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2368" w:type="dxa"/>
            <w:vMerge w:val="continue"/>
            <w:tcBorders>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56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r>
              <w:rPr>
                <w:rFonts w:ascii="宋体" w:hAnsi="宋体"/>
                <w:color w:val="auto"/>
                <w:szCs w:val="21"/>
                <w:highlight w:val="none"/>
              </w:rPr>
              <w:t>投标人一</w:t>
            </w:r>
          </w:p>
        </w:tc>
        <w:tc>
          <w:tcPr>
            <w:tcW w:w="163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r>
              <w:rPr>
                <w:rFonts w:ascii="宋体" w:hAnsi="宋体"/>
                <w:color w:val="auto"/>
                <w:szCs w:val="21"/>
                <w:highlight w:val="none"/>
              </w:rPr>
              <w:t>投标人二</w:t>
            </w:r>
          </w:p>
        </w:tc>
        <w:tc>
          <w:tcPr>
            <w:tcW w:w="197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03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3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3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3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3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41"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54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r>
              <w:rPr>
                <w:rFonts w:hint="eastAsia" w:ascii="宋体" w:hAnsi="宋体"/>
                <w:color w:val="auto"/>
                <w:szCs w:val="21"/>
                <w:highlight w:val="none"/>
              </w:rPr>
              <w:t>1</w:t>
            </w:r>
          </w:p>
        </w:tc>
        <w:tc>
          <w:tcPr>
            <w:tcW w:w="23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r>
              <w:rPr>
                <w:rFonts w:hint="eastAsia" w:ascii="宋体" w:hAnsi="宋体"/>
                <w:color w:val="auto"/>
                <w:highlight w:val="none"/>
              </w:rPr>
              <w:t>投标人声明签字盖章</w:t>
            </w:r>
          </w:p>
        </w:tc>
        <w:tc>
          <w:tcPr>
            <w:tcW w:w="156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r>
              <w:rPr>
                <w:rFonts w:hint="eastAsia" w:ascii="宋体" w:hAnsi="宋体"/>
                <w:color w:val="auto"/>
                <w:szCs w:val="21"/>
                <w:highlight w:val="none"/>
              </w:rPr>
              <w:t>通过或不通过</w:t>
            </w:r>
          </w:p>
        </w:tc>
        <w:tc>
          <w:tcPr>
            <w:tcW w:w="163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97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03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3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3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3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3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41"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54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r>
              <w:rPr>
                <w:rFonts w:hint="eastAsia" w:ascii="宋体" w:hAnsi="宋体"/>
                <w:color w:val="auto"/>
                <w:szCs w:val="21"/>
                <w:highlight w:val="none"/>
              </w:rPr>
              <w:t>2</w:t>
            </w:r>
          </w:p>
        </w:tc>
        <w:tc>
          <w:tcPr>
            <w:tcW w:w="23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r>
              <w:rPr>
                <w:rFonts w:hint="eastAsia" w:ascii="宋体" w:hAnsi="宋体"/>
                <w:color w:val="auto"/>
                <w:highlight w:val="none"/>
              </w:rPr>
              <w:t>营业执照</w:t>
            </w:r>
          </w:p>
        </w:tc>
        <w:tc>
          <w:tcPr>
            <w:tcW w:w="156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639"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97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3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3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3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3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3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41"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54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r>
              <w:rPr>
                <w:rFonts w:hint="eastAsia" w:ascii="宋体" w:hAnsi="宋体"/>
                <w:color w:val="auto"/>
                <w:szCs w:val="21"/>
                <w:highlight w:val="none"/>
              </w:rPr>
              <w:t>3</w:t>
            </w:r>
          </w:p>
        </w:tc>
        <w:tc>
          <w:tcPr>
            <w:tcW w:w="23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r>
              <w:rPr>
                <w:rFonts w:hint="eastAsia" w:ascii="宋体" w:hAnsi="宋体"/>
                <w:color w:val="auto"/>
                <w:highlight w:val="none"/>
              </w:rPr>
              <w:t>安全生产许可证</w:t>
            </w:r>
          </w:p>
        </w:tc>
        <w:tc>
          <w:tcPr>
            <w:tcW w:w="156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639"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97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3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3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3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3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3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41"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54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r>
              <w:rPr>
                <w:rFonts w:hint="eastAsia" w:ascii="宋体" w:hAnsi="宋体"/>
                <w:color w:val="auto"/>
                <w:szCs w:val="21"/>
                <w:highlight w:val="none"/>
              </w:rPr>
              <w:t>4</w:t>
            </w:r>
          </w:p>
        </w:tc>
        <w:tc>
          <w:tcPr>
            <w:tcW w:w="23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r>
              <w:rPr>
                <w:rFonts w:hint="eastAsia" w:ascii="宋体" w:hAnsi="宋体"/>
                <w:color w:val="auto"/>
                <w:szCs w:val="21"/>
                <w:highlight w:val="none"/>
              </w:rPr>
              <w:t>资质等级</w:t>
            </w:r>
          </w:p>
        </w:tc>
        <w:tc>
          <w:tcPr>
            <w:tcW w:w="156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639"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97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3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3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3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3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3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41"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54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r>
              <w:rPr>
                <w:rFonts w:hint="eastAsia" w:ascii="宋体" w:hAnsi="宋体"/>
                <w:color w:val="auto"/>
                <w:szCs w:val="21"/>
                <w:highlight w:val="none"/>
              </w:rPr>
              <w:t>5</w:t>
            </w:r>
          </w:p>
        </w:tc>
        <w:tc>
          <w:tcPr>
            <w:tcW w:w="23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auto"/>
                <w:szCs w:val="21"/>
                <w:highlight w:val="none"/>
              </w:rPr>
            </w:pPr>
            <w:r>
              <w:rPr>
                <w:rFonts w:hint="eastAsia" w:ascii="宋体" w:hAnsi="宋体"/>
                <w:color w:val="auto"/>
                <w:szCs w:val="21"/>
                <w:highlight w:val="none"/>
              </w:rPr>
              <w:t>项目负责人</w:t>
            </w:r>
          </w:p>
        </w:tc>
        <w:tc>
          <w:tcPr>
            <w:tcW w:w="156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639"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97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3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3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3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3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3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41"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54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highlight w:val="none"/>
              </w:rPr>
            </w:pPr>
            <w:r>
              <w:rPr>
                <w:rFonts w:hint="eastAsia" w:ascii="宋体" w:hAnsi="宋体"/>
                <w:color w:val="auto"/>
                <w:szCs w:val="21"/>
                <w:highlight w:val="none"/>
              </w:rPr>
              <w:t>6</w:t>
            </w:r>
          </w:p>
        </w:tc>
        <w:tc>
          <w:tcPr>
            <w:tcW w:w="23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olor w:val="auto"/>
                <w:highlight w:val="none"/>
              </w:rPr>
            </w:pPr>
            <w:r>
              <w:rPr>
                <w:rFonts w:hint="eastAsia" w:ascii="宋体" w:hAnsi="宋体"/>
                <w:color w:val="auto"/>
                <w:highlight w:val="none"/>
              </w:rPr>
              <w:t>安全生产考核合格证</w:t>
            </w:r>
          </w:p>
        </w:tc>
        <w:tc>
          <w:tcPr>
            <w:tcW w:w="156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639"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97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3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3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3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3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3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41"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4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r>
              <w:rPr>
                <w:rFonts w:hint="eastAsia" w:ascii="宋体" w:hAnsi="宋体"/>
                <w:color w:val="auto"/>
                <w:szCs w:val="21"/>
                <w:highlight w:val="none"/>
              </w:rPr>
              <w:t>7</w:t>
            </w:r>
          </w:p>
        </w:tc>
        <w:tc>
          <w:tcPr>
            <w:tcW w:w="23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r>
              <w:rPr>
                <w:rFonts w:hint="eastAsia" w:ascii="宋体" w:hAnsi="宋体"/>
                <w:color w:val="auto"/>
                <w:highlight w:val="none"/>
              </w:rPr>
              <w:t>社保要求</w:t>
            </w:r>
          </w:p>
        </w:tc>
        <w:tc>
          <w:tcPr>
            <w:tcW w:w="156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639"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97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3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3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3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3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3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41"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54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highlight w:val="none"/>
              </w:rPr>
            </w:pPr>
            <w:r>
              <w:rPr>
                <w:rFonts w:hint="eastAsia" w:ascii="宋体" w:hAnsi="宋体"/>
                <w:color w:val="auto"/>
                <w:szCs w:val="21"/>
                <w:highlight w:val="none"/>
              </w:rPr>
              <w:t>8</w:t>
            </w:r>
          </w:p>
        </w:tc>
        <w:tc>
          <w:tcPr>
            <w:tcW w:w="23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highlight w:val="none"/>
              </w:rPr>
            </w:pPr>
            <w:r>
              <w:rPr>
                <w:rFonts w:hint="eastAsia" w:ascii="宋体" w:hAnsi="宋体"/>
                <w:color w:val="auto"/>
                <w:szCs w:val="21"/>
                <w:highlight w:val="none"/>
              </w:rPr>
              <w:t>联合体要求</w:t>
            </w:r>
          </w:p>
        </w:tc>
        <w:tc>
          <w:tcPr>
            <w:tcW w:w="156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639"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97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3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3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3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3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3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41"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54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highlight w:val="none"/>
              </w:rPr>
            </w:pPr>
            <w:r>
              <w:rPr>
                <w:rFonts w:hint="eastAsia" w:ascii="宋体" w:hAnsi="宋体"/>
                <w:color w:val="auto"/>
                <w:szCs w:val="21"/>
                <w:highlight w:val="none"/>
              </w:rPr>
              <w:t>9</w:t>
            </w:r>
          </w:p>
        </w:tc>
        <w:tc>
          <w:tcPr>
            <w:tcW w:w="23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highlight w:val="none"/>
              </w:rPr>
            </w:pPr>
            <w:r>
              <w:rPr>
                <w:rFonts w:hint="eastAsia" w:ascii="宋体" w:hAnsi="宋体"/>
                <w:color w:val="auto"/>
                <w:szCs w:val="21"/>
                <w:highlight w:val="none"/>
              </w:rPr>
              <w:t>投标人声明</w:t>
            </w:r>
          </w:p>
        </w:tc>
        <w:tc>
          <w:tcPr>
            <w:tcW w:w="156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639"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97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3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3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3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3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3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41"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54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highlight w:val="none"/>
              </w:rPr>
            </w:pPr>
            <w:r>
              <w:rPr>
                <w:rFonts w:hint="eastAsia" w:ascii="宋体" w:hAnsi="宋体"/>
                <w:color w:val="auto"/>
                <w:szCs w:val="21"/>
                <w:highlight w:val="none"/>
              </w:rPr>
              <w:t>10</w:t>
            </w:r>
          </w:p>
        </w:tc>
        <w:tc>
          <w:tcPr>
            <w:tcW w:w="23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highlight w:val="none"/>
              </w:rPr>
            </w:pPr>
            <w:r>
              <w:rPr>
                <w:rFonts w:hint="eastAsia" w:ascii="宋体" w:hAnsi="宋体" w:cs="宋体"/>
                <w:color w:val="auto"/>
                <w:szCs w:val="21"/>
                <w:highlight w:val="none"/>
                <w:u w:val="single"/>
              </w:rPr>
              <w:t>未被纳入失信联合惩戒名单</w:t>
            </w:r>
          </w:p>
        </w:tc>
        <w:tc>
          <w:tcPr>
            <w:tcW w:w="156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639"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97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3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3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3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3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3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41"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91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color w:val="auto"/>
                <w:szCs w:val="21"/>
                <w:highlight w:val="none"/>
                <w:u w:val="single"/>
              </w:rPr>
            </w:pPr>
            <w:r>
              <w:rPr>
                <w:rFonts w:hint="eastAsia" w:ascii="宋体" w:hAnsi="宋体" w:cs="宋体"/>
                <w:color w:val="auto"/>
                <w:szCs w:val="21"/>
                <w:highlight w:val="none"/>
                <w:u w:val="single"/>
              </w:rPr>
              <w:t>汇总</w:t>
            </w:r>
          </w:p>
        </w:tc>
        <w:tc>
          <w:tcPr>
            <w:tcW w:w="156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639"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97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3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3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3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3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3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41"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r>
    </w:tbl>
    <w:p>
      <w:pPr>
        <w:pStyle w:val="129"/>
        <w:rPr>
          <w:color w:val="auto"/>
          <w:highlight w:val="none"/>
        </w:rPr>
      </w:pPr>
      <w:r>
        <w:rPr>
          <w:rFonts w:hint="eastAsia"/>
          <w:color w:val="auto"/>
          <w:highlight w:val="none"/>
        </w:rPr>
        <w:t>注：表格最终以广州公共资源交易中心系统生成的为准。</w:t>
      </w:r>
    </w:p>
    <w:p>
      <w:pPr>
        <w:pStyle w:val="3"/>
        <w:numPr>
          <w:ilvl w:val="0"/>
          <w:numId w:val="0"/>
        </w:numPr>
        <w:rPr>
          <w:rFonts w:ascii="宋体" w:hAnsi="宋体"/>
          <w:b/>
          <w:bCs/>
          <w:color w:val="auto"/>
          <w:sz w:val="21"/>
          <w:szCs w:val="22"/>
          <w:highlight w:val="none"/>
        </w:rPr>
        <w:sectPr>
          <w:pgSz w:w="16838" w:h="11906" w:orient="landscape"/>
          <w:pgMar w:top="1797" w:right="1440" w:bottom="1797" w:left="1440" w:header="851" w:footer="992" w:gutter="0"/>
          <w:cols w:space="720" w:num="1"/>
          <w:docGrid w:linePitch="312" w:charSpace="0"/>
        </w:sectPr>
      </w:pPr>
    </w:p>
    <w:p>
      <w:pPr>
        <w:spacing w:line="360" w:lineRule="auto"/>
        <w:jc w:val="left"/>
        <w:outlineLvl w:val="2"/>
        <w:rPr>
          <w:rFonts w:ascii="宋体" w:hAnsi="宋体"/>
          <w:b/>
          <w:color w:val="auto"/>
          <w:sz w:val="30"/>
          <w:szCs w:val="30"/>
          <w:highlight w:val="none"/>
        </w:rPr>
      </w:pPr>
      <w:bookmarkStart w:id="140" w:name="_Toc21787740"/>
      <w:r>
        <w:rPr>
          <w:rFonts w:hint="eastAsia" w:ascii="宋体" w:hAnsi="宋体"/>
          <w:color w:val="auto"/>
          <w:sz w:val="28"/>
          <w:szCs w:val="27"/>
          <w:highlight w:val="none"/>
        </w:rPr>
        <w:t>附表2：</w:t>
      </w:r>
      <w:r>
        <w:rPr>
          <w:rFonts w:ascii="宋体" w:hAnsi="宋体"/>
          <w:color w:val="auto"/>
          <w:sz w:val="28"/>
          <w:szCs w:val="27"/>
          <w:highlight w:val="none"/>
        </w:rPr>
        <w:t>形式评审记录表</w:t>
      </w:r>
      <w:r>
        <w:rPr>
          <w:rFonts w:hint="eastAsia" w:ascii="宋体" w:hAnsi="宋体"/>
          <w:color w:val="auto"/>
          <w:sz w:val="28"/>
          <w:szCs w:val="27"/>
          <w:highlight w:val="none"/>
        </w:rPr>
        <w:t>（格式）</w:t>
      </w:r>
      <w:bookmarkEnd w:id="140"/>
    </w:p>
    <w:p>
      <w:pPr>
        <w:jc w:val="center"/>
        <w:rPr>
          <w:rFonts w:ascii="宋体" w:hAnsi="宋体"/>
          <w:b/>
          <w:color w:val="auto"/>
          <w:sz w:val="30"/>
          <w:szCs w:val="30"/>
          <w:highlight w:val="none"/>
        </w:rPr>
      </w:pPr>
      <w:r>
        <w:rPr>
          <w:rFonts w:hint="eastAsia" w:ascii="宋体" w:hAnsi="宋体"/>
          <w:b/>
          <w:color w:val="auto"/>
          <w:sz w:val="30"/>
          <w:szCs w:val="30"/>
          <w:highlight w:val="none"/>
        </w:rPr>
        <w:t>形式评审个人</w:t>
      </w:r>
      <w:r>
        <w:rPr>
          <w:rFonts w:ascii="宋体" w:hAnsi="宋体"/>
          <w:b/>
          <w:color w:val="auto"/>
          <w:sz w:val="30"/>
          <w:szCs w:val="30"/>
          <w:highlight w:val="none"/>
        </w:rPr>
        <w:t>表</w:t>
      </w:r>
    </w:p>
    <w:p>
      <w:pPr>
        <w:jc w:val="center"/>
        <w:rPr>
          <w:rFonts w:ascii="宋体" w:hAnsi="宋体"/>
          <w:b/>
          <w:color w:val="auto"/>
          <w:szCs w:val="21"/>
          <w:highlight w:val="none"/>
        </w:rPr>
      </w:pPr>
    </w:p>
    <w:p>
      <w:pPr>
        <w:rPr>
          <w:rFonts w:ascii="宋体" w:hAnsi="宋体"/>
          <w:color w:val="auto"/>
          <w:highlight w:val="none"/>
        </w:rPr>
      </w:pPr>
      <w:r>
        <w:rPr>
          <w:rFonts w:hint="eastAsia" w:ascii="宋体" w:hAnsi="宋体"/>
          <w:color w:val="auto"/>
          <w:highlight w:val="none"/>
        </w:rPr>
        <w:t>项目编号：</w:t>
      </w:r>
    </w:p>
    <w:p>
      <w:pPr>
        <w:rPr>
          <w:rFonts w:ascii="宋体" w:hAnsi="宋体"/>
          <w:color w:val="auto"/>
          <w:highlight w:val="none"/>
        </w:rPr>
      </w:pPr>
      <w:r>
        <w:rPr>
          <w:rFonts w:hint="eastAsia" w:ascii="宋体" w:hAnsi="宋体"/>
          <w:color w:val="auto"/>
          <w:highlight w:val="none"/>
        </w:rPr>
        <w:t>项目名称：</w:t>
      </w:r>
    </w:p>
    <w:tbl>
      <w:tblPr>
        <w:tblStyle w:val="40"/>
        <w:tblpPr w:leftFromText="180" w:rightFromText="180" w:vertAnchor="text" w:tblpY="1"/>
        <w:tblOverlap w:val="never"/>
        <w:tblW w:w="1383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15"/>
        <w:gridCol w:w="2268"/>
        <w:gridCol w:w="1884"/>
        <w:gridCol w:w="1924"/>
        <w:gridCol w:w="1923"/>
        <w:gridCol w:w="1786"/>
        <w:gridCol w:w="1786"/>
        <w:gridCol w:w="165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615" w:type="dxa"/>
            <w:vMerge w:val="restart"/>
            <w:tcBorders>
              <w:top w:val="single" w:color="auto" w:sz="4" w:space="0"/>
              <w:left w:val="single" w:color="auto" w:sz="4" w:space="0"/>
              <w:right w:val="single" w:color="auto" w:sz="4" w:space="0"/>
            </w:tcBorders>
            <w:vAlign w:val="center"/>
          </w:tcPr>
          <w:p>
            <w:pPr>
              <w:spacing w:line="320" w:lineRule="exact"/>
              <w:jc w:val="center"/>
              <w:rPr>
                <w:rFonts w:ascii="宋体" w:hAnsi="宋体"/>
                <w:b/>
                <w:color w:val="auto"/>
                <w:szCs w:val="21"/>
                <w:highlight w:val="none"/>
              </w:rPr>
            </w:pPr>
            <w:r>
              <w:rPr>
                <w:rFonts w:ascii="宋体" w:hAnsi="宋体"/>
                <w:b/>
                <w:color w:val="auto"/>
                <w:szCs w:val="21"/>
                <w:highlight w:val="none"/>
              </w:rPr>
              <w:t>序号</w:t>
            </w:r>
          </w:p>
        </w:tc>
        <w:tc>
          <w:tcPr>
            <w:tcW w:w="2268" w:type="dxa"/>
            <w:vMerge w:val="restart"/>
            <w:tcBorders>
              <w:top w:val="single" w:color="auto" w:sz="4" w:space="0"/>
              <w:left w:val="single" w:color="auto" w:sz="4" w:space="0"/>
              <w:right w:val="single" w:color="auto" w:sz="4" w:space="0"/>
            </w:tcBorders>
            <w:vAlign w:val="center"/>
          </w:tcPr>
          <w:p>
            <w:pPr>
              <w:spacing w:line="320" w:lineRule="exact"/>
              <w:jc w:val="center"/>
              <w:rPr>
                <w:rFonts w:ascii="宋体" w:hAnsi="宋体"/>
                <w:b/>
                <w:color w:val="auto"/>
                <w:szCs w:val="21"/>
                <w:highlight w:val="none"/>
              </w:rPr>
            </w:pPr>
            <w:r>
              <w:rPr>
                <w:rFonts w:ascii="宋体" w:hAnsi="宋体"/>
                <w:b/>
                <w:color w:val="auto"/>
                <w:szCs w:val="21"/>
                <w:highlight w:val="none"/>
              </w:rPr>
              <w:t>评审因素</w:t>
            </w:r>
          </w:p>
        </w:tc>
        <w:tc>
          <w:tcPr>
            <w:tcW w:w="10955" w:type="dxa"/>
            <w:gridSpan w:val="6"/>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r>
              <w:rPr>
                <w:rFonts w:hint="eastAsia" w:ascii="宋体" w:hAnsi="宋体"/>
                <w:color w:val="auto"/>
                <w:szCs w:val="21"/>
                <w:highlight w:val="none"/>
              </w:rPr>
              <w:t>投标单位名称及评审意见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615" w:type="dxa"/>
            <w:vMerge w:val="continue"/>
            <w:tcBorders>
              <w:left w:val="single" w:color="auto" w:sz="4" w:space="0"/>
              <w:bottom w:val="single" w:color="auto" w:sz="4" w:space="0"/>
              <w:right w:val="single" w:color="auto" w:sz="4" w:space="0"/>
            </w:tcBorders>
            <w:vAlign w:val="center"/>
          </w:tcPr>
          <w:p>
            <w:pPr>
              <w:spacing w:line="320" w:lineRule="exact"/>
              <w:jc w:val="center"/>
              <w:rPr>
                <w:rFonts w:ascii="宋体" w:hAnsi="宋体"/>
                <w:b/>
                <w:color w:val="auto"/>
                <w:szCs w:val="21"/>
                <w:highlight w:val="none"/>
              </w:rPr>
            </w:pPr>
          </w:p>
        </w:tc>
        <w:tc>
          <w:tcPr>
            <w:tcW w:w="2268" w:type="dxa"/>
            <w:vMerge w:val="continue"/>
            <w:tcBorders>
              <w:left w:val="single" w:color="auto" w:sz="4" w:space="0"/>
              <w:bottom w:val="single" w:color="auto" w:sz="4" w:space="0"/>
              <w:right w:val="single" w:color="auto" w:sz="4" w:space="0"/>
            </w:tcBorders>
            <w:vAlign w:val="center"/>
          </w:tcPr>
          <w:p>
            <w:pPr>
              <w:spacing w:line="320" w:lineRule="exact"/>
              <w:jc w:val="center"/>
              <w:rPr>
                <w:rFonts w:ascii="宋体" w:hAnsi="宋体"/>
                <w:b/>
                <w:color w:val="auto"/>
                <w:szCs w:val="21"/>
                <w:highlight w:val="none"/>
              </w:rPr>
            </w:pPr>
          </w:p>
        </w:tc>
        <w:tc>
          <w:tcPr>
            <w:tcW w:w="188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r>
              <w:rPr>
                <w:rFonts w:hint="eastAsia" w:ascii="宋体" w:hAnsi="宋体"/>
                <w:color w:val="auto"/>
                <w:szCs w:val="21"/>
                <w:highlight w:val="none"/>
              </w:rPr>
              <w:t>投标人一</w:t>
            </w:r>
          </w:p>
        </w:tc>
        <w:tc>
          <w:tcPr>
            <w:tcW w:w="192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r>
              <w:rPr>
                <w:rFonts w:hint="eastAsia" w:ascii="宋体" w:hAnsi="宋体"/>
                <w:color w:val="auto"/>
                <w:szCs w:val="21"/>
                <w:highlight w:val="none"/>
              </w:rPr>
              <w:t>投标人二</w:t>
            </w:r>
          </w:p>
        </w:tc>
        <w:tc>
          <w:tcPr>
            <w:tcW w:w="192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r>
              <w:rPr>
                <w:rFonts w:hint="eastAsia" w:ascii="宋体" w:hAnsi="宋体"/>
                <w:color w:val="auto"/>
                <w:szCs w:val="21"/>
                <w:highlight w:val="none"/>
              </w:rPr>
              <w:t>投标人三</w:t>
            </w:r>
          </w:p>
        </w:tc>
        <w:tc>
          <w:tcPr>
            <w:tcW w:w="178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78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6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61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r>
              <w:rPr>
                <w:rFonts w:hint="eastAsia" w:ascii="宋体" w:hAnsi="宋体"/>
                <w:color w:val="auto"/>
                <w:szCs w:val="21"/>
                <w:highlight w:val="none"/>
              </w:rPr>
              <w:t>1</w:t>
            </w:r>
          </w:p>
        </w:tc>
        <w:tc>
          <w:tcPr>
            <w:tcW w:w="2268" w:type="dxa"/>
            <w:tcBorders>
              <w:top w:val="single" w:color="auto" w:sz="4" w:space="0"/>
              <w:left w:val="single" w:color="auto" w:sz="4" w:space="0"/>
              <w:bottom w:val="single" w:color="auto" w:sz="4" w:space="0"/>
              <w:right w:val="single" w:color="auto" w:sz="4" w:space="0"/>
            </w:tcBorders>
          </w:tcPr>
          <w:p>
            <w:pPr>
              <w:spacing w:line="320" w:lineRule="exact"/>
              <w:jc w:val="center"/>
              <w:rPr>
                <w:rFonts w:ascii="宋体" w:hAnsi="宋体"/>
                <w:color w:val="auto"/>
                <w:szCs w:val="21"/>
                <w:highlight w:val="none"/>
              </w:rPr>
            </w:pPr>
            <w:r>
              <w:rPr>
                <w:rFonts w:hint="eastAsia" w:ascii="宋体" w:hAnsi="宋体"/>
                <w:color w:val="auto"/>
                <w:highlight w:val="none"/>
              </w:rPr>
              <w:t>投标人参加投标的意思表达清楚，投标人代表被授权有效</w:t>
            </w:r>
          </w:p>
        </w:tc>
        <w:tc>
          <w:tcPr>
            <w:tcW w:w="188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r>
              <w:rPr>
                <w:rFonts w:hint="eastAsia" w:ascii="宋体" w:hAnsi="宋体"/>
                <w:color w:val="auto"/>
                <w:szCs w:val="21"/>
                <w:highlight w:val="none"/>
              </w:rPr>
              <w:t>通过或不通过</w:t>
            </w:r>
          </w:p>
        </w:tc>
        <w:tc>
          <w:tcPr>
            <w:tcW w:w="192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92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78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78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6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61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r>
              <w:rPr>
                <w:rFonts w:hint="eastAsia" w:ascii="宋体" w:hAnsi="宋体"/>
                <w:color w:val="auto"/>
                <w:szCs w:val="21"/>
                <w:highlight w:val="none"/>
              </w:rPr>
              <w:t>2</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r>
              <w:rPr>
                <w:rFonts w:ascii="宋体" w:hAnsi="宋体"/>
                <w:color w:val="auto"/>
                <w:szCs w:val="21"/>
                <w:highlight w:val="none"/>
              </w:rPr>
              <w:t>投标人名称</w:t>
            </w:r>
          </w:p>
        </w:tc>
        <w:tc>
          <w:tcPr>
            <w:tcW w:w="188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92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92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78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78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6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61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r>
              <w:rPr>
                <w:rFonts w:hint="eastAsia" w:ascii="宋体" w:hAnsi="宋体"/>
                <w:color w:val="auto"/>
                <w:szCs w:val="21"/>
                <w:highlight w:val="none"/>
              </w:rPr>
              <w:t>3</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r>
              <w:rPr>
                <w:rFonts w:hint="eastAsia" w:ascii="宋体" w:hAnsi="宋体"/>
                <w:color w:val="auto"/>
                <w:highlight w:val="none"/>
              </w:rPr>
              <w:t>投标函签字盖章</w:t>
            </w:r>
          </w:p>
        </w:tc>
        <w:tc>
          <w:tcPr>
            <w:tcW w:w="188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92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92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78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78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6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61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r>
              <w:rPr>
                <w:rFonts w:hint="eastAsia" w:ascii="宋体" w:hAnsi="宋体"/>
                <w:color w:val="auto"/>
                <w:szCs w:val="21"/>
                <w:highlight w:val="none"/>
              </w:rPr>
              <w:t>4</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r>
              <w:rPr>
                <w:rFonts w:hint="eastAsia" w:ascii="宋体" w:hAnsi="宋体"/>
                <w:color w:val="auto"/>
                <w:highlight w:val="none"/>
              </w:rPr>
              <w:t>投标文件格式</w:t>
            </w:r>
          </w:p>
        </w:tc>
        <w:tc>
          <w:tcPr>
            <w:tcW w:w="188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92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92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78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78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6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61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r>
              <w:rPr>
                <w:rFonts w:hint="eastAsia" w:ascii="宋体" w:hAnsi="宋体"/>
                <w:color w:val="auto"/>
                <w:szCs w:val="21"/>
                <w:highlight w:val="none"/>
              </w:rPr>
              <w:t>5</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r>
              <w:rPr>
                <w:rFonts w:hint="eastAsia" w:ascii="宋体" w:hAnsi="宋体"/>
                <w:color w:val="auto"/>
                <w:highlight w:val="none"/>
              </w:rPr>
              <w:t>报价唯一</w:t>
            </w:r>
          </w:p>
        </w:tc>
        <w:tc>
          <w:tcPr>
            <w:tcW w:w="188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92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92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78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78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6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r>
    </w:tbl>
    <w:p>
      <w:pPr>
        <w:pStyle w:val="129"/>
        <w:rPr>
          <w:color w:val="auto"/>
          <w:highlight w:val="none"/>
        </w:rPr>
      </w:pPr>
      <w:r>
        <w:rPr>
          <w:rFonts w:hint="eastAsia"/>
          <w:color w:val="auto"/>
          <w:highlight w:val="none"/>
        </w:rPr>
        <w:t>注：表格最终以广州公共资源交易中心系统生成的为准。</w:t>
      </w:r>
    </w:p>
    <w:p>
      <w:pPr>
        <w:spacing w:line="200" w:lineRule="exact"/>
        <w:rPr>
          <w:rFonts w:ascii="宋体" w:hAnsi="宋体"/>
          <w:color w:val="auto"/>
          <w:sz w:val="18"/>
          <w:szCs w:val="18"/>
          <w:highlight w:val="none"/>
        </w:rPr>
        <w:sectPr>
          <w:pgSz w:w="16838" w:h="11906" w:orient="landscape"/>
          <w:pgMar w:top="1797" w:right="1440" w:bottom="1797" w:left="1440" w:header="851" w:footer="992" w:gutter="0"/>
          <w:cols w:space="720" w:num="1"/>
          <w:docGrid w:linePitch="312" w:charSpace="0"/>
        </w:sectPr>
      </w:pPr>
    </w:p>
    <w:p>
      <w:pPr>
        <w:jc w:val="center"/>
        <w:rPr>
          <w:rFonts w:ascii="宋体" w:hAnsi="宋体"/>
          <w:b/>
          <w:color w:val="auto"/>
          <w:sz w:val="30"/>
          <w:szCs w:val="30"/>
          <w:highlight w:val="none"/>
        </w:rPr>
      </w:pPr>
      <w:r>
        <w:rPr>
          <w:rFonts w:hint="eastAsia" w:ascii="宋体" w:hAnsi="宋体"/>
          <w:b/>
          <w:color w:val="auto"/>
          <w:sz w:val="30"/>
          <w:szCs w:val="30"/>
          <w:highlight w:val="none"/>
        </w:rPr>
        <w:t>形式</w:t>
      </w:r>
      <w:r>
        <w:rPr>
          <w:rFonts w:ascii="宋体" w:hAnsi="宋体"/>
          <w:b/>
          <w:color w:val="auto"/>
          <w:sz w:val="30"/>
          <w:szCs w:val="30"/>
          <w:highlight w:val="none"/>
        </w:rPr>
        <w:t>评审结果汇总表</w:t>
      </w:r>
    </w:p>
    <w:p>
      <w:pPr>
        <w:rPr>
          <w:rFonts w:ascii="宋体" w:hAnsi="宋体"/>
          <w:color w:val="auto"/>
          <w:highlight w:val="none"/>
        </w:rPr>
      </w:pPr>
      <w:r>
        <w:rPr>
          <w:rFonts w:hint="eastAsia" w:ascii="宋体" w:hAnsi="宋体"/>
          <w:color w:val="auto"/>
          <w:highlight w:val="none"/>
        </w:rPr>
        <w:t>项目编号：</w:t>
      </w:r>
    </w:p>
    <w:p>
      <w:pPr>
        <w:rPr>
          <w:rFonts w:ascii="宋体" w:hAnsi="宋体"/>
          <w:color w:val="auto"/>
          <w:highlight w:val="none"/>
        </w:rPr>
      </w:pPr>
      <w:r>
        <w:rPr>
          <w:rFonts w:hint="eastAsia" w:ascii="宋体" w:hAnsi="宋体"/>
          <w:color w:val="auto"/>
          <w:highlight w:val="none"/>
        </w:rPr>
        <w:t>项目名称：</w:t>
      </w:r>
    </w:p>
    <w:tbl>
      <w:tblPr>
        <w:tblStyle w:val="40"/>
        <w:tblpPr w:leftFromText="180" w:rightFromText="180" w:vertAnchor="text" w:tblpY="1"/>
        <w:tblOverlap w:val="never"/>
        <w:tblW w:w="139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60"/>
        <w:gridCol w:w="2340"/>
        <w:gridCol w:w="1548"/>
        <w:gridCol w:w="1620"/>
        <w:gridCol w:w="1953"/>
        <w:gridCol w:w="1025"/>
        <w:gridCol w:w="1024"/>
        <w:gridCol w:w="1024"/>
        <w:gridCol w:w="1025"/>
        <w:gridCol w:w="1024"/>
        <w:gridCol w:w="102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60" w:type="dxa"/>
            <w:vMerge w:val="restart"/>
            <w:tcBorders>
              <w:top w:val="single" w:color="auto" w:sz="4" w:space="0"/>
              <w:left w:val="single" w:color="auto" w:sz="4" w:space="0"/>
              <w:right w:val="single" w:color="auto" w:sz="4" w:space="0"/>
            </w:tcBorders>
            <w:vAlign w:val="center"/>
          </w:tcPr>
          <w:p>
            <w:pPr>
              <w:spacing w:line="320" w:lineRule="exact"/>
              <w:jc w:val="center"/>
              <w:rPr>
                <w:rFonts w:ascii="宋体" w:hAnsi="宋体"/>
                <w:b/>
                <w:color w:val="auto"/>
                <w:szCs w:val="21"/>
                <w:highlight w:val="none"/>
              </w:rPr>
            </w:pPr>
            <w:r>
              <w:rPr>
                <w:rFonts w:ascii="宋体" w:hAnsi="宋体"/>
                <w:b/>
                <w:color w:val="auto"/>
                <w:szCs w:val="21"/>
                <w:highlight w:val="none"/>
              </w:rPr>
              <w:t>序号</w:t>
            </w:r>
          </w:p>
        </w:tc>
        <w:tc>
          <w:tcPr>
            <w:tcW w:w="2340" w:type="dxa"/>
            <w:vMerge w:val="restart"/>
            <w:tcBorders>
              <w:top w:val="single" w:color="auto" w:sz="4" w:space="0"/>
              <w:left w:val="single" w:color="auto" w:sz="4" w:space="0"/>
              <w:right w:val="single" w:color="auto" w:sz="4" w:space="0"/>
            </w:tcBorders>
            <w:vAlign w:val="center"/>
          </w:tcPr>
          <w:p>
            <w:pPr>
              <w:spacing w:line="320" w:lineRule="exact"/>
              <w:jc w:val="center"/>
              <w:rPr>
                <w:rFonts w:ascii="宋体" w:hAnsi="宋体"/>
                <w:b/>
                <w:color w:val="auto"/>
                <w:szCs w:val="21"/>
                <w:highlight w:val="none"/>
              </w:rPr>
            </w:pPr>
            <w:r>
              <w:rPr>
                <w:rFonts w:ascii="宋体" w:hAnsi="宋体"/>
                <w:b/>
                <w:color w:val="auto"/>
                <w:szCs w:val="21"/>
                <w:highlight w:val="none"/>
              </w:rPr>
              <w:t>评审因素</w:t>
            </w:r>
          </w:p>
        </w:tc>
        <w:tc>
          <w:tcPr>
            <w:tcW w:w="11268" w:type="dxa"/>
            <w:gridSpan w:val="9"/>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b/>
                <w:color w:val="auto"/>
                <w:szCs w:val="21"/>
                <w:highlight w:val="none"/>
              </w:rPr>
            </w:pPr>
            <w:r>
              <w:rPr>
                <w:rFonts w:ascii="宋体" w:hAnsi="宋体"/>
                <w:b/>
                <w:color w:val="auto"/>
                <w:szCs w:val="21"/>
                <w:highlight w:val="none"/>
              </w:rPr>
              <w:t>投标人及</w:t>
            </w:r>
            <w:r>
              <w:rPr>
                <w:rFonts w:hint="eastAsia" w:ascii="宋体" w:hAnsi="宋体"/>
                <w:b/>
                <w:color w:val="auto"/>
                <w:szCs w:val="21"/>
                <w:highlight w:val="none"/>
              </w:rPr>
              <w:t>形式</w:t>
            </w:r>
            <w:r>
              <w:rPr>
                <w:rFonts w:ascii="宋体" w:hAnsi="宋体"/>
                <w:b/>
                <w:color w:val="auto"/>
                <w:szCs w:val="21"/>
                <w:highlight w:val="none"/>
              </w:rPr>
              <w:t>评审结果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360" w:type="dxa"/>
            <w:vMerge w:val="continue"/>
            <w:tcBorders>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2340" w:type="dxa"/>
            <w:vMerge w:val="continue"/>
            <w:tcBorders>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54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r>
              <w:rPr>
                <w:rFonts w:ascii="宋体" w:hAnsi="宋体"/>
                <w:color w:val="auto"/>
                <w:szCs w:val="21"/>
                <w:highlight w:val="none"/>
              </w:rPr>
              <w:t>投标人一</w:t>
            </w:r>
          </w:p>
        </w:tc>
        <w:tc>
          <w:tcPr>
            <w:tcW w:w="16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r>
              <w:rPr>
                <w:rFonts w:ascii="宋体" w:hAnsi="宋体"/>
                <w:color w:val="auto"/>
                <w:szCs w:val="21"/>
                <w:highlight w:val="none"/>
              </w:rPr>
              <w:t>投标人二</w:t>
            </w:r>
          </w:p>
        </w:tc>
        <w:tc>
          <w:tcPr>
            <w:tcW w:w="195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3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r>
              <w:rPr>
                <w:rFonts w:hint="eastAsia" w:ascii="宋体" w:hAnsi="宋体"/>
                <w:color w:val="auto"/>
                <w:szCs w:val="21"/>
                <w:highlight w:val="none"/>
              </w:rPr>
              <w:t>1</w:t>
            </w:r>
          </w:p>
        </w:tc>
        <w:tc>
          <w:tcPr>
            <w:tcW w:w="2340" w:type="dxa"/>
            <w:tcBorders>
              <w:top w:val="single" w:color="auto" w:sz="4" w:space="0"/>
              <w:left w:val="single" w:color="auto" w:sz="4" w:space="0"/>
              <w:bottom w:val="single" w:color="auto" w:sz="4" w:space="0"/>
              <w:right w:val="single" w:color="auto" w:sz="4" w:space="0"/>
            </w:tcBorders>
          </w:tcPr>
          <w:p>
            <w:pPr>
              <w:spacing w:line="320" w:lineRule="exact"/>
              <w:jc w:val="center"/>
              <w:rPr>
                <w:rFonts w:ascii="宋体" w:hAnsi="宋体"/>
                <w:color w:val="auto"/>
                <w:szCs w:val="21"/>
                <w:highlight w:val="none"/>
              </w:rPr>
            </w:pPr>
            <w:r>
              <w:rPr>
                <w:rFonts w:hint="eastAsia" w:ascii="宋体" w:hAnsi="宋体"/>
                <w:color w:val="auto"/>
                <w:highlight w:val="none"/>
              </w:rPr>
              <w:t>投标人参加投标的意思表达清楚，投标人代表被授权有效</w:t>
            </w:r>
          </w:p>
        </w:tc>
        <w:tc>
          <w:tcPr>
            <w:tcW w:w="154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r>
              <w:rPr>
                <w:rFonts w:hint="eastAsia" w:ascii="宋体" w:hAnsi="宋体"/>
                <w:color w:val="auto"/>
                <w:szCs w:val="21"/>
                <w:highlight w:val="none"/>
              </w:rPr>
              <w:t>通过或不通过</w:t>
            </w:r>
          </w:p>
        </w:tc>
        <w:tc>
          <w:tcPr>
            <w:tcW w:w="16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95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3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r>
              <w:rPr>
                <w:rFonts w:hint="eastAsia" w:ascii="宋体" w:hAnsi="宋体"/>
                <w:color w:val="auto"/>
                <w:szCs w:val="21"/>
                <w:highlight w:val="none"/>
              </w:rPr>
              <w:t>2</w:t>
            </w:r>
          </w:p>
        </w:tc>
        <w:tc>
          <w:tcPr>
            <w:tcW w:w="23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r>
              <w:rPr>
                <w:rFonts w:ascii="宋体" w:hAnsi="宋体"/>
                <w:color w:val="auto"/>
                <w:szCs w:val="21"/>
                <w:highlight w:val="none"/>
              </w:rPr>
              <w:t>投标人名称</w:t>
            </w:r>
          </w:p>
        </w:tc>
        <w:tc>
          <w:tcPr>
            <w:tcW w:w="1548"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953"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23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r>
              <w:rPr>
                <w:rFonts w:hint="eastAsia" w:ascii="宋体" w:hAnsi="宋体"/>
                <w:color w:val="auto"/>
                <w:highlight w:val="none"/>
              </w:rPr>
              <w:t>投标函签字盖章</w:t>
            </w:r>
          </w:p>
        </w:tc>
        <w:tc>
          <w:tcPr>
            <w:tcW w:w="1548"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953"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3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r>
              <w:rPr>
                <w:rFonts w:hint="eastAsia" w:ascii="宋体" w:hAnsi="宋体"/>
                <w:color w:val="auto"/>
                <w:szCs w:val="21"/>
                <w:highlight w:val="none"/>
              </w:rPr>
              <w:t>4</w:t>
            </w:r>
          </w:p>
        </w:tc>
        <w:tc>
          <w:tcPr>
            <w:tcW w:w="23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r>
              <w:rPr>
                <w:rFonts w:hint="eastAsia" w:ascii="宋体" w:hAnsi="宋体"/>
                <w:color w:val="auto"/>
                <w:highlight w:val="none"/>
              </w:rPr>
              <w:t>投标文件格式</w:t>
            </w:r>
          </w:p>
        </w:tc>
        <w:tc>
          <w:tcPr>
            <w:tcW w:w="1548"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953"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3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r>
              <w:rPr>
                <w:rFonts w:hint="eastAsia" w:ascii="宋体" w:hAnsi="宋体"/>
                <w:color w:val="auto"/>
                <w:szCs w:val="21"/>
                <w:highlight w:val="none"/>
              </w:rPr>
              <w:t>5</w:t>
            </w:r>
          </w:p>
        </w:tc>
        <w:tc>
          <w:tcPr>
            <w:tcW w:w="2340" w:type="dxa"/>
            <w:tcBorders>
              <w:top w:val="single" w:color="auto" w:sz="4" w:space="0"/>
              <w:left w:val="single" w:color="auto" w:sz="4" w:space="0"/>
              <w:bottom w:val="single" w:color="auto" w:sz="4" w:space="0"/>
              <w:right w:val="single" w:color="auto" w:sz="4" w:space="0"/>
            </w:tcBorders>
          </w:tcPr>
          <w:p>
            <w:pPr>
              <w:spacing w:line="320" w:lineRule="exact"/>
              <w:jc w:val="center"/>
              <w:rPr>
                <w:rFonts w:ascii="宋体" w:hAnsi="宋体"/>
                <w:color w:val="auto"/>
                <w:szCs w:val="21"/>
                <w:highlight w:val="none"/>
              </w:rPr>
            </w:pPr>
            <w:r>
              <w:rPr>
                <w:rFonts w:hint="eastAsia" w:ascii="宋体" w:hAnsi="宋体"/>
                <w:color w:val="auto"/>
                <w:highlight w:val="none"/>
              </w:rPr>
              <w:t>报价唯一</w:t>
            </w:r>
          </w:p>
        </w:tc>
        <w:tc>
          <w:tcPr>
            <w:tcW w:w="1548"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953"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2" w:hRule="atLeast"/>
        </w:trPr>
        <w:tc>
          <w:tcPr>
            <w:tcW w:w="3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highlight w:val="none"/>
              </w:rPr>
            </w:pPr>
          </w:p>
        </w:tc>
        <w:tc>
          <w:tcPr>
            <w:tcW w:w="23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highlight w:val="none"/>
              </w:rPr>
            </w:pPr>
            <w:r>
              <w:rPr>
                <w:rFonts w:hint="eastAsia" w:ascii="宋体" w:hAnsi="宋体"/>
                <w:color w:val="auto"/>
                <w:highlight w:val="none"/>
              </w:rPr>
              <w:t>汇总</w:t>
            </w:r>
          </w:p>
        </w:tc>
        <w:tc>
          <w:tcPr>
            <w:tcW w:w="1548"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953"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r>
    </w:tbl>
    <w:p>
      <w:pPr>
        <w:pStyle w:val="129"/>
        <w:rPr>
          <w:color w:val="auto"/>
          <w:highlight w:val="none"/>
        </w:rPr>
      </w:pPr>
      <w:r>
        <w:rPr>
          <w:rFonts w:hint="eastAsia"/>
          <w:color w:val="auto"/>
          <w:highlight w:val="none"/>
        </w:rPr>
        <w:t>注：表格最终以广州公共资源交易中心系统生成的为准。</w:t>
      </w:r>
    </w:p>
    <w:p>
      <w:pPr>
        <w:pStyle w:val="129"/>
        <w:rPr>
          <w:color w:val="auto"/>
          <w:highlight w:val="none"/>
        </w:rPr>
        <w:sectPr>
          <w:pgSz w:w="16838" w:h="11906" w:orient="landscape"/>
          <w:pgMar w:top="1797" w:right="1440" w:bottom="1797" w:left="1440" w:header="851" w:footer="992" w:gutter="0"/>
          <w:cols w:space="720" w:num="1"/>
          <w:docGrid w:linePitch="312" w:charSpace="0"/>
        </w:sectPr>
      </w:pPr>
    </w:p>
    <w:p>
      <w:pPr>
        <w:spacing w:line="360" w:lineRule="auto"/>
        <w:jc w:val="left"/>
        <w:outlineLvl w:val="2"/>
        <w:rPr>
          <w:rFonts w:ascii="宋体" w:hAnsi="宋体"/>
          <w:color w:val="auto"/>
          <w:sz w:val="28"/>
          <w:szCs w:val="27"/>
          <w:highlight w:val="none"/>
        </w:rPr>
      </w:pPr>
      <w:bookmarkStart w:id="141" w:name="_Toc21787741"/>
      <w:r>
        <w:rPr>
          <w:rFonts w:hint="eastAsia" w:ascii="宋体" w:hAnsi="宋体"/>
          <w:color w:val="auto"/>
          <w:sz w:val="28"/>
          <w:szCs w:val="27"/>
          <w:highlight w:val="none"/>
        </w:rPr>
        <w:t>附表3：响应性</w:t>
      </w:r>
      <w:r>
        <w:rPr>
          <w:rFonts w:ascii="宋体" w:hAnsi="宋体"/>
          <w:color w:val="auto"/>
          <w:sz w:val="28"/>
          <w:szCs w:val="27"/>
          <w:highlight w:val="none"/>
        </w:rPr>
        <w:t>评审记录表</w:t>
      </w:r>
      <w:r>
        <w:rPr>
          <w:rFonts w:hint="eastAsia" w:ascii="宋体" w:hAnsi="宋体"/>
          <w:color w:val="auto"/>
          <w:sz w:val="28"/>
          <w:szCs w:val="27"/>
          <w:highlight w:val="none"/>
        </w:rPr>
        <w:t>（格式）</w:t>
      </w:r>
      <w:bookmarkEnd w:id="141"/>
    </w:p>
    <w:p>
      <w:pPr>
        <w:jc w:val="center"/>
        <w:rPr>
          <w:rFonts w:ascii="宋体" w:hAnsi="宋体"/>
          <w:b/>
          <w:color w:val="auto"/>
          <w:sz w:val="30"/>
          <w:szCs w:val="30"/>
          <w:highlight w:val="none"/>
        </w:rPr>
      </w:pPr>
      <w:r>
        <w:rPr>
          <w:rFonts w:hint="eastAsia" w:ascii="宋体" w:hAnsi="宋体"/>
          <w:b/>
          <w:color w:val="auto"/>
          <w:sz w:val="30"/>
          <w:szCs w:val="30"/>
          <w:highlight w:val="none"/>
        </w:rPr>
        <w:t>响应性</w:t>
      </w:r>
      <w:r>
        <w:rPr>
          <w:rFonts w:ascii="宋体" w:hAnsi="宋体"/>
          <w:b/>
          <w:color w:val="auto"/>
          <w:sz w:val="30"/>
          <w:szCs w:val="30"/>
          <w:highlight w:val="none"/>
        </w:rPr>
        <w:t>评审</w:t>
      </w:r>
      <w:r>
        <w:rPr>
          <w:rFonts w:hint="eastAsia" w:ascii="宋体" w:hAnsi="宋体"/>
          <w:b/>
          <w:color w:val="auto"/>
          <w:sz w:val="30"/>
          <w:szCs w:val="30"/>
          <w:highlight w:val="none"/>
        </w:rPr>
        <w:t>个人</w:t>
      </w:r>
      <w:r>
        <w:rPr>
          <w:rFonts w:ascii="宋体" w:hAnsi="宋体"/>
          <w:b/>
          <w:color w:val="auto"/>
          <w:sz w:val="30"/>
          <w:szCs w:val="30"/>
          <w:highlight w:val="none"/>
        </w:rPr>
        <w:t>表</w:t>
      </w:r>
    </w:p>
    <w:p>
      <w:pPr>
        <w:jc w:val="center"/>
        <w:rPr>
          <w:rFonts w:ascii="宋体" w:hAnsi="宋体"/>
          <w:b/>
          <w:color w:val="auto"/>
          <w:sz w:val="30"/>
          <w:szCs w:val="30"/>
          <w:highlight w:val="none"/>
        </w:rPr>
      </w:pPr>
    </w:p>
    <w:p>
      <w:pPr>
        <w:rPr>
          <w:rFonts w:ascii="宋体" w:hAnsi="宋体"/>
          <w:color w:val="auto"/>
          <w:highlight w:val="none"/>
        </w:rPr>
      </w:pPr>
      <w:r>
        <w:rPr>
          <w:rFonts w:hint="eastAsia" w:ascii="宋体" w:hAnsi="宋体"/>
          <w:color w:val="auto"/>
          <w:highlight w:val="none"/>
        </w:rPr>
        <w:t>项目编号：</w:t>
      </w:r>
    </w:p>
    <w:p>
      <w:pPr>
        <w:rPr>
          <w:rFonts w:ascii="宋体" w:hAnsi="宋体"/>
          <w:color w:val="auto"/>
          <w:highlight w:val="none"/>
        </w:rPr>
      </w:pPr>
      <w:r>
        <w:rPr>
          <w:rFonts w:hint="eastAsia" w:ascii="宋体" w:hAnsi="宋体"/>
          <w:color w:val="auto"/>
          <w:highlight w:val="none"/>
        </w:rPr>
        <w:t>项目名称：</w:t>
      </w:r>
    </w:p>
    <w:tbl>
      <w:tblPr>
        <w:tblStyle w:val="40"/>
        <w:tblpPr w:leftFromText="180" w:rightFromText="180" w:vertAnchor="text" w:tblpY="1"/>
        <w:tblOverlap w:val="never"/>
        <w:tblW w:w="1485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8"/>
        <w:gridCol w:w="3249"/>
        <w:gridCol w:w="1843"/>
        <w:gridCol w:w="1701"/>
        <w:gridCol w:w="1701"/>
        <w:gridCol w:w="1843"/>
        <w:gridCol w:w="1843"/>
        <w:gridCol w:w="184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28" w:type="dxa"/>
            <w:vMerge w:val="restart"/>
            <w:tcBorders>
              <w:top w:val="single" w:color="auto" w:sz="4" w:space="0"/>
              <w:left w:val="single" w:color="auto" w:sz="4" w:space="0"/>
              <w:right w:val="single" w:color="auto" w:sz="4" w:space="0"/>
            </w:tcBorders>
            <w:vAlign w:val="center"/>
          </w:tcPr>
          <w:p>
            <w:pPr>
              <w:spacing w:line="320" w:lineRule="exact"/>
              <w:jc w:val="center"/>
              <w:rPr>
                <w:rFonts w:ascii="宋体" w:hAnsi="宋体"/>
                <w:b/>
                <w:color w:val="auto"/>
                <w:szCs w:val="21"/>
                <w:highlight w:val="none"/>
              </w:rPr>
            </w:pPr>
            <w:r>
              <w:rPr>
                <w:rFonts w:hint="eastAsia" w:ascii="宋体" w:hAnsi="宋体"/>
                <w:b/>
                <w:color w:val="auto"/>
                <w:szCs w:val="21"/>
                <w:highlight w:val="none"/>
              </w:rPr>
              <w:t>序号</w:t>
            </w:r>
          </w:p>
        </w:tc>
        <w:tc>
          <w:tcPr>
            <w:tcW w:w="3249" w:type="dxa"/>
            <w:vMerge w:val="restart"/>
            <w:tcBorders>
              <w:top w:val="single" w:color="auto" w:sz="4" w:space="0"/>
              <w:left w:val="single" w:color="auto" w:sz="4" w:space="0"/>
              <w:right w:val="single" w:color="auto" w:sz="4" w:space="0"/>
            </w:tcBorders>
            <w:vAlign w:val="center"/>
          </w:tcPr>
          <w:p>
            <w:pPr>
              <w:spacing w:line="320" w:lineRule="exact"/>
              <w:jc w:val="center"/>
              <w:rPr>
                <w:rFonts w:ascii="宋体" w:hAnsi="宋体"/>
                <w:b/>
                <w:color w:val="auto"/>
                <w:szCs w:val="21"/>
                <w:highlight w:val="none"/>
              </w:rPr>
            </w:pPr>
            <w:r>
              <w:rPr>
                <w:rFonts w:hint="eastAsia" w:ascii="宋体" w:hAnsi="宋体"/>
                <w:b/>
                <w:color w:val="auto"/>
                <w:szCs w:val="21"/>
                <w:highlight w:val="none"/>
              </w:rPr>
              <w:t>评审因素</w:t>
            </w:r>
          </w:p>
        </w:tc>
        <w:tc>
          <w:tcPr>
            <w:tcW w:w="10773" w:type="dxa"/>
            <w:gridSpan w:val="6"/>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b/>
                <w:color w:val="auto"/>
                <w:szCs w:val="21"/>
                <w:highlight w:val="none"/>
              </w:rPr>
            </w:pPr>
            <w:r>
              <w:rPr>
                <w:rFonts w:hint="eastAsia" w:ascii="宋体" w:hAnsi="宋体"/>
                <w:b/>
                <w:color w:val="auto"/>
                <w:szCs w:val="21"/>
                <w:highlight w:val="none"/>
              </w:rPr>
              <w:t>投标单位名称及评审意见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28" w:type="dxa"/>
            <w:vMerge w:val="continue"/>
            <w:tcBorders>
              <w:left w:val="single" w:color="auto" w:sz="4" w:space="0"/>
              <w:bottom w:val="single" w:color="auto" w:sz="4" w:space="0"/>
              <w:right w:val="single" w:color="auto" w:sz="4" w:space="0"/>
            </w:tcBorders>
            <w:vAlign w:val="center"/>
          </w:tcPr>
          <w:p>
            <w:pPr>
              <w:spacing w:line="320" w:lineRule="exact"/>
              <w:jc w:val="center"/>
              <w:rPr>
                <w:rFonts w:ascii="宋体" w:hAnsi="宋体"/>
                <w:b/>
                <w:color w:val="auto"/>
                <w:szCs w:val="21"/>
                <w:highlight w:val="none"/>
              </w:rPr>
            </w:pPr>
          </w:p>
        </w:tc>
        <w:tc>
          <w:tcPr>
            <w:tcW w:w="3249" w:type="dxa"/>
            <w:vMerge w:val="continue"/>
            <w:tcBorders>
              <w:left w:val="single" w:color="auto" w:sz="4" w:space="0"/>
              <w:bottom w:val="single" w:color="auto" w:sz="4" w:space="0"/>
              <w:right w:val="single" w:color="auto" w:sz="4" w:space="0"/>
            </w:tcBorders>
            <w:vAlign w:val="center"/>
          </w:tcPr>
          <w:p>
            <w:pPr>
              <w:spacing w:line="320" w:lineRule="exact"/>
              <w:jc w:val="center"/>
              <w:rPr>
                <w:rFonts w:ascii="宋体" w:hAnsi="宋体"/>
                <w:b/>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b/>
                <w:color w:val="auto"/>
                <w:szCs w:val="21"/>
                <w:highlight w:val="none"/>
              </w:rPr>
            </w:pPr>
            <w:r>
              <w:rPr>
                <w:rFonts w:hint="eastAsia" w:ascii="宋体" w:hAnsi="宋体"/>
                <w:b/>
                <w:color w:val="auto"/>
                <w:szCs w:val="21"/>
                <w:highlight w:val="none"/>
              </w:rPr>
              <w:t>投标一</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b/>
                <w:color w:val="auto"/>
                <w:szCs w:val="21"/>
                <w:highlight w:val="none"/>
              </w:rPr>
            </w:pPr>
            <w:r>
              <w:rPr>
                <w:rFonts w:hint="eastAsia" w:ascii="宋体" w:hAnsi="宋体"/>
                <w:b/>
                <w:color w:val="auto"/>
                <w:szCs w:val="21"/>
                <w:highlight w:val="none"/>
              </w:rPr>
              <w:t>投标人二</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b/>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b/>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b/>
                <w:color w:val="auto"/>
                <w:szCs w:val="21"/>
                <w:highlight w:val="none"/>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82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r>
              <w:rPr>
                <w:rFonts w:hint="eastAsia" w:ascii="宋体" w:hAnsi="宋体"/>
                <w:color w:val="auto"/>
                <w:szCs w:val="21"/>
                <w:highlight w:val="none"/>
              </w:rPr>
              <w:t>1</w:t>
            </w:r>
          </w:p>
        </w:tc>
        <w:tc>
          <w:tcPr>
            <w:tcW w:w="324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r>
              <w:rPr>
                <w:rFonts w:hint="eastAsia" w:ascii="宋体" w:hAnsi="宋体"/>
                <w:color w:val="auto"/>
                <w:szCs w:val="21"/>
                <w:highlight w:val="none"/>
              </w:rPr>
              <w:t>投标报价</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r>
              <w:rPr>
                <w:rFonts w:hint="eastAsia" w:ascii="宋体" w:hAnsi="宋体"/>
                <w:color w:val="auto"/>
                <w:szCs w:val="21"/>
                <w:highlight w:val="none"/>
              </w:rPr>
              <w:t>通过或不通过</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82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r>
              <w:rPr>
                <w:rFonts w:hint="eastAsia" w:ascii="宋体" w:hAnsi="宋体"/>
                <w:color w:val="auto"/>
                <w:szCs w:val="21"/>
                <w:highlight w:val="none"/>
              </w:rPr>
              <w:t>2</w:t>
            </w:r>
          </w:p>
        </w:tc>
        <w:tc>
          <w:tcPr>
            <w:tcW w:w="324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r>
              <w:rPr>
                <w:rFonts w:hint="eastAsia" w:ascii="宋体" w:hAnsi="宋体"/>
                <w:color w:val="auto"/>
                <w:szCs w:val="21"/>
                <w:highlight w:val="none"/>
              </w:rPr>
              <w:t>投标内容</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82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r>
              <w:rPr>
                <w:rFonts w:hint="eastAsia" w:ascii="宋体" w:hAnsi="宋体"/>
                <w:color w:val="auto"/>
                <w:szCs w:val="21"/>
                <w:highlight w:val="none"/>
              </w:rPr>
              <w:t>3</w:t>
            </w:r>
          </w:p>
        </w:tc>
        <w:tc>
          <w:tcPr>
            <w:tcW w:w="324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r>
              <w:rPr>
                <w:rFonts w:ascii="宋体" w:hAnsi="宋体"/>
                <w:color w:val="auto"/>
                <w:szCs w:val="21"/>
                <w:highlight w:val="none"/>
              </w:rPr>
              <w:t>工期</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82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r>
              <w:rPr>
                <w:rFonts w:hint="eastAsia" w:ascii="宋体" w:hAnsi="宋体"/>
                <w:color w:val="auto"/>
                <w:szCs w:val="21"/>
                <w:highlight w:val="none"/>
              </w:rPr>
              <w:t>4</w:t>
            </w:r>
          </w:p>
        </w:tc>
        <w:tc>
          <w:tcPr>
            <w:tcW w:w="324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r>
              <w:rPr>
                <w:rFonts w:ascii="宋体" w:hAnsi="宋体"/>
                <w:color w:val="auto"/>
                <w:szCs w:val="21"/>
                <w:highlight w:val="none"/>
              </w:rPr>
              <w:t>工程质量</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82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r>
              <w:rPr>
                <w:rFonts w:hint="eastAsia" w:ascii="宋体" w:hAnsi="宋体"/>
                <w:color w:val="auto"/>
                <w:szCs w:val="21"/>
                <w:highlight w:val="none"/>
              </w:rPr>
              <w:t>5</w:t>
            </w:r>
          </w:p>
        </w:tc>
        <w:tc>
          <w:tcPr>
            <w:tcW w:w="324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r>
              <w:rPr>
                <w:rFonts w:hint="eastAsia" w:ascii="宋体" w:hAnsi="宋体"/>
                <w:color w:val="auto"/>
                <w:szCs w:val="21"/>
                <w:highlight w:val="none"/>
              </w:rPr>
              <w:t>投标有效期</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82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r>
              <w:rPr>
                <w:rFonts w:hint="eastAsia" w:ascii="宋体" w:hAnsi="宋体"/>
                <w:color w:val="auto"/>
                <w:szCs w:val="21"/>
                <w:highlight w:val="none"/>
              </w:rPr>
              <w:t>6</w:t>
            </w:r>
          </w:p>
        </w:tc>
        <w:tc>
          <w:tcPr>
            <w:tcW w:w="324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r>
              <w:rPr>
                <w:rFonts w:ascii="宋体" w:hAnsi="宋体"/>
                <w:color w:val="auto"/>
                <w:szCs w:val="21"/>
                <w:highlight w:val="none"/>
              </w:rPr>
              <w:t>已标价工程量清单</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82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r>
              <w:rPr>
                <w:rFonts w:hint="eastAsia" w:ascii="宋体" w:hAnsi="宋体"/>
                <w:color w:val="auto"/>
                <w:szCs w:val="21"/>
                <w:highlight w:val="none"/>
              </w:rPr>
              <w:t>7</w:t>
            </w:r>
          </w:p>
        </w:tc>
        <w:tc>
          <w:tcPr>
            <w:tcW w:w="324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r>
              <w:rPr>
                <w:rFonts w:hint="eastAsia" w:ascii="宋体" w:hAnsi="宋体"/>
                <w:color w:val="auto"/>
                <w:szCs w:val="21"/>
                <w:highlight w:val="none"/>
              </w:rPr>
              <w:t>投标承诺</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82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r>
              <w:rPr>
                <w:rFonts w:hint="eastAsia" w:ascii="宋体" w:hAnsi="宋体"/>
                <w:color w:val="auto"/>
                <w:szCs w:val="21"/>
                <w:highlight w:val="none"/>
              </w:rPr>
              <w:t>8</w:t>
            </w:r>
          </w:p>
        </w:tc>
        <w:tc>
          <w:tcPr>
            <w:tcW w:w="324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r>
              <w:rPr>
                <w:rFonts w:hint="eastAsia" w:ascii="宋体" w:hAnsi="宋体"/>
                <w:color w:val="auto"/>
                <w:szCs w:val="21"/>
                <w:highlight w:val="none"/>
                <w:u w:val="single"/>
              </w:rPr>
              <w:t>不存在禁止投标的情形</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82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r>
              <w:rPr>
                <w:rFonts w:hint="eastAsia" w:ascii="宋体" w:hAnsi="宋体"/>
                <w:color w:val="auto"/>
                <w:szCs w:val="21"/>
                <w:highlight w:val="none"/>
              </w:rPr>
              <w:t>9</w:t>
            </w:r>
          </w:p>
        </w:tc>
        <w:tc>
          <w:tcPr>
            <w:tcW w:w="3249" w:type="dxa"/>
            <w:tcBorders>
              <w:top w:val="single" w:color="auto" w:sz="4" w:space="0"/>
              <w:left w:val="single" w:color="auto" w:sz="4" w:space="0"/>
              <w:right w:val="single" w:color="auto" w:sz="4" w:space="0"/>
            </w:tcBorders>
            <w:vAlign w:val="center"/>
          </w:tcPr>
          <w:p>
            <w:pPr>
              <w:spacing w:line="320" w:lineRule="exact"/>
              <w:jc w:val="center"/>
              <w:rPr>
                <w:rFonts w:ascii="宋体" w:hAnsi="宋体"/>
                <w:color w:val="auto"/>
                <w:szCs w:val="21"/>
                <w:highlight w:val="none"/>
              </w:rPr>
            </w:pPr>
            <w:r>
              <w:rPr>
                <w:rFonts w:hint="eastAsia" w:ascii="宋体" w:hAnsi="宋体"/>
                <w:color w:val="auto"/>
                <w:szCs w:val="21"/>
                <w:highlight w:val="none"/>
                <w:u w:val="single"/>
              </w:rPr>
              <w:t>机器码唯一</w:t>
            </w:r>
          </w:p>
        </w:tc>
        <w:tc>
          <w:tcPr>
            <w:tcW w:w="1843" w:type="dxa"/>
            <w:tcBorders>
              <w:top w:val="single" w:color="auto" w:sz="4" w:space="0"/>
              <w:left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701" w:type="dxa"/>
            <w:tcBorders>
              <w:top w:val="single" w:color="auto" w:sz="4" w:space="0"/>
              <w:left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701" w:type="dxa"/>
            <w:tcBorders>
              <w:top w:val="single" w:color="auto" w:sz="4" w:space="0"/>
              <w:left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843" w:type="dxa"/>
            <w:tcBorders>
              <w:top w:val="single" w:color="auto" w:sz="4" w:space="0"/>
              <w:left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843" w:type="dxa"/>
            <w:tcBorders>
              <w:top w:val="single" w:color="auto" w:sz="4" w:space="0"/>
              <w:left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842" w:type="dxa"/>
            <w:tcBorders>
              <w:top w:val="single" w:color="auto" w:sz="4" w:space="0"/>
              <w:left w:val="single" w:color="auto" w:sz="4" w:space="0"/>
              <w:right w:val="single" w:color="auto" w:sz="4" w:space="0"/>
            </w:tcBorders>
            <w:vAlign w:val="center"/>
          </w:tcPr>
          <w:p>
            <w:pPr>
              <w:spacing w:line="320" w:lineRule="exact"/>
              <w:jc w:val="center"/>
              <w:rPr>
                <w:rFonts w:ascii="宋体" w:hAnsi="宋体"/>
                <w:color w:val="auto"/>
                <w:szCs w:val="21"/>
                <w:highlight w:val="none"/>
              </w:rPr>
            </w:pPr>
          </w:p>
        </w:tc>
      </w:tr>
    </w:tbl>
    <w:p>
      <w:pPr>
        <w:pStyle w:val="129"/>
        <w:rPr>
          <w:color w:val="auto"/>
          <w:highlight w:val="none"/>
        </w:rPr>
      </w:pPr>
      <w:r>
        <w:rPr>
          <w:rFonts w:hint="eastAsia"/>
          <w:color w:val="auto"/>
          <w:highlight w:val="none"/>
        </w:rPr>
        <w:t>注：表格最终以广州公共资源交易中心系统生成的为准。</w:t>
      </w:r>
    </w:p>
    <w:p>
      <w:pPr>
        <w:pStyle w:val="129"/>
        <w:rPr>
          <w:color w:val="auto"/>
          <w:highlight w:val="none"/>
        </w:rPr>
      </w:pPr>
    </w:p>
    <w:p>
      <w:pPr>
        <w:jc w:val="center"/>
        <w:rPr>
          <w:rFonts w:ascii="宋体" w:hAnsi="宋体"/>
          <w:b/>
          <w:color w:val="auto"/>
          <w:sz w:val="30"/>
          <w:szCs w:val="30"/>
          <w:highlight w:val="none"/>
        </w:rPr>
      </w:pPr>
      <w:r>
        <w:rPr>
          <w:rFonts w:hint="eastAsia" w:ascii="宋体" w:hAnsi="宋体"/>
          <w:b/>
          <w:color w:val="auto"/>
          <w:sz w:val="30"/>
          <w:szCs w:val="30"/>
          <w:highlight w:val="none"/>
        </w:rPr>
        <w:t>响应性</w:t>
      </w:r>
      <w:r>
        <w:rPr>
          <w:rFonts w:ascii="宋体" w:hAnsi="宋体"/>
          <w:b/>
          <w:color w:val="auto"/>
          <w:sz w:val="30"/>
          <w:szCs w:val="30"/>
          <w:highlight w:val="none"/>
        </w:rPr>
        <w:t>评审结果汇总表</w:t>
      </w:r>
    </w:p>
    <w:p>
      <w:pPr>
        <w:rPr>
          <w:rFonts w:ascii="宋体" w:hAnsi="宋体"/>
          <w:color w:val="auto"/>
          <w:highlight w:val="none"/>
        </w:rPr>
      </w:pPr>
      <w:r>
        <w:rPr>
          <w:rFonts w:hint="eastAsia" w:ascii="宋体" w:hAnsi="宋体"/>
          <w:color w:val="auto"/>
          <w:highlight w:val="none"/>
        </w:rPr>
        <w:t>项目编号：</w:t>
      </w:r>
    </w:p>
    <w:p>
      <w:pPr>
        <w:rPr>
          <w:rFonts w:ascii="宋体" w:hAnsi="宋体"/>
          <w:color w:val="auto"/>
          <w:highlight w:val="none"/>
        </w:rPr>
      </w:pPr>
      <w:r>
        <w:rPr>
          <w:rFonts w:hint="eastAsia" w:ascii="宋体" w:hAnsi="宋体"/>
          <w:color w:val="auto"/>
          <w:highlight w:val="none"/>
        </w:rPr>
        <w:t>项目名称：</w:t>
      </w:r>
    </w:p>
    <w:tbl>
      <w:tblPr>
        <w:tblStyle w:val="40"/>
        <w:tblpPr w:leftFromText="180" w:rightFromText="180" w:vertAnchor="text" w:tblpY="1"/>
        <w:tblOverlap w:val="never"/>
        <w:tblW w:w="139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60"/>
        <w:gridCol w:w="2340"/>
        <w:gridCol w:w="1548"/>
        <w:gridCol w:w="1620"/>
        <w:gridCol w:w="1953"/>
        <w:gridCol w:w="1025"/>
        <w:gridCol w:w="1024"/>
        <w:gridCol w:w="1024"/>
        <w:gridCol w:w="1025"/>
        <w:gridCol w:w="1024"/>
        <w:gridCol w:w="102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60" w:type="dxa"/>
            <w:vMerge w:val="restart"/>
            <w:tcBorders>
              <w:top w:val="single" w:color="auto" w:sz="4" w:space="0"/>
              <w:left w:val="single" w:color="auto" w:sz="4" w:space="0"/>
              <w:right w:val="single" w:color="auto" w:sz="4" w:space="0"/>
            </w:tcBorders>
            <w:vAlign w:val="center"/>
          </w:tcPr>
          <w:p>
            <w:pPr>
              <w:spacing w:line="320" w:lineRule="exact"/>
              <w:jc w:val="center"/>
              <w:rPr>
                <w:rFonts w:ascii="宋体" w:hAnsi="宋体"/>
                <w:b/>
                <w:color w:val="auto"/>
                <w:szCs w:val="21"/>
                <w:highlight w:val="none"/>
              </w:rPr>
            </w:pPr>
            <w:r>
              <w:rPr>
                <w:rFonts w:ascii="宋体" w:hAnsi="宋体"/>
                <w:b/>
                <w:color w:val="auto"/>
                <w:szCs w:val="21"/>
                <w:highlight w:val="none"/>
              </w:rPr>
              <w:t>序号</w:t>
            </w:r>
          </w:p>
        </w:tc>
        <w:tc>
          <w:tcPr>
            <w:tcW w:w="2340" w:type="dxa"/>
            <w:vMerge w:val="restart"/>
            <w:tcBorders>
              <w:top w:val="single" w:color="auto" w:sz="4" w:space="0"/>
              <w:left w:val="single" w:color="auto" w:sz="4" w:space="0"/>
              <w:right w:val="single" w:color="auto" w:sz="4" w:space="0"/>
            </w:tcBorders>
            <w:vAlign w:val="center"/>
          </w:tcPr>
          <w:p>
            <w:pPr>
              <w:spacing w:line="320" w:lineRule="exact"/>
              <w:jc w:val="center"/>
              <w:rPr>
                <w:rFonts w:ascii="宋体" w:hAnsi="宋体"/>
                <w:b/>
                <w:color w:val="auto"/>
                <w:szCs w:val="21"/>
                <w:highlight w:val="none"/>
              </w:rPr>
            </w:pPr>
            <w:r>
              <w:rPr>
                <w:rFonts w:ascii="宋体" w:hAnsi="宋体"/>
                <w:b/>
                <w:color w:val="auto"/>
                <w:szCs w:val="21"/>
                <w:highlight w:val="none"/>
              </w:rPr>
              <w:t>评审因素</w:t>
            </w:r>
          </w:p>
        </w:tc>
        <w:tc>
          <w:tcPr>
            <w:tcW w:w="11268" w:type="dxa"/>
            <w:gridSpan w:val="9"/>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b/>
                <w:color w:val="auto"/>
                <w:szCs w:val="21"/>
                <w:highlight w:val="none"/>
              </w:rPr>
            </w:pPr>
            <w:r>
              <w:rPr>
                <w:rFonts w:ascii="宋体" w:hAnsi="宋体"/>
                <w:b/>
                <w:color w:val="auto"/>
                <w:szCs w:val="21"/>
                <w:highlight w:val="none"/>
              </w:rPr>
              <w:t>投标人及</w:t>
            </w:r>
            <w:r>
              <w:rPr>
                <w:rFonts w:hint="eastAsia" w:ascii="宋体" w:hAnsi="宋体"/>
                <w:b/>
                <w:color w:val="auto"/>
                <w:szCs w:val="21"/>
                <w:highlight w:val="none"/>
              </w:rPr>
              <w:t>响应性</w:t>
            </w:r>
            <w:r>
              <w:rPr>
                <w:rFonts w:ascii="宋体" w:hAnsi="宋体"/>
                <w:b/>
                <w:color w:val="auto"/>
                <w:szCs w:val="21"/>
                <w:highlight w:val="none"/>
              </w:rPr>
              <w:t>评审结果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360" w:type="dxa"/>
            <w:vMerge w:val="continue"/>
            <w:tcBorders>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2340" w:type="dxa"/>
            <w:vMerge w:val="continue"/>
            <w:tcBorders>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54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r>
              <w:rPr>
                <w:rFonts w:ascii="宋体" w:hAnsi="宋体"/>
                <w:color w:val="auto"/>
                <w:szCs w:val="21"/>
                <w:highlight w:val="none"/>
              </w:rPr>
              <w:t>投标人一</w:t>
            </w:r>
          </w:p>
        </w:tc>
        <w:tc>
          <w:tcPr>
            <w:tcW w:w="16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r>
              <w:rPr>
                <w:rFonts w:ascii="宋体" w:hAnsi="宋体"/>
                <w:color w:val="auto"/>
                <w:szCs w:val="21"/>
                <w:highlight w:val="none"/>
              </w:rPr>
              <w:t>投标人二</w:t>
            </w:r>
          </w:p>
        </w:tc>
        <w:tc>
          <w:tcPr>
            <w:tcW w:w="195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3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r>
              <w:rPr>
                <w:rFonts w:hint="eastAsia" w:ascii="宋体" w:hAnsi="宋体"/>
                <w:color w:val="auto"/>
                <w:szCs w:val="21"/>
                <w:highlight w:val="none"/>
              </w:rPr>
              <w:t>1</w:t>
            </w:r>
          </w:p>
        </w:tc>
        <w:tc>
          <w:tcPr>
            <w:tcW w:w="23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r>
              <w:rPr>
                <w:rFonts w:hint="eastAsia" w:ascii="宋体" w:hAnsi="宋体"/>
                <w:color w:val="auto"/>
                <w:szCs w:val="21"/>
                <w:highlight w:val="none"/>
              </w:rPr>
              <w:t>投标报价</w:t>
            </w:r>
          </w:p>
        </w:tc>
        <w:tc>
          <w:tcPr>
            <w:tcW w:w="154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r>
              <w:rPr>
                <w:rFonts w:hint="eastAsia" w:ascii="宋体" w:hAnsi="宋体"/>
                <w:color w:val="auto"/>
                <w:szCs w:val="21"/>
                <w:highlight w:val="none"/>
              </w:rPr>
              <w:t>通过或不通过</w:t>
            </w:r>
          </w:p>
        </w:tc>
        <w:tc>
          <w:tcPr>
            <w:tcW w:w="16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95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3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r>
              <w:rPr>
                <w:rFonts w:hint="eastAsia" w:ascii="宋体" w:hAnsi="宋体"/>
                <w:color w:val="auto"/>
                <w:szCs w:val="21"/>
                <w:highlight w:val="none"/>
              </w:rPr>
              <w:t>2</w:t>
            </w:r>
          </w:p>
        </w:tc>
        <w:tc>
          <w:tcPr>
            <w:tcW w:w="23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r>
              <w:rPr>
                <w:rFonts w:hint="eastAsia" w:ascii="宋体" w:hAnsi="宋体"/>
                <w:color w:val="auto"/>
                <w:szCs w:val="21"/>
                <w:highlight w:val="none"/>
              </w:rPr>
              <w:t>投标内容</w:t>
            </w:r>
          </w:p>
        </w:tc>
        <w:tc>
          <w:tcPr>
            <w:tcW w:w="1548"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953"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23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r>
              <w:rPr>
                <w:rFonts w:ascii="宋体" w:hAnsi="宋体"/>
                <w:color w:val="auto"/>
                <w:szCs w:val="21"/>
                <w:highlight w:val="none"/>
              </w:rPr>
              <w:t>工期</w:t>
            </w:r>
          </w:p>
        </w:tc>
        <w:tc>
          <w:tcPr>
            <w:tcW w:w="1548"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953"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3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r>
              <w:rPr>
                <w:rFonts w:hint="eastAsia" w:ascii="宋体" w:hAnsi="宋体"/>
                <w:color w:val="auto"/>
                <w:szCs w:val="21"/>
                <w:highlight w:val="none"/>
              </w:rPr>
              <w:t>4</w:t>
            </w:r>
          </w:p>
        </w:tc>
        <w:tc>
          <w:tcPr>
            <w:tcW w:w="23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r>
              <w:rPr>
                <w:rFonts w:ascii="宋体" w:hAnsi="宋体"/>
                <w:color w:val="auto"/>
                <w:szCs w:val="21"/>
                <w:highlight w:val="none"/>
              </w:rPr>
              <w:t>工程质量</w:t>
            </w:r>
          </w:p>
        </w:tc>
        <w:tc>
          <w:tcPr>
            <w:tcW w:w="1548"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953"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3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r>
              <w:rPr>
                <w:rFonts w:hint="eastAsia" w:ascii="宋体" w:hAnsi="宋体"/>
                <w:color w:val="auto"/>
                <w:szCs w:val="21"/>
                <w:highlight w:val="none"/>
              </w:rPr>
              <w:t>5</w:t>
            </w:r>
          </w:p>
        </w:tc>
        <w:tc>
          <w:tcPr>
            <w:tcW w:w="23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r>
              <w:rPr>
                <w:rFonts w:hint="eastAsia" w:ascii="宋体" w:hAnsi="宋体"/>
                <w:color w:val="auto"/>
                <w:szCs w:val="21"/>
                <w:highlight w:val="none"/>
              </w:rPr>
              <w:t>投标有效期</w:t>
            </w:r>
          </w:p>
        </w:tc>
        <w:tc>
          <w:tcPr>
            <w:tcW w:w="1548"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953"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3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highlight w:val="none"/>
              </w:rPr>
            </w:pPr>
            <w:r>
              <w:rPr>
                <w:rFonts w:hint="eastAsia" w:ascii="宋体" w:hAnsi="宋体"/>
                <w:color w:val="auto"/>
                <w:highlight w:val="none"/>
              </w:rPr>
              <w:t>6</w:t>
            </w:r>
          </w:p>
        </w:tc>
        <w:tc>
          <w:tcPr>
            <w:tcW w:w="23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highlight w:val="none"/>
              </w:rPr>
            </w:pPr>
            <w:r>
              <w:rPr>
                <w:rFonts w:ascii="宋体" w:hAnsi="宋体"/>
                <w:color w:val="auto"/>
                <w:szCs w:val="21"/>
                <w:highlight w:val="none"/>
              </w:rPr>
              <w:t>已标价工程量清单</w:t>
            </w:r>
          </w:p>
        </w:tc>
        <w:tc>
          <w:tcPr>
            <w:tcW w:w="1548"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953"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3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r>
              <w:rPr>
                <w:rFonts w:hint="eastAsia" w:ascii="宋体" w:hAnsi="宋体"/>
                <w:color w:val="auto"/>
                <w:szCs w:val="21"/>
                <w:highlight w:val="none"/>
              </w:rPr>
              <w:t>7</w:t>
            </w:r>
          </w:p>
        </w:tc>
        <w:tc>
          <w:tcPr>
            <w:tcW w:w="23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r>
              <w:rPr>
                <w:rFonts w:hint="eastAsia" w:ascii="宋体" w:hAnsi="宋体"/>
                <w:color w:val="auto"/>
                <w:szCs w:val="21"/>
                <w:highlight w:val="none"/>
              </w:rPr>
              <w:t>投标承诺</w:t>
            </w:r>
          </w:p>
        </w:tc>
        <w:tc>
          <w:tcPr>
            <w:tcW w:w="1548"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953"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3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r>
              <w:rPr>
                <w:rFonts w:hint="eastAsia" w:ascii="宋体" w:hAnsi="宋体"/>
                <w:color w:val="auto"/>
                <w:szCs w:val="21"/>
                <w:highlight w:val="none"/>
              </w:rPr>
              <w:t>8</w:t>
            </w:r>
          </w:p>
        </w:tc>
        <w:tc>
          <w:tcPr>
            <w:tcW w:w="23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r>
              <w:rPr>
                <w:rFonts w:hint="eastAsia" w:ascii="宋体" w:hAnsi="宋体"/>
                <w:color w:val="auto"/>
                <w:szCs w:val="21"/>
                <w:highlight w:val="none"/>
                <w:u w:val="single"/>
              </w:rPr>
              <w:t>不存在禁止投标的情形</w:t>
            </w:r>
          </w:p>
        </w:tc>
        <w:tc>
          <w:tcPr>
            <w:tcW w:w="1548"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953"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3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r>
              <w:rPr>
                <w:rFonts w:hint="eastAsia" w:ascii="宋体" w:hAnsi="宋体"/>
                <w:color w:val="auto"/>
                <w:szCs w:val="21"/>
                <w:highlight w:val="none"/>
              </w:rPr>
              <w:t>9</w:t>
            </w:r>
          </w:p>
        </w:tc>
        <w:tc>
          <w:tcPr>
            <w:tcW w:w="23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r>
              <w:rPr>
                <w:rFonts w:hint="eastAsia" w:ascii="宋体" w:hAnsi="宋体"/>
                <w:color w:val="auto"/>
                <w:szCs w:val="21"/>
                <w:highlight w:val="none"/>
                <w:u w:val="single"/>
              </w:rPr>
              <w:t>机器码唯一</w:t>
            </w:r>
          </w:p>
        </w:tc>
        <w:tc>
          <w:tcPr>
            <w:tcW w:w="1548"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953"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2" w:hRule="atLeast"/>
        </w:trPr>
        <w:tc>
          <w:tcPr>
            <w:tcW w:w="3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highlight w:val="none"/>
              </w:rPr>
            </w:pPr>
          </w:p>
        </w:tc>
        <w:tc>
          <w:tcPr>
            <w:tcW w:w="23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highlight w:val="none"/>
              </w:rPr>
            </w:pPr>
            <w:r>
              <w:rPr>
                <w:rFonts w:hint="eastAsia" w:ascii="宋体" w:hAnsi="宋体"/>
                <w:color w:val="auto"/>
                <w:highlight w:val="none"/>
              </w:rPr>
              <w:t>汇总</w:t>
            </w:r>
          </w:p>
        </w:tc>
        <w:tc>
          <w:tcPr>
            <w:tcW w:w="1548"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953"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r>
    </w:tbl>
    <w:p>
      <w:pPr>
        <w:pStyle w:val="129"/>
        <w:rPr>
          <w:color w:val="auto"/>
          <w:highlight w:val="none"/>
        </w:rPr>
      </w:pPr>
      <w:r>
        <w:rPr>
          <w:rFonts w:hint="eastAsia"/>
          <w:color w:val="auto"/>
          <w:highlight w:val="none"/>
        </w:rPr>
        <w:t>注：表格最终以广州公共资源交易中心系统生成的为准。</w:t>
      </w:r>
    </w:p>
    <w:p>
      <w:pPr>
        <w:rPr>
          <w:rFonts w:ascii="宋体" w:hAnsi="宋体"/>
          <w:color w:val="auto"/>
          <w:sz w:val="18"/>
          <w:szCs w:val="18"/>
          <w:highlight w:val="none"/>
        </w:rPr>
        <w:sectPr>
          <w:pgSz w:w="16838" w:h="11906" w:orient="landscape"/>
          <w:pgMar w:top="1797" w:right="1440" w:bottom="1797" w:left="1440" w:header="851" w:footer="992" w:gutter="0"/>
          <w:cols w:space="720" w:num="1"/>
          <w:docGrid w:linePitch="312" w:charSpace="0"/>
        </w:sectPr>
      </w:pPr>
    </w:p>
    <w:p>
      <w:pPr>
        <w:spacing w:line="360" w:lineRule="auto"/>
        <w:jc w:val="left"/>
        <w:outlineLvl w:val="2"/>
        <w:rPr>
          <w:rFonts w:ascii="宋体" w:hAnsi="宋体"/>
          <w:color w:val="auto"/>
          <w:sz w:val="28"/>
          <w:szCs w:val="27"/>
          <w:highlight w:val="none"/>
        </w:rPr>
      </w:pPr>
      <w:r>
        <w:rPr>
          <w:rFonts w:hint="eastAsia" w:ascii="宋体" w:hAnsi="宋体"/>
          <w:color w:val="auto"/>
          <w:sz w:val="28"/>
          <w:szCs w:val="27"/>
          <w:highlight w:val="none"/>
        </w:rPr>
        <w:t>附表</w:t>
      </w:r>
      <w:r>
        <w:rPr>
          <w:rFonts w:ascii="宋体" w:hAnsi="宋体"/>
          <w:color w:val="auto"/>
          <w:sz w:val="28"/>
          <w:szCs w:val="27"/>
          <w:highlight w:val="none"/>
        </w:rPr>
        <w:t>4</w:t>
      </w:r>
      <w:r>
        <w:rPr>
          <w:rFonts w:hint="eastAsia" w:ascii="宋体" w:hAnsi="宋体"/>
          <w:color w:val="auto"/>
          <w:sz w:val="28"/>
          <w:szCs w:val="27"/>
          <w:highlight w:val="none"/>
        </w:rPr>
        <w:t>：技术部分评审记录表（格式）</w:t>
      </w:r>
    </w:p>
    <w:p>
      <w:pPr>
        <w:jc w:val="center"/>
        <w:rPr>
          <w:rFonts w:ascii="宋体" w:hAnsi="宋体"/>
          <w:b/>
          <w:color w:val="auto"/>
          <w:sz w:val="30"/>
          <w:szCs w:val="30"/>
          <w:highlight w:val="none"/>
        </w:rPr>
      </w:pPr>
      <w:r>
        <w:rPr>
          <w:rFonts w:hint="eastAsia" w:ascii="宋体" w:hAnsi="宋体"/>
          <w:b/>
          <w:color w:val="auto"/>
          <w:sz w:val="30"/>
          <w:szCs w:val="30"/>
          <w:highlight w:val="none"/>
        </w:rPr>
        <w:t>技术部分</w:t>
      </w:r>
      <w:r>
        <w:rPr>
          <w:rFonts w:ascii="宋体" w:hAnsi="宋体"/>
          <w:b/>
          <w:color w:val="auto"/>
          <w:sz w:val="30"/>
          <w:szCs w:val="30"/>
          <w:highlight w:val="none"/>
        </w:rPr>
        <w:t>评审</w:t>
      </w:r>
      <w:r>
        <w:rPr>
          <w:rFonts w:hint="eastAsia" w:ascii="宋体" w:hAnsi="宋体"/>
          <w:b/>
          <w:color w:val="auto"/>
          <w:sz w:val="30"/>
          <w:szCs w:val="30"/>
          <w:highlight w:val="none"/>
        </w:rPr>
        <w:t>个人</w:t>
      </w:r>
      <w:r>
        <w:rPr>
          <w:rFonts w:ascii="宋体" w:hAnsi="宋体"/>
          <w:b/>
          <w:color w:val="auto"/>
          <w:sz w:val="30"/>
          <w:szCs w:val="30"/>
          <w:highlight w:val="none"/>
        </w:rPr>
        <w:t>表</w:t>
      </w:r>
    </w:p>
    <w:p>
      <w:pPr>
        <w:jc w:val="center"/>
        <w:rPr>
          <w:rFonts w:ascii="宋体" w:hAnsi="宋体"/>
          <w:b/>
          <w:color w:val="auto"/>
          <w:sz w:val="30"/>
          <w:szCs w:val="30"/>
          <w:highlight w:val="none"/>
        </w:rPr>
      </w:pPr>
    </w:p>
    <w:p>
      <w:pPr>
        <w:rPr>
          <w:rFonts w:ascii="宋体" w:hAnsi="宋体"/>
          <w:color w:val="auto"/>
          <w:highlight w:val="none"/>
        </w:rPr>
      </w:pPr>
      <w:r>
        <w:rPr>
          <w:rFonts w:hint="eastAsia" w:ascii="宋体" w:hAnsi="宋体"/>
          <w:color w:val="auto"/>
          <w:highlight w:val="none"/>
        </w:rPr>
        <w:t>项目编号：</w:t>
      </w:r>
    </w:p>
    <w:p>
      <w:pPr>
        <w:rPr>
          <w:rFonts w:ascii="宋体" w:hAnsi="宋体"/>
          <w:color w:val="auto"/>
          <w:highlight w:val="none"/>
        </w:rPr>
      </w:pPr>
      <w:r>
        <w:rPr>
          <w:rFonts w:hint="eastAsia" w:ascii="宋体" w:hAnsi="宋体"/>
          <w:color w:val="auto"/>
          <w:highlight w:val="none"/>
        </w:rPr>
        <w:t>项目名称：</w:t>
      </w:r>
    </w:p>
    <w:tbl>
      <w:tblPr>
        <w:tblStyle w:val="40"/>
        <w:tblpPr w:leftFromText="180" w:rightFromText="180" w:vertAnchor="text" w:tblpY="1"/>
        <w:tblOverlap w:val="never"/>
        <w:tblW w:w="1485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8"/>
        <w:gridCol w:w="3249"/>
        <w:gridCol w:w="1843"/>
        <w:gridCol w:w="1701"/>
        <w:gridCol w:w="1701"/>
        <w:gridCol w:w="1843"/>
        <w:gridCol w:w="1843"/>
        <w:gridCol w:w="184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28" w:type="dxa"/>
            <w:vMerge w:val="restart"/>
            <w:tcBorders>
              <w:top w:val="single" w:color="auto" w:sz="4" w:space="0"/>
              <w:left w:val="single" w:color="auto" w:sz="4" w:space="0"/>
              <w:right w:val="single" w:color="auto" w:sz="4" w:space="0"/>
            </w:tcBorders>
            <w:vAlign w:val="center"/>
          </w:tcPr>
          <w:p>
            <w:pPr>
              <w:spacing w:line="320" w:lineRule="exact"/>
              <w:jc w:val="center"/>
              <w:rPr>
                <w:rFonts w:ascii="宋体" w:hAnsi="宋体"/>
                <w:b/>
                <w:color w:val="auto"/>
                <w:szCs w:val="21"/>
                <w:highlight w:val="none"/>
              </w:rPr>
            </w:pPr>
            <w:r>
              <w:rPr>
                <w:rFonts w:hint="eastAsia" w:ascii="宋体" w:hAnsi="宋体"/>
                <w:b/>
                <w:color w:val="auto"/>
                <w:szCs w:val="21"/>
                <w:highlight w:val="none"/>
              </w:rPr>
              <w:t>序号</w:t>
            </w:r>
          </w:p>
        </w:tc>
        <w:tc>
          <w:tcPr>
            <w:tcW w:w="3249" w:type="dxa"/>
            <w:vMerge w:val="restart"/>
            <w:tcBorders>
              <w:top w:val="single" w:color="auto" w:sz="4" w:space="0"/>
              <w:left w:val="single" w:color="auto" w:sz="4" w:space="0"/>
              <w:right w:val="single" w:color="auto" w:sz="4" w:space="0"/>
            </w:tcBorders>
            <w:vAlign w:val="center"/>
          </w:tcPr>
          <w:p>
            <w:pPr>
              <w:spacing w:line="320" w:lineRule="exact"/>
              <w:jc w:val="center"/>
              <w:rPr>
                <w:rFonts w:ascii="宋体" w:hAnsi="宋体"/>
                <w:b/>
                <w:color w:val="auto"/>
                <w:szCs w:val="21"/>
                <w:highlight w:val="none"/>
              </w:rPr>
            </w:pPr>
            <w:r>
              <w:rPr>
                <w:rFonts w:hint="eastAsia" w:ascii="宋体" w:hAnsi="宋体"/>
                <w:b/>
                <w:color w:val="auto"/>
                <w:szCs w:val="21"/>
                <w:highlight w:val="none"/>
              </w:rPr>
              <w:t>评审因素</w:t>
            </w:r>
          </w:p>
        </w:tc>
        <w:tc>
          <w:tcPr>
            <w:tcW w:w="10773" w:type="dxa"/>
            <w:gridSpan w:val="6"/>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b/>
                <w:color w:val="auto"/>
                <w:szCs w:val="21"/>
                <w:highlight w:val="none"/>
              </w:rPr>
            </w:pPr>
            <w:r>
              <w:rPr>
                <w:rFonts w:hint="eastAsia" w:ascii="宋体" w:hAnsi="宋体"/>
                <w:b/>
                <w:color w:val="auto"/>
                <w:szCs w:val="21"/>
                <w:highlight w:val="none"/>
              </w:rPr>
              <w:t>投标单位名称及评审意见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28" w:type="dxa"/>
            <w:vMerge w:val="continue"/>
            <w:tcBorders>
              <w:left w:val="single" w:color="auto" w:sz="4" w:space="0"/>
              <w:bottom w:val="single" w:color="auto" w:sz="4" w:space="0"/>
              <w:right w:val="single" w:color="auto" w:sz="4" w:space="0"/>
            </w:tcBorders>
            <w:vAlign w:val="center"/>
          </w:tcPr>
          <w:p>
            <w:pPr>
              <w:spacing w:line="320" w:lineRule="exact"/>
              <w:jc w:val="center"/>
              <w:rPr>
                <w:rFonts w:ascii="宋体" w:hAnsi="宋体"/>
                <w:b/>
                <w:color w:val="auto"/>
                <w:szCs w:val="21"/>
                <w:highlight w:val="none"/>
              </w:rPr>
            </w:pPr>
          </w:p>
        </w:tc>
        <w:tc>
          <w:tcPr>
            <w:tcW w:w="3249" w:type="dxa"/>
            <w:vMerge w:val="continue"/>
            <w:tcBorders>
              <w:left w:val="single" w:color="auto" w:sz="4" w:space="0"/>
              <w:bottom w:val="single" w:color="auto" w:sz="4" w:space="0"/>
              <w:right w:val="single" w:color="auto" w:sz="4" w:space="0"/>
            </w:tcBorders>
            <w:vAlign w:val="center"/>
          </w:tcPr>
          <w:p>
            <w:pPr>
              <w:spacing w:line="320" w:lineRule="exact"/>
              <w:jc w:val="center"/>
              <w:rPr>
                <w:rFonts w:ascii="宋体" w:hAnsi="宋体"/>
                <w:b/>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b/>
                <w:color w:val="auto"/>
                <w:szCs w:val="21"/>
                <w:highlight w:val="none"/>
              </w:rPr>
            </w:pPr>
            <w:r>
              <w:rPr>
                <w:rFonts w:hint="eastAsia" w:ascii="宋体" w:hAnsi="宋体"/>
                <w:b/>
                <w:color w:val="auto"/>
                <w:szCs w:val="21"/>
                <w:highlight w:val="none"/>
              </w:rPr>
              <w:t>投标一</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b/>
                <w:color w:val="auto"/>
                <w:szCs w:val="21"/>
                <w:highlight w:val="none"/>
              </w:rPr>
            </w:pPr>
            <w:r>
              <w:rPr>
                <w:rFonts w:hint="eastAsia" w:ascii="宋体" w:hAnsi="宋体"/>
                <w:b/>
                <w:color w:val="auto"/>
                <w:szCs w:val="21"/>
                <w:highlight w:val="none"/>
              </w:rPr>
              <w:t>投标人二</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b/>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b/>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b/>
                <w:color w:val="auto"/>
                <w:szCs w:val="21"/>
                <w:highlight w:val="none"/>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82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r>
              <w:rPr>
                <w:rFonts w:hint="eastAsia" w:ascii="宋体" w:hAnsi="宋体"/>
                <w:color w:val="auto"/>
                <w:szCs w:val="21"/>
                <w:highlight w:val="none"/>
              </w:rPr>
              <w:t>1</w:t>
            </w:r>
          </w:p>
        </w:tc>
        <w:tc>
          <w:tcPr>
            <w:tcW w:w="324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r>
              <w:rPr>
                <w:rFonts w:hint="eastAsia" w:ascii="宋体" w:hAnsi="宋体"/>
                <w:color w:val="auto"/>
                <w:szCs w:val="21"/>
                <w:highlight w:val="none"/>
              </w:rPr>
              <w:t>施工组织设计内容完整性和编制水平</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82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r>
              <w:rPr>
                <w:rFonts w:hint="eastAsia" w:ascii="宋体" w:hAnsi="宋体"/>
                <w:color w:val="auto"/>
                <w:szCs w:val="21"/>
                <w:highlight w:val="none"/>
              </w:rPr>
              <w:t>2</w:t>
            </w:r>
          </w:p>
        </w:tc>
        <w:tc>
          <w:tcPr>
            <w:tcW w:w="324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r>
              <w:rPr>
                <w:rFonts w:hint="eastAsia" w:ascii="宋体" w:hAnsi="宋体"/>
                <w:color w:val="auto"/>
                <w:szCs w:val="21"/>
                <w:highlight w:val="none"/>
              </w:rPr>
              <w:t>施工方案与技术措施的合理性、科学性与可行性</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82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r>
              <w:rPr>
                <w:rFonts w:ascii="宋体" w:hAnsi="宋体"/>
                <w:color w:val="auto"/>
                <w:szCs w:val="21"/>
                <w:highlight w:val="none"/>
              </w:rPr>
              <w:t>3</w:t>
            </w:r>
          </w:p>
        </w:tc>
        <w:tc>
          <w:tcPr>
            <w:tcW w:w="324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r>
              <w:rPr>
                <w:rFonts w:hint="eastAsia" w:ascii="宋体" w:hAnsi="宋体"/>
                <w:color w:val="auto"/>
                <w:szCs w:val="21"/>
                <w:highlight w:val="none"/>
              </w:rPr>
              <w:t>质量管理体系与措施</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82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r>
              <w:rPr>
                <w:rFonts w:hint="eastAsia" w:ascii="宋体" w:hAnsi="宋体"/>
                <w:color w:val="auto"/>
                <w:szCs w:val="21"/>
                <w:highlight w:val="none"/>
              </w:rPr>
              <w:t>4</w:t>
            </w:r>
          </w:p>
        </w:tc>
        <w:tc>
          <w:tcPr>
            <w:tcW w:w="3249"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snapToGrid w:val="0"/>
              <w:spacing w:line="360" w:lineRule="auto"/>
              <w:ind w:firstLine="567"/>
              <w:rPr>
                <w:rFonts w:ascii="宋体" w:hAnsi="宋体"/>
                <w:color w:val="auto"/>
                <w:szCs w:val="21"/>
                <w:highlight w:val="none"/>
              </w:rPr>
            </w:pPr>
            <w:r>
              <w:rPr>
                <w:rFonts w:hint="eastAsia" w:ascii="宋体" w:hAnsi="宋体"/>
                <w:color w:val="auto"/>
                <w:szCs w:val="21"/>
                <w:highlight w:val="none"/>
              </w:rPr>
              <w:t>安全管理体系与措施</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82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r>
              <w:rPr>
                <w:rFonts w:hint="eastAsia" w:ascii="宋体" w:hAnsi="宋体"/>
                <w:color w:val="auto"/>
                <w:szCs w:val="21"/>
                <w:highlight w:val="none"/>
              </w:rPr>
              <w:t>5</w:t>
            </w:r>
          </w:p>
        </w:tc>
        <w:tc>
          <w:tcPr>
            <w:tcW w:w="324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r>
              <w:rPr>
                <w:rFonts w:hint="eastAsia" w:ascii="宋体" w:hAnsi="宋体"/>
                <w:color w:val="auto"/>
                <w:szCs w:val="21"/>
                <w:highlight w:val="none"/>
              </w:rPr>
              <w:t>环境保护管理体系与措施</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82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r>
              <w:rPr>
                <w:rFonts w:hint="eastAsia" w:ascii="宋体" w:hAnsi="宋体"/>
                <w:color w:val="auto"/>
                <w:szCs w:val="21"/>
                <w:highlight w:val="none"/>
              </w:rPr>
              <w:t>6</w:t>
            </w:r>
          </w:p>
        </w:tc>
        <w:tc>
          <w:tcPr>
            <w:tcW w:w="324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r>
              <w:rPr>
                <w:rFonts w:hint="eastAsia" w:ascii="宋体" w:hAnsi="宋体"/>
                <w:color w:val="auto"/>
                <w:szCs w:val="21"/>
                <w:highlight w:val="none"/>
              </w:rPr>
              <w:t>工程建设进度计划与措施</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82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r>
              <w:rPr>
                <w:rFonts w:hint="eastAsia" w:ascii="宋体" w:hAnsi="宋体"/>
                <w:color w:val="auto"/>
                <w:szCs w:val="21"/>
                <w:highlight w:val="none"/>
              </w:rPr>
              <w:t>7</w:t>
            </w:r>
          </w:p>
        </w:tc>
        <w:tc>
          <w:tcPr>
            <w:tcW w:w="324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r>
              <w:rPr>
                <w:rFonts w:hint="eastAsia" w:ascii="宋体" w:hAnsi="宋体"/>
                <w:color w:val="auto"/>
                <w:szCs w:val="21"/>
                <w:highlight w:val="none"/>
              </w:rPr>
              <w:t>资源配备计划</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r>
    </w:tbl>
    <w:p>
      <w:pPr>
        <w:pStyle w:val="129"/>
        <w:rPr>
          <w:color w:val="auto"/>
          <w:highlight w:val="none"/>
        </w:rPr>
      </w:pPr>
      <w:r>
        <w:rPr>
          <w:rFonts w:hint="eastAsia"/>
          <w:color w:val="auto"/>
          <w:highlight w:val="none"/>
        </w:rPr>
        <w:t>注：表格最终以广州公共资源交易中心系统生成的为准。</w:t>
      </w:r>
    </w:p>
    <w:p>
      <w:pPr>
        <w:rPr>
          <w:rFonts w:ascii="宋体" w:hAnsi="宋体"/>
          <w:color w:val="auto"/>
          <w:highlight w:val="none"/>
        </w:rPr>
      </w:pPr>
    </w:p>
    <w:p>
      <w:pPr>
        <w:jc w:val="center"/>
        <w:rPr>
          <w:rFonts w:ascii="宋体" w:hAnsi="宋体"/>
          <w:b/>
          <w:color w:val="auto"/>
          <w:sz w:val="30"/>
          <w:szCs w:val="30"/>
          <w:highlight w:val="none"/>
        </w:rPr>
      </w:pPr>
      <w:r>
        <w:rPr>
          <w:rFonts w:ascii="宋体" w:hAnsi="宋体"/>
          <w:color w:val="auto"/>
          <w:highlight w:val="none"/>
        </w:rPr>
        <w:br w:type="page"/>
      </w:r>
      <w:r>
        <w:rPr>
          <w:rFonts w:hint="eastAsia" w:ascii="宋体" w:hAnsi="宋体"/>
          <w:b/>
          <w:color w:val="auto"/>
          <w:sz w:val="30"/>
          <w:szCs w:val="30"/>
          <w:highlight w:val="none"/>
        </w:rPr>
        <w:t>技术部分</w:t>
      </w:r>
      <w:r>
        <w:rPr>
          <w:rFonts w:ascii="宋体" w:hAnsi="宋体"/>
          <w:b/>
          <w:color w:val="auto"/>
          <w:sz w:val="30"/>
          <w:szCs w:val="30"/>
          <w:highlight w:val="none"/>
        </w:rPr>
        <w:t>评审结果汇总表</w:t>
      </w:r>
    </w:p>
    <w:p>
      <w:pPr>
        <w:jc w:val="center"/>
        <w:rPr>
          <w:rFonts w:ascii="宋体" w:hAnsi="宋体"/>
          <w:b/>
          <w:color w:val="auto"/>
          <w:sz w:val="30"/>
          <w:szCs w:val="30"/>
          <w:highlight w:val="none"/>
        </w:rPr>
      </w:pPr>
    </w:p>
    <w:p>
      <w:pPr>
        <w:rPr>
          <w:rFonts w:ascii="宋体" w:hAnsi="宋体"/>
          <w:color w:val="auto"/>
          <w:highlight w:val="none"/>
        </w:rPr>
      </w:pPr>
      <w:r>
        <w:rPr>
          <w:rFonts w:hint="eastAsia" w:ascii="宋体" w:hAnsi="宋体"/>
          <w:color w:val="auto"/>
          <w:highlight w:val="none"/>
        </w:rPr>
        <w:t>项目编号：</w:t>
      </w:r>
    </w:p>
    <w:p>
      <w:pPr>
        <w:rPr>
          <w:rFonts w:ascii="宋体" w:hAnsi="宋体"/>
          <w:color w:val="auto"/>
          <w:highlight w:val="none"/>
        </w:rPr>
      </w:pPr>
      <w:r>
        <w:rPr>
          <w:rFonts w:hint="eastAsia" w:ascii="宋体" w:hAnsi="宋体"/>
          <w:color w:val="auto"/>
          <w:highlight w:val="none"/>
        </w:rPr>
        <w:t>项目名称：</w:t>
      </w:r>
    </w:p>
    <w:tbl>
      <w:tblPr>
        <w:tblStyle w:val="40"/>
        <w:tblpPr w:leftFromText="180" w:rightFromText="180" w:vertAnchor="text" w:tblpY="1"/>
        <w:tblOverlap w:val="never"/>
        <w:tblW w:w="139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60"/>
        <w:gridCol w:w="2340"/>
        <w:gridCol w:w="1548"/>
        <w:gridCol w:w="1620"/>
        <w:gridCol w:w="1470"/>
        <w:gridCol w:w="1275"/>
        <w:gridCol w:w="1257"/>
        <w:gridCol w:w="1024"/>
        <w:gridCol w:w="1025"/>
        <w:gridCol w:w="1024"/>
        <w:gridCol w:w="102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360" w:type="dxa"/>
            <w:tcBorders>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r>
              <w:rPr>
                <w:rFonts w:hint="eastAsia" w:ascii="宋体" w:hAnsi="宋体"/>
                <w:color w:val="auto"/>
                <w:szCs w:val="21"/>
                <w:highlight w:val="none"/>
              </w:rPr>
              <w:t>序号</w:t>
            </w:r>
          </w:p>
        </w:tc>
        <w:tc>
          <w:tcPr>
            <w:tcW w:w="2340" w:type="dxa"/>
            <w:tcBorders>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r>
              <w:rPr>
                <w:rFonts w:hint="eastAsia" w:ascii="宋体" w:hAnsi="宋体"/>
                <w:color w:val="auto"/>
                <w:szCs w:val="21"/>
                <w:highlight w:val="none"/>
              </w:rPr>
              <w:t>评审因素</w:t>
            </w:r>
          </w:p>
        </w:tc>
        <w:tc>
          <w:tcPr>
            <w:tcW w:w="154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r>
              <w:rPr>
                <w:rFonts w:ascii="宋体" w:hAnsi="宋体"/>
                <w:color w:val="auto"/>
                <w:szCs w:val="21"/>
                <w:highlight w:val="none"/>
              </w:rPr>
              <w:t>投标人一</w:t>
            </w:r>
          </w:p>
        </w:tc>
        <w:tc>
          <w:tcPr>
            <w:tcW w:w="16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r>
              <w:rPr>
                <w:rFonts w:ascii="宋体" w:hAnsi="宋体"/>
                <w:color w:val="auto"/>
                <w:szCs w:val="21"/>
                <w:highlight w:val="none"/>
              </w:rPr>
              <w:t>投标人二</w:t>
            </w:r>
          </w:p>
        </w:tc>
        <w:tc>
          <w:tcPr>
            <w:tcW w:w="147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r>
              <w:rPr>
                <w:rFonts w:ascii="宋体" w:hAnsi="宋体"/>
                <w:color w:val="auto"/>
                <w:szCs w:val="21"/>
                <w:highlight w:val="none"/>
              </w:rPr>
              <w:t>投标人</w:t>
            </w:r>
            <w:r>
              <w:rPr>
                <w:rFonts w:hint="eastAsia" w:ascii="宋体" w:hAnsi="宋体"/>
                <w:color w:val="auto"/>
                <w:szCs w:val="21"/>
                <w:highlight w:val="none"/>
              </w:rPr>
              <w:t>三</w:t>
            </w:r>
          </w:p>
        </w:tc>
        <w:tc>
          <w:tcPr>
            <w:tcW w:w="1275"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25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3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r>
              <w:rPr>
                <w:rFonts w:hint="eastAsia" w:ascii="宋体" w:hAnsi="宋体"/>
                <w:color w:val="auto"/>
                <w:szCs w:val="21"/>
                <w:highlight w:val="none"/>
              </w:rPr>
              <w:t>1</w:t>
            </w:r>
          </w:p>
        </w:tc>
        <w:tc>
          <w:tcPr>
            <w:tcW w:w="23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r>
              <w:rPr>
                <w:rFonts w:hint="eastAsia" w:ascii="宋体" w:hAnsi="宋体"/>
                <w:color w:val="auto"/>
                <w:szCs w:val="21"/>
                <w:highlight w:val="none"/>
              </w:rPr>
              <w:t>施工组织设计内容完整性和编制水平</w:t>
            </w:r>
          </w:p>
        </w:tc>
        <w:tc>
          <w:tcPr>
            <w:tcW w:w="154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25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3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r>
              <w:rPr>
                <w:rFonts w:hint="eastAsia" w:ascii="宋体" w:hAnsi="宋体"/>
                <w:color w:val="auto"/>
                <w:szCs w:val="21"/>
                <w:highlight w:val="none"/>
              </w:rPr>
              <w:t>2</w:t>
            </w:r>
          </w:p>
        </w:tc>
        <w:tc>
          <w:tcPr>
            <w:tcW w:w="23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r>
              <w:rPr>
                <w:rFonts w:hint="eastAsia" w:ascii="宋体" w:hAnsi="宋体"/>
                <w:color w:val="auto"/>
                <w:szCs w:val="21"/>
                <w:highlight w:val="none"/>
              </w:rPr>
              <w:t>施工方案与技术措施的合理性、科学性与可行性</w:t>
            </w:r>
          </w:p>
        </w:tc>
        <w:tc>
          <w:tcPr>
            <w:tcW w:w="154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25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r>
              <w:rPr>
                <w:rFonts w:hint="eastAsia" w:ascii="宋体" w:hAnsi="宋体"/>
                <w:color w:val="auto"/>
                <w:szCs w:val="21"/>
                <w:highlight w:val="none"/>
              </w:rPr>
              <w:t>3</w:t>
            </w:r>
          </w:p>
        </w:tc>
        <w:tc>
          <w:tcPr>
            <w:tcW w:w="23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r>
              <w:rPr>
                <w:rFonts w:hint="eastAsia" w:ascii="宋体" w:hAnsi="宋体"/>
                <w:color w:val="auto"/>
                <w:szCs w:val="21"/>
                <w:highlight w:val="none"/>
              </w:rPr>
              <w:t>质量管理体系与措施</w:t>
            </w:r>
          </w:p>
        </w:tc>
        <w:tc>
          <w:tcPr>
            <w:tcW w:w="154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25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3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r>
              <w:rPr>
                <w:rFonts w:hint="eastAsia" w:ascii="宋体" w:hAnsi="宋体"/>
                <w:color w:val="auto"/>
                <w:szCs w:val="21"/>
                <w:highlight w:val="none"/>
              </w:rPr>
              <w:t>4</w:t>
            </w:r>
          </w:p>
        </w:tc>
        <w:tc>
          <w:tcPr>
            <w:tcW w:w="23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r>
              <w:rPr>
                <w:rFonts w:hint="eastAsia" w:ascii="宋体" w:hAnsi="宋体"/>
                <w:color w:val="auto"/>
                <w:szCs w:val="21"/>
                <w:highlight w:val="none"/>
              </w:rPr>
              <w:t>安全管理体系与措施</w:t>
            </w:r>
          </w:p>
        </w:tc>
        <w:tc>
          <w:tcPr>
            <w:tcW w:w="154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25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3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r>
              <w:rPr>
                <w:rFonts w:hint="eastAsia" w:ascii="宋体" w:hAnsi="宋体"/>
                <w:color w:val="auto"/>
                <w:szCs w:val="21"/>
                <w:highlight w:val="none"/>
              </w:rPr>
              <w:t>5</w:t>
            </w:r>
          </w:p>
        </w:tc>
        <w:tc>
          <w:tcPr>
            <w:tcW w:w="23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r>
              <w:rPr>
                <w:rFonts w:hint="eastAsia" w:ascii="宋体" w:hAnsi="宋体"/>
                <w:color w:val="auto"/>
                <w:szCs w:val="21"/>
                <w:highlight w:val="none"/>
              </w:rPr>
              <w:t>环境保护管理体系与措施</w:t>
            </w:r>
          </w:p>
        </w:tc>
        <w:tc>
          <w:tcPr>
            <w:tcW w:w="154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25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3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highlight w:val="none"/>
              </w:rPr>
            </w:pPr>
            <w:r>
              <w:rPr>
                <w:rFonts w:hint="eastAsia" w:ascii="宋体" w:hAnsi="宋体"/>
                <w:color w:val="auto"/>
                <w:highlight w:val="none"/>
              </w:rPr>
              <w:t>6</w:t>
            </w:r>
          </w:p>
        </w:tc>
        <w:tc>
          <w:tcPr>
            <w:tcW w:w="23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highlight w:val="none"/>
              </w:rPr>
            </w:pPr>
            <w:r>
              <w:rPr>
                <w:rFonts w:hint="eastAsia" w:ascii="宋体" w:hAnsi="宋体"/>
                <w:color w:val="auto"/>
                <w:szCs w:val="21"/>
                <w:highlight w:val="none"/>
              </w:rPr>
              <w:t>工程建设进度计划与措施</w:t>
            </w:r>
          </w:p>
        </w:tc>
        <w:tc>
          <w:tcPr>
            <w:tcW w:w="154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25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3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r>
              <w:rPr>
                <w:rFonts w:hint="eastAsia" w:ascii="宋体" w:hAnsi="宋体"/>
                <w:color w:val="auto"/>
                <w:szCs w:val="21"/>
                <w:highlight w:val="none"/>
              </w:rPr>
              <w:t>7</w:t>
            </w:r>
          </w:p>
        </w:tc>
        <w:tc>
          <w:tcPr>
            <w:tcW w:w="23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r>
              <w:rPr>
                <w:rFonts w:hint="eastAsia" w:ascii="宋体" w:hAnsi="宋体"/>
                <w:color w:val="auto"/>
                <w:szCs w:val="21"/>
                <w:highlight w:val="none"/>
              </w:rPr>
              <w:t>资源配备计划</w:t>
            </w:r>
          </w:p>
        </w:tc>
        <w:tc>
          <w:tcPr>
            <w:tcW w:w="154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25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highlight w:val="none"/>
              </w:rPr>
            </w:pPr>
          </w:p>
        </w:tc>
        <w:tc>
          <w:tcPr>
            <w:tcW w:w="23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highlight w:val="none"/>
              </w:rPr>
            </w:pPr>
            <w:r>
              <w:rPr>
                <w:rFonts w:hint="eastAsia" w:ascii="宋体" w:hAnsi="宋体"/>
                <w:color w:val="auto"/>
                <w:highlight w:val="none"/>
              </w:rPr>
              <w:t>合计</w:t>
            </w:r>
          </w:p>
        </w:tc>
        <w:tc>
          <w:tcPr>
            <w:tcW w:w="154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25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p>
        </w:tc>
      </w:tr>
    </w:tbl>
    <w:p>
      <w:pPr>
        <w:pStyle w:val="129"/>
        <w:rPr>
          <w:color w:val="auto"/>
          <w:highlight w:val="none"/>
        </w:rPr>
      </w:pPr>
      <w:r>
        <w:rPr>
          <w:rFonts w:hint="eastAsia"/>
          <w:color w:val="auto"/>
          <w:highlight w:val="none"/>
        </w:rPr>
        <w:t>注：表格最终以广州公共资源交易中心系统生成的为准。</w:t>
      </w:r>
    </w:p>
    <w:p>
      <w:pPr>
        <w:pStyle w:val="129"/>
        <w:rPr>
          <w:color w:val="auto"/>
          <w:highlight w:val="none"/>
        </w:rPr>
        <w:sectPr>
          <w:pgSz w:w="16838" w:h="11906" w:orient="landscape"/>
          <w:pgMar w:top="1797" w:right="1440" w:bottom="1797" w:left="1440" w:header="851" w:footer="992" w:gutter="0"/>
          <w:cols w:space="720" w:num="1"/>
          <w:docGrid w:linePitch="312" w:charSpace="0"/>
        </w:sectPr>
      </w:pPr>
    </w:p>
    <w:p>
      <w:pPr>
        <w:spacing w:line="360" w:lineRule="auto"/>
        <w:jc w:val="left"/>
        <w:outlineLvl w:val="2"/>
        <w:rPr>
          <w:rFonts w:ascii="宋体" w:hAnsi="宋体"/>
          <w:strike/>
          <w:color w:val="auto"/>
          <w:sz w:val="28"/>
          <w:szCs w:val="27"/>
          <w:highlight w:val="none"/>
        </w:rPr>
      </w:pPr>
      <w:r>
        <w:rPr>
          <w:rFonts w:hint="eastAsia" w:ascii="宋体" w:hAnsi="宋体"/>
          <w:strike/>
          <w:color w:val="auto"/>
          <w:sz w:val="28"/>
          <w:szCs w:val="27"/>
          <w:highlight w:val="none"/>
        </w:rPr>
        <w:t>附表</w:t>
      </w:r>
      <w:r>
        <w:rPr>
          <w:rFonts w:ascii="宋体" w:hAnsi="宋体"/>
          <w:strike/>
          <w:color w:val="auto"/>
          <w:sz w:val="28"/>
          <w:szCs w:val="27"/>
          <w:highlight w:val="none"/>
        </w:rPr>
        <w:t>5</w:t>
      </w:r>
      <w:r>
        <w:rPr>
          <w:rFonts w:hint="eastAsia" w:ascii="宋体" w:hAnsi="宋体"/>
          <w:strike/>
          <w:color w:val="auto"/>
          <w:sz w:val="28"/>
          <w:szCs w:val="27"/>
          <w:highlight w:val="none"/>
        </w:rPr>
        <w:t>：商务部分评审得分记录表（格式）</w:t>
      </w:r>
    </w:p>
    <w:p>
      <w:pPr>
        <w:jc w:val="center"/>
        <w:rPr>
          <w:rFonts w:ascii="宋体" w:hAnsi="宋体"/>
          <w:b/>
          <w:strike/>
          <w:color w:val="auto"/>
          <w:sz w:val="30"/>
          <w:szCs w:val="30"/>
          <w:highlight w:val="none"/>
        </w:rPr>
      </w:pPr>
      <w:r>
        <w:rPr>
          <w:rFonts w:hint="eastAsia" w:ascii="宋体" w:hAnsi="宋体"/>
          <w:b/>
          <w:strike/>
          <w:color w:val="auto"/>
          <w:sz w:val="30"/>
          <w:szCs w:val="30"/>
          <w:highlight w:val="none"/>
        </w:rPr>
        <w:t>商务部分</w:t>
      </w:r>
      <w:r>
        <w:rPr>
          <w:rFonts w:ascii="宋体" w:hAnsi="宋体"/>
          <w:b/>
          <w:strike/>
          <w:color w:val="auto"/>
          <w:sz w:val="30"/>
          <w:szCs w:val="30"/>
          <w:highlight w:val="none"/>
        </w:rPr>
        <w:t>评审</w:t>
      </w:r>
      <w:r>
        <w:rPr>
          <w:rFonts w:hint="eastAsia" w:ascii="宋体" w:hAnsi="宋体"/>
          <w:b/>
          <w:strike/>
          <w:color w:val="auto"/>
          <w:sz w:val="30"/>
          <w:szCs w:val="30"/>
          <w:highlight w:val="none"/>
        </w:rPr>
        <w:t>个人</w:t>
      </w:r>
      <w:r>
        <w:rPr>
          <w:rFonts w:ascii="宋体" w:hAnsi="宋体"/>
          <w:b/>
          <w:strike/>
          <w:color w:val="auto"/>
          <w:sz w:val="30"/>
          <w:szCs w:val="30"/>
          <w:highlight w:val="none"/>
        </w:rPr>
        <w:t>表</w:t>
      </w:r>
    </w:p>
    <w:p>
      <w:pPr>
        <w:jc w:val="center"/>
        <w:rPr>
          <w:rFonts w:ascii="宋体" w:hAnsi="宋体"/>
          <w:b/>
          <w:strike/>
          <w:color w:val="auto"/>
          <w:sz w:val="30"/>
          <w:szCs w:val="30"/>
          <w:highlight w:val="none"/>
        </w:rPr>
      </w:pPr>
    </w:p>
    <w:p>
      <w:pPr>
        <w:rPr>
          <w:rFonts w:ascii="宋体" w:hAnsi="宋体"/>
          <w:strike/>
          <w:color w:val="auto"/>
          <w:highlight w:val="none"/>
        </w:rPr>
      </w:pPr>
      <w:r>
        <w:rPr>
          <w:rFonts w:hint="eastAsia" w:ascii="宋体" w:hAnsi="宋体"/>
          <w:strike/>
          <w:color w:val="auto"/>
          <w:highlight w:val="none"/>
        </w:rPr>
        <w:t>项目编号：</w:t>
      </w:r>
    </w:p>
    <w:p>
      <w:pPr>
        <w:rPr>
          <w:rFonts w:ascii="宋体" w:hAnsi="宋体"/>
          <w:strike/>
          <w:color w:val="auto"/>
          <w:highlight w:val="none"/>
        </w:rPr>
      </w:pPr>
      <w:r>
        <w:rPr>
          <w:rFonts w:hint="eastAsia" w:ascii="宋体" w:hAnsi="宋体"/>
          <w:strike/>
          <w:color w:val="auto"/>
          <w:highlight w:val="none"/>
        </w:rPr>
        <w:t>项目名称：</w:t>
      </w:r>
    </w:p>
    <w:tbl>
      <w:tblPr>
        <w:tblStyle w:val="40"/>
        <w:tblpPr w:leftFromText="180" w:rightFromText="180" w:vertAnchor="text" w:tblpY="1"/>
        <w:tblOverlap w:val="never"/>
        <w:tblW w:w="1485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8"/>
        <w:gridCol w:w="3249"/>
        <w:gridCol w:w="1843"/>
        <w:gridCol w:w="1701"/>
        <w:gridCol w:w="1701"/>
        <w:gridCol w:w="1843"/>
        <w:gridCol w:w="1843"/>
        <w:gridCol w:w="184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28" w:type="dxa"/>
            <w:vMerge w:val="restart"/>
            <w:tcBorders>
              <w:top w:val="single" w:color="auto" w:sz="4" w:space="0"/>
              <w:left w:val="single" w:color="auto" w:sz="4" w:space="0"/>
              <w:right w:val="single" w:color="auto" w:sz="4" w:space="0"/>
            </w:tcBorders>
            <w:vAlign w:val="center"/>
          </w:tcPr>
          <w:p>
            <w:pPr>
              <w:spacing w:line="320" w:lineRule="exact"/>
              <w:jc w:val="center"/>
              <w:rPr>
                <w:rFonts w:ascii="宋体" w:hAnsi="宋体"/>
                <w:b/>
                <w:strike/>
                <w:color w:val="auto"/>
                <w:szCs w:val="21"/>
                <w:highlight w:val="none"/>
              </w:rPr>
            </w:pPr>
            <w:r>
              <w:rPr>
                <w:rFonts w:hint="eastAsia" w:ascii="宋体" w:hAnsi="宋体"/>
                <w:b/>
                <w:strike/>
                <w:color w:val="auto"/>
                <w:szCs w:val="21"/>
                <w:highlight w:val="none"/>
              </w:rPr>
              <w:t>序号</w:t>
            </w:r>
          </w:p>
        </w:tc>
        <w:tc>
          <w:tcPr>
            <w:tcW w:w="3249" w:type="dxa"/>
            <w:vMerge w:val="restart"/>
            <w:tcBorders>
              <w:top w:val="single" w:color="auto" w:sz="4" w:space="0"/>
              <w:left w:val="single" w:color="auto" w:sz="4" w:space="0"/>
              <w:right w:val="single" w:color="auto" w:sz="4" w:space="0"/>
            </w:tcBorders>
            <w:vAlign w:val="center"/>
          </w:tcPr>
          <w:p>
            <w:pPr>
              <w:spacing w:line="320" w:lineRule="exact"/>
              <w:jc w:val="center"/>
              <w:rPr>
                <w:rFonts w:ascii="宋体" w:hAnsi="宋体"/>
                <w:b/>
                <w:strike/>
                <w:color w:val="auto"/>
                <w:szCs w:val="21"/>
                <w:highlight w:val="none"/>
              </w:rPr>
            </w:pPr>
            <w:r>
              <w:rPr>
                <w:rFonts w:hint="eastAsia" w:ascii="宋体" w:hAnsi="宋体"/>
                <w:b/>
                <w:strike/>
                <w:color w:val="auto"/>
                <w:szCs w:val="21"/>
                <w:highlight w:val="none"/>
              </w:rPr>
              <w:t>评审因素</w:t>
            </w:r>
          </w:p>
        </w:tc>
        <w:tc>
          <w:tcPr>
            <w:tcW w:w="10773" w:type="dxa"/>
            <w:gridSpan w:val="6"/>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b/>
                <w:strike/>
                <w:color w:val="auto"/>
                <w:szCs w:val="21"/>
                <w:highlight w:val="none"/>
              </w:rPr>
            </w:pPr>
            <w:r>
              <w:rPr>
                <w:rFonts w:hint="eastAsia" w:ascii="宋体" w:hAnsi="宋体"/>
                <w:b/>
                <w:strike/>
                <w:color w:val="auto"/>
                <w:szCs w:val="21"/>
                <w:highlight w:val="none"/>
              </w:rPr>
              <w:t>投标单位名称及评审意见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28" w:type="dxa"/>
            <w:vMerge w:val="continue"/>
            <w:tcBorders>
              <w:left w:val="single" w:color="auto" w:sz="4" w:space="0"/>
              <w:bottom w:val="single" w:color="auto" w:sz="4" w:space="0"/>
              <w:right w:val="single" w:color="auto" w:sz="4" w:space="0"/>
            </w:tcBorders>
            <w:vAlign w:val="center"/>
          </w:tcPr>
          <w:p>
            <w:pPr>
              <w:spacing w:line="320" w:lineRule="exact"/>
              <w:jc w:val="center"/>
              <w:rPr>
                <w:rFonts w:ascii="宋体" w:hAnsi="宋体"/>
                <w:b/>
                <w:strike/>
                <w:color w:val="auto"/>
                <w:szCs w:val="21"/>
                <w:highlight w:val="none"/>
              </w:rPr>
            </w:pPr>
          </w:p>
        </w:tc>
        <w:tc>
          <w:tcPr>
            <w:tcW w:w="3249" w:type="dxa"/>
            <w:vMerge w:val="continue"/>
            <w:tcBorders>
              <w:left w:val="single" w:color="auto" w:sz="4" w:space="0"/>
              <w:bottom w:val="single" w:color="auto" w:sz="4" w:space="0"/>
              <w:right w:val="single" w:color="auto" w:sz="4" w:space="0"/>
            </w:tcBorders>
            <w:vAlign w:val="center"/>
          </w:tcPr>
          <w:p>
            <w:pPr>
              <w:spacing w:line="320" w:lineRule="exact"/>
              <w:jc w:val="center"/>
              <w:rPr>
                <w:rFonts w:ascii="宋体" w:hAnsi="宋体"/>
                <w:b/>
                <w:strike/>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b/>
                <w:strike/>
                <w:color w:val="auto"/>
                <w:szCs w:val="21"/>
                <w:highlight w:val="none"/>
              </w:rPr>
            </w:pPr>
            <w:r>
              <w:rPr>
                <w:rFonts w:hint="eastAsia" w:ascii="宋体" w:hAnsi="宋体"/>
                <w:b/>
                <w:strike/>
                <w:color w:val="auto"/>
                <w:szCs w:val="21"/>
                <w:highlight w:val="none"/>
              </w:rPr>
              <w:t>投标一</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b/>
                <w:strike/>
                <w:color w:val="auto"/>
                <w:szCs w:val="21"/>
                <w:highlight w:val="none"/>
              </w:rPr>
            </w:pPr>
            <w:r>
              <w:rPr>
                <w:rFonts w:hint="eastAsia" w:ascii="宋体" w:hAnsi="宋体"/>
                <w:b/>
                <w:strike/>
                <w:color w:val="auto"/>
                <w:szCs w:val="21"/>
                <w:highlight w:val="none"/>
              </w:rPr>
              <w:t>投标人二</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b/>
                <w:strike/>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b/>
                <w:strike/>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b/>
                <w:strike/>
                <w:color w:val="auto"/>
                <w:szCs w:val="21"/>
                <w:highlight w:val="none"/>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b/>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82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r>
              <w:rPr>
                <w:rFonts w:hint="eastAsia" w:ascii="宋体" w:hAnsi="宋体"/>
                <w:strike/>
                <w:color w:val="auto"/>
                <w:szCs w:val="21"/>
                <w:highlight w:val="none"/>
              </w:rPr>
              <w:t>1</w:t>
            </w:r>
          </w:p>
        </w:tc>
        <w:tc>
          <w:tcPr>
            <w:tcW w:w="324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trike/>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82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r>
              <w:rPr>
                <w:rFonts w:hint="eastAsia" w:ascii="宋体" w:hAnsi="宋体"/>
                <w:strike/>
                <w:color w:val="auto"/>
                <w:szCs w:val="21"/>
                <w:highlight w:val="none"/>
              </w:rPr>
              <w:t>2</w:t>
            </w:r>
          </w:p>
        </w:tc>
        <w:tc>
          <w:tcPr>
            <w:tcW w:w="324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82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r>
              <w:rPr>
                <w:rFonts w:hint="eastAsia" w:ascii="宋体" w:hAnsi="宋体"/>
                <w:strike/>
                <w:color w:val="auto"/>
                <w:szCs w:val="21"/>
                <w:highlight w:val="none"/>
              </w:rPr>
              <w:t>3</w:t>
            </w:r>
          </w:p>
        </w:tc>
        <w:tc>
          <w:tcPr>
            <w:tcW w:w="324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82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r>
              <w:rPr>
                <w:rFonts w:hint="eastAsia" w:ascii="宋体" w:hAnsi="宋体"/>
                <w:strike/>
                <w:color w:val="auto"/>
                <w:szCs w:val="21"/>
                <w:highlight w:val="none"/>
              </w:rPr>
              <w:t>4</w:t>
            </w:r>
          </w:p>
        </w:tc>
        <w:tc>
          <w:tcPr>
            <w:tcW w:w="324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82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r>
              <w:rPr>
                <w:rFonts w:hint="eastAsia" w:ascii="宋体" w:hAnsi="宋体"/>
                <w:strike/>
                <w:color w:val="auto"/>
                <w:szCs w:val="21"/>
                <w:highlight w:val="none"/>
              </w:rPr>
              <w:t>5</w:t>
            </w:r>
          </w:p>
        </w:tc>
        <w:tc>
          <w:tcPr>
            <w:tcW w:w="324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trike/>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82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r>
              <w:rPr>
                <w:rFonts w:hint="eastAsia" w:ascii="宋体" w:hAnsi="宋体"/>
                <w:strike/>
                <w:color w:val="auto"/>
                <w:szCs w:val="21"/>
                <w:highlight w:val="none"/>
              </w:rPr>
              <w:t>6</w:t>
            </w:r>
          </w:p>
        </w:tc>
        <w:tc>
          <w:tcPr>
            <w:tcW w:w="324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trike/>
                <w:color w:val="auto"/>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82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r>
              <w:rPr>
                <w:rFonts w:hint="eastAsia" w:ascii="宋体" w:hAnsi="宋体"/>
                <w:strike/>
                <w:color w:val="auto"/>
                <w:szCs w:val="21"/>
                <w:highlight w:val="none"/>
              </w:rPr>
              <w:t>7</w:t>
            </w:r>
          </w:p>
        </w:tc>
        <w:tc>
          <w:tcPr>
            <w:tcW w:w="324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82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r>
              <w:rPr>
                <w:rFonts w:hint="eastAsia" w:ascii="宋体" w:hAnsi="宋体"/>
                <w:strike/>
                <w:color w:val="auto"/>
                <w:szCs w:val="21"/>
                <w:highlight w:val="none"/>
              </w:rPr>
              <w:t>8</w:t>
            </w:r>
          </w:p>
        </w:tc>
        <w:tc>
          <w:tcPr>
            <w:tcW w:w="324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trike/>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p>
        </w:tc>
      </w:tr>
    </w:tbl>
    <w:p>
      <w:pPr>
        <w:pStyle w:val="129"/>
        <w:rPr>
          <w:strike/>
          <w:color w:val="auto"/>
          <w:highlight w:val="none"/>
        </w:rPr>
      </w:pPr>
      <w:r>
        <w:rPr>
          <w:rFonts w:hint="eastAsia"/>
          <w:strike/>
          <w:color w:val="auto"/>
          <w:highlight w:val="none"/>
        </w:rPr>
        <w:t>注：表格最终以广州公共资源交易中心系统生成的为准。</w:t>
      </w:r>
    </w:p>
    <w:p>
      <w:pPr>
        <w:rPr>
          <w:rFonts w:ascii="宋体" w:hAnsi="宋体"/>
          <w:strike/>
          <w:color w:val="auto"/>
          <w:highlight w:val="none"/>
        </w:rPr>
      </w:pPr>
      <w:r>
        <w:rPr>
          <w:rFonts w:ascii="宋体" w:hAnsi="宋体"/>
          <w:strike/>
          <w:color w:val="auto"/>
          <w:highlight w:val="none"/>
        </w:rPr>
        <w:br w:type="page"/>
      </w:r>
    </w:p>
    <w:p>
      <w:pPr>
        <w:jc w:val="center"/>
        <w:rPr>
          <w:rFonts w:ascii="宋体" w:hAnsi="宋体"/>
          <w:b/>
          <w:strike/>
          <w:color w:val="auto"/>
          <w:sz w:val="30"/>
          <w:szCs w:val="30"/>
          <w:highlight w:val="none"/>
        </w:rPr>
      </w:pPr>
      <w:r>
        <w:rPr>
          <w:rFonts w:hint="eastAsia" w:ascii="宋体" w:hAnsi="宋体"/>
          <w:b/>
          <w:strike/>
          <w:color w:val="auto"/>
          <w:sz w:val="30"/>
          <w:szCs w:val="30"/>
          <w:highlight w:val="none"/>
        </w:rPr>
        <w:t>商务部分</w:t>
      </w:r>
      <w:r>
        <w:rPr>
          <w:rFonts w:ascii="宋体" w:hAnsi="宋体"/>
          <w:b/>
          <w:strike/>
          <w:color w:val="auto"/>
          <w:sz w:val="30"/>
          <w:szCs w:val="30"/>
          <w:highlight w:val="none"/>
        </w:rPr>
        <w:t>评审结果汇总表</w:t>
      </w:r>
    </w:p>
    <w:p>
      <w:pPr>
        <w:rPr>
          <w:rFonts w:ascii="宋体" w:hAnsi="宋体"/>
          <w:strike/>
          <w:color w:val="auto"/>
          <w:highlight w:val="none"/>
        </w:rPr>
      </w:pPr>
      <w:r>
        <w:rPr>
          <w:rFonts w:hint="eastAsia" w:ascii="宋体" w:hAnsi="宋体"/>
          <w:strike/>
          <w:color w:val="auto"/>
          <w:highlight w:val="none"/>
        </w:rPr>
        <w:t>项目编号：</w:t>
      </w:r>
    </w:p>
    <w:p>
      <w:pPr>
        <w:rPr>
          <w:rFonts w:ascii="宋体" w:hAnsi="宋体"/>
          <w:strike/>
          <w:color w:val="auto"/>
          <w:highlight w:val="none"/>
        </w:rPr>
      </w:pPr>
      <w:r>
        <w:rPr>
          <w:rFonts w:hint="eastAsia" w:ascii="宋体" w:hAnsi="宋体"/>
          <w:strike/>
          <w:color w:val="auto"/>
          <w:highlight w:val="none"/>
        </w:rPr>
        <w:t>项目名称：</w:t>
      </w:r>
    </w:p>
    <w:tbl>
      <w:tblPr>
        <w:tblStyle w:val="40"/>
        <w:tblpPr w:leftFromText="180" w:rightFromText="180" w:vertAnchor="text" w:tblpY="1"/>
        <w:tblOverlap w:val="never"/>
        <w:tblW w:w="139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60"/>
        <w:gridCol w:w="2340"/>
        <w:gridCol w:w="1548"/>
        <w:gridCol w:w="1620"/>
        <w:gridCol w:w="1953"/>
        <w:gridCol w:w="1025"/>
        <w:gridCol w:w="1024"/>
        <w:gridCol w:w="1024"/>
        <w:gridCol w:w="1025"/>
        <w:gridCol w:w="1024"/>
        <w:gridCol w:w="102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60" w:type="dxa"/>
            <w:vMerge w:val="restart"/>
            <w:tcBorders>
              <w:top w:val="single" w:color="auto" w:sz="4" w:space="0"/>
              <w:left w:val="single" w:color="auto" w:sz="4" w:space="0"/>
              <w:right w:val="single" w:color="auto" w:sz="4" w:space="0"/>
            </w:tcBorders>
            <w:vAlign w:val="center"/>
          </w:tcPr>
          <w:p>
            <w:pPr>
              <w:spacing w:line="320" w:lineRule="exact"/>
              <w:jc w:val="center"/>
              <w:rPr>
                <w:rFonts w:ascii="宋体" w:hAnsi="宋体"/>
                <w:b/>
                <w:strike/>
                <w:color w:val="auto"/>
                <w:szCs w:val="21"/>
                <w:highlight w:val="none"/>
              </w:rPr>
            </w:pPr>
            <w:r>
              <w:rPr>
                <w:rFonts w:ascii="宋体" w:hAnsi="宋体"/>
                <w:b/>
                <w:strike/>
                <w:color w:val="auto"/>
                <w:szCs w:val="21"/>
                <w:highlight w:val="none"/>
              </w:rPr>
              <w:t>序号</w:t>
            </w:r>
          </w:p>
        </w:tc>
        <w:tc>
          <w:tcPr>
            <w:tcW w:w="2340" w:type="dxa"/>
            <w:vMerge w:val="restart"/>
            <w:tcBorders>
              <w:top w:val="single" w:color="auto" w:sz="4" w:space="0"/>
              <w:left w:val="single" w:color="auto" w:sz="4" w:space="0"/>
              <w:right w:val="single" w:color="auto" w:sz="4" w:space="0"/>
            </w:tcBorders>
            <w:vAlign w:val="center"/>
          </w:tcPr>
          <w:p>
            <w:pPr>
              <w:spacing w:line="320" w:lineRule="exact"/>
              <w:jc w:val="center"/>
              <w:rPr>
                <w:rFonts w:ascii="宋体" w:hAnsi="宋体"/>
                <w:b/>
                <w:strike/>
                <w:color w:val="auto"/>
                <w:szCs w:val="21"/>
                <w:highlight w:val="none"/>
              </w:rPr>
            </w:pPr>
            <w:r>
              <w:rPr>
                <w:rFonts w:ascii="宋体" w:hAnsi="宋体"/>
                <w:b/>
                <w:strike/>
                <w:color w:val="auto"/>
                <w:szCs w:val="21"/>
                <w:highlight w:val="none"/>
              </w:rPr>
              <w:t>评审因素</w:t>
            </w:r>
          </w:p>
        </w:tc>
        <w:tc>
          <w:tcPr>
            <w:tcW w:w="11268" w:type="dxa"/>
            <w:gridSpan w:val="9"/>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b/>
                <w:strike/>
                <w:color w:val="auto"/>
                <w:szCs w:val="21"/>
                <w:highlight w:val="none"/>
              </w:rPr>
            </w:pPr>
            <w:r>
              <w:rPr>
                <w:rFonts w:ascii="宋体" w:hAnsi="宋体"/>
                <w:b/>
                <w:strike/>
                <w:color w:val="auto"/>
                <w:szCs w:val="21"/>
                <w:highlight w:val="none"/>
              </w:rPr>
              <w:t>投标人及</w:t>
            </w:r>
            <w:r>
              <w:rPr>
                <w:rFonts w:hint="eastAsia" w:ascii="宋体" w:hAnsi="宋体"/>
                <w:b/>
                <w:strike/>
                <w:color w:val="auto"/>
                <w:szCs w:val="21"/>
                <w:highlight w:val="none"/>
              </w:rPr>
              <w:t>商务部分</w:t>
            </w:r>
            <w:r>
              <w:rPr>
                <w:rFonts w:ascii="宋体" w:hAnsi="宋体"/>
                <w:b/>
                <w:strike/>
                <w:color w:val="auto"/>
                <w:szCs w:val="21"/>
                <w:highlight w:val="none"/>
              </w:rPr>
              <w:t>评审结果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360" w:type="dxa"/>
            <w:vMerge w:val="continue"/>
            <w:tcBorders>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p>
        </w:tc>
        <w:tc>
          <w:tcPr>
            <w:tcW w:w="2340" w:type="dxa"/>
            <w:vMerge w:val="continue"/>
            <w:tcBorders>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p>
        </w:tc>
        <w:tc>
          <w:tcPr>
            <w:tcW w:w="154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r>
              <w:rPr>
                <w:rFonts w:ascii="宋体" w:hAnsi="宋体"/>
                <w:strike/>
                <w:color w:val="auto"/>
                <w:szCs w:val="21"/>
                <w:highlight w:val="none"/>
              </w:rPr>
              <w:t>投标人一</w:t>
            </w:r>
          </w:p>
        </w:tc>
        <w:tc>
          <w:tcPr>
            <w:tcW w:w="16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r>
              <w:rPr>
                <w:rFonts w:ascii="宋体" w:hAnsi="宋体"/>
                <w:strike/>
                <w:color w:val="auto"/>
                <w:szCs w:val="21"/>
                <w:highlight w:val="none"/>
              </w:rPr>
              <w:t>投标人二</w:t>
            </w:r>
          </w:p>
        </w:tc>
        <w:tc>
          <w:tcPr>
            <w:tcW w:w="195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strike/>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strike/>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strike/>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strike/>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strike/>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3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r>
              <w:rPr>
                <w:rFonts w:hint="eastAsia" w:ascii="宋体" w:hAnsi="宋体"/>
                <w:strike/>
                <w:color w:val="auto"/>
                <w:szCs w:val="21"/>
                <w:highlight w:val="none"/>
              </w:rPr>
              <w:t>1</w:t>
            </w:r>
          </w:p>
        </w:tc>
        <w:tc>
          <w:tcPr>
            <w:tcW w:w="23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trike/>
                <w:color w:val="auto"/>
                <w:szCs w:val="21"/>
                <w:highlight w:val="none"/>
              </w:rPr>
            </w:pPr>
          </w:p>
        </w:tc>
        <w:tc>
          <w:tcPr>
            <w:tcW w:w="154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p>
        </w:tc>
        <w:tc>
          <w:tcPr>
            <w:tcW w:w="195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3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r>
              <w:rPr>
                <w:rFonts w:hint="eastAsia" w:ascii="宋体" w:hAnsi="宋体"/>
                <w:strike/>
                <w:color w:val="auto"/>
                <w:szCs w:val="21"/>
                <w:highlight w:val="none"/>
              </w:rPr>
              <w:t>2</w:t>
            </w:r>
          </w:p>
        </w:tc>
        <w:tc>
          <w:tcPr>
            <w:tcW w:w="23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p>
        </w:tc>
        <w:tc>
          <w:tcPr>
            <w:tcW w:w="154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p>
        </w:tc>
        <w:tc>
          <w:tcPr>
            <w:tcW w:w="195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strike/>
                <w:color w:val="auto"/>
                <w:szCs w:val="21"/>
                <w:highlight w:val="none"/>
                <w:lang w:val="en-US" w:eastAsia="zh-CN"/>
              </w:rPr>
            </w:pPr>
            <w:r>
              <w:rPr>
                <w:rFonts w:hint="eastAsia" w:ascii="宋体" w:hAnsi="宋体"/>
                <w:strike/>
                <w:color w:val="auto"/>
                <w:szCs w:val="21"/>
                <w:highlight w:val="none"/>
                <w:lang w:val="en-US" w:eastAsia="zh-CN"/>
              </w:rPr>
              <w:t>3</w:t>
            </w:r>
          </w:p>
        </w:tc>
        <w:tc>
          <w:tcPr>
            <w:tcW w:w="23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p>
        </w:tc>
        <w:tc>
          <w:tcPr>
            <w:tcW w:w="154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p>
        </w:tc>
        <w:tc>
          <w:tcPr>
            <w:tcW w:w="195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3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r>
              <w:rPr>
                <w:rFonts w:hint="eastAsia" w:ascii="宋体" w:hAnsi="宋体"/>
                <w:strike/>
                <w:color w:val="auto"/>
                <w:szCs w:val="21"/>
                <w:highlight w:val="none"/>
              </w:rPr>
              <w:t>4</w:t>
            </w:r>
          </w:p>
        </w:tc>
        <w:tc>
          <w:tcPr>
            <w:tcW w:w="23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p>
        </w:tc>
        <w:tc>
          <w:tcPr>
            <w:tcW w:w="154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p>
        </w:tc>
        <w:tc>
          <w:tcPr>
            <w:tcW w:w="195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3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r>
              <w:rPr>
                <w:rFonts w:hint="eastAsia" w:ascii="宋体" w:hAnsi="宋体"/>
                <w:strike/>
                <w:color w:val="auto"/>
                <w:szCs w:val="21"/>
                <w:highlight w:val="none"/>
              </w:rPr>
              <w:t>5</w:t>
            </w:r>
          </w:p>
        </w:tc>
        <w:tc>
          <w:tcPr>
            <w:tcW w:w="234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trike/>
                <w:color w:val="auto"/>
                <w:szCs w:val="21"/>
                <w:highlight w:val="none"/>
              </w:rPr>
            </w:pPr>
          </w:p>
        </w:tc>
        <w:tc>
          <w:tcPr>
            <w:tcW w:w="154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p>
        </w:tc>
        <w:tc>
          <w:tcPr>
            <w:tcW w:w="195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3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highlight w:val="none"/>
              </w:rPr>
            </w:pPr>
            <w:r>
              <w:rPr>
                <w:rFonts w:hint="eastAsia" w:ascii="宋体" w:hAnsi="宋体"/>
                <w:strike/>
                <w:color w:val="auto"/>
                <w:highlight w:val="none"/>
              </w:rPr>
              <w:t>6</w:t>
            </w:r>
          </w:p>
        </w:tc>
        <w:tc>
          <w:tcPr>
            <w:tcW w:w="234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trike/>
                <w:color w:val="auto"/>
                <w:highlight w:val="none"/>
              </w:rPr>
            </w:pPr>
          </w:p>
        </w:tc>
        <w:tc>
          <w:tcPr>
            <w:tcW w:w="154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p>
        </w:tc>
        <w:tc>
          <w:tcPr>
            <w:tcW w:w="195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highlight w:val="none"/>
              </w:rPr>
            </w:pPr>
            <w:r>
              <w:rPr>
                <w:rFonts w:hint="eastAsia" w:ascii="宋体" w:hAnsi="宋体"/>
                <w:strike/>
                <w:color w:val="auto"/>
                <w:highlight w:val="none"/>
              </w:rPr>
              <w:t>7</w:t>
            </w:r>
          </w:p>
        </w:tc>
        <w:tc>
          <w:tcPr>
            <w:tcW w:w="23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highlight w:val="none"/>
              </w:rPr>
            </w:pPr>
          </w:p>
        </w:tc>
        <w:tc>
          <w:tcPr>
            <w:tcW w:w="154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p>
        </w:tc>
        <w:tc>
          <w:tcPr>
            <w:tcW w:w="195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highlight w:val="none"/>
              </w:rPr>
            </w:pPr>
            <w:r>
              <w:rPr>
                <w:rFonts w:hint="eastAsia" w:ascii="宋体" w:hAnsi="宋体"/>
                <w:strike/>
                <w:color w:val="auto"/>
                <w:highlight w:val="none"/>
              </w:rPr>
              <w:t>8</w:t>
            </w:r>
          </w:p>
        </w:tc>
        <w:tc>
          <w:tcPr>
            <w:tcW w:w="23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trike/>
                <w:color w:val="auto"/>
                <w:highlight w:val="none"/>
              </w:rPr>
            </w:pPr>
          </w:p>
        </w:tc>
        <w:tc>
          <w:tcPr>
            <w:tcW w:w="154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p>
        </w:tc>
        <w:tc>
          <w:tcPr>
            <w:tcW w:w="195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highlight w:val="none"/>
              </w:rPr>
            </w:pPr>
          </w:p>
        </w:tc>
        <w:tc>
          <w:tcPr>
            <w:tcW w:w="23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highlight w:val="none"/>
              </w:rPr>
            </w:pPr>
            <w:r>
              <w:rPr>
                <w:rFonts w:hint="eastAsia" w:ascii="宋体" w:hAnsi="宋体"/>
                <w:strike/>
                <w:color w:val="auto"/>
                <w:highlight w:val="none"/>
              </w:rPr>
              <w:t>汇总</w:t>
            </w:r>
          </w:p>
        </w:tc>
        <w:tc>
          <w:tcPr>
            <w:tcW w:w="154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p>
        </w:tc>
        <w:tc>
          <w:tcPr>
            <w:tcW w:w="195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trike/>
                <w:color w:val="auto"/>
                <w:szCs w:val="21"/>
                <w:highlight w:val="none"/>
              </w:rPr>
            </w:pPr>
          </w:p>
        </w:tc>
      </w:tr>
    </w:tbl>
    <w:p>
      <w:pPr>
        <w:pStyle w:val="129"/>
        <w:rPr>
          <w:color w:val="auto"/>
          <w:highlight w:val="none"/>
        </w:rPr>
      </w:pPr>
      <w:r>
        <w:rPr>
          <w:rFonts w:hint="eastAsia"/>
          <w:strike/>
          <w:color w:val="auto"/>
          <w:highlight w:val="none"/>
        </w:rPr>
        <w:t>注：表格最终以广州公共资源交易中心系统生成的为准。</w:t>
      </w:r>
    </w:p>
    <w:p>
      <w:pPr>
        <w:spacing w:line="360" w:lineRule="auto"/>
        <w:jc w:val="center"/>
        <w:rPr>
          <w:rFonts w:ascii="宋体" w:hAnsi="宋体"/>
          <w:b/>
          <w:color w:val="auto"/>
          <w:sz w:val="36"/>
          <w:szCs w:val="36"/>
          <w:highlight w:val="none"/>
        </w:rPr>
        <w:sectPr>
          <w:pgSz w:w="16838" w:h="11906" w:orient="landscape"/>
          <w:pgMar w:top="1797" w:right="1440" w:bottom="1797" w:left="1440" w:header="851" w:footer="992" w:gutter="0"/>
          <w:cols w:space="720" w:num="1"/>
          <w:docGrid w:linePitch="312" w:charSpace="0"/>
        </w:sectPr>
      </w:pPr>
    </w:p>
    <w:p>
      <w:pPr>
        <w:spacing w:line="360" w:lineRule="auto"/>
        <w:jc w:val="left"/>
        <w:outlineLvl w:val="2"/>
        <w:rPr>
          <w:rFonts w:ascii="宋体" w:hAnsi="宋体"/>
          <w:color w:val="auto"/>
          <w:sz w:val="28"/>
          <w:szCs w:val="27"/>
          <w:highlight w:val="none"/>
        </w:rPr>
      </w:pPr>
      <w:bookmarkStart w:id="142" w:name="_Toc21787742"/>
      <w:r>
        <w:rPr>
          <w:rFonts w:hint="eastAsia" w:ascii="宋体" w:hAnsi="宋体"/>
          <w:color w:val="auto"/>
          <w:sz w:val="28"/>
          <w:szCs w:val="27"/>
          <w:highlight w:val="none"/>
        </w:rPr>
        <w:t>附表6：投标报价评审得分记录表（格式）</w:t>
      </w:r>
      <w:bookmarkEnd w:id="142"/>
    </w:p>
    <w:p>
      <w:pPr>
        <w:jc w:val="center"/>
        <w:rPr>
          <w:rFonts w:ascii="宋体" w:hAnsi="宋体"/>
          <w:b/>
          <w:color w:val="auto"/>
          <w:sz w:val="32"/>
          <w:szCs w:val="32"/>
          <w:highlight w:val="none"/>
        </w:rPr>
      </w:pPr>
      <w:r>
        <w:rPr>
          <w:rFonts w:hint="eastAsia" w:ascii="宋体" w:hAnsi="宋体"/>
          <w:b/>
          <w:color w:val="auto"/>
          <w:sz w:val="32"/>
          <w:szCs w:val="32"/>
          <w:highlight w:val="none"/>
        </w:rPr>
        <w:t>评标委员会投标报价评审得分记录表一</w:t>
      </w:r>
    </w:p>
    <w:p>
      <w:pPr>
        <w:jc w:val="center"/>
        <w:rPr>
          <w:rFonts w:ascii="宋体" w:hAnsi="宋体"/>
          <w:b/>
          <w:color w:val="auto"/>
          <w:szCs w:val="21"/>
          <w:highlight w:val="none"/>
        </w:rPr>
      </w:pPr>
      <w:r>
        <w:rPr>
          <w:rFonts w:hint="eastAsia" w:ascii="宋体" w:hAnsi="宋体"/>
          <w:b/>
          <w:color w:val="auto"/>
          <w:szCs w:val="21"/>
          <w:highlight w:val="none"/>
        </w:rPr>
        <w:t>（用于计算评标基准价）</w:t>
      </w:r>
    </w:p>
    <w:p>
      <w:pPr>
        <w:jc w:val="center"/>
        <w:rPr>
          <w:rFonts w:ascii="宋体" w:hAnsi="宋体"/>
          <w:b/>
          <w:color w:val="auto"/>
          <w:szCs w:val="21"/>
          <w:highlight w:val="none"/>
        </w:rPr>
      </w:pPr>
    </w:p>
    <w:p>
      <w:pPr>
        <w:spacing w:line="360" w:lineRule="auto"/>
        <w:rPr>
          <w:rFonts w:ascii="宋体" w:hAnsi="宋体"/>
          <w:b/>
          <w:color w:val="auto"/>
          <w:szCs w:val="21"/>
          <w:highlight w:val="none"/>
        </w:rPr>
      </w:pPr>
      <w:r>
        <w:rPr>
          <w:rFonts w:hint="eastAsia" w:ascii="宋体" w:hAnsi="宋体"/>
          <w:b/>
          <w:color w:val="auto"/>
          <w:szCs w:val="21"/>
          <w:highlight w:val="none"/>
        </w:rPr>
        <w:t>项目编号：                               最高投标限价：元</w:t>
      </w:r>
    </w:p>
    <w:p>
      <w:pPr>
        <w:spacing w:line="360" w:lineRule="auto"/>
        <w:rPr>
          <w:rFonts w:ascii="宋体" w:hAnsi="宋体"/>
          <w:b/>
          <w:color w:val="auto"/>
          <w:szCs w:val="21"/>
          <w:highlight w:val="none"/>
        </w:rPr>
      </w:pPr>
      <w:r>
        <w:rPr>
          <w:rFonts w:hint="eastAsia" w:ascii="宋体" w:hAnsi="宋体"/>
          <w:b/>
          <w:color w:val="auto"/>
          <w:szCs w:val="21"/>
          <w:highlight w:val="none"/>
        </w:rPr>
        <w:t>项目名称：                               评标基准价下浮率X：</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5407"/>
        <w:gridCol w:w="2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648" w:type="dxa"/>
            <w:vAlign w:val="center"/>
          </w:tcPr>
          <w:p>
            <w:pPr>
              <w:jc w:val="center"/>
              <w:rPr>
                <w:rFonts w:ascii="宋体" w:hAnsi="宋体"/>
                <w:color w:val="auto"/>
                <w:szCs w:val="21"/>
                <w:highlight w:val="none"/>
              </w:rPr>
            </w:pPr>
            <w:r>
              <w:rPr>
                <w:rFonts w:hint="eastAsia" w:ascii="宋体" w:hAnsi="宋体"/>
                <w:color w:val="auto"/>
                <w:szCs w:val="21"/>
                <w:highlight w:val="none"/>
              </w:rPr>
              <w:t>开标序号</w:t>
            </w:r>
          </w:p>
        </w:tc>
        <w:tc>
          <w:tcPr>
            <w:tcW w:w="5407" w:type="dxa"/>
            <w:vAlign w:val="center"/>
          </w:tcPr>
          <w:p>
            <w:pPr>
              <w:jc w:val="center"/>
              <w:rPr>
                <w:rFonts w:ascii="宋体" w:hAnsi="宋体"/>
                <w:color w:val="auto"/>
                <w:szCs w:val="21"/>
                <w:highlight w:val="none"/>
              </w:rPr>
            </w:pPr>
            <w:r>
              <w:rPr>
                <w:rFonts w:hint="eastAsia" w:ascii="宋体" w:hAnsi="宋体"/>
                <w:color w:val="auto"/>
                <w:szCs w:val="21"/>
                <w:highlight w:val="none"/>
              </w:rPr>
              <w:t>投标人</w:t>
            </w:r>
          </w:p>
        </w:tc>
        <w:tc>
          <w:tcPr>
            <w:tcW w:w="2343" w:type="dxa"/>
            <w:vAlign w:val="center"/>
          </w:tcPr>
          <w:p>
            <w:pPr>
              <w:jc w:val="center"/>
              <w:rPr>
                <w:rFonts w:ascii="宋体" w:hAnsi="宋体"/>
                <w:strike/>
                <w:color w:val="auto"/>
                <w:szCs w:val="21"/>
                <w:highlight w:val="none"/>
              </w:rPr>
            </w:pPr>
            <w:r>
              <w:rPr>
                <w:rFonts w:hint="eastAsia" w:ascii="宋体" w:hAnsi="宋体"/>
                <w:color w:val="auto"/>
                <w:szCs w:val="21"/>
                <w:highlight w:val="none"/>
              </w:rPr>
              <w:t>投标价</w:t>
            </w:r>
          </w:p>
          <w:p>
            <w:pPr>
              <w:jc w:val="center"/>
              <w:rPr>
                <w:rFonts w:ascii="宋体" w:hAnsi="宋体"/>
                <w:color w:val="auto"/>
                <w:szCs w:val="21"/>
                <w:highlight w:val="none"/>
              </w:rPr>
            </w:pPr>
            <w:r>
              <w:rPr>
                <w:rFonts w:hint="eastAsia" w:ascii="宋体" w:hAnsi="宋体"/>
                <w:color w:val="auto"/>
                <w:szCs w:val="21"/>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648" w:type="dxa"/>
            <w:vAlign w:val="center"/>
          </w:tcPr>
          <w:p>
            <w:pPr>
              <w:spacing w:line="560" w:lineRule="exact"/>
              <w:jc w:val="center"/>
              <w:rPr>
                <w:rFonts w:ascii="宋体" w:hAnsi="宋体"/>
                <w:color w:val="auto"/>
                <w:szCs w:val="21"/>
                <w:highlight w:val="none"/>
              </w:rPr>
            </w:pPr>
          </w:p>
        </w:tc>
        <w:tc>
          <w:tcPr>
            <w:tcW w:w="5407" w:type="dxa"/>
            <w:vAlign w:val="center"/>
          </w:tcPr>
          <w:p>
            <w:pPr>
              <w:spacing w:line="560" w:lineRule="exact"/>
              <w:jc w:val="center"/>
              <w:rPr>
                <w:rFonts w:ascii="宋体" w:hAnsi="宋体"/>
                <w:color w:val="auto"/>
                <w:szCs w:val="21"/>
                <w:highlight w:val="none"/>
              </w:rPr>
            </w:pPr>
          </w:p>
        </w:tc>
        <w:tc>
          <w:tcPr>
            <w:tcW w:w="2343" w:type="dxa"/>
            <w:vAlign w:val="center"/>
          </w:tcPr>
          <w:p>
            <w:pPr>
              <w:spacing w:line="56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48" w:type="dxa"/>
          </w:tcPr>
          <w:p>
            <w:pPr>
              <w:spacing w:line="560" w:lineRule="exact"/>
              <w:rPr>
                <w:rFonts w:ascii="宋体" w:hAnsi="宋体"/>
                <w:color w:val="auto"/>
                <w:szCs w:val="21"/>
                <w:highlight w:val="none"/>
              </w:rPr>
            </w:pPr>
          </w:p>
        </w:tc>
        <w:tc>
          <w:tcPr>
            <w:tcW w:w="5407" w:type="dxa"/>
          </w:tcPr>
          <w:p>
            <w:pPr>
              <w:spacing w:line="560" w:lineRule="exact"/>
              <w:rPr>
                <w:rFonts w:ascii="宋体" w:hAnsi="宋体"/>
                <w:color w:val="auto"/>
                <w:szCs w:val="21"/>
                <w:highlight w:val="none"/>
              </w:rPr>
            </w:pPr>
          </w:p>
        </w:tc>
        <w:tc>
          <w:tcPr>
            <w:tcW w:w="2343" w:type="dxa"/>
            <w:vAlign w:val="center"/>
          </w:tcPr>
          <w:p>
            <w:pPr>
              <w:spacing w:line="56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648" w:type="dxa"/>
          </w:tcPr>
          <w:p>
            <w:pPr>
              <w:spacing w:line="560" w:lineRule="exact"/>
              <w:rPr>
                <w:rFonts w:ascii="宋体" w:hAnsi="宋体"/>
                <w:color w:val="auto"/>
                <w:szCs w:val="21"/>
                <w:highlight w:val="none"/>
              </w:rPr>
            </w:pPr>
          </w:p>
        </w:tc>
        <w:tc>
          <w:tcPr>
            <w:tcW w:w="5407" w:type="dxa"/>
          </w:tcPr>
          <w:p>
            <w:pPr>
              <w:spacing w:line="560" w:lineRule="exact"/>
              <w:rPr>
                <w:rFonts w:ascii="宋体" w:hAnsi="宋体"/>
                <w:color w:val="auto"/>
                <w:szCs w:val="21"/>
                <w:highlight w:val="none"/>
              </w:rPr>
            </w:pPr>
          </w:p>
        </w:tc>
        <w:tc>
          <w:tcPr>
            <w:tcW w:w="2343" w:type="dxa"/>
            <w:vAlign w:val="center"/>
          </w:tcPr>
          <w:p>
            <w:pPr>
              <w:spacing w:line="56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648" w:type="dxa"/>
          </w:tcPr>
          <w:p>
            <w:pPr>
              <w:spacing w:line="560" w:lineRule="exact"/>
              <w:rPr>
                <w:rFonts w:ascii="宋体" w:hAnsi="宋体"/>
                <w:color w:val="auto"/>
                <w:szCs w:val="21"/>
                <w:highlight w:val="none"/>
              </w:rPr>
            </w:pPr>
          </w:p>
        </w:tc>
        <w:tc>
          <w:tcPr>
            <w:tcW w:w="5407" w:type="dxa"/>
          </w:tcPr>
          <w:p>
            <w:pPr>
              <w:spacing w:line="560" w:lineRule="exact"/>
              <w:rPr>
                <w:rFonts w:ascii="宋体" w:hAnsi="宋体"/>
                <w:color w:val="auto"/>
                <w:szCs w:val="21"/>
                <w:highlight w:val="none"/>
              </w:rPr>
            </w:pPr>
          </w:p>
        </w:tc>
        <w:tc>
          <w:tcPr>
            <w:tcW w:w="2343" w:type="dxa"/>
            <w:vAlign w:val="center"/>
          </w:tcPr>
          <w:p>
            <w:pPr>
              <w:spacing w:line="56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648" w:type="dxa"/>
          </w:tcPr>
          <w:p>
            <w:pPr>
              <w:spacing w:line="560" w:lineRule="exact"/>
              <w:rPr>
                <w:rFonts w:ascii="宋体" w:hAnsi="宋体"/>
                <w:color w:val="auto"/>
                <w:szCs w:val="21"/>
                <w:highlight w:val="none"/>
              </w:rPr>
            </w:pPr>
          </w:p>
        </w:tc>
        <w:tc>
          <w:tcPr>
            <w:tcW w:w="5407" w:type="dxa"/>
          </w:tcPr>
          <w:p>
            <w:pPr>
              <w:spacing w:line="560" w:lineRule="exact"/>
              <w:rPr>
                <w:rFonts w:ascii="宋体" w:hAnsi="宋体"/>
                <w:color w:val="auto"/>
                <w:szCs w:val="21"/>
                <w:highlight w:val="none"/>
              </w:rPr>
            </w:pPr>
          </w:p>
        </w:tc>
        <w:tc>
          <w:tcPr>
            <w:tcW w:w="2343" w:type="dxa"/>
            <w:vAlign w:val="center"/>
          </w:tcPr>
          <w:p>
            <w:pPr>
              <w:spacing w:line="56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055" w:type="dxa"/>
            <w:gridSpan w:val="2"/>
            <w:vAlign w:val="center"/>
          </w:tcPr>
          <w:p>
            <w:pPr>
              <w:spacing w:line="320" w:lineRule="exact"/>
              <w:jc w:val="center"/>
              <w:rPr>
                <w:rFonts w:ascii="宋体" w:hAnsi="宋体"/>
                <w:color w:val="auto"/>
                <w:szCs w:val="21"/>
                <w:highlight w:val="none"/>
              </w:rPr>
            </w:pPr>
            <w:r>
              <w:rPr>
                <w:rFonts w:hint="eastAsia" w:ascii="宋体" w:hAnsi="宋体"/>
                <w:color w:val="auto"/>
                <w:szCs w:val="21"/>
                <w:highlight w:val="none"/>
              </w:rPr>
              <w:t>以有效投标报价的算术平均值按随机抽取的评标基准价下浮率（2～5%，0.5一个级别）下浮作为评标基准价。</w:t>
            </w:r>
          </w:p>
        </w:tc>
        <w:tc>
          <w:tcPr>
            <w:tcW w:w="2343" w:type="dxa"/>
            <w:vAlign w:val="center"/>
          </w:tcPr>
          <w:p>
            <w:pPr>
              <w:spacing w:line="56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6055" w:type="dxa"/>
            <w:gridSpan w:val="2"/>
            <w:vAlign w:val="center"/>
          </w:tcPr>
          <w:p>
            <w:pPr>
              <w:spacing w:line="320" w:lineRule="exact"/>
              <w:jc w:val="center"/>
              <w:rPr>
                <w:rFonts w:ascii="宋体" w:hAnsi="宋体"/>
                <w:color w:val="auto"/>
                <w:szCs w:val="21"/>
                <w:highlight w:val="none"/>
              </w:rPr>
            </w:pPr>
            <w:r>
              <w:rPr>
                <w:rFonts w:hint="eastAsia" w:ascii="宋体" w:hAnsi="宋体"/>
                <w:color w:val="auto"/>
                <w:szCs w:val="21"/>
                <w:highlight w:val="none"/>
              </w:rPr>
              <w:t>计算评标基准价（元）：投标报价的算术平均值×（1-评标基准价下浮率）</w:t>
            </w:r>
          </w:p>
        </w:tc>
        <w:tc>
          <w:tcPr>
            <w:tcW w:w="2343" w:type="dxa"/>
            <w:vAlign w:val="center"/>
          </w:tcPr>
          <w:p>
            <w:pPr>
              <w:spacing w:line="560" w:lineRule="exact"/>
              <w:rPr>
                <w:rFonts w:ascii="宋体" w:hAnsi="宋体"/>
                <w:color w:val="auto"/>
                <w:szCs w:val="21"/>
                <w:highlight w:val="none"/>
              </w:rPr>
            </w:pPr>
          </w:p>
        </w:tc>
      </w:tr>
    </w:tbl>
    <w:p>
      <w:pPr>
        <w:rPr>
          <w:rFonts w:ascii="宋体" w:hAnsi="宋体"/>
          <w:color w:val="auto"/>
          <w:szCs w:val="21"/>
          <w:highlight w:val="none"/>
        </w:rPr>
      </w:pPr>
      <w:r>
        <w:rPr>
          <w:rFonts w:hint="eastAsia" w:ascii="宋体" w:hAnsi="宋体"/>
          <w:color w:val="auto"/>
          <w:szCs w:val="21"/>
          <w:highlight w:val="none"/>
        </w:rPr>
        <w:t>注：</w:t>
      </w:r>
    </w:p>
    <w:p>
      <w:pPr>
        <w:ind w:firstLine="420" w:firstLineChars="200"/>
        <w:rPr>
          <w:rFonts w:ascii="宋体" w:hAnsi="宋体"/>
          <w:color w:val="auto"/>
          <w:szCs w:val="21"/>
          <w:highlight w:val="none"/>
        </w:rPr>
      </w:pPr>
      <w:r>
        <w:rPr>
          <w:rFonts w:hint="eastAsia" w:ascii="宋体" w:hAnsi="宋体"/>
          <w:color w:val="auto"/>
          <w:szCs w:val="21"/>
          <w:highlight w:val="none"/>
        </w:rPr>
        <w:t>1. 本表用于确定评标基准价。适用于全部投标报价计算算术平均值的情形。</w:t>
      </w:r>
    </w:p>
    <w:p>
      <w:pPr>
        <w:ind w:firstLine="420" w:firstLineChars="200"/>
        <w:rPr>
          <w:rFonts w:ascii="宋体" w:hAnsi="宋体"/>
          <w:color w:val="auto"/>
          <w:szCs w:val="21"/>
          <w:highlight w:val="none"/>
        </w:rPr>
      </w:pPr>
      <w:r>
        <w:rPr>
          <w:rFonts w:hint="eastAsia" w:ascii="宋体" w:hAnsi="宋体"/>
          <w:color w:val="auto"/>
          <w:szCs w:val="21"/>
          <w:highlight w:val="none"/>
        </w:rPr>
        <w:t>2.评标基准价下浮率：取自《抽取评标基准价的下浮率记录表》中的“随机抽取的评标基准价的下浮率”</w:t>
      </w:r>
    </w:p>
    <w:p>
      <w:pPr>
        <w:ind w:firstLine="420" w:firstLineChars="200"/>
        <w:rPr>
          <w:rFonts w:ascii="宋体" w:hAnsi="宋体"/>
          <w:color w:val="auto"/>
          <w:szCs w:val="21"/>
          <w:highlight w:val="none"/>
        </w:rPr>
      </w:pPr>
      <w:r>
        <w:rPr>
          <w:rFonts w:hint="eastAsia" w:ascii="宋体" w:hAnsi="宋体"/>
          <w:color w:val="auto"/>
          <w:szCs w:val="21"/>
          <w:highlight w:val="none"/>
        </w:rPr>
        <w:t>3.未能通过初步评审的投标人，其投标报价不得在本表中列出。</w:t>
      </w:r>
    </w:p>
    <w:p>
      <w:pPr>
        <w:ind w:firstLine="420" w:firstLineChars="200"/>
        <w:rPr>
          <w:rFonts w:ascii="宋体" w:hAnsi="宋体"/>
          <w:color w:val="auto"/>
          <w:szCs w:val="21"/>
          <w:highlight w:val="none"/>
        </w:rPr>
      </w:pPr>
      <w:r>
        <w:rPr>
          <w:rFonts w:hint="eastAsia" w:ascii="宋体" w:hAnsi="宋体"/>
          <w:color w:val="auto"/>
          <w:szCs w:val="21"/>
          <w:highlight w:val="none"/>
        </w:rPr>
        <w:t>4. 本表中开标序号为投标人在《开标记录表》中的“序号”，即开标序号= “序号”。</w:t>
      </w:r>
    </w:p>
    <w:p>
      <w:pPr>
        <w:ind w:firstLine="420" w:firstLineChars="200"/>
        <w:rPr>
          <w:rFonts w:ascii="宋体" w:hAnsi="宋体"/>
          <w:color w:val="auto"/>
          <w:szCs w:val="21"/>
          <w:highlight w:val="none"/>
        </w:rPr>
      </w:pPr>
      <w:r>
        <w:rPr>
          <w:rFonts w:hint="eastAsia" w:ascii="宋体" w:hAnsi="宋体"/>
          <w:color w:val="auto"/>
          <w:szCs w:val="21"/>
          <w:highlight w:val="none"/>
        </w:rPr>
        <w:t>5.投标人在本表中的排列：按照《开标记录表》中的“序号”从小到大排列。</w:t>
      </w:r>
    </w:p>
    <w:p>
      <w:pPr>
        <w:rPr>
          <w:rFonts w:ascii="宋体" w:hAnsi="宋体"/>
          <w:color w:val="auto"/>
          <w:kern w:val="0"/>
          <w:highlight w:val="none"/>
        </w:rPr>
      </w:pPr>
      <w:r>
        <w:rPr>
          <w:rFonts w:hint="eastAsia" w:ascii="宋体" w:hAnsi="宋体"/>
          <w:color w:val="auto"/>
          <w:szCs w:val="21"/>
          <w:highlight w:val="none"/>
        </w:rPr>
        <w:t xml:space="preserve">评标委员会全体评委签名：                              </w:t>
      </w:r>
      <w:r>
        <w:rPr>
          <w:rFonts w:hint="eastAsia" w:ascii="宋体" w:hAnsi="宋体"/>
          <w:color w:val="auto"/>
          <w:kern w:val="0"/>
          <w:highlight w:val="none"/>
        </w:rPr>
        <w:t>日期：   年   月  日</w:t>
      </w:r>
    </w:p>
    <w:p>
      <w:pPr>
        <w:jc w:val="center"/>
        <w:rPr>
          <w:rFonts w:ascii="宋体" w:hAnsi="宋体"/>
          <w:b/>
          <w:color w:val="auto"/>
          <w:sz w:val="32"/>
          <w:szCs w:val="32"/>
          <w:highlight w:val="none"/>
        </w:rPr>
      </w:pPr>
    </w:p>
    <w:p>
      <w:pPr>
        <w:jc w:val="center"/>
        <w:rPr>
          <w:rFonts w:ascii="宋体" w:hAnsi="宋体"/>
          <w:b/>
          <w:color w:val="auto"/>
          <w:sz w:val="32"/>
          <w:szCs w:val="32"/>
          <w:highlight w:val="none"/>
        </w:rPr>
      </w:pPr>
    </w:p>
    <w:p>
      <w:pPr>
        <w:jc w:val="center"/>
        <w:rPr>
          <w:rFonts w:ascii="宋体" w:hAnsi="宋体"/>
          <w:b/>
          <w:color w:val="auto"/>
          <w:sz w:val="32"/>
          <w:szCs w:val="32"/>
          <w:highlight w:val="none"/>
        </w:rPr>
      </w:pPr>
    </w:p>
    <w:p>
      <w:pPr>
        <w:jc w:val="center"/>
        <w:rPr>
          <w:rFonts w:ascii="宋体" w:hAnsi="宋体"/>
          <w:b/>
          <w:color w:val="auto"/>
          <w:sz w:val="32"/>
          <w:szCs w:val="32"/>
          <w:highlight w:val="none"/>
        </w:rPr>
      </w:pPr>
    </w:p>
    <w:p>
      <w:pPr>
        <w:rPr>
          <w:rFonts w:ascii="宋体" w:hAnsi="宋体"/>
          <w:b/>
          <w:color w:val="auto"/>
          <w:sz w:val="32"/>
          <w:szCs w:val="32"/>
          <w:highlight w:val="none"/>
        </w:rPr>
      </w:pPr>
    </w:p>
    <w:p>
      <w:pPr>
        <w:jc w:val="center"/>
        <w:rPr>
          <w:rFonts w:ascii="宋体" w:hAnsi="宋体"/>
          <w:b/>
          <w:color w:val="auto"/>
          <w:sz w:val="32"/>
          <w:szCs w:val="32"/>
          <w:highlight w:val="none"/>
        </w:rPr>
        <w:sectPr>
          <w:pgSz w:w="11906" w:h="16838"/>
          <w:pgMar w:top="1440" w:right="1797" w:bottom="1440" w:left="1797" w:header="851" w:footer="992" w:gutter="0"/>
          <w:cols w:space="720" w:num="1"/>
          <w:docGrid w:linePitch="312" w:charSpace="0"/>
        </w:sectPr>
      </w:pPr>
    </w:p>
    <w:p>
      <w:pPr>
        <w:jc w:val="center"/>
        <w:rPr>
          <w:rFonts w:ascii="宋体" w:hAnsi="宋体"/>
          <w:b/>
          <w:color w:val="auto"/>
          <w:sz w:val="32"/>
          <w:szCs w:val="32"/>
          <w:highlight w:val="none"/>
        </w:rPr>
      </w:pPr>
      <w:r>
        <w:rPr>
          <w:rFonts w:hint="eastAsia" w:ascii="宋体" w:hAnsi="宋体"/>
          <w:b/>
          <w:color w:val="auto"/>
          <w:sz w:val="32"/>
          <w:szCs w:val="32"/>
          <w:highlight w:val="none"/>
        </w:rPr>
        <w:t>评标委员会投标报价评审得分记录表二</w:t>
      </w:r>
    </w:p>
    <w:p>
      <w:pPr>
        <w:jc w:val="center"/>
        <w:rPr>
          <w:rFonts w:ascii="宋体" w:hAnsi="宋体"/>
          <w:b/>
          <w:color w:val="auto"/>
          <w:szCs w:val="21"/>
          <w:highlight w:val="none"/>
        </w:rPr>
      </w:pPr>
      <w:r>
        <w:rPr>
          <w:rFonts w:hint="eastAsia" w:ascii="宋体" w:hAnsi="宋体"/>
          <w:b/>
          <w:color w:val="auto"/>
          <w:szCs w:val="21"/>
          <w:highlight w:val="none"/>
        </w:rPr>
        <w:t>（计算投标报价得分）</w:t>
      </w:r>
    </w:p>
    <w:p>
      <w:pPr>
        <w:rPr>
          <w:rFonts w:ascii="宋体" w:hAnsi="宋体"/>
          <w:color w:val="auto"/>
          <w:highlight w:val="none"/>
        </w:rPr>
      </w:pPr>
    </w:p>
    <w:p>
      <w:pPr>
        <w:rPr>
          <w:rFonts w:ascii="宋体" w:hAnsi="宋体"/>
          <w:color w:val="auto"/>
          <w:highlight w:val="none"/>
        </w:rPr>
      </w:pPr>
      <w:r>
        <w:rPr>
          <w:rFonts w:hint="eastAsia" w:ascii="宋体" w:hAnsi="宋体"/>
          <w:color w:val="auto"/>
          <w:highlight w:val="none"/>
        </w:rPr>
        <w:t>项目编号：</w:t>
      </w:r>
    </w:p>
    <w:p>
      <w:pPr>
        <w:rPr>
          <w:rFonts w:ascii="宋体" w:hAnsi="宋体"/>
          <w:color w:val="auto"/>
          <w:highlight w:val="none"/>
        </w:rPr>
      </w:pPr>
      <w:r>
        <w:rPr>
          <w:rFonts w:hint="eastAsia" w:ascii="宋体" w:hAnsi="宋体"/>
          <w:color w:val="auto"/>
          <w:highlight w:val="none"/>
        </w:rPr>
        <w:t>项目名称：</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1800"/>
        <w:gridCol w:w="2340"/>
        <w:gridCol w:w="1310"/>
        <w:gridCol w:w="1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jc w:val="center"/>
              <w:rPr>
                <w:rFonts w:ascii="宋体" w:hAnsi="宋体"/>
                <w:color w:val="auto"/>
                <w:kern w:val="0"/>
                <w:highlight w:val="none"/>
              </w:rPr>
            </w:pPr>
            <w:r>
              <w:rPr>
                <w:rFonts w:hint="eastAsia" w:ascii="宋体" w:hAnsi="宋体"/>
                <w:color w:val="auto"/>
                <w:szCs w:val="21"/>
                <w:highlight w:val="none"/>
              </w:rPr>
              <w:t>开标序号</w:t>
            </w:r>
          </w:p>
        </w:tc>
        <w:tc>
          <w:tcPr>
            <w:tcW w:w="1080" w:type="dxa"/>
            <w:vAlign w:val="center"/>
          </w:tcPr>
          <w:p>
            <w:pPr>
              <w:jc w:val="center"/>
              <w:rPr>
                <w:rFonts w:ascii="宋体" w:hAnsi="宋体"/>
                <w:color w:val="auto"/>
                <w:kern w:val="0"/>
                <w:highlight w:val="none"/>
              </w:rPr>
            </w:pPr>
            <w:r>
              <w:rPr>
                <w:rFonts w:hint="eastAsia" w:ascii="宋体" w:hAnsi="宋体"/>
                <w:color w:val="auto"/>
                <w:kern w:val="0"/>
                <w:highlight w:val="none"/>
              </w:rPr>
              <w:t>投标人</w:t>
            </w:r>
          </w:p>
        </w:tc>
        <w:tc>
          <w:tcPr>
            <w:tcW w:w="1800" w:type="dxa"/>
            <w:vAlign w:val="center"/>
          </w:tcPr>
          <w:p>
            <w:pPr>
              <w:jc w:val="center"/>
              <w:rPr>
                <w:rFonts w:ascii="宋体" w:hAnsi="宋体"/>
                <w:color w:val="auto"/>
                <w:kern w:val="0"/>
                <w:highlight w:val="none"/>
              </w:rPr>
            </w:pPr>
            <w:r>
              <w:rPr>
                <w:rFonts w:hint="eastAsia" w:ascii="宋体" w:hAnsi="宋体"/>
                <w:color w:val="auto"/>
                <w:kern w:val="0"/>
                <w:highlight w:val="none"/>
              </w:rPr>
              <w:t>投标报价</w:t>
            </w:r>
          </w:p>
        </w:tc>
        <w:tc>
          <w:tcPr>
            <w:tcW w:w="2340" w:type="dxa"/>
            <w:vAlign w:val="center"/>
          </w:tcPr>
          <w:p>
            <w:pPr>
              <w:jc w:val="center"/>
              <w:rPr>
                <w:rFonts w:ascii="宋体" w:hAnsi="宋体"/>
                <w:color w:val="auto"/>
                <w:kern w:val="0"/>
                <w:highlight w:val="none"/>
              </w:rPr>
            </w:pPr>
            <w:r>
              <w:rPr>
                <w:rFonts w:hint="eastAsia" w:ascii="宋体" w:hAnsi="宋体"/>
                <w:color w:val="auto"/>
                <w:kern w:val="0"/>
                <w:highlight w:val="none"/>
              </w:rPr>
              <w:t>评标基准价（元）</w:t>
            </w:r>
          </w:p>
          <w:p>
            <w:pPr>
              <w:jc w:val="center"/>
              <w:rPr>
                <w:rFonts w:ascii="宋体" w:hAnsi="宋体"/>
                <w:color w:val="auto"/>
                <w:kern w:val="0"/>
                <w:highlight w:val="none"/>
              </w:rPr>
            </w:pPr>
            <w:r>
              <w:rPr>
                <w:rFonts w:hint="eastAsia" w:ascii="宋体" w:hAnsi="宋体"/>
                <w:color w:val="auto"/>
                <w:kern w:val="0"/>
                <w:highlight w:val="none"/>
              </w:rPr>
              <w:t>（</w:t>
            </w:r>
            <w:r>
              <w:rPr>
                <w:rFonts w:hint="eastAsia" w:ascii="宋体" w:hAnsi="宋体"/>
                <w:color w:val="auto"/>
                <w:kern w:val="0"/>
                <w:sz w:val="18"/>
                <w:szCs w:val="18"/>
                <w:highlight w:val="none"/>
              </w:rPr>
              <w:t>取自《评标委员会投标报价评审得分记录表一》）</w:t>
            </w:r>
          </w:p>
        </w:tc>
        <w:tc>
          <w:tcPr>
            <w:tcW w:w="1310" w:type="dxa"/>
            <w:vAlign w:val="center"/>
          </w:tcPr>
          <w:p>
            <w:pPr>
              <w:jc w:val="center"/>
              <w:rPr>
                <w:rFonts w:ascii="宋体" w:hAnsi="宋体"/>
                <w:color w:val="auto"/>
                <w:kern w:val="0"/>
                <w:highlight w:val="none"/>
              </w:rPr>
            </w:pPr>
            <w:r>
              <w:rPr>
                <w:rFonts w:hint="eastAsia" w:ascii="宋体" w:hAnsi="宋体"/>
                <w:color w:val="auto"/>
                <w:kern w:val="0"/>
                <w:highlight w:val="none"/>
              </w:rPr>
              <w:t>投标报价偏差率（%）</w:t>
            </w:r>
          </w:p>
        </w:tc>
        <w:tc>
          <w:tcPr>
            <w:tcW w:w="1170" w:type="dxa"/>
            <w:vAlign w:val="center"/>
          </w:tcPr>
          <w:p>
            <w:pPr>
              <w:jc w:val="center"/>
              <w:rPr>
                <w:rFonts w:ascii="宋体" w:hAnsi="宋体"/>
                <w:color w:val="auto"/>
                <w:kern w:val="0"/>
                <w:highlight w:val="none"/>
              </w:rPr>
            </w:pPr>
            <w:r>
              <w:rPr>
                <w:rFonts w:hint="eastAsia" w:ascii="宋体" w:hAnsi="宋体"/>
                <w:color w:val="auto"/>
                <w:kern w:val="0"/>
                <w:highlight w:val="none"/>
              </w:rPr>
              <w:t>投标报价得分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olor w:val="auto"/>
                <w:kern w:val="0"/>
                <w:highlight w:val="none"/>
              </w:rPr>
            </w:pPr>
          </w:p>
        </w:tc>
        <w:tc>
          <w:tcPr>
            <w:tcW w:w="1080" w:type="dxa"/>
          </w:tcPr>
          <w:p>
            <w:pPr>
              <w:rPr>
                <w:rFonts w:ascii="宋体" w:hAnsi="宋体"/>
                <w:color w:val="auto"/>
                <w:kern w:val="0"/>
                <w:highlight w:val="none"/>
              </w:rPr>
            </w:pPr>
          </w:p>
        </w:tc>
        <w:tc>
          <w:tcPr>
            <w:tcW w:w="1800" w:type="dxa"/>
          </w:tcPr>
          <w:p>
            <w:pPr>
              <w:rPr>
                <w:rFonts w:ascii="宋体" w:hAnsi="宋体"/>
                <w:color w:val="auto"/>
                <w:kern w:val="0"/>
                <w:highlight w:val="none"/>
              </w:rPr>
            </w:pPr>
          </w:p>
        </w:tc>
        <w:tc>
          <w:tcPr>
            <w:tcW w:w="2340" w:type="dxa"/>
          </w:tcPr>
          <w:p>
            <w:pPr>
              <w:rPr>
                <w:rFonts w:ascii="宋体" w:hAnsi="宋体"/>
                <w:color w:val="auto"/>
                <w:kern w:val="0"/>
                <w:highlight w:val="none"/>
              </w:rPr>
            </w:pPr>
          </w:p>
        </w:tc>
        <w:tc>
          <w:tcPr>
            <w:tcW w:w="1310" w:type="dxa"/>
          </w:tcPr>
          <w:p>
            <w:pPr>
              <w:rPr>
                <w:rFonts w:ascii="宋体" w:hAnsi="宋体"/>
                <w:color w:val="auto"/>
                <w:kern w:val="0"/>
                <w:highlight w:val="none"/>
              </w:rPr>
            </w:pPr>
          </w:p>
        </w:tc>
        <w:tc>
          <w:tcPr>
            <w:tcW w:w="1170" w:type="dxa"/>
          </w:tcPr>
          <w:p>
            <w:pPr>
              <w:rPr>
                <w:rFonts w:ascii="宋体" w:hAnsi="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olor w:val="auto"/>
                <w:kern w:val="0"/>
                <w:highlight w:val="none"/>
              </w:rPr>
            </w:pPr>
          </w:p>
        </w:tc>
        <w:tc>
          <w:tcPr>
            <w:tcW w:w="1080" w:type="dxa"/>
          </w:tcPr>
          <w:p>
            <w:pPr>
              <w:rPr>
                <w:rFonts w:ascii="宋体" w:hAnsi="宋体"/>
                <w:color w:val="auto"/>
                <w:kern w:val="0"/>
                <w:highlight w:val="none"/>
              </w:rPr>
            </w:pPr>
          </w:p>
        </w:tc>
        <w:tc>
          <w:tcPr>
            <w:tcW w:w="1800" w:type="dxa"/>
          </w:tcPr>
          <w:p>
            <w:pPr>
              <w:rPr>
                <w:rFonts w:ascii="宋体" w:hAnsi="宋体"/>
                <w:color w:val="auto"/>
                <w:kern w:val="0"/>
                <w:highlight w:val="none"/>
              </w:rPr>
            </w:pPr>
          </w:p>
        </w:tc>
        <w:tc>
          <w:tcPr>
            <w:tcW w:w="2340" w:type="dxa"/>
          </w:tcPr>
          <w:p>
            <w:pPr>
              <w:rPr>
                <w:rFonts w:ascii="宋体" w:hAnsi="宋体"/>
                <w:color w:val="auto"/>
                <w:kern w:val="0"/>
                <w:highlight w:val="none"/>
              </w:rPr>
            </w:pPr>
          </w:p>
        </w:tc>
        <w:tc>
          <w:tcPr>
            <w:tcW w:w="1310" w:type="dxa"/>
          </w:tcPr>
          <w:p>
            <w:pPr>
              <w:rPr>
                <w:rFonts w:ascii="宋体" w:hAnsi="宋体"/>
                <w:color w:val="auto"/>
                <w:kern w:val="0"/>
                <w:highlight w:val="none"/>
              </w:rPr>
            </w:pPr>
          </w:p>
        </w:tc>
        <w:tc>
          <w:tcPr>
            <w:tcW w:w="1170" w:type="dxa"/>
          </w:tcPr>
          <w:p>
            <w:pPr>
              <w:rPr>
                <w:rFonts w:ascii="宋体" w:hAnsi="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olor w:val="auto"/>
                <w:kern w:val="0"/>
                <w:highlight w:val="none"/>
              </w:rPr>
            </w:pPr>
          </w:p>
        </w:tc>
        <w:tc>
          <w:tcPr>
            <w:tcW w:w="1080" w:type="dxa"/>
          </w:tcPr>
          <w:p>
            <w:pPr>
              <w:rPr>
                <w:rFonts w:ascii="宋体" w:hAnsi="宋体"/>
                <w:color w:val="auto"/>
                <w:kern w:val="0"/>
                <w:highlight w:val="none"/>
              </w:rPr>
            </w:pPr>
          </w:p>
        </w:tc>
        <w:tc>
          <w:tcPr>
            <w:tcW w:w="1800" w:type="dxa"/>
          </w:tcPr>
          <w:p>
            <w:pPr>
              <w:rPr>
                <w:rFonts w:ascii="宋体" w:hAnsi="宋体"/>
                <w:color w:val="auto"/>
                <w:kern w:val="0"/>
                <w:highlight w:val="none"/>
              </w:rPr>
            </w:pPr>
          </w:p>
        </w:tc>
        <w:tc>
          <w:tcPr>
            <w:tcW w:w="2340" w:type="dxa"/>
          </w:tcPr>
          <w:p>
            <w:pPr>
              <w:rPr>
                <w:rFonts w:ascii="宋体" w:hAnsi="宋体"/>
                <w:color w:val="auto"/>
                <w:kern w:val="0"/>
                <w:highlight w:val="none"/>
              </w:rPr>
            </w:pPr>
          </w:p>
        </w:tc>
        <w:tc>
          <w:tcPr>
            <w:tcW w:w="1310" w:type="dxa"/>
          </w:tcPr>
          <w:p>
            <w:pPr>
              <w:rPr>
                <w:rFonts w:ascii="宋体" w:hAnsi="宋体"/>
                <w:color w:val="auto"/>
                <w:kern w:val="0"/>
                <w:highlight w:val="none"/>
              </w:rPr>
            </w:pPr>
          </w:p>
        </w:tc>
        <w:tc>
          <w:tcPr>
            <w:tcW w:w="1170" w:type="dxa"/>
          </w:tcPr>
          <w:p>
            <w:pPr>
              <w:rPr>
                <w:rFonts w:ascii="宋体" w:hAnsi="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olor w:val="auto"/>
                <w:kern w:val="0"/>
                <w:highlight w:val="none"/>
              </w:rPr>
            </w:pPr>
          </w:p>
        </w:tc>
        <w:tc>
          <w:tcPr>
            <w:tcW w:w="1080" w:type="dxa"/>
          </w:tcPr>
          <w:p>
            <w:pPr>
              <w:rPr>
                <w:rFonts w:ascii="宋体" w:hAnsi="宋体"/>
                <w:color w:val="auto"/>
                <w:kern w:val="0"/>
                <w:highlight w:val="none"/>
              </w:rPr>
            </w:pPr>
          </w:p>
        </w:tc>
        <w:tc>
          <w:tcPr>
            <w:tcW w:w="1800" w:type="dxa"/>
          </w:tcPr>
          <w:p>
            <w:pPr>
              <w:rPr>
                <w:rFonts w:ascii="宋体" w:hAnsi="宋体"/>
                <w:color w:val="auto"/>
                <w:kern w:val="0"/>
                <w:highlight w:val="none"/>
              </w:rPr>
            </w:pPr>
          </w:p>
        </w:tc>
        <w:tc>
          <w:tcPr>
            <w:tcW w:w="2340" w:type="dxa"/>
          </w:tcPr>
          <w:p>
            <w:pPr>
              <w:rPr>
                <w:rFonts w:ascii="宋体" w:hAnsi="宋体"/>
                <w:color w:val="auto"/>
                <w:kern w:val="0"/>
                <w:highlight w:val="none"/>
              </w:rPr>
            </w:pPr>
          </w:p>
        </w:tc>
        <w:tc>
          <w:tcPr>
            <w:tcW w:w="1310" w:type="dxa"/>
          </w:tcPr>
          <w:p>
            <w:pPr>
              <w:rPr>
                <w:rFonts w:ascii="宋体" w:hAnsi="宋体"/>
                <w:color w:val="auto"/>
                <w:kern w:val="0"/>
                <w:highlight w:val="none"/>
              </w:rPr>
            </w:pPr>
          </w:p>
        </w:tc>
        <w:tc>
          <w:tcPr>
            <w:tcW w:w="1170" w:type="dxa"/>
          </w:tcPr>
          <w:p>
            <w:pPr>
              <w:rPr>
                <w:rFonts w:ascii="宋体" w:hAnsi="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olor w:val="auto"/>
                <w:kern w:val="0"/>
                <w:highlight w:val="none"/>
              </w:rPr>
            </w:pPr>
          </w:p>
        </w:tc>
        <w:tc>
          <w:tcPr>
            <w:tcW w:w="1080" w:type="dxa"/>
          </w:tcPr>
          <w:p>
            <w:pPr>
              <w:rPr>
                <w:rFonts w:ascii="宋体" w:hAnsi="宋体"/>
                <w:color w:val="auto"/>
                <w:kern w:val="0"/>
                <w:highlight w:val="none"/>
              </w:rPr>
            </w:pPr>
          </w:p>
        </w:tc>
        <w:tc>
          <w:tcPr>
            <w:tcW w:w="1800" w:type="dxa"/>
          </w:tcPr>
          <w:p>
            <w:pPr>
              <w:rPr>
                <w:rFonts w:ascii="宋体" w:hAnsi="宋体"/>
                <w:color w:val="auto"/>
                <w:kern w:val="0"/>
                <w:highlight w:val="none"/>
              </w:rPr>
            </w:pPr>
          </w:p>
        </w:tc>
        <w:tc>
          <w:tcPr>
            <w:tcW w:w="2340" w:type="dxa"/>
          </w:tcPr>
          <w:p>
            <w:pPr>
              <w:rPr>
                <w:rFonts w:ascii="宋体" w:hAnsi="宋体"/>
                <w:color w:val="auto"/>
                <w:kern w:val="0"/>
                <w:highlight w:val="none"/>
              </w:rPr>
            </w:pPr>
          </w:p>
        </w:tc>
        <w:tc>
          <w:tcPr>
            <w:tcW w:w="1310" w:type="dxa"/>
          </w:tcPr>
          <w:p>
            <w:pPr>
              <w:rPr>
                <w:rFonts w:ascii="宋体" w:hAnsi="宋体"/>
                <w:color w:val="auto"/>
                <w:kern w:val="0"/>
                <w:highlight w:val="none"/>
              </w:rPr>
            </w:pPr>
          </w:p>
        </w:tc>
        <w:tc>
          <w:tcPr>
            <w:tcW w:w="1170" w:type="dxa"/>
          </w:tcPr>
          <w:p>
            <w:pPr>
              <w:rPr>
                <w:rFonts w:ascii="宋体" w:hAnsi="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olor w:val="auto"/>
                <w:kern w:val="0"/>
                <w:highlight w:val="none"/>
              </w:rPr>
            </w:pPr>
          </w:p>
        </w:tc>
        <w:tc>
          <w:tcPr>
            <w:tcW w:w="1080" w:type="dxa"/>
          </w:tcPr>
          <w:p>
            <w:pPr>
              <w:rPr>
                <w:rFonts w:ascii="宋体" w:hAnsi="宋体"/>
                <w:color w:val="auto"/>
                <w:kern w:val="0"/>
                <w:highlight w:val="none"/>
              </w:rPr>
            </w:pPr>
          </w:p>
        </w:tc>
        <w:tc>
          <w:tcPr>
            <w:tcW w:w="1800" w:type="dxa"/>
          </w:tcPr>
          <w:p>
            <w:pPr>
              <w:rPr>
                <w:rFonts w:ascii="宋体" w:hAnsi="宋体"/>
                <w:color w:val="auto"/>
                <w:kern w:val="0"/>
                <w:highlight w:val="none"/>
              </w:rPr>
            </w:pPr>
          </w:p>
        </w:tc>
        <w:tc>
          <w:tcPr>
            <w:tcW w:w="2340" w:type="dxa"/>
          </w:tcPr>
          <w:p>
            <w:pPr>
              <w:rPr>
                <w:rFonts w:ascii="宋体" w:hAnsi="宋体"/>
                <w:color w:val="auto"/>
                <w:kern w:val="0"/>
                <w:highlight w:val="none"/>
              </w:rPr>
            </w:pPr>
          </w:p>
        </w:tc>
        <w:tc>
          <w:tcPr>
            <w:tcW w:w="1310" w:type="dxa"/>
          </w:tcPr>
          <w:p>
            <w:pPr>
              <w:rPr>
                <w:rFonts w:ascii="宋体" w:hAnsi="宋体"/>
                <w:color w:val="auto"/>
                <w:kern w:val="0"/>
                <w:highlight w:val="none"/>
              </w:rPr>
            </w:pPr>
          </w:p>
        </w:tc>
        <w:tc>
          <w:tcPr>
            <w:tcW w:w="1170" w:type="dxa"/>
          </w:tcPr>
          <w:p>
            <w:pPr>
              <w:rPr>
                <w:rFonts w:ascii="宋体" w:hAnsi="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olor w:val="auto"/>
                <w:kern w:val="0"/>
                <w:highlight w:val="none"/>
              </w:rPr>
            </w:pPr>
          </w:p>
        </w:tc>
        <w:tc>
          <w:tcPr>
            <w:tcW w:w="1080" w:type="dxa"/>
          </w:tcPr>
          <w:p>
            <w:pPr>
              <w:rPr>
                <w:rFonts w:ascii="宋体" w:hAnsi="宋体"/>
                <w:color w:val="auto"/>
                <w:kern w:val="0"/>
                <w:highlight w:val="none"/>
              </w:rPr>
            </w:pPr>
          </w:p>
        </w:tc>
        <w:tc>
          <w:tcPr>
            <w:tcW w:w="1800" w:type="dxa"/>
          </w:tcPr>
          <w:p>
            <w:pPr>
              <w:rPr>
                <w:rFonts w:ascii="宋体" w:hAnsi="宋体"/>
                <w:color w:val="auto"/>
                <w:kern w:val="0"/>
                <w:highlight w:val="none"/>
              </w:rPr>
            </w:pPr>
          </w:p>
        </w:tc>
        <w:tc>
          <w:tcPr>
            <w:tcW w:w="2340" w:type="dxa"/>
          </w:tcPr>
          <w:p>
            <w:pPr>
              <w:rPr>
                <w:rFonts w:ascii="宋体" w:hAnsi="宋体"/>
                <w:color w:val="auto"/>
                <w:kern w:val="0"/>
                <w:highlight w:val="none"/>
              </w:rPr>
            </w:pPr>
          </w:p>
        </w:tc>
        <w:tc>
          <w:tcPr>
            <w:tcW w:w="1310" w:type="dxa"/>
          </w:tcPr>
          <w:p>
            <w:pPr>
              <w:rPr>
                <w:rFonts w:ascii="宋体" w:hAnsi="宋体"/>
                <w:color w:val="auto"/>
                <w:kern w:val="0"/>
                <w:highlight w:val="none"/>
              </w:rPr>
            </w:pPr>
          </w:p>
        </w:tc>
        <w:tc>
          <w:tcPr>
            <w:tcW w:w="1170" w:type="dxa"/>
          </w:tcPr>
          <w:p>
            <w:pPr>
              <w:rPr>
                <w:rFonts w:ascii="宋体" w:hAnsi="宋体"/>
                <w:color w:val="auto"/>
                <w:kern w:val="0"/>
                <w:highlight w:val="none"/>
              </w:rPr>
            </w:pPr>
          </w:p>
        </w:tc>
      </w:tr>
    </w:tbl>
    <w:p>
      <w:pPr>
        <w:rPr>
          <w:rFonts w:ascii="宋体" w:hAnsi="宋体"/>
          <w:color w:val="auto"/>
          <w:szCs w:val="21"/>
          <w:highlight w:val="none"/>
        </w:rPr>
      </w:pPr>
      <w:r>
        <w:rPr>
          <w:rFonts w:hint="eastAsia" w:ascii="宋体" w:hAnsi="宋体"/>
          <w:color w:val="auto"/>
          <w:szCs w:val="21"/>
          <w:highlight w:val="none"/>
        </w:rPr>
        <w:t>注：</w:t>
      </w:r>
    </w:p>
    <w:p>
      <w:pPr>
        <w:ind w:firstLine="420" w:firstLineChars="200"/>
        <w:rPr>
          <w:rFonts w:ascii="宋体" w:hAnsi="宋体"/>
          <w:color w:val="auto"/>
          <w:szCs w:val="21"/>
          <w:highlight w:val="none"/>
        </w:rPr>
      </w:pPr>
      <w:r>
        <w:rPr>
          <w:rFonts w:hint="eastAsia" w:ascii="宋体" w:hAnsi="宋体"/>
          <w:color w:val="auto"/>
          <w:szCs w:val="21"/>
          <w:highlight w:val="none"/>
        </w:rPr>
        <w:t>1. 本表用于确定投标报价得分。</w:t>
      </w:r>
    </w:p>
    <w:p>
      <w:pPr>
        <w:ind w:firstLine="420" w:firstLineChars="200"/>
        <w:rPr>
          <w:rFonts w:ascii="宋体" w:hAnsi="宋体"/>
          <w:color w:val="auto"/>
          <w:szCs w:val="21"/>
          <w:highlight w:val="none"/>
        </w:rPr>
      </w:pPr>
      <w:r>
        <w:rPr>
          <w:rFonts w:hint="eastAsia" w:ascii="宋体" w:hAnsi="宋体"/>
          <w:color w:val="auto"/>
          <w:szCs w:val="21"/>
          <w:highlight w:val="none"/>
        </w:rPr>
        <w:t>2.未能通过初步评审的投标人不得在本表中列出。</w:t>
      </w:r>
    </w:p>
    <w:p>
      <w:pPr>
        <w:ind w:firstLine="420" w:firstLineChars="200"/>
        <w:rPr>
          <w:rFonts w:ascii="宋体" w:hAnsi="宋体"/>
          <w:color w:val="auto"/>
          <w:szCs w:val="21"/>
          <w:highlight w:val="none"/>
        </w:rPr>
      </w:pPr>
      <w:r>
        <w:rPr>
          <w:rFonts w:hint="eastAsia" w:ascii="宋体" w:hAnsi="宋体"/>
          <w:color w:val="auto"/>
          <w:szCs w:val="21"/>
          <w:highlight w:val="none"/>
        </w:rPr>
        <w:t>3. 本表中开标序号为投标人在《开标记录表》中的“序号”，即开标序号=“序号”。</w:t>
      </w:r>
    </w:p>
    <w:p>
      <w:pPr>
        <w:ind w:firstLine="420" w:firstLineChars="200"/>
        <w:rPr>
          <w:rFonts w:ascii="宋体" w:hAnsi="宋体"/>
          <w:color w:val="auto"/>
          <w:szCs w:val="21"/>
          <w:highlight w:val="none"/>
        </w:rPr>
      </w:pPr>
      <w:r>
        <w:rPr>
          <w:rFonts w:hint="eastAsia" w:ascii="宋体" w:hAnsi="宋体"/>
          <w:color w:val="auto"/>
          <w:szCs w:val="21"/>
          <w:highlight w:val="none"/>
        </w:rPr>
        <w:t>4.投标人在本表中的排列：按照《开标记录表》中的“序号”从小到大排列。</w:t>
      </w:r>
    </w:p>
    <w:p>
      <w:pPr>
        <w:rPr>
          <w:rFonts w:ascii="宋体" w:hAnsi="宋体"/>
          <w:color w:val="auto"/>
          <w:kern w:val="0"/>
          <w:szCs w:val="21"/>
          <w:highlight w:val="none"/>
        </w:rPr>
      </w:pPr>
      <w:r>
        <w:rPr>
          <w:rFonts w:hint="eastAsia" w:ascii="宋体" w:hAnsi="宋体"/>
          <w:color w:val="auto"/>
          <w:szCs w:val="21"/>
          <w:highlight w:val="none"/>
        </w:rPr>
        <w:t xml:space="preserve">评标委员会全体评委签名：                       </w:t>
      </w:r>
      <w:r>
        <w:rPr>
          <w:rFonts w:hint="eastAsia" w:ascii="宋体" w:hAnsi="宋体"/>
          <w:color w:val="auto"/>
          <w:kern w:val="0"/>
          <w:szCs w:val="21"/>
          <w:highlight w:val="none"/>
        </w:rPr>
        <w:t>日期：   年   月  日</w:t>
      </w:r>
    </w:p>
    <w:p>
      <w:pPr>
        <w:rPr>
          <w:rFonts w:ascii="宋体" w:hAnsi="宋体"/>
          <w:color w:val="auto"/>
          <w:kern w:val="0"/>
          <w:highlight w:val="none"/>
        </w:rPr>
      </w:pPr>
    </w:p>
    <w:p>
      <w:pPr>
        <w:rPr>
          <w:rFonts w:ascii="宋体" w:hAnsi="宋体"/>
          <w:color w:val="auto"/>
          <w:kern w:val="0"/>
          <w:highlight w:val="none"/>
        </w:rPr>
      </w:pPr>
    </w:p>
    <w:p>
      <w:pPr>
        <w:rPr>
          <w:rFonts w:ascii="宋体" w:hAnsi="宋体"/>
          <w:color w:val="auto"/>
          <w:kern w:val="0"/>
          <w:highlight w:val="none"/>
        </w:rPr>
      </w:pPr>
    </w:p>
    <w:p>
      <w:pPr>
        <w:jc w:val="center"/>
        <w:rPr>
          <w:rFonts w:ascii="宋体" w:hAnsi="宋体"/>
          <w:b/>
          <w:color w:val="auto"/>
          <w:sz w:val="32"/>
          <w:szCs w:val="32"/>
          <w:highlight w:val="none"/>
        </w:rPr>
        <w:sectPr>
          <w:pgSz w:w="11906" w:h="16838"/>
          <w:pgMar w:top="1440" w:right="1797" w:bottom="1440" w:left="1797" w:header="851" w:footer="992" w:gutter="0"/>
          <w:cols w:space="720" w:num="1"/>
          <w:docGrid w:linePitch="312" w:charSpace="0"/>
        </w:sectPr>
      </w:pPr>
    </w:p>
    <w:p>
      <w:pPr>
        <w:spacing w:line="360" w:lineRule="auto"/>
        <w:jc w:val="left"/>
        <w:outlineLvl w:val="2"/>
        <w:rPr>
          <w:rFonts w:ascii="宋体" w:hAnsi="宋体"/>
          <w:color w:val="auto"/>
          <w:sz w:val="28"/>
          <w:szCs w:val="27"/>
          <w:highlight w:val="none"/>
        </w:rPr>
      </w:pPr>
      <w:bookmarkStart w:id="143" w:name="_Toc21787743"/>
      <w:r>
        <w:rPr>
          <w:rFonts w:hint="eastAsia" w:ascii="宋体" w:hAnsi="宋体"/>
          <w:color w:val="auto"/>
          <w:sz w:val="28"/>
          <w:szCs w:val="27"/>
          <w:highlight w:val="none"/>
        </w:rPr>
        <w:t>附表7：诚信评价评审得分记录表（格式）</w:t>
      </w:r>
      <w:bookmarkEnd w:id="143"/>
    </w:p>
    <w:p>
      <w:pPr>
        <w:spacing w:line="360" w:lineRule="auto"/>
        <w:jc w:val="center"/>
        <w:rPr>
          <w:rFonts w:ascii="宋体" w:hAnsi="宋体"/>
          <w:b/>
          <w:color w:val="auto"/>
          <w:sz w:val="36"/>
          <w:szCs w:val="36"/>
          <w:highlight w:val="none"/>
        </w:rPr>
      </w:pPr>
      <w:r>
        <w:rPr>
          <w:rFonts w:hint="eastAsia" w:ascii="宋体" w:hAnsi="宋体"/>
          <w:b/>
          <w:color w:val="auto"/>
          <w:sz w:val="36"/>
          <w:szCs w:val="36"/>
          <w:highlight w:val="none"/>
        </w:rPr>
        <w:t>诚信评价分表</w:t>
      </w:r>
    </w:p>
    <w:p>
      <w:pPr>
        <w:spacing w:line="360" w:lineRule="auto"/>
        <w:rPr>
          <w:rFonts w:ascii="宋体" w:hAnsi="宋体"/>
          <w:b/>
          <w:color w:val="auto"/>
          <w:szCs w:val="21"/>
          <w:highlight w:val="none"/>
        </w:rPr>
      </w:pPr>
      <w:r>
        <w:rPr>
          <w:rFonts w:hint="eastAsia" w:ascii="宋体" w:hAnsi="宋体"/>
          <w:b/>
          <w:color w:val="auto"/>
          <w:szCs w:val="21"/>
          <w:highlight w:val="none"/>
        </w:rPr>
        <w:t>项目编号：</w:t>
      </w:r>
    </w:p>
    <w:p>
      <w:pPr>
        <w:spacing w:line="360" w:lineRule="auto"/>
        <w:rPr>
          <w:rFonts w:ascii="宋体" w:hAnsi="宋体"/>
          <w:b/>
          <w:color w:val="auto"/>
          <w:szCs w:val="21"/>
          <w:highlight w:val="none"/>
        </w:rPr>
      </w:pPr>
      <w:r>
        <w:rPr>
          <w:rFonts w:hint="eastAsia" w:ascii="宋体" w:hAnsi="宋体"/>
          <w:b/>
          <w:color w:val="auto"/>
          <w:szCs w:val="21"/>
          <w:highlight w:val="none"/>
        </w:rPr>
        <w:t>项目名称：</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3780"/>
        <w:gridCol w:w="144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0" w:type="dxa"/>
            <w:vAlign w:val="center"/>
          </w:tcPr>
          <w:p>
            <w:pPr>
              <w:jc w:val="center"/>
              <w:rPr>
                <w:rFonts w:ascii="宋体" w:hAnsi="宋体"/>
                <w:color w:val="auto"/>
                <w:szCs w:val="21"/>
                <w:highlight w:val="none"/>
              </w:rPr>
            </w:pPr>
            <w:r>
              <w:rPr>
                <w:rFonts w:hint="eastAsia" w:ascii="宋体" w:hAnsi="宋体"/>
                <w:color w:val="auto"/>
                <w:szCs w:val="21"/>
                <w:highlight w:val="none"/>
              </w:rPr>
              <w:t>开标序号</w:t>
            </w:r>
          </w:p>
        </w:tc>
        <w:tc>
          <w:tcPr>
            <w:tcW w:w="3780" w:type="dxa"/>
            <w:vAlign w:val="center"/>
          </w:tcPr>
          <w:p>
            <w:pPr>
              <w:jc w:val="center"/>
              <w:rPr>
                <w:rFonts w:ascii="宋体" w:hAnsi="宋体"/>
                <w:color w:val="auto"/>
                <w:szCs w:val="21"/>
                <w:highlight w:val="none"/>
              </w:rPr>
            </w:pPr>
            <w:r>
              <w:rPr>
                <w:rFonts w:hint="eastAsia" w:ascii="宋体" w:hAnsi="宋体"/>
                <w:color w:val="auto"/>
                <w:szCs w:val="21"/>
                <w:highlight w:val="none"/>
              </w:rPr>
              <w:t>投标人</w:t>
            </w:r>
          </w:p>
        </w:tc>
        <w:tc>
          <w:tcPr>
            <w:tcW w:w="1440" w:type="dxa"/>
            <w:vAlign w:val="center"/>
          </w:tcPr>
          <w:p>
            <w:pPr>
              <w:jc w:val="center"/>
              <w:rPr>
                <w:rFonts w:ascii="宋体" w:hAnsi="宋体"/>
                <w:color w:val="auto"/>
                <w:szCs w:val="21"/>
                <w:highlight w:val="none"/>
              </w:rPr>
            </w:pPr>
            <w:r>
              <w:rPr>
                <w:rFonts w:hint="eastAsia" w:ascii="宋体" w:hAnsi="宋体"/>
                <w:color w:val="auto"/>
                <w:szCs w:val="21"/>
                <w:highlight w:val="none"/>
              </w:rPr>
              <w:t>诚信类别</w:t>
            </w:r>
          </w:p>
        </w:tc>
        <w:tc>
          <w:tcPr>
            <w:tcW w:w="2340" w:type="dxa"/>
            <w:vAlign w:val="center"/>
          </w:tcPr>
          <w:p>
            <w:pPr>
              <w:jc w:val="center"/>
              <w:rPr>
                <w:rFonts w:ascii="宋体" w:hAnsi="宋体"/>
                <w:color w:val="auto"/>
                <w:szCs w:val="21"/>
                <w:highlight w:val="none"/>
              </w:rPr>
            </w:pPr>
            <w:r>
              <w:rPr>
                <w:rFonts w:hint="eastAsia" w:ascii="宋体" w:hAnsi="宋体"/>
                <w:color w:val="auto"/>
                <w:szCs w:val="21"/>
                <w:highlight w:val="none"/>
              </w:rPr>
              <w:t>诚信评价分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vAlign w:val="center"/>
          </w:tcPr>
          <w:p>
            <w:pPr>
              <w:jc w:val="center"/>
              <w:rPr>
                <w:rFonts w:ascii="宋体" w:hAnsi="宋体"/>
                <w:color w:val="auto"/>
                <w:szCs w:val="21"/>
                <w:highlight w:val="none"/>
              </w:rPr>
            </w:pPr>
            <w:r>
              <w:rPr>
                <w:rFonts w:hint="eastAsia" w:ascii="宋体" w:hAnsi="宋体"/>
                <w:color w:val="auto"/>
                <w:szCs w:val="21"/>
                <w:highlight w:val="none"/>
              </w:rPr>
              <w:t>1</w:t>
            </w:r>
          </w:p>
        </w:tc>
        <w:tc>
          <w:tcPr>
            <w:tcW w:w="3780" w:type="dxa"/>
          </w:tcPr>
          <w:p>
            <w:pPr>
              <w:rPr>
                <w:rFonts w:ascii="宋体" w:hAnsi="宋体"/>
                <w:color w:val="auto"/>
                <w:szCs w:val="21"/>
                <w:highlight w:val="none"/>
              </w:rPr>
            </w:pPr>
          </w:p>
        </w:tc>
        <w:tc>
          <w:tcPr>
            <w:tcW w:w="1440" w:type="dxa"/>
            <w:vMerge w:val="restart"/>
            <w:vAlign w:val="center"/>
          </w:tcPr>
          <w:p>
            <w:pPr>
              <w:rPr>
                <w:rFonts w:ascii="宋体" w:hAnsi="宋体"/>
                <w:color w:val="auto"/>
                <w:szCs w:val="21"/>
                <w:highlight w:val="none"/>
              </w:rPr>
            </w:pPr>
            <w:r>
              <w:rPr>
                <w:rFonts w:hint="eastAsia" w:ascii="宋体" w:hAnsi="宋体"/>
                <w:color w:val="auto"/>
                <w:szCs w:val="21"/>
                <w:highlight w:val="none"/>
              </w:rPr>
              <w:t>施工-水利</w:t>
            </w:r>
          </w:p>
        </w:tc>
        <w:tc>
          <w:tcPr>
            <w:tcW w:w="2340" w:type="dxa"/>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vAlign w:val="center"/>
          </w:tcPr>
          <w:p>
            <w:pPr>
              <w:jc w:val="center"/>
              <w:rPr>
                <w:rFonts w:ascii="宋体" w:hAnsi="宋体"/>
                <w:color w:val="auto"/>
                <w:szCs w:val="21"/>
                <w:highlight w:val="none"/>
              </w:rPr>
            </w:pPr>
            <w:r>
              <w:rPr>
                <w:rFonts w:hint="eastAsia" w:ascii="宋体" w:hAnsi="宋体"/>
                <w:color w:val="auto"/>
                <w:szCs w:val="21"/>
                <w:highlight w:val="none"/>
              </w:rPr>
              <w:t>2</w:t>
            </w:r>
          </w:p>
        </w:tc>
        <w:tc>
          <w:tcPr>
            <w:tcW w:w="3780" w:type="dxa"/>
          </w:tcPr>
          <w:p>
            <w:pPr>
              <w:rPr>
                <w:rFonts w:ascii="宋体" w:hAnsi="宋体"/>
                <w:color w:val="auto"/>
                <w:szCs w:val="21"/>
                <w:highlight w:val="none"/>
              </w:rPr>
            </w:pPr>
          </w:p>
        </w:tc>
        <w:tc>
          <w:tcPr>
            <w:tcW w:w="1440" w:type="dxa"/>
            <w:vMerge w:val="continue"/>
          </w:tcPr>
          <w:p>
            <w:pPr>
              <w:jc w:val="center"/>
              <w:rPr>
                <w:rFonts w:ascii="宋体" w:hAnsi="宋体"/>
                <w:color w:val="auto"/>
                <w:szCs w:val="21"/>
                <w:highlight w:val="none"/>
              </w:rPr>
            </w:pPr>
          </w:p>
        </w:tc>
        <w:tc>
          <w:tcPr>
            <w:tcW w:w="2340" w:type="dxa"/>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vAlign w:val="center"/>
          </w:tcPr>
          <w:p>
            <w:pPr>
              <w:jc w:val="center"/>
              <w:rPr>
                <w:rFonts w:ascii="宋体" w:hAnsi="宋体"/>
                <w:color w:val="auto"/>
                <w:szCs w:val="21"/>
                <w:highlight w:val="none"/>
              </w:rPr>
            </w:pPr>
            <w:r>
              <w:rPr>
                <w:rFonts w:hint="eastAsia" w:ascii="宋体" w:hAnsi="宋体"/>
                <w:color w:val="auto"/>
                <w:szCs w:val="21"/>
                <w:highlight w:val="none"/>
              </w:rPr>
              <w:t>3</w:t>
            </w:r>
          </w:p>
        </w:tc>
        <w:tc>
          <w:tcPr>
            <w:tcW w:w="3780" w:type="dxa"/>
          </w:tcPr>
          <w:p>
            <w:pPr>
              <w:rPr>
                <w:rFonts w:ascii="宋体" w:hAnsi="宋体"/>
                <w:color w:val="auto"/>
                <w:szCs w:val="21"/>
                <w:highlight w:val="none"/>
              </w:rPr>
            </w:pPr>
          </w:p>
        </w:tc>
        <w:tc>
          <w:tcPr>
            <w:tcW w:w="1440" w:type="dxa"/>
            <w:vMerge w:val="continue"/>
          </w:tcPr>
          <w:p>
            <w:pPr>
              <w:jc w:val="center"/>
              <w:rPr>
                <w:rFonts w:ascii="宋体" w:hAnsi="宋体"/>
                <w:color w:val="auto"/>
                <w:szCs w:val="21"/>
                <w:highlight w:val="none"/>
              </w:rPr>
            </w:pPr>
          </w:p>
        </w:tc>
        <w:tc>
          <w:tcPr>
            <w:tcW w:w="2340" w:type="dxa"/>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vAlign w:val="center"/>
          </w:tcPr>
          <w:p>
            <w:pPr>
              <w:jc w:val="center"/>
              <w:rPr>
                <w:rFonts w:ascii="宋体" w:hAnsi="宋体"/>
                <w:color w:val="auto"/>
                <w:szCs w:val="21"/>
                <w:highlight w:val="none"/>
              </w:rPr>
            </w:pPr>
            <w:r>
              <w:rPr>
                <w:rFonts w:hint="eastAsia" w:ascii="宋体" w:hAnsi="宋体"/>
                <w:color w:val="auto"/>
                <w:szCs w:val="21"/>
                <w:highlight w:val="none"/>
              </w:rPr>
              <w:t>4</w:t>
            </w:r>
          </w:p>
        </w:tc>
        <w:tc>
          <w:tcPr>
            <w:tcW w:w="3780" w:type="dxa"/>
          </w:tcPr>
          <w:p>
            <w:pPr>
              <w:rPr>
                <w:rFonts w:ascii="宋体" w:hAnsi="宋体"/>
                <w:color w:val="auto"/>
                <w:szCs w:val="21"/>
                <w:highlight w:val="none"/>
              </w:rPr>
            </w:pPr>
          </w:p>
        </w:tc>
        <w:tc>
          <w:tcPr>
            <w:tcW w:w="1440" w:type="dxa"/>
            <w:vMerge w:val="continue"/>
          </w:tcPr>
          <w:p>
            <w:pPr>
              <w:jc w:val="center"/>
              <w:rPr>
                <w:rFonts w:ascii="宋体" w:hAnsi="宋体"/>
                <w:color w:val="auto"/>
                <w:szCs w:val="21"/>
                <w:highlight w:val="none"/>
              </w:rPr>
            </w:pPr>
          </w:p>
        </w:tc>
        <w:tc>
          <w:tcPr>
            <w:tcW w:w="2340" w:type="dxa"/>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vAlign w:val="center"/>
          </w:tcPr>
          <w:p>
            <w:pPr>
              <w:jc w:val="center"/>
              <w:rPr>
                <w:rFonts w:ascii="宋体" w:hAnsi="宋体"/>
                <w:color w:val="auto"/>
                <w:szCs w:val="21"/>
                <w:highlight w:val="none"/>
              </w:rPr>
            </w:pPr>
            <w:r>
              <w:rPr>
                <w:rFonts w:hint="eastAsia" w:ascii="宋体" w:hAnsi="宋体"/>
                <w:color w:val="auto"/>
                <w:szCs w:val="21"/>
                <w:highlight w:val="none"/>
              </w:rPr>
              <w:t>5</w:t>
            </w:r>
          </w:p>
        </w:tc>
        <w:tc>
          <w:tcPr>
            <w:tcW w:w="3780" w:type="dxa"/>
          </w:tcPr>
          <w:p>
            <w:pPr>
              <w:rPr>
                <w:rFonts w:ascii="宋体" w:hAnsi="宋体"/>
                <w:color w:val="auto"/>
                <w:szCs w:val="21"/>
                <w:highlight w:val="none"/>
              </w:rPr>
            </w:pPr>
          </w:p>
        </w:tc>
        <w:tc>
          <w:tcPr>
            <w:tcW w:w="1440" w:type="dxa"/>
            <w:vMerge w:val="continue"/>
          </w:tcPr>
          <w:p>
            <w:pPr>
              <w:jc w:val="center"/>
              <w:rPr>
                <w:rFonts w:ascii="宋体" w:hAnsi="宋体"/>
                <w:color w:val="auto"/>
                <w:szCs w:val="21"/>
                <w:highlight w:val="none"/>
              </w:rPr>
            </w:pPr>
          </w:p>
        </w:tc>
        <w:tc>
          <w:tcPr>
            <w:tcW w:w="2340" w:type="dxa"/>
          </w:tcPr>
          <w:p>
            <w:pPr>
              <w:widowControl/>
              <w:jc w:val="left"/>
              <w:rPr>
                <w:rFonts w:ascii="宋体" w:hAnsi="宋体"/>
                <w:color w:val="auto"/>
                <w:szCs w:val="21"/>
                <w:highlight w:val="none"/>
              </w:rPr>
            </w:pPr>
          </w:p>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vAlign w:val="center"/>
          </w:tcPr>
          <w:p>
            <w:pPr>
              <w:jc w:val="center"/>
              <w:rPr>
                <w:rFonts w:ascii="宋体" w:hAnsi="宋体"/>
                <w:color w:val="auto"/>
                <w:szCs w:val="21"/>
                <w:highlight w:val="none"/>
              </w:rPr>
            </w:pPr>
            <w:r>
              <w:rPr>
                <w:rFonts w:hint="eastAsia" w:ascii="宋体" w:hAnsi="宋体"/>
                <w:color w:val="auto"/>
                <w:szCs w:val="21"/>
                <w:highlight w:val="none"/>
              </w:rPr>
              <w:t>6</w:t>
            </w:r>
          </w:p>
        </w:tc>
        <w:tc>
          <w:tcPr>
            <w:tcW w:w="3780" w:type="dxa"/>
          </w:tcPr>
          <w:p>
            <w:pPr>
              <w:rPr>
                <w:rFonts w:ascii="宋体" w:hAnsi="宋体"/>
                <w:color w:val="auto"/>
                <w:szCs w:val="21"/>
                <w:highlight w:val="none"/>
              </w:rPr>
            </w:pPr>
          </w:p>
        </w:tc>
        <w:tc>
          <w:tcPr>
            <w:tcW w:w="1440" w:type="dxa"/>
            <w:vMerge w:val="continue"/>
          </w:tcPr>
          <w:p>
            <w:pPr>
              <w:rPr>
                <w:rFonts w:ascii="宋体" w:hAnsi="宋体"/>
                <w:color w:val="auto"/>
                <w:szCs w:val="21"/>
                <w:highlight w:val="none"/>
              </w:rPr>
            </w:pPr>
          </w:p>
        </w:tc>
        <w:tc>
          <w:tcPr>
            <w:tcW w:w="2340" w:type="dxa"/>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vAlign w:val="center"/>
          </w:tcPr>
          <w:p>
            <w:pPr>
              <w:jc w:val="center"/>
              <w:rPr>
                <w:rFonts w:ascii="宋体" w:hAnsi="宋体"/>
                <w:color w:val="auto"/>
                <w:szCs w:val="21"/>
                <w:highlight w:val="none"/>
              </w:rPr>
            </w:pPr>
            <w:r>
              <w:rPr>
                <w:rFonts w:hint="eastAsia" w:ascii="宋体" w:hAnsi="宋体"/>
                <w:color w:val="auto"/>
                <w:szCs w:val="21"/>
                <w:highlight w:val="none"/>
              </w:rPr>
              <w:t>7</w:t>
            </w:r>
          </w:p>
        </w:tc>
        <w:tc>
          <w:tcPr>
            <w:tcW w:w="3780" w:type="dxa"/>
          </w:tcPr>
          <w:p>
            <w:pPr>
              <w:rPr>
                <w:rFonts w:ascii="宋体" w:hAnsi="宋体"/>
                <w:color w:val="auto"/>
                <w:szCs w:val="21"/>
                <w:highlight w:val="none"/>
              </w:rPr>
            </w:pPr>
          </w:p>
        </w:tc>
        <w:tc>
          <w:tcPr>
            <w:tcW w:w="1440" w:type="dxa"/>
            <w:vMerge w:val="continue"/>
          </w:tcPr>
          <w:p>
            <w:pPr>
              <w:rPr>
                <w:rFonts w:ascii="宋体" w:hAnsi="宋体"/>
                <w:color w:val="auto"/>
                <w:szCs w:val="21"/>
                <w:highlight w:val="none"/>
              </w:rPr>
            </w:pPr>
          </w:p>
        </w:tc>
        <w:tc>
          <w:tcPr>
            <w:tcW w:w="2340" w:type="dxa"/>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vAlign w:val="center"/>
          </w:tcPr>
          <w:p>
            <w:pPr>
              <w:jc w:val="center"/>
              <w:rPr>
                <w:rFonts w:ascii="宋体" w:hAnsi="宋体"/>
                <w:color w:val="auto"/>
                <w:szCs w:val="21"/>
                <w:highlight w:val="none"/>
              </w:rPr>
            </w:pPr>
            <w:r>
              <w:rPr>
                <w:rFonts w:hint="eastAsia" w:ascii="宋体" w:hAnsi="宋体"/>
                <w:color w:val="auto"/>
                <w:szCs w:val="21"/>
                <w:highlight w:val="none"/>
              </w:rPr>
              <w:t>8</w:t>
            </w:r>
          </w:p>
        </w:tc>
        <w:tc>
          <w:tcPr>
            <w:tcW w:w="3780" w:type="dxa"/>
          </w:tcPr>
          <w:p>
            <w:pPr>
              <w:rPr>
                <w:rFonts w:ascii="宋体" w:hAnsi="宋体"/>
                <w:color w:val="auto"/>
                <w:szCs w:val="21"/>
                <w:highlight w:val="none"/>
              </w:rPr>
            </w:pPr>
          </w:p>
        </w:tc>
        <w:tc>
          <w:tcPr>
            <w:tcW w:w="1440" w:type="dxa"/>
            <w:vMerge w:val="continue"/>
          </w:tcPr>
          <w:p>
            <w:pPr>
              <w:rPr>
                <w:rFonts w:ascii="宋体" w:hAnsi="宋体"/>
                <w:color w:val="auto"/>
                <w:szCs w:val="21"/>
                <w:highlight w:val="none"/>
              </w:rPr>
            </w:pPr>
          </w:p>
        </w:tc>
        <w:tc>
          <w:tcPr>
            <w:tcW w:w="2340" w:type="dxa"/>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vAlign w:val="center"/>
          </w:tcPr>
          <w:p>
            <w:pPr>
              <w:jc w:val="center"/>
              <w:rPr>
                <w:rFonts w:ascii="宋体" w:hAnsi="宋体"/>
                <w:color w:val="auto"/>
                <w:szCs w:val="21"/>
                <w:highlight w:val="none"/>
              </w:rPr>
            </w:pPr>
            <w:r>
              <w:rPr>
                <w:rFonts w:hint="eastAsia" w:ascii="宋体" w:hAnsi="宋体"/>
                <w:color w:val="auto"/>
                <w:szCs w:val="21"/>
                <w:highlight w:val="none"/>
              </w:rPr>
              <w:t>9</w:t>
            </w:r>
          </w:p>
        </w:tc>
        <w:tc>
          <w:tcPr>
            <w:tcW w:w="3780" w:type="dxa"/>
          </w:tcPr>
          <w:p>
            <w:pPr>
              <w:rPr>
                <w:rFonts w:ascii="宋体" w:hAnsi="宋体"/>
                <w:color w:val="auto"/>
                <w:szCs w:val="21"/>
                <w:highlight w:val="none"/>
              </w:rPr>
            </w:pPr>
          </w:p>
        </w:tc>
        <w:tc>
          <w:tcPr>
            <w:tcW w:w="1440" w:type="dxa"/>
            <w:vMerge w:val="continue"/>
          </w:tcPr>
          <w:p>
            <w:pPr>
              <w:rPr>
                <w:rFonts w:ascii="宋体" w:hAnsi="宋体"/>
                <w:color w:val="auto"/>
                <w:szCs w:val="21"/>
                <w:highlight w:val="none"/>
              </w:rPr>
            </w:pPr>
          </w:p>
        </w:tc>
        <w:tc>
          <w:tcPr>
            <w:tcW w:w="2340" w:type="dxa"/>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vAlign w:val="center"/>
          </w:tcPr>
          <w:p>
            <w:pPr>
              <w:jc w:val="center"/>
              <w:rPr>
                <w:rFonts w:ascii="宋体" w:hAnsi="宋体"/>
                <w:color w:val="auto"/>
                <w:szCs w:val="21"/>
                <w:highlight w:val="none"/>
              </w:rPr>
            </w:pPr>
          </w:p>
        </w:tc>
        <w:tc>
          <w:tcPr>
            <w:tcW w:w="3780" w:type="dxa"/>
          </w:tcPr>
          <w:p>
            <w:pPr>
              <w:rPr>
                <w:rFonts w:ascii="宋体" w:hAnsi="宋体"/>
                <w:color w:val="auto"/>
                <w:szCs w:val="21"/>
                <w:highlight w:val="none"/>
              </w:rPr>
            </w:pPr>
          </w:p>
        </w:tc>
        <w:tc>
          <w:tcPr>
            <w:tcW w:w="1440" w:type="dxa"/>
            <w:vMerge w:val="continue"/>
          </w:tcPr>
          <w:p>
            <w:pPr>
              <w:rPr>
                <w:rFonts w:ascii="宋体" w:hAnsi="宋体"/>
                <w:color w:val="auto"/>
                <w:szCs w:val="21"/>
                <w:highlight w:val="none"/>
              </w:rPr>
            </w:pPr>
          </w:p>
        </w:tc>
        <w:tc>
          <w:tcPr>
            <w:tcW w:w="2340" w:type="dxa"/>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vAlign w:val="center"/>
          </w:tcPr>
          <w:p>
            <w:pPr>
              <w:jc w:val="center"/>
              <w:rPr>
                <w:rFonts w:ascii="宋体" w:hAnsi="宋体"/>
                <w:color w:val="auto"/>
                <w:szCs w:val="21"/>
                <w:highlight w:val="none"/>
              </w:rPr>
            </w:pPr>
          </w:p>
        </w:tc>
        <w:tc>
          <w:tcPr>
            <w:tcW w:w="3780" w:type="dxa"/>
          </w:tcPr>
          <w:p>
            <w:pPr>
              <w:rPr>
                <w:rFonts w:ascii="宋体" w:hAnsi="宋体"/>
                <w:color w:val="auto"/>
                <w:szCs w:val="21"/>
                <w:highlight w:val="none"/>
              </w:rPr>
            </w:pPr>
          </w:p>
        </w:tc>
        <w:tc>
          <w:tcPr>
            <w:tcW w:w="1440" w:type="dxa"/>
            <w:vMerge w:val="continue"/>
          </w:tcPr>
          <w:p>
            <w:pPr>
              <w:rPr>
                <w:rFonts w:ascii="宋体" w:hAnsi="宋体"/>
                <w:color w:val="auto"/>
                <w:szCs w:val="21"/>
                <w:highlight w:val="none"/>
              </w:rPr>
            </w:pPr>
          </w:p>
        </w:tc>
        <w:tc>
          <w:tcPr>
            <w:tcW w:w="2340" w:type="dxa"/>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vAlign w:val="center"/>
          </w:tcPr>
          <w:p>
            <w:pPr>
              <w:jc w:val="center"/>
              <w:rPr>
                <w:rFonts w:ascii="宋体" w:hAnsi="宋体"/>
                <w:color w:val="auto"/>
                <w:szCs w:val="21"/>
                <w:highlight w:val="none"/>
              </w:rPr>
            </w:pPr>
          </w:p>
        </w:tc>
        <w:tc>
          <w:tcPr>
            <w:tcW w:w="3780" w:type="dxa"/>
          </w:tcPr>
          <w:p>
            <w:pPr>
              <w:rPr>
                <w:rFonts w:ascii="宋体" w:hAnsi="宋体"/>
                <w:color w:val="auto"/>
                <w:szCs w:val="21"/>
                <w:highlight w:val="none"/>
              </w:rPr>
            </w:pPr>
          </w:p>
        </w:tc>
        <w:tc>
          <w:tcPr>
            <w:tcW w:w="1440" w:type="dxa"/>
            <w:vMerge w:val="continue"/>
          </w:tcPr>
          <w:p>
            <w:pPr>
              <w:rPr>
                <w:rFonts w:ascii="宋体" w:hAnsi="宋体"/>
                <w:color w:val="auto"/>
                <w:szCs w:val="21"/>
                <w:highlight w:val="none"/>
              </w:rPr>
            </w:pPr>
          </w:p>
        </w:tc>
        <w:tc>
          <w:tcPr>
            <w:tcW w:w="2340" w:type="dxa"/>
          </w:tcPr>
          <w:p>
            <w:pPr>
              <w:rPr>
                <w:rFonts w:ascii="宋体" w:hAnsi="宋体"/>
                <w:color w:val="auto"/>
                <w:szCs w:val="21"/>
                <w:highlight w:val="none"/>
              </w:rPr>
            </w:pPr>
          </w:p>
        </w:tc>
      </w:tr>
    </w:tbl>
    <w:p>
      <w:pPr>
        <w:rPr>
          <w:rFonts w:ascii="宋体" w:hAnsi="宋体"/>
          <w:color w:val="auto"/>
          <w:szCs w:val="21"/>
          <w:highlight w:val="none"/>
        </w:rPr>
      </w:pPr>
      <w:r>
        <w:rPr>
          <w:rFonts w:hint="eastAsia" w:ascii="宋体" w:hAnsi="宋体"/>
          <w:color w:val="auto"/>
          <w:szCs w:val="21"/>
          <w:highlight w:val="none"/>
        </w:rPr>
        <w:t>注：1.</w:t>
      </w:r>
      <w:r>
        <w:rPr>
          <w:rFonts w:ascii="宋体" w:hAnsi="宋体"/>
          <w:color w:val="auto"/>
          <w:szCs w:val="21"/>
          <w:highlight w:val="none"/>
        </w:rPr>
        <w:t xml:space="preserve"> 本表用于确定</w:t>
      </w:r>
      <w:r>
        <w:rPr>
          <w:rFonts w:hint="eastAsia" w:ascii="宋体" w:hAnsi="宋体"/>
          <w:color w:val="auto"/>
          <w:szCs w:val="21"/>
          <w:highlight w:val="none"/>
        </w:rPr>
        <w:t>诚信得分。</w:t>
      </w:r>
    </w:p>
    <w:p>
      <w:pPr>
        <w:ind w:firstLine="525" w:firstLineChars="250"/>
        <w:rPr>
          <w:rFonts w:ascii="宋体" w:hAnsi="宋体"/>
          <w:color w:val="auto"/>
          <w:szCs w:val="21"/>
          <w:highlight w:val="none"/>
        </w:rPr>
      </w:pPr>
      <w:r>
        <w:rPr>
          <w:rFonts w:hint="eastAsia" w:ascii="宋体" w:hAnsi="宋体"/>
          <w:color w:val="auto"/>
          <w:szCs w:val="21"/>
          <w:highlight w:val="none"/>
        </w:rPr>
        <w:t>2.未能通过初步评审的投标人不得在本表中列出。</w:t>
      </w:r>
    </w:p>
    <w:p>
      <w:pPr>
        <w:ind w:firstLine="525" w:firstLineChars="250"/>
        <w:rPr>
          <w:rFonts w:ascii="宋体" w:hAnsi="宋体"/>
          <w:color w:val="auto"/>
          <w:szCs w:val="21"/>
          <w:highlight w:val="none"/>
        </w:rPr>
      </w:pPr>
      <w:r>
        <w:rPr>
          <w:rFonts w:hint="eastAsia" w:ascii="宋体" w:hAnsi="宋体"/>
          <w:color w:val="auto"/>
          <w:szCs w:val="21"/>
          <w:highlight w:val="none"/>
        </w:rPr>
        <w:t>3. 本表中开标序号为投标人在《开标记录表》中的“序号”，即开标序号=号球号码=“序号”。</w:t>
      </w:r>
    </w:p>
    <w:p>
      <w:pPr>
        <w:ind w:firstLine="525" w:firstLineChars="250"/>
        <w:rPr>
          <w:rFonts w:ascii="宋体" w:hAnsi="宋体"/>
          <w:color w:val="auto"/>
          <w:szCs w:val="21"/>
          <w:highlight w:val="none"/>
        </w:rPr>
      </w:pPr>
      <w:r>
        <w:rPr>
          <w:rFonts w:hint="eastAsia" w:ascii="宋体" w:hAnsi="宋体"/>
          <w:color w:val="auto"/>
          <w:szCs w:val="21"/>
          <w:highlight w:val="none"/>
        </w:rPr>
        <w:t>4.投标人在本表中的排列：按照《开标记录表》中的“序号”从小到大排列。</w:t>
      </w: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kern w:val="0"/>
          <w:highlight w:val="none"/>
        </w:rPr>
      </w:pPr>
      <w:r>
        <w:rPr>
          <w:rFonts w:hint="eastAsia" w:ascii="宋体" w:hAnsi="宋体"/>
          <w:color w:val="auto"/>
          <w:szCs w:val="21"/>
          <w:highlight w:val="none"/>
        </w:rPr>
        <w:t xml:space="preserve">评标委员会全体评委签名：                                   </w:t>
      </w:r>
      <w:r>
        <w:rPr>
          <w:rFonts w:hint="eastAsia" w:ascii="宋体" w:hAnsi="宋体"/>
          <w:color w:val="auto"/>
          <w:kern w:val="0"/>
          <w:highlight w:val="none"/>
        </w:rPr>
        <w:t>日期：   年   月  日</w:t>
      </w:r>
    </w:p>
    <w:p>
      <w:pPr>
        <w:pStyle w:val="2"/>
        <w:rPr>
          <w:color w:val="auto"/>
          <w:highlight w:val="none"/>
        </w:rPr>
      </w:pPr>
      <w:r>
        <w:rPr>
          <w:color w:val="auto"/>
          <w:highlight w:val="none"/>
        </w:rPr>
        <w:br w:type="page"/>
      </w:r>
    </w:p>
    <w:p>
      <w:pPr>
        <w:spacing w:line="360" w:lineRule="auto"/>
        <w:jc w:val="left"/>
        <w:outlineLvl w:val="2"/>
        <w:rPr>
          <w:rFonts w:ascii="宋体" w:hAnsi="宋体"/>
          <w:color w:val="auto"/>
          <w:sz w:val="28"/>
          <w:szCs w:val="27"/>
          <w:highlight w:val="none"/>
        </w:rPr>
      </w:pPr>
      <w:bookmarkStart w:id="144" w:name="_Toc21787744"/>
      <w:r>
        <w:rPr>
          <w:rFonts w:hint="eastAsia" w:ascii="宋体" w:hAnsi="宋体"/>
          <w:color w:val="auto"/>
          <w:sz w:val="28"/>
          <w:szCs w:val="27"/>
          <w:highlight w:val="none"/>
        </w:rPr>
        <w:t>附表8：综合评估得分及排序表（格式）</w:t>
      </w:r>
      <w:bookmarkEnd w:id="144"/>
    </w:p>
    <w:p>
      <w:pPr>
        <w:jc w:val="center"/>
        <w:rPr>
          <w:rFonts w:ascii="宋体" w:hAnsi="宋体"/>
          <w:b/>
          <w:color w:val="auto"/>
          <w:sz w:val="28"/>
          <w:szCs w:val="28"/>
          <w:highlight w:val="none"/>
        </w:rPr>
      </w:pPr>
      <w:r>
        <w:rPr>
          <w:rFonts w:hint="eastAsia" w:ascii="宋体" w:hAnsi="宋体"/>
          <w:b/>
          <w:color w:val="auto"/>
          <w:sz w:val="28"/>
          <w:szCs w:val="28"/>
          <w:highlight w:val="none"/>
        </w:rPr>
        <w:t>综合评估得分及排序表</w:t>
      </w:r>
    </w:p>
    <w:p>
      <w:pPr>
        <w:rPr>
          <w:rFonts w:ascii="宋体" w:hAnsi="宋体"/>
          <w:color w:val="auto"/>
          <w:highlight w:val="none"/>
        </w:rPr>
      </w:pPr>
      <w:r>
        <w:rPr>
          <w:rFonts w:hint="eastAsia" w:ascii="宋体" w:hAnsi="宋体"/>
          <w:color w:val="auto"/>
          <w:highlight w:val="none"/>
        </w:rPr>
        <w:t>项目编号：</w:t>
      </w:r>
    </w:p>
    <w:p>
      <w:pPr>
        <w:rPr>
          <w:rFonts w:ascii="宋体" w:hAnsi="宋体"/>
          <w:color w:val="auto"/>
          <w:highlight w:val="none"/>
        </w:rPr>
      </w:pPr>
      <w:r>
        <w:rPr>
          <w:rFonts w:hint="eastAsia" w:ascii="宋体" w:hAnsi="宋体"/>
          <w:color w:val="auto"/>
          <w:highlight w:val="none"/>
        </w:rPr>
        <w:t>项目名称：</w:t>
      </w:r>
    </w:p>
    <w:tbl>
      <w:tblPr>
        <w:tblStyle w:val="40"/>
        <w:tblW w:w="864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3960"/>
        <w:gridCol w:w="1260"/>
        <w:gridCol w:w="126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jc w:val="center"/>
              <w:rPr>
                <w:rFonts w:ascii="宋体" w:hAnsi="宋体"/>
                <w:color w:val="auto"/>
                <w:sz w:val="18"/>
                <w:szCs w:val="18"/>
                <w:highlight w:val="none"/>
              </w:rPr>
            </w:pPr>
            <w:r>
              <w:rPr>
                <w:rFonts w:hint="eastAsia" w:ascii="宋体" w:hAnsi="宋体"/>
                <w:color w:val="auto"/>
                <w:sz w:val="18"/>
                <w:szCs w:val="18"/>
                <w:highlight w:val="none"/>
              </w:rPr>
              <w:t>序号</w:t>
            </w:r>
          </w:p>
        </w:tc>
        <w:tc>
          <w:tcPr>
            <w:tcW w:w="3960" w:type="dxa"/>
            <w:vAlign w:val="center"/>
          </w:tcPr>
          <w:p>
            <w:pPr>
              <w:jc w:val="center"/>
              <w:rPr>
                <w:rFonts w:ascii="宋体" w:hAnsi="宋体"/>
                <w:color w:val="auto"/>
                <w:sz w:val="18"/>
                <w:szCs w:val="18"/>
                <w:highlight w:val="none"/>
              </w:rPr>
            </w:pPr>
            <w:r>
              <w:rPr>
                <w:rFonts w:hint="eastAsia" w:ascii="宋体" w:hAnsi="宋体"/>
                <w:color w:val="auto"/>
                <w:sz w:val="18"/>
                <w:szCs w:val="18"/>
                <w:highlight w:val="none"/>
              </w:rPr>
              <w:t>投标人名称</w:t>
            </w:r>
          </w:p>
        </w:tc>
        <w:tc>
          <w:tcPr>
            <w:tcW w:w="1260" w:type="dxa"/>
            <w:vAlign w:val="center"/>
          </w:tcPr>
          <w:p>
            <w:pPr>
              <w:jc w:val="center"/>
              <w:rPr>
                <w:rFonts w:ascii="宋体" w:hAnsi="宋体"/>
                <w:color w:val="auto"/>
                <w:sz w:val="18"/>
                <w:szCs w:val="18"/>
                <w:highlight w:val="none"/>
              </w:rPr>
            </w:pPr>
            <w:r>
              <w:rPr>
                <w:rFonts w:hint="eastAsia" w:ascii="宋体" w:hAnsi="宋体"/>
                <w:color w:val="auto"/>
                <w:sz w:val="18"/>
                <w:szCs w:val="18"/>
                <w:highlight w:val="none"/>
              </w:rPr>
              <w:t>投标报价</w:t>
            </w:r>
          </w:p>
          <w:p>
            <w:pPr>
              <w:jc w:val="center"/>
              <w:rPr>
                <w:rFonts w:ascii="宋体" w:hAnsi="宋体"/>
                <w:color w:val="auto"/>
                <w:sz w:val="18"/>
                <w:szCs w:val="18"/>
                <w:highlight w:val="none"/>
              </w:rPr>
            </w:pPr>
            <w:r>
              <w:rPr>
                <w:rFonts w:hint="eastAsia" w:ascii="宋体" w:hAnsi="宋体"/>
                <w:color w:val="auto"/>
                <w:sz w:val="18"/>
                <w:szCs w:val="18"/>
                <w:highlight w:val="none"/>
              </w:rPr>
              <w:t>得分</w:t>
            </w:r>
          </w:p>
          <w:p>
            <w:pPr>
              <w:jc w:val="center"/>
              <w:rPr>
                <w:rFonts w:ascii="宋体" w:hAnsi="宋体"/>
                <w:color w:val="auto"/>
                <w:sz w:val="18"/>
                <w:szCs w:val="18"/>
                <w:highlight w:val="none"/>
              </w:rPr>
            </w:pPr>
            <w:r>
              <w:rPr>
                <w:rFonts w:hint="eastAsia" w:ascii="宋体" w:hAnsi="宋体"/>
                <w:color w:val="auto"/>
                <w:sz w:val="18"/>
                <w:szCs w:val="18"/>
                <w:highlight w:val="none"/>
              </w:rPr>
              <w:t>（</w:t>
            </w:r>
            <w:r>
              <w:rPr>
                <w:rFonts w:hint="eastAsia"/>
                <w:color w:val="auto"/>
                <w:sz w:val="18"/>
                <w:szCs w:val="18"/>
                <w:highlight w:val="none"/>
              </w:rPr>
              <w:t>权重</w:t>
            </w:r>
            <w:r>
              <w:rPr>
                <w:color w:val="auto"/>
                <w:sz w:val="18"/>
                <w:szCs w:val="18"/>
                <w:highlight w:val="none"/>
              </w:rPr>
              <w:t>：</w:t>
            </w:r>
            <w:r>
              <w:rPr>
                <w:rFonts w:hint="eastAsia" w:ascii="宋体" w:hAnsi="宋体"/>
                <w:color w:val="auto"/>
                <w:sz w:val="18"/>
                <w:szCs w:val="18"/>
                <w:highlight w:val="none"/>
              </w:rPr>
              <w:t>）</w:t>
            </w:r>
          </w:p>
        </w:tc>
        <w:tc>
          <w:tcPr>
            <w:tcW w:w="1260" w:type="dxa"/>
            <w:vAlign w:val="center"/>
          </w:tcPr>
          <w:p>
            <w:pPr>
              <w:jc w:val="center"/>
              <w:rPr>
                <w:rFonts w:ascii="宋体" w:hAnsi="宋体"/>
                <w:color w:val="auto"/>
                <w:sz w:val="18"/>
                <w:szCs w:val="18"/>
                <w:highlight w:val="none"/>
              </w:rPr>
            </w:pPr>
            <w:r>
              <w:rPr>
                <w:rFonts w:hint="eastAsia" w:ascii="宋体" w:hAnsi="宋体"/>
                <w:color w:val="auto"/>
                <w:sz w:val="18"/>
                <w:szCs w:val="18"/>
                <w:highlight w:val="none"/>
              </w:rPr>
              <w:t>诚信评价</w:t>
            </w:r>
          </w:p>
          <w:p>
            <w:pPr>
              <w:jc w:val="center"/>
              <w:rPr>
                <w:rFonts w:ascii="宋体" w:hAnsi="宋体"/>
                <w:color w:val="auto"/>
                <w:sz w:val="18"/>
                <w:szCs w:val="18"/>
                <w:highlight w:val="none"/>
              </w:rPr>
            </w:pPr>
            <w:r>
              <w:rPr>
                <w:rFonts w:hint="eastAsia" w:ascii="宋体" w:hAnsi="宋体"/>
                <w:color w:val="auto"/>
                <w:sz w:val="18"/>
                <w:szCs w:val="18"/>
                <w:highlight w:val="none"/>
              </w:rPr>
              <w:t>得分</w:t>
            </w:r>
          </w:p>
          <w:p>
            <w:pPr>
              <w:rPr>
                <w:rFonts w:ascii="宋体" w:hAnsi="宋体"/>
                <w:color w:val="auto"/>
                <w:sz w:val="18"/>
                <w:szCs w:val="18"/>
                <w:highlight w:val="none"/>
              </w:rPr>
            </w:pPr>
            <w:r>
              <w:rPr>
                <w:rFonts w:hint="eastAsia" w:ascii="宋体" w:hAnsi="宋体"/>
                <w:color w:val="auto"/>
                <w:sz w:val="18"/>
                <w:szCs w:val="18"/>
                <w:highlight w:val="none"/>
              </w:rPr>
              <w:t>（</w:t>
            </w:r>
            <w:r>
              <w:rPr>
                <w:rFonts w:hint="eastAsia"/>
                <w:color w:val="auto"/>
                <w:sz w:val="18"/>
                <w:szCs w:val="18"/>
                <w:highlight w:val="none"/>
              </w:rPr>
              <w:t>权重</w:t>
            </w:r>
            <w:r>
              <w:rPr>
                <w:color w:val="auto"/>
                <w:sz w:val="18"/>
                <w:szCs w:val="18"/>
                <w:highlight w:val="none"/>
              </w:rPr>
              <w:t>：</w:t>
            </w:r>
            <w:r>
              <w:rPr>
                <w:rFonts w:hint="eastAsia" w:ascii="宋体" w:hAnsi="宋体"/>
                <w:color w:val="auto"/>
                <w:sz w:val="18"/>
                <w:szCs w:val="18"/>
                <w:highlight w:val="none"/>
              </w:rPr>
              <w:t>）</w:t>
            </w:r>
          </w:p>
        </w:tc>
        <w:tc>
          <w:tcPr>
            <w:tcW w:w="720" w:type="dxa"/>
            <w:vAlign w:val="center"/>
          </w:tcPr>
          <w:p>
            <w:pPr>
              <w:jc w:val="center"/>
              <w:rPr>
                <w:rFonts w:ascii="宋体" w:hAnsi="宋体"/>
                <w:color w:val="auto"/>
                <w:sz w:val="18"/>
                <w:szCs w:val="18"/>
                <w:highlight w:val="none"/>
              </w:rPr>
            </w:pPr>
            <w:r>
              <w:rPr>
                <w:rFonts w:hint="eastAsia" w:ascii="宋体" w:hAnsi="宋体"/>
                <w:color w:val="auto"/>
                <w:sz w:val="18"/>
                <w:szCs w:val="18"/>
                <w:highlight w:val="none"/>
              </w:rPr>
              <w:t>总</w:t>
            </w:r>
          </w:p>
          <w:p>
            <w:pPr>
              <w:jc w:val="center"/>
              <w:rPr>
                <w:rFonts w:ascii="宋体" w:hAnsi="宋体"/>
                <w:color w:val="auto"/>
                <w:sz w:val="18"/>
                <w:szCs w:val="18"/>
                <w:highlight w:val="none"/>
              </w:rPr>
            </w:pPr>
            <w:r>
              <w:rPr>
                <w:rFonts w:hint="eastAsia" w:ascii="宋体" w:hAnsi="宋体"/>
                <w:color w:val="auto"/>
                <w:sz w:val="18"/>
                <w:szCs w:val="18"/>
                <w:highlight w:val="none"/>
              </w:rPr>
              <w:t>得分</w:t>
            </w:r>
          </w:p>
        </w:tc>
        <w:tc>
          <w:tcPr>
            <w:tcW w:w="720" w:type="dxa"/>
            <w:vAlign w:val="center"/>
          </w:tcPr>
          <w:p>
            <w:pPr>
              <w:jc w:val="center"/>
              <w:rPr>
                <w:rFonts w:ascii="宋体" w:hAnsi="宋体"/>
                <w:color w:val="auto"/>
                <w:sz w:val="18"/>
                <w:szCs w:val="18"/>
                <w:highlight w:val="none"/>
              </w:rPr>
            </w:pPr>
            <w:r>
              <w:rPr>
                <w:rFonts w:hint="eastAsia" w:ascii="宋体" w:hAnsi="宋体"/>
                <w:color w:val="auto"/>
                <w:szCs w:val="21"/>
                <w:highlight w:val="none"/>
              </w:rPr>
              <w:t>得分</w:t>
            </w:r>
            <w:r>
              <w:rPr>
                <w:rFonts w:hint="eastAsia" w:ascii="宋体" w:hAnsi="宋体"/>
                <w:color w:val="auto"/>
                <w:sz w:val="18"/>
                <w:szCs w:val="18"/>
                <w:highlight w:val="none"/>
              </w:rPr>
              <w:t>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spacing w:line="560" w:lineRule="exact"/>
              <w:jc w:val="center"/>
              <w:rPr>
                <w:rFonts w:ascii="黑体" w:eastAsia="黑体"/>
                <w:color w:val="auto"/>
                <w:szCs w:val="21"/>
                <w:highlight w:val="none"/>
              </w:rPr>
            </w:pPr>
          </w:p>
        </w:tc>
        <w:tc>
          <w:tcPr>
            <w:tcW w:w="3960" w:type="dxa"/>
            <w:vAlign w:val="center"/>
          </w:tcPr>
          <w:p>
            <w:pPr>
              <w:jc w:val="center"/>
              <w:rPr>
                <w:rFonts w:ascii="宋体" w:hAnsi="宋体"/>
                <w:color w:val="auto"/>
                <w:sz w:val="18"/>
                <w:szCs w:val="18"/>
                <w:highlight w:val="none"/>
              </w:rPr>
            </w:pPr>
          </w:p>
        </w:tc>
        <w:tc>
          <w:tcPr>
            <w:tcW w:w="1260" w:type="dxa"/>
            <w:vAlign w:val="center"/>
          </w:tcPr>
          <w:p>
            <w:pPr>
              <w:spacing w:line="560" w:lineRule="exact"/>
              <w:jc w:val="center"/>
              <w:rPr>
                <w:rFonts w:ascii="黑体" w:eastAsia="黑体"/>
                <w:color w:val="auto"/>
                <w:szCs w:val="21"/>
                <w:highlight w:val="none"/>
              </w:rPr>
            </w:pPr>
          </w:p>
        </w:tc>
        <w:tc>
          <w:tcPr>
            <w:tcW w:w="1260" w:type="dxa"/>
            <w:vAlign w:val="center"/>
          </w:tcPr>
          <w:p>
            <w:pPr>
              <w:spacing w:line="560" w:lineRule="exact"/>
              <w:jc w:val="center"/>
              <w:rPr>
                <w:rFonts w:ascii="黑体" w:eastAsia="黑体"/>
                <w:color w:val="auto"/>
                <w:szCs w:val="21"/>
                <w:highlight w:val="none"/>
              </w:rPr>
            </w:pPr>
          </w:p>
        </w:tc>
        <w:tc>
          <w:tcPr>
            <w:tcW w:w="720" w:type="dxa"/>
            <w:vAlign w:val="center"/>
          </w:tcPr>
          <w:p>
            <w:pPr>
              <w:spacing w:line="560" w:lineRule="exact"/>
              <w:jc w:val="center"/>
              <w:rPr>
                <w:rFonts w:ascii="黑体" w:eastAsia="黑体"/>
                <w:color w:val="auto"/>
                <w:szCs w:val="21"/>
                <w:highlight w:val="none"/>
              </w:rPr>
            </w:pPr>
          </w:p>
        </w:tc>
        <w:tc>
          <w:tcPr>
            <w:tcW w:w="720" w:type="dxa"/>
            <w:vAlign w:val="center"/>
          </w:tcPr>
          <w:p>
            <w:pPr>
              <w:spacing w:line="560" w:lineRule="exact"/>
              <w:jc w:val="center"/>
              <w:rPr>
                <w:rFonts w:ascii="黑体" w:eastAsia="黑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spacing w:line="560" w:lineRule="exact"/>
              <w:jc w:val="center"/>
              <w:rPr>
                <w:rFonts w:ascii="黑体" w:eastAsia="黑体"/>
                <w:color w:val="auto"/>
                <w:szCs w:val="21"/>
                <w:highlight w:val="none"/>
              </w:rPr>
            </w:pPr>
          </w:p>
        </w:tc>
        <w:tc>
          <w:tcPr>
            <w:tcW w:w="3960" w:type="dxa"/>
            <w:vAlign w:val="center"/>
          </w:tcPr>
          <w:p>
            <w:pPr>
              <w:spacing w:line="560" w:lineRule="exact"/>
              <w:jc w:val="center"/>
              <w:rPr>
                <w:rFonts w:ascii="黑体" w:eastAsia="黑体"/>
                <w:color w:val="auto"/>
                <w:szCs w:val="21"/>
                <w:highlight w:val="none"/>
              </w:rPr>
            </w:pPr>
          </w:p>
        </w:tc>
        <w:tc>
          <w:tcPr>
            <w:tcW w:w="1260" w:type="dxa"/>
            <w:vAlign w:val="center"/>
          </w:tcPr>
          <w:p>
            <w:pPr>
              <w:spacing w:line="560" w:lineRule="exact"/>
              <w:jc w:val="center"/>
              <w:rPr>
                <w:rFonts w:ascii="黑体" w:eastAsia="黑体"/>
                <w:color w:val="auto"/>
                <w:szCs w:val="21"/>
                <w:highlight w:val="none"/>
              </w:rPr>
            </w:pPr>
          </w:p>
        </w:tc>
        <w:tc>
          <w:tcPr>
            <w:tcW w:w="1260" w:type="dxa"/>
            <w:vAlign w:val="center"/>
          </w:tcPr>
          <w:p>
            <w:pPr>
              <w:spacing w:line="560" w:lineRule="exact"/>
              <w:jc w:val="center"/>
              <w:rPr>
                <w:rFonts w:ascii="黑体" w:eastAsia="黑体"/>
                <w:color w:val="auto"/>
                <w:szCs w:val="21"/>
                <w:highlight w:val="none"/>
              </w:rPr>
            </w:pPr>
          </w:p>
        </w:tc>
        <w:tc>
          <w:tcPr>
            <w:tcW w:w="720" w:type="dxa"/>
            <w:vAlign w:val="center"/>
          </w:tcPr>
          <w:p>
            <w:pPr>
              <w:spacing w:line="560" w:lineRule="exact"/>
              <w:jc w:val="center"/>
              <w:rPr>
                <w:rFonts w:ascii="黑体" w:eastAsia="黑体"/>
                <w:color w:val="auto"/>
                <w:szCs w:val="21"/>
                <w:highlight w:val="none"/>
              </w:rPr>
            </w:pPr>
          </w:p>
        </w:tc>
        <w:tc>
          <w:tcPr>
            <w:tcW w:w="720" w:type="dxa"/>
            <w:vAlign w:val="center"/>
          </w:tcPr>
          <w:p>
            <w:pPr>
              <w:spacing w:line="560" w:lineRule="exact"/>
              <w:jc w:val="center"/>
              <w:rPr>
                <w:rFonts w:ascii="黑体" w:eastAsia="黑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spacing w:line="560" w:lineRule="exact"/>
              <w:jc w:val="center"/>
              <w:rPr>
                <w:rFonts w:ascii="黑体" w:eastAsia="黑体"/>
                <w:color w:val="auto"/>
                <w:szCs w:val="21"/>
                <w:highlight w:val="none"/>
              </w:rPr>
            </w:pPr>
          </w:p>
        </w:tc>
        <w:tc>
          <w:tcPr>
            <w:tcW w:w="3960" w:type="dxa"/>
            <w:vAlign w:val="center"/>
          </w:tcPr>
          <w:p>
            <w:pPr>
              <w:spacing w:line="560" w:lineRule="exact"/>
              <w:jc w:val="center"/>
              <w:rPr>
                <w:rFonts w:ascii="黑体" w:eastAsia="黑体"/>
                <w:color w:val="auto"/>
                <w:szCs w:val="21"/>
                <w:highlight w:val="none"/>
              </w:rPr>
            </w:pPr>
          </w:p>
        </w:tc>
        <w:tc>
          <w:tcPr>
            <w:tcW w:w="1260" w:type="dxa"/>
            <w:vAlign w:val="center"/>
          </w:tcPr>
          <w:p>
            <w:pPr>
              <w:spacing w:line="560" w:lineRule="exact"/>
              <w:jc w:val="center"/>
              <w:rPr>
                <w:rFonts w:ascii="黑体" w:eastAsia="黑体"/>
                <w:color w:val="auto"/>
                <w:szCs w:val="21"/>
                <w:highlight w:val="none"/>
              </w:rPr>
            </w:pPr>
          </w:p>
        </w:tc>
        <w:tc>
          <w:tcPr>
            <w:tcW w:w="1260" w:type="dxa"/>
            <w:vAlign w:val="center"/>
          </w:tcPr>
          <w:p>
            <w:pPr>
              <w:spacing w:line="560" w:lineRule="exact"/>
              <w:jc w:val="center"/>
              <w:rPr>
                <w:rFonts w:ascii="黑体" w:eastAsia="黑体"/>
                <w:color w:val="auto"/>
                <w:szCs w:val="21"/>
                <w:highlight w:val="none"/>
              </w:rPr>
            </w:pPr>
          </w:p>
        </w:tc>
        <w:tc>
          <w:tcPr>
            <w:tcW w:w="720" w:type="dxa"/>
            <w:vAlign w:val="center"/>
          </w:tcPr>
          <w:p>
            <w:pPr>
              <w:spacing w:line="560" w:lineRule="exact"/>
              <w:jc w:val="center"/>
              <w:rPr>
                <w:rFonts w:ascii="黑体" w:eastAsia="黑体"/>
                <w:color w:val="auto"/>
                <w:szCs w:val="21"/>
                <w:highlight w:val="none"/>
              </w:rPr>
            </w:pPr>
          </w:p>
        </w:tc>
        <w:tc>
          <w:tcPr>
            <w:tcW w:w="720" w:type="dxa"/>
            <w:vAlign w:val="center"/>
          </w:tcPr>
          <w:p>
            <w:pPr>
              <w:spacing w:line="560" w:lineRule="exact"/>
              <w:jc w:val="center"/>
              <w:rPr>
                <w:rFonts w:ascii="黑体" w:eastAsia="黑体"/>
                <w:color w:val="auto"/>
                <w:szCs w:val="21"/>
                <w:highlight w:val="none"/>
              </w:rPr>
            </w:pPr>
          </w:p>
        </w:tc>
      </w:tr>
      <w:tr>
        <w:tblPrEx>
          <w:tblCellMar>
            <w:top w:w="0" w:type="dxa"/>
            <w:left w:w="108" w:type="dxa"/>
            <w:bottom w:w="0" w:type="dxa"/>
            <w:right w:w="108" w:type="dxa"/>
          </w:tblCellMar>
        </w:tblPrEx>
        <w:tc>
          <w:tcPr>
            <w:tcW w:w="720" w:type="dxa"/>
            <w:vAlign w:val="center"/>
          </w:tcPr>
          <w:p>
            <w:pPr>
              <w:spacing w:line="560" w:lineRule="exact"/>
              <w:jc w:val="center"/>
              <w:rPr>
                <w:rFonts w:ascii="黑体" w:eastAsia="黑体"/>
                <w:color w:val="auto"/>
                <w:szCs w:val="21"/>
                <w:highlight w:val="none"/>
              </w:rPr>
            </w:pPr>
          </w:p>
        </w:tc>
        <w:tc>
          <w:tcPr>
            <w:tcW w:w="3960" w:type="dxa"/>
            <w:vAlign w:val="center"/>
          </w:tcPr>
          <w:p>
            <w:pPr>
              <w:spacing w:line="560" w:lineRule="exact"/>
              <w:jc w:val="center"/>
              <w:rPr>
                <w:rFonts w:ascii="黑体" w:eastAsia="黑体"/>
                <w:color w:val="auto"/>
                <w:szCs w:val="21"/>
                <w:highlight w:val="none"/>
              </w:rPr>
            </w:pPr>
          </w:p>
        </w:tc>
        <w:tc>
          <w:tcPr>
            <w:tcW w:w="1260" w:type="dxa"/>
            <w:vAlign w:val="center"/>
          </w:tcPr>
          <w:p>
            <w:pPr>
              <w:spacing w:line="560" w:lineRule="exact"/>
              <w:jc w:val="center"/>
              <w:rPr>
                <w:rFonts w:ascii="黑体" w:eastAsia="黑体"/>
                <w:color w:val="auto"/>
                <w:szCs w:val="21"/>
                <w:highlight w:val="none"/>
              </w:rPr>
            </w:pPr>
          </w:p>
        </w:tc>
        <w:tc>
          <w:tcPr>
            <w:tcW w:w="1260" w:type="dxa"/>
            <w:vAlign w:val="center"/>
          </w:tcPr>
          <w:p>
            <w:pPr>
              <w:spacing w:line="560" w:lineRule="exact"/>
              <w:jc w:val="center"/>
              <w:rPr>
                <w:rFonts w:ascii="黑体" w:eastAsia="黑体"/>
                <w:color w:val="auto"/>
                <w:szCs w:val="21"/>
                <w:highlight w:val="none"/>
              </w:rPr>
            </w:pPr>
          </w:p>
        </w:tc>
        <w:tc>
          <w:tcPr>
            <w:tcW w:w="720" w:type="dxa"/>
            <w:vAlign w:val="center"/>
          </w:tcPr>
          <w:p>
            <w:pPr>
              <w:spacing w:line="560" w:lineRule="exact"/>
              <w:jc w:val="center"/>
              <w:rPr>
                <w:rFonts w:ascii="黑体" w:eastAsia="黑体"/>
                <w:color w:val="auto"/>
                <w:szCs w:val="21"/>
                <w:highlight w:val="none"/>
              </w:rPr>
            </w:pPr>
          </w:p>
        </w:tc>
        <w:tc>
          <w:tcPr>
            <w:tcW w:w="720" w:type="dxa"/>
            <w:vAlign w:val="center"/>
          </w:tcPr>
          <w:p>
            <w:pPr>
              <w:spacing w:line="560" w:lineRule="exact"/>
              <w:jc w:val="center"/>
              <w:rPr>
                <w:rFonts w:ascii="黑体" w:eastAsia="黑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spacing w:line="560" w:lineRule="exact"/>
              <w:jc w:val="center"/>
              <w:rPr>
                <w:rFonts w:ascii="黑体" w:eastAsia="黑体"/>
                <w:color w:val="auto"/>
                <w:szCs w:val="21"/>
                <w:highlight w:val="none"/>
              </w:rPr>
            </w:pPr>
          </w:p>
        </w:tc>
        <w:tc>
          <w:tcPr>
            <w:tcW w:w="3960" w:type="dxa"/>
            <w:vAlign w:val="center"/>
          </w:tcPr>
          <w:p>
            <w:pPr>
              <w:spacing w:line="560" w:lineRule="exact"/>
              <w:jc w:val="center"/>
              <w:rPr>
                <w:rFonts w:ascii="黑体" w:eastAsia="黑体"/>
                <w:color w:val="auto"/>
                <w:szCs w:val="21"/>
                <w:highlight w:val="none"/>
              </w:rPr>
            </w:pPr>
          </w:p>
        </w:tc>
        <w:tc>
          <w:tcPr>
            <w:tcW w:w="1260" w:type="dxa"/>
            <w:vAlign w:val="center"/>
          </w:tcPr>
          <w:p>
            <w:pPr>
              <w:spacing w:line="560" w:lineRule="exact"/>
              <w:jc w:val="center"/>
              <w:rPr>
                <w:rFonts w:ascii="黑体" w:eastAsia="黑体"/>
                <w:color w:val="auto"/>
                <w:szCs w:val="21"/>
                <w:highlight w:val="none"/>
              </w:rPr>
            </w:pPr>
          </w:p>
        </w:tc>
        <w:tc>
          <w:tcPr>
            <w:tcW w:w="1260" w:type="dxa"/>
            <w:vAlign w:val="center"/>
          </w:tcPr>
          <w:p>
            <w:pPr>
              <w:spacing w:line="560" w:lineRule="exact"/>
              <w:jc w:val="center"/>
              <w:rPr>
                <w:rFonts w:ascii="黑体" w:eastAsia="黑体"/>
                <w:color w:val="auto"/>
                <w:szCs w:val="21"/>
                <w:highlight w:val="none"/>
              </w:rPr>
            </w:pPr>
          </w:p>
        </w:tc>
        <w:tc>
          <w:tcPr>
            <w:tcW w:w="720" w:type="dxa"/>
            <w:vAlign w:val="center"/>
          </w:tcPr>
          <w:p>
            <w:pPr>
              <w:spacing w:line="560" w:lineRule="exact"/>
              <w:jc w:val="center"/>
              <w:rPr>
                <w:rFonts w:ascii="黑体" w:eastAsia="黑体"/>
                <w:color w:val="auto"/>
                <w:szCs w:val="21"/>
                <w:highlight w:val="none"/>
              </w:rPr>
            </w:pPr>
          </w:p>
        </w:tc>
        <w:tc>
          <w:tcPr>
            <w:tcW w:w="720" w:type="dxa"/>
            <w:vAlign w:val="center"/>
          </w:tcPr>
          <w:p>
            <w:pPr>
              <w:spacing w:line="560" w:lineRule="exact"/>
              <w:jc w:val="center"/>
              <w:rPr>
                <w:rFonts w:ascii="黑体" w:eastAsia="黑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spacing w:line="560" w:lineRule="exact"/>
              <w:jc w:val="center"/>
              <w:rPr>
                <w:rFonts w:ascii="黑体" w:eastAsia="黑体"/>
                <w:color w:val="auto"/>
                <w:szCs w:val="21"/>
                <w:highlight w:val="none"/>
              </w:rPr>
            </w:pPr>
          </w:p>
        </w:tc>
        <w:tc>
          <w:tcPr>
            <w:tcW w:w="3960" w:type="dxa"/>
            <w:vAlign w:val="center"/>
          </w:tcPr>
          <w:p>
            <w:pPr>
              <w:spacing w:line="560" w:lineRule="exact"/>
              <w:jc w:val="center"/>
              <w:rPr>
                <w:rFonts w:ascii="黑体" w:eastAsia="黑体"/>
                <w:color w:val="auto"/>
                <w:szCs w:val="21"/>
                <w:highlight w:val="none"/>
              </w:rPr>
            </w:pPr>
          </w:p>
        </w:tc>
        <w:tc>
          <w:tcPr>
            <w:tcW w:w="1260" w:type="dxa"/>
            <w:vAlign w:val="center"/>
          </w:tcPr>
          <w:p>
            <w:pPr>
              <w:spacing w:line="560" w:lineRule="exact"/>
              <w:jc w:val="center"/>
              <w:rPr>
                <w:rFonts w:ascii="黑体" w:eastAsia="黑体"/>
                <w:color w:val="auto"/>
                <w:szCs w:val="21"/>
                <w:highlight w:val="none"/>
              </w:rPr>
            </w:pPr>
          </w:p>
        </w:tc>
        <w:tc>
          <w:tcPr>
            <w:tcW w:w="1260" w:type="dxa"/>
            <w:vAlign w:val="center"/>
          </w:tcPr>
          <w:p>
            <w:pPr>
              <w:spacing w:line="560" w:lineRule="exact"/>
              <w:jc w:val="center"/>
              <w:rPr>
                <w:rFonts w:ascii="黑体" w:eastAsia="黑体"/>
                <w:color w:val="auto"/>
                <w:szCs w:val="21"/>
                <w:highlight w:val="none"/>
              </w:rPr>
            </w:pPr>
          </w:p>
        </w:tc>
        <w:tc>
          <w:tcPr>
            <w:tcW w:w="720" w:type="dxa"/>
            <w:vAlign w:val="center"/>
          </w:tcPr>
          <w:p>
            <w:pPr>
              <w:spacing w:line="560" w:lineRule="exact"/>
              <w:jc w:val="center"/>
              <w:rPr>
                <w:rFonts w:ascii="黑体" w:eastAsia="黑体"/>
                <w:color w:val="auto"/>
                <w:szCs w:val="21"/>
                <w:highlight w:val="none"/>
              </w:rPr>
            </w:pPr>
          </w:p>
        </w:tc>
        <w:tc>
          <w:tcPr>
            <w:tcW w:w="720" w:type="dxa"/>
            <w:vAlign w:val="center"/>
          </w:tcPr>
          <w:p>
            <w:pPr>
              <w:spacing w:line="560" w:lineRule="exact"/>
              <w:jc w:val="center"/>
              <w:rPr>
                <w:rFonts w:ascii="黑体" w:eastAsia="黑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spacing w:line="560" w:lineRule="exact"/>
              <w:jc w:val="center"/>
              <w:rPr>
                <w:rFonts w:ascii="黑体" w:eastAsia="黑体"/>
                <w:color w:val="auto"/>
                <w:szCs w:val="21"/>
                <w:highlight w:val="none"/>
              </w:rPr>
            </w:pPr>
          </w:p>
        </w:tc>
        <w:tc>
          <w:tcPr>
            <w:tcW w:w="3960" w:type="dxa"/>
            <w:vAlign w:val="center"/>
          </w:tcPr>
          <w:p>
            <w:pPr>
              <w:spacing w:line="560" w:lineRule="exact"/>
              <w:jc w:val="center"/>
              <w:rPr>
                <w:rFonts w:ascii="黑体" w:eastAsia="黑体"/>
                <w:color w:val="auto"/>
                <w:szCs w:val="21"/>
                <w:highlight w:val="none"/>
              </w:rPr>
            </w:pPr>
          </w:p>
        </w:tc>
        <w:tc>
          <w:tcPr>
            <w:tcW w:w="1260" w:type="dxa"/>
            <w:vAlign w:val="center"/>
          </w:tcPr>
          <w:p>
            <w:pPr>
              <w:spacing w:line="560" w:lineRule="exact"/>
              <w:jc w:val="center"/>
              <w:rPr>
                <w:rFonts w:ascii="黑体" w:eastAsia="黑体"/>
                <w:color w:val="auto"/>
                <w:szCs w:val="21"/>
                <w:highlight w:val="none"/>
              </w:rPr>
            </w:pPr>
          </w:p>
        </w:tc>
        <w:tc>
          <w:tcPr>
            <w:tcW w:w="1260" w:type="dxa"/>
            <w:vAlign w:val="center"/>
          </w:tcPr>
          <w:p>
            <w:pPr>
              <w:spacing w:line="560" w:lineRule="exact"/>
              <w:jc w:val="center"/>
              <w:rPr>
                <w:rFonts w:ascii="黑体" w:eastAsia="黑体"/>
                <w:color w:val="auto"/>
                <w:szCs w:val="21"/>
                <w:highlight w:val="none"/>
              </w:rPr>
            </w:pPr>
          </w:p>
        </w:tc>
        <w:tc>
          <w:tcPr>
            <w:tcW w:w="720" w:type="dxa"/>
            <w:vAlign w:val="center"/>
          </w:tcPr>
          <w:p>
            <w:pPr>
              <w:spacing w:line="560" w:lineRule="exact"/>
              <w:jc w:val="center"/>
              <w:rPr>
                <w:rFonts w:ascii="黑体" w:eastAsia="黑体"/>
                <w:color w:val="auto"/>
                <w:szCs w:val="21"/>
                <w:highlight w:val="none"/>
              </w:rPr>
            </w:pPr>
          </w:p>
        </w:tc>
        <w:tc>
          <w:tcPr>
            <w:tcW w:w="720" w:type="dxa"/>
            <w:vAlign w:val="center"/>
          </w:tcPr>
          <w:p>
            <w:pPr>
              <w:spacing w:line="560" w:lineRule="exact"/>
              <w:jc w:val="center"/>
              <w:rPr>
                <w:rFonts w:ascii="黑体" w:eastAsia="黑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spacing w:line="560" w:lineRule="exact"/>
              <w:jc w:val="center"/>
              <w:rPr>
                <w:rFonts w:ascii="黑体" w:eastAsia="黑体"/>
                <w:color w:val="auto"/>
                <w:szCs w:val="21"/>
                <w:highlight w:val="none"/>
              </w:rPr>
            </w:pPr>
          </w:p>
        </w:tc>
        <w:tc>
          <w:tcPr>
            <w:tcW w:w="3960" w:type="dxa"/>
            <w:vAlign w:val="center"/>
          </w:tcPr>
          <w:p>
            <w:pPr>
              <w:spacing w:line="560" w:lineRule="exact"/>
              <w:jc w:val="center"/>
              <w:rPr>
                <w:rFonts w:ascii="黑体" w:eastAsia="黑体"/>
                <w:color w:val="auto"/>
                <w:szCs w:val="21"/>
                <w:highlight w:val="none"/>
              </w:rPr>
            </w:pPr>
          </w:p>
        </w:tc>
        <w:tc>
          <w:tcPr>
            <w:tcW w:w="1260" w:type="dxa"/>
            <w:vAlign w:val="center"/>
          </w:tcPr>
          <w:p>
            <w:pPr>
              <w:spacing w:line="560" w:lineRule="exact"/>
              <w:jc w:val="center"/>
              <w:rPr>
                <w:rFonts w:ascii="黑体" w:eastAsia="黑体"/>
                <w:color w:val="auto"/>
                <w:szCs w:val="21"/>
                <w:highlight w:val="none"/>
              </w:rPr>
            </w:pPr>
          </w:p>
        </w:tc>
        <w:tc>
          <w:tcPr>
            <w:tcW w:w="1260" w:type="dxa"/>
            <w:vAlign w:val="center"/>
          </w:tcPr>
          <w:p>
            <w:pPr>
              <w:spacing w:line="560" w:lineRule="exact"/>
              <w:jc w:val="center"/>
              <w:rPr>
                <w:rFonts w:ascii="黑体" w:eastAsia="黑体"/>
                <w:color w:val="auto"/>
                <w:szCs w:val="21"/>
                <w:highlight w:val="none"/>
              </w:rPr>
            </w:pPr>
          </w:p>
        </w:tc>
        <w:tc>
          <w:tcPr>
            <w:tcW w:w="720" w:type="dxa"/>
            <w:vAlign w:val="center"/>
          </w:tcPr>
          <w:p>
            <w:pPr>
              <w:spacing w:line="560" w:lineRule="exact"/>
              <w:jc w:val="center"/>
              <w:rPr>
                <w:rFonts w:ascii="黑体" w:eastAsia="黑体"/>
                <w:color w:val="auto"/>
                <w:szCs w:val="21"/>
                <w:highlight w:val="none"/>
              </w:rPr>
            </w:pPr>
          </w:p>
        </w:tc>
        <w:tc>
          <w:tcPr>
            <w:tcW w:w="720" w:type="dxa"/>
            <w:vAlign w:val="center"/>
          </w:tcPr>
          <w:p>
            <w:pPr>
              <w:spacing w:line="560" w:lineRule="exact"/>
              <w:jc w:val="center"/>
              <w:rPr>
                <w:rFonts w:ascii="黑体" w:eastAsia="黑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spacing w:line="560" w:lineRule="exact"/>
              <w:jc w:val="center"/>
              <w:rPr>
                <w:rFonts w:ascii="黑体" w:eastAsia="黑体"/>
                <w:color w:val="auto"/>
                <w:szCs w:val="21"/>
                <w:highlight w:val="none"/>
              </w:rPr>
            </w:pPr>
          </w:p>
        </w:tc>
        <w:tc>
          <w:tcPr>
            <w:tcW w:w="3960" w:type="dxa"/>
            <w:vAlign w:val="center"/>
          </w:tcPr>
          <w:p>
            <w:pPr>
              <w:spacing w:line="560" w:lineRule="exact"/>
              <w:jc w:val="center"/>
              <w:rPr>
                <w:rFonts w:ascii="黑体" w:eastAsia="黑体"/>
                <w:color w:val="auto"/>
                <w:szCs w:val="21"/>
                <w:highlight w:val="none"/>
              </w:rPr>
            </w:pPr>
          </w:p>
        </w:tc>
        <w:tc>
          <w:tcPr>
            <w:tcW w:w="1260" w:type="dxa"/>
            <w:vAlign w:val="center"/>
          </w:tcPr>
          <w:p>
            <w:pPr>
              <w:spacing w:line="560" w:lineRule="exact"/>
              <w:jc w:val="center"/>
              <w:rPr>
                <w:rFonts w:ascii="黑体" w:eastAsia="黑体"/>
                <w:color w:val="auto"/>
                <w:szCs w:val="21"/>
                <w:highlight w:val="none"/>
              </w:rPr>
            </w:pPr>
          </w:p>
        </w:tc>
        <w:tc>
          <w:tcPr>
            <w:tcW w:w="1260" w:type="dxa"/>
            <w:vAlign w:val="center"/>
          </w:tcPr>
          <w:p>
            <w:pPr>
              <w:spacing w:line="560" w:lineRule="exact"/>
              <w:jc w:val="center"/>
              <w:rPr>
                <w:rFonts w:ascii="黑体" w:eastAsia="黑体"/>
                <w:color w:val="auto"/>
                <w:szCs w:val="21"/>
                <w:highlight w:val="none"/>
              </w:rPr>
            </w:pPr>
          </w:p>
        </w:tc>
        <w:tc>
          <w:tcPr>
            <w:tcW w:w="720" w:type="dxa"/>
            <w:vAlign w:val="center"/>
          </w:tcPr>
          <w:p>
            <w:pPr>
              <w:spacing w:line="560" w:lineRule="exact"/>
              <w:jc w:val="center"/>
              <w:rPr>
                <w:rFonts w:ascii="黑体" w:eastAsia="黑体"/>
                <w:color w:val="auto"/>
                <w:szCs w:val="21"/>
                <w:highlight w:val="none"/>
              </w:rPr>
            </w:pPr>
          </w:p>
        </w:tc>
        <w:tc>
          <w:tcPr>
            <w:tcW w:w="720" w:type="dxa"/>
            <w:vAlign w:val="center"/>
          </w:tcPr>
          <w:p>
            <w:pPr>
              <w:spacing w:line="560" w:lineRule="exact"/>
              <w:jc w:val="center"/>
              <w:rPr>
                <w:rFonts w:ascii="黑体" w:eastAsia="黑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spacing w:line="560" w:lineRule="exact"/>
              <w:jc w:val="center"/>
              <w:rPr>
                <w:rFonts w:ascii="黑体" w:eastAsia="黑体"/>
                <w:color w:val="auto"/>
                <w:szCs w:val="21"/>
                <w:highlight w:val="none"/>
              </w:rPr>
            </w:pPr>
          </w:p>
        </w:tc>
        <w:tc>
          <w:tcPr>
            <w:tcW w:w="3960" w:type="dxa"/>
            <w:vAlign w:val="center"/>
          </w:tcPr>
          <w:p>
            <w:pPr>
              <w:spacing w:line="560" w:lineRule="exact"/>
              <w:jc w:val="center"/>
              <w:rPr>
                <w:rFonts w:ascii="黑体" w:eastAsia="黑体"/>
                <w:color w:val="auto"/>
                <w:szCs w:val="21"/>
                <w:highlight w:val="none"/>
              </w:rPr>
            </w:pPr>
          </w:p>
        </w:tc>
        <w:tc>
          <w:tcPr>
            <w:tcW w:w="1260" w:type="dxa"/>
            <w:vAlign w:val="center"/>
          </w:tcPr>
          <w:p>
            <w:pPr>
              <w:spacing w:line="560" w:lineRule="exact"/>
              <w:jc w:val="center"/>
              <w:rPr>
                <w:rFonts w:ascii="黑体" w:eastAsia="黑体"/>
                <w:color w:val="auto"/>
                <w:szCs w:val="21"/>
                <w:highlight w:val="none"/>
              </w:rPr>
            </w:pPr>
          </w:p>
        </w:tc>
        <w:tc>
          <w:tcPr>
            <w:tcW w:w="1260" w:type="dxa"/>
            <w:vAlign w:val="center"/>
          </w:tcPr>
          <w:p>
            <w:pPr>
              <w:spacing w:line="560" w:lineRule="exact"/>
              <w:jc w:val="center"/>
              <w:rPr>
                <w:rFonts w:ascii="黑体" w:eastAsia="黑体"/>
                <w:color w:val="auto"/>
                <w:szCs w:val="21"/>
                <w:highlight w:val="none"/>
              </w:rPr>
            </w:pPr>
          </w:p>
        </w:tc>
        <w:tc>
          <w:tcPr>
            <w:tcW w:w="720" w:type="dxa"/>
            <w:vAlign w:val="center"/>
          </w:tcPr>
          <w:p>
            <w:pPr>
              <w:spacing w:line="560" w:lineRule="exact"/>
              <w:jc w:val="center"/>
              <w:rPr>
                <w:rFonts w:ascii="黑体" w:eastAsia="黑体"/>
                <w:color w:val="auto"/>
                <w:szCs w:val="21"/>
                <w:highlight w:val="none"/>
              </w:rPr>
            </w:pPr>
          </w:p>
        </w:tc>
        <w:tc>
          <w:tcPr>
            <w:tcW w:w="720" w:type="dxa"/>
            <w:vAlign w:val="center"/>
          </w:tcPr>
          <w:p>
            <w:pPr>
              <w:spacing w:line="560" w:lineRule="exact"/>
              <w:jc w:val="center"/>
              <w:rPr>
                <w:rFonts w:ascii="黑体" w:eastAsia="黑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spacing w:line="560" w:lineRule="exact"/>
              <w:jc w:val="center"/>
              <w:rPr>
                <w:rFonts w:ascii="黑体" w:eastAsia="黑体"/>
                <w:color w:val="auto"/>
                <w:szCs w:val="21"/>
                <w:highlight w:val="none"/>
              </w:rPr>
            </w:pPr>
          </w:p>
        </w:tc>
        <w:tc>
          <w:tcPr>
            <w:tcW w:w="3960" w:type="dxa"/>
            <w:vAlign w:val="center"/>
          </w:tcPr>
          <w:p>
            <w:pPr>
              <w:spacing w:line="560" w:lineRule="exact"/>
              <w:jc w:val="center"/>
              <w:rPr>
                <w:rFonts w:ascii="黑体" w:eastAsia="黑体"/>
                <w:color w:val="auto"/>
                <w:szCs w:val="21"/>
                <w:highlight w:val="none"/>
              </w:rPr>
            </w:pPr>
          </w:p>
        </w:tc>
        <w:tc>
          <w:tcPr>
            <w:tcW w:w="1260" w:type="dxa"/>
            <w:vAlign w:val="center"/>
          </w:tcPr>
          <w:p>
            <w:pPr>
              <w:spacing w:line="560" w:lineRule="exact"/>
              <w:jc w:val="center"/>
              <w:rPr>
                <w:rFonts w:ascii="黑体" w:eastAsia="黑体"/>
                <w:color w:val="auto"/>
                <w:szCs w:val="21"/>
                <w:highlight w:val="none"/>
              </w:rPr>
            </w:pPr>
          </w:p>
        </w:tc>
        <w:tc>
          <w:tcPr>
            <w:tcW w:w="1260" w:type="dxa"/>
            <w:vAlign w:val="center"/>
          </w:tcPr>
          <w:p>
            <w:pPr>
              <w:spacing w:line="560" w:lineRule="exact"/>
              <w:jc w:val="center"/>
              <w:rPr>
                <w:rFonts w:ascii="黑体" w:eastAsia="黑体"/>
                <w:color w:val="auto"/>
                <w:szCs w:val="21"/>
                <w:highlight w:val="none"/>
              </w:rPr>
            </w:pPr>
          </w:p>
        </w:tc>
        <w:tc>
          <w:tcPr>
            <w:tcW w:w="720" w:type="dxa"/>
            <w:vAlign w:val="center"/>
          </w:tcPr>
          <w:p>
            <w:pPr>
              <w:spacing w:line="560" w:lineRule="exact"/>
              <w:jc w:val="center"/>
              <w:rPr>
                <w:rFonts w:ascii="黑体" w:eastAsia="黑体"/>
                <w:color w:val="auto"/>
                <w:szCs w:val="21"/>
                <w:highlight w:val="none"/>
              </w:rPr>
            </w:pPr>
          </w:p>
        </w:tc>
        <w:tc>
          <w:tcPr>
            <w:tcW w:w="720" w:type="dxa"/>
            <w:vAlign w:val="center"/>
          </w:tcPr>
          <w:p>
            <w:pPr>
              <w:spacing w:line="560" w:lineRule="exact"/>
              <w:jc w:val="center"/>
              <w:rPr>
                <w:rFonts w:ascii="黑体" w:eastAsia="黑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spacing w:line="560" w:lineRule="exact"/>
              <w:jc w:val="center"/>
              <w:rPr>
                <w:rFonts w:ascii="黑体" w:eastAsia="黑体"/>
                <w:color w:val="auto"/>
                <w:szCs w:val="21"/>
                <w:highlight w:val="none"/>
              </w:rPr>
            </w:pPr>
          </w:p>
        </w:tc>
        <w:tc>
          <w:tcPr>
            <w:tcW w:w="3960" w:type="dxa"/>
            <w:vAlign w:val="center"/>
          </w:tcPr>
          <w:p>
            <w:pPr>
              <w:spacing w:line="560" w:lineRule="exact"/>
              <w:jc w:val="center"/>
              <w:rPr>
                <w:rFonts w:ascii="黑体" w:eastAsia="黑体"/>
                <w:color w:val="auto"/>
                <w:szCs w:val="21"/>
                <w:highlight w:val="none"/>
              </w:rPr>
            </w:pPr>
          </w:p>
        </w:tc>
        <w:tc>
          <w:tcPr>
            <w:tcW w:w="1260" w:type="dxa"/>
            <w:vAlign w:val="center"/>
          </w:tcPr>
          <w:p>
            <w:pPr>
              <w:spacing w:line="560" w:lineRule="exact"/>
              <w:jc w:val="center"/>
              <w:rPr>
                <w:rFonts w:ascii="黑体" w:eastAsia="黑体"/>
                <w:color w:val="auto"/>
                <w:szCs w:val="21"/>
                <w:highlight w:val="none"/>
              </w:rPr>
            </w:pPr>
          </w:p>
        </w:tc>
        <w:tc>
          <w:tcPr>
            <w:tcW w:w="1260" w:type="dxa"/>
            <w:vAlign w:val="center"/>
          </w:tcPr>
          <w:p>
            <w:pPr>
              <w:spacing w:line="560" w:lineRule="exact"/>
              <w:jc w:val="center"/>
              <w:rPr>
                <w:rFonts w:ascii="黑体" w:eastAsia="黑体"/>
                <w:color w:val="auto"/>
                <w:szCs w:val="21"/>
                <w:highlight w:val="none"/>
              </w:rPr>
            </w:pPr>
          </w:p>
        </w:tc>
        <w:tc>
          <w:tcPr>
            <w:tcW w:w="720" w:type="dxa"/>
            <w:vAlign w:val="center"/>
          </w:tcPr>
          <w:p>
            <w:pPr>
              <w:spacing w:line="560" w:lineRule="exact"/>
              <w:jc w:val="center"/>
              <w:rPr>
                <w:rFonts w:ascii="黑体" w:eastAsia="黑体"/>
                <w:color w:val="auto"/>
                <w:szCs w:val="21"/>
                <w:highlight w:val="none"/>
              </w:rPr>
            </w:pPr>
          </w:p>
        </w:tc>
        <w:tc>
          <w:tcPr>
            <w:tcW w:w="720" w:type="dxa"/>
            <w:vAlign w:val="center"/>
          </w:tcPr>
          <w:p>
            <w:pPr>
              <w:spacing w:line="560" w:lineRule="exact"/>
              <w:jc w:val="center"/>
              <w:rPr>
                <w:rFonts w:ascii="黑体" w:eastAsia="黑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spacing w:line="560" w:lineRule="exact"/>
              <w:jc w:val="center"/>
              <w:rPr>
                <w:rFonts w:ascii="黑体" w:eastAsia="黑体"/>
                <w:color w:val="auto"/>
                <w:szCs w:val="21"/>
                <w:highlight w:val="none"/>
              </w:rPr>
            </w:pPr>
          </w:p>
        </w:tc>
        <w:tc>
          <w:tcPr>
            <w:tcW w:w="3960" w:type="dxa"/>
            <w:vAlign w:val="center"/>
          </w:tcPr>
          <w:p>
            <w:pPr>
              <w:spacing w:line="560" w:lineRule="exact"/>
              <w:jc w:val="center"/>
              <w:rPr>
                <w:rFonts w:ascii="黑体" w:eastAsia="黑体"/>
                <w:color w:val="auto"/>
                <w:szCs w:val="21"/>
                <w:highlight w:val="none"/>
              </w:rPr>
            </w:pPr>
          </w:p>
        </w:tc>
        <w:tc>
          <w:tcPr>
            <w:tcW w:w="1260" w:type="dxa"/>
            <w:vAlign w:val="center"/>
          </w:tcPr>
          <w:p>
            <w:pPr>
              <w:spacing w:line="560" w:lineRule="exact"/>
              <w:jc w:val="center"/>
              <w:rPr>
                <w:rFonts w:ascii="黑体" w:eastAsia="黑体"/>
                <w:color w:val="auto"/>
                <w:szCs w:val="21"/>
                <w:highlight w:val="none"/>
              </w:rPr>
            </w:pPr>
          </w:p>
        </w:tc>
        <w:tc>
          <w:tcPr>
            <w:tcW w:w="1260" w:type="dxa"/>
            <w:vAlign w:val="center"/>
          </w:tcPr>
          <w:p>
            <w:pPr>
              <w:spacing w:line="560" w:lineRule="exact"/>
              <w:jc w:val="center"/>
              <w:rPr>
                <w:rFonts w:ascii="黑体" w:eastAsia="黑体"/>
                <w:color w:val="auto"/>
                <w:szCs w:val="21"/>
                <w:highlight w:val="none"/>
              </w:rPr>
            </w:pPr>
          </w:p>
        </w:tc>
        <w:tc>
          <w:tcPr>
            <w:tcW w:w="720" w:type="dxa"/>
            <w:vAlign w:val="center"/>
          </w:tcPr>
          <w:p>
            <w:pPr>
              <w:spacing w:line="560" w:lineRule="exact"/>
              <w:jc w:val="center"/>
              <w:rPr>
                <w:rFonts w:ascii="黑体" w:eastAsia="黑体"/>
                <w:color w:val="auto"/>
                <w:szCs w:val="21"/>
                <w:highlight w:val="none"/>
              </w:rPr>
            </w:pPr>
          </w:p>
        </w:tc>
        <w:tc>
          <w:tcPr>
            <w:tcW w:w="720" w:type="dxa"/>
            <w:vAlign w:val="center"/>
          </w:tcPr>
          <w:p>
            <w:pPr>
              <w:spacing w:line="560" w:lineRule="exact"/>
              <w:jc w:val="center"/>
              <w:rPr>
                <w:rFonts w:ascii="黑体" w:eastAsia="黑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spacing w:line="560" w:lineRule="exact"/>
              <w:jc w:val="center"/>
              <w:rPr>
                <w:rFonts w:ascii="黑体" w:eastAsia="黑体"/>
                <w:color w:val="auto"/>
                <w:szCs w:val="21"/>
                <w:highlight w:val="none"/>
              </w:rPr>
            </w:pPr>
          </w:p>
        </w:tc>
        <w:tc>
          <w:tcPr>
            <w:tcW w:w="3960" w:type="dxa"/>
            <w:vAlign w:val="center"/>
          </w:tcPr>
          <w:p>
            <w:pPr>
              <w:spacing w:line="560" w:lineRule="exact"/>
              <w:jc w:val="center"/>
              <w:rPr>
                <w:rFonts w:ascii="黑体" w:eastAsia="黑体"/>
                <w:color w:val="auto"/>
                <w:szCs w:val="21"/>
                <w:highlight w:val="none"/>
              </w:rPr>
            </w:pPr>
          </w:p>
        </w:tc>
        <w:tc>
          <w:tcPr>
            <w:tcW w:w="1260" w:type="dxa"/>
            <w:vAlign w:val="center"/>
          </w:tcPr>
          <w:p>
            <w:pPr>
              <w:spacing w:line="560" w:lineRule="exact"/>
              <w:jc w:val="center"/>
              <w:rPr>
                <w:rFonts w:ascii="黑体" w:eastAsia="黑体"/>
                <w:color w:val="auto"/>
                <w:szCs w:val="21"/>
                <w:highlight w:val="none"/>
              </w:rPr>
            </w:pPr>
          </w:p>
        </w:tc>
        <w:tc>
          <w:tcPr>
            <w:tcW w:w="1260" w:type="dxa"/>
            <w:vAlign w:val="center"/>
          </w:tcPr>
          <w:p>
            <w:pPr>
              <w:spacing w:line="560" w:lineRule="exact"/>
              <w:jc w:val="center"/>
              <w:rPr>
                <w:rFonts w:ascii="黑体" w:eastAsia="黑体"/>
                <w:color w:val="auto"/>
                <w:szCs w:val="21"/>
                <w:highlight w:val="none"/>
              </w:rPr>
            </w:pPr>
          </w:p>
        </w:tc>
        <w:tc>
          <w:tcPr>
            <w:tcW w:w="720" w:type="dxa"/>
            <w:vAlign w:val="center"/>
          </w:tcPr>
          <w:p>
            <w:pPr>
              <w:spacing w:line="560" w:lineRule="exact"/>
              <w:jc w:val="center"/>
              <w:rPr>
                <w:rFonts w:ascii="黑体" w:eastAsia="黑体"/>
                <w:color w:val="auto"/>
                <w:szCs w:val="21"/>
                <w:highlight w:val="none"/>
              </w:rPr>
            </w:pPr>
          </w:p>
        </w:tc>
        <w:tc>
          <w:tcPr>
            <w:tcW w:w="720" w:type="dxa"/>
            <w:vAlign w:val="center"/>
          </w:tcPr>
          <w:p>
            <w:pPr>
              <w:spacing w:line="560" w:lineRule="exact"/>
              <w:jc w:val="center"/>
              <w:rPr>
                <w:rFonts w:ascii="黑体" w:eastAsia="黑体"/>
                <w:color w:val="auto"/>
                <w:szCs w:val="21"/>
                <w:highlight w:val="none"/>
              </w:rPr>
            </w:pPr>
          </w:p>
        </w:tc>
      </w:tr>
    </w:tbl>
    <w:p>
      <w:pPr>
        <w:rPr>
          <w:rFonts w:ascii="宋体" w:hAnsi="宋体"/>
          <w:color w:val="auto"/>
          <w:szCs w:val="21"/>
          <w:highlight w:val="none"/>
        </w:rPr>
      </w:pPr>
      <w:r>
        <w:rPr>
          <w:rFonts w:hint="eastAsia" w:ascii="宋体" w:hAnsi="宋体"/>
          <w:color w:val="auto"/>
          <w:szCs w:val="21"/>
          <w:highlight w:val="none"/>
        </w:rPr>
        <w:t>注：1.本表用于确定综合评估得分及排序。</w:t>
      </w:r>
    </w:p>
    <w:p>
      <w:pPr>
        <w:ind w:firstLine="420" w:firstLineChars="200"/>
        <w:rPr>
          <w:rFonts w:ascii="宋体" w:hAnsi="宋体"/>
          <w:color w:val="auto"/>
          <w:szCs w:val="21"/>
          <w:highlight w:val="none"/>
        </w:rPr>
      </w:pPr>
      <w:r>
        <w:rPr>
          <w:rFonts w:hint="eastAsia" w:ascii="宋体" w:hAnsi="宋体"/>
          <w:color w:val="auto"/>
          <w:szCs w:val="21"/>
          <w:highlight w:val="none"/>
        </w:rPr>
        <w:t xml:space="preserve">2.未能通过初步评审的投标人不得在本表中列出。 </w:t>
      </w:r>
    </w:p>
    <w:p>
      <w:pPr>
        <w:ind w:firstLine="420" w:firstLineChars="200"/>
        <w:rPr>
          <w:rFonts w:ascii="宋体" w:hAnsi="宋体"/>
          <w:color w:val="auto"/>
          <w:szCs w:val="21"/>
          <w:highlight w:val="none"/>
        </w:rPr>
      </w:pPr>
      <w:r>
        <w:rPr>
          <w:rFonts w:hint="eastAsia" w:ascii="宋体" w:hAnsi="宋体"/>
          <w:color w:val="auto"/>
          <w:szCs w:val="21"/>
          <w:highlight w:val="none"/>
        </w:rPr>
        <w:t>3. 投标人在本表中的排列次序：按照得分高低次序排列。</w:t>
      </w:r>
    </w:p>
    <w:p>
      <w:pPr>
        <w:ind w:firstLine="420" w:firstLineChars="200"/>
        <w:rPr>
          <w:rFonts w:ascii="宋体" w:hAnsi="宋体"/>
          <w:color w:val="auto"/>
          <w:szCs w:val="21"/>
          <w:highlight w:val="none"/>
        </w:rPr>
      </w:pPr>
      <w:r>
        <w:rPr>
          <w:rFonts w:hint="eastAsia" w:ascii="宋体" w:hAnsi="宋体"/>
          <w:color w:val="auto"/>
          <w:szCs w:val="21"/>
          <w:highlight w:val="none"/>
        </w:rPr>
        <w:t>4. 本表中的得分排序：投标人的得分次序。得分次序按照由高到低的原则编号，即得分最高的“排序”为 “1”。</w:t>
      </w: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r>
        <w:rPr>
          <w:rFonts w:hint="eastAsia" w:ascii="宋体" w:hAnsi="宋体"/>
          <w:color w:val="auto"/>
          <w:szCs w:val="21"/>
          <w:highlight w:val="none"/>
        </w:rPr>
        <w:t xml:space="preserve">评标委员会全体评委签名：                              </w:t>
      </w:r>
      <w:r>
        <w:rPr>
          <w:rFonts w:hint="eastAsia" w:ascii="宋体" w:hAnsi="宋体"/>
          <w:color w:val="auto"/>
          <w:kern w:val="0"/>
          <w:highlight w:val="none"/>
        </w:rPr>
        <w:t>日期：   年   月  日</w:t>
      </w:r>
    </w:p>
    <w:p>
      <w:pPr>
        <w:jc w:val="center"/>
        <w:rPr>
          <w:rFonts w:ascii="宋体" w:hAnsi="宋体"/>
          <w:b/>
          <w:color w:val="auto"/>
          <w:sz w:val="28"/>
          <w:szCs w:val="28"/>
          <w:highlight w:val="none"/>
        </w:rPr>
      </w:pPr>
    </w:p>
    <w:p>
      <w:pPr>
        <w:pStyle w:val="2"/>
        <w:rPr>
          <w:color w:val="auto"/>
          <w:highlight w:val="none"/>
        </w:rPr>
      </w:pPr>
      <w:r>
        <w:rPr>
          <w:color w:val="auto"/>
          <w:highlight w:val="none"/>
        </w:rPr>
        <w:br w:type="page"/>
      </w:r>
    </w:p>
    <w:p>
      <w:pPr>
        <w:pStyle w:val="2"/>
        <w:jc w:val="center"/>
        <w:rPr>
          <w:rFonts w:ascii="宋体" w:hAnsi="宋体"/>
          <w:color w:val="auto"/>
          <w:highlight w:val="none"/>
        </w:rPr>
      </w:pPr>
      <w:bookmarkStart w:id="145" w:name="_Toc21787745"/>
      <w:r>
        <w:rPr>
          <w:rFonts w:hint="eastAsia" w:ascii="宋体" w:hAnsi="宋体"/>
          <w:color w:val="auto"/>
          <w:highlight w:val="none"/>
        </w:rPr>
        <w:t>第四章合同条款</w:t>
      </w:r>
      <w:bookmarkEnd w:id="145"/>
    </w:p>
    <w:p>
      <w:pPr>
        <w:rPr>
          <w:color w:val="auto"/>
          <w:highlight w:val="none"/>
        </w:rPr>
      </w:pPr>
      <w:r>
        <w:rPr>
          <w:color w:val="auto"/>
          <w:highlight w:val="none"/>
        </w:rPr>
        <w:br w:type="page"/>
      </w:r>
    </w:p>
    <w:p>
      <w:pPr>
        <w:pStyle w:val="129"/>
        <w:rPr>
          <w:color w:val="auto"/>
          <w:highlight w:val="none"/>
        </w:rPr>
      </w:pPr>
    </w:p>
    <w:p>
      <w:pPr>
        <w:spacing w:line="360" w:lineRule="auto"/>
        <w:outlineLvl w:val="1"/>
        <w:rPr>
          <w:rFonts w:ascii="黑体" w:hAnsi="黑体" w:eastAsia="黑体" w:cs="Times New Roman"/>
          <w:color w:val="auto"/>
          <w:sz w:val="32"/>
          <w:szCs w:val="27"/>
          <w:highlight w:val="none"/>
        </w:rPr>
      </w:pPr>
      <w:r>
        <w:rPr>
          <w:rFonts w:hint="eastAsia" w:ascii="Times New Roman" w:hAnsi="Times New Roman" w:cs="Times New Roman"/>
          <w:color w:val="auto"/>
          <w:sz w:val="30"/>
          <w:highlight w:val="none"/>
        </w:rPr>
        <w:drawing>
          <wp:anchor distT="0" distB="0" distL="114300" distR="114300" simplePos="0" relativeHeight="251661312" behindDoc="1" locked="0" layoutInCell="1" allowOverlap="0">
            <wp:simplePos x="0" y="0"/>
            <wp:positionH relativeFrom="column">
              <wp:posOffset>-386080</wp:posOffset>
            </wp:positionH>
            <wp:positionV relativeFrom="paragraph">
              <wp:posOffset>50165</wp:posOffset>
            </wp:positionV>
            <wp:extent cx="790575" cy="161925"/>
            <wp:effectExtent l="0" t="0" r="9525" b="9525"/>
            <wp:wrapTight wrapText="bothSides">
              <wp:wrapPolygon>
                <wp:start x="16655" y="0"/>
                <wp:lineTo x="3123" y="0"/>
                <wp:lineTo x="0" y="2372"/>
                <wp:lineTo x="520" y="18974"/>
                <wp:lineTo x="21340" y="18974"/>
                <wp:lineTo x="21340" y="9487"/>
                <wp:lineTo x="18737" y="0"/>
                <wp:lineTo x="16655" y="0"/>
              </wp:wrapPolygon>
            </wp:wrapTight>
            <wp:docPr id="3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
                    <pic:cNvPicPr>
                      <a:picLocks noChangeAspect="1"/>
                    </pic:cNvPicPr>
                  </pic:nvPicPr>
                  <pic:blipFill>
                    <a:blip r:embed="rId13"/>
                    <a:stretch>
                      <a:fillRect/>
                    </a:stretch>
                  </pic:blipFill>
                  <pic:spPr>
                    <a:xfrm>
                      <a:off x="0" y="0"/>
                      <a:ext cx="790575" cy="161925"/>
                    </a:xfrm>
                    <a:prstGeom prst="rect">
                      <a:avLst/>
                    </a:prstGeom>
                    <a:noFill/>
                    <a:ln>
                      <a:noFill/>
                    </a:ln>
                  </pic:spPr>
                </pic:pic>
              </a:graphicData>
            </a:graphic>
          </wp:anchor>
        </w:drawing>
      </w:r>
      <w:r>
        <w:rPr>
          <w:rFonts w:ascii="Times New Roman" w:hAnsi="Times New Roman" w:cs="Times New Roman"/>
          <w:color w:val="auto"/>
          <w:highlight w:val="none"/>
        </w:rPr>
        <w:drawing>
          <wp:anchor distT="0" distB="0" distL="114300" distR="114300" simplePos="0" relativeHeight="251662336" behindDoc="0" locked="0" layoutInCell="1" allowOverlap="1">
            <wp:simplePos x="0" y="0"/>
            <wp:positionH relativeFrom="column">
              <wp:posOffset>-257175</wp:posOffset>
            </wp:positionH>
            <wp:positionV relativeFrom="paragraph">
              <wp:posOffset>-510540</wp:posOffset>
            </wp:positionV>
            <wp:extent cx="2499360" cy="258445"/>
            <wp:effectExtent l="0" t="0" r="15240" b="8255"/>
            <wp:wrapSquare wrapText="bothSides"/>
            <wp:docPr id="3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4"/>
                    <pic:cNvPicPr>
                      <a:picLocks noChangeAspect="1"/>
                    </pic:cNvPicPr>
                  </pic:nvPicPr>
                  <pic:blipFill>
                    <a:blip r:embed="rId14"/>
                    <a:stretch>
                      <a:fillRect/>
                    </a:stretch>
                  </pic:blipFill>
                  <pic:spPr>
                    <a:xfrm>
                      <a:off x="0" y="0"/>
                      <a:ext cx="2499360" cy="258445"/>
                    </a:xfrm>
                    <a:prstGeom prst="rect">
                      <a:avLst/>
                    </a:prstGeom>
                    <a:noFill/>
                    <a:ln>
                      <a:noFill/>
                    </a:ln>
                  </pic:spPr>
                </pic:pic>
              </a:graphicData>
            </a:graphic>
          </wp:anchor>
        </w:drawing>
      </w:r>
      <w:r>
        <w:rPr>
          <w:rFonts w:hint="eastAsia" w:ascii="Times New Roman" w:hAnsi="Times New Roman" w:cs="Times New Roman"/>
          <w:color w:val="auto"/>
          <w:highlight w:val="none"/>
        </w:rPr>
        <w:drawing>
          <wp:anchor distT="0" distB="0" distL="114300" distR="114300" simplePos="0" relativeHeight="251663360" behindDoc="0" locked="0" layoutInCell="1" allowOverlap="1">
            <wp:simplePos x="0" y="0"/>
            <wp:positionH relativeFrom="column">
              <wp:posOffset>3883025</wp:posOffset>
            </wp:positionH>
            <wp:positionV relativeFrom="paragraph">
              <wp:posOffset>-455295</wp:posOffset>
            </wp:positionV>
            <wp:extent cx="2236470" cy="1798955"/>
            <wp:effectExtent l="0" t="0" r="11430" b="10795"/>
            <wp:wrapSquare wrapText="bothSides"/>
            <wp:docPr id="39" name="图片 10" descr="C:\Users\lanxing\Desktop\93b1542184114cf8b316f10d4b2d5c42.png93b1542184114cf8b316f10d4b2d5c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10" descr="C:\Users\lanxing\Desktop\93b1542184114cf8b316f10d4b2d5c42.png93b1542184114cf8b316f10d4b2d5c42"/>
                    <pic:cNvPicPr>
                      <a:picLocks noChangeAspect="1"/>
                    </pic:cNvPicPr>
                  </pic:nvPicPr>
                  <pic:blipFill>
                    <a:blip r:embed="rId15"/>
                    <a:stretch>
                      <a:fillRect/>
                    </a:stretch>
                  </pic:blipFill>
                  <pic:spPr>
                    <a:xfrm>
                      <a:off x="0" y="0"/>
                      <a:ext cx="2236470" cy="1798955"/>
                    </a:xfrm>
                    <a:prstGeom prst="rect">
                      <a:avLst/>
                    </a:prstGeom>
                    <a:noFill/>
                    <a:ln>
                      <a:noFill/>
                    </a:ln>
                  </pic:spPr>
                </pic:pic>
              </a:graphicData>
            </a:graphic>
          </wp:anchor>
        </w:drawing>
      </w:r>
      <w:r>
        <w:rPr>
          <w:rFonts w:hint="eastAsia" w:ascii="Times New Roman" w:hAnsi="Times New Roman" w:cs="Times New Roman"/>
          <w:color w:val="auto"/>
          <w:sz w:val="24"/>
          <w:highlight w:val="none"/>
        </w:rPr>
        <w:t xml:space="preserve"> 穗开建管施[20</w:t>
      </w:r>
      <w:r>
        <w:rPr>
          <w:rFonts w:hint="eastAsia" w:ascii="Times New Roman" w:hAnsi="Times New Roman" w:cs="Times New Roman"/>
          <w:color w:val="auto"/>
          <w:sz w:val="24"/>
          <w:highlight w:val="none"/>
          <w:lang w:val="en-US" w:eastAsia="zh-CN"/>
        </w:rPr>
        <w:t xml:space="preserve">2  </w:t>
      </w:r>
      <w:r>
        <w:rPr>
          <w:rFonts w:hint="eastAsia" w:ascii="Times New Roman" w:hAnsi="Times New Roman" w:cs="Times New Roman"/>
          <w:color w:val="auto"/>
          <w:sz w:val="24"/>
          <w:highlight w:val="none"/>
        </w:rPr>
        <w:t xml:space="preserve">]  号/  /   </w:t>
      </w:r>
    </w:p>
    <w:p>
      <w:pPr>
        <w:tabs>
          <w:tab w:val="left" w:pos="870"/>
        </w:tabs>
        <w:spacing w:line="440" w:lineRule="exact"/>
        <w:ind w:firstLine="210" w:firstLineChars="100"/>
        <w:rPr>
          <w:rFonts w:ascii="Times New Roman" w:hAnsi="Times New Roman" w:cs="Times New Roman"/>
          <w:color w:val="auto"/>
          <w:highlight w:val="none"/>
        </w:rPr>
      </w:pPr>
    </w:p>
    <w:p>
      <w:pPr>
        <w:tabs>
          <w:tab w:val="left" w:pos="870"/>
        </w:tabs>
        <w:spacing w:line="440" w:lineRule="exact"/>
        <w:ind w:firstLine="280" w:firstLineChars="100"/>
        <w:rPr>
          <w:rFonts w:hint="eastAsia" w:ascii="方正大标宋简体" w:hAnsi="Times New Roman" w:eastAsia="方正大标宋简体" w:cs="Times New Roman"/>
          <w:color w:val="auto"/>
          <w:sz w:val="28"/>
          <w:szCs w:val="28"/>
          <w:highlight w:val="none"/>
        </w:rPr>
      </w:pPr>
      <w:r>
        <w:rPr>
          <w:rFonts w:hint="eastAsia" w:ascii="方正大标宋简体" w:hAnsi="Times New Roman" w:eastAsia="方正大标宋简体" w:cs="Times New Roman"/>
          <w:color w:val="auto"/>
          <w:sz w:val="28"/>
          <w:szCs w:val="28"/>
          <w:highlight w:val="none"/>
        </w:rPr>
        <w:t xml:space="preserve"> </w:t>
      </w:r>
    </w:p>
    <w:p>
      <w:pPr>
        <w:spacing w:line="440" w:lineRule="exact"/>
        <w:rPr>
          <w:rFonts w:hint="eastAsia" w:ascii="Times New Roman" w:hAnsi="Times New Roman" w:cs="Times New Roman"/>
          <w:color w:val="auto"/>
          <w:highlight w:val="none"/>
        </w:rPr>
      </w:pPr>
      <w:r>
        <w:rPr>
          <w:rFonts w:hint="eastAsia" w:ascii="Times New Roman" w:hAnsi="Times New Roman" w:cs="Times New Roman"/>
          <w:color w:val="auto"/>
          <w:sz w:val="24"/>
          <w:highlight w:val="none"/>
        </w:rPr>
        <w:t xml:space="preserve">       </w:t>
      </w:r>
    </w:p>
    <w:p>
      <w:pPr>
        <w:spacing w:line="440" w:lineRule="exact"/>
        <w:ind w:firstLine="840" w:firstLineChars="400"/>
        <w:rPr>
          <w:rFonts w:hint="eastAsia" w:ascii="宋体" w:hAnsi="宋体" w:cs="Times New Roman"/>
          <w:color w:val="auto"/>
          <w:highlight w:val="none"/>
        </w:rPr>
      </w:pPr>
      <w:r>
        <w:rPr>
          <w:rFonts w:hint="eastAsia" w:ascii="Times New Roman" w:hAnsi="Times New Roman" w:cs="Times New Roman"/>
          <w:color w:val="auto"/>
          <w:highlight w:val="none"/>
        </w:rPr>
        <w:t xml:space="preserve">                                                                                   </w:t>
      </w:r>
    </w:p>
    <w:p>
      <w:pPr>
        <w:snapToGrid w:val="0"/>
        <w:spacing w:line="440" w:lineRule="exact"/>
        <w:ind w:left="-197" w:leftChars="-94"/>
        <w:jc w:val="center"/>
        <w:rPr>
          <w:rFonts w:hint="eastAsia" w:ascii="宋体" w:hAnsi="宋体" w:cs="Times New Roman"/>
          <w:color w:val="auto"/>
          <w:highlight w:val="none"/>
        </w:rPr>
      </w:pPr>
    </w:p>
    <w:p>
      <w:pPr>
        <w:snapToGrid w:val="0"/>
        <w:spacing w:line="440" w:lineRule="exact"/>
        <w:rPr>
          <w:rFonts w:hint="eastAsia" w:ascii="宋体" w:hAnsi="宋体" w:cs="Times New Roman"/>
          <w:color w:val="auto"/>
          <w:highlight w:val="none"/>
        </w:rPr>
      </w:pPr>
    </w:p>
    <w:p>
      <w:pPr>
        <w:snapToGrid w:val="0"/>
        <w:spacing w:line="440" w:lineRule="exact"/>
        <w:rPr>
          <w:rFonts w:hint="eastAsia" w:ascii="宋体" w:hAnsi="宋体" w:cs="Times New Roman"/>
          <w:color w:val="auto"/>
          <w:highlight w:val="none"/>
        </w:rPr>
      </w:pPr>
      <w:r>
        <w:rPr>
          <w:rFonts w:hint="eastAsia" w:ascii="Times New Roman" w:hAnsi="Times New Roman" w:cs="Times New Roman"/>
          <w:color w:val="auto"/>
          <w:highlight w:val="none"/>
        </w:rPr>
        <w:drawing>
          <wp:anchor distT="0" distB="0" distL="114300" distR="114300" simplePos="0" relativeHeight="251660288" behindDoc="0" locked="0" layoutInCell="1" allowOverlap="1">
            <wp:simplePos x="0" y="0"/>
            <wp:positionH relativeFrom="column">
              <wp:posOffset>180975</wp:posOffset>
            </wp:positionH>
            <wp:positionV relativeFrom="paragraph">
              <wp:posOffset>150495</wp:posOffset>
            </wp:positionV>
            <wp:extent cx="5295900" cy="590550"/>
            <wp:effectExtent l="0" t="0" r="0" b="0"/>
            <wp:wrapSquare wrapText="bothSides"/>
            <wp:docPr id="3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6"/>
                    <pic:cNvPicPr>
                      <a:picLocks noChangeAspect="1"/>
                    </pic:cNvPicPr>
                  </pic:nvPicPr>
                  <pic:blipFill>
                    <a:blip r:embed="rId16"/>
                    <a:stretch>
                      <a:fillRect/>
                    </a:stretch>
                  </pic:blipFill>
                  <pic:spPr>
                    <a:xfrm>
                      <a:off x="0" y="0"/>
                      <a:ext cx="5295900" cy="590550"/>
                    </a:xfrm>
                    <a:prstGeom prst="rect">
                      <a:avLst/>
                    </a:prstGeom>
                    <a:noFill/>
                    <a:ln>
                      <a:noFill/>
                    </a:ln>
                  </pic:spPr>
                </pic:pic>
              </a:graphicData>
            </a:graphic>
          </wp:anchor>
        </w:drawing>
      </w:r>
    </w:p>
    <w:p>
      <w:pPr>
        <w:snapToGrid w:val="0"/>
        <w:spacing w:line="440" w:lineRule="exact"/>
        <w:rPr>
          <w:rFonts w:hint="eastAsia" w:ascii="宋体" w:hAnsi="宋体" w:cs="Times New Roman"/>
          <w:color w:val="auto"/>
          <w:highlight w:val="none"/>
        </w:rPr>
      </w:pPr>
    </w:p>
    <w:p>
      <w:pPr>
        <w:spacing w:line="440" w:lineRule="exact"/>
        <w:jc w:val="center"/>
        <w:rPr>
          <w:rFonts w:hint="eastAsia" w:ascii="宋体" w:hAnsi="宋体" w:cs="Times New Roman"/>
          <w:color w:val="auto"/>
          <w:highlight w:val="none"/>
        </w:rPr>
      </w:pPr>
    </w:p>
    <w:p>
      <w:pPr>
        <w:spacing w:line="440" w:lineRule="exact"/>
        <w:jc w:val="center"/>
        <w:rPr>
          <w:rFonts w:hint="eastAsia" w:ascii="宋体" w:hAnsi="宋体" w:cs="Times New Roman"/>
          <w:color w:val="auto"/>
          <w:highlight w:val="none"/>
        </w:rPr>
      </w:pPr>
    </w:p>
    <w:p>
      <w:pPr>
        <w:spacing w:line="440" w:lineRule="exact"/>
        <w:jc w:val="center"/>
        <w:rPr>
          <w:rFonts w:hint="eastAsia" w:ascii="宋体" w:hAnsi="宋体" w:cs="Times New Roman"/>
          <w:color w:val="auto"/>
          <w:highlight w:val="none"/>
        </w:rPr>
      </w:pPr>
    </w:p>
    <w:p>
      <w:pPr>
        <w:spacing w:line="440" w:lineRule="exact"/>
        <w:rPr>
          <w:rFonts w:hint="eastAsia" w:ascii="仿宋_GB2312" w:hAnsi="仿宋" w:eastAsia="仿宋_GB2312" w:cs="Times New Roman"/>
          <w:color w:val="auto"/>
          <w:sz w:val="28"/>
          <w:szCs w:val="28"/>
          <w:highlight w:val="none"/>
        </w:rPr>
      </w:pPr>
      <w:r>
        <w:rPr>
          <w:rFonts w:hint="eastAsia" w:ascii="仿宋_GB2312" w:hAnsi="仿宋" w:eastAsia="仿宋_GB2312" w:cs="Times New Roman"/>
          <w:color w:val="auto"/>
          <w:sz w:val="28"/>
          <w:szCs w:val="28"/>
          <w:highlight w:val="none"/>
        </w:rPr>
        <w:t xml:space="preserve">            </w:t>
      </w:r>
    </w:p>
    <w:p>
      <w:pPr>
        <w:spacing w:line="440" w:lineRule="exact"/>
        <w:ind w:firstLine="1058" w:firstLineChars="378"/>
        <w:rPr>
          <w:rFonts w:hint="eastAsia" w:ascii="方正大标宋简体" w:hAnsi="仿宋" w:eastAsia="方正大标宋简体" w:cs="Times New Roman"/>
          <w:color w:val="auto"/>
          <w:sz w:val="28"/>
          <w:szCs w:val="28"/>
          <w:highlight w:val="none"/>
          <w:u w:val="single"/>
        </w:rPr>
      </w:pPr>
      <w:r>
        <w:rPr>
          <w:rFonts w:hint="eastAsia" w:ascii="仿宋_GB2312" w:hAnsi="仿宋" w:eastAsia="仿宋_GB2312" w:cs="Times New Roman"/>
          <w:color w:val="auto"/>
          <w:sz w:val="28"/>
          <w:szCs w:val="28"/>
          <w:highlight w:val="none"/>
        </w:rPr>
        <w:t xml:space="preserve">  项目名称：</w:t>
      </w:r>
      <w:r>
        <w:rPr>
          <w:rFonts w:hint="eastAsia" w:ascii="方正大标宋简体" w:hAnsi="仿宋" w:eastAsia="方正大标宋简体" w:cs="Times New Roman"/>
          <w:color w:val="auto"/>
          <w:sz w:val="28"/>
          <w:szCs w:val="28"/>
          <w:highlight w:val="none"/>
          <w:u w:val="single"/>
        </w:rPr>
        <w:t xml:space="preserve">                          </w:t>
      </w:r>
    </w:p>
    <w:p>
      <w:pPr>
        <w:spacing w:line="440" w:lineRule="exact"/>
        <w:ind w:firstLine="1335" w:firstLineChars="477"/>
        <w:rPr>
          <w:rFonts w:hint="eastAsia" w:ascii="方正大标宋简体" w:hAnsi="仿宋" w:eastAsia="方正大标宋简体" w:cs="Times New Roman"/>
          <w:color w:val="auto"/>
          <w:sz w:val="28"/>
          <w:szCs w:val="28"/>
          <w:highlight w:val="none"/>
          <w:u w:val="single"/>
        </w:rPr>
      </w:pPr>
      <w:r>
        <w:rPr>
          <w:rFonts w:hint="eastAsia" w:ascii="仿宋_GB2312" w:hAnsi="仿宋" w:eastAsia="仿宋_GB2312" w:cs="Times New Roman"/>
          <w:color w:val="auto"/>
          <w:sz w:val="28"/>
          <w:szCs w:val="28"/>
          <w:highlight w:val="none"/>
        </w:rPr>
        <w:t>发包人</w:t>
      </w:r>
      <w:r>
        <w:rPr>
          <w:rFonts w:hint="eastAsia" w:ascii="仿宋_GB2312" w:hAnsi="仿宋" w:eastAsia="仿宋_GB2312" w:cs="Times New Roman"/>
          <w:color w:val="auto"/>
          <w:sz w:val="28"/>
          <w:szCs w:val="28"/>
          <w:highlight w:val="none"/>
          <w:lang w:eastAsia="zh-CN"/>
        </w:rPr>
        <w:t>（甲方）</w:t>
      </w:r>
      <w:r>
        <w:rPr>
          <w:rFonts w:hint="eastAsia" w:ascii="仿宋_GB2312" w:hAnsi="仿宋" w:eastAsia="仿宋_GB2312" w:cs="Times New Roman"/>
          <w:color w:val="auto"/>
          <w:sz w:val="28"/>
          <w:szCs w:val="28"/>
          <w:highlight w:val="none"/>
        </w:rPr>
        <w:t>：</w:t>
      </w:r>
      <w:r>
        <w:rPr>
          <w:rFonts w:hint="eastAsia" w:ascii="方正大标宋简体" w:hAnsi="仿宋" w:eastAsia="方正大标宋简体" w:cs="Times New Roman"/>
          <w:color w:val="auto"/>
          <w:sz w:val="28"/>
          <w:szCs w:val="28"/>
          <w:highlight w:val="none"/>
          <w:u w:val="single"/>
        </w:rPr>
        <w:t xml:space="preserve">广州开发区财政投资建设项目管理中心 </w:t>
      </w:r>
    </w:p>
    <w:p>
      <w:pPr>
        <w:snapToGrid w:val="0"/>
        <w:spacing w:line="440" w:lineRule="exact"/>
        <w:ind w:firstLine="1335" w:firstLineChars="477"/>
        <w:rPr>
          <w:rFonts w:hint="eastAsia" w:ascii="方正大标宋简体" w:hAnsi="宋体" w:eastAsia="方正大标宋简体" w:cs="Times New Roman"/>
          <w:color w:val="auto"/>
          <w:sz w:val="28"/>
          <w:szCs w:val="28"/>
          <w:highlight w:val="none"/>
          <w:u w:val="single"/>
        </w:rPr>
      </w:pPr>
      <w:r>
        <w:rPr>
          <w:rFonts w:hint="eastAsia" w:ascii="仿宋_GB2312" w:hAnsi="仿宋" w:eastAsia="仿宋_GB2312" w:cs="Times New Roman"/>
          <w:color w:val="auto"/>
          <w:sz w:val="28"/>
          <w:szCs w:val="28"/>
          <w:highlight w:val="none"/>
        </w:rPr>
        <w:t>承包人</w:t>
      </w:r>
      <w:r>
        <w:rPr>
          <w:rFonts w:hint="eastAsia" w:ascii="仿宋_GB2312" w:hAnsi="仿宋" w:eastAsia="仿宋_GB2312" w:cs="Times New Roman"/>
          <w:color w:val="auto"/>
          <w:sz w:val="28"/>
          <w:szCs w:val="28"/>
          <w:highlight w:val="none"/>
          <w:lang w:eastAsia="zh-CN"/>
        </w:rPr>
        <w:t>（乙方）</w:t>
      </w:r>
      <w:r>
        <w:rPr>
          <w:rFonts w:hint="eastAsia" w:ascii="仿宋_GB2312" w:hAnsi="仿宋" w:eastAsia="仿宋_GB2312" w:cs="Times New Roman"/>
          <w:color w:val="auto"/>
          <w:sz w:val="28"/>
          <w:szCs w:val="28"/>
          <w:highlight w:val="none"/>
        </w:rPr>
        <w:t>：</w:t>
      </w:r>
      <w:r>
        <w:rPr>
          <w:rFonts w:hint="eastAsia" w:ascii="方正大标宋简体" w:hAnsi="宋体" w:eastAsia="方正大标宋简体" w:cs="Times New Roman"/>
          <w:color w:val="auto"/>
          <w:sz w:val="28"/>
          <w:szCs w:val="28"/>
          <w:highlight w:val="none"/>
          <w:u w:val="single"/>
        </w:rPr>
        <w:t xml:space="preserve">                            </w:t>
      </w:r>
    </w:p>
    <w:p>
      <w:pPr>
        <w:spacing w:line="480" w:lineRule="exact"/>
        <w:ind w:firstLine="1335" w:firstLineChars="477"/>
        <w:rPr>
          <w:rFonts w:hint="eastAsia" w:ascii="方正大标宋简体" w:hAnsi="仿宋" w:eastAsia="方正大标宋简体" w:cs="Times New Roman"/>
          <w:color w:val="auto"/>
          <w:sz w:val="28"/>
          <w:szCs w:val="28"/>
          <w:highlight w:val="none"/>
          <w:u w:val="single"/>
        </w:rPr>
      </w:pPr>
      <w:r>
        <w:rPr>
          <w:rFonts w:hint="eastAsia" w:ascii="仿宋_GB2312" w:hAnsi="仿宋" w:eastAsia="仿宋_GB2312" w:cs="Times New Roman"/>
          <w:color w:val="auto"/>
          <w:sz w:val="28"/>
          <w:szCs w:val="28"/>
          <w:highlight w:val="none"/>
        </w:rPr>
        <w:t>合同签订日期：</w:t>
      </w:r>
      <w:r>
        <w:rPr>
          <w:rFonts w:hint="eastAsia" w:ascii="仿宋_GB2312" w:hAnsi="仿宋" w:eastAsia="仿宋_GB2312" w:cs="Times New Roman"/>
          <w:color w:val="auto"/>
          <w:sz w:val="28"/>
          <w:szCs w:val="28"/>
          <w:highlight w:val="none"/>
          <w:u w:val="single"/>
        </w:rPr>
        <w:t xml:space="preserve">  </w:t>
      </w:r>
      <w:r>
        <w:rPr>
          <w:rFonts w:hint="eastAsia" w:ascii="方正大标宋简体" w:hAnsi="仿宋" w:eastAsia="方正大标宋简体" w:cs="Times New Roman"/>
          <w:color w:val="auto"/>
          <w:sz w:val="28"/>
          <w:szCs w:val="28"/>
          <w:highlight w:val="none"/>
          <w:u w:val="single"/>
        </w:rPr>
        <w:t>20</w:t>
      </w:r>
      <w:r>
        <w:rPr>
          <w:rFonts w:hint="eastAsia" w:ascii="方正大标宋简体" w:hAnsi="仿宋" w:eastAsia="方正大标宋简体" w:cs="Times New Roman"/>
          <w:color w:val="auto"/>
          <w:sz w:val="28"/>
          <w:szCs w:val="28"/>
          <w:highlight w:val="none"/>
          <w:u w:val="single"/>
          <w:lang w:val="en-US" w:eastAsia="zh-CN"/>
        </w:rPr>
        <w:t xml:space="preserve">2  </w:t>
      </w:r>
      <w:r>
        <w:rPr>
          <w:rFonts w:hint="eastAsia" w:ascii="方正大标宋简体" w:hAnsi="仿宋" w:eastAsia="方正大标宋简体" w:cs="Times New Roman"/>
          <w:color w:val="auto"/>
          <w:sz w:val="28"/>
          <w:szCs w:val="28"/>
          <w:highlight w:val="none"/>
          <w:u w:val="single"/>
        </w:rPr>
        <w:t xml:space="preserve">年  月   日  </w:t>
      </w:r>
    </w:p>
    <w:p>
      <w:pPr>
        <w:spacing w:line="480" w:lineRule="exact"/>
        <w:ind w:firstLine="1058" w:firstLineChars="378"/>
        <w:rPr>
          <w:rFonts w:hint="eastAsia" w:ascii="仿宋_GB2312" w:hAnsi="Times New Roman" w:eastAsia="仿宋_GB2312" w:cs="Times New Roman"/>
          <w:b/>
          <w:color w:val="auto"/>
          <w:sz w:val="28"/>
          <w:highlight w:val="none"/>
        </w:rPr>
      </w:pPr>
      <w:r>
        <w:rPr>
          <w:rFonts w:hint="eastAsia" w:ascii="仿宋_GB2312" w:hAnsi="仿宋" w:eastAsia="仿宋_GB2312" w:cs="Times New Roman"/>
          <w:color w:val="auto"/>
          <w:sz w:val="28"/>
          <w:szCs w:val="28"/>
          <w:highlight w:val="none"/>
        </w:rPr>
        <w:t xml:space="preserve">  签订地点：</w:t>
      </w:r>
      <w:r>
        <w:rPr>
          <w:rFonts w:hint="eastAsia" w:ascii="仿宋_GB2312" w:hAnsi="仿宋" w:eastAsia="仿宋_GB2312" w:cs="Times New Roman"/>
          <w:color w:val="auto"/>
          <w:sz w:val="28"/>
          <w:szCs w:val="28"/>
          <w:highlight w:val="none"/>
          <w:u w:val="single"/>
        </w:rPr>
        <w:t xml:space="preserve">   </w:t>
      </w:r>
      <w:r>
        <w:rPr>
          <w:rFonts w:hint="eastAsia" w:ascii="方正大标宋简体" w:hAnsi="仿宋" w:eastAsia="方正大标宋简体" w:cs="Times New Roman"/>
          <w:color w:val="auto"/>
          <w:sz w:val="28"/>
          <w:szCs w:val="28"/>
          <w:highlight w:val="none"/>
          <w:u w:val="single"/>
        </w:rPr>
        <w:t xml:space="preserve">广州市黄埔区     </w:t>
      </w:r>
    </w:p>
    <w:p>
      <w:pPr>
        <w:rPr>
          <w:rFonts w:hint="eastAsia" w:ascii="宋体" w:hAnsi="宋体" w:cs="Times New Roman"/>
          <w:color w:val="auto"/>
          <w:kern w:val="0"/>
          <w:highlight w:val="none"/>
        </w:rPr>
      </w:pPr>
    </w:p>
    <w:p>
      <w:pPr>
        <w:snapToGrid w:val="0"/>
        <w:spacing w:line="480" w:lineRule="exact"/>
        <w:jc w:val="center"/>
        <w:rPr>
          <w:rFonts w:hint="eastAsia" w:ascii="宋体" w:hAnsi="宋体" w:cs="Times New Roman"/>
          <w:b/>
          <w:color w:val="auto"/>
          <w:sz w:val="24"/>
          <w:highlight w:val="none"/>
        </w:rPr>
      </w:pPr>
    </w:p>
    <w:p>
      <w:pPr>
        <w:snapToGrid w:val="0"/>
        <w:spacing w:line="480" w:lineRule="exact"/>
        <w:jc w:val="center"/>
        <w:rPr>
          <w:rFonts w:hint="eastAsia" w:ascii="宋体" w:hAnsi="宋体" w:cs="Times New Roman"/>
          <w:b/>
          <w:color w:val="auto"/>
          <w:sz w:val="24"/>
          <w:highlight w:val="none"/>
        </w:rPr>
      </w:pPr>
    </w:p>
    <w:p>
      <w:pPr>
        <w:snapToGrid w:val="0"/>
        <w:spacing w:line="480" w:lineRule="exact"/>
        <w:jc w:val="center"/>
        <w:rPr>
          <w:rFonts w:hint="eastAsia" w:ascii="宋体" w:hAnsi="宋体" w:cs="Times New Roman"/>
          <w:b/>
          <w:color w:val="auto"/>
          <w:sz w:val="24"/>
          <w:highlight w:val="none"/>
        </w:rPr>
      </w:pPr>
      <w:r>
        <w:rPr>
          <w:rFonts w:hint="eastAsia" w:ascii="Times New Roman" w:hAnsi="Times New Roman" w:cs="Times New Roman"/>
          <w:color w:val="auto"/>
          <w:sz w:val="30"/>
          <w:szCs w:val="24"/>
          <w:highlight w:val="none"/>
        </w:rPr>
        <w:drawing>
          <wp:anchor distT="0" distB="0" distL="114300" distR="114300" simplePos="0" relativeHeight="251664384" behindDoc="0" locked="0" layoutInCell="1" allowOverlap="0">
            <wp:simplePos x="0" y="0"/>
            <wp:positionH relativeFrom="column">
              <wp:posOffset>-1087120</wp:posOffset>
            </wp:positionH>
            <wp:positionV relativeFrom="paragraph">
              <wp:posOffset>473075</wp:posOffset>
            </wp:positionV>
            <wp:extent cx="7454900" cy="2474595"/>
            <wp:effectExtent l="0" t="0" r="12700" b="1905"/>
            <wp:wrapSquare wrapText="bothSides"/>
            <wp:docPr id="3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7"/>
                    <pic:cNvPicPr>
                      <a:picLocks noChangeAspect="1"/>
                    </pic:cNvPicPr>
                  </pic:nvPicPr>
                  <pic:blipFill>
                    <a:blip r:embed="rId17"/>
                    <a:stretch>
                      <a:fillRect/>
                    </a:stretch>
                  </pic:blipFill>
                  <pic:spPr>
                    <a:xfrm>
                      <a:off x="0" y="0"/>
                      <a:ext cx="7454900" cy="2474595"/>
                    </a:xfrm>
                    <a:prstGeom prst="rect">
                      <a:avLst/>
                    </a:prstGeom>
                    <a:noFill/>
                    <a:ln>
                      <a:noFill/>
                    </a:ln>
                  </pic:spPr>
                </pic:pic>
              </a:graphicData>
            </a:graphic>
          </wp:anchor>
        </w:drawing>
      </w:r>
    </w:p>
    <w:p>
      <w:pPr>
        <w:snapToGrid w:val="0"/>
        <w:spacing w:line="480" w:lineRule="exact"/>
        <w:rPr>
          <w:rFonts w:hint="eastAsia" w:ascii="宋体" w:hAnsi="宋体"/>
          <w:b/>
          <w:color w:val="auto"/>
          <w:sz w:val="24"/>
          <w:highlight w:val="none"/>
        </w:rPr>
        <w:sectPr>
          <w:headerReference r:id="rId6" w:type="first"/>
          <w:footerReference r:id="rId9" w:type="first"/>
          <w:headerReference r:id="rId4" w:type="default"/>
          <w:footerReference r:id="rId7" w:type="default"/>
          <w:headerReference r:id="rId5" w:type="even"/>
          <w:footerReference r:id="rId8" w:type="even"/>
          <w:pgSz w:w="11906" w:h="16838"/>
          <w:pgMar w:top="1440" w:right="1800" w:bottom="1440" w:left="1180" w:header="851" w:footer="992" w:gutter="0"/>
          <w:cols w:space="720" w:num="1"/>
          <w:docGrid w:type="lines" w:linePitch="312" w:charSpace="0"/>
        </w:sectPr>
      </w:pPr>
    </w:p>
    <w:p>
      <w:pPr>
        <w:snapToGrid w:val="0"/>
        <w:spacing w:line="480" w:lineRule="exact"/>
        <w:rPr>
          <w:rFonts w:hint="eastAsia" w:ascii="宋体" w:hAnsi="宋体" w:cs="Times New Roman"/>
          <w:b/>
          <w:bCs/>
          <w:color w:val="auto"/>
          <w:sz w:val="32"/>
          <w:szCs w:val="32"/>
          <w:highlight w:val="none"/>
        </w:rPr>
      </w:pPr>
      <w:r>
        <w:rPr>
          <w:rFonts w:hint="eastAsia" w:ascii="宋体" w:hAnsi="宋体" w:cs="Times New Roman"/>
          <w:b/>
          <w:color w:val="auto"/>
          <w:sz w:val="32"/>
          <w:szCs w:val="32"/>
          <w:highlight w:val="none"/>
        </w:rPr>
        <w:t xml:space="preserve">                    第一部分   协议书</w:t>
      </w:r>
    </w:p>
    <w:p>
      <w:pPr>
        <w:snapToGrid w:val="0"/>
        <w:spacing w:line="360" w:lineRule="auto"/>
        <w:ind w:firstLine="480"/>
        <w:rPr>
          <w:rFonts w:hint="eastAsia" w:ascii="宋体" w:hAnsi="宋体" w:cs="Times New Roman"/>
          <w:color w:val="auto"/>
          <w:sz w:val="24"/>
          <w:highlight w:val="none"/>
        </w:rPr>
      </w:pPr>
    </w:p>
    <w:p>
      <w:pPr>
        <w:keepNext w:val="0"/>
        <w:keepLines w:val="0"/>
        <w:pageBreakBefore w:val="0"/>
        <w:kinsoku/>
        <w:wordWrap/>
        <w:overflowPunct/>
        <w:topLinePunct w:val="0"/>
        <w:autoSpaceDE/>
        <w:autoSpaceDN/>
        <w:bidi w:val="0"/>
        <w:adjustRightInd/>
        <w:snapToGrid w:val="0"/>
        <w:spacing w:line="440" w:lineRule="exact"/>
        <w:ind w:firstLine="480"/>
        <w:textAlignment w:val="auto"/>
        <w:rPr>
          <w:rFonts w:hint="eastAsia" w:ascii="宋体" w:hAnsi="宋体" w:cs="Times New Roman"/>
          <w:color w:val="auto"/>
          <w:sz w:val="24"/>
          <w:highlight w:val="none"/>
          <w:u w:val="single"/>
        </w:rPr>
      </w:pPr>
      <w:r>
        <w:rPr>
          <w:rFonts w:hint="eastAsia" w:ascii="宋体" w:hAnsi="宋体" w:cs="Times New Roman"/>
          <w:color w:val="auto"/>
          <w:sz w:val="24"/>
          <w:highlight w:val="none"/>
        </w:rPr>
        <w:t>发包人（</w:t>
      </w:r>
      <w:r>
        <w:rPr>
          <w:rFonts w:hint="eastAsia" w:ascii="宋体" w:hAnsi="宋体" w:cs="Times New Roman"/>
          <w:color w:val="auto"/>
          <w:sz w:val="24"/>
          <w:highlight w:val="none"/>
          <w:lang w:eastAsia="zh-CN"/>
        </w:rPr>
        <w:t>甲方</w:t>
      </w:r>
      <w:r>
        <w:rPr>
          <w:rFonts w:hint="eastAsia" w:ascii="宋体" w:hAnsi="宋体" w:cs="Times New Roman"/>
          <w:color w:val="auto"/>
          <w:sz w:val="24"/>
          <w:highlight w:val="none"/>
        </w:rPr>
        <w:t xml:space="preserve">）： </w:t>
      </w:r>
      <w:r>
        <w:rPr>
          <w:rFonts w:hint="eastAsia" w:ascii="宋体" w:hAnsi="宋体" w:cs="Times New Roman"/>
          <w:color w:val="auto"/>
          <w:sz w:val="24"/>
          <w:highlight w:val="none"/>
          <w:u w:val="single"/>
        </w:rPr>
        <w:t>广州开发区财政投资建设项目管理中心</w:t>
      </w:r>
    </w:p>
    <w:p>
      <w:pPr>
        <w:keepNext w:val="0"/>
        <w:keepLines w:val="0"/>
        <w:pageBreakBefore w:val="0"/>
        <w:kinsoku/>
        <w:wordWrap/>
        <w:overflowPunct/>
        <w:topLinePunct w:val="0"/>
        <w:autoSpaceDE/>
        <w:autoSpaceDN/>
        <w:bidi w:val="0"/>
        <w:adjustRightInd/>
        <w:snapToGrid w:val="0"/>
        <w:spacing w:line="440" w:lineRule="exact"/>
        <w:ind w:firstLine="480"/>
        <w:textAlignment w:val="auto"/>
        <w:rPr>
          <w:rFonts w:hint="eastAsia" w:ascii="宋体" w:hAnsi="宋体" w:cs="Times New Roman"/>
          <w:color w:val="auto"/>
          <w:sz w:val="24"/>
          <w:highlight w:val="none"/>
          <w:u w:val="single"/>
        </w:rPr>
      </w:pPr>
      <w:r>
        <w:rPr>
          <w:rFonts w:hint="eastAsia" w:ascii="宋体" w:hAnsi="宋体" w:cs="Times New Roman"/>
          <w:color w:val="auto"/>
          <w:sz w:val="24"/>
          <w:highlight w:val="none"/>
        </w:rPr>
        <w:t>承包人（</w:t>
      </w:r>
      <w:r>
        <w:rPr>
          <w:rFonts w:hint="eastAsia" w:ascii="宋体" w:hAnsi="宋体" w:cs="Times New Roman"/>
          <w:color w:val="auto"/>
          <w:sz w:val="24"/>
          <w:highlight w:val="none"/>
          <w:lang w:eastAsia="zh-CN"/>
        </w:rPr>
        <w:t>乙方</w:t>
      </w:r>
      <w:r>
        <w:rPr>
          <w:rFonts w:hint="eastAsia" w:ascii="宋体" w:hAnsi="宋体" w:cs="Times New Roman"/>
          <w:color w:val="auto"/>
          <w:sz w:val="24"/>
          <w:highlight w:val="none"/>
        </w:rPr>
        <w:t xml:space="preserve">）： </w:t>
      </w:r>
      <w:r>
        <w:rPr>
          <w:rFonts w:hint="eastAsia" w:ascii="宋体" w:hAnsi="宋体" w:cs="Times New Roman"/>
          <w:color w:val="auto"/>
          <w:sz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val="0"/>
        <w:spacing w:line="440" w:lineRule="exact"/>
        <w:ind w:firstLine="480"/>
        <w:jc w:val="both"/>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依照《中华人民共和国民法典》、《中华人民共和国建筑法》及其他有关法律、行政法规，遵循平等、自愿、公平和诚实信用的原则，双方就本建设工程施工事项协商一致，订立本合同。</w:t>
      </w:r>
    </w:p>
    <w:p>
      <w:pPr>
        <w:keepNext w:val="0"/>
        <w:keepLines w:val="0"/>
        <w:pageBreakBefore w:val="0"/>
        <w:kinsoku/>
        <w:wordWrap/>
        <w:overflowPunct/>
        <w:topLinePunct w:val="0"/>
        <w:autoSpaceDE/>
        <w:autoSpaceDN/>
        <w:bidi w:val="0"/>
        <w:adjustRightInd/>
        <w:snapToGrid w:val="0"/>
        <w:spacing w:line="440" w:lineRule="exact"/>
        <w:ind w:firstLine="482" w:firstLineChars="200"/>
        <w:textAlignment w:val="auto"/>
        <w:rPr>
          <w:rFonts w:hint="eastAsia" w:ascii="宋体" w:hAnsi="宋体" w:cs="Times New Roman"/>
          <w:b/>
          <w:bCs/>
          <w:color w:val="auto"/>
          <w:sz w:val="24"/>
          <w:szCs w:val="24"/>
          <w:highlight w:val="none"/>
        </w:rPr>
      </w:pPr>
      <w:r>
        <w:rPr>
          <w:rFonts w:hint="eastAsia" w:ascii="宋体" w:hAnsi="宋体" w:cs="Times New Roman"/>
          <w:b/>
          <w:bCs/>
          <w:color w:val="auto"/>
          <w:sz w:val="24"/>
          <w:highlight w:val="none"/>
        </w:rPr>
        <w:t>一、工程概况</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Times New Roman"/>
          <w:color w:val="auto"/>
          <w:sz w:val="24"/>
          <w:highlight w:val="none"/>
          <w:u w:val="single"/>
        </w:rPr>
      </w:pPr>
      <w:r>
        <w:rPr>
          <w:rFonts w:hint="eastAsia" w:ascii="宋体" w:hAnsi="宋体" w:cs="Times New Roman"/>
          <w:color w:val="auto"/>
          <w:sz w:val="24"/>
          <w:highlight w:val="none"/>
        </w:rPr>
        <w:t>工程名称：</w:t>
      </w:r>
      <w:r>
        <w:rPr>
          <w:rFonts w:hint="eastAsia" w:ascii="宋体" w:hAnsi="宋体" w:cs="Times New Roman"/>
          <w:bCs/>
          <w:color w:val="auto"/>
          <w:sz w:val="24"/>
          <w:highlight w:val="none"/>
          <w:u w:val="single"/>
        </w:rPr>
        <w:t xml:space="preserve">                    </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Times New Roman"/>
          <w:bCs/>
          <w:color w:val="auto"/>
          <w:sz w:val="24"/>
          <w:highlight w:val="none"/>
          <w:u w:val="single"/>
        </w:rPr>
      </w:pPr>
      <w:r>
        <w:rPr>
          <w:rFonts w:hint="eastAsia" w:ascii="宋体" w:hAnsi="宋体" w:cs="Times New Roman"/>
          <w:color w:val="auto"/>
          <w:sz w:val="24"/>
          <w:highlight w:val="none"/>
        </w:rPr>
        <w:t>工程地点：</w:t>
      </w:r>
      <w:r>
        <w:rPr>
          <w:rFonts w:hint="eastAsia" w:ascii="宋体" w:hAnsi="宋体" w:cs="Times New Roman"/>
          <w:bCs/>
          <w:color w:val="auto"/>
          <w:sz w:val="24"/>
          <w:highlight w:val="none"/>
          <w:u w:val="single"/>
        </w:rPr>
        <w:t xml:space="preserve">                    </w:t>
      </w:r>
    </w:p>
    <w:p>
      <w:pPr>
        <w:keepNext w:val="0"/>
        <w:keepLines w:val="0"/>
        <w:pageBreakBefore w:val="0"/>
        <w:widowControl/>
        <w:kinsoku/>
        <w:wordWrap/>
        <w:overflowPunct/>
        <w:topLinePunct w:val="0"/>
        <w:autoSpaceDE/>
        <w:autoSpaceDN/>
        <w:bidi w:val="0"/>
        <w:adjustRightInd/>
        <w:spacing w:line="440" w:lineRule="exact"/>
        <w:ind w:firstLine="573"/>
        <w:jc w:val="left"/>
        <w:textAlignment w:val="auto"/>
        <w:rPr>
          <w:rFonts w:hint="eastAsia" w:ascii="宋体" w:hAnsi="宋体" w:cs="Times New Roman"/>
          <w:color w:val="auto"/>
          <w:sz w:val="24"/>
          <w:highlight w:val="none"/>
        </w:rPr>
      </w:pPr>
      <w:r>
        <w:rPr>
          <w:rFonts w:hint="eastAsia" w:ascii="宋体" w:hAnsi="宋体" w:cs="Times New Roman"/>
          <w:color w:val="auto"/>
          <w:sz w:val="24"/>
          <w:highlight w:val="none"/>
        </w:rPr>
        <w:t>工程内容：</w:t>
      </w:r>
      <w:r>
        <w:rPr>
          <w:rFonts w:hint="eastAsia" w:ascii="宋体" w:hAnsi="宋体" w:cs="Times New Roman"/>
          <w:color w:val="auto"/>
          <w:sz w:val="24"/>
          <w:highlight w:val="none"/>
          <w:u w:val="single"/>
        </w:rPr>
        <w:t xml:space="preserve">                       </w:t>
      </w:r>
      <w:r>
        <w:rPr>
          <w:rFonts w:hint="eastAsia" w:ascii="宋体" w:hAnsi="宋体" w:cs="Times New Roman"/>
          <w:color w:val="auto"/>
          <w:sz w:val="24"/>
          <w:highlight w:val="none"/>
        </w:rPr>
        <w:t>具体内容以施工图纸及工程量清单为准。</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Times New Roman"/>
          <w:color w:val="auto"/>
          <w:sz w:val="24"/>
          <w:highlight w:val="none"/>
        </w:rPr>
      </w:pPr>
      <w:r>
        <w:rPr>
          <w:rFonts w:hint="eastAsia" w:ascii="宋体" w:hAnsi="宋体" w:cs="Times New Roman"/>
          <w:color w:val="auto"/>
          <w:sz w:val="24"/>
          <w:highlight w:val="none"/>
          <w:u w:val="single"/>
        </w:rPr>
        <w:t>建设业主有权根据工程实施情况，对承包人的承包范围和承包工程量进行适当调整</w:t>
      </w:r>
      <w:r>
        <w:rPr>
          <w:rFonts w:hint="eastAsia" w:ascii="宋体" w:hAnsi="宋体" w:cs="Times New Roman"/>
          <w:color w:val="auto"/>
          <w:sz w:val="24"/>
          <w:highlight w:val="none"/>
        </w:rPr>
        <w:t>。</w:t>
      </w:r>
    </w:p>
    <w:p>
      <w:pPr>
        <w:keepNext w:val="0"/>
        <w:keepLines w:val="0"/>
        <w:pageBreakBefore w:val="0"/>
        <w:widowControl/>
        <w:kinsoku/>
        <w:wordWrap/>
        <w:overflowPunct/>
        <w:topLinePunct w:val="0"/>
        <w:autoSpaceDE/>
        <w:autoSpaceDN/>
        <w:bidi w:val="0"/>
        <w:adjustRightInd/>
        <w:spacing w:line="440" w:lineRule="exact"/>
        <w:ind w:firstLine="540" w:firstLineChars="225"/>
        <w:jc w:val="left"/>
        <w:textAlignment w:val="auto"/>
        <w:rPr>
          <w:rFonts w:hint="eastAsia" w:ascii="宋体" w:hAnsi="宋体" w:cs="Times New Roman"/>
          <w:color w:val="auto"/>
          <w:sz w:val="24"/>
          <w:highlight w:val="none"/>
          <w:u w:val="single"/>
        </w:rPr>
      </w:pPr>
      <w:r>
        <w:rPr>
          <w:rFonts w:hint="eastAsia" w:ascii="宋体" w:hAnsi="宋体" w:cs="Times New Roman"/>
          <w:color w:val="auto"/>
          <w:sz w:val="24"/>
          <w:highlight w:val="none"/>
        </w:rPr>
        <w:t>工程立项批准文号：</w:t>
      </w:r>
      <w:r>
        <w:rPr>
          <w:rFonts w:hint="eastAsia" w:ascii="宋体" w:hAnsi="宋体" w:cs="Times New Roman"/>
          <w:color w:val="auto"/>
          <w:sz w:val="24"/>
          <w:highlight w:val="none"/>
          <w:u w:val="single"/>
        </w:rPr>
        <w:t xml:space="preserve">       号  </w:t>
      </w:r>
    </w:p>
    <w:p>
      <w:pPr>
        <w:keepNext w:val="0"/>
        <w:keepLines w:val="0"/>
        <w:pageBreakBefore w:val="0"/>
        <w:kinsoku/>
        <w:wordWrap/>
        <w:overflowPunct/>
        <w:topLinePunct w:val="0"/>
        <w:autoSpaceDE/>
        <w:autoSpaceDN/>
        <w:bidi w:val="0"/>
        <w:adjustRightInd/>
        <w:snapToGrid w:val="0"/>
        <w:spacing w:line="440" w:lineRule="exact"/>
        <w:ind w:firstLine="480"/>
        <w:jc w:val="left"/>
        <w:textAlignment w:val="auto"/>
        <w:rPr>
          <w:rFonts w:hint="eastAsia" w:ascii="宋体" w:hAnsi="宋体" w:cs="Times New Roman"/>
          <w:color w:val="auto"/>
          <w:sz w:val="24"/>
          <w:highlight w:val="none"/>
          <w:u w:val="single"/>
        </w:rPr>
      </w:pPr>
      <w:r>
        <w:rPr>
          <w:rFonts w:hint="eastAsia" w:ascii="宋体" w:hAnsi="宋体" w:cs="Times New Roman"/>
          <w:color w:val="auto"/>
          <w:sz w:val="24"/>
          <w:highlight w:val="none"/>
        </w:rPr>
        <w:t>资金来源：</w:t>
      </w:r>
      <w:r>
        <w:rPr>
          <w:rFonts w:hint="eastAsia" w:ascii="宋体" w:hAnsi="宋体" w:cs="Times New Roman"/>
          <w:color w:val="auto"/>
          <w:sz w:val="24"/>
          <w:highlight w:val="none"/>
          <w:u w:val="single"/>
        </w:rPr>
        <w:t>财政投资</w:t>
      </w:r>
      <w:r>
        <w:rPr>
          <w:rFonts w:hint="eastAsia" w:ascii="宋体" w:hAnsi="宋体" w:cs="Times New Roman"/>
          <w:color w:val="auto"/>
          <w:sz w:val="24"/>
          <w:highlight w:val="none"/>
        </w:rPr>
        <w:t>。</w:t>
      </w:r>
    </w:p>
    <w:p>
      <w:pPr>
        <w:keepNext w:val="0"/>
        <w:keepLines w:val="0"/>
        <w:pageBreakBefore w:val="0"/>
        <w:kinsoku/>
        <w:wordWrap/>
        <w:overflowPunct/>
        <w:topLinePunct w:val="0"/>
        <w:autoSpaceDE/>
        <w:autoSpaceDN/>
        <w:bidi w:val="0"/>
        <w:adjustRightInd/>
        <w:snapToGrid w:val="0"/>
        <w:spacing w:line="440" w:lineRule="exact"/>
        <w:ind w:firstLine="482" w:firstLineChars="200"/>
        <w:textAlignment w:val="auto"/>
        <w:rPr>
          <w:rFonts w:hint="eastAsia" w:ascii="宋体" w:hAnsi="宋体" w:cs="Times New Roman"/>
          <w:b/>
          <w:bCs/>
          <w:color w:val="auto"/>
          <w:sz w:val="24"/>
          <w:highlight w:val="none"/>
        </w:rPr>
      </w:pPr>
      <w:r>
        <w:rPr>
          <w:rFonts w:hint="eastAsia" w:ascii="宋体" w:hAnsi="宋体" w:cs="Times New Roman"/>
          <w:b/>
          <w:bCs/>
          <w:color w:val="auto"/>
          <w:sz w:val="24"/>
          <w:highlight w:val="none"/>
        </w:rPr>
        <w:t>二、工程承包范围及承包方式</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Times New Roman"/>
          <w:color w:val="auto"/>
          <w:sz w:val="24"/>
          <w:highlight w:val="none"/>
        </w:rPr>
      </w:pPr>
      <w:r>
        <w:rPr>
          <w:rFonts w:hint="eastAsia" w:ascii="宋体" w:hAnsi="宋体" w:cs="Times New Roman"/>
          <w:color w:val="auto"/>
          <w:sz w:val="24"/>
          <w:highlight w:val="none"/>
        </w:rPr>
        <w:t>（一）承包范围：</w:t>
      </w:r>
      <w:r>
        <w:rPr>
          <w:rFonts w:hint="eastAsia" w:ascii="宋体" w:hAnsi="宋体" w:cs="Times New Roman"/>
          <w:color w:val="auto"/>
          <w:sz w:val="24"/>
          <w:highlight w:val="none"/>
          <w:u w:val="single"/>
        </w:rPr>
        <w:t>按发包人确认的施工图纸、图纸会审纪录和有关变更文件、资料、招标文件、承包人投标文件以及双方签订的有关协议所包含的内容</w:t>
      </w:r>
      <w:r>
        <w:rPr>
          <w:rFonts w:hint="eastAsia" w:ascii="宋体" w:hAnsi="宋体" w:cs="Times New Roman"/>
          <w:color w:val="auto"/>
          <w:sz w:val="24"/>
          <w:highlight w:val="none"/>
        </w:rPr>
        <w:t>。</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Times New Roman"/>
          <w:color w:val="auto"/>
          <w:sz w:val="24"/>
          <w:highlight w:val="none"/>
          <w:u w:val="single"/>
        </w:rPr>
      </w:pPr>
      <w:r>
        <w:rPr>
          <w:rFonts w:hint="eastAsia" w:ascii="宋体" w:hAnsi="宋体" w:cs="Times New Roman"/>
          <w:color w:val="auto"/>
          <w:sz w:val="24"/>
          <w:highlight w:val="none"/>
        </w:rPr>
        <w:t>（二）承包方式：</w:t>
      </w:r>
      <w:r>
        <w:rPr>
          <w:rFonts w:hint="eastAsia" w:ascii="宋体" w:hAnsi="宋体" w:cs="Times New Roman"/>
          <w:color w:val="auto"/>
          <w:sz w:val="24"/>
          <w:highlight w:val="none"/>
          <w:u w:val="single"/>
        </w:rPr>
        <w:t>包工、包料、包工期、包质量、包安全、包文明施工、包验收、包保修、综合单价包干，</w:t>
      </w:r>
      <w:r>
        <w:rPr>
          <w:rFonts w:hint="default" w:ascii="宋体" w:hAnsi="宋体" w:cs="Times New Roman"/>
          <w:color w:val="auto"/>
          <w:sz w:val="24"/>
          <w:szCs w:val="24"/>
          <w:highlight w:val="none"/>
          <w:u w:val="single"/>
        </w:rPr>
        <w:t>措施项目费（除施工围蔽费用外）</w:t>
      </w:r>
      <w:r>
        <w:rPr>
          <w:rFonts w:hint="default" w:ascii="宋体" w:hAnsi="宋体" w:cs="Times New Roman"/>
          <w:color w:val="auto"/>
          <w:sz w:val="24"/>
          <w:szCs w:val="24"/>
          <w:highlight w:val="none"/>
          <w:u w:val="single"/>
          <w:lang w:eastAsia="zh-CN"/>
        </w:rPr>
        <w:t>包干</w:t>
      </w:r>
      <w:r>
        <w:rPr>
          <w:rFonts w:hint="default" w:ascii="宋体" w:hAnsi="宋体" w:cs="Times New Roman"/>
          <w:color w:val="auto"/>
          <w:sz w:val="24"/>
          <w:szCs w:val="24"/>
          <w:highlight w:val="none"/>
          <w:u w:val="single"/>
        </w:rPr>
        <w:t>，施工围蔽清单综合单价</w:t>
      </w:r>
      <w:r>
        <w:rPr>
          <w:rFonts w:hint="default" w:ascii="宋体" w:hAnsi="宋体" w:cs="Times New Roman"/>
          <w:color w:val="auto"/>
          <w:sz w:val="24"/>
          <w:szCs w:val="24"/>
          <w:highlight w:val="none"/>
          <w:u w:val="single"/>
          <w:lang w:eastAsia="zh-CN"/>
        </w:rPr>
        <w:t>包干</w:t>
      </w:r>
      <w:r>
        <w:rPr>
          <w:rFonts w:hint="default" w:ascii="宋体" w:hAnsi="宋体" w:cs="Times New Roman"/>
          <w:color w:val="auto"/>
          <w:sz w:val="24"/>
          <w:szCs w:val="24"/>
          <w:highlight w:val="none"/>
          <w:u w:val="single"/>
        </w:rPr>
        <w:t>，工程量按实计量</w:t>
      </w:r>
      <w:r>
        <w:rPr>
          <w:rFonts w:hint="eastAsia" w:ascii="宋体" w:hAnsi="宋体" w:cs="Times New Roman"/>
          <w:color w:val="auto"/>
          <w:sz w:val="24"/>
          <w:highlight w:val="none"/>
        </w:rPr>
        <w:t>。</w:t>
      </w:r>
    </w:p>
    <w:p>
      <w:pPr>
        <w:keepNext w:val="0"/>
        <w:keepLines w:val="0"/>
        <w:pageBreakBefore w:val="0"/>
        <w:kinsoku/>
        <w:wordWrap/>
        <w:overflowPunct/>
        <w:topLinePunct w:val="0"/>
        <w:autoSpaceDE/>
        <w:autoSpaceDN/>
        <w:bidi w:val="0"/>
        <w:adjustRightInd/>
        <w:snapToGrid w:val="0"/>
        <w:spacing w:line="440" w:lineRule="exact"/>
        <w:ind w:firstLine="482" w:firstLineChars="200"/>
        <w:textAlignment w:val="auto"/>
        <w:rPr>
          <w:rFonts w:hint="eastAsia" w:ascii="宋体" w:hAnsi="宋体" w:eastAsia="宋体" w:cs="Times New Roman"/>
          <w:b/>
          <w:bCs/>
          <w:color w:val="auto"/>
          <w:sz w:val="24"/>
          <w:highlight w:val="none"/>
          <w:u w:val="single"/>
          <w:lang w:eastAsia="zh-CN"/>
        </w:rPr>
      </w:pPr>
      <w:r>
        <w:rPr>
          <w:rFonts w:hint="eastAsia" w:ascii="宋体" w:hAnsi="宋体" w:cs="Times New Roman"/>
          <w:b/>
          <w:bCs/>
          <w:color w:val="auto"/>
          <w:sz w:val="24"/>
          <w:highlight w:val="none"/>
        </w:rPr>
        <w:t>三、合同工期</w:t>
      </w:r>
    </w:p>
    <w:p>
      <w:pPr>
        <w:keepNext w:val="0"/>
        <w:keepLines w:val="0"/>
        <w:pageBreakBefore w:val="0"/>
        <w:kinsoku/>
        <w:wordWrap/>
        <w:overflowPunct/>
        <w:topLinePunct w:val="0"/>
        <w:autoSpaceDE/>
        <w:autoSpaceDN/>
        <w:bidi w:val="0"/>
        <w:adjustRightInd/>
        <w:snapToGrid w:val="0"/>
        <w:spacing w:line="440" w:lineRule="exact"/>
        <w:ind w:left="480"/>
        <w:textAlignment w:val="auto"/>
        <w:rPr>
          <w:rFonts w:hint="eastAsia" w:ascii="宋体" w:hAnsi="宋体" w:cs="Times New Roman"/>
          <w:color w:val="auto"/>
          <w:sz w:val="24"/>
          <w:highlight w:val="none"/>
          <w:u w:val="single"/>
        </w:rPr>
      </w:pPr>
      <w:r>
        <w:rPr>
          <w:rFonts w:hint="eastAsia" w:ascii="宋体" w:hAnsi="宋体" w:cs="Times New Roman"/>
          <w:color w:val="auto"/>
          <w:sz w:val="24"/>
          <w:highlight w:val="none"/>
        </w:rPr>
        <w:t>暂定开工日期：</w:t>
      </w:r>
      <w:r>
        <w:rPr>
          <w:rFonts w:hint="eastAsia" w:ascii="宋体" w:hAnsi="宋体" w:cs="Times New Roman"/>
          <w:color w:val="auto"/>
          <w:sz w:val="24"/>
          <w:highlight w:val="none"/>
          <w:u w:val="single"/>
        </w:rPr>
        <w:t xml:space="preserve">  </w:t>
      </w:r>
      <w:r>
        <w:rPr>
          <w:rFonts w:hint="eastAsia" w:ascii="宋体" w:hAnsi="宋体" w:cs="Times New Roman"/>
          <w:color w:val="auto"/>
          <w:sz w:val="24"/>
          <w:highlight w:val="none"/>
        </w:rPr>
        <w:t>年</w:t>
      </w:r>
      <w:r>
        <w:rPr>
          <w:rFonts w:hint="eastAsia" w:ascii="宋体" w:hAnsi="宋体" w:cs="Times New Roman"/>
          <w:color w:val="auto"/>
          <w:sz w:val="24"/>
          <w:highlight w:val="none"/>
          <w:u w:val="single"/>
        </w:rPr>
        <w:t xml:space="preserve">  </w:t>
      </w:r>
      <w:r>
        <w:rPr>
          <w:rFonts w:hint="eastAsia" w:ascii="宋体" w:hAnsi="宋体" w:cs="Times New Roman"/>
          <w:color w:val="auto"/>
          <w:sz w:val="24"/>
          <w:highlight w:val="none"/>
        </w:rPr>
        <w:t>月</w:t>
      </w:r>
      <w:r>
        <w:rPr>
          <w:rFonts w:hint="eastAsia" w:ascii="宋体" w:hAnsi="宋体" w:cs="Times New Roman"/>
          <w:color w:val="auto"/>
          <w:sz w:val="24"/>
          <w:highlight w:val="none"/>
          <w:u w:val="single"/>
        </w:rPr>
        <w:t xml:space="preserve">   </w:t>
      </w:r>
      <w:r>
        <w:rPr>
          <w:rFonts w:hint="eastAsia" w:ascii="宋体" w:hAnsi="宋体" w:cs="Times New Roman"/>
          <w:color w:val="auto"/>
          <w:sz w:val="24"/>
          <w:highlight w:val="none"/>
        </w:rPr>
        <w:t>日</w:t>
      </w:r>
    </w:p>
    <w:p>
      <w:pPr>
        <w:keepNext w:val="0"/>
        <w:keepLines w:val="0"/>
        <w:pageBreakBefore w:val="0"/>
        <w:kinsoku/>
        <w:wordWrap/>
        <w:overflowPunct/>
        <w:topLinePunct w:val="0"/>
        <w:autoSpaceDE/>
        <w:autoSpaceDN/>
        <w:bidi w:val="0"/>
        <w:adjustRightInd/>
        <w:snapToGrid w:val="0"/>
        <w:spacing w:line="440" w:lineRule="exact"/>
        <w:ind w:left="480"/>
        <w:textAlignment w:val="auto"/>
        <w:rPr>
          <w:rFonts w:hint="eastAsia" w:ascii="宋体" w:hAnsi="宋体" w:cs="Times New Roman"/>
          <w:color w:val="auto"/>
          <w:sz w:val="24"/>
          <w:highlight w:val="none"/>
          <w:u w:val="single"/>
        </w:rPr>
      </w:pPr>
      <w:r>
        <w:rPr>
          <w:rFonts w:hint="eastAsia" w:ascii="宋体" w:hAnsi="宋体" w:cs="Times New Roman"/>
          <w:color w:val="auto"/>
          <w:sz w:val="24"/>
          <w:highlight w:val="none"/>
        </w:rPr>
        <w:t>暂定</w:t>
      </w:r>
      <w:r>
        <w:rPr>
          <w:rFonts w:hint="eastAsia" w:ascii="宋体" w:hAnsi="宋体" w:cs="Times New Roman"/>
          <w:color w:val="auto"/>
          <w:sz w:val="24"/>
          <w:highlight w:val="none"/>
          <w:lang w:eastAsia="zh-CN"/>
        </w:rPr>
        <w:t>完工</w:t>
      </w:r>
      <w:r>
        <w:rPr>
          <w:rFonts w:hint="eastAsia" w:ascii="宋体" w:hAnsi="宋体" w:cs="Times New Roman"/>
          <w:color w:val="auto"/>
          <w:sz w:val="24"/>
          <w:highlight w:val="none"/>
        </w:rPr>
        <w:t>日期：</w:t>
      </w:r>
      <w:r>
        <w:rPr>
          <w:rFonts w:hint="eastAsia" w:ascii="宋体" w:hAnsi="宋体" w:cs="Times New Roman"/>
          <w:color w:val="auto"/>
          <w:sz w:val="24"/>
          <w:highlight w:val="none"/>
          <w:u w:val="single"/>
        </w:rPr>
        <w:t xml:space="preserve">    </w:t>
      </w:r>
      <w:r>
        <w:rPr>
          <w:rFonts w:hint="eastAsia" w:ascii="宋体" w:hAnsi="宋体" w:cs="Times New Roman"/>
          <w:color w:val="auto"/>
          <w:sz w:val="24"/>
          <w:highlight w:val="none"/>
        </w:rPr>
        <w:t>年</w:t>
      </w:r>
      <w:r>
        <w:rPr>
          <w:rFonts w:hint="eastAsia" w:ascii="宋体" w:hAnsi="宋体" w:cs="Times New Roman"/>
          <w:color w:val="auto"/>
          <w:sz w:val="24"/>
          <w:highlight w:val="none"/>
          <w:u w:val="single"/>
        </w:rPr>
        <w:t xml:space="preserve">  </w:t>
      </w:r>
      <w:r>
        <w:rPr>
          <w:rFonts w:hint="eastAsia" w:ascii="宋体" w:hAnsi="宋体" w:cs="Times New Roman"/>
          <w:color w:val="auto"/>
          <w:sz w:val="24"/>
          <w:highlight w:val="none"/>
        </w:rPr>
        <w:t>月</w:t>
      </w:r>
      <w:r>
        <w:rPr>
          <w:rFonts w:hint="eastAsia" w:ascii="宋体" w:hAnsi="宋体" w:cs="Times New Roman"/>
          <w:color w:val="auto"/>
          <w:sz w:val="24"/>
          <w:highlight w:val="none"/>
          <w:u w:val="single"/>
        </w:rPr>
        <w:t xml:space="preserve">  </w:t>
      </w:r>
      <w:r>
        <w:rPr>
          <w:rFonts w:hint="eastAsia" w:ascii="宋体" w:hAnsi="宋体" w:cs="Times New Roman"/>
          <w:color w:val="auto"/>
          <w:sz w:val="24"/>
          <w:highlight w:val="none"/>
        </w:rPr>
        <w:t>日</w:t>
      </w:r>
    </w:p>
    <w:p>
      <w:pPr>
        <w:keepNext w:val="0"/>
        <w:keepLines w:val="0"/>
        <w:pageBreakBefore w:val="0"/>
        <w:kinsoku/>
        <w:wordWrap/>
        <w:overflowPunct/>
        <w:topLinePunct w:val="0"/>
        <w:autoSpaceDE/>
        <w:autoSpaceDN/>
        <w:bidi w:val="0"/>
        <w:adjustRightInd/>
        <w:snapToGrid w:val="0"/>
        <w:spacing w:line="440" w:lineRule="exact"/>
        <w:ind w:left="480"/>
        <w:textAlignment w:val="auto"/>
        <w:rPr>
          <w:rFonts w:hint="eastAsia" w:ascii="宋体" w:hAnsi="宋体" w:cs="Times New Roman"/>
          <w:color w:val="auto"/>
          <w:sz w:val="24"/>
          <w:highlight w:val="none"/>
        </w:rPr>
      </w:pPr>
      <w:r>
        <w:rPr>
          <w:rFonts w:hint="eastAsia" w:ascii="宋体" w:hAnsi="宋体" w:cs="Times New Roman"/>
          <w:color w:val="auto"/>
          <w:sz w:val="24"/>
          <w:highlight w:val="none"/>
        </w:rPr>
        <w:t>合同工期为</w:t>
      </w:r>
      <w:r>
        <w:rPr>
          <w:rFonts w:hint="eastAsia" w:ascii="宋体" w:hAnsi="宋体" w:cs="Times New Roman"/>
          <w:color w:val="auto"/>
          <w:sz w:val="24"/>
          <w:highlight w:val="none"/>
          <w:u w:val="single"/>
        </w:rPr>
        <w:t xml:space="preserve">  </w:t>
      </w:r>
      <w:r>
        <w:rPr>
          <w:rFonts w:hint="eastAsia" w:ascii="宋体" w:hAnsi="宋体" w:cs="Times New Roman"/>
          <w:color w:val="auto"/>
          <w:sz w:val="24"/>
          <w:highlight w:val="none"/>
        </w:rPr>
        <w:t>日历天。实际开工日期以批准的开工报告为准。</w:t>
      </w:r>
    </w:p>
    <w:p>
      <w:pPr>
        <w:keepNext w:val="0"/>
        <w:keepLines w:val="0"/>
        <w:pageBreakBefore w:val="0"/>
        <w:kinsoku/>
        <w:wordWrap/>
        <w:overflowPunct/>
        <w:topLinePunct w:val="0"/>
        <w:autoSpaceDE/>
        <w:autoSpaceDN/>
        <w:bidi w:val="0"/>
        <w:adjustRightInd/>
        <w:snapToGrid w:val="0"/>
        <w:spacing w:line="440" w:lineRule="exact"/>
        <w:ind w:firstLine="482" w:firstLineChars="200"/>
        <w:textAlignment w:val="auto"/>
        <w:rPr>
          <w:rFonts w:hint="eastAsia" w:ascii="宋体" w:hAnsi="宋体" w:cs="Times New Roman"/>
          <w:b/>
          <w:bCs/>
          <w:color w:val="auto"/>
          <w:sz w:val="24"/>
          <w:highlight w:val="none"/>
        </w:rPr>
      </w:pPr>
      <w:r>
        <w:rPr>
          <w:rFonts w:hint="eastAsia" w:ascii="宋体" w:hAnsi="宋体" w:cs="Times New Roman"/>
          <w:b/>
          <w:bCs/>
          <w:color w:val="auto"/>
          <w:sz w:val="24"/>
          <w:highlight w:val="none"/>
        </w:rPr>
        <w:t>四、质量标准</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eastAsia="宋体" w:cs="Times New Roman"/>
          <w:color w:val="auto"/>
          <w:kern w:val="0"/>
          <w:sz w:val="24"/>
          <w:szCs w:val="20"/>
          <w:highlight w:val="none"/>
          <w:lang w:val="en-US" w:eastAsia="zh-CN" w:bidi="ar-SA"/>
        </w:rPr>
      </w:pPr>
      <w:r>
        <w:rPr>
          <w:rFonts w:hint="eastAsia" w:ascii="宋体" w:hAnsi="宋体" w:eastAsia="宋体" w:cs="Times New Roman"/>
          <w:color w:val="auto"/>
          <w:kern w:val="0"/>
          <w:sz w:val="24"/>
          <w:szCs w:val="20"/>
          <w:highlight w:val="none"/>
          <w:lang w:val="en-US" w:eastAsia="zh-CN" w:bidi="ar-SA"/>
        </w:rPr>
        <w:t>施工要求：符合设计图纸要求和国家、省、市相关法律法规规定要求及行业工程质量标准，</w:t>
      </w:r>
      <w:r>
        <w:rPr>
          <w:rFonts w:hint="eastAsia" w:ascii="宋体" w:hAnsi="宋体" w:eastAsia="宋体" w:cs="Times New Roman"/>
          <w:color w:val="auto"/>
          <w:kern w:val="0"/>
          <w:sz w:val="24"/>
          <w:szCs w:val="20"/>
          <w:highlight w:val="none"/>
          <w:u w:val="single" w:color="auto"/>
          <w:lang w:val="en-US" w:eastAsia="zh-CN" w:bidi="ar-SA"/>
        </w:rPr>
        <w:t>且达到投标承诺的       标准</w:t>
      </w:r>
      <w:r>
        <w:rPr>
          <w:rFonts w:hint="eastAsia" w:ascii="宋体" w:hAnsi="宋体" w:eastAsia="宋体" w:cs="Times New Roman"/>
          <w:color w:val="auto"/>
          <w:kern w:val="0"/>
          <w:sz w:val="24"/>
          <w:szCs w:val="20"/>
          <w:highlight w:val="none"/>
          <w:lang w:val="en-US" w:eastAsia="zh-CN" w:bidi="ar-SA"/>
        </w:rPr>
        <w:t>。</w:t>
      </w:r>
    </w:p>
    <w:p>
      <w:pPr>
        <w:keepNext w:val="0"/>
        <w:keepLines w:val="0"/>
        <w:pageBreakBefore w:val="0"/>
        <w:kinsoku/>
        <w:wordWrap/>
        <w:overflowPunct/>
        <w:topLinePunct w:val="0"/>
        <w:autoSpaceDE/>
        <w:autoSpaceDN/>
        <w:bidi w:val="0"/>
        <w:adjustRightInd/>
        <w:spacing w:line="440" w:lineRule="exact"/>
        <w:ind w:firstLine="480" w:firstLineChars="200"/>
        <w:textAlignment w:val="auto"/>
        <w:rPr>
          <w:rFonts w:ascii="宋体" w:hAnsi="宋体" w:cs="Times New Roman"/>
          <w:color w:val="auto"/>
          <w:kern w:val="0"/>
          <w:sz w:val="24"/>
          <w:szCs w:val="20"/>
          <w:highlight w:val="none"/>
          <w:u w:val="single"/>
        </w:rPr>
      </w:pPr>
      <w:r>
        <w:rPr>
          <w:rFonts w:hint="eastAsia" w:ascii="宋体" w:hAnsi="宋体" w:cs="Times New Roman"/>
          <w:color w:val="auto"/>
          <w:kern w:val="0"/>
          <w:sz w:val="24"/>
          <w:szCs w:val="20"/>
          <w:highlight w:val="none"/>
        </w:rPr>
        <w:t>工程质量标准：</w:t>
      </w:r>
      <w:r>
        <w:rPr>
          <w:rFonts w:hint="eastAsia" w:ascii="宋体" w:hAnsi="宋体" w:cs="Times New Roman"/>
          <w:color w:val="auto"/>
          <w:kern w:val="0"/>
          <w:sz w:val="24"/>
          <w:szCs w:val="20"/>
          <w:highlight w:val="none"/>
          <w:lang w:eastAsia="zh-CN"/>
        </w:rPr>
        <w:t>合格，</w:t>
      </w:r>
      <w:r>
        <w:rPr>
          <w:rFonts w:hint="eastAsia" w:ascii="宋体" w:hAnsi="宋体" w:cs="Times New Roman"/>
          <w:color w:val="auto"/>
          <w:kern w:val="0"/>
          <w:sz w:val="24"/>
          <w:szCs w:val="20"/>
          <w:highlight w:val="none"/>
          <w:u w:val="single" w:color="auto"/>
          <w:lang w:eastAsia="zh-CN"/>
        </w:rPr>
        <w:t>且达到</w:t>
      </w:r>
      <w:r>
        <w:rPr>
          <w:rFonts w:hint="eastAsia" w:ascii="宋体" w:hAnsi="宋体" w:eastAsia="宋体" w:cs="Times New Roman"/>
          <w:color w:val="auto"/>
          <w:kern w:val="0"/>
          <w:sz w:val="24"/>
          <w:szCs w:val="20"/>
          <w:highlight w:val="none"/>
          <w:u w:val="single" w:color="auto"/>
          <w:lang w:val="en-US" w:eastAsia="zh-CN"/>
        </w:rPr>
        <w:t xml:space="preserve">投标承诺的    </w:t>
      </w:r>
      <w:r>
        <w:rPr>
          <w:rFonts w:hint="eastAsia" w:ascii="宋体" w:hAnsi="宋体" w:cs="Times New Roman"/>
          <w:color w:val="auto"/>
          <w:kern w:val="0"/>
          <w:sz w:val="24"/>
          <w:szCs w:val="20"/>
          <w:highlight w:val="none"/>
          <w:u w:val="single" w:color="auto"/>
          <w:lang w:eastAsia="zh-CN"/>
        </w:rPr>
        <w:t>标准</w:t>
      </w:r>
      <w:r>
        <w:rPr>
          <w:rFonts w:hint="eastAsia" w:ascii="宋体" w:hAnsi="宋体" w:cs="Times New Roman"/>
          <w:color w:val="auto"/>
          <w:kern w:val="0"/>
          <w:sz w:val="24"/>
          <w:szCs w:val="20"/>
          <w:highlight w:val="none"/>
          <w:u w:val="single" w:color="auto"/>
        </w:rPr>
        <w:t>。</w:t>
      </w:r>
    </w:p>
    <w:p>
      <w:pPr>
        <w:keepNext w:val="0"/>
        <w:keepLines w:val="0"/>
        <w:pageBreakBefore w:val="0"/>
        <w:kinsoku/>
        <w:wordWrap/>
        <w:overflowPunct/>
        <w:topLinePunct w:val="0"/>
        <w:autoSpaceDE/>
        <w:autoSpaceDN/>
        <w:bidi w:val="0"/>
        <w:adjustRightInd/>
        <w:snapToGrid w:val="0"/>
        <w:spacing w:line="440" w:lineRule="exact"/>
        <w:ind w:firstLine="482" w:firstLineChars="200"/>
        <w:textAlignment w:val="auto"/>
        <w:rPr>
          <w:rFonts w:hint="eastAsia" w:ascii="宋体" w:hAnsi="宋体" w:cs="Times New Roman"/>
          <w:b/>
          <w:bCs/>
          <w:color w:val="auto"/>
          <w:sz w:val="24"/>
          <w:highlight w:val="none"/>
        </w:rPr>
      </w:pPr>
      <w:r>
        <w:rPr>
          <w:rFonts w:hint="eastAsia" w:ascii="宋体" w:hAnsi="宋体" w:cs="Times New Roman"/>
          <w:b/>
          <w:bCs/>
          <w:color w:val="auto"/>
          <w:sz w:val="24"/>
          <w:highlight w:val="none"/>
        </w:rPr>
        <w:t>五、合同价款</w:t>
      </w:r>
    </w:p>
    <w:p>
      <w:pPr>
        <w:keepNext w:val="0"/>
        <w:keepLines w:val="0"/>
        <w:pageBreakBefore w:val="0"/>
        <w:kinsoku/>
        <w:wordWrap/>
        <w:overflowPunct/>
        <w:topLinePunct w:val="0"/>
        <w:autoSpaceDE/>
        <w:autoSpaceDN/>
        <w:bidi w:val="0"/>
        <w:adjustRightInd/>
        <w:spacing w:line="440" w:lineRule="exact"/>
        <w:ind w:firstLine="480" w:firstLineChars="200"/>
        <w:textAlignment w:val="auto"/>
        <w:rPr>
          <w:rFonts w:ascii="宋体" w:hAnsi="宋体" w:cs="Times New Roman"/>
          <w:bCs/>
          <w:snapToGrid w:val="0"/>
          <w:color w:val="auto"/>
          <w:kern w:val="0"/>
          <w:sz w:val="24"/>
          <w:highlight w:val="none"/>
        </w:rPr>
      </w:pPr>
      <w:r>
        <w:rPr>
          <w:rFonts w:hint="eastAsia" w:ascii="宋体" w:hAnsi="宋体" w:cs="Times New Roman"/>
          <w:bCs/>
          <w:snapToGrid w:val="0"/>
          <w:color w:val="auto"/>
          <w:kern w:val="0"/>
          <w:sz w:val="24"/>
          <w:highlight w:val="none"/>
        </w:rPr>
        <w:t>合同价款暂定为￥</w:t>
      </w:r>
      <w:r>
        <w:rPr>
          <w:rFonts w:ascii="宋体" w:hAnsi="宋体" w:cs="Times New Roman"/>
          <w:bCs/>
          <w:snapToGrid w:val="0"/>
          <w:color w:val="auto"/>
          <w:kern w:val="0"/>
          <w:sz w:val="24"/>
          <w:highlight w:val="none"/>
          <w:u w:val="single"/>
        </w:rPr>
        <w:t xml:space="preserve">             </w:t>
      </w:r>
      <w:r>
        <w:rPr>
          <w:rFonts w:hint="eastAsia" w:ascii="宋体" w:hAnsi="宋体" w:cs="Times New Roman"/>
          <w:bCs/>
          <w:snapToGrid w:val="0"/>
          <w:color w:val="auto"/>
          <w:kern w:val="0"/>
          <w:sz w:val="24"/>
          <w:highlight w:val="none"/>
        </w:rPr>
        <w:t>元（大写：人民币</w:t>
      </w:r>
      <w:r>
        <w:rPr>
          <w:rFonts w:ascii="宋体" w:hAnsi="宋体" w:cs="Times New Roman"/>
          <w:bCs/>
          <w:snapToGrid w:val="0"/>
          <w:color w:val="auto"/>
          <w:kern w:val="0"/>
          <w:sz w:val="24"/>
          <w:highlight w:val="none"/>
          <w:u w:val="single"/>
        </w:rPr>
        <w:t xml:space="preserve">             </w:t>
      </w:r>
      <w:r>
        <w:rPr>
          <w:rFonts w:hint="eastAsia" w:ascii="宋体" w:hAnsi="宋体" w:cs="Times New Roman"/>
          <w:bCs/>
          <w:snapToGrid w:val="0"/>
          <w:color w:val="auto"/>
          <w:kern w:val="0"/>
          <w:sz w:val="24"/>
          <w:highlight w:val="none"/>
        </w:rPr>
        <w:t>），其中</w:t>
      </w:r>
      <w:r>
        <w:rPr>
          <w:rFonts w:hint="eastAsia" w:ascii="宋体" w:hAnsi="宋体" w:cs="Times New Roman"/>
          <w:bCs/>
          <w:snapToGrid w:val="0"/>
          <w:color w:val="auto"/>
          <w:kern w:val="0"/>
          <w:sz w:val="24"/>
          <w:highlight w:val="none"/>
          <w:lang w:eastAsia="zh-CN"/>
        </w:rPr>
        <w:t>安全生产措施费为</w:t>
      </w:r>
      <w:r>
        <w:rPr>
          <w:rFonts w:hint="eastAsia" w:ascii="宋体" w:hAnsi="宋体" w:cs="Times New Roman"/>
          <w:bCs/>
          <w:snapToGrid w:val="0"/>
          <w:color w:val="auto"/>
          <w:kern w:val="0"/>
          <w:sz w:val="24"/>
          <w:highlight w:val="none"/>
          <w:u w:val="single"/>
        </w:rPr>
        <w:t xml:space="preserve">    </w:t>
      </w:r>
      <w:r>
        <w:rPr>
          <w:rFonts w:hint="eastAsia" w:ascii="宋体" w:hAnsi="宋体" w:cs="Times New Roman"/>
          <w:bCs/>
          <w:snapToGrid w:val="0"/>
          <w:color w:val="auto"/>
          <w:kern w:val="0"/>
          <w:sz w:val="24"/>
          <w:highlight w:val="none"/>
        </w:rPr>
        <w:t>元</w:t>
      </w:r>
      <w:r>
        <w:rPr>
          <w:rFonts w:hint="eastAsia" w:ascii="宋体" w:hAnsi="宋体" w:cs="Times New Roman"/>
          <w:bCs/>
          <w:snapToGrid w:val="0"/>
          <w:color w:val="auto"/>
          <w:kern w:val="0"/>
          <w:sz w:val="24"/>
          <w:highlight w:val="none"/>
          <w:lang w:eastAsia="zh-CN"/>
        </w:rPr>
        <w:t>、暂列金额为</w:t>
      </w:r>
      <w:r>
        <w:rPr>
          <w:rFonts w:hint="eastAsia" w:ascii="宋体" w:hAnsi="宋体" w:cs="Times New Roman"/>
          <w:bCs/>
          <w:snapToGrid w:val="0"/>
          <w:color w:val="auto"/>
          <w:kern w:val="0"/>
          <w:sz w:val="24"/>
          <w:highlight w:val="none"/>
          <w:u w:val="single"/>
          <w:lang w:val="en-US" w:eastAsia="zh-CN"/>
        </w:rPr>
        <w:t xml:space="preserve">       </w:t>
      </w:r>
      <w:r>
        <w:rPr>
          <w:rFonts w:hint="eastAsia" w:ascii="宋体" w:hAnsi="宋体" w:cs="Times New Roman"/>
          <w:bCs/>
          <w:snapToGrid w:val="0"/>
          <w:color w:val="auto"/>
          <w:kern w:val="0"/>
          <w:sz w:val="24"/>
          <w:highlight w:val="none"/>
          <w:lang w:val="en-US" w:eastAsia="zh-CN"/>
        </w:rPr>
        <w:t>元，</w:t>
      </w:r>
      <w:r>
        <w:rPr>
          <w:rFonts w:hint="eastAsia" w:ascii="宋体" w:hAnsi="宋体" w:cs="Times New Roman"/>
          <w:bCs/>
          <w:snapToGrid w:val="0"/>
          <w:color w:val="auto"/>
          <w:kern w:val="0"/>
          <w:sz w:val="24"/>
          <w:highlight w:val="none"/>
        </w:rPr>
        <w:t>人工费</w:t>
      </w:r>
      <w:r>
        <w:rPr>
          <w:rFonts w:hint="eastAsia" w:ascii="宋体" w:hAnsi="宋体" w:cs="Times New Roman"/>
          <w:bCs/>
          <w:snapToGrid w:val="0"/>
          <w:color w:val="auto"/>
          <w:kern w:val="0"/>
          <w:sz w:val="24"/>
          <w:highlight w:val="none"/>
          <w:u w:val="single"/>
        </w:rPr>
        <w:t xml:space="preserve">    </w:t>
      </w:r>
      <w:r>
        <w:rPr>
          <w:rFonts w:hint="eastAsia" w:ascii="宋体" w:hAnsi="宋体" w:cs="Times New Roman"/>
          <w:bCs/>
          <w:snapToGrid w:val="0"/>
          <w:color w:val="auto"/>
          <w:kern w:val="0"/>
          <w:sz w:val="24"/>
          <w:highlight w:val="none"/>
        </w:rPr>
        <w:t>元</w:t>
      </w:r>
      <w:r>
        <w:rPr>
          <w:rFonts w:hint="eastAsia" w:ascii="宋体" w:hAnsi="宋体" w:cs="Times New Roman"/>
          <w:bCs/>
          <w:snapToGrid w:val="0"/>
          <w:color w:val="auto"/>
          <w:kern w:val="0"/>
          <w:sz w:val="24"/>
          <w:highlight w:val="none"/>
          <w:lang w:eastAsia="zh-CN"/>
        </w:rPr>
        <w:t>，工人工资比例为</w:t>
      </w:r>
      <w:r>
        <w:rPr>
          <w:rFonts w:hint="eastAsia" w:ascii="宋体" w:hAnsi="宋体" w:cs="Times New Roman"/>
          <w:bCs/>
          <w:snapToGrid w:val="0"/>
          <w:color w:val="auto"/>
          <w:kern w:val="0"/>
          <w:sz w:val="24"/>
          <w:highlight w:val="none"/>
          <w:u w:val="single"/>
          <w:lang w:val="en-US" w:eastAsia="zh-CN"/>
        </w:rPr>
        <w:t xml:space="preserve">      </w:t>
      </w:r>
      <w:r>
        <w:rPr>
          <w:rFonts w:hint="eastAsia" w:ascii="宋体" w:hAnsi="宋体" w:cs="Times New Roman"/>
          <w:bCs/>
          <w:snapToGrid w:val="0"/>
          <w:color w:val="auto"/>
          <w:kern w:val="0"/>
          <w:sz w:val="24"/>
          <w:highlight w:val="none"/>
        </w:rPr>
        <w:t>。</w:t>
      </w:r>
    </w:p>
    <w:p>
      <w:pPr>
        <w:keepNext w:val="0"/>
        <w:keepLines w:val="0"/>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cs="Times New Roman"/>
          <w:bCs/>
          <w:snapToGrid w:val="0"/>
          <w:color w:val="auto"/>
          <w:kern w:val="0"/>
          <w:sz w:val="24"/>
          <w:highlight w:val="none"/>
        </w:rPr>
      </w:pPr>
      <w:r>
        <w:rPr>
          <w:rFonts w:hint="eastAsia" w:ascii="宋体" w:hAnsi="宋体" w:cs="Times New Roman"/>
          <w:bCs/>
          <w:snapToGrid w:val="0"/>
          <w:color w:val="auto"/>
          <w:kern w:val="0"/>
          <w:sz w:val="24"/>
          <w:highlight w:val="none"/>
          <w:u w:val="single"/>
        </w:rPr>
        <w:t>工程结算价款以广州开发区财政局审定结算为准</w:t>
      </w:r>
      <w:r>
        <w:rPr>
          <w:rFonts w:hint="eastAsia" w:ascii="宋体" w:hAnsi="宋体" w:cs="Times New Roman"/>
          <w:bCs/>
          <w:snapToGrid w:val="0"/>
          <w:color w:val="auto"/>
          <w:kern w:val="0"/>
          <w:sz w:val="24"/>
          <w:highlight w:val="none"/>
        </w:rPr>
        <w:t>。</w:t>
      </w:r>
      <w:r>
        <w:rPr>
          <w:rFonts w:hint="eastAsia" w:ascii="宋体" w:hAnsi="宋体" w:eastAsia="宋体" w:cs="Times New Roman"/>
          <w:b w:val="0"/>
          <w:bCs/>
          <w:i w:val="0"/>
          <w:iCs w:val="0"/>
          <w:caps w:val="0"/>
          <w:snapToGrid w:val="0"/>
          <w:color w:val="auto"/>
          <w:spacing w:val="0"/>
          <w:kern w:val="0"/>
          <w:sz w:val="24"/>
          <w:szCs w:val="24"/>
          <w:highlight w:val="none"/>
          <w:shd w:val="clear" w:color="auto" w:fill="auto"/>
        </w:rPr>
        <w:t>如遇审计部门审计发现本合同结算价款存在超付的情形，发包人有权据实要求承包人返还该部分款项</w:t>
      </w:r>
      <w:r>
        <w:rPr>
          <w:rFonts w:hint="eastAsia" w:ascii="宋体" w:hAnsi="宋体" w:eastAsia="宋体" w:cs="Times New Roman"/>
          <w:b w:val="0"/>
          <w:bCs/>
          <w:i w:val="0"/>
          <w:iCs w:val="0"/>
          <w:caps w:val="0"/>
          <w:snapToGrid w:val="0"/>
          <w:color w:val="auto"/>
          <w:spacing w:val="0"/>
          <w:kern w:val="0"/>
          <w:sz w:val="24"/>
          <w:szCs w:val="24"/>
          <w:highlight w:val="none"/>
          <w:shd w:val="clear" w:color="auto" w:fill="auto"/>
          <w:lang w:eastAsia="zh-CN"/>
        </w:rPr>
        <w:t>。</w:t>
      </w:r>
    </w:p>
    <w:p>
      <w:pPr>
        <w:keepNext w:val="0"/>
        <w:keepLines w:val="0"/>
        <w:pageBreakBefore w:val="0"/>
        <w:kinsoku/>
        <w:wordWrap/>
        <w:overflowPunct/>
        <w:topLinePunct w:val="0"/>
        <w:autoSpaceDE/>
        <w:autoSpaceDN/>
        <w:bidi w:val="0"/>
        <w:adjustRightInd/>
        <w:snapToGrid w:val="0"/>
        <w:spacing w:line="440" w:lineRule="exact"/>
        <w:ind w:firstLine="482" w:firstLineChars="200"/>
        <w:textAlignment w:val="auto"/>
        <w:rPr>
          <w:rFonts w:hint="eastAsia" w:ascii="宋体" w:hAnsi="宋体" w:cs="Times New Roman"/>
          <w:b/>
          <w:bCs/>
          <w:color w:val="auto"/>
          <w:sz w:val="24"/>
          <w:highlight w:val="none"/>
        </w:rPr>
      </w:pPr>
      <w:r>
        <w:rPr>
          <w:rFonts w:hint="eastAsia" w:ascii="宋体" w:hAnsi="宋体" w:cs="Times New Roman"/>
          <w:b/>
          <w:bCs/>
          <w:color w:val="auto"/>
          <w:sz w:val="24"/>
          <w:highlight w:val="none"/>
        </w:rPr>
        <w:t>六、组成合同的文件</w:t>
      </w:r>
    </w:p>
    <w:p>
      <w:pPr>
        <w:keepNext w:val="0"/>
        <w:keepLines w:val="0"/>
        <w:pageBreakBefore w:val="0"/>
        <w:kinsoku/>
        <w:wordWrap/>
        <w:overflowPunct/>
        <w:topLinePunct w:val="0"/>
        <w:autoSpaceDE/>
        <w:autoSpaceDN/>
        <w:bidi w:val="0"/>
        <w:adjustRightInd/>
        <w:spacing w:line="440" w:lineRule="exact"/>
        <w:ind w:firstLine="444" w:firstLineChars="185"/>
        <w:textAlignment w:val="auto"/>
        <w:rPr>
          <w:rFonts w:hint="eastAsia" w:ascii="宋体" w:hAnsi="宋体" w:cs="Times New Roman"/>
          <w:color w:val="auto"/>
          <w:sz w:val="24"/>
          <w:highlight w:val="none"/>
        </w:rPr>
      </w:pPr>
      <w:r>
        <w:rPr>
          <w:rFonts w:hint="eastAsia" w:ascii="宋体" w:hAnsi="宋体" w:cs="Times New Roman"/>
          <w:color w:val="auto"/>
          <w:sz w:val="24"/>
          <w:highlight w:val="none"/>
        </w:rPr>
        <w:t>组成本合同的文件包括：</w:t>
      </w:r>
    </w:p>
    <w:p>
      <w:pPr>
        <w:keepNext w:val="0"/>
        <w:keepLines w:val="0"/>
        <w:pageBreakBefore w:val="0"/>
        <w:kinsoku/>
        <w:wordWrap/>
        <w:overflowPunct/>
        <w:topLinePunct w:val="0"/>
        <w:autoSpaceDE/>
        <w:autoSpaceDN/>
        <w:bidi w:val="0"/>
        <w:adjustRightInd/>
        <w:spacing w:line="440" w:lineRule="exact"/>
        <w:ind w:firstLine="444" w:firstLineChars="185"/>
        <w:textAlignment w:val="auto"/>
        <w:rPr>
          <w:rFonts w:hint="eastAsia" w:ascii="宋体" w:hAnsi="宋体" w:cs="Times New Roman"/>
          <w:color w:val="auto"/>
          <w:sz w:val="24"/>
          <w:highlight w:val="none"/>
        </w:rPr>
      </w:pPr>
      <w:r>
        <w:rPr>
          <w:rFonts w:hint="eastAsia" w:ascii="宋体" w:hAnsi="宋体" w:cs="Times New Roman"/>
          <w:color w:val="auto"/>
          <w:sz w:val="24"/>
          <w:highlight w:val="none"/>
        </w:rPr>
        <w:t>1.本合同履行期间发包人与承包人双方签订的补充合同（协议）或修正文件；</w:t>
      </w:r>
    </w:p>
    <w:p>
      <w:pPr>
        <w:keepNext w:val="0"/>
        <w:keepLines w:val="0"/>
        <w:pageBreakBefore w:val="0"/>
        <w:kinsoku/>
        <w:wordWrap/>
        <w:overflowPunct/>
        <w:topLinePunct w:val="0"/>
        <w:autoSpaceDE/>
        <w:autoSpaceDN/>
        <w:bidi w:val="0"/>
        <w:adjustRightInd/>
        <w:spacing w:line="440" w:lineRule="exact"/>
        <w:ind w:firstLine="444" w:firstLineChars="185"/>
        <w:textAlignment w:val="auto"/>
        <w:rPr>
          <w:rFonts w:hint="eastAsia" w:ascii="宋体" w:hAnsi="宋体" w:cs="Times New Roman"/>
          <w:color w:val="auto"/>
          <w:sz w:val="24"/>
          <w:highlight w:val="none"/>
        </w:rPr>
      </w:pPr>
      <w:r>
        <w:rPr>
          <w:rFonts w:hint="eastAsia" w:ascii="宋体" w:hAnsi="宋体" w:cs="Times New Roman"/>
          <w:color w:val="auto"/>
          <w:sz w:val="24"/>
          <w:highlight w:val="none"/>
        </w:rPr>
        <w:t>2.本合同协议书；</w:t>
      </w:r>
    </w:p>
    <w:p>
      <w:pPr>
        <w:keepNext w:val="0"/>
        <w:keepLines w:val="0"/>
        <w:pageBreakBefore w:val="0"/>
        <w:kinsoku/>
        <w:wordWrap/>
        <w:overflowPunct/>
        <w:topLinePunct w:val="0"/>
        <w:autoSpaceDE/>
        <w:autoSpaceDN/>
        <w:bidi w:val="0"/>
        <w:adjustRightInd/>
        <w:spacing w:line="440" w:lineRule="exact"/>
        <w:ind w:firstLine="444" w:firstLineChars="185"/>
        <w:textAlignment w:val="auto"/>
        <w:rPr>
          <w:rFonts w:hint="eastAsia" w:ascii="宋体" w:hAnsi="宋体" w:cs="Times New Roman"/>
          <w:color w:val="auto"/>
          <w:sz w:val="24"/>
          <w:highlight w:val="none"/>
        </w:rPr>
      </w:pPr>
      <w:r>
        <w:rPr>
          <w:rFonts w:hint="eastAsia" w:ascii="宋体" w:hAnsi="宋体" w:cs="Times New Roman"/>
          <w:color w:val="auto"/>
          <w:sz w:val="24"/>
          <w:highlight w:val="none"/>
        </w:rPr>
        <w:t>3.国家、广东省、广州市、广州开发区、黄埔区关于本工程施工的有关文件（发包人在收到后尽快通报给承包人）；</w:t>
      </w:r>
    </w:p>
    <w:p>
      <w:pPr>
        <w:keepNext w:val="0"/>
        <w:keepLines w:val="0"/>
        <w:pageBreakBefore w:val="0"/>
        <w:kinsoku/>
        <w:wordWrap/>
        <w:overflowPunct/>
        <w:topLinePunct w:val="0"/>
        <w:autoSpaceDE/>
        <w:autoSpaceDN/>
        <w:bidi w:val="0"/>
        <w:adjustRightInd/>
        <w:spacing w:line="440" w:lineRule="exact"/>
        <w:ind w:firstLine="444" w:firstLineChars="185"/>
        <w:textAlignment w:val="auto"/>
        <w:rPr>
          <w:rFonts w:hint="eastAsia" w:ascii="宋体" w:hAnsi="宋体" w:cs="Times New Roman"/>
          <w:color w:val="auto"/>
          <w:sz w:val="24"/>
          <w:highlight w:val="none"/>
        </w:rPr>
      </w:pPr>
      <w:r>
        <w:rPr>
          <w:rFonts w:hint="eastAsia" w:ascii="宋体" w:hAnsi="宋体" w:cs="Times New Roman"/>
          <w:color w:val="auto"/>
          <w:sz w:val="24"/>
          <w:highlight w:val="none"/>
        </w:rPr>
        <w:t>4.建设业主针对本工程建设管理的各项制度、规定；</w:t>
      </w:r>
    </w:p>
    <w:p>
      <w:pPr>
        <w:keepNext w:val="0"/>
        <w:keepLines w:val="0"/>
        <w:pageBreakBefore w:val="0"/>
        <w:kinsoku/>
        <w:wordWrap/>
        <w:overflowPunct/>
        <w:topLinePunct w:val="0"/>
        <w:autoSpaceDE/>
        <w:autoSpaceDN/>
        <w:bidi w:val="0"/>
        <w:adjustRightInd/>
        <w:spacing w:line="440" w:lineRule="exact"/>
        <w:ind w:firstLine="444" w:firstLineChars="185"/>
        <w:textAlignment w:val="auto"/>
        <w:rPr>
          <w:rFonts w:hint="eastAsia" w:ascii="宋体" w:hAnsi="宋体" w:cs="Times New Roman"/>
          <w:color w:val="auto"/>
          <w:sz w:val="24"/>
          <w:highlight w:val="none"/>
        </w:rPr>
      </w:pPr>
      <w:r>
        <w:rPr>
          <w:rFonts w:hint="eastAsia" w:ascii="宋体" w:hAnsi="宋体" w:cs="Times New Roman"/>
          <w:color w:val="auto"/>
          <w:sz w:val="24"/>
          <w:highlight w:val="none"/>
        </w:rPr>
        <w:t>5.中标通知书；</w:t>
      </w:r>
    </w:p>
    <w:p>
      <w:pPr>
        <w:keepNext w:val="0"/>
        <w:keepLines w:val="0"/>
        <w:pageBreakBefore w:val="0"/>
        <w:kinsoku/>
        <w:wordWrap/>
        <w:overflowPunct/>
        <w:topLinePunct w:val="0"/>
        <w:autoSpaceDE/>
        <w:autoSpaceDN/>
        <w:bidi w:val="0"/>
        <w:adjustRightInd/>
        <w:spacing w:line="440" w:lineRule="exact"/>
        <w:ind w:firstLine="444" w:firstLineChars="185"/>
        <w:textAlignment w:val="auto"/>
        <w:rPr>
          <w:rFonts w:hint="eastAsia" w:ascii="宋体" w:hAnsi="宋体" w:cs="Times New Roman"/>
          <w:color w:val="auto"/>
          <w:sz w:val="24"/>
          <w:highlight w:val="none"/>
        </w:rPr>
      </w:pPr>
      <w:r>
        <w:rPr>
          <w:rFonts w:hint="eastAsia" w:ascii="宋体" w:hAnsi="宋体" w:cs="Times New Roman"/>
          <w:color w:val="auto"/>
          <w:sz w:val="24"/>
          <w:highlight w:val="none"/>
        </w:rPr>
        <w:t>6.本合同专用条款；</w:t>
      </w:r>
    </w:p>
    <w:p>
      <w:pPr>
        <w:keepNext w:val="0"/>
        <w:keepLines w:val="0"/>
        <w:pageBreakBefore w:val="0"/>
        <w:kinsoku/>
        <w:wordWrap/>
        <w:overflowPunct/>
        <w:topLinePunct w:val="0"/>
        <w:autoSpaceDE/>
        <w:autoSpaceDN/>
        <w:bidi w:val="0"/>
        <w:adjustRightInd/>
        <w:spacing w:line="440" w:lineRule="exact"/>
        <w:ind w:firstLine="444" w:firstLineChars="185"/>
        <w:textAlignment w:val="auto"/>
        <w:rPr>
          <w:rFonts w:hint="eastAsia" w:ascii="宋体" w:hAnsi="宋体" w:cs="Times New Roman"/>
          <w:color w:val="auto"/>
          <w:sz w:val="24"/>
          <w:highlight w:val="none"/>
        </w:rPr>
      </w:pPr>
      <w:r>
        <w:rPr>
          <w:rFonts w:hint="eastAsia" w:ascii="宋体" w:hAnsi="宋体" w:cs="Times New Roman"/>
          <w:color w:val="auto"/>
          <w:sz w:val="24"/>
          <w:highlight w:val="none"/>
        </w:rPr>
        <w:t>7.招标文件及附件（包括补充、修改、澄清文件及答疑纪要等）；</w:t>
      </w:r>
    </w:p>
    <w:p>
      <w:pPr>
        <w:keepNext w:val="0"/>
        <w:keepLines w:val="0"/>
        <w:pageBreakBefore w:val="0"/>
        <w:kinsoku/>
        <w:wordWrap/>
        <w:overflowPunct/>
        <w:topLinePunct w:val="0"/>
        <w:autoSpaceDE/>
        <w:autoSpaceDN/>
        <w:bidi w:val="0"/>
        <w:adjustRightInd/>
        <w:spacing w:line="440" w:lineRule="exact"/>
        <w:ind w:firstLine="444" w:firstLineChars="185"/>
        <w:textAlignment w:val="auto"/>
        <w:rPr>
          <w:rFonts w:hint="eastAsia" w:ascii="宋体" w:hAnsi="宋体" w:cs="Times New Roman"/>
          <w:color w:val="auto"/>
          <w:sz w:val="24"/>
          <w:highlight w:val="none"/>
        </w:rPr>
      </w:pPr>
      <w:r>
        <w:rPr>
          <w:rFonts w:hint="eastAsia" w:ascii="宋体" w:hAnsi="宋体" w:cs="Times New Roman"/>
          <w:color w:val="auto"/>
          <w:sz w:val="24"/>
          <w:highlight w:val="none"/>
        </w:rPr>
        <w:t>8.本合同通用条款；</w:t>
      </w:r>
    </w:p>
    <w:p>
      <w:pPr>
        <w:keepNext w:val="0"/>
        <w:keepLines w:val="0"/>
        <w:pageBreakBefore w:val="0"/>
        <w:kinsoku/>
        <w:wordWrap/>
        <w:overflowPunct/>
        <w:topLinePunct w:val="0"/>
        <w:autoSpaceDE/>
        <w:autoSpaceDN/>
        <w:bidi w:val="0"/>
        <w:adjustRightInd/>
        <w:spacing w:line="440" w:lineRule="exact"/>
        <w:ind w:firstLine="444" w:firstLineChars="185"/>
        <w:textAlignment w:val="auto"/>
        <w:rPr>
          <w:rFonts w:hint="eastAsia" w:ascii="宋体" w:hAnsi="宋体" w:cs="Times New Roman"/>
          <w:color w:val="auto"/>
          <w:sz w:val="24"/>
          <w:highlight w:val="none"/>
        </w:rPr>
      </w:pPr>
      <w:r>
        <w:rPr>
          <w:rFonts w:hint="eastAsia" w:ascii="宋体" w:hAnsi="宋体" w:cs="Times New Roman"/>
          <w:color w:val="auto"/>
          <w:sz w:val="24"/>
          <w:highlight w:val="none"/>
        </w:rPr>
        <w:t>9.投标文件及附件；</w:t>
      </w:r>
    </w:p>
    <w:p>
      <w:pPr>
        <w:keepNext w:val="0"/>
        <w:keepLines w:val="0"/>
        <w:pageBreakBefore w:val="0"/>
        <w:kinsoku/>
        <w:wordWrap/>
        <w:overflowPunct/>
        <w:topLinePunct w:val="0"/>
        <w:autoSpaceDE/>
        <w:autoSpaceDN/>
        <w:bidi w:val="0"/>
        <w:adjustRightInd/>
        <w:spacing w:line="440" w:lineRule="exact"/>
        <w:ind w:firstLine="444" w:firstLineChars="185"/>
        <w:textAlignment w:val="auto"/>
        <w:rPr>
          <w:rFonts w:hint="eastAsia" w:ascii="宋体" w:hAnsi="宋体" w:cs="Times New Roman"/>
          <w:color w:val="auto"/>
          <w:sz w:val="24"/>
          <w:highlight w:val="none"/>
        </w:rPr>
      </w:pPr>
      <w:r>
        <w:rPr>
          <w:rFonts w:hint="eastAsia" w:ascii="宋体" w:hAnsi="宋体" w:cs="Times New Roman"/>
          <w:color w:val="auto"/>
          <w:sz w:val="24"/>
          <w:highlight w:val="none"/>
        </w:rPr>
        <w:t>10.标准、规范和其他有关技术文件；</w:t>
      </w:r>
    </w:p>
    <w:p>
      <w:pPr>
        <w:keepNext w:val="0"/>
        <w:keepLines w:val="0"/>
        <w:pageBreakBefore w:val="0"/>
        <w:kinsoku/>
        <w:wordWrap/>
        <w:overflowPunct/>
        <w:topLinePunct w:val="0"/>
        <w:autoSpaceDE/>
        <w:autoSpaceDN/>
        <w:bidi w:val="0"/>
        <w:adjustRightInd/>
        <w:spacing w:line="440" w:lineRule="exact"/>
        <w:ind w:firstLine="444" w:firstLineChars="185"/>
        <w:textAlignment w:val="auto"/>
        <w:rPr>
          <w:rFonts w:hint="eastAsia" w:ascii="宋体" w:hAnsi="宋体" w:cs="Times New Roman"/>
          <w:color w:val="auto"/>
          <w:sz w:val="24"/>
          <w:highlight w:val="none"/>
        </w:rPr>
      </w:pPr>
      <w:r>
        <w:rPr>
          <w:rFonts w:hint="eastAsia" w:ascii="宋体" w:hAnsi="宋体" w:cs="Times New Roman"/>
          <w:color w:val="auto"/>
          <w:sz w:val="24"/>
          <w:highlight w:val="none"/>
        </w:rPr>
        <w:t>11.图纸；</w:t>
      </w:r>
    </w:p>
    <w:p>
      <w:pPr>
        <w:keepNext w:val="0"/>
        <w:keepLines w:val="0"/>
        <w:pageBreakBefore w:val="0"/>
        <w:kinsoku/>
        <w:wordWrap/>
        <w:overflowPunct/>
        <w:topLinePunct w:val="0"/>
        <w:autoSpaceDE/>
        <w:autoSpaceDN/>
        <w:bidi w:val="0"/>
        <w:adjustRightInd/>
        <w:spacing w:line="440" w:lineRule="exact"/>
        <w:ind w:firstLine="444" w:firstLineChars="185"/>
        <w:textAlignment w:val="auto"/>
        <w:rPr>
          <w:rFonts w:hint="eastAsia" w:ascii="宋体" w:hAnsi="宋体" w:cs="Times New Roman"/>
          <w:color w:val="auto"/>
          <w:sz w:val="24"/>
          <w:highlight w:val="none"/>
        </w:rPr>
      </w:pPr>
      <w:r>
        <w:rPr>
          <w:rFonts w:hint="eastAsia" w:ascii="宋体" w:hAnsi="宋体" w:cs="Times New Roman"/>
          <w:color w:val="auto"/>
          <w:sz w:val="24"/>
          <w:highlight w:val="none"/>
        </w:rPr>
        <w:t>12.工程量清单；</w:t>
      </w:r>
    </w:p>
    <w:p>
      <w:pPr>
        <w:keepNext w:val="0"/>
        <w:keepLines w:val="0"/>
        <w:pageBreakBefore w:val="0"/>
        <w:kinsoku/>
        <w:wordWrap/>
        <w:overflowPunct/>
        <w:topLinePunct w:val="0"/>
        <w:autoSpaceDE/>
        <w:autoSpaceDN/>
        <w:bidi w:val="0"/>
        <w:adjustRightInd/>
        <w:spacing w:line="440" w:lineRule="exact"/>
        <w:ind w:firstLine="444" w:firstLineChars="185"/>
        <w:textAlignment w:val="auto"/>
        <w:rPr>
          <w:rFonts w:hint="eastAsia" w:ascii="宋体" w:hAnsi="宋体" w:cs="Times New Roman"/>
          <w:color w:val="auto"/>
          <w:sz w:val="24"/>
          <w:highlight w:val="none"/>
        </w:rPr>
      </w:pPr>
      <w:r>
        <w:rPr>
          <w:rFonts w:hint="eastAsia" w:ascii="宋体" w:hAnsi="宋体" w:cs="Times New Roman"/>
          <w:color w:val="auto"/>
          <w:sz w:val="24"/>
          <w:highlight w:val="none"/>
        </w:rPr>
        <w:t>13.合同附件（工程质量保修责任书、标函承诺书、项目负责人驻场承诺书、工程建设廉政协议书等）；</w:t>
      </w:r>
    </w:p>
    <w:p>
      <w:pPr>
        <w:keepNext w:val="0"/>
        <w:keepLines w:val="0"/>
        <w:pageBreakBefore w:val="0"/>
        <w:widowControl w:val="0"/>
        <w:kinsoku/>
        <w:wordWrap/>
        <w:overflowPunct/>
        <w:topLinePunct w:val="0"/>
        <w:autoSpaceDE/>
        <w:autoSpaceDN/>
        <w:bidi w:val="0"/>
        <w:adjustRightInd/>
        <w:snapToGrid w:val="0"/>
        <w:spacing w:line="440" w:lineRule="exact"/>
        <w:ind w:left="0" w:firstLine="480" w:firstLineChars="200"/>
        <w:jc w:val="both"/>
        <w:textAlignment w:val="auto"/>
        <w:rPr>
          <w:rFonts w:hint="eastAsia" w:ascii="宋体" w:hAnsi="宋体" w:eastAsia="宋体" w:cs="Times New Roman"/>
          <w:color w:val="auto"/>
          <w:kern w:val="2"/>
          <w:sz w:val="24"/>
          <w:szCs w:val="22"/>
          <w:highlight w:val="none"/>
          <w:lang w:val="en-US" w:eastAsia="zh-CN" w:bidi="ar-SA"/>
        </w:rPr>
      </w:pPr>
      <w:r>
        <w:rPr>
          <w:rFonts w:hint="eastAsia" w:ascii="宋体" w:hAnsi="宋体" w:eastAsia="宋体" w:cs="Times New Roman"/>
          <w:color w:val="auto"/>
          <w:kern w:val="2"/>
          <w:sz w:val="24"/>
          <w:szCs w:val="22"/>
          <w:highlight w:val="none"/>
          <w:lang w:val="en-US" w:eastAsia="zh-CN" w:bidi="ar-SA"/>
        </w:rPr>
        <w:t>双方有关工程的洽商、变更等书面协议或文件视为本合同的组成部分。</w:t>
      </w:r>
    </w:p>
    <w:p>
      <w:pPr>
        <w:keepNext w:val="0"/>
        <w:keepLines w:val="0"/>
        <w:pageBreakBefore w:val="0"/>
        <w:kinsoku/>
        <w:wordWrap/>
        <w:overflowPunct/>
        <w:topLinePunct w:val="0"/>
        <w:autoSpaceDE/>
        <w:autoSpaceDN/>
        <w:bidi w:val="0"/>
        <w:adjustRightInd/>
        <w:snapToGrid w:val="0"/>
        <w:spacing w:line="440" w:lineRule="exact"/>
        <w:ind w:firstLine="482" w:firstLineChars="200"/>
        <w:textAlignment w:val="auto"/>
        <w:rPr>
          <w:rFonts w:hint="eastAsia" w:ascii="宋体" w:hAnsi="宋体" w:cs="Times New Roman"/>
          <w:bCs/>
          <w:color w:val="auto"/>
          <w:sz w:val="24"/>
          <w:highlight w:val="none"/>
        </w:rPr>
      </w:pPr>
      <w:r>
        <w:rPr>
          <w:rFonts w:hint="eastAsia" w:ascii="宋体" w:hAnsi="宋体" w:cs="Times New Roman"/>
          <w:b/>
          <w:bCs/>
          <w:color w:val="auto"/>
          <w:sz w:val="24"/>
          <w:highlight w:val="none"/>
        </w:rPr>
        <w:t>七、协议书中有关词语含义与本合同第二部分《通用条款》中分别赋予它们的定义相同。</w:t>
      </w:r>
    </w:p>
    <w:p>
      <w:pPr>
        <w:keepNext w:val="0"/>
        <w:keepLines w:val="0"/>
        <w:pageBreakBefore w:val="0"/>
        <w:kinsoku/>
        <w:wordWrap/>
        <w:overflowPunct/>
        <w:topLinePunct w:val="0"/>
        <w:autoSpaceDE/>
        <w:autoSpaceDN/>
        <w:bidi w:val="0"/>
        <w:adjustRightInd/>
        <w:snapToGrid w:val="0"/>
        <w:spacing w:line="440" w:lineRule="exact"/>
        <w:ind w:firstLine="482" w:firstLineChars="200"/>
        <w:textAlignment w:val="auto"/>
        <w:rPr>
          <w:rFonts w:hint="eastAsia" w:ascii="宋体" w:hAnsi="宋体" w:cs="Times New Roman"/>
          <w:bCs/>
          <w:color w:val="auto"/>
          <w:sz w:val="24"/>
          <w:highlight w:val="none"/>
        </w:rPr>
      </w:pPr>
      <w:r>
        <w:rPr>
          <w:rFonts w:hint="eastAsia" w:ascii="宋体" w:hAnsi="宋体" w:cs="Times New Roman"/>
          <w:b/>
          <w:bCs/>
          <w:color w:val="auto"/>
          <w:sz w:val="24"/>
          <w:highlight w:val="none"/>
        </w:rPr>
        <w:t>八、承包人向发包人承诺按照合同约定进行施工、竣工并在质量保修期内承担工程质量保修责任。</w:t>
      </w:r>
    </w:p>
    <w:p>
      <w:pPr>
        <w:keepNext w:val="0"/>
        <w:keepLines w:val="0"/>
        <w:pageBreakBefore w:val="0"/>
        <w:kinsoku/>
        <w:wordWrap/>
        <w:overflowPunct/>
        <w:topLinePunct w:val="0"/>
        <w:autoSpaceDE/>
        <w:autoSpaceDN/>
        <w:bidi w:val="0"/>
        <w:adjustRightInd/>
        <w:snapToGrid w:val="0"/>
        <w:spacing w:line="440" w:lineRule="exact"/>
        <w:ind w:firstLine="482" w:firstLineChars="200"/>
        <w:textAlignment w:val="auto"/>
        <w:rPr>
          <w:rFonts w:hint="eastAsia" w:ascii="宋体" w:hAnsi="宋体" w:cs="Times New Roman"/>
          <w:bCs/>
          <w:color w:val="auto"/>
          <w:sz w:val="24"/>
          <w:highlight w:val="none"/>
        </w:rPr>
      </w:pPr>
      <w:r>
        <w:rPr>
          <w:rFonts w:hint="eastAsia" w:ascii="宋体" w:hAnsi="宋体" w:cs="Times New Roman"/>
          <w:b/>
          <w:bCs/>
          <w:color w:val="auto"/>
          <w:sz w:val="24"/>
          <w:highlight w:val="none"/>
        </w:rPr>
        <w:t>九、发包人向承包人承诺按照合同约定的期限和方式支付合同价款及其他应当支付的款项。</w:t>
      </w:r>
    </w:p>
    <w:p>
      <w:pPr>
        <w:keepNext w:val="0"/>
        <w:keepLines w:val="0"/>
        <w:pageBreakBefore w:val="0"/>
        <w:kinsoku/>
        <w:wordWrap/>
        <w:overflowPunct/>
        <w:topLinePunct w:val="0"/>
        <w:autoSpaceDE/>
        <w:autoSpaceDN/>
        <w:bidi w:val="0"/>
        <w:adjustRightInd/>
        <w:snapToGrid w:val="0"/>
        <w:spacing w:line="440" w:lineRule="exact"/>
        <w:textAlignment w:val="auto"/>
        <w:rPr>
          <w:rFonts w:hint="eastAsia" w:ascii="宋体" w:hAnsi="宋体" w:cs="Times New Roman"/>
          <w:b/>
          <w:bCs/>
          <w:color w:val="auto"/>
          <w:sz w:val="24"/>
          <w:highlight w:val="none"/>
        </w:rPr>
      </w:pPr>
      <w:r>
        <w:rPr>
          <w:rFonts w:hint="eastAsia" w:ascii="宋体" w:hAnsi="宋体" w:cs="Times New Roman"/>
          <w:b/>
          <w:bCs/>
          <w:color w:val="auto"/>
          <w:sz w:val="24"/>
          <w:highlight w:val="none"/>
        </w:rPr>
        <w:t xml:space="preserve">    十、合同生效</w:t>
      </w:r>
    </w:p>
    <w:p>
      <w:pPr>
        <w:keepNext w:val="0"/>
        <w:keepLines w:val="0"/>
        <w:pageBreakBefore w:val="0"/>
        <w:kinsoku/>
        <w:wordWrap/>
        <w:overflowPunct/>
        <w:topLinePunct w:val="0"/>
        <w:autoSpaceDE/>
        <w:autoSpaceDN/>
        <w:bidi w:val="0"/>
        <w:adjustRightInd/>
        <w:snapToGrid w:val="0"/>
        <w:spacing w:line="440" w:lineRule="exact"/>
        <w:ind w:firstLine="482"/>
        <w:textAlignment w:val="auto"/>
        <w:rPr>
          <w:rFonts w:hint="eastAsia" w:ascii="宋体" w:hAnsi="宋体" w:cs="Times New Roman"/>
          <w:color w:val="auto"/>
          <w:sz w:val="24"/>
          <w:highlight w:val="none"/>
        </w:rPr>
      </w:pPr>
      <w:r>
        <w:rPr>
          <w:rFonts w:hint="eastAsia" w:ascii="宋体" w:hAnsi="宋体" w:cs="Times New Roman"/>
          <w:color w:val="auto"/>
          <w:sz w:val="24"/>
          <w:highlight w:val="none"/>
        </w:rPr>
        <w:t>合同订立时间：</w:t>
      </w:r>
      <w:r>
        <w:rPr>
          <w:rFonts w:hint="eastAsia" w:ascii="宋体" w:hAnsi="宋体" w:cs="Times New Roman"/>
          <w:color w:val="auto"/>
          <w:sz w:val="24"/>
          <w:highlight w:val="none"/>
          <w:u w:val="single"/>
        </w:rPr>
        <w:t xml:space="preserve">  </w:t>
      </w:r>
      <w:r>
        <w:rPr>
          <w:rFonts w:hint="eastAsia" w:ascii="宋体" w:hAnsi="宋体" w:cs="Times New Roman"/>
          <w:color w:val="auto"/>
          <w:sz w:val="24"/>
          <w:highlight w:val="none"/>
        </w:rPr>
        <w:t>年</w:t>
      </w:r>
      <w:r>
        <w:rPr>
          <w:rFonts w:hint="eastAsia" w:ascii="宋体" w:hAnsi="宋体" w:cs="Times New Roman"/>
          <w:color w:val="auto"/>
          <w:sz w:val="24"/>
          <w:highlight w:val="none"/>
          <w:u w:val="single"/>
        </w:rPr>
        <w:t xml:space="preserve">  </w:t>
      </w:r>
      <w:r>
        <w:rPr>
          <w:rFonts w:hint="eastAsia" w:ascii="宋体" w:hAnsi="宋体" w:cs="Times New Roman"/>
          <w:color w:val="auto"/>
          <w:sz w:val="24"/>
          <w:highlight w:val="none"/>
        </w:rPr>
        <w:t>月</w:t>
      </w:r>
      <w:r>
        <w:rPr>
          <w:rFonts w:hint="eastAsia" w:ascii="宋体" w:hAnsi="宋体" w:cs="Times New Roman"/>
          <w:color w:val="auto"/>
          <w:sz w:val="24"/>
          <w:highlight w:val="none"/>
          <w:u w:val="single"/>
        </w:rPr>
        <w:t xml:space="preserve">  </w:t>
      </w:r>
      <w:r>
        <w:rPr>
          <w:rFonts w:hint="eastAsia" w:ascii="宋体" w:hAnsi="宋体" w:cs="Times New Roman"/>
          <w:color w:val="auto"/>
          <w:sz w:val="24"/>
          <w:highlight w:val="none"/>
        </w:rPr>
        <w:t>日</w:t>
      </w:r>
    </w:p>
    <w:p>
      <w:pPr>
        <w:keepNext w:val="0"/>
        <w:keepLines w:val="0"/>
        <w:pageBreakBefore w:val="0"/>
        <w:kinsoku/>
        <w:wordWrap/>
        <w:overflowPunct/>
        <w:topLinePunct w:val="0"/>
        <w:autoSpaceDE/>
        <w:autoSpaceDN/>
        <w:bidi w:val="0"/>
        <w:adjustRightInd/>
        <w:snapToGrid w:val="0"/>
        <w:spacing w:line="440" w:lineRule="exact"/>
        <w:ind w:firstLine="480"/>
        <w:textAlignment w:val="auto"/>
        <w:rPr>
          <w:rFonts w:hint="eastAsia" w:ascii="宋体" w:hAnsi="宋体" w:cs="Times New Roman"/>
          <w:color w:val="auto"/>
          <w:sz w:val="24"/>
          <w:highlight w:val="none"/>
        </w:rPr>
      </w:pPr>
      <w:r>
        <w:rPr>
          <w:rFonts w:hint="eastAsia" w:ascii="宋体" w:hAnsi="宋体" w:cs="Times New Roman"/>
          <w:color w:val="auto"/>
          <w:sz w:val="24"/>
          <w:highlight w:val="none"/>
        </w:rPr>
        <w:t>合同订立地点：</w:t>
      </w:r>
      <w:r>
        <w:rPr>
          <w:rFonts w:hint="eastAsia" w:ascii="宋体" w:hAnsi="宋体" w:cs="Times New Roman"/>
          <w:color w:val="auto"/>
          <w:sz w:val="24"/>
          <w:highlight w:val="none"/>
          <w:u w:val="single"/>
        </w:rPr>
        <w:t>广州市黄埔区</w:t>
      </w:r>
    </w:p>
    <w:p>
      <w:pPr>
        <w:keepNext w:val="0"/>
        <w:keepLines w:val="0"/>
        <w:pageBreakBefore w:val="0"/>
        <w:kinsoku/>
        <w:wordWrap/>
        <w:overflowPunct/>
        <w:topLinePunct w:val="0"/>
        <w:autoSpaceDE/>
        <w:autoSpaceDN/>
        <w:bidi w:val="0"/>
        <w:adjustRightInd/>
        <w:snapToGrid w:val="0"/>
        <w:spacing w:line="440" w:lineRule="exact"/>
        <w:ind w:firstLine="480"/>
        <w:textAlignment w:val="auto"/>
        <w:rPr>
          <w:rFonts w:hint="eastAsia" w:ascii="宋体" w:hAnsi="宋体" w:cs="Times New Roman"/>
          <w:color w:val="auto"/>
          <w:sz w:val="24"/>
          <w:highlight w:val="none"/>
        </w:rPr>
      </w:pPr>
      <w:r>
        <w:rPr>
          <w:rFonts w:hint="eastAsia" w:ascii="宋体" w:hAnsi="宋体" w:cs="Times New Roman"/>
          <w:color w:val="auto"/>
          <w:sz w:val="24"/>
          <w:highlight w:val="none"/>
        </w:rPr>
        <w:t>本合同双方约定：</w:t>
      </w:r>
      <w:r>
        <w:rPr>
          <w:rFonts w:hint="eastAsia" w:ascii="宋体" w:hAnsi="宋体" w:cs="Times New Roman"/>
          <w:color w:val="auto"/>
          <w:sz w:val="24"/>
          <w:highlight w:val="none"/>
          <w:u w:val="single"/>
        </w:rPr>
        <w:t>双方签名、盖章并在承包人提交履约担保</w:t>
      </w:r>
      <w:r>
        <w:rPr>
          <w:rFonts w:hint="eastAsia" w:ascii="宋体" w:hAnsi="宋体" w:cs="Times New Roman"/>
          <w:color w:val="auto"/>
          <w:sz w:val="24"/>
          <w:highlight w:val="none"/>
        </w:rPr>
        <w:t>后生效。</w:t>
      </w:r>
    </w:p>
    <w:p>
      <w:pPr>
        <w:keepNext w:val="0"/>
        <w:keepLines w:val="0"/>
        <w:pageBreakBefore w:val="0"/>
        <w:kinsoku/>
        <w:wordWrap/>
        <w:overflowPunct/>
        <w:topLinePunct w:val="0"/>
        <w:autoSpaceDE/>
        <w:autoSpaceDN/>
        <w:bidi w:val="0"/>
        <w:adjustRightInd/>
        <w:snapToGrid w:val="0"/>
        <w:spacing w:line="400" w:lineRule="exact"/>
        <w:ind w:firstLine="480"/>
        <w:textAlignment w:val="auto"/>
        <w:rPr>
          <w:rFonts w:hint="eastAsia" w:ascii="宋体" w:hAnsi="宋体" w:cs="Times New Roman"/>
          <w:color w:val="auto"/>
          <w:sz w:val="24"/>
          <w:highlight w:val="none"/>
        </w:rPr>
      </w:pPr>
    </w:p>
    <w:tbl>
      <w:tblPr>
        <w:tblStyle w:val="40"/>
        <w:tblpPr w:leftFromText="180" w:rightFromText="180" w:vertAnchor="text" w:horzAnchor="page" w:tblpX="1487" w:tblpY="779"/>
        <w:tblOverlap w:val="never"/>
        <w:tblW w:w="9678" w:type="dxa"/>
        <w:tblInd w:w="0" w:type="dxa"/>
        <w:tblLayout w:type="fixed"/>
        <w:tblCellMar>
          <w:top w:w="0" w:type="dxa"/>
          <w:left w:w="108" w:type="dxa"/>
          <w:bottom w:w="0" w:type="dxa"/>
          <w:right w:w="108" w:type="dxa"/>
        </w:tblCellMar>
      </w:tblPr>
      <w:tblGrid>
        <w:gridCol w:w="4839"/>
        <w:gridCol w:w="4839"/>
      </w:tblGrid>
      <w:tr>
        <w:tblPrEx>
          <w:tblCellMar>
            <w:top w:w="0" w:type="dxa"/>
            <w:left w:w="108" w:type="dxa"/>
            <w:bottom w:w="0" w:type="dxa"/>
            <w:right w:w="108" w:type="dxa"/>
          </w:tblCellMar>
        </w:tblPrEx>
        <w:trPr>
          <w:trHeight w:val="1134" w:hRule="atLeast"/>
        </w:trPr>
        <w:tc>
          <w:tcPr>
            <w:tcW w:w="4839" w:type="dxa"/>
            <w:noWrap w:val="0"/>
            <w:vAlign w:val="top"/>
          </w:tcPr>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cs="Times New Roman"/>
                <w:color w:val="auto"/>
                <w:sz w:val="24"/>
                <w:highlight w:val="none"/>
              </w:rPr>
            </w:pPr>
            <w:r>
              <w:rPr>
                <w:rFonts w:hint="eastAsia" w:ascii="宋体" w:hAnsi="宋体" w:cs="Times New Roman"/>
                <w:color w:val="auto"/>
                <w:sz w:val="24"/>
                <w:highlight w:val="none"/>
              </w:rPr>
              <w:t>发包人：（公章）</w:t>
            </w:r>
          </w:p>
        </w:tc>
        <w:tc>
          <w:tcPr>
            <w:tcW w:w="4839" w:type="dxa"/>
            <w:noWrap w:val="0"/>
            <w:vAlign w:val="top"/>
          </w:tcPr>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cs="Times New Roman"/>
                <w:color w:val="auto"/>
                <w:sz w:val="24"/>
                <w:highlight w:val="none"/>
              </w:rPr>
            </w:pPr>
            <w:r>
              <w:rPr>
                <w:rFonts w:hint="eastAsia" w:ascii="宋体" w:hAnsi="宋体" w:cs="Times New Roman"/>
                <w:color w:val="auto"/>
                <w:sz w:val="24"/>
                <w:highlight w:val="none"/>
              </w:rPr>
              <w:t>承包人：（公章）</w:t>
            </w:r>
          </w:p>
        </w:tc>
      </w:tr>
      <w:tr>
        <w:tblPrEx>
          <w:tblCellMar>
            <w:top w:w="0" w:type="dxa"/>
            <w:left w:w="108" w:type="dxa"/>
            <w:bottom w:w="0" w:type="dxa"/>
            <w:right w:w="108" w:type="dxa"/>
          </w:tblCellMar>
        </w:tblPrEx>
        <w:trPr>
          <w:trHeight w:val="1134" w:hRule="atLeast"/>
        </w:trPr>
        <w:tc>
          <w:tcPr>
            <w:tcW w:w="4839" w:type="dxa"/>
            <w:noWrap w:val="0"/>
            <w:vAlign w:val="top"/>
          </w:tcPr>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cs="Times New Roman"/>
                <w:color w:val="auto"/>
                <w:sz w:val="24"/>
                <w:highlight w:val="none"/>
              </w:rPr>
            </w:pPr>
            <w:r>
              <w:rPr>
                <w:rFonts w:hint="eastAsia" w:ascii="宋体" w:hAnsi="宋体" w:cs="Times New Roman"/>
                <w:color w:val="auto"/>
                <w:sz w:val="24"/>
                <w:highlight w:val="none"/>
              </w:rPr>
              <w:t>住  所：</w:t>
            </w:r>
          </w:p>
        </w:tc>
        <w:tc>
          <w:tcPr>
            <w:tcW w:w="4839" w:type="dxa"/>
            <w:noWrap w:val="0"/>
            <w:vAlign w:val="top"/>
          </w:tcPr>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cs="Times New Roman"/>
                <w:color w:val="auto"/>
                <w:sz w:val="24"/>
                <w:highlight w:val="none"/>
              </w:rPr>
            </w:pPr>
            <w:r>
              <w:rPr>
                <w:rFonts w:hint="eastAsia" w:ascii="宋体" w:hAnsi="宋体" w:cs="Times New Roman"/>
                <w:color w:val="auto"/>
                <w:sz w:val="24"/>
                <w:highlight w:val="none"/>
              </w:rPr>
              <w:t>住  所：</w:t>
            </w:r>
          </w:p>
        </w:tc>
      </w:tr>
      <w:tr>
        <w:tblPrEx>
          <w:tblCellMar>
            <w:top w:w="0" w:type="dxa"/>
            <w:left w:w="108" w:type="dxa"/>
            <w:bottom w:w="0" w:type="dxa"/>
            <w:right w:w="108" w:type="dxa"/>
          </w:tblCellMar>
        </w:tblPrEx>
        <w:trPr>
          <w:trHeight w:val="1134" w:hRule="atLeast"/>
        </w:trPr>
        <w:tc>
          <w:tcPr>
            <w:tcW w:w="4839" w:type="dxa"/>
            <w:noWrap w:val="0"/>
            <w:vAlign w:val="top"/>
          </w:tcPr>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cs="Times New Roman"/>
                <w:color w:val="auto"/>
                <w:sz w:val="24"/>
                <w:highlight w:val="none"/>
              </w:rPr>
            </w:pPr>
            <w:r>
              <w:rPr>
                <w:rFonts w:hint="eastAsia" w:ascii="宋体" w:hAnsi="宋体" w:cs="Times New Roman"/>
                <w:color w:val="auto"/>
                <w:sz w:val="24"/>
                <w:highlight w:val="none"/>
              </w:rPr>
              <w:t>法定代表人：</w:t>
            </w:r>
          </w:p>
        </w:tc>
        <w:tc>
          <w:tcPr>
            <w:tcW w:w="4839" w:type="dxa"/>
            <w:noWrap w:val="0"/>
            <w:vAlign w:val="top"/>
          </w:tcPr>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cs="Times New Roman"/>
                <w:color w:val="auto"/>
                <w:sz w:val="24"/>
                <w:highlight w:val="none"/>
              </w:rPr>
            </w:pPr>
            <w:r>
              <w:rPr>
                <w:rFonts w:hint="eastAsia" w:ascii="宋体" w:hAnsi="宋体" w:cs="Times New Roman"/>
                <w:color w:val="auto"/>
                <w:sz w:val="24"/>
                <w:highlight w:val="none"/>
              </w:rPr>
              <w:t>法定代表人：</w:t>
            </w:r>
          </w:p>
        </w:tc>
      </w:tr>
      <w:tr>
        <w:tblPrEx>
          <w:tblCellMar>
            <w:top w:w="0" w:type="dxa"/>
            <w:left w:w="108" w:type="dxa"/>
            <w:bottom w:w="0" w:type="dxa"/>
            <w:right w:w="108" w:type="dxa"/>
          </w:tblCellMar>
        </w:tblPrEx>
        <w:trPr>
          <w:trHeight w:val="1134" w:hRule="atLeast"/>
        </w:trPr>
        <w:tc>
          <w:tcPr>
            <w:tcW w:w="4839" w:type="dxa"/>
            <w:noWrap w:val="0"/>
            <w:vAlign w:val="top"/>
          </w:tcPr>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cs="Times New Roman"/>
                <w:color w:val="auto"/>
                <w:sz w:val="24"/>
                <w:highlight w:val="none"/>
              </w:rPr>
            </w:pPr>
            <w:r>
              <w:rPr>
                <w:rFonts w:hint="eastAsia" w:ascii="宋体" w:hAnsi="宋体" w:cs="Times New Roman"/>
                <w:color w:val="auto"/>
                <w:sz w:val="24"/>
                <w:highlight w:val="none"/>
              </w:rPr>
              <w:t>委托代理人：</w:t>
            </w:r>
          </w:p>
        </w:tc>
        <w:tc>
          <w:tcPr>
            <w:tcW w:w="4839" w:type="dxa"/>
            <w:noWrap w:val="0"/>
            <w:vAlign w:val="top"/>
          </w:tcPr>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cs="Times New Roman"/>
                <w:color w:val="auto"/>
                <w:sz w:val="24"/>
                <w:highlight w:val="none"/>
              </w:rPr>
            </w:pPr>
            <w:r>
              <w:rPr>
                <w:rFonts w:hint="eastAsia" w:ascii="宋体" w:hAnsi="宋体" w:cs="Times New Roman"/>
                <w:color w:val="auto"/>
                <w:sz w:val="24"/>
                <w:highlight w:val="none"/>
              </w:rPr>
              <w:t>委托代理人：</w:t>
            </w:r>
          </w:p>
        </w:tc>
      </w:tr>
      <w:tr>
        <w:tblPrEx>
          <w:tblCellMar>
            <w:top w:w="0" w:type="dxa"/>
            <w:left w:w="108" w:type="dxa"/>
            <w:bottom w:w="0" w:type="dxa"/>
            <w:right w:w="108" w:type="dxa"/>
          </w:tblCellMar>
        </w:tblPrEx>
        <w:trPr>
          <w:trHeight w:val="1134" w:hRule="atLeast"/>
        </w:trPr>
        <w:tc>
          <w:tcPr>
            <w:tcW w:w="4839" w:type="dxa"/>
            <w:noWrap w:val="0"/>
            <w:vAlign w:val="top"/>
          </w:tcPr>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cs="Times New Roman"/>
                <w:color w:val="auto"/>
                <w:sz w:val="24"/>
                <w:highlight w:val="none"/>
              </w:rPr>
            </w:pPr>
            <w:r>
              <w:rPr>
                <w:rFonts w:hint="eastAsia" w:ascii="宋体" w:hAnsi="宋体" w:cs="Times New Roman"/>
                <w:color w:val="auto"/>
                <w:sz w:val="24"/>
                <w:highlight w:val="none"/>
              </w:rPr>
              <w:t>电      话：</w:t>
            </w:r>
          </w:p>
        </w:tc>
        <w:tc>
          <w:tcPr>
            <w:tcW w:w="4839" w:type="dxa"/>
            <w:noWrap w:val="0"/>
            <w:vAlign w:val="top"/>
          </w:tcPr>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cs="Times New Roman"/>
                <w:color w:val="auto"/>
                <w:sz w:val="24"/>
                <w:highlight w:val="none"/>
              </w:rPr>
            </w:pPr>
            <w:r>
              <w:rPr>
                <w:rFonts w:hint="eastAsia" w:ascii="宋体" w:hAnsi="宋体" w:cs="Times New Roman"/>
                <w:color w:val="auto"/>
                <w:sz w:val="24"/>
                <w:highlight w:val="none"/>
              </w:rPr>
              <w:t>电      话：</w:t>
            </w:r>
          </w:p>
        </w:tc>
      </w:tr>
      <w:tr>
        <w:tblPrEx>
          <w:tblCellMar>
            <w:top w:w="0" w:type="dxa"/>
            <w:left w:w="108" w:type="dxa"/>
            <w:bottom w:w="0" w:type="dxa"/>
            <w:right w:w="108" w:type="dxa"/>
          </w:tblCellMar>
        </w:tblPrEx>
        <w:trPr>
          <w:trHeight w:val="1134" w:hRule="atLeast"/>
        </w:trPr>
        <w:tc>
          <w:tcPr>
            <w:tcW w:w="4839" w:type="dxa"/>
            <w:noWrap w:val="0"/>
            <w:vAlign w:val="top"/>
          </w:tcPr>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cs="Times New Roman"/>
                <w:color w:val="auto"/>
                <w:sz w:val="24"/>
                <w:highlight w:val="none"/>
              </w:rPr>
            </w:pPr>
            <w:r>
              <w:rPr>
                <w:rFonts w:hint="eastAsia" w:ascii="宋体" w:hAnsi="宋体" w:cs="Times New Roman"/>
                <w:color w:val="auto"/>
                <w:sz w:val="24"/>
                <w:highlight w:val="none"/>
              </w:rPr>
              <w:t>传      真：</w:t>
            </w:r>
          </w:p>
        </w:tc>
        <w:tc>
          <w:tcPr>
            <w:tcW w:w="4839" w:type="dxa"/>
            <w:noWrap w:val="0"/>
            <w:vAlign w:val="top"/>
          </w:tcPr>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cs="Times New Roman"/>
                <w:color w:val="auto"/>
                <w:sz w:val="24"/>
                <w:highlight w:val="none"/>
              </w:rPr>
            </w:pPr>
            <w:r>
              <w:rPr>
                <w:rFonts w:hint="eastAsia" w:ascii="宋体" w:hAnsi="宋体" w:cs="Times New Roman"/>
                <w:color w:val="auto"/>
                <w:sz w:val="24"/>
                <w:highlight w:val="none"/>
              </w:rPr>
              <w:t>传      真：</w:t>
            </w:r>
          </w:p>
        </w:tc>
      </w:tr>
      <w:tr>
        <w:tblPrEx>
          <w:tblCellMar>
            <w:top w:w="0" w:type="dxa"/>
            <w:left w:w="108" w:type="dxa"/>
            <w:bottom w:w="0" w:type="dxa"/>
            <w:right w:w="108" w:type="dxa"/>
          </w:tblCellMar>
        </w:tblPrEx>
        <w:trPr>
          <w:trHeight w:val="1134" w:hRule="atLeast"/>
        </w:trPr>
        <w:tc>
          <w:tcPr>
            <w:tcW w:w="4839" w:type="dxa"/>
            <w:noWrap w:val="0"/>
            <w:vAlign w:val="top"/>
          </w:tcPr>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cs="Times New Roman"/>
                <w:color w:val="auto"/>
                <w:sz w:val="24"/>
                <w:highlight w:val="none"/>
              </w:rPr>
            </w:pPr>
            <w:r>
              <w:rPr>
                <w:rFonts w:hint="eastAsia" w:ascii="宋体" w:hAnsi="宋体" w:cs="Times New Roman"/>
                <w:color w:val="auto"/>
                <w:sz w:val="24"/>
                <w:highlight w:val="none"/>
              </w:rPr>
              <w:t>开户银行：</w:t>
            </w:r>
          </w:p>
        </w:tc>
        <w:tc>
          <w:tcPr>
            <w:tcW w:w="4839" w:type="dxa"/>
            <w:noWrap w:val="0"/>
            <w:vAlign w:val="top"/>
          </w:tcPr>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cs="Times New Roman"/>
                <w:color w:val="auto"/>
                <w:sz w:val="24"/>
                <w:highlight w:val="none"/>
              </w:rPr>
            </w:pPr>
            <w:r>
              <w:rPr>
                <w:rFonts w:hint="eastAsia" w:ascii="宋体" w:hAnsi="宋体" w:cs="Times New Roman"/>
                <w:color w:val="auto"/>
                <w:sz w:val="24"/>
                <w:highlight w:val="none"/>
              </w:rPr>
              <w:t>开户银行：</w:t>
            </w:r>
          </w:p>
        </w:tc>
      </w:tr>
      <w:tr>
        <w:tblPrEx>
          <w:tblCellMar>
            <w:top w:w="0" w:type="dxa"/>
            <w:left w:w="108" w:type="dxa"/>
            <w:bottom w:w="0" w:type="dxa"/>
            <w:right w:w="108" w:type="dxa"/>
          </w:tblCellMar>
        </w:tblPrEx>
        <w:trPr>
          <w:trHeight w:val="1134" w:hRule="atLeast"/>
        </w:trPr>
        <w:tc>
          <w:tcPr>
            <w:tcW w:w="4839" w:type="dxa"/>
            <w:noWrap w:val="0"/>
            <w:vAlign w:val="top"/>
          </w:tcPr>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cs="Times New Roman"/>
                <w:color w:val="auto"/>
                <w:sz w:val="24"/>
                <w:highlight w:val="none"/>
              </w:rPr>
            </w:pPr>
            <w:r>
              <w:rPr>
                <w:rFonts w:hint="eastAsia" w:ascii="宋体" w:hAnsi="宋体" w:cs="Times New Roman"/>
                <w:color w:val="auto"/>
                <w:sz w:val="24"/>
                <w:highlight w:val="none"/>
              </w:rPr>
              <w:t>帐    号：</w:t>
            </w:r>
          </w:p>
        </w:tc>
        <w:tc>
          <w:tcPr>
            <w:tcW w:w="4839" w:type="dxa"/>
            <w:noWrap w:val="0"/>
            <w:vAlign w:val="top"/>
          </w:tcPr>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cs="Times New Roman"/>
                <w:color w:val="auto"/>
                <w:sz w:val="24"/>
                <w:highlight w:val="none"/>
              </w:rPr>
            </w:pPr>
            <w:r>
              <w:rPr>
                <w:rFonts w:hint="eastAsia" w:ascii="宋体" w:hAnsi="宋体" w:cs="Times New Roman"/>
                <w:color w:val="auto"/>
                <w:sz w:val="24"/>
                <w:highlight w:val="none"/>
              </w:rPr>
              <w:t>帐    号：</w:t>
            </w:r>
          </w:p>
        </w:tc>
      </w:tr>
      <w:tr>
        <w:tblPrEx>
          <w:tblCellMar>
            <w:top w:w="0" w:type="dxa"/>
            <w:left w:w="108" w:type="dxa"/>
            <w:bottom w:w="0" w:type="dxa"/>
            <w:right w:w="108" w:type="dxa"/>
          </w:tblCellMar>
        </w:tblPrEx>
        <w:trPr>
          <w:trHeight w:val="1134" w:hRule="atLeast"/>
        </w:trPr>
        <w:tc>
          <w:tcPr>
            <w:tcW w:w="4839" w:type="dxa"/>
            <w:noWrap w:val="0"/>
            <w:vAlign w:val="top"/>
          </w:tcPr>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cs="Times New Roman"/>
                <w:color w:val="auto"/>
                <w:sz w:val="24"/>
                <w:highlight w:val="none"/>
              </w:rPr>
            </w:pPr>
            <w:r>
              <w:rPr>
                <w:rFonts w:hint="eastAsia" w:ascii="宋体" w:hAnsi="宋体" w:cs="Times New Roman"/>
                <w:color w:val="auto"/>
                <w:sz w:val="24"/>
                <w:highlight w:val="none"/>
              </w:rPr>
              <w:t>邮政编码：</w:t>
            </w:r>
          </w:p>
        </w:tc>
        <w:tc>
          <w:tcPr>
            <w:tcW w:w="4839" w:type="dxa"/>
            <w:noWrap w:val="0"/>
            <w:vAlign w:val="top"/>
          </w:tcPr>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cs="Times New Roman"/>
                <w:color w:val="auto"/>
                <w:sz w:val="24"/>
                <w:highlight w:val="none"/>
              </w:rPr>
            </w:pPr>
            <w:r>
              <w:rPr>
                <w:rFonts w:hint="eastAsia" w:ascii="宋体" w:hAnsi="宋体" w:cs="Times New Roman"/>
                <w:color w:val="auto"/>
                <w:sz w:val="24"/>
                <w:highlight w:val="none"/>
              </w:rPr>
              <w:t>邮政编码：</w:t>
            </w:r>
          </w:p>
        </w:tc>
      </w:tr>
    </w:tbl>
    <w:p>
      <w:pPr>
        <w:keepNext w:val="0"/>
        <w:keepLines w:val="0"/>
        <w:pageBreakBefore w:val="0"/>
        <w:kinsoku/>
        <w:wordWrap/>
        <w:overflowPunct/>
        <w:topLinePunct w:val="0"/>
        <w:autoSpaceDE/>
        <w:autoSpaceDN/>
        <w:bidi w:val="0"/>
        <w:adjustRightInd/>
        <w:snapToGrid w:val="0"/>
        <w:spacing w:line="400" w:lineRule="exact"/>
        <w:ind w:firstLine="480"/>
        <w:textAlignment w:val="auto"/>
        <w:rPr>
          <w:rFonts w:hint="eastAsia" w:ascii="宋体" w:hAnsi="宋体" w:cs="Times New Roman"/>
          <w:color w:val="auto"/>
          <w:sz w:val="24"/>
          <w:highlight w:val="none"/>
        </w:rPr>
      </w:pPr>
    </w:p>
    <w:p>
      <w:pPr>
        <w:snapToGrid w:val="0"/>
        <w:spacing w:line="360" w:lineRule="auto"/>
        <w:ind w:firstLine="480"/>
        <w:rPr>
          <w:rFonts w:hint="eastAsia" w:ascii="宋体" w:hAnsi="宋体" w:cs="Times New Roman"/>
          <w:color w:val="auto"/>
          <w:sz w:val="24"/>
          <w:highlight w:val="none"/>
        </w:rPr>
      </w:pPr>
    </w:p>
    <w:p>
      <w:pPr>
        <w:snapToGrid w:val="0"/>
        <w:spacing w:line="480" w:lineRule="exact"/>
        <w:rPr>
          <w:rFonts w:hint="eastAsia" w:ascii="宋体" w:hAnsi="宋体" w:cs="Times New Roman"/>
          <w:color w:val="auto"/>
          <w:sz w:val="24"/>
          <w:highlight w:val="none"/>
        </w:rPr>
      </w:pPr>
    </w:p>
    <w:p>
      <w:pPr>
        <w:snapToGrid w:val="0"/>
        <w:spacing w:line="480" w:lineRule="exact"/>
        <w:rPr>
          <w:rFonts w:hint="eastAsia" w:ascii="宋体" w:hAnsi="宋体" w:cs="Times New Roman"/>
          <w:color w:val="auto"/>
          <w:sz w:val="24"/>
          <w:highlight w:val="none"/>
        </w:rPr>
      </w:pPr>
    </w:p>
    <w:p>
      <w:pPr>
        <w:snapToGrid w:val="0"/>
        <w:spacing w:line="480" w:lineRule="exact"/>
        <w:rPr>
          <w:rFonts w:hint="eastAsia" w:ascii="宋体" w:hAnsi="宋体" w:cs="Times New Roman"/>
          <w:color w:val="auto"/>
          <w:sz w:val="24"/>
          <w:highlight w:val="none"/>
        </w:rPr>
      </w:pPr>
      <w:r>
        <w:rPr>
          <w:rFonts w:hint="eastAsia" w:ascii="宋体" w:hAnsi="宋体" w:cs="Times New Roman"/>
          <w:color w:val="auto"/>
          <w:sz w:val="24"/>
          <w:highlight w:val="none"/>
        </w:rPr>
        <w:t xml:space="preserve">                    </w:t>
      </w:r>
      <w:r>
        <w:rPr>
          <w:rFonts w:hint="eastAsia" w:ascii="宋体" w:hAnsi="宋体" w:cs="Times New Roman"/>
          <w:color w:val="auto"/>
          <w:sz w:val="24"/>
          <w:highlight w:val="none"/>
          <w:lang w:val="en-US" w:eastAsia="zh-CN"/>
        </w:rPr>
        <w:t xml:space="preserve">      </w:t>
      </w:r>
      <w:r>
        <w:rPr>
          <w:rFonts w:hint="eastAsia" w:ascii="宋体" w:hAnsi="宋体" w:cs="Times New Roman"/>
          <w:color w:val="auto"/>
          <w:sz w:val="24"/>
          <w:highlight w:val="none"/>
        </w:rPr>
        <w:t xml:space="preserve"> 第二部分 通用条款</w:t>
      </w:r>
    </w:p>
    <w:p>
      <w:pPr>
        <w:spacing w:line="360" w:lineRule="auto"/>
        <w:ind w:firstLine="444" w:firstLineChars="185"/>
        <w:rPr>
          <w:rFonts w:hint="eastAsia" w:ascii="宋体" w:hAnsi="宋体" w:cs="Times New Roman"/>
          <w:color w:val="auto"/>
          <w:sz w:val="24"/>
          <w:highlight w:val="none"/>
        </w:rPr>
      </w:pP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一、词语定义及合同文件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1.词语定义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下列词语除专用条款另有约定外，应具有本条所赋予的定义：</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1.1 通用条款：是根据法律、行政法规规定及建设工程施工的需要订立，通用于建设工程施工的条款。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1.2 专用条款：是发包人与承包人根据法律、行政法规规定，结合具体工程实际，经协商达成一致意见的条款，是对通用条款的具体化、补充或修改。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1.3 发包人：指在协议书中约定，具有工程发包主体资格和支付工程价款能力的当事人以及取得该当事人资格的合法继承人。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1.4 承包人：指在协议书中约定，被发包人接受的具有工程施工承包主体资格的当事人以及取得该当事人资格的合法继承人。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1.5 项目负责人：指承包人在专用条款中指定的负责施工管理和合同履行的代表。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1.6 设计单位：指发包人委托的负责本工程设计并取得相应工程设计资质等级证书的单位。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1.7 监理单位：指发包人委托的负责本工程监理并取得相应在工程监理资质等级证书的单位。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1.8 工程师：指本工程监理单位委派的总监理工程师或发包人指定的履行本合同的代表，其具体身份和职权由发包人承包人在专用条款中约定。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1.9 工程造价管理部门：指国务院有关部门、县级以上人民政府建设行政主管部门或其委托的工程造价管理机构。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1.10 工程：指发包人承包人在协议书中约定的承包范围内的工程。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1.11 合同价款：指发包人承包人在协议书中约定，发包人用以支付承包人按照合同约定完成承包范围内全部工程并承担质量保修责任的款项。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1.12 追加合同价款：指在合同履行中发生需要增加合同价款的情况，经发包人确认后按计算合同价款的方法增加的合同价款。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1.13 费用：指不包含在合同价款之内的应当由发包人或承包人承担的经济支出。</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1.14 工期：指发包人承包人在协议书中约定，按总日历天数（包括法定节假日）计算的承包天数。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1.15 开工日期：指发包人承包人在协议书中约定，承包人开始施工的绝对或相对的日期。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1.16 竣工日期：指发包人承包人在协议书中约定，承包人完成承包范围内工程的绝对或相对的日期。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1.17 图纸：指由发包人提供或承包人提供并经发包人批准，满足承包人施工需要的所有图纸（包括配套说明和有关资料）。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1.18 施工场地：指由发包人提供的用于工程施工的场所以及发包人在图纸中具体指定的供施工使用的任何其他场所。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1.19 书面形式：指合同书、信件和数据电文（包括电报、电传、传真、电子数据交换和电子邮件）等可以有形地表现所载内容的形式。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1.20 违约责任：指合同一方不履行合同义务或履行合同义务不符合约定所应承担的责任。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1.21 索赔：指在合同履行过程中，对于并非自己的过错，而是应由对方承担责任的情况造成的实际损失，向对方提出经济补偿和（或）工期顺延的要求。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1.22 不可抗力：指不能预见、不能避免并不能克服的客观情况。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1.23 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小时。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2、合同文件及解释顺序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2.1 合同文件应能相互解释，互为说明。除专用条款另有约定外，组成本合同的文件及优先解释顺序如下：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（1）本合同协议书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（2）中标通知书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（3）投标书及其附件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（4）本合同专用条款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（5）本合同通用条款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（6）标准、规范及有关技术文件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（7）图纸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（8）工程量清单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（9）工程报价单或预算书</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合同履行中，发包人承包人有关工程的洽商、变更等书面协议或文件视为本合同的组成部分。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2.2当合同文件内容含糊不清或不相一致时，在不影响工程正常进行的情况下，由发包人承包人协商解决。双方也可以提请负责监理的工程师做出解释。双方协商不成或不同意负责监理的工程师的解释时，按本通用条款37条关于争议的约定处理。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3、语言文字和适用法律、标准及规范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3.1 语言文字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本合同文件使用汉语语言文字书写、解释和说明。如专用条款约定使用两种以上（含两种）语言文字时，汉语应为解释和说明本合同的标准语言文字。</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在少数民族地区，双方可以约定使用少数民族语言文字书写和解释、说明本合同。</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3.2 适用法律和法规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本合同文件适用国家的法律和行政法规。需要明示的法律、行政法规，由双方在专用条款中约定。</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3.3 适用标准、规范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双方在专用条款内约定适用国家标准、规范和名称；没有国家标准、规范但有行业标准、规范的，约定适用行业标准、规范的名称；没有国家和行业标准、规范的，约定适用工程所在地地方标准、规范的名称。发包人应按专用条款约定的时间向承包人提供一式两份约定的标准、规范。</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国内没有相应标准、规范的，由发包人按专用条款约定的时间向承包人</w:t>
      </w:r>
      <w:r>
        <w:rPr>
          <w:rFonts w:hint="eastAsia" w:ascii="宋体" w:hAnsi="宋体" w:cs="Times New Roman"/>
          <w:color w:val="auto"/>
          <w:spacing w:val="4"/>
          <w:szCs w:val="21"/>
          <w:highlight w:val="none"/>
        </w:rPr>
        <w:t>提出施工技术要求，承包人按约定的时间和要求提出施工工艺，经发包人认</w:t>
      </w:r>
      <w:r>
        <w:rPr>
          <w:rFonts w:hint="eastAsia" w:ascii="宋体" w:hAnsi="宋体" w:cs="Times New Roman"/>
          <w:color w:val="auto"/>
          <w:szCs w:val="21"/>
          <w:highlight w:val="none"/>
        </w:rPr>
        <w:t xml:space="preserve">可后执行。发包人要求使用国外标准、规范的，应负责提供中文译本。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本条所发生的购买、翻译标准、规范或制定施工工艺的费用，由发包人承担。</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4、图纸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4.1 发包人应按专用条款约定的日期和套数，向承包人提供图纸。承包人需要增加图纸套数的，发包人应代为复制，复制费用由承包人承担。发包人对工程有保密要求的，应在专用条款中提出保密要求，保密措施费用由发包人承担，承包人在约定保密期限内履行保密义务。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4.2 承包人未经发包人同意，不得将本工程图纸转给第三人。工程质量保修期满后，除承包人存档需要的图纸外，应将全部图纸退还给发包人。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4.3 承包人应在施工现场保留一套完整图纸，供工程师及有关人员进行工程检查时使用。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二、双方一般权利和义务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5、工程师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5.1实行工程监理的，发包人应在实施监理前将委托的监理单位名称、监理内容及监理权限以书面形式通知承包人。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5.2监理单位委派的总监理工程师在本合同中称工程师，其姓名、职务、职权由发包人承包人在专用条款内写明。工程师按合同约定行使职权，发包人在专用条款内要求工程师在行使某些职权前需要征得发包人批准的，工程师应征得发包人批准。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5.3 发包人派驻施工场地履行合同的代表在本合同中也称工程师，其姓名、职务、职权由发包人在专用条款内写明，但职权不得与监理单位委派的总监理工程师职权相互交叉。双方职权发生交叉或不明确时，由发包人予以明确，并以书面形式通知承包人。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5.4 合同履行中，发生影响发包人承包人双方权利或义务的事件时，负责监理的工程师应依据合同在其职权范围内客观公正地进行处理。一方对工程师的处理有异议时，按本通用条款37条关于争议的约定处理。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5.5 除合同内有明确约定或经发包人同意外，负责监理的工程师无权解除本合同约定的承包人的任何权利与义务。</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5.6 不实行工程监理的，本合同中工程师专指发包人派驻施工现场履行合同的代表，其具体职权由发包人在专用条款中写明。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6、工程师的委派和指令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6.1工程师可委派工程师代表，行使合同约定的自己的职权，并可在认为必要时撤回委派。委派和撤回均应提前7天以书面形式通知承包人，负责监理的工程师还应将委派和撤回通知发包人。委派书和撤回通知作为本合同附件。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纠正。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除工程师或工程师代表外，发包人派驻工地的其他人员均无权向承包人发出任何指令。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6.2 工程师的指令、通知由其本人签字后，以书面形式交给项目负责人，项目负责人在回执上签署姓名和收到时间后生效。确有必要时，工程师可发出口头指令，并在48小时内给予书面确认，承包人对工程师的指令应予执行。工程师不能及时给予书面确认的，承包人应于工程师发出口头指令后7天内提出书面确认要求。工程师在承包人提出确认要求后48小时内不予答复的，视为口头指令已被确认。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承包人认为工程师指令不合理，应在收到指令后24小时内向工程师提出修改指令的书面报告，工程师在收到承包人报告后24小时内作出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承担，延误的工期相应顺延。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本款规定同样适用于由工程师代表发出的指令、通知。</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6.3 工程师应按合同约定，及时向承包人提供所需指令、批准并履行约定的</w:t>
      </w:r>
      <w:r>
        <w:rPr>
          <w:rFonts w:hint="eastAsia" w:ascii="宋体" w:hAnsi="宋体" w:cs="Times New Roman"/>
          <w:color w:val="auto"/>
          <w:spacing w:val="4"/>
          <w:szCs w:val="21"/>
          <w:highlight w:val="none"/>
        </w:rPr>
        <w:t>其他义务。由于工程师未能按合同约定履行义务造成工期延误，发包人应承</w:t>
      </w:r>
      <w:r>
        <w:rPr>
          <w:rFonts w:hint="eastAsia" w:ascii="宋体" w:hAnsi="宋体" w:cs="Times New Roman"/>
          <w:color w:val="auto"/>
          <w:szCs w:val="21"/>
          <w:highlight w:val="none"/>
        </w:rPr>
        <w:t xml:space="preserve">担延误造成的追加合同价款，并赔偿承包人有关损失，顺延延误的工期。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6.4 如需更换工程师，发包人应至少提前7天以书面形式通知承包人，后任继续行使合同文件约定的前任的职权，履行前任的义务。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7、项目负责人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7.1 项目负责人的姓名、职务在专用条款内写明。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7.2 承包人依据合同发出的通知，以书面形式由项目负责人签字后送交工程师，工程师在回执上签署姓名和收到时间后生效。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7.3 项目负责人按发包人认可的施工组织设计（施工方案）和工程师依据合同发出的指令组织施工。在情况紧急且无法与工程师联系时，项目负责人应当采取保证人员生命和工程、财产安全的紧急措施，并在采取措施后48小时内向工程师送交报告。责任在发包人或第三人，由发包人承担由此发生的追加合同价款，相应顺延工期；责任在承包人，由承包人承担费用，不顺延工期。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7.4 承包人如需更换项目负责人，应至少提前7天以书面形式通知发包人，并征得发包人同意。后任继续行使合同文件约定的前任的职权，履行前任的义务。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7.5 发包人可以与承包人协商，建议更换其认为不称职的项目负责人。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8、发包人工作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8.1 发包人按专用条款约定的内容和时间完成以下工作: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(1) 办理土地征用、拆迁补偿、平整施工场地等工作，使施工场地具备施工条件，在开工后继续负责解决以上事项遗留问题；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(2) 将施工所需水、电、电讯线路从施工场地外部接至专用条款约定地点，保证施工期间的需要；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(3) 开通施工场地与城乡公共道路的通道，以及专用条款约定的施工场地内的主要道路，满足施工运输的需要，保证施工期间的畅通。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(4) 向承包人提供施工场地的工程地质和地下管线资料，对资料的真实准确性负责；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(5) 办理施工许可证及其他施工所需证件、批件和临时用地、停水、停电、中断道路交通、爆破作业等的申请批准文件（证明承包人自身资质的证件除外）；</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(6) 确定水准点与坐标控制点，以书面形式交给承包人，进行现场交验；</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(7) 组织承包人和设计单位进行图纸会审和设计交底；</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(8) 协调管理施工场地周围地下管线和邻近建筑物、构筑物（包括文物保护建筑）、古树名木的保护工作，承担有关费用；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(9) 发包人应做的其他工作，双方在专用条款内约定。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8.2 发包人未履行8.1款各项义务，导致工期延误或给承包人造成损失的，发包人赔偿承包人有关损失，顺延延误的工期。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9、承包人工作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9.1 承包人按专用条款约定的内容和时间完成以下工作：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(1)根据发包人委托，在其设计资质等级和业务允许的范围内，完成施工图设计或与工程配套的设计，经工程师确认后使用，发包人承担由此发生的费用；</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(2)向工程师提供年、季、月度工程进度计划及相应进度统计报表；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(3)根据工程需要，提供和维修非夜间施工使用的照明、围栏设施，并负责安全保卫；</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(4)按专用条款约定的数量和要求，向发包人提供施工场地办公和生活的房屋及设施，发包人承担由此发生的费用；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(5)遵守政府有关主管部门对施工场地交通、施工噪音以及环境保护和安全生产等的管理规定，按规定办理有关手续，并以书面形式通知发包人，发包人承担由此发生的费用，因承包人责任造成的罚款除外；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(6)已竣工工程未交付发包人之前，承包人按专用条款约定负责已完工程的保护工作，保护期间发生损坏，承包人自费予以修复；发包人要求承包人采取特殊措施保护的工程部位和相应的追加合同价款，双方在专用条款内约定；</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(7)按专用条款约定做好施工场地地下管线和邻近建筑物、构筑物（包括文物保护建筑）、古树名木的保护工作；</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(8)保证施工场地清洁符合环境卫生管理的有关规定，交工前清理现场达到专用条款约定的要求，承担因自身原因违反有关规定造成的损失和罚款；</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(9)</w:t>
      </w:r>
      <w:r>
        <w:rPr>
          <w:rFonts w:hint="eastAsia" w:ascii="宋体" w:hAnsi="宋体" w:cs="Times New Roman"/>
          <w:color w:val="auto"/>
          <w:spacing w:val="-6"/>
          <w:szCs w:val="21"/>
          <w:highlight w:val="none"/>
        </w:rPr>
        <w:t>办理施工许可证及施工所需证件、批件和临时用地、停水、停电、中断</w:t>
      </w:r>
      <w:r>
        <w:rPr>
          <w:rFonts w:hint="eastAsia" w:ascii="宋体" w:hAnsi="宋体" w:cs="Times New Roman"/>
          <w:color w:val="auto"/>
          <w:szCs w:val="21"/>
          <w:highlight w:val="none"/>
        </w:rPr>
        <w:t>道路交通、爆破作业等的申请批准手续（证明承包人自身资质的证件除外）；</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(10)承包人应做的其他工作，双方在专用条款内约定。</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9.2承包人未能履行9.1款各项义务，造成发包人损失的，承包人赔偿发包人有关损失。</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三、施工组织设计和工期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10、进度计划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10.1 承包人应按专用条款约定的日期，将施工组织设计和工程进度计划提交工程师，工程师按专用条款约定的时间予以确认或提出修改意见，逾期不确认也不提出书面意见的，视为同意。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10.2群体工程中单位工程分期进行施工的，承包人应按照发包人提供图纸及有关资料的时间，按单位工程编制进度计划，其具体内容双方在专用条款中约定。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10.3承包人必须按工程师确认的进度计划组织施工，接受工程师对进度的检查、监督。工程实际进度与经确认的进度计划不符时，承包人应按工程师的要求提出改进措施，经工程师确认后执行。因承包人的原因导致实际进度与进度计划不符，承包人无权就改进措施提出追加合同价款。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11、开工及延期开工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11.1承包人应当按照协议书约定的开工日期开工。承包人不能按时开工，应当不迟于协议书约定的开工日期前7天，以书面形式向工程师提出延期开工的理由和要求。工程师应当在接到延期开工申请后的48小时内以书面形式答复承包人。工程师在接到延期开工申请后48小时内不答复，视为同意承包人要求，工期相应顺延。工程师不同意延期要求或承包人未在规定时间内提出延期开工要求，工期不予顺延。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11.2因发包人原因不能按照协议书约定的开工日期开工，工程师应以书面形式通知承包人，推迟开工日期。发包人赔偿承包人因延期开工造成的损失，并相应顺延工期。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12、暂停施工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工程师认为确有必要暂停施工时，应当以书面形式要求承包人暂停施工，并在提出要求后48小时内提出书面处理意见。承包人应当按工程师要求停止施工，并妥善保护已完工程。承包人实施工程师做出的处理意见后，可以书面形式提出复工要求，工程师应当在48小时内给予答复。工程师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13、工期延误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13.1因以下原因造成工期延误，经工程师确认工期相应顺延；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(1) 发包人未能按专用条款的约定提供图纸及开工条件；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(2) 发包人未能按约定日期支付工程预付款、进度款，致使施工不能正常进行；</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(3) 工程师未按合同约定提供所需指令、批准等，致使施工不能正常进行；</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(4) 设计变更和工程量增加；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(5) 一周内非承包人原因停水、停电、停气造成停工累计超过8小时；</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(6) 不可抗力；</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(7) 专用条款中约定或工程师同意工期顺延的其他情况。</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13.2承包人在13.1款情况发生后14天内，就延误的工期以书面形式向工程师提出报告。工程师在收到报告后14天内予以确认，逾期不予确认也不提出修改意见，视为同意顺延工期。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14、工程竣工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14.1 承包人必须按照协议书约定的竣工日期或工程师同意顺延的工期竣工。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14.2 因承包人原因不能按照协议书约定的竣工日期或工程师同意顺延的工期竣工的，承包人承担违约责任。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14.3 施工中发包人如需提前竣工，双方协商一致后就应签订提前竣工协议，作为合同文件组成部分。提前竣工协议应包括承包人为保证工程质量和安全采取的措施、发包人为提前竣工提供的条件以及提前竣工所需的追加合同价款等内容。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四、质量与检验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15、工程质量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1</w:t>
      </w:r>
      <w:r>
        <w:rPr>
          <w:rFonts w:hint="eastAsia" w:ascii="宋体" w:hAnsi="宋体" w:cs="Times New Roman"/>
          <w:color w:val="auto"/>
          <w:spacing w:val="6"/>
          <w:szCs w:val="21"/>
          <w:highlight w:val="none"/>
        </w:rPr>
        <w:t>5.1 工程质量应当达到协议书约定的质量标准，质量标准的评定以国家或</w:t>
      </w:r>
      <w:r>
        <w:rPr>
          <w:rFonts w:hint="eastAsia" w:ascii="宋体" w:hAnsi="宋体" w:cs="Times New Roman"/>
          <w:color w:val="auto"/>
          <w:szCs w:val="21"/>
          <w:highlight w:val="none"/>
        </w:rPr>
        <w:t xml:space="preserve">行业的质量检验评定标准为依据。因承包人原因工程质量达不到约定的质量标准，承包人承担违约责任。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15.2 双方对工程质量有争议，由双方同意的工程质量检测机构鉴定，所需费用及因此造成的损失，由责任方承担。双方均有责任，由双方根据其责任分别承担。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16、检查和返工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16.1 承包人应认真按照标准、规范和设计图纸要求以及工程师依据合同发出的指令施工，随时接受工程师的检查检验，为检查检验提供便利条件。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16.2 工程质量达不到约定标准的部分，工程师一经发现，应要求承包人拆除和重新施工，承包人应按工程师的要求拆除和重新施工，直到符合约定标准。因承包人原因达不到约定标准，由承包人承担拆除和重新施工的费用，工期不予顺延。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16.3 工程师的检查检验不应影响施工正常进行。如影响施工正常进行，检查检验不合格时，影响正常施工的费用由承包人承担。除此之外影响正常施工的追加合同价款由发包人承担，相应顺延工期。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16.4 因工程师指令失误或其他非承包人原因发生的追加合同价款，由发包人承担。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17、隐蔽工程和中间验收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17.1 工程具备隐蔽条件或达到专用条款约定的中间验收部位，承包人进行自检，并在隐蔽或中间验收前48小时以书面形式通知工程师验收。通知包括隐蔽和中间验收的内容、验收时间和地点。承包人准备验收记录，验收合格，</w:t>
      </w:r>
      <w:r>
        <w:rPr>
          <w:rFonts w:hint="eastAsia" w:ascii="宋体" w:hAnsi="宋体" w:cs="Times New Roman"/>
          <w:color w:val="auto"/>
          <w:spacing w:val="4"/>
          <w:szCs w:val="21"/>
          <w:highlight w:val="none"/>
        </w:rPr>
        <w:t>工程师在验收记录上签字后，承包人可进行隐蔽和继续施工。验收不合格</w:t>
      </w:r>
      <w:r>
        <w:rPr>
          <w:rFonts w:hint="eastAsia" w:ascii="宋体" w:hAnsi="宋体" w:cs="Times New Roman"/>
          <w:color w:val="auto"/>
          <w:szCs w:val="21"/>
          <w:highlight w:val="none"/>
        </w:rPr>
        <w:t xml:space="preserve">，承包人在工程师限定的时间内修改后重新验收。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17.2 工程师不能按时进行验收，应在验收前24小时以书面形式向承包人提出延期要求，延期不能超过48小时。工程师未能按以上时间提出延期要求，不进行验收，承包人可自行组织验收，工程师应承认验收记录。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17.3 经工程师验收，工程质量符合标准、规范和设计图纸等要求，验收24</w:t>
      </w:r>
      <w:r>
        <w:rPr>
          <w:rFonts w:hint="eastAsia" w:ascii="宋体" w:hAnsi="宋体" w:cs="Times New Roman"/>
          <w:color w:val="auto"/>
          <w:spacing w:val="4"/>
          <w:szCs w:val="21"/>
          <w:highlight w:val="none"/>
        </w:rPr>
        <w:t>小时后，工程师不在验收记录上签字，视为工程师已经认可验收记录，承包</w:t>
      </w:r>
      <w:r>
        <w:rPr>
          <w:rFonts w:hint="eastAsia" w:ascii="宋体" w:hAnsi="宋体" w:cs="Times New Roman"/>
          <w:color w:val="auto"/>
          <w:szCs w:val="21"/>
          <w:highlight w:val="none"/>
        </w:rPr>
        <w:t xml:space="preserve">人可进行隐蔽或继续施工。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18、重新检验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无论工程师是否进行验收，当其要求对已经隐蔽的工程重新检验时，承包人应按要求进行剥离或开孔，并在检验后重新覆盖或修复。检验合格，发包人承担由此发生的全部追加合同价款，赔偿承包人损失，并相应顺延工期。检验不合格，承包人承担发生的全部费用，工期不予顺延。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19、工程试车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19.1 双方约定需要试车的，试车内容应与承包人承包的安装范围相一致。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19.2 设备安装工程具备单机无负荷试车条件，承包人组织试车，并在试车前48小时以书面形式通知工程师。通知包括试车内容、时间、地点。承包人准备试车记录，发包人根据承包人要求为试车提供必要条件。试车合格，工程师在试车记录上签字。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19.3 工程师不能按时参加试车，须在开始试车前24小时以书面形式向承包人提出延期要求，延期不能超过48小时。工程师未能按以上时间提出延期要求，不参加试车，应承认试车记录。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19.4 设备安装工程具备无负荷联动试车条件，发包人组织试车，并在试车前48小时以书面形式通知承包人。通知包括试车内容、时间、地点和对承包人的要求，承包人按要求做好准备工作。试车合格，双方在试车记录上签字。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19.5双方责任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(1) 由于设计原因试车达不到验收要求，发包人应要求设计单位修改设计，承包人按修改后的设计重新安装。发包人承担修改设计、拆除及重新安装的全部费用和追加合同价款，工期相应顺延。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(2) 由于设备制造原因试车达不到验收要求，由该设备采购一方负责重新购置或修理，承包人负责拆除和重新安装。设备由承包人采购的，由承包人承担修理或重新购置、拆除及重新安装的费用，工期不予顺延；设备由发包人采购的，发包人承担上述各项追加合同价款，工期相应顺延。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(3) 由于承包人施工原因试车达不到验收要求，承包人按工程师要求重新安装和试车，并承担重新安装和试车的费用，工期不予顺延。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(4) 试车费用除已包括在合同价款之内或专用条款另有约定外，均由发包人承担。</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(5) 工程师在试车合格后不在试车记录上签字，试车结束24小时后，视为工程师已经认可试车记录，承包人可继续施工或办理竣工手续。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19.6 投料试车应在工程竣工验收后由发包人负责，如发包人要求在工程竣工验收前进行或需要承包人配合时，应征得承包人同意，另行签订补充协议。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五、安全施工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20、安全施工与检查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20.1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20.2发包人应对其在施工场地的工作人员进行安全教育，并对他们的安全负责。发包人不得要求承包人违反安全管理的规定进行施工。因发包人原因导致的安全事故，由发包人承担相应责任及发生的费用。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21、安全防护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21.1承包人在动力设备、输电线路、地下管道、密封防震车间、易燃易爆地段以及临街交通要道附近施工时，施工开始前应向工程师提出安全防护措施，经工程师认可后实施，防护措施费用由发包人承担。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21.2实施爆破作业，在放射、毒害性环境中施工（含储存、运输、使用）及使用毒害性、腐蚀性物品施工时，承包人应在施工前14天以书面形式通知工</w:t>
      </w:r>
      <w:r>
        <w:rPr>
          <w:rFonts w:hint="eastAsia" w:ascii="宋体" w:hAnsi="宋体" w:cs="Times New Roman"/>
          <w:color w:val="auto"/>
          <w:spacing w:val="2"/>
          <w:szCs w:val="21"/>
          <w:highlight w:val="none"/>
        </w:rPr>
        <w:t>程师，并提出相应的安全防护措施，经工程师认可后实施,由发包人承担安全</w:t>
      </w:r>
      <w:r>
        <w:rPr>
          <w:rFonts w:hint="eastAsia" w:ascii="宋体" w:hAnsi="宋体" w:cs="Times New Roman"/>
          <w:color w:val="auto"/>
          <w:szCs w:val="21"/>
          <w:highlight w:val="none"/>
        </w:rPr>
        <w:t xml:space="preserve">防护措施费用。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22、事故处理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22.1发生重大伤亡及其他安全事故，承包人应按有关规定立即上报有关部门并通知工程师，同时按政府有关部门要求处理，由事故责任方承担发生的费用。</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22.2发包人承包人对事故责任有争议时，应按政府有关部门的认定处理。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六、合同价款与支付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23、合同价款及调整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23.1招标工程的合同价款由发包人承包人依据中标通知书中的中标价格在协议书内约定。非招标工程的合同价款由发包人承包人依据工程预算书在协议书内约定。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23.2合同价款在协议书内约定后，任何一方不得擅自改变。下列三种确定合同价款的方式，双方可在专用条款内约定采用其中一种：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(1) 固定价格合同。双方在专用条款内约定合同价款包含的风险范围和风险费用的计算方法，在约定的风险范围内合同价款不再调整。风险范围以外的合同价款调整方法，应当在专用条款内约定。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(2) 可调价格合同。合同价款可根据双方的约定而调整，双方在专用条款内约定合同价款调整方法。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(3) 成本加酬金合同。合同价款包括成本和酬金两部分，双方在专用条款内约定成本构成和酬金的计算方法。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23.3可调价格合同中合同价款的调整因素包括：</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(1) 法律、行政法规和国家有关政策变化影响合同价款；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(2) 工程造价管理部门公布的价格调整；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(3) 一周内非承包人原因停水、停电、停气造成的停工累计超过8小时；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(4) 双方约定的其他因素。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23.4承包人应当在23.3款情况发生后14天内，将调整原因、金额以书面形式通知工程师，工程师确认调整金额后作为追加合同价款，与工程款同期支付。工程师收到承包人通知后14天内不予确认也不提出修改意见，视为已经同意该项调整。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24、工程预付款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实行工程预付款的，双方应当在专用条款内约定发包人向承包人预付工程款的时间和数额，开工后按约定的时间和比例逐次扣回。预付时间应不迟于约定的开工日期前7天。发包人不按约定预付，承包人在约定预付时间7天后向发包人发出要求预付的通知，发包人收到通知后仍不能按要求预付，承包人可在发出通告后7天停止施工，发包人应从约定应付之日起向承包人支付应付款的贷款利息，并承担违约责任。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25、工程量的确认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25.1 承包人应按专用条款约定的时间，向工程师提交已完工程量的报告。工程师接到报告后7天内按设计图纸核实已完工程量（以下称计量），并在计量前24小时通知承包人，承包人应为计量提供便利条件并派人参加。承包人收到通知后不参加计量，计量结果有效，作为工程价款支付的依据。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25.2 工程师收到承包人报告后7天内未进行计量，从第8天起，承包人报告中开列的工程量即视为被确认，作为工程价款支付的依据。工程师不按约定时间通知承包人，致使承包人未能参加计量，计量结果无效。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25.3对承包人超出设计图纸范围和因承包人原因造成返工的工程量，工程师不予计量。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26、工程款（进度款）支付。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26.1 在确认计量结果后14天内，发包人应向承包人支付工程款（进度款）。按约定时间发包人应扣回的预付款，与工程款（进度款）同期结算。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26.2 本通用条款第23条确定调整的合同价款，第31条工程变更调整的合同价款及其他条款中约定的追加合同价款，应与工程款（进度款）同期调整支付。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26.3 发包人超过约定的支付时间不支付工程款（进度款），承包人可向发包人发出要求付款的通知，发包人收到承包人通知后仍不能按要求付款，可与承包人协商签订延期付款协议，经承包人同意后可延期支付。协议应明确延期支付的时间和从计量结果确认后第15天起计算应付款的贷款利息。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26.4 发包人不按合同约定支付工程款（进度款），双方又未达成延期付款协议，导致施工无法进行，承包人可停止施工，由发包人承担违约责任。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七、材料设备供应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27、发包人供应材料设备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27.1 实行发包人供应材料设备的，双方应当约定发包人供应材料设备的一览表，作为本合同附件（附件2）。一览表包括发包人供应材料设备的品种、规格、型号、数量、单价、质量等级、提供时间和地点。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27.2 发包人按一览表约定的内容提供材料设备，并向承包人提供产品合格证明，对其质量负责。发包人在所供材料设备到货前24小时，以书面形式通知承包人，由承包人派人与发包人共同清点。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27.3 发包人供应的材料设备，承包人派人参加清点后由承包人妥善保管，发包人支付相应保管费用。因承包人原因发生丢失损坏，由承包人负责赔偿。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发包人未通知承包人清点，承包人不负责材料设备的保管，丢失损坏由发包人负责。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27.4发包人供应的材料设备与一览表不符时，发包人承担有关责任。发包人应承担责任的具体内容，双方根据下列情况在专用条款内约定。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(1) 材料设备单价与一览表不符，由发包人承担所有价差；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(2) 材料设备的品种、规格、型号、质量等级与一览表不符，承包人可拒绝接收保管，由发包人运出施工场地并重新采购；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(3) 发包人供应的材料规格、型号与一览表不符，经发包人同意，承包人可代为调剂串换，由发包人承担相应费用；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(4) 到货地点与一览表不符，由发包人负责运至一览表指定地点：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(5) 供应数量少于一览表约定的数量时，由发包人补齐，多于一览表约定数量时，发包人负责将多出部分运出施工场地；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(6) 到货时间早于一览表约定时间，由发包人承担因此发生的保管费用；到货时间迟于一览表约定的供应时间，发包人赔偿由此造成的承包人损失，造成工期延误的，相应顺延工期。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27.5发包人供应的材料设备使用前，由承包人负责检验或试验，不合格的不得使用，检验或试验费用由发包人承担。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27.6发包人供应材料设备的结算方法，双方在专用条款内约定。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28、承包人采购材料设备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28.1 承包人负责采购材料设备的，应按照专用条款约定及设计和有关标准要求采购，并提供产品合格证明，对材料设备质量负责。承包人在材料设备到货前24小时通知工程师清点。</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28.2</w:t>
      </w:r>
      <w:r>
        <w:rPr>
          <w:rFonts w:hint="eastAsia" w:ascii="宋体" w:hAnsi="宋体" w:cs="Times New Roman"/>
          <w:color w:val="auto"/>
          <w:spacing w:val="8"/>
          <w:szCs w:val="21"/>
          <w:highlight w:val="none"/>
        </w:rPr>
        <w:t xml:space="preserve"> 承包人采购的材料设备与设计或标准要求不符时，承包人应按工程师要</w:t>
      </w:r>
      <w:r>
        <w:rPr>
          <w:rFonts w:hint="eastAsia" w:ascii="宋体" w:hAnsi="宋体" w:cs="Times New Roman"/>
          <w:color w:val="auto"/>
          <w:szCs w:val="21"/>
          <w:highlight w:val="none"/>
        </w:rPr>
        <w:t xml:space="preserve">求的时间运出施工场地，重新采购符合要求的产品，承担由此发生的费用，由此延误的工期不予顺延。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28.3 承包人采购的材料设备在使用前，承包人应按工程师的要求进行检验或试验，不合格的不得使用，检验或试验费用由承包人承担。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28.4 工程师发现承包人采购并使用不符合设计或标准要求的材料设备时，应要求由承包人负责修复、拆除或重新采购，并承担发生的费用，由此延误的工期不予顺延。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28.5 承包人需要使用代用材料时，应经工程师认可后才能使用，由此增减的合同价款双方以书面形式议定。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28.6 由承包人采购的材料设备，发包人不得指定生产厂或供应商。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八、工程变更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29、工程设计变更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29.1施工中发包人需对原工程设计进行变更，应提前14天以书面形式向承包人发出变更通知。变更超过原设计标准或批准的建设规模时，发包人应报规划管理部门和其他有关部门重新审查批准，并由原设计单位提供变更的相应图纸和说明。承包人按照工程师发出的变更通知及有关要求，进行下列需要的变更：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(1) 更改工程有关部分的标高、基线、位置和尺寸；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(2) 增减合同中约定的工程量；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(3) 改变有关工程的施工时间和顺序；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(4) 其他有关工程变更需要的附加工作。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因变更导致合同价款的增减及造成的承包人损失，由发包人承担，延误的工期相应顺延。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29.2施工中承包人不得对原工程设计进行变更。因承包人擅自变更设计发生的费用和由此导致发包人的直接损失，由承包人承担，延误的工期不予顺延。</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29.3承包人在施工中提出的合理化建议涉及到对设计图纸或施工组织设计的更改及对材料、设备的换用，须经工程师同意。未经同意擅自更改或换用时，承包人承担由此发生的费用，并赔偿发包人的有关损失，延误的工期不予顺延。</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工程师同意采用承包人合理化建议，所发生的费用和获得的收益，发包人承包人另行约定分担或分享。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30、其他变更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合同履行中发包人要求变更工程质量标准及发生其他实质性变更，由双方协商解决。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31、确定变更价款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31.1承包人在工程变更确定后14天内，提出变更工程价款的报告，经工程师确认后调整合同价款。变更合同价款按下列方法进行：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(1) 合同中已有适用于变更工程的价格，按合同已有的价格变更合同价款；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(2) 合同中只有类似于变更工程的价格，可以参照类似价格变更合同价款；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(3) 合同中没有适用或类似于变更工程的价格，由承包人提出适当的变更价格，经工程师确认后执行。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31.2承包人在双方确定变更后14天内不向工程师提出变更工程价款报告时，视为该项变更不涉及合同价款的变更。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31.3工程师应在收到变更工程价款报告之日起14天内予以确认，工程师无正当理由不确认时，自变更工程价款报告送达之日起14天后视为变更工程价款报告已被确认。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31.4工程师不同意承包人提出的变更价款，按本通用条款第37条关于争议的约定处理。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31.5工程师确认增加的工程变更价款作为追加合同价款，与工程款同期支付。</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31.6因承包人自身原因导致的工程变更，承包人无权要求追加合同价款。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九、竣工验收与结算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32、竣工验收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32.1 工程具备竣工验收条件，承包人按国家工程竣工验收有关规定，向发包人提供完整竣工资料及竣工验收报告。双方约定由承包人提供竣工图的，应当在专用条款内约定提供的日期和份数。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32.2 发包人收到竣工验收报告后28天内组织有关单位验收，并在验收后14天内给予认可或提出修改意见。承包人按要求修改，并承担由自身原因造成修改的费用。</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32.3 发包人收到承包人送交的竣工验收报告后28天内不组织验收，或验收后14天内不提出修改意见，视为竣工验收报告已被认可。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32.4 工程竣工验收通过，承包人送交竣工验收报告的日期为实际竣工日期。工程按发包人要求修改后通过竣工验收的，实际竣工日期为承包人修改后提请发包人验收的日期。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32.5 发包人收到承包人竣工验收报告后28天内不组织验收，从第29天起承担工程保管及一切意外责任。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32.6 中间交工工程的范围和竣工时间，双方在专用条款内约定，其验收程序按本通用条款32.1款至32.4款办理。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32.7 因特殊原因，发包人要求部分单位工程或工程部位甩项竣工的，双方另行签订甩项竣工协议，明确双方责任和工程价款支付方法。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32.8 工程未经竣工验收或竣工验收未通过的，发包人不得使用。发包人强行使用时，由此发生的质量问题及其他问题，由发包人承担责任。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33、竣工结算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33.1 工程竣工验收报告经发包人认可后28天内，承包人向发包人递交竣工结算报告及完整的结算资料，双方按照协议书约定的合同价款及专用条款约定的合同价款调整内容，进行工程竣工结算。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33.2 发包人收到承包人递交的竣工结算报告及结算资料后28天内进行核实，给予确认或者提出修改意见。发包人确认竣工结算报告后通知经办银行向承包人支付工程竣工结算价款。承包人收到竣工结算价款后14天内将竣工工程交付发包人。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33.3 发包人收到竣工结算报告及结算资料后28天内无正当理由不支付工程竣工结算价款，从第29天起按承包人同期向银行贷款利率支付拖欠工程价款的利息，并承担违约责任。</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33.4 发包人收到竣工结算报告及结算资料后28天内不支付工程竣工结算价款，承包人可以催告发包人支付结算价款。发包人在收到竣工结算报告及结算资料后56天内仍不支付的，承包人可以与发包人协议将该工程折价，也可以由承包人申请人民法院将该工程依法拍卖，承包人就该工程折价或者拍卖的价款优先受偿。</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33.5 工程竣工验收报告经发包人认可后28天内，承包人未能向发包人递交竣工结算报告及完整的结算资料，造成工程竣工结算不能正常进行或工程竣工结算价款不能及时支付，发包人要求交付工程的，承包人应当交付；发包人不要求交付工程的，承包人承担保管责任。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33.6 发包人承包人对工程竣工结算价款发生争议时，按本通用条款37条关于争议的约定处理。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34、质量保修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34.1 承包人应按法律、行政法规或国家关于工程质量保修的有关规定，对交付发包人使用的工程在质量保修期内承担质量保修责任。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34.2 质量保修工作的实施。承包人应在工程竣工验收之前，与发包人签订质量保修书，作为本合同附件（附件3）。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34.3 质量保修书的主要内容包括：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(1) 质量保修项目内容及范围；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(2) 质量保修期；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(3) 质量保修责任；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(4) 质量保修金的支付方法。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十、违约、索赔和争议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35、违约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35.1发包人违约。当发生下列情况时：</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(1) 本通用条款第24条提到的发包人不按时支付工程预付款；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(2) 本通用条款第26.4款提到的发包人不按合同约定支付工程款，导致施工无法进行；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(3) 本通用条款第33.3款提到的发包人无正当理由不支付工程竣工结算价款；</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(4) 发包人不履行合同义务或不按合同约定履行义务的其他情况。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发包人承担违约责任，赔偿因其违约给承包人造成的经济损失，顺延延误的工期。双方在专用条款内约定发包人赔偿承包人损失的计算方法或者发包人应当支付违约金的数额或计算方法。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35.2承包人违约。当发生下列情况时：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(1) 本通用条款第14.2款提到的因承包人原因不能按照协议书约定的竣工日期或工程师同意顺延的工期竣工；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(2) 本通用条款第15.1款提到的因承包人原因工程质量达不到协议书约定的质量标准；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(3) 承包人不履行合同义务或不按合同约定履行义务的其他情况。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承包人承担违约责任，赔偿因其违约给发包人造成的损失。双方在专用条款内约定承包人赔偿发包人损失的计算方法或者承包人应当支付违约金的数额或计算方法。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35.3一方违约后，另一方要求违约方继续履行合同时，违约方承担上述违约责任后仍应继续履行合同。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36、索赔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36.1当一方向另一方提出索赔时，要有正当索赔理由，且有索赔事件发生时的有效证据。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36.2发包人未能按合同约定履行自己的各项义务或发生错误以及应由发包人承担责任的其他情况，造成工期延误和（或）承包人不能及时得到合同价款及承包人的其他经济损失，承包人可按下列程序以书面形式向发包人索赔：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(1) 索赔事件发生后28天内，向工程师发出索赔意向通知；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(2) 发出索赔意向通知后28天内，向工程师提出延长工期和（或）补偿经济损失的索赔报告及有关资料；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(3) 工程师在收到承包人送交的索赔报告及有关资料后，于28天内给予答复，或要求承包人进一步补充索赔理由和证据；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(4) 工程师在收到承包人送交的索赔报告和有关资料后28天内未予答复或未对承包人作进一步要求，视为该项索赔已经认可；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(5) 当该索赔事件持续进行时，承包人应当阶段性向工程师发出索赔意向，在索赔事件终了后28天内，向工程师送交索赔的有关资料和最终索赔报告。索赔答复程序与（3）、（4）规定相同。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36.3承包人未能按合同约定履行自己的各项义务或发生错误，给发包人造成经济损失，发包人可按36.2款确定的时限向承包人提出索赔。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37、争议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37.1发包人承包人在履行合同时发生争议，可以和解或者要求有关主管部门调解。当事人不愿和解、调解或者和解、调解不成的，双方可以在专用条款内约定以下一种方式解决争议：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第一种解决方式：双方达成仲裁协议，向约定的仲裁委员会申请仲裁；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第二种解决方式：向有管辖权的人民法院起诉。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37.2发生争议后，除非出现下列情况的，双方都应继续履行合同，保持施工连续，保护好已完工程：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(1) 单方违约导致合同确已无法履行，双方协议停止施工；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(2) 调解要求停止施工，且为双方接受；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(3) 仲裁机构要求停止施工；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(4) 法院要求停止施工。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十一、其他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38、工程分包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38.1 承包人按专用条款的约定分包所承包的部分工程，并与分包单位签订分包合同。非经发包人同意，承包人不得将承包工程的任何部分分包。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38.2 承包人不得将其承包的全部工程转包给他人，也不得将其承包的全部工程肢解以后以分包的名义分别转包给他人。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38.3 工程分包不能解除承包人任何责任与义务。承包人应在分包场地派驻相应管理人员，保证本合同的履行。分包单位的任何违约行为或疏忽导致工程损害或给发包人造成其他损失，承包人承担连带责任。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38.4分包工程价款由承包人与分包单位结算。发包人未经承包人同意不得以任何形式向分包单位支付各种工程款项。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39、不可抗力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39.1 不可抗力包括因战争、动乱、空中飞行物体坠落或其他非发包人承包人责任造成的爆炸、火灾，以及专用条款约定的风、雨、雪、洪、震等自然灾害。</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39.2 不可抗力事件发生后，承包人应立即通知工程师，并在力所能及的条件下迅速采取措施，尽力减少损失，发包人应协助承包人采取措施。工程师认为应当暂停施工的，承包人应暂停施工。不可抗力事件结束后48小时内承包人向工程师通报受害情况和损失情况，及预计清理和修复的费用。不可抗力事件持续发生，承包人应每隔7天向工程师报告一次受害情况。不可抗力事件结束后14天内，承包人向工程师提交清理和修复费用的正式报告及有关资料。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39.3 因不可抗力事件导致的费用及延误的工期由双方按以下方法分别承担：</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(1) 工程本身的损害、因工程损害导致第三人人员伤亡和财产损失以及运至施工场地用于施工的材料和待安装的设备的损害，由发包人承担；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(2) 发包人承包人人员伤亡由其所在单位负责，并承担相应费用；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(3) 承包人机械设备损坏及停工损失，由承包人承担；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(4) 停工期间，承包人应工程师要求留在施工场地的必要的管理人员及保卫人员的费用由发包人承担；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(5) 工程所需清理、修复费用，由发包人承担；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(6) 延误的工期相应顺延。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39.4因合同一方迟延履行合同后发生不可抗力的，不能免除迟延履行方的相应责任。</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40、保险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40.1工程开工前，发包人为建设工程和施工场地内的自有人员及第三人人员生命财产办理保险，支付保险费用。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40.2运至施工场内用于工程的材料和待安装设备，由发包人办理保险，并支付保险费用。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40.3发包人可以将有关保险事项委托承包人办理，费用由发包人承担。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40.4承包人必须为从事危险作业的职工办理意外伤害保险，并为施工场地内自有人员生命财产和施工机械设备办理保险，支付保险费用。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40.5保险事故发生时，发包人承包人有责任尽力采取必要的措施，防止或者减少损失。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40.6具体投保内容和相关责任，发包人承包人在专用条款中约定。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41、担保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41.1发包人、承包人为了全面履行合同，应互相提供以下担保：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(1) 发包人向承包人提供履约担保，按合同约定支付工程价款及履行合同约定的其他义务。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(2) 承包人向发包人提供履约担保，按合同约定履行自己的各项义务。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41.2 一方违约后，另一方可要求提供担保的第三人承担相应责任。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41.3 提供担保的内容、方式和相关责任，发包人承包人除在专用条款中约定外，被担保方与担保方还应签订担保合同，作为本合同附件。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42、专利技术及特殊工艺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42.1 发包人要求使用专利技术或特殊工艺，应负责办理相应的申报手续，承担申报、试验、使用等费用；承包人提出使用专利技术或特殊工艺，应取得工程师认可，承包人负责办理申报手续并承担有关费用。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42.2 擅自使用专利技术侵犯他人专利权的，责任者依法承担相应责任。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43、文物和地下障碍物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43.1 在施工中发现古墓、古建筑遗址等文物及化石或其他有考古、地质研究等价值的物品时，承包人应立即保护好现场并于4小时内以书面形式通知工程师，工程师应于收到书面通知后24小时内报告当地文物管理部门，发包人承包人按文物管理部门的要求采取妥善保护措施。发包人承担由此发生的费用，顺延延误的工期。</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如发现后隐瞒不报，致使文物遭受破坏，责任者依法承担相应责任。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43.2 施工中发现影响施工的地下障碍物时，承包人应于8小时内以书面形式通知工程师，同时提出处置方案，工程师收到处置方案后24小时内予以认可或提出修正方案。发包人承担由此发生的费用，顺延延误的工期。</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所发现的地下障碍物有归属单位时，发包人应报请有关部门协同处置。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44、合同解除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44.1 发包人承包人协商一致，可以解除合同。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44.2 发生本通用条款第26.4款情况，停止施工超过56天，发包人仍不支付工程款（进度款），承包人有权解除合同。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44.3 发生本通用条款第38.2款禁止的情况，承包人将其承包的全部工程转包给他人或者肢解以后以分包的名义分别转包给他人，发包人有权解除合同。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44.4 有下列情形之一的，发包人承包人可以解除合同：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(1) 因不可抗力致使合同无法履行；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(2) 因一方违约（包括因发包人原因造成工程停建或缓建）致使合同无法履行。</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44.5一方依据44.2、44.3、44.4款约定要求解除合同的，应以书面形式向对方发出解除合同的通知，并在发出通知前7天告知对方，通知到达对方时合同解除。对解除合同有争议的，按本通用条款第37条关于争议的约定处理。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44.6合同解除后，承包人应妥善做好已完工程和已购材料、设备的保护和移交工作，按发包人要求将自有机械设备和人员撤出施工场地。发包人应为承包人撤出提供必要条件，支付以上所发生的费用，并按合同约定支付已完工程价款。已经订货的材料、设备由订货方负责退货或解除订货合同，不能退还的货款和因退货、解除订货合同发生的费用，由发包人承担，因未及时退货造成的损失由责任方承担。除此之外，有过错的一方应当赔偿因合同解除给对方造成的损失。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44.7合同解除后，不影响双方在合同中约定的结算和清理条款的效力。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45、合同生效与终止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45.1双方在协议书中约定合同生效方式。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45.2除本通用条款第34条外，发包人承包人履行合同全部义务，竣工结算价款支付完毕，承包人向发包人交付竣工工程后，本合同即告终止。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45.3合同的权利义务终止后，发包人承包人应当遵循诚实信用原则，履行通知、协助、保密等义务。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46、合同份数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46.1本合同正本两份，具有同等效力，由发包人承包人分别保存一份。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46.2本合同副本份数，由双方根据需要在专用条款内约定。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47、补充条款 </w:t>
      </w:r>
    </w:p>
    <w:p>
      <w:pPr>
        <w:spacing w:line="360" w:lineRule="auto"/>
        <w:ind w:firstLine="359" w:firstLineChars="171"/>
        <w:rPr>
          <w:rFonts w:hint="eastAsia" w:ascii="宋体" w:hAnsi="宋体" w:cs="Times New Roman"/>
          <w:color w:val="auto"/>
          <w:szCs w:val="21"/>
          <w:highlight w:val="none"/>
        </w:rPr>
      </w:pPr>
      <w:r>
        <w:rPr>
          <w:rFonts w:hint="eastAsia" w:ascii="宋体" w:hAnsi="宋体" w:cs="Times New Roman"/>
          <w:color w:val="auto"/>
          <w:szCs w:val="21"/>
          <w:highlight w:val="none"/>
        </w:rPr>
        <w:t>双方根据有关法律、行政法规规定，结合工程实际，经协商一致后，可对本通用条款内容具体化，补充或修改，在专用条款内约定。</w:t>
      </w:r>
    </w:p>
    <w:p>
      <w:pPr>
        <w:spacing w:line="480" w:lineRule="exact"/>
        <w:ind w:firstLine="359" w:firstLineChars="171"/>
        <w:jc w:val="center"/>
        <w:rPr>
          <w:rFonts w:hint="eastAsia" w:ascii="宋体" w:hAnsi="宋体" w:cs="Times New Roman"/>
          <w:b/>
          <w:color w:val="auto"/>
          <w:sz w:val="32"/>
          <w:szCs w:val="32"/>
          <w:highlight w:val="none"/>
        </w:rPr>
      </w:pPr>
      <w:r>
        <w:rPr>
          <w:rFonts w:hint="eastAsia" w:ascii="宋体" w:hAnsi="宋体" w:cs="Times New Roman"/>
          <w:color w:val="auto"/>
          <w:szCs w:val="21"/>
          <w:highlight w:val="none"/>
        </w:rPr>
        <w:br w:type="page"/>
      </w:r>
      <w:r>
        <w:rPr>
          <w:rFonts w:hint="eastAsia" w:ascii="宋体" w:hAnsi="宋体" w:cs="Times New Roman"/>
          <w:b/>
          <w:color w:val="auto"/>
          <w:sz w:val="32"/>
          <w:szCs w:val="32"/>
          <w:highlight w:val="none"/>
        </w:rPr>
        <w:t>第三部分  专用条款</w:t>
      </w:r>
    </w:p>
    <w:p>
      <w:pPr>
        <w:snapToGrid w:val="0"/>
        <w:spacing w:line="480" w:lineRule="exact"/>
        <w:ind w:firstLine="397"/>
        <w:rPr>
          <w:rFonts w:hint="eastAsia" w:ascii="宋体" w:hAnsi="宋体" w:cs="Times New Roman"/>
          <w:b/>
          <w:color w:val="auto"/>
          <w:sz w:val="24"/>
          <w:highlight w:val="none"/>
        </w:rPr>
      </w:pP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一、词语定义及合同文件</w:t>
      </w:r>
    </w:p>
    <w:p>
      <w:pPr>
        <w:keepNext w:val="0"/>
        <w:keepLines w:val="0"/>
        <w:pageBreakBefore w:val="0"/>
        <w:widowControl w:val="0"/>
        <w:kinsoku/>
        <w:overflowPunct/>
        <w:autoSpaceDE/>
        <w:autoSpaceDN/>
        <w:bidi w:val="0"/>
        <w:snapToGrid w:val="0"/>
        <w:spacing w:line="420" w:lineRule="exact"/>
        <w:ind w:firstLine="482" w:firstLineChars="200"/>
        <w:textAlignment w:val="auto"/>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t>1.词语定义</w:t>
      </w:r>
    </w:p>
    <w:p>
      <w:pPr>
        <w:keepNext w:val="0"/>
        <w:keepLines w:val="0"/>
        <w:pageBreakBefore w:val="0"/>
        <w:widowControl w:val="0"/>
        <w:kinsoku/>
        <w:overflowPunct/>
        <w:autoSpaceDE/>
        <w:autoSpaceDN/>
        <w:bidi w:val="0"/>
        <w:snapToGrid w:val="0"/>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1.6设计单位</w:t>
      </w:r>
    </w:p>
    <w:p>
      <w:pPr>
        <w:keepNext w:val="0"/>
        <w:keepLines w:val="0"/>
        <w:pageBreakBefore w:val="0"/>
        <w:widowControl w:val="0"/>
        <w:kinsoku/>
        <w:overflowPunct/>
        <w:autoSpaceDE/>
        <w:autoSpaceDN/>
        <w:bidi w:val="0"/>
        <w:snapToGrid w:val="0"/>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本合同工程的设计单位是：</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napToGrid w:val="0"/>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1.7监理单位</w:t>
      </w:r>
    </w:p>
    <w:p>
      <w:pPr>
        <w:keepNext w:val="0"/>
        <w:keepLines w:val="0"/>
        <w:pageBreakBefore w:val="0"/>
        <w:widowControl w:val="0"/>
        <w:kinsoku/>
        <w:overflowPunct/>
        <w:autoSpaceDE/>
        <w:autoSpaceDN/>
        <w:bidi w:val="0"/>
        <w:snapToGrid w:val="0"/>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本合同工程的监理单位是：</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napToGrid w:val="0"/>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1.24招标控制价：</w:t>
      </w:r>
      <w:r>
        <w:rPr>
          <w:rFonts w:hint="eastAsia" w:ascii="宋体" w:hAnsi="宋体" w:eastAsia="宋体" w:cs="宋体"/>
          <w:color w:val="auto"/>
          <w:szCs w:val="21"/>
          <w:highlight w:val="none"/>
          <w:u w:val="single"/>
        </w:rPr>
        <w:t>指经</w:t>
      </w:r>
      <w:r>
        <w:rPr>
          <w:rFonts w:hint="eastAsia" w:ascii="宋体" w:hAnsi="宋体" w:eastAsia="宋体" w:cs="宋体"/>
          <w:color w:val="auto"/>
          <w:szCs w:val="21"/>
          <w:highlight w:val="none"/>
          <w:u w:val="single"/>
          <w:lang w:eastAsia="zh-CN"/>
        </w:rPr>
        <w:t>招标人</w:t>
      </w:r>
      <w:r>
        <w:rPr>
          <w:rFonts w:hint="eastAsia" w:ascii="宋体" w:hAnsi="宋体" w:eastAsia="宋体" w:cs="宋体"/>
          <w:color w:val="auto"/>
          <w:szCs w:val="21"/>
          <w:highlight w:val="none"/>
          <w:u w:val="single"/>
        </w:rPr>
        <w:t>确定的最高投标限价，并在广州公共资源交易中心开发区、黄埔区交易部公示</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napToGrid w:val="0"/>
        <w:spacing w:line="420" w:lineRule="exact"/>
        <w:ind w:firstLine="420" w:firstLineChars="200"/>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1.25中标下浮率：</w:t>
      </w:r>
      <w:r>
        <w:rPr>
          <w:rFonts w:hint="eastAsia" w:ascii="宋体" w:hAnsi="宋体" w:eastAsia="宋体" w:cs="宋体"/>
          <w:color w:val="auto"/>
          <w:sz w:val="21"/>
          <w:szCs w:val="21"/>
          <w:highlight w:val="none"/>
          <w:u w:val="single"/>
        </w:rPr>
        <w:t>中标下浮率=（1-中标价格÷招标控制价）×100%</w:t>
      </w:r>
      <w:r>
        <w:rPr>
          <w:rFonts w:hint="eastAsia" w:ascii="宋体" w:hAnsi="宋体" w:eastAsia="宋体" w:cs="宋体"/>
          <w:color w:val="auto"/>
          <w:sz w:val="21"/>
          <w:szCs w:val="21"/>
          <w:highlight w:val="none"/>
          <w:u w:val="single"/>
          <w:lang w:val="en-US" w:eastAsia="zh-CN"/>
        </w:rPr>
        <w:t>,式中的中标价格及招标控制价均不含不可竞争的安全生产措施费及暂列金额。</w:t>
      </w:r>
    </w:p>
    <w:p>
      <w:pPr>
        <w:keepNext w:val="0"/>
        <w:keepLines w:val="0"/>
        <w:pageBreakBefore w:val="0"/>
        <w:widowControl w:val="0"/>
        <w:kinsoku/>
        <w:overflowPunct/>
        <w:autoSpaceDE/>
        <w:autoSpaceDN/>
        <w:bidi w:val="0"/>
        <w:snapToGrid w:val="0"/>
        <w:spacing w:line="420" w:lineRule="exact"/>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1.26工人工资比例=</w:t>
      </w:r>
      <w:r>
        <w:rPr>
          <w:rFonts w:hint="eastAsia" w:ascii="宋体" w:hAnsi="宋体" w:eastAsia="宋体" w:cs="宋体"/>
          <w:color w:val="auto"/>
          <w:szCs w:val="21"/>
          <w:highlight w:val="none"/>
          <w:u w:val="single"/>
        </w:rPr>
        <w:t>中标通知书规定的人工费金额÷中标价格</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highlight w:val="none"/>
        </w:rPr>
        <w:t>2、合同文件及解释顺序</w:t>
      </w:r>
    </w:p>
    <w:p>
      <w:pPr>
        <w:keepNext w:val="0"/>
        <w:keepLines w:val="0"/>
        <w:pageBreakBefore w:val="0"/>
        <w:widowControl w:val="0"/>
        <w:kinsoku/>
        <w:overflowPunct/>
        <w:autoSpaceDE/>
        <w:autoSpaceDN/>
        <w:bidi w:val="0"/>
        <w:snapToGrid w:val="0"/>
        <w:spacing w:line="420" w:lineRule="exact"/>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2.1合同文件组成及解释顺序：</w:t>
      </w:r>
      <w:r>
        <w:rPr>
          <w:rFonts w:hint="eastAsia" w:ascii="宋体" w:hAnsi="宋体" w:eastAsia="宋体" w:cs="宋体"/>
          <w:color w:val="auto"/>
          <w:szCs w:val="21"/>
          <w:highlight w:val="none"/>
          <w:u w:val="single"/>
        </w:rPr>
        <w:t>1.本合同履行期间发包人与承包人双方签订的补充合同（协议）或修正文件；2.本合同协议书；3.国家、广东省、广州市、广州开发区黄埔区关于本工程施工的有关文件（发包人在收到后尽快通报给承包人）；4.发包人针对本工程建设管理的各项制度、规定；5.中标通知书；6.本合同专用条款；7.招标文件及附件（包括补充、修改、澄清文件及答疑纪要等）；8.本合同通用条款；9.投标文件及附件；10.标准、规范和其他有关技术文件；11.图纸；12.工程量清单；13.合同附件（工程质量保修责任书、标函承诺书、项目负责人驻场承诺书、工程建设廉政协议书等）</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highlight w:val="none"/>
        </w:rPr>
        <w:t>3、语言文字和适用法律、标准及规范</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3.1本合同除使用汉语外，还使用</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语言文字。</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3.2适用法律和法规</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需要明示的法律、行政法规：</w:t>
      </w:r>
      <w:r>
        <w:rPr>
          <w:rFonts w:hint="eastAsia" w:ascii="宋体" w:hAnsi="宋体" w:eastAsia="宋体" w:cs="宋体"/>
          <w:color w:val="auto"/>
          <w:szCs w:val="21"/>
          <w:highlight w:val="none"/>
          <w:u w:val="single"/>
        </w:rPr>
        <w:t>按照现行的法律、法规</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3.3适用标准、规范</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适用标准、规范的名称：</w:t>
      </w:r>
      <w:r>
        <w:rPr>
          <w:rFonts w:hint="eastAsia" w:ascii="宋体" w:hAnsi="宋体" w:eastAsia="宋体" w:cs="宋体"/>
          <w:color w:val="auto"/>
          <w:szCs w:val="21"/>
          <w:highlight w:val="none"/>
          <w:u w:val="single"/>
        </w:rPr>
        <w:t>相应工种现行施工规范</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发包人提供标准、规范的时间：</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国内没有相应标准、规范时的约定：</w:t>
      </w:r>
      <w:r>
        <w:rPr>
          <w:rFonts w:hint="eastAsia" w:ascii="宋体" w:hAnsi="宋体" w:eastAsia="宋体" w:cs="宋体"/>
          <w:color w:val="auto"/>
          <w:szCs w:val="21"/>
          <w:highlight w:val="none"/>
          <w:u w:val="single"/>
        </w:rPr>
        <w:t>按施工图纸，招标文件和广州开发区相关规定及答疑纪要的要求执行</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highlight w:val="none"/>
        </w:rPr>
        <w:t>4、图纸</w:t>
      </w:r>
    </w:p>
    <w:p>
      <w:pPr>
        <w:keepNext w:val="0"/>
        <w:keepLines w:val="0"/>
        <w:pageBreakBefore w:val="0"/>
        <w:widowControl w:val="0"/>
        <w:kinsoku/>
        <w:overflowPunct/>
        <w:autoSpaceDE/>
        <w:autoSpaceDN/>
        <w:bidi w:val="0"/>
        <w:snapToGrid w:val="0"/>
        <w:spacing w:line="420" w:lineRule="exact"/>
        <w:ind w:firstLine="315"/>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4.1发包人向承包人提供图纸日期和套数：</w:t>
      </w:r>
      <w:r>
        <w:rPr>
          <w:rFonts w:hint="eastAsia" w:ascii="宋体" w:hAnsi="宋体" w:eastAsia="宋体" w:cs="宋体"/>
          <w:color w:val="auto"/>
          <w:szCs w:val="21"/>
          <w:highlight w:val="none"/>
          <w:u w:val="single"/>
        </w:rPr>
        <w:t>开工前提供肆套图纸</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napToGrid w:val="0"/>
        <w:spacing w:line="420" w:lineRule="exact"/>
        <w:ind w:left="907" w:leftChars="132" w:hanging="630" w:hangingChars="3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发包人对图纸的保密要求：</w:t>
      </w:r>
      <w:r>
        <w:rPr>
          <w:rFonts w:hint="eastAsia" w:ascii="宋体" w:hAnsi="宋体" w:eastAsia="宋体" w:cs="宋体"/>
          <w:color w:val="auto"/>
          <w:szCs w:val="21"/>
          <w:highlight w:val="none"/>
          <w:u w:val="single"/>
        </w:rPr>
        <w:t>按本合同通用条款</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使用国外图纸的要求及费用承担：</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highlight w:val="none"/>
        </w:rPr>
        <w:t>二、双方一般权利和义务</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5、工程师</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5.2监理单位委派的工程师</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姓名：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，职务：</w:t>
      </w:r>
      <w:r>
        <w:rPr>
          <w:rFonts w:hint="eastAsia" w:ascii="宋体" w:hAnsi="宋体" w:eastAsia="宋体" w:cs="宋体"/>
          <w:color w:val="auto"/>
          <w:szCs w:val="21"/>
          <w:highlight w:val="none"/>
          <w:u w:val="single"/>
        </w:rPr>
        <w:t>总监理工程师</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发包人委托的职权：</w:t>
      </w:r>
      <w:r>
        <w:rPr>
          <w:rFonts w:hint="eastAsia" w:ascii="宋体" w:hAnsi="宋体" w:eastAsia="宋体" w:cs="宋体"/>
          <w:color w:val="auto"/>
          <w:szCs w:val="21"/>
          <w:highlight w:val="none"/>
          <w:u w:val="single"/>
        </w:rPr>
        <w:t>对本工程进行全过程的监理</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需要取得发包人批准才能行使的职权：</w:t>
      </w:r>
      <w:r>
        <w:rPr>
          <w:rFonts w:hint="eastAsia" w:ascii="宋体" w:hAnsi="宋体" w:eastAsia="宋体" w:cs="宋体"/>
          <w:color w:val="auto"/>
          <w:szCs w:val="21"/>
          <w:highlight w:val="none"/>
          <w:u w:val="single"/>
        </w:rPr>
        <w:t>按发包人与监理单位签订的监理合同有关规定执行，涉及变更签证或费用调整</w:t>
      </w:r>
      <w:r>
        <w:rPr>
          <w:rFonts w:hint="eastAsia" w:ascii="宋体" w:hAnsi="宋体" w:eastAsia="宋体" w:cs="宋体"/>
          <w:color w:val="auto"/>
          <w:szCs w:val="21"/>
          <w:highlight w:val="none"/>
        </w:rPr>
        <w:t>、发布开工、停工、复工令等均</w:t>
      </w:r>
      <w:r>
        <w:rPr>
          <w:rFonts w:hint="eastAsia" w:ascii="宋体" w:hAnsi="宋体" w:eastAsia="宋体" w:cs="宋体"/>
          <w:color w:val="auto"/>
          <w:szCs w:val="21"/>
          <w:highlight w:val="none"/>
          <w:u w:val="single"/>
        </w:rPr>
        <w:t>需经发包人书面认可</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义务：</w:t>
      </w:r>
      <w:r>
        <w:rPr>
          <w:rFonts w:hint="eastAsia" w:ascii="宋体" w:hAnsi="宋体" w:eastAsia="宋体" w:cs="宋体"/>
          <w:color w:val="auto"/>
          <w:sz w:val="21"/>
          <w:szCs w:val="21"/>
          <w:highlight w:val="none"/>
          <w:u w:val="single"/>
        </w:rPr>
        <w:t>常驻现场，代表监理单位履行与发包人签订的监理合同</w:t>
      </w:r>
      <w:r>
        <w:rPr>
          <w:rFonts w:hint="eastAsia" w:ascii="宋体" w:hAnsi="宋体" w:eastAsia="宋体" w:cs="宋体"/>
          <w:color w:val="auto"/>
          <w:szCs w:val="21"/>
          <w:highlight w:val="none"/>
          <w:u w:val="single"/>
        </w:rPr>
        <w:t>。</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5.3发包人派驻的工程师</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姓名：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，职务：</w:t>
      </w:r>
      <w:r>
        <w:rPr>
          <w:rFonts w:hint="eastAsia" w:ascii="宋体" w:hAnsi="宋体" w:eastAsia="宋体" w:cs="宋体"/>
          <w:color w:val="auto"/>
          <w:szCs w:val="21"/>
          <w:highlight w:val="none"/>
          <w:u w:val="single"/>
        </w:rPr>
        <w:t>工程师</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职权：</w:t>
      </w:r>
      <w:r>
        <w:rPr>
          <w:rFonts w:hint="eastAsia" w:ascii="宋体" w:hAnsi="宋体" w:eastAsia="宋体" w:cs="宋体"/>
          <w:color w:val="auto"/>
          <w:szCs w:val="21"/>
          <w:highlight w:val="none"/>
          <w:u w:val="single"/>
        </w:rPr>
        <w:t>发包人代表，行使发包人的权利</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color w:val="auto"/>
          <w:spacing w:val="-8"/>
          <w:szCs w:val="21"/>
          <w:highlight w:val="none"/>
          <w:u w:val="single"/>
        </w:rPr>
      </w:pPr>
      <w:r>
        <w:rPr>
          <w:rFonts w:hint="eastAsia" w:ascii="宋体" w:hAnsi="宋体" w:eastAsia="宋体" w:cs="宋体"/>
          <w:color w:val="auto"/>
          <w:spacing w:val="-8"/>
          <w:szCs w:val="21"/>
          <w:highlight w:val="none"/>
        </w:rPr>
        <w:t>义务：</w:t>
      </w:r>
      <w:r>
        <w:rPr>
          <w:rFonts w:hint="eastAsia" w:ascii="宋体" w:hAnsi="宋体" w:eastAsia="宋体" w:cs="宋体"/>
          <w:color w:val="auto"/>
          <w:spacing w:val="-8"/>
          <w:sz w:val="21"/>
          <w:szCs w:val="21"/>
          <w:highlight w:val="none"/>
          <w:u w:val="single"/>
        </w:rPr>
        <w:t>常驻现场，代表发包人负责工程质量、进度、技术、投资控制等施工期间的日常管理工作，履行与承包人签订的本建设工程施工合同</w:t>
      </w:r>
      <w:r>
        <w:rPr>
          <w:rFonts w:hint="eastAsia" w:ascii="宋体" w:hAnsi="宋体" w:eastAsia="宋体" w:cs="宋体"/>
          <w:color w:val="auto"/>
          <w:spacing w:val="-8"/>
          <w:szCs w:val="21"/>
          <w:highlight w:val="none"/>
        </w:rPr>
        <w:t>。</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5.6不实行监理的，工程师的职权：</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highlight w:val="none"/>
        </w:rPr>
        <w:t>7、项目负责人</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7.1（1）项目负责人</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姓名：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，职权：</w:t>
      </w:r>
      <w:r>
        <w:rPr>
          <w:rFonts w:hint="eastAsia" w:ascii="宋体" w:hAnsi="宋体" w:eastAsia="宋体" w:cs="宋体"/>
          <w:color w:val="auto"/>
          <w:szCs w:val="21"/>
          <w:highlight w:val="none"/>
          <w:u w:val="single"/>
        </w:rPr>
        <w:t>代表承包人全权处理本工程的一切事务</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义务：</w:t>
      </w:r>
      <w:r>
        <w:rPr>
          <w:rFonts w:hint="eastAsia" w:ascii="宋体" w:hAnsi="宋体" w:eastAsia="宋体" w:cs="宋体"/>
          <w:color w:val="auto"/>
          <w:szCs w:val="21"/>
          <w:highlight w:val="none"/>
          <w:u w:val="single"/>
        </w:rPr>
        <w:t>按照在投标文件中签署的（或在签订本合同前补充签署的）《项目负责人驻场承诺书》中的承诺常驻现场，代表承包人履行与发包人签订的本建设工程施工合同</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7.4</w:t>
      </w:r>
      <w:r>
        <w:rPr>
          <w:rFonts w:hint="eastAsia" w:ascii="宋体" w:hAnsi="宋体" w:eastAsia="宋体" w:cs="宋体"/>
          <w:color w:val="auto"/>
          <w:szCs w:val="21"/>
          <w:highlight w:val="none"/>
          <w:u w:val="single"/>
        </w:rPr>
        <w:t>承包人如需更换项目负责人或技术负责人，按有关规定执行，后任继续行使合同文件约定的前任的职权，履行前任的义务。未征得发包人书面同意，承包人不得更换项目负责人</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7.5</w:t>
      </w:r>
      <w:r>
        <w:rPr>
          <w:rFonts w:hint="eastAsia" w:ascii="宋体" w:hAnsi="宋体" w:eastAsia="宋体" w:cs="宋体"/>
          <w:color w:val="auto"/>
          <w:szCs w:val="21"/>
          <w:highlight w:val="none"/>
          <w:u w:val="single"/>
        </w:rPr>
        <w:t>发包人可以与承包人协商，建议更换其认为不称职的项目负责人，承包人应及时采纳发包人的建议予以更换，新更换的项目负责人应满足招标文件及本项目相应的资质要求并能胜任本项目的项目负责人工作</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napToGrid w:val="0"/>
        <w:spacing w:line="420" w:lineRule="exact"/>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7.6</w:t>
      </w:r>
      <w:r>
        <w:rPr>
          <w:rFonts w:hint="eastAsia" w:ascii="宋体" w:hAnsi="宋体" w:eastAsia="宋体" w:cs="宋体"/>
          <w:color w:val="auto"/>
          <w:szCs w:val="21"/>
          <w:highlight w:val="none"/>
          <w:u w:val="single"/>
        </w:rPr>
        <w:t>承包人项目负责人不得兼任其他工程项目负责人，否则发包人可按单方面终止合同处理</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adjustRightInd w:val="0"/>
        <w:snapToGrid w:val="0"/>
        <w:spacing w:line="420" w:lineRule="exact"/>
        <w:ind w:right="11" w:firstLine="420" w:firstLineChars="200"/>
        <w:jc w:val="both"/>
        <w:textAlignment w:val="auto"/>
        <w:outlineLvl w:val="3"/>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u w:val="single"/>
          <w:lang w:val="en-US" w:eastAsia="zh-CN" w:bidi="ar-SA"/>
        </w:rPr>
        <w:t>7.7现场管理机构</w:t>
      </w:r>
    </w:p>
    <w:p>
      <w:pPr>
        <w:keepNext w:val="0"/>
        <w:keepLines w:val="0"/>
        <w:pageBreakBefore w:val="0"/>
        <w:widowControl w:val="0"/>
        <w:kinsoku/>
        <w:overflowPunct/>
        <w:autoSpaceDE/>
        <w:autoSpaceDN/>
        <w:bidi w:val="0"/>
        <w:adjustRightInd w:val="0"/>
        <w:snapToGrid w:val="0"/>
        <w:spacing w:line="420" w:lineRule="exact"/>
        <w:ind w:firstLine="420" w:firstLineChars="200"/>
        <w:jc w:val="both"/>
        <w:textAlignment w:val="auto"/>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u w:val="single"/>
          <w:lang w:val="en-US" w:eastAsia="zh-CN" w:bidi="ar-SA"/>
        </w:rPr>
        <w:t>（1）承包人必须按照投标文件的承诺建立现场管理机构，严格执行现行建设工程项目管理规范，并积极主动接受建设行政主管部门的监督和检查。</w:t>
      </w:r>
    </w:p>
    <w:p>
      <w:pPr>
        <w:keepNext w:val="0"/>
        <w:keepLines w:val="0"/>
        <w:pageBreakBefore w:val="0"/>
        <w:widowControl w:val="0"/>
        <w:kinsoku/>
        <w:overflowPunct/>
        <w:autoSpaceDE/>
        <w:autoSpaceDN/>
        <w:bidi w:val="0"/>
        <w:adjustRightInd w:val="0"/>
        <w:snapToGrid w:val="0"/>
        <w:spacing w:line="420" w:lineRule="exact"/>
        <w:ind w:right="11" w:firstLine="403" w:firstLineChars="192"/>
        <w:jc w:val="both"/>
        <w:textAlignment w:val="auto"/>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u w:val="single"/>
          <w:lang w:val="en-US" w:eastAsia="zh-CN" w:bidi="ar-SA"/>
        </w:rPr>
        <w:t>（2）现场管理机构各部主要组织管理人员在开工前必须全部到位，并接受总监理工程师和发包人代表的查验。承包人委派的现场管理机构各部主要组织管理人员不得有兼职情况存在，并需接受监理单位的监督。</w:t>
      </w:r>
    </w:p>
    <w:p>
      <w:pPr>
        <w:keepNext w:val="0"/>
        <w:keepLines w:val="0"/>
        <w:pageBreakBefore w:val="0"/>
        <w:widowControl w:val="0"/>
        <w:kinsoku/>
        <w:overflowPunct/>
        <w:autoSpaceDE/>
        <w:autoSpaceDN/>
        <w:bidi w:val="0"/>
        <w:snapToGrid w:val="0"/>
        <w:spacing w:line="420" w:lineRule="exact"/>
        <w:ind w:firstLine="397"/>
        <w:jc w:val="both"/>
        <w:textAlignment w:val="auto"/>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u w:val="single"/>
          <w:lang w:val="en-US" w:eastAsia="zh-CN" w:bidi="ar-SA"/>
        </w:rPr>
        <w:t>7.8现场管理机构各部主要组织管理人员应与投标文件保持一致，发包人不要求更换时不得更换。因特殊情况需要更换的，承包人应以书面形式向监理单位提出意向（附前任和后任人员的详细履历资料），经总监理工程师签署意见后向发包人提出申请，征得发包人同意后方可更换。承包人必须保证后任人员的资质、资历、业绩、实际工作能力不低于前任人员的素质。</w:t>
      </w:r>
    </w:p>
    <w:p>
      <w:pPr>
        <w:keepNext w:val="0"/>
        <w:keepLines w:val="0"/>
        <w:pageBreakBefore w:val="0"/>
        <w:widowControl w:val="0"/>
        <w:kinsoku/>
        <w:overflowPunct/>
        <w:autoSpaceDE/>
        <w:autoSpaceDN/>
        <w:bidi w:val="0"/>
        <w:snapToGrid w:val="0"/>
        <w:spacing w:line="420" w:lineRule="exact"/>
        <w:ind w:firstLine="420" w:firstLineChars="200"/>
        <w:jc w:val="both"/>
        <w:textAlignment w:val="auto"/>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u w:val="single"/>
          <w:lang w:val="en-US" w:eastAsia="zh-CN" w:bidi="ar-SA"/>
        </w:rPr>
        <w:t>7.9合同签订后，项目负责人、项目班子主要成员不到位，则工程师不签发开工令，工期不顺延。施工中班子主要成员离开工地应向工程师请假，经批准后才能离开，擅自离开工地，工程师将发出停工令，待人员回到岗位后才批准复工，由此产生的工期和经济损失由承包人自负，造成发包人和建设管理方损失的，发包人和建设管理方保留索赔的权利。</w:t>
      </w:r>
    </w:p>
    <w:p>
      <w:pPr>
        <w:keepNext w:val="0"/>
        <w:keepLines w:val="0"/>
        <w:pageBreakBefore w:val="0"/>
        <w:widowControl w:val="0"/>
        <w:kinsoku/>
        <w:overflowPunct/>
        <w:autoSpaceDE/>
        <w:autoSpaceDN/>
        <w:bidi w:val="0"/>
        <w:snapToGrid w:val="0"/>
        <w:spacing w:line="420" w:lineRule="exact"/>
        <w:ind w:firstLine="397"/>
        <w:jc w:val="both"/>
        <w:textAlignment w:val="auto"/>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u w:val="single"/>
          <w:lang w:val="en-US" w:eastAsia="zh-CN" w:bidi="ar-SA"/>
        </w:rPr>
        <w:t>7.10尽管承包人已按投标文件附表中所列的数量派遣了各类管理人员，但若监理工程师经论证认为这些人员仍不足以适应现场施工的需要且不能保证工程质量时，监理工程师有权要求承包人继续增派或雇佣这类人员，并书面通知承包人和抄送发包人。承包人在接到上述通知后应立即执行监理工程师的上述指示，不得无故拖延。</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highlight w:val="none"/>
        </w:rPr>
        <w:t>8、发包人工作</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8.1发包人应按约定的时间和要求完成以下工作：</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（1）施工场地具备施工条件的要求及完成的时间：</w:t>
      </w:r>
      <w:r>
        <w:rPr>
          <w:rFonts w:hint="eastAsia" w:ascii="宋体" w:hAnsi="宋体" w:eastAsia="宋体" w:cs="宋体"/>
          <w:color w:val="auto"/>
          <w:szCs w:val="21"/>
          <w:highlight w:val="none"/>
          <w:u w:val="single"/>
        </w:rPr>
        <w:t>土地征收、拆迁补偿工作完成时间原则上在开工前；因土地征收和拆迁补偿进度原因不能按时移交场地的，可采取分段逐步方式移交施工场地</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（2）将施工所需的水、电、电讯线路接至施工场地的时间、地点和供应要求：</w:t>
      </w:r>
      <w:r>
        <w:rPr>
          <w:rFonts w:hint="eastAsia" w:ascii="宋体" w:hAnsi="宋体" w:eastAsia="宋体" w:cs="宋体"/>
          <w:color w:val="auto"/>
          <w:szCs w:val="21"/>
          <w:highlight w:val="none"/>
          <w:u w:val="single"/>
        </w:rPr>
        <w:t>由承包人自行解决，费用已包在本工程中标总造价中</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（3）施工场地与公共道路的通道开通时间和要求：</w:t>
      </w:r>
      <w:r>
        <w:rPr>
          <w:rFonts w:hint="eastAsia" w:ascii="宋体" w:hAnsi="宋体" w:eastAsia="宋体" w:cs="宋体"/>
          <w:color w:val="auto"/>
          <w:szCs w:val="21"/>
          <w:highlight w:val="none"/>
          <w:u w:val="single"/>
        </w:rPr>
        <w:t>通道按现状，不论满足施工要求与否，该通道及施工便道均由承包人自行解决，费用已包在本工程中标总造价中</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（4）工程地质和地下管线资料的提供时间：</w:t>
      </w:r>
      <w:r>
        <w:rPr>
          <w:rFonts w:hint="eastAsia" w:ascii="宋体" w:hAnsi="宋体" w:eastAsia="宋体" w:cs="宋体"/>
          <w:color w:val="auto"/>
          <w:szCs w:val="21"/>
          <w:highlight w:val="none"/>
          <w:u w:val="single"/>
        </w:rPr>
        <w:t>根据施工计划提前提供</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（5）由发包人办理的施工所需证件、批件的名称和完成时间：</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（6）水准点与坐标控制点交验要求：</w:t>
      </w:r>
      <w:r>
        <w:rPr>
          <w:rFonts w:hint="eastAsia" w:ascii="宋体" w:hAnsi="宋体" w:eastAsia="宋体" w:cs="宋体"/>
          <w:color w:val="auto"/>
          <w:szCs w:val="21"/>
          <w:highlight w:val="none"/>
          <w:u w:val="single"/>
        </w:rPr>
        <w:t>开工前交验</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（7）图纸会审和设计交底时间：</w:t>
      </w:r>
      <w:r>
        <w:rPr>
          <w:rFonts w:hint="eastAsia" w:ascii="宋体" w:hAnsi="宋体" w:eastAsia="宋体" w:cs="宋体"/>
          <w:color w:val="auto"/>
          <w:szCs w:val="21"/>
          <w:highlight w:val="none"/>
          <w:u w:val="single"/>
        </w:rPr>
        <w:t>工程施工前</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（8）协调处理施工场地周围地下管线和邻近建筑物、构筑物（含文物保护建筑）、古树名木的保护工作：</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napToGrid w:val="0"/>
        <w:spacing w:line="420" w:lineRule="exact"/>
        <w:ind w:firstLine="397"/>
        <w:jc w:val="both"/>
        <w:textAlignment w:val="auto"/>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（9）双方约定发包人应做的其他工作：</w:t>
      </w:r>
      <w:r>
        <w:rPr>
          <w:rFonts w:hint="eastAsia" w:ascii="宋体" w:hAnsi="宋体" w:eastAsia="宋体" w:cs="宋体"/>
          <w:color w:val="auto"/>
          <w:kern w:val="2"/>
          <w:sz w:val="21"/>
          <w:szCs w:val="21"/>
          <w:highlight w:val="none"/>
          <w:u w:val="single"/>
          <w:lang w:val="en-US" w:eastAsia="zh-CN" w:bidi="ar-SA"/>
        </w:rPr>
        <w:t xml:space="preserve">    发包人按现有场地移交给承包人，承包人应无条件接受    </w:t>
      </w:r>
      <w:r>
        <w:rPr>
          <w:rFonts w:hint="eastAsia" w:ascii="宋体" w:hAnsi="宋体" w:eastAsia="宋体" w:cs="宋体"/>
          <w:color w:val="auto"/>
          <w:kern w:val="2"/>
          <w:sz w:val="21"/>
          <w:szCs w:val="21"/>
          <w:highlight w:val="none"/>
          <w:lang w:val="en-US" w:eastAsia="zh-CN" w:bidi="ar-SA"/>
        </w:rPr>
        <w:t>。</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8.2发包人委托承包人办理的工作：</w:t>
      </w:r>
      <w:r>
        <w:rPr>
          <w:rFonts w:hint="eastAsia" w:ascii="宋体" w:hAnsi="宋体" w:eastAsia="宋体" w:cs="宋体"/>
          <w:color w:val="auto"/>
          <w:sz w:val="21"/>
          <w:szCs w:val="21"/>
          <w:highlight w:val="none"/>
          <w:u w:val="single"/>
        </w:rPr>
        <w:t>工程质监登记、合同鉴证、施工许可证、购买印花税等一切施工所需的审批、申领手续以及规划验收、消防验收、环保验收、防雷报建及验收、永久用水接驳及验收等工作。费用按政策规定各自承担相应部分。</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highlight w:val="none"/>
        </w:rPr>
        <w:t>9、承包人工作</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9.1承包人应按约定时间和要求，完成以下工作：</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（1）需由设计资质等级和业务范围允许的承包人完成的设计文件提交时间：</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（2）应提供计划、报表的名称及完成时间：</w:t>
      </w:r>
      <w:r>
        <w:rPr>
          <w:rFonts w:hint="eastAsia" w:ascii="宋体" w:hAnsi="宋体" w:eastAsia="宋体" w:cs="宋体"/>
          <w:color w:val="auto"/>
          <w:szCs w:val="21"/>
          <w:highlight w:val="none"/>
          <w:u w:val="single"/>
        </w:rPr>
        <w:t>施工组织设计、管理人员架构表，于开工前三天报。提交工程年、季、月度计划及进度统计报表</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（3）承担施工安全保卫工作及非夜间施工照明的责任和要求：</w:t>
      </w:r>
      <w:r>
        <w:rPr>
          <w:rFonts w:hint="eastAsia" w:ascii="宋体" w:hAnsi="宋体" w:eastAsia="宋体" w:cs="宋体"/>
          <w:color w:val="auto"/>
          <w:szCs w:val="21"/>
          <w:highlight w:val="none"/>
          <w:u w:val="single"/>
        </w:rPr>
        <w:t>按招标文件要求及国家、省、市、区相关规定执行，并满足本工程需要</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根据工程需要，提供和维护施工使用的照明、围栏设施和警卫，并负责整个现场的安全文明施工、安全保卫。</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（4）承包人自行解决办公、交通、生活及通讯等设施，费用已包含在本工程中标总造价中；向发包人或监理工程师提供的办公、交通和生活、通讯设施的要求：</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（5）需承包人办理有关施工场地交通、环卫和施工噪音管理等手续：</w:t>
      </w:r>
      <w:r>
        <w:rPr>
          <w:rFonts w:hint="eastAsia" w:ascii="宋体" w:hAnsi="宋体" w:eastAsia="宋体" w:cs="宋体"/>
          <w:color w:val="auto"/>
          <w:szCs w:val="21"/>
          <w:highlight w:val="none"/>
          <w:u w:val="single"/>
        </w:rPr>
        <w:t>承包人按本合同通用条款要求执行，并承担相关费用</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（6）已完工程成品保护的特殊要求及费用承担：</w:t>
      </w:r>
      <w:r>
        <w:rPr>
          <w:rFonts w:hint="eastAsia" w:ascii="宋体" w:hAnsi="宋体" w:eastAsia="宋体" w:cs="宋体"/>
          <w:color w:val="auto"/>
          <w:szCs w:val="21"/>
          <w:highlight w:val="none"/>
          <w:u w:val="single"/>
        </w:rPr>
        <w:t>按本合同通用条款执行</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（7）施工场地周围地下管线和邻近建筑物、构筑物（含文物保护建筑）、古树名木的保护要求及费用承担：</w:t>
      </w:r>
      <w:r>
        <w:rPr>
          <w:rFonts w:hint="eastAsia" w:ascii="宋体" w:hAnsi="宋体" w:eastAsia="宋体" w:cs="宋体"/>
          <w:color w:val="auto"/>
          <w:szCs w:val="21"/>
          <w:highlight w:val="none"/>
          <w:u w:val="single"/>
        </w:rPr>
        <w:t>除古树名木、文物保护外的保护费全部由承包人承担</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napToGrid w:val="0"/>
        <w:spacing w:line="420" w:lineRule="exact"/>
        <w:ind w:left="0" w:firstLine="420" w:firstLineChars="200"/>
        <w:jc w:val="both"/>
        <w:textAlignment w:val="auto"/>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（8）施工场地清洁卫生的要求：</w:t>
      </w:r>
      <w:r>
        <w:rPr>
          <w:rFonts w:hint="eastAsia" w:ascii="宋体" w:hAnsi="宋体" w:eastAsia="宋体" w:cs="宋体"/>
          <w:color w:val="auto"/>
          <w:kern w:val="2"/>
          <w:sz w:val="21"/>
          <w:szCs w:val="21"/>
          <w:highlight w:val="none"/>
          <w:u w:val="single"/>
          <w:lang w:val="en-US" w:eastAsia="zh-CN" w:bidi="ar-SA"/>
        </w:rPr>
        <w:t>满足</w:t>
      </w:r>
      <w:r>
        <w:rPr>
          <w:rFonts w:hint="eastAsia" w:ascii="宋体" w:hAnsi="宋体" w:eastAsia="宋体" w:cs="宋体"/>
          <w:color w:val="auto"/>
          <w:spacing w:val="-10"/>
          <w:kern w:val="2"/>
          <w:sz w:val="21"/>
          <w:szCs w:val="21"/>
          <w:highlight w:val="none"/>
          <w:u w:val="single"/>
          <w:lang w:val="en-US" w:eastAsia="zh-CN" w:bidi="ar-SA"/>
        </w:rPr>
        <w:t>文明施工要求及广州市、黄埔区关于扬尘治理的有关要求</w:t>
      </w:r>
      <w:r>
        <w:rPr>
          <w:rFonts w:hint="eastAsia" w:ascii="宋体" w:hAnsi="宋体" w:eastAsia="宋体" w:cs="宋体"/>
          <w:color w:val="auto"/>
          <w:spacing w:val="-10"/>
          <w:kern w:val="2"/>
          <w:sz w:val="21"/>
          <w:szCs w:val="21"/>
          <w:highlight w:val="none"/>
          <w:lang w:val="en-US" w:eastAsia="zh-CN" w:bidi="ar-SA"/>
        </w:rPr>
        <w:t>。</w:t>
      </w:r>
      <w:r>
        <w:rPr>
          <w:rFonts w:hint="eastAsia" w:ascii="宋体" w:hAnsi="宋体" w:eastAsia="宋体" w:cs="宋体"/>
          <w:color w:val="auto"/>
          <w:kern w:val="2"/>
          <w:sz w:val="21"/>
          <w:szCs w:val="21"/>
          <w:highlight w:val="none"/>
          <w:u w:val="single"/>
          <w:lang w:val="en-US" w:eastAsia="zh-CN" w:bidi="ar-SA"/>
        </w:rPr>
        <w:t>保证施工场地清洁符合环境卫生管理的有关规定，交工前清理现场达到合同约定的要求（包括建筑物周围余土、垃圾、生产和生活临时设施拆除），并将门窗、玻璃、地面擦扫干净，厕所厨房的排水和给水管道清理干净、畅通，做到工完场清。承担因自身原因违反有关规定造成的损失和罚款。</w:t>
      </w:r>
    </w:p>
    <w:p>
      <w:pPr>
        <w:keepNext w:val="0"/>
        <w:keepLines w:val="0"/>
        <w:pageBreakBefore w:val="0"/>
        <w:widowControl w:val="0"/>
        <w:kinsoku/>
        <w:overflowPunct/>
        <w:autoSpaceDE/>
        <w:autoSpaceDN/>
        <w:bidi w:val="0"/>
        <w:snapToGrid w:val="0"/>
        <w:spacing w:line="420" w:lineRule="exact"/>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（9）双方约定承包人应做的其他工作：</w:t>
      </w:r>
    </w:p>
    <w:p>
      <w:pPr>
        <w:keepNext w:val="0"/>
        <w:keepLines w:val="0"/>
        <w:pageBreakBefore w:val="0"/>
        <w:widowControl w:val="0"/>
        <w:kinsoku/>
        <w:overflowPunct/>
        <w:autoSpaceDE/>
        <w:autoSpaceDN/>
        <w:bidi w:val="0"/>
        <w:snapToGrid w:val="0"/>
        <w:spacing w:line="420" w:lineRule="exact"/>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①</w:t>
      </w:r>
      <w:r>
        <w:rPr>
          <w:rFonts w:hint="eastAsia" w:ascii="宋体" w:hAnsi="宋体" w:eastAsia="宋体" w:cs="宋体"/>
          <w:color w:val="auto"/>
          <w:szCs w:val="21"/>
          <w:highlight w:val="none"/>
          <w:u w:val="single"/>
        </w:rPr>
        <w:t>承包人应根据相关规定及发包人的要求、合同约定对发包人另行发包的专业承包单位进行统一管理和配合服务。包括但不限于：项目总进度计划协调管理；公共临时设施管理；公共文明施工和安全生产设施管理；现场综合管理；内部沟通与外部协调；总体设计与技术督导的协调配合；为发包人另行发包的专业承包单位提供标高、基准点与平面控制、轴线；提供工作面（含基础、预埋件、预留孔洞）；提供施工用水、用电的接驳点；成品保护；协助发包人办理项目</w:t>
      </w:r>
      <w:r>
        <w:rPr>
          <w:rFonts w:hint="eastAsia" w:ascii="宋体" w:hAnsi="宋体" w:eastAsia="宋体" w:cs="宋体"/>
          <w:color w:val="auto"/>
          <w:sz w:val="21"/>
          <w:szCs w:val="21"/>
          <w:highlight w:val="none"/>
          <w:u w:val="single"/>
        </w:rPr>
        <w:t>验收及竣工备案</w:t>
      </w:r>
      <w:r>
        <w:rPr>
          <w:rFonts w:hint="eastAsia" w:ascii="宋体" w:hAnsi="宋体" w:eastAsia="宋体" w:cs="宋体"/>
          <w:color w:val="auto"/>
          <w:szCs w:val="21"/>
          <w:highlight w:val="none"/>
          <w:u w:val="single"/>
        </w:rPr>
        <w:t>；为发包人另行发包的专业承包单位提供生产、生活用场地；提供公共运输道路和通道；提供公共水平、垂直运输设施；提供公共外排栅、外脚手架；负责组织整体</w:t>
      </w:r>
      <w:r>
        <w:rPr>
          <w:rFonts w:hint="eastAsia" w:ascii="宋体" w:hAnsi="宋体" w:eastAsia="宋体" w:cs="宋体"/>
          <w:color w:val="auto"/>
          <w:sz w:val="21"/>
          <w:szCs w:val="21"/>
          <w:highlight w:val="none"/>
          <w:u w:val="single"/>
        </w:rPr>
        <w:t>合同工程验收</w:t>
      </w:r>
      <w:r>
        <w:rPr>
          <w:rFonts w:hint="eastAsia" w:ascii="宋体" w:hAnsi="宋体" w:eastAsia="宋体" w:cs="宋体"/>
          <w:color w:val="auto"/>
          <w:szCs w:val="21"/>
          <w:highlight w:val="none"/>
          <w:u w:val="single"/>
        </w:rPr>
        <w:t>及整体工程资料汇总及整理工作以及其它管理和配合服务。承包人应按照《广州市住房和城乡建设局关于规范房屋建筑工程施工承发包管理的通知》</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穗建规字〔2019〕10号</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的规定，对本工程所有专业承包工程负全面管理责任，对施工现场的安全生产、文明施工等工作负总责。承包人对发包人单独发包的专业工程的安全生产、文明施工等工作承担连带责任。承包人应主动配合发包人单独发包的其他专业承包工程的施工，承担由于自身管理、配合服务和协调不到位而导致的违约责任和连带违约责任。</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注：总承包工程使用本条款</w:t>
      </w:r>
      <w:r>
        <w:rPr>
          <w:rFonts w:hint="eastAsia" w:ascii="宋体" w:hAnsi="宋体" w:eastAsia="宋体" w:cs="宋体"/>
          <w:color w:val="auto"/>
          <w:szCs w:val="21"/>
          <w:highlight w:val="none"/>
          <w:u w:val="single"/>
          <w:lang w:eastAsia="zh-CN"/>
        </w:rPr>
        <w:t>）</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②</w:t>
      </w:r>
      <w:r>
        <w:rPr>
          <w:rFonts w:hint="eastAsia" w:ascii="宋体" w:hAnsi="宋体" w:eastAsia="宋体" w:cs="宋体"/>
          <w:color w:val="auto"/>
          <w:sz w:val="21"/>
          <w:szCs w:val="21"/>
          <w:highlight w:val="none"/>
        </w:rPr>
        <w:t>承包人应按照《黄埔区水务局转发广州市水务局关于加强实名制和工人工资分账管理的通知》（穗埔水〔2018〕62 号）的规定，进场施工前在市建设领域管理应用信息平台上进行实名制登记并安排专职人员进行动态维护，实名制信息内容包含但不限以下内容：建筑从业人员基本信息、作业工人考勤与工资支付信息、施工进度情况信息等。承包人应对依法分包的专业承包和劳务分包企业实施统一管理，督促落实实名制管理。</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Cs w:val="21"/>
          <w:highlight w:val="none"/>
          <w:u w:val="single"/>
          <w:lang w:eastAsia="zh-CN"/>
        </w:rPr>
        <w:t>③</w:t>
      </w:r>
      <w:r>
        <w:rPr>
          <w:rFonts w:hint="eastAsia" w:ascii="宋体" w:hAnsi="宋体" w:eastAsia="宋体" w:cs="宋体"/>
          <w:color w:val="auto"/>
          <w:szCs w:val="21"/>
          <w:highlight w:val="none"/>
          <w:u w:val="single"/>
        </w:rPr>
        <w:t>承包人应按照《广州市建设领域工人工资支付分账管理实施细则》的规定</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选择商业银行开立工人工资支付专用账户，在用工之日起15日内为每个工人办理工人工资个人账户，保证按时足额支付工人工资。</w:t>
      </w:r>
      <w:r>
        <w:rPr>
          <w:rFonts w:hint="eastAsia" w:ascii="宋体" w:hAnsi="宋体" w:eastAsia="宋体" w:cs="宋体"/>
          <w:color w:val="auto"/>
          <w:sz w:val="21"/>
          <w:szCs w:val="21"/>
          <w:highlight w:val="none"/>
        </w:rPr>
        <w:t>承包人应对依法分包的专业承包和和劳务</w:t>
      </w:r>
      <w:r>
        <w:rPr>
          <w:rFonts w:hint="eastAsia" w:ascii="宋体" w:hAnsi="宋体" w:eastAsia="宋体" w:cs="宋体"/>
          <w:color w:val="auto"/>
          <w:sz w:val="21"/>
          <w:szCs w:val="21"/>
          <w:highlight w:val="none"/>
          <w:lang w:eastAsia="zh-CN"/>
        </w:rPr>
        <w:t>工程的承包人</w:t>
      </w:r>
      <w:r>
        <w:rPr>
          <w:rFonts w:hint="eastAsia" w:ascii="宋体" w:hAnsi="宋体" w:eastAsia="宋体" w:cs="宋体"/>
          <w:color w:val="auto"/>
          <w:sz w:val="21"/>
          <w:szCs w:val="21"/>
          <w:highlight w:val="none"/>
        </w:rPr>
        <w:t>实施统一管理，严格按国家、省、市关于农民工工资实施总承包单位代发制度的相关规定代发分包单位工人工资。发包人及监理单位将不定期抽查承包人实名制管理的执行情况，如发现违反本合同有关约定的，将追究承包人相应违约责任。</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lang w:eastAsia="zh-CN"/>
        </w:rPr>
        <w:t>④</w:t>
      </w:r>
      <w:r>
        <w:rPr>
          <w:rFonts w:hint="eastAsia" w:ascii="宋体" w:hAnsi="宋体" w:eastAsia="宋体" w:cs="宋体"/>
          <w:color w:val="auto"/>
          <w:szCs w:val="21"/>
          <w:highlight w:val="none"/>
          <w:u w:val="single"/>
        </w:rPr>
        <w:t>承包人应当建立工人考勤、工资结算和支付等管理台账，存档备查，并将相关信息按月报送发包人及监理单位。</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highlight w:val="none"/>
        </w:rPr>
        <w:t>三、施工组织设计和工期</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10、进度计划</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10.1承包人提供施工组织设计(施工方案)和进度计划时间：</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u w:val="single"/>
        </w:rPr>
        <w:t>承包人应于接到中标通知书后4天内向发包人提交总体工程进度计划（网络计划），并于</w:t>
      </w:r>
      <w:r>
        <w:rPr>
          <w:rFonts w:hint="eastAsia" w:ascii="宋体" w:hAnsi="宋体" w:eastAsia="宋体" w:cs="宋体"/>
          <w:color w:val="auto"/>
          <w:szCs w:val="21"/>
          <w:highlight w:val="none"/>
          <w:u w:val="single"/>
          <w:lang w:eastAsia="zh-CN"/>
        </w:rPr>
        <w:t>开工前</w:t>
      </w:r>
      <w:r>
        <w:rPr>
          <w:rFonts w:hint="eastAsia" w:ascii="宋体" w:hAnsi="宋体" w:eastAsia="宋体" w:cs="宋体"/>
          <w:color w:val="auto"/>
          <w:szCs w:val="21"/>
          <w:highlight w:val="none"/>
          <w:u w:val="single"/>
        </w:rPr>
        <w:t>3天内提交施工组织设计（施工方案）给发包人</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承包人提交的施工组织设计应当按监理工程师及国家、省、市及广州开发区关于施工承包管理的要求编制</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承包人编制的工程进度计划内容应全面详实，且应针对承包管理范围内的各专业承包工程及建筑工程的全部或分项施工作业和特点提出施工方法、施工穿插顺序及时间安排，并在各节点位置标注相应的工程量、资金使用计划、人机组织及材料消耗量</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u w:val="single"/>
        </w:rPr>
        <w:t>总监理工程师在接到承包人提交的施工组织设计和工程进度计划后，予以确认或提出修改意见</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napToGrid w:val="0"/>
        <w:spacing w:line="420" w:lineRule="exact"/>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工程师确认的时间：</w:t>
      </w:r>
      <w:r>
        <w:rPr>
          <w:rFonts w:hint="eastAsia" w:ascii="宋体" w:hAnsi="宋体" w:eastAsia="宋体" w:cs="宋体"/>
          <w:color w:val="auto"/>
          <w:szCs w:val="21"/>
          <w:highlight w:val="none"/>
          <w:u w:val="single"/>
        </w:rPr>
        <w:t>开工前</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napToGrid w:val="0"/>
        <w:spacing w:line="420" w:lineRule="exact"/>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10.2</w:t>
      </w:r>
      <w:r>
        <w:rPr>
          <w:rFonts w:hint="eastAsia" w:ascii="宋体" w:hAnsi="宋体" w:eastAsia="宋体" w:cs="宋体"/>
          <w:color w:val="auto"/>
          <w:szCs w:val="21"/>
          <w:highlight w:val="none"/>
          <w:u w:val="single"/>
        </w:rPr>
        <w:t>为便于总监理工程师掌握和控制工期，承包人应于每周一及每月底向总监理工程师填报各专业工程（含各分部、分项工程及专业承包工程）的周计划完成情况及当月进度计划完成情况（没完成计划的必须说明原因），并在此基础上更新工程进度计划、资金计划和其它工作计划。总监理工程师在接到报告后予以确认或提出书面意见，承包人必须按照总监理工程师的确认或者书面意见执行。（报监理工程师的同时，抄送一份给发包人。）</w:t>
      </w:r>
    </w:p>
    <w:p>
      <w:pPr>
        <w:keepNext w:val="0"/>
        <w:keepLines w:val="0"/>
        <w:pageBreakBefore w:val="0"/>
        <w:widowControl w:val="0"/>
        <w:kinsoku/>
        <w:overflowPunct/>
        <w:autoSpaceDE/>
        <w:autoSpaceDN/>
        <w:bidi w:val="0"/>
        <w:snapToGrid w:val="0"/>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w:t>
      </w:r>
      <w:r>
        <w:rPr>
          <w:rFonts w:hint="eastAsia" w:ascii="宋体" w:hAnsi="宋体" w:eastAsia="宋体" w:cs="宋体"/>
          <w:color w:val="auto"/>
          <w:szCs w:val="21"/>
          <w:highlight w:val="none"/>
          <w:u w:val="single"/>
        </w:rPr>
        <w:t>工程实际进度与经总监理工程师确认的进度计划或者更新进度计划不符时，总监理工程师认为本工程或其中任何部分工程进度滞后而不能按预定工期完工，则应将此情况通知承包人，承包人应据此编制修改工程进度计划，采取总监理工程师同意的必要措施加快工程进度，属承包人原因，则承包人无权要求发包人支付任何附加费用。如承包人未能在工程师发布指令后10天内采取有效措施，工程进度仍然无明显改进，发包人有权解除部分或全部合同，将未完工程另行发包给其他有能力的第三方，承包人必须无条件服从，由此所造成的全部损失由承包人承担，并追究承包人的违约赔偿责任</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napToGrid w:val="0"/>
        <w:spacing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highlight w:val="none"/>
        </w:rPr>
        <w:t>11、开工及延期开工</w:t>
      </w:r>
    </w:p>
    <w:p>
      <w:pPr>
        <w:keepNext w:val="0"/>
        <w:keepLines w:val="0"/>
        <w:pageBreakBefore w:val="0"/>
        <w:widowControl w:val="0"/>
        <w:kinsoku/>
        <w:overflowPunct/>
        <w:autoSpaceDE/>
        <w:autoSpaceDN/>
        <w:bidi w:val="0"/>
        <w:snapToGrid w:val="0"/>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11.1开工日期和竣工日期</w:t>
      </w:r>
    </w:p>
    <w:p>
      <w:pPr>
        <w:keepNext w:val="0"/>
        <w:keepLines w:val="0"/>
        <w:pageBreakBefore w:val="0"/>
        <w:widowControl w:val="0"/>
        <w:kinsoku/>
        <w:overflowPunct/>
        <w:autoSpaceDE/>
        <w:autoSpaceDN/>
        <w:bidi w:val="0"/>
        <w:snapToGrid w:val="0"/>
        <w:spacing w:line="420" w:lineRule="exact"/>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11.1.1本工程工期为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日历天。其中开工时间初定为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日。（具体开工日期以发包人或监理单位开工令或批准的开工报告日期为准）</w:t>
      </w:r>
    </w:p>
    <w:p>
      <w:pPr>
        <w:keepNext w:val="0"/>
        <w:keepLines w:val="0"/>
        <w:pageBreakBefore w:val="0"/>
        <w:widowControl w:val="0"/>
        <w:kinsoku/>
        <w:overflowPunct/>
        <w:autoSpaceDE/>
        <w:autoSpaceDN/>
        <w:bidi w:val="0"/>
        <w:snapToGrid w:val="0"/>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11.1.2承包人必须采取一切有效措施保证竣工日期，不得延误。除非发生了以下情形：</w:t>
      </w:r>
    </w:p>
    <w:p>
      <w:pPr>
        <w:keepNext w:val="0"/>
        <w:keepLines w:val="0"/>
        <w:pageBreakBefore w:val="0"/>
        <w:widowControl w:val="0"/>
        <w:kinsoku/>
        <w:overflowPunct/>
        <w:autoSpaceDE/>
        <w:autoSpaceDN/>
        <w:bidi w:val="0"/>
        <w:snapToGrid w:val="0"/>
        <w:spacing w:line="420" w:lineRule="exact"/>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u w:val="single"/>
        </w:rPr>
        <w:t>政府对本工程建设项目作出停建、缓建的决定</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napToGrid w:val="0"/>
        <w:spacing w:line="420" w:lineRule="exact"/>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u w:val="single"/>
        </w:rPr>
        <w:t>重大设计变更导致本工程在规划、使用、功能方面有重大调整</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napToGrid w:val="0"/>
        <w:spacing w:line="420" w:lineRule="exact"/>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u w:val="single"/>
        </w:rPr>
        <w:t>不可抗力持续影响而延误工期超过12天以上</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napToGrid w:val="0"/>
        <w:spacing w:line="420" w:lineRule="exact"/>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u w:val="single"/>
        </w:rPr>
        <w:t>本合同专用条款约定的其他非承包人原因导致的工期延误</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napToGrid w:val="0"/>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11.2延期开工：</w:t>
      </w:r>
    </w:p>
    <w:p>
      <w:pPr>
        <w:keepNext w:val="0"/>
        <w:keepLines w:val="0"/>
        <w:pageBreakBefore w:val="0"/>
        <w:widowControl w:val="0"/>
        <w:kinsoku/>
        <w:overflowPunct/>
        <w:autoSpaceDE/>
        <w:autoSpaceDN/>
        <w:bidi w:val="0"/>
        <w:adjustRightInd w:val="0"/>
        <w:snapToGrid w:val="0"/>
        <w:spacing w:line="420" w:lineRule="exact"/>
        <w:ind w:right="11" w:firstLine="367" w:firstLineChars="175"/>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11.2.1</w:t>
      </w:r>
      <w:r>
        <w:rPr>
          <w:rFonts w:hint="eastAsia" w:ascii="宋体" w:hAnsi="宋体" w:eastAsia="宋体" w:cs="宋体"/>
          <w:color w:val="auto"/>
          <w:szCs w:val="21"/>
          <w:highlight w:val="none"/>
          <w:u w:val="single"/>
        </w:rPr>
        <w:t>因发包人原因不能按照协议书约定的开工日期开工或暂停施工的，总监理工程师应通知承包人推迟开工日期，经监理单位、发包人确认后，工期可相应顺延，但不作费用补偿</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napToGrid w:val="0"/>
        <w:spacing w:line="420" w:lineRule="exact"/>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11.2.2</w:t>
      </w:r>
      <w:r>
        <w:rPr>
          <w:rFonts w:hint="eastAsia" w:ascii="宋体" w:hAnsi="宋体" w:eastAsia="宋体" w:cs="宋体"/>
          <w:color w:val="auto"/>
          <w:szCs w:val="21"/>
          <w:highlight w:val="none"/>
          <w:u w:val="single"/>
        </w:rPr>
        <w:t>承包人未能主动及时地履行其协调、配合服务义务而造成专业承包单位无法开工，由此产生的工期延误等损失由承包人承担，并承担违约责任</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napToGrid w:val="0"/>
        <w:spacing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highlight w:val="none"/>
        </w:rPr>
        <w:t>12、暂停施工</w:t>
      </w:r>
    </w:p>
    <w:p>
      <w:pPr>
        <w:keepNext w:val="0"/>
        <w:keepLines w:val="0"/>
        <w:pageBreakBefore w:val="0"/>
        <w:widowControl w:val="0"/>
        <w:kinsoku/>
        <w:overflowPunct/>
        <w:autoSpaceDE/>
        <w:autoSpaceDN/>
        <w:bidi w:val="0"/>
        <w:snapToGrid w:val="0"/>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12.1因下列原因，总监理工程师报经发包人同意，可通知承包人暂停施工：</w:t>
      </w:r>
    </w:p>
    <w:p>
      <w:pPr>
        <w:keepNext w:val="0"/>
        <w:keepLines w:val="0"/>
        <w:pageBreakBefore w:val="0"/>
        <w:widowControl w:val="0"/>
        <w:kinsoku/>
        <w:overflowPunct/>
        <w:autoSpaceDE/>
        <w:autoSpaceDN/>
        <w:bidi w:val="0"/>
        <w:snapToGrid w:val="0"/>
        <w:spacing w:line="420" w:lineRule="exact"/>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u w:val="single"/>
        </w:rPr>
        <w:t>工程设计发生重大变更</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napToGrid w:val="0"/>
        <w:spacing w:line="420" w:lineRule="exact"/>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u w:val="single"/>
        </w:rPr>
        <w:t>不可抗力</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napToGrid w:val="0"/>
        <w:spacing w:line="420" w:lineRule="exact"/>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u w:val="single"/>
        </w:rPr>
        <w:t>质量事故</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napToGrid w:val="0"/>
        <w:spacing w:line="420" w:lineRule="exact"/>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u w:val="single"/>
        </w:rPr>
        <w:t>安全生产事故</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napToGrid w:val="0"/>
        <w:spacing w:line="420" w:lineRule="exact"/>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u w:val="single"/>
        </w:rPr>
        <w:t>因承包人管理不善，可能导致现场混乱</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napToGrid w:val="0"/>
        <w:spacing w:line="420" w:lineRule="exact"/>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u w:val="single"/>
        </w:rPr>
        <w:t>承包人违规施工，经监理工程师通知改正但仍不执行</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napToGrid w:val="0"/>
        <w:spacing w:line="420" w:lineRule="exact"/>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承包人不得以与发包人有争议为由或者以争议未解决为由而单方面停工。否则，应按约定承担工期延误的违约责任</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napToGrid w:val="0"/>
        <w:spacing w:line="420" w:lineRule="exact"/>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因发生上述第（1）、（2）项原因而暂停施工的，工期可协商调整，因发生上述第（3）、（4）、（5）、（6）项原因而暂停施工的，工期不予顺延,承包人必须承担由此发生的费用并向发包人承担违约责任</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napToGrid w:val="0"/>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为了保证工程质量安全，凡承包人出现下列情况之一（不限于此）的，总监理工程师有权下达停工令，责令承包人停工整改，由此造成的损失由承包人自行承担，工期不予顺延，如果造成工期延误的，承包人还应承担违约责任。</w:t>
      </w:r>
    </w:p>
    <w:p>
      <w:pPr>
        <w:keepNext w:val="0"/>
        <w:keepLines w:val="0"/>
        <w:pageBreakBefore w:val="0"/>
        <w:widowControl w:val="0"/>
        <w:kinsoku/>
        <w:overflowPunct/>
        <w:autoSpaceDE/>
        <w:autoSpaceDN/>
        <w:bidi w:val="0"/>
        <w:snapToGrid w:val="0"/>
        <w:spacing w:line="420" w:lineRule="exact"/>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u w:val="single"/>
        </w:rPr>
        <w:t>拒绝监理单位管理</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napToGrid w:val="0"/>
        <w:spacing w:line="420" w:lineRule="exact"/>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u w:val="single"/>
        </w:rPr>
        <w:t>施工组织设计（方案）未获总监理工程师批准而进行施工</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napToGrid w:val="0"/>
        <w:spacing w:line="420" w:lineRule="exact"/>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u w:val="single"/>
        </w:rPr>
        <w:t>未经监理单位检验而进行下一道工序作业者</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napToGrid w:val="0"/>
        <w:spacing w:line="420" w:lineRule="exact"/>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u w:val="single"/>
        </w:rPr>
        <w:t>擅自采用未经监理单位及发包人认可或批准的材料的，或者使用的原材料、构配件不合格或未经检查确认的，或者擅自采用未经认可的代用材料的</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napToGrid w:val="0"/>
        <w:spacing w:line="420" w:lineRule="exact"/>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u w:val="single"/>
        </w:rPr>
        <w:t>擅自变更设计图纸的要求</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napToGrid w:val="0"/>
        <w:spacing w:line="420" w:lineRule="exact"/>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u w:val="single"/>
        </w:rPr>
        <w:t>转包工程</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napToGrid w:val="0"/>
        <w:spacing w:line="420" w:lineRule="exact"/>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(7)</w:t>
      </w:r>
      <w:r>
        <w:rPr>
          <w:rFonts w:hint="eastAsia" w:ascii="宋体" w:hAnsi="宋体" w:eastAsia="宋体" w:cs="宋体"/>
          <w:color w:val="auto"/>
          <w:szCs w:val="21"/>
          <w:highlight w:val="none"/>
          <w:u w:val="single"/>
        </w:rPr>
        <w:t>擅自让未经总监理工程师批准的专业承包单位进场作业</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napToGrid w:val="0"/>
        <w:spacing w:line="420" w:lineRule="exact"/>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(8)</w:t>
      </w:r>
      <w:r>
        <w:rPr>
          <w:rFonts w:hint="eastAsia" w:ascii="宋体" w:hAnsi="宋体" w:eastAsia="宋体" w:cs="宋体"/>
          <w:color w:val="auto"/>
          <w:szCs w:val="21"/>
          <w:highlight w:val="none"/>
          <w:u w:val="single"/>
        </w:rPr>
        <w:t>存在安全隐患，未按监理单位要求及时进行整改</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napToGrid w:val="0"/>
        <w:spacing w:line="420" w:lineRule="exact"/>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(9)</w:t>
      </w:r>
      <w:r>
        <w:rPr>
          <w:rFonts w:hint="eastAsia" w:ascii="宋体" w:hAnsi="宋体" w:eastAsia="宋体" w:cs="宋体"/>
          <w:color w:val="auto"/>
          <w:szCs w:val="21"/>
          <w:highlight w:val="none"/>
          <w:u w:val="single"/>
        </w:rPr>
        <w:t>未按双方约定的资料上报要求上报所需资料的</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napToGrid w:val="0"/>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12.3因不可抗力引起工程停工，工期按</w:t>
      </w:r>
      <w:r>
        <w:rPr>
          <w:rFonts w:hint="eastAsia" w:ascii="宋体" w:hAnsi="宋体" w:eastAsia="宋体" w:cs="宋体"/>
          <w:color w:val="auto"/>
          <w:szCs w:val="21"/>
          <w:highlight w:val="none"/>
          <w:u w:val="single"/>
        </w:rPr>
        <w:t>专用条款第12.1款</w:t>
      </w:r>
      <w:r>
        <w:rPr>
          <w:rFonts w:hint="eastAsia" w:ascii="宋体" w:hAnsi="宋体" w:eastAsia="宋体" w:cs="宋体"/>
          <w:color w:val="auto"/>
          <w:szCs w:val="21"/>
          <w:highlight w:val="none"/>
        </w:rPr>
        <w:t>约定执行，费用承担按以下原则：</w:t>
      </w:r>
    </w:p>
    <w:p>
      <w:pPr>
        <w:keepNext w:val="0"/>
        <w:keepLines w:val="0"/>
        <w:pageBreakBefore w:val="0"/>
        <w:widowControl w:val="0"/>
        <w:kinsoku/>
        <w:overflowPunct/>
        <w:autoSpaceDE/>
        <w:autoSpaceDN/>
        <w:bidi w:val="0"/>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u w:val="single"/>
        </w:rPr>
        <w:t>因工程损害导致第三方人员伤亡和财产损失，如系在</w:t>
      </w:r>
      <w:r>
        <w:rPr>
          <w:rFonts w:hint="eastAsia" w:ascii="宋体" w:hAnsi="宋体" w:eastAsia="宋体" w:cs="宋体"/>
          <w:color w:val="auto"/>
          <w:sz w:val="21"/>
          <w:szCs w:val="21"/>
          <w:highlight w:val="none"/>
          <w:u w:val="single"/>
        </w:rPr>
        <w:t>合同工程完工验收</w:t>
      </w:r>
      <w:r>
        <w:rPr>
          <w:rFonts w:hint="eastAsia" w:ascii="宋体" w:hAnsi="宋体" w:eastAsia="宋体" w:cs="宋体"/>
          <w:color w:val="auto"/>
          <w:szCs w:val="21"/>
          <w:highlight w:val="none"/>
          <w:u w:val="single"/>
        </w:rPr>
        <w:t>合格移交给发包人使用前造成的，费用由承包人承担；如系在</w:t>
      </w:r>
      <w:r>
        <w:rPr>
          <w:rFonts w:hint="eastAsia" w:ascii="宋体" w:hAnsi="宋体" w:eastAsia="宋体" w:cs="宋体"/>
          <w:color w:val="auto"/>
          <w:sz w:val="21"/>
          <w:szCs w:val="21"/>
          <w:highlight w:val="none"/>
          <w:u w:val="single"/>
        </w:rPr>
        <w:t>合同工程完工验收</w:t>
      </w:r>
      <w:r>
        <w:rPr>
          <w:rFonts w:hint="eastAsia" w:ascii="宋体" w:hAnsi="宋体" w:eastAsia="宋体" w:cs="宋体"/>
          <w:color w:val="auto"/>
          <w:szCs w:val="21"/>
          <w:highlight w:val="none"/>
          <w:u w:val="single"/>
        </w:rPr>
        <w:t>合格移交给发包人使用后发生的，费用由发包人承担</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u w:val="single"/>
        </w:rPr>
        <w:t>运至施工场地用于施工的材料和待安装的设备的损害，属发包人供应的由发包人承担；属承包人采购的由承包人承担</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u w:val="single"/>
        </w:rPr>
        <w:t>发包人承包人人员伤亡由其所在单位负责，并承担相应费用</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u w:val="single"/>
        </w:rPr>
        <w:t>承包人机械设备损坏及停工损失由承包人承担</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u w:val="single"/>
        </w:rPr>
        <w:t>停工期间，承包人应总监理工程师要求留在施工场地的必要的管理人员及保卫人员的费用由承包人承担</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u w:val="single"/>
        </w:rPr>
        <w:t>工程所需清理、修复费用由发包人承担</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napToGrid w:val="0"/>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12.4</w:t>
      </w:r>
      <w:r>
        <w:rPr>
          <w:rFonts w:hint="eastAsia" w:ascii="宋体" w:hAnsi="宋体" w:eastAsia="宋体" w:cs="宋体"/>
          <w:color w:val="auto"/>
          <w:szCs w:val="21"/>
          <w:highlight w:val="none"/>
          <w:u w:val="single"/>
        </w:rPr>
        <w:t>由于承包人自身原因或施工承包管理、配合及协调不力，而导致专业承包工程停工，产生的费用由承包人承担</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highlight w:val="none"/>
        </w:rPr>
        <w:t>13、工期延误</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13.2</w:t>
      </w:r>
      <w:r>
        <w:rPr>
          <w:rFonts w:hint="eastAsia" w:ascii="宋体" w:hAnsi="宋体" w:eastAsia="宋体" w:cs="宋体"/>
          <w:color w:val="auto"/>
          <w:szCs w:val="21"/>
          <w:highlight w:val="none"/>
          <w:u w:val="single"/>
        </w:rPr>
        <w:t>对于非因承包人原因发生的工期延误，承包人应当在工期延误事件发生后7天内就延误的内容经总监理工程师向发包人提出书面报告，逾期不报告，发包人不予确认；发包人在收到经总监理工程师确认报告后15个工作日内予以答复，逾期不予答复，承包人即可视为延期要求已被确认。经确认同意延期，可顺延工期，但不作费用补偿</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highlight w:val="none"/>
        </w:rPr>
        <w:t>四、质量与验收</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15、工程质量</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15.3</w:t>
      </w:r>
      <w:r>
        <w:rPr>
          <w:rFonts w:hint="eastAsia" w:ascii="宋体" w:hAnsi="宋体" w:eastAsia="宋体" w:cs="宋体"/>
          <w:bCs/>
          <w:color w:val="auto"/>
          <w:szCs w:val="21"/>
          <w:highlight w:val="none"/>
          <w:u w:val="single"/>
        </w:rPr>
        <w:t>承包人必须严格按照设计施工图和国家及行业颁发的现行有关设计、施工及验收规范的要求进行施工，确保工程质量，</w:t>
      </w:r>
      <w:r>
        <w:rPr>
          <w:rFonts w:hint="eastAsia" w:ascii="宋体" w:hAnsi="宋体" w:eastAsia="宋体" w:cs="宋体"/>
          <w:bCs/>
          <w:color w:val="auto"/>
          <w:sz w:val="21"/>
          <w:highlight w:val="none"/>
        </w:rPr>
        <w:t>工程的质量标准要求合格，且达到投标承诺的质量标准</w:t>
      </w:r>
      <w:r>
        <w:rPr>
          <w:rFonts w:hint="eastAsia" w:ascii="宋体" w:hAnsi="宋体" w:eastAsia="宋体" w:cs="宋体"/>
          <w:bCs/>
          <w:color w:val="auto"/>
          <w:szCs w:val="21"/>
          <w:highlight w:val="none"/>
          <w:u w:val="single"/>
        </w:rPr>
        <w:t>。承包人对图纸中存在的问题有责任和义务提前以书面形式报告工程师及发包人，以供发包人同监理人核实并及时要求设计方修改设计图纸</w:t>
      </w:r>
      <w:r>
        <w:rPr>
          <w:rFonts w:hint="eastAsia" w:ascii="宋体" w:hAnsi="宋体" w:eastAsia="宋体" w:cs="宋体"/>
          <w:bCs/>
          <w:color w:val="auto"/>
          <w:szCs w:val="21"/>
          <w:highlight w:val="none"/>
        </w:rPr>
        <w:t>。</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15.4</w:t>
      </w:r>
      <w:r>
        <w:rPr>
          <w:rFonts w:hint="eastAsia" w:ascii="宋体" w:hAnsi="宋体" w:eastAsia="宋体" w:cs="宋体"/>
          <w:bCs/>
          <w:color w:val="auto"/>
          <w:szCs w:val="21"/>
          <w:highlight w:val="none"/>
          <w:u w:val="single"/>
        </w:rPr>
        <w:t>本工程项目的所有材料、设备及配件须达到现行中华人民共和国以及省、自治区、直辖市或行业的工程建设标准、规范的要求，产品应有生产许可证书、出厂合格证书，经监理工程师和发包人代表认可后方可使用</w:t>
      </w:r>
      <w:r>
        <w:rPr>
          <w:rFonts w:hint="eastAsia" w:ascii="宋体" w:hAnsi="宋体" w:eastAsia="宋体" w:cs="宋体"/>
          <w:bCs/>
          <w:color w:val="auto"/>
          <w:szCs w:val="21"/>
          <w:highlight w:val="none"/>
        </w:rPr>
        <w:t>。</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15.5</w:t>
      </w:r>
      <w:r>
        <w:rPr>
          <w:rFonts w:hint="eastAsia" w:ascii="宋体" w:hAnsi="宋体" w:eastAsia="宋体" w:cs="宋体"/>
          <w:bCs/>
          <w:color w:val="auto"/>
          <w:szCs w:val="21"/>
          <w:highlight w:val="none"/>
          <w:u w:val="single"/>
        </w:rPr>
        <w:t>工程质量不符合设计要求、质量不合格者，监理工程师可指令承包人停工或返工，返工费用由承包人承担，工期不予顺延</w:t>
      </w:r>
      <w:r>
        <w:rPr>
          <w:rFonts w:hint="eastAsia" w:ascii="宋体" w:hAnsi="宋体" w:eastAsia="宋体" w:cs="宋体"/>
          <w:bCs/>
          <w:color w:val="auto"/>
          <w:szCs w:val="21"/>
          <w:highlight w:val="none"/>
        </w:rPr>
        <w:t>。</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15.6</w:t>
      </w:r>
      <w:r>
        <w:rPr>
          <w:rFonts w:hint="eastAsia" w:ascii="宋体" w:hAnsi="宋体" w:eastAsia="宋体" w:cs="宋体"/>
          <w:bCs/>
          <w:color w:val="auto"/>
          <w:szCs w:val="21"/>
          <w:highlight w:val="none"/>
          <w:u w:val="single"/>
        </w:rPr>
        <w:t>发生须紧急抢修事故，承包人接到通知后，应立即到达事故现场抢修；否则，发包人可以另委托单位抢修，属承包人施工质量问题造成的修复等费用全部由承包人承担</w:t>
      </w:r>
      <w:r>
        <w:rPr>
          <w:rFonts w:hint="eastAsia" w:ascii="宋体" w:hAnsi="宋体" w:eastAsia="宋体" w:cs="宋体"/>
          <w:bCs/>
          <w:color w:val="auto"/>
          <w:szCs w:val="21"/>
          <w:highlight w:val="none"/>
        </w:rPr>
        <w:t>。</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15.7</w:t>
      </w:r>
      <w:r>
        <w:rPr>
          <w:rFonts w:hint="eastAsia" w:ascii="宋体" w:hAnsi="宋体" w:eastAsia="宋体" w:cs="宋体"/>
          <w:bCs/>
          <w:color w:val="auto"/>
          <w:szCs w:val="21"/>
          <w:highlight w:val="none"/>
          <w:u w:val="single"/>
        </w:rPr>
        <w:t>本工程按照本合同专用条款3.3的约定进行质量验收。若承包人有违反操作规程和标准或施工质量不符合规定的，发包人及监理工程师有权令其停止（或暂停）施工，由此造成的损失均由承包人负责。如在施工过程中颁发新的质量标准规范版本的，是否采用新版本规定，由监理工程师与有关各方洽商决定</w:t>
      </w:r>
      <w:r>
        <w:rPr>
          <w:rFonts w:hint="eastAsia" w:ascii="宋体" w:hAnsi="宋体" w:eastAsia="宋体" w:cs="宋体"/>
          <w:bCs/>
          <w:color w:val="auto"/>
          <w:szCs w:val="21"/>
          <w:highlight w:val="none"/>
        </w:rPr>
        <w:t>。</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highlight w:val="none"/>
        </w:rPr>
        <w:t>16、检查和返工</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16.3工程师的检查检验：</w:t>
      </w:r>
      <w:r>
        <w:rPr>
          <w:rFonts w:hint="eastAsia" w:ascii="宋体" w:hAnsi="宋体" w:eastAsia="宋体" w:cs="宋体"/>
          <w:bCs/>
          <w:color w:val="auto"/>
          <w:szCs w:val="21"/>
          <w:highlight w:val="none"/>
          <w:u w:val="single"/>
        </w:rPr>
        <w:t>工程师按规范、标准、设计图纸要求和频率所进行的检查检测不应成为承包人工期顺延的理由</w:t>
      </w:r>
      <w:r>
        <w:rPr>
          <w:rFonts w:hint="eastAsia" w:ascii="宋体" w:hAnsi="宋体" w:eastAsia="宋体" w:cs="宋体"/>
          <w:bCs/>
          <w:color w:val="auto"/>
          <w:szCs w:val="21"/>
          <w:highlight w:val="none"/>
        </w:rPr>
        <w:t>。</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highlight w:val="none"/>
        </w:rPr>
        <w:t>17、隐蔽工程和中间验收</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17.1双方约定中间验收部位：</w:t>
      </w:r>
      <w:r>
        <w:rPr>
          <w:rFonts w:hint="eastAsia" w:ascii="宋体" w:hAnsi="宋体" w:eastAsia="宋体" w:cs="宋体"/>
          <w:color w:val="auto"/>
          <w:szCs w:val="21"/>
          <w:highlight w:val="none"/>
          <w:u w:val="single"/>
        </w:rPr>
        <w:t>按相应工程施工及验收规范要求执行</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highlight w:val="none"/>
        </w:rPr>
        <w:t>19、工程试车</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19.5试车费用的承担：</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highlight w:val="none"/>
        </w:rPr>
        <w:t>五、安全施工</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20、安全施工与检查</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20.3</w:t>
      </w:r>
      <w:r>
        <w:rPr>
          <w:rFonts w:hint="eastAsia" w:ascii="宋体" w:hAnsi="宋体" w:eastAsia="宋体" w:cs="宋体"/>
          <w:color w:val="auto"/>
          <w:szCs w:val="21"/>
          <w:highlight w:val="none"/>
          <w:u w:val="single"/>
        </w:rPr>
        <w:t>承包人应建立安全责任制，明确各部门安全工作的岗位责任人，建立健全正常运转的各种安全工作保证体系和规章制度，将安全生产目标分解落实到实处</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20.4</w:t>
      </w:r>
      <w:r>
        <w:rPr>
          <w:rFonts w:hint="eastAsia" w:ascii="宋体" w:hAnsi="宋体" w:eastAsia="宋体" w:cs="宋体"/>
          <w:color w:val="auto"/>
          <w:szCs w:val="21"/>
          <w:highlight w:val="none"/>
          <w:u w:val="single"/>
        </w:rPr>
        <w:t>承包人按规定数量配置安全员</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20.5</w:t>
      </w:r>
      <w:r>
        <w:rPr>
          <w:rFonts w:hint="eastAsia" w:ascii="宋体" w:hAnsi="宋体" w:eastAsia="宋体" w:cs="宋体"/>
          <w:color w:val="auto"/>
          <w:szCs w:val="21"/>
          <w:highlight w:val="none"/>
          <w:u w:val="single"/>
        </w:rPr>
        <w:t>承包人在开工前须向质量安全监督机构提交备案的书面资料</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20.6</w:t>
      </w:r>
      <w:r>
        <w:rPr>
          <w:rFonts w:hint="eastAsia" w:ascii="宋体" w:hAnsi="宋体" w:eastAsia="宋体" w:cs="宋体"/>
          <w:color w:val="auto"/>
          <w:szCs w:val="21"/>
          <w:highlight w:val="none"/>
          <w:u w:val="single"/>
        </w:rPr>
        <w:t>承包人在编制施工组织设计时，应当根据工程的特点编制相应的安全技术措施</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20.7</w:t>
      </w:r>
      <w:r>
        <w:rPr>
          <w:rFonts w:hint="eastAsia" w:ascii="宋体" w:hAnsi="宋体" w:eastAsia="宋体" w:cs="宋体"/>
          <w:color w:val="auto"/>
          <w:szCs w:val="21"/>
          <w:highlight w:val="none"/>
          <w:u w:val="single"/>
        </w:rPr>
        <w:t>承包人按有关安全和防护的规定组织施工生产，不得使用不合标准的防护器材、机具和材料</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20.8</w:t>
      </w:r>
      <w:r>
        <w:rPr>
          <w:rFonts w:hint="eastAsia" w:ascii="宋体" w:hAnsi="宋体" w:eastAsia="宋体" w:cs="宋体"/>
          <w:color w:val="auto"/>
          <w:szCs w:val="21"/>
          <w:highlight w:val="none"/>
          <w:u w:val="single"/>
        </w:rPr>
        <w:t>在工程实施期间，施工场地一经移交给承包人，承包人即对自身施工场地负有全过程、全面的管理责任，必须对自身施工场地范围内的治安秩序、安全保卫、环境卫生以及周围房屋、市政设施等负全责，对自身施工场地范围内的交通道路、用水、用电、场地内的协调进行的管理和协调。承包人需对其施工场地布置、人员的管理、交通组织制订详细的方案，对施工时段作出合理安排，必须采用全封闭施工方案，确保不对周边环境、道路、行人和相邻施工现场造成不利影响，不得干扰周围居民的正常生活，不得影响学生的上课及正常的活动</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highlight w:val="none"/>
        </w:rPr>
        <w:t>21、安全防护</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21.3</w:t>
      </w:r>
      <w:r>
        <w:rPr>
          <w:rFonts w:hint="eastAsia" w:ascii="宋体" w:hAnsi="宋体" w:eastAsia="宋体" w:cs="宋体"/>
          <w:color w:val="auto"/>
          <w:szCs w:val="21"/>
          <w:highlight w:val="none"/>
          <w:u w:val="single"/>
        </w:rPr>
        <w:t>承包人应在施工现场采取维护安全、防范危险、预防火灾等措施，在特殊作业环境应对作业人员采取劳动保护措施</w:t>
      </w:r>
      <w:r>
        <w:rPr>
          <w:rFonts w:hint="eastAsia" w:ascii="宋体" w:hAnsi="宋体" w:eastAsia="宋体" w:cs="宋体"/>
          <w:color w:val="auto"/>
          <w:szCs w:val="21"/>
          <w:highlight w:val="none"/>
        </w:rPr>
        <w:t>。</w:t>
      </w:r>
    </w:p>
    <w:p>
      <w:pPr>
        <w:keepNext w:val="0"/>
        <w:keepLines w:val="0"/>
        <w:pageBreakBefore w:val="0"/>
        <w:widowControl w:val="0"/>
        <w:tabs>
          <w:tab w:val="left" w:pos="2340"/>
        </w:tabs>
        <w:kinsoku/>
        <w:overflowPunct/>
        <w:autoSpaceDE/>
        <w:autoSpaceDN/>
        <w:bidi w:val="0"/>
        <w:spacing w:line="420" w:lineRule="exact"/>
        <w:ind w:firstLine="420" w:firstLineChars="200"/>
        <w:jc w:val="left"/>
        <w:textAlignment w:val="auto"/>
        <w:rPr>
          <w:rFonts w:hint="eastAsia" w:ascii="宋体" w:hAnsi="宋体" w:eastAsia="宋体" w:cs="宋体"/>
          <w:color w:val="auto"/>
          <w:kern w:val="2"/>
          <w:sz w:val="21"/>
          <w:szCs w:val="21"/>
          <w:highlight w:val="none"/>
          <w:u w:val="single"/>
        </w:rPr>
      </w:pPr>
      <w:r>
        <w:rPr>
          <w:rFonts w:hint="eastAsia" w:ascii="宋体" w:hAnsi="宋体" w:eastAsia="宋体" w:cs="宋体"/>
          <w:color w:val="auto"/>
          <w:sz w:val="21"/>
          <w:szCs w:val="21"/>
          <w:highlight w:val="none"/>
        </w:rPr>
        <w:t>21.4</w:t>
      </w:r>
      <w:r>
        <w:rPr>
          <w:rFonts w:hint="eastAsia" w:ascii="宋体" w:hAnsi="宋体" w:eastAsia="宋体" w:cs="宋体"/>
          <w:color w:val="auto"/>
          <w:sz w:val="21"/>
          <w:szCs w:val="21"/>
          <w:highlight w:val="none"/>
          <w:u w:val="single"/>
        </w:rPr>
        <w:t>承包人应加强周边学校、居民住宅的环境保护，制定绿色施工安全防护措施（包括防尘、防噪音、施工围蔽等），施工现场严格按照《广州市建设工程文明施工管理规定》（广州市人民政府令第</w:t>
      </w:r>
      <w:r>
        <w:rPr>
          <w:rFonts w:hint="eastAsia" w:ascii="宋体" w:hAnsi="宋体" w:eastAsia="宋体" w:cs="宋体"/>
          <w:color w:val="auto"/>
          <w:sz w:val="21"/>
          <w:szCs w:val="21"/>
          <w:highlight w:val="none"/>
          <w:u w:val="single"/>
          <w:lang w:val="en-US" w:eastAsia="zh-CN"/>
        </w:rPr>
        <w:t>158</w:t>
      </w:r>
      <w:r>
        <w:rPr>
          <w:rFonts w:hint="eastAsia" w:ascii="宋体" w:hAnsi="宋体" w:eastAsia="宋体" w:cs="宋体"/>
          <w:color w:val="auto"/>
          <w:sz w:val="21"/>
          <w:szCs w:val="21"/>
          <w:highlight w:val="none"/>
          <w:u w:val="single"/>
        </w:rPr>
        <w:t>号）、《广州市建设工程现场文明施工管理办法》（穗建质〔2008〕937号）、《关于进一步加强我区建设工地文明施工管理的通知》（穗开规建〔2006〕74号）、《广州市住房和城乡建设委员会关于印发建设工程扬尘防治“6个100%”管理标准细化措施的通知》（穗建质〔2018〕1394号）及其他相关规定实施，施工围蔽严格按照、《关于进一步加强规范建设施工现场围蔽的通知》（穗建质〔2018〕1008号）、《广州市建设工程绿色施工围蔽指导图集（V2.0版）》(穗建质〔2020〕1号）、《关于进一步落实我区市政建设项目施工围蔽提升工作的通知》（穗埔建[2019]123号）</w:t>
      </w:r>
      <w:r>
        <w:rPr>
          <w:rFonts w:hint="eastAsia" w:ascii="宋体" w:hAnsi="宋体" w:eastAsia="宋体" w:cs="宋体"/>
          <w:color w:val="auto"/>
          <w:sz w:val="21"/>
          <w:szCs w:val="21"/>
          <w:highlight w:val="none"/>
          <w:u w:val="single"/>
          <w:lang w:eastAsia="zh-CN"/>
        </w:rPr>
        <w:t>实施</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以上文件要求不一致的，以后发布</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文件为准，若相关部门发布有关施工围蔽新文件规定的，按新规定执行。</w:t>
      </w:r>
      <w:r>
        <w:rPr>
          <w:rFonts w:hint="eastAsia" w:ascii="宋体" w:hAnsi="宋体" w:eastAsia="宋体" w:cs="宋体"/>
          <w:color w:val="auto"/>
          <w:sz w:val="21"/>
          <w:szCs w:val="21"/>
          <w:highlight w:val="none"/>
          <w:u w:val="single"/>
        </w:rPr>
        <w:t>如承包人未及时按要求做好围蔽、落实工地扬尘防治等安全防护措施，业主可另行委托单位实施，业主在工程款中扣减相应措施费用。承包人应当在项目施工前编制扬尘污染防治专项方案和扬尘污染防治费用使用计划，明确扬尘控制目标、防治部位、控制措施，并将扬尘污染防治费用专项使用。</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21.5</w:t>
      </w:r>
      <w:r>
        <w:rPr>
          <w:rFonts w:hint="eastAsia" w:ascii="宋体" w:hAnsi="宋体" w:eastAsia="宋体" w:cs="宋体"/>
          <w:color w:val="auto"/>
          <w:szCs w:val="21"/>
          <w:highlight w:val="none"/>
          <w:u w:val="single"/>
        </w:rPr>
        <w:t>承包人应按规定对工程施工人员进行安全教育和管理</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21.6</w:t>
      </w:r>
      <w:r>
        <w:rPr>
          <w:rFonts w:hint="eastAsia" w:ascii="宋体" w:hAnsi="宋体" w:eastAsia="宋体" w:cs="宋体"/>
          <w:color w:val="auto"/>
          <w:szCs w:val="21"/>
          <w:highlight w:val="none"/>
          <w:u w:val="single"/>
        </w:rPr>
        <w:t>承包人应书面记录专项安全施工组织设计方案审查、安全检查、安全技术交底、安全隐患整改、安全教育等重要安全管理活动</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pacing w:line="420" w:lineRule="exact"/>
        <w:ind w:firstLine="315" w:firstLineChars="150"/>
        <w:jc w:val="both"/>
        <w:textAlignment w:val="auto"/>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u w:val="single"/>
          <w:lang w:val="en-US" w:eastAsia="zh-CN" w:bidi="ar-SA"/>
        </w:rPr>
        <w:t>21.7承包人用于本项目的非标起重机械设备须严格执行《关于印发&lt;广州市非标建筑起重机械管理办法&gt;的通知》(穗建质[2010]999号)的相关规定，非标起重机械设备是指没有国家或行业制造标准的各类起重机械设备，如非标架桥设备、 竖井提升设备、非标龙门吊、贝雷架式或扒杆式起重装置等。</w:t>
      </w:r>
    </w:p>
    <w:p>
      <w:pPr>
        <w:keepNext w:val="0"/>
        <w:keepLines w:val="0"/>
        <w:pageBreakBefore w:val="0"/>
        <w:widowControl w:val="0"/>
        <w:kinsoku/>
        <w:overflowPunct/>
        <w:autoSpaceDE/>
        <w:autoSpaceDN/>
        <w:bidi w:val="0"/>
        <w:spacing w:line="420" w:lineRule="exact"/>
        <w:ind w:firstLine="315" w:firstLineChars="150"/>
        <w:jc w:val="both"/>
        <w:textAlignment w:val="auto"/>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u w:val="single"/>
          <w:lang w:val="en-US" w:eastAsia="zh-CN" w:bidi="ar-SA"/>
        </w:rPr>
        <w:t>21.8承包人用于本项目的起重设备须严格执行《关于建筑起重机械设备安全监督管理的通知》【穗建安监字[2006]24号】、《关于加强建设工地塔式起重机安全管理的若干规定》【穗建安监字[2006]5号】、《关于加强塔式起重机等垂直运输设备及附着升降脚手架施工安全监督管理的通知》【穗建筑[2003]84号】等相关规定。</w:t>
      </w:r>
    </w:p>
    <w:p>
      <w:pPr>
        <w:keepNext w:val="0"/>
        <w:keepLines w:val="0"/>
        <w:pageBreakBefore w:val="0"/>
        <w:widowControl w:val="0"/>
        <w:kinsoku/>
        <w:overflowPunct/>
        <w:autoSpaceDE/>
        <w:autoSpaceDN/>
        <w:bidi w:val="0"/>
        <w:spacing w:line="420" w:lineRule="exact"/>
        <w:ind w:firstLine="315" w:firstLineChars="150"/>
        <w:jc w:val="both"/>
        <w:textAlignment w:val="auto"/>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u w:val="single"/>
          <w:lang w:val="en-US" w:eastAsia="zh-CN" w:bidi="ar-SA"/>
        </w:rPr>
        <w:t>21.9承包人在工程实施过程中，按照国家、省、市的相关规定制定相关的专项安全施工方案（如高支模、基坑支护、沉井等），组织专家评审通过后，报监理人、发包人审批后方可开展专项工程的施工。</w:t>
      </w:r>
    </w:p>
    <w:p>
      <w:pPr>
        <w:keepNext w:val="0"/>
        <w:keepLines w:val="0"/>
        <w:pageBreakBefore w:val="0"/>
        <w:widowControl w:val="0"/>
        <w:kinsoku/>
        <w:overflowPunct/>
        <w:autoSpaceDE/>
        <w:autoSpaceDN/>
        <w:bidi w:val="0"/>
        <w:spacing w:line="420" w:lineRule="exact"/>
        <w:ind w:firstLine="420" w:firstLineChars="200"/>
        <w:jc w:val="both"/>
        <w:textAlignment w:val="auto"/>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u w:val="single"/>
          <w:lang w:val="en-US" w:eastAsia="zh-CN" w:bidi="ar-SA"/>
        </w:rPr>
        <w:t>21.10根据《广州市城乡建设委员会关于印发广州市建设工程施工机械设备环保管理整治联合行动工作方案的函》（穗建质函[2014]2763号）要求，承包人应按上述文件规定执行，确保所有在用施工机械设备整洁、安全、有效，防止尾气污染的超标排放。所有施工机械必须具有出厂合格证明文件或进口设备检测证明文件，机械设备必须使用广州市推广使用的车用燃油。承包人应对正使用的机械设备定期维护保养并采取有效措施减少污染排放。承包人未按上述要求执行的，视为未按约定投入机械设备，按35.2.6款（2）项承担违约责任。</w:t>
      </w:r>
    </w:p>
    <w:p>
      <w:pPr>
        <w:keepNext w:val="0"/>
        <w:keepLines w:val="0"/>
        <w:pageBreakBefore w:val="0"/>
        <w:widowControl w:val="0"/>
        <w:kinsoku/>
        <w:overflowPunct/>
        <w:autoSpaceDE/>
        <w:autoSpaceDN/>
        <w:bidi w:val="0"/>
        <w:spacing w:line="420" w:lineRule="exact"/>
        <w:ind w:firstLine="420" w:firstLineChars="200"/>
        <w:jc w:val="both"/>
        <w:textAlignment w:val="auto"/>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u w:val="single"/>
          <w:lang w:val="en-US" w:eastAsia="zh-CN" w:bidi="ar-SA"/>
        </w:rPr>
        <w:t>21.11承包人在施工期间要确保工程外场地清洁及道路畅通，如须使用他方道路，则还必须负责养护、保洁责任，否则责任自负。施工和警示标志明显，因施工造成人身损害和财产损失的，由承包人承担责任。</w:t>
      </w:r>
    </w:p>
    <w:p>
      <w:pPr>
        <w:keepNext w:val="0"/>
        <w:keepLines w:val="0"/>
        <w:pageBreakBefore w:val="0"/>
        <w:widowControl w:val="0"/>
        <w:kinsoku/>
        <w:overflowPunct/>
        <w:autoSpaceDE/>
        <w:autoSpaceDN/>
        <w:bidi w:val="0"/>
        <w:spacing w:line="420" w:lineRule="exact"/>
        <w:ind w:firstLine="420" w:firstLineChars="200"/>
        <w:jc w:val="both"/>
        <w:textAlignment w:val="auto"/>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u w:val="single"/>
          <w:lang w:val="en-US" w:eastAsia="zh-CN" w:bidi="ar-SA"/>
        </w:rPr>
        <w:t>21.12承包人必须考虑安全、环保等因素在局部施工范围进行围蔽施工，现场围蔽不符合国家有关安全措施及技术要求的，不得开展施工作业，由此造成的工期延长，由承包人自己负责，当作延误工期处理。</w:t>
      </w:r>
    </w:p>
    <w:p>
      <w:pPr>
        <w:keepNext w:val="0"/>
        <w:keepLines w:val="0"/>
        <w:pageBreakBefore w:val="0"/>
        <w:widowControl w:val="0"/>
        <w:kinsoku/>
        <w:overflowPunct/>
        <w:autoSpaceDE/>
        <w:autoSpaceDN/>
        <w:bidi w:val="0"/>
        <w:spacing w:line="420" w:lineRule="exact"/>
        <w:ind w:firstLine="420" w:firstLineChars="200"/>
        <w:jc w:val="both"/>
        <w:textAlignment w:val="auto"/>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u w:val="single"/>
          <w:lang w:val="en-US" w:eastAsia="zh-CN" w:bidi="ar-SA"/>
        </w:rPr>
        <w:t>21.13承包人应注意对现有的道路、供水管、排水管、绿化、路灯、电力与通讯设施等进行保护，如因承包人原因损坏，承包人应无条件修复，由此引起的任何安全事故由承包人负责，并承担由此产生的一切费用。若承包人不能按要求修复的，则由发包人委托其它单位修复，费用从承包人工程款中扣付。</w:t>
      </w:r>
    </w:p>
    <w:p>
      <w:pPr>
        <w:keepNext w:val="0"/>
        <w:keepLines w:val="0"/>
        <w:pageBreakBefore w:val="0"/>
        <w:widowControl w:val="0"/>
        <w:kinsoku/>
        <w:overflowPunct/>
        <w:autoSpaceDE/>
        <w:autoSpaceDN/>
        <w:bidi w:val="0"/>
        <w:spacing w:line="420" w:lineRule="exact"/>
        <w:ind w:firstLine="420" w:firstLineChars="200"/>
        <w:jc w:val="both"/>
        <w:textAlignment w:val="auto"/>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u w:val="single"/>
          <w:lang w:val="en-US" w:eastAsia="zh-CN" w:bidi="ar-SA"/>
        </w:rPr>
        <w:t>21.14承包人应对当地现有的交通道路状况进行充分调查，充分考虑该路段的交通疏导问题和文明施工，制定可行的交通疏导（包括场内和场外）方案，确保原有道路的交通畅通和施工临时排水的通畅，并符合施工环保要求。承包人应与交警及公路管理部门协商，取得同意和协助，并负责承担道路改线或改善和其他费用。相关费用计入措施项目费中，结算时按发包人批准的实施方案，按合同约定结算。如果承包人不及时按要求设置，发包人可以另行委托实施。发包人按实际发生的费用在工程款中扣除，承包人不得有任何异议。</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highlight w:val="none"/>
        </w:rPr>
        <w:t>22、事故处理</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22.3如发生安全事故，除按法定程序办理有关事宜外，还必须按以下程序进行处理：</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22.3.1</w:t>
      </w:r>
      <w:r>
        <w:rPr>
          <w:rFonts w:hint="eastAsia" w:ascii="宋体" w:hAnsi="宋体" w:eastAsia="宋体" w:cs="宋体"/>
          <w:color w:val="auto"/>
          <w:szCs w:val="21"/>
          <w:highlight w:val="none"/>
          <w:u w:val="single"/>
        </w:rPr>
        <w:t>报告安全事故：安全事故发生后，承包人应在1小时内用最快的信息传递手段，将发生事故的时间、地点、伤亡人数、事故原因等情况，报工程师和发包人</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22.3.2</w:t>
      </w:r>
      <w:r>
        <w:rPr>
          <w:rFonts w:hint="eastAsia" w:ascii="宋体" w:hAnsi="宋体" w:eastAsia="宋体" w:cs="宋体"/>
          <w:color w:val="auto"/>
          <w:szCs w:val="21"/>
          <w:highlight w:val="none"/>
          <w:u w:val="single"/>
        </w:rPr>
        <w:t>事故处理：承包人负责抢救伤员、排除险情，防止事故扩大蔓延，保护好现场，并做好标志，启动保险理赔程序</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22.3.3</w:t>
      </w:r>
      <w:r>
        <w:rPr>
          <w:rFonts w:hint="eastAsia" w:ascii="宋体" w:hAnsi="宋体" w:eastAsia="宋体" w:cs="宋体"/>
          <w:color w:val="auto"/>
          <w:szCs w:val="21"/>
          <w:highlight w:val="none"/>
          <w:u w:val="single"/>
        </w:rPr>
        <w:t>事故调查：承包人应组织内部技术安全、质量部门的人员组成调查组，开展调查，并配合做好发包人或政府有关部门组织的调查工作</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22.3.4</w:t>
      </w:r>
      <w:r>
        <w:rPr>
          <w:rFonts w:hint="eastAsia" w:ascii="宋体" w:hAnsi="宋体" w:eastAsia="宋体" w:cs="宋体"/>
          <w:color w:val="auto"/>
          <w:szCs w:val="21"/>
          <w:highlight w:val="none"/>
          <w:u w:val="single"/>
        </w:rPr>
        <w:t>调查报告：承包人应把事故发生经过、原因、性质、损失、责任、处理意见、纠正和预防措施撰写成调查报告，送工程师会审后报发包人</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highlight w:val="none"/>
        </w:rPr>
        <w:t>六、合同价款与支付</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color w:val="auto"/>
          <w:sz w:val="24"/>
          <w:highlight w:val="none"/>
          <w:u w:val="single"/>
        </w:rPr>
      </w:pPr>
      <w:r>
        <w:rPr>
          <w:rFonts w:hint="eastAsia" w:ascii="宋体" w:hAnsi="宋体" w:eastAsia="宋体" w:cs="宋体"/>
          <w:b/>
          <w:color w:val="auto"/>
          <w:sz w:val="24"/>
          <w:highlight w:val="none"/>
        </w:rPr>
        <w:t>23、合同价款及调整</w:t>
      </w:r>
    </w:p>
    <w:p>
      <w:pPr>
        <w:keepNext w:val="0"/>
        <w:keepLines w:val="0"/>
        <w:pageBreakBefore w:val="0"/>
        <w:widowControl w:val="0"/>
        <w:kinsoku/>
        <w:overflowPunct/>
        <w:autoSpaceDE/>
        <w:autoSpaceDN/>
        <w:bidi w:val="0"/>
        <w:snapToGrid w:val="0"/>
        <w:spacing w:line="420" w:lineRule="exact"/>
        <w:ind w:firstLine="315" w:firstLineChars="1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23.2本合同价款按照</w:t>
      </w:r>
      <w:r>
        <w:rPr>
          <w:rFonts w:hint="eastAsia" w:ascii="宋体" w:hAnsi="宋体" w:eastAsia="宋体" w:cs="宋体"/>
          <w:color w:val="auto"/>
          <w:szCs w:val="21"/>
          <w:highlight w:val="none"/>
          <w:u w:val="single"/>
        </w:rPr>
        <w:t>协议书第</w:t>
      </w:r>
      <w:r>
        <w:rPr>
          <w:rFonts w:hint="eastAsia" w:ascii="宋体" w:hAnsi="宋体" w:eastAsia="宋体" w:cs="宋体"/>
          <w:color w:val="auto"/>
          <w:szCs w:val="21"/>
          <w:highlight w:val="none"/>
          <w:u w:val="single"/>
          <w:lang w:val="en-US" w:eastAsia="zh-CN"/>
        </w:rPr>
        <w:t>五</w:t>
      </w:r>
      <w:r>
        <w:rPr>
          <w:rFonts w:hint="eastAsia" w:ascii="宋体" w:hAnsi="宋体" w:eastAsia="宋体" w:cs="宋体"/>
          <w:color w:val="auto"/>
          <w:szCs w:val="21"/>
          <w:highlight w:val="none"/>
          <w:u w:val="single"/>
        </w:rPr>
        <w:t>条、专用条款23.3款和专用条款23.5款</w:t>
      </w:r>
      <w:r>
        <w:rPr>
          <w:rFonts w:hint="eastAsia" w:ascii="宋体" w:hAnsi="宋体" w:eastAsia="宋体" w:cs="宋体"/>
          <w:color w:val="auto"/>
          <w:szCs w:val="21"/>
          <w:highlight w:val="none"/>
        </w:rPr>
        <w:t>约定执行，最终按结算终审部门审定价结算。</w:t>
      </w:r>
    </w:p>
    <w:p>
      <w:pPr>
        <w:keepNext w:val="0"/>
        <w:keepLines w:val="0"/>
        <w:pageBreakBefore w:val="0"/>
        <w:widowControl w:val="0"/>
        <w:kinsoku/>
        <w:overflowPunct/>
        <w:autoSpaceDE/>
        <w:autoSpaceDN/>
        <w:bidi w:val="0"/>
        <w:snapToGrid w:val="0"/>
        <w:spacing w:line="420" w:lineRule="exact"/>
        <w:ind w:firstLine="315" w:firstLineChars="1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本合同价款采用分部分项工程量清单固定综合单价方式确定，具体办法如下：</w:t>
      </w:r>
    </w:p>
    <w:p>
      <w:pPr>
        <w:keepNext w:val="0"/>
        <w:keepLines w:val="0"/>
        <w:pageBreakBefore w:val="0"/>
        <w:widowControl w:val="0"/>
        <w:kinsoku/>
        <w:overflowPunct/>
        <w:autoSpaceDE/>
        <w:autoSpaceDN/>
        <w:bidi w:val="0"/>
        <w:snapToGrid w:val="0"/>
        <w:spacing w:line="420" w:lineRule="exact"/>
        <w:ind w:firstLine="315" w:firstLineChars="1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（1）分部分项工程量清单费：</w:t>
      </w:r>
      <w:r>
        <w:rPr>
          <w:rFonts w:hint="eastAsia" w:ascii="宋体" w:hAnsi="宋体" w:eastAsia="宋体" w:cs="宋体"/>
          <w:color w:val="auto"/>
          <w:szCs w:val="21"/>
          <w:highlight w:val="none"/>
          <w:u w:val="single"/>
        </w:rPr>
        <w:t>除专用条款23.5.1及专用条款23.5.2规定情况外，分部分项工程量清单综合单价固定不变，工程量按实计量</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napToGrid w:val="0"/>
        <w:spacing w:line="420" w:lineRule="exact"/>
        <w:ind w:firstLine="315" w:firstLineChars="150"/>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szCs w:val="21"/>
          <w:highlight w:val="none"/>
        </w:rPr>
        <w:t>（2）措施项目费：</w:t>
      </w:r>
      <w:r>
        <w:rPr>
          <w:rFonts w:hint="eastAsia" w:ascii="宋体" w:hAnsi="宋体" w:eastAsia="宋体" w:cs="宋体"/>
          <w:color w:val="auto"/>
          <w:szCs w:val="21"/>
          <w:highlight w:val="none"/>
          <w:u w:val="single"/>
        </w:rPr>
        <w:t>措施项目费（除施工围蔽费用外）固定不变，包干使用，结算时不予调整，施工围蔽清单综合单价固定不变，工程量按实计量。</w:t>
      </w:r>
    </w:p>
    <w:p>
      <w:pPr>
        <w:keepNext w:val="0"/>
        <w:keepLines w:val="0"/>
        <w:pageBreakBefore w:val="0"/>
        <w:widowControl w:val="0"/>
        <w:kinsoku/>
        <w:overflowPunct/>
        <w:autoSpaceDE/>
        <w:autoSpaceDN/>
        <w:bidi w:val="0"/>
        <w:snapToGrid w:val="0"/>
        <w:spacing w:line="420" w:lineRule="exact"/>
        <w:ind w:firstLine="315" w:firstLineChars="1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（3）其他项目部分：</w:t>
      </w:r>
    </w:p>
    <w:p>
      <w:pPr>
        <w:keepNext w:val="0"/>
        <w:keepLines w:val="0"/>
        <w:pageBreakBefore w:val="0"/>
        <w:widowControl w:val="0"/>
        <w:kinsoku/>
        <w:overflowPunct/>
        <w:autoSpaceDE/>
        <w:autoSpaceDN/>
        <w:bidi w:val="0"/>
        <w:snapToGrid w:val="0"/>
        <w:spacing w:line="420" w:lineRule="exact"/>
        <w:ind w:firstLine="315" w:firstLineChars="1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szCs w:val="21"/>
          <w:highlight w:val="none"/>
        </w:rPr>
        <w:instrText xml:space="preserve">,1)</w:instrTex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u w:val="single"/>
        </w:rPr>
        <w:t>招标人部分为暂定价，按实际签订的专业承包合同或预留金使用情况进行调整和结算</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napToGrid w:val="0"/>
        <w:spacing w:line="420" w:lineRule="exact"/>
        <w:ind w:firstLine="315" w:firstLineChars="15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szCs w:val="21"/>
          <w:highlight w:val="none"/>
        </w:rPr>
        <w:instrText xml:space="preserve">,2)</w:instrTex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u w:val="single"/>
        </w:rPr>
        <w:t>投标人部分为固定价格，结算时不作调整。（若实际没有发生，在结算时扣除未发生项目的费用）</w:t>
      </w:r>
    </w:p>
    <w:p>
      <w:pPr>
        <w:keepNext w:val="0"/>
        <w:keepLines w:val="0"/>
        <w:pageBreakBefore w:val="0"/>
        <w:widowControl w:val="0"/>
        <w:kinsoku/>
        <w:overflowPunct/>
        <w:autoSpaceDE/>
        <w:autoSpaceDN/>
        <w:bidi w:val="0"/>
        <w:snapToGrid w:val="0"/>
        <w:spacing w:line="420" w:lineRule="exact"/>
        <w:ind w:firstLine="360" w:firstLineChars="150"/>
        <w:textAlignment w:val="auto"/>
        <w:rPr>
          <w:rFonts w:hint="eastAsia" w:ascii="宋体" w:hAnsi="宋体" w:eastAsia="宋体" w:cs="宋体"/>
          <w:color w:val="auto"/>
          <w:szCs w:val="21"/>
          <w:highlight w:val="none"/>
          <w:u w:val="single"/>
        </w:rPr>
      </w:pPr>
      <w:r>
        <w:rPr>
          <w:rFonts w:hint="eastAsia" w:ascii="宋体" w:hAnsi="宋体" w:eastAsia="宋体" w:cs="宋体"/>
          <w:color w:val="auto"/>
          <w:sz w:val="24"/>
          <w:szCs w:val="24"/>
          <w:highlight w:val="none"/>
          <w:u w:val="none"/>
        </w:rPr>
        <w:t>③</w:t>
      </w:r>
      <w:r>
        <w:rPr>
          <w:rFonts w:hint="eastAsia" w:ascii="宋体" w:hAnsi="宋体" w:eastAsia="宋体" w:cs="宋体"/>
          <w:color w:val="auto"/>
          <w:sz w:val="21"/>
          <w:szCs w:val="21"/>
          <w:highlight w:val="none"/>
          <w:u w:val="single"/>
        </w:rPr>
        <w:t>投标人预算包干费部分按投标人报价中的费率取费，费率结算时不作调整。</w:t>
      </w:r>
    </w:p>
    <w:p>
      <w:pPr>
        <w:keepNext w:val="0"/>
        <w:keepLines w:val="0"/>
        <w:pageBreakBefore w:val="0"/>
        <w:widowControl w:val="0"/>
        <w:kinsoku/>
        <w:overflowPunct/>
        <w:autoSpaceDE/>
        <w:autoSpaceDN/>
        <w:bidi w:val="0"/>
        <w:snapToGrid w:val="0"/>
        <w:spacing w:line="420" w:lineRule="exact"/>
        <w:ind w:firstLine="315" w:firstLineChars="1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u w:val="single"/>
        </w:rPr>
        <w:t>税金：税金按实计取，费率固定不变</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23.3双方约定合同价款的调整因素：</w:t>
      </w:r>
    </w:p>
    <w:p>
      <w:pPr>
        <w:keepNext w:val="0"/>
        <w:keepLines w:val="0"/>
        <w:pageBreakBefore w:val="0"/>
        <w:widowControl w:val="0"/>
        <w:numPr>
          <w:ilvl w:val="0"/>
          <w:numId w:val="18"/>
        </w:numPr>
        <w:kinsoku/>
        <w:overflowPunct/>
        <w:autoSpaceDE/>
        <w:autoSpaceDN/>
        <w:bidi w:val="0"/>
        <w:snapToGrid w:val="0"/>
        <w:spacing w:line="420" w:lineRule="exact"/>
        <w:ind w:firstLine="397"/>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发包人及监理单位共同确认工程量偏差</w:t>
      </w:r>
      <w:r>
        <w:rPr>
          <w:rFonts w:hint="eastAsia" w:ascii="宋体" w:hAnsi="宋体" w:eastAsia="宋体" w:cs="宋体"/>
          <w:color w:val="auto"/>
          <w:szCs w:val="21"/>
          <w:highlight w:val="none"/>
        </w:rPr>
        <w:t>；</w:t>
      </w:r>
    </w:p>
    <w:p>
      <w:pPr>
        <w:keepNext w:val="0"/>
        <w:keepLines w:val="0"/>
        <w:pageBreakBefore w:val="0"/>
        <w:widowControl w:val="0"/>
        <w:numPr>
          <w:ilvl w:val="0"/>
          <w:numId w:val="18"/>
        </w:numPr>
        <w:kinsoku/>
        <w:overflowPunct/>
        <w:autoSpaceDE/>
        <w:autoSpaceDN/>
        <w:bidi w:val="0"/>
        <w:snapToGrid w:val="0"/>
        <w:spacing w:line="420" w:lineRule="exact"/>
        <w:ind w:firstLine="397"/>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发包人及监理单位共同确认工程变更、签证和新增工程</w:t>
      </w:r>
      <w:r>
        <w:rPr>
          <w:rFonts w:hint="eastAsia" w:ascii="宋体" w:hAnsi="宋体" w:eastAsia="宋体" w:cs="宋体"/>
          <w:color w:val="auto"/>
          <w:szCs w:val="21"/>
          <w:highlight w:val="none"/>
        </w:rPr>
        <w:t>；</w:t>
      </w:r>
    </w:p>
    <w:p>
      <w:pPr>
        <w:keepNext w:val="0"/>
        <w:keepLines w:val="0"/>
        <w:pageBreakBefore w:val="0"/>
        <w:widowControl w:val="0"/>
        <w:numPr>
          <w:ilvl w:val="0"/>
          <w:numId w:val="18"/>
        </w:numPr>
        <w:kinsoku/>
        <w:overflowPunct/>
        <w:autoSpaceDE/>
        <w:autoSpaceDN/>
        <w:bidi w:val="0"/>
        <w:snapToGrid w:val="0"/>
        <w:spacing w:line="420" w:lineRule="exact"/>
        <w:ind w:firstLine="397"/>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物价变化</w:t>
      </w:r>
      <w:r>
        <w:rPr>
          <w:rFonts w:hint="eastAsia" w:ascii="宋体" w:hAnsi="宋体" w:eastAsia="宋体" w:cs="宋体"/>
          <w:color w:val="auto"/>
          <w:szCs w:val="21"/>
          <w:highlight w:val="none"/>
        </w:rPr>
        <w:t>；</w:t>
      </w:r>
    </w:p>
    <w:p>
      <w:pPr>
        <w:keepNext w:val="0"/>
        <w:keepLines w:val="0"/>
        <w:pageBreakBefore w:val="0"/>
        <w:widowControl w:val="0"/>
        <w:numPr>
          <w:ilvl w:val="0"/>
          <w:numId w:val="18"/>
        </w:numPr>
        <w:kinsoku/>
        <w:overflowPunct/>
        <w:autoSpaceDE/>
        <w:autoSpaceDN/>
        <w:bidi w:val="0"/>
        <w:snapToGrid w:val="0"/>
        <w:spacing w:line="420" w:lineRule="exact"/>
        <w:ind w:firstLine="397"/>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费用索赔事件或发包人负责的其他情况</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napToGrid w:val="0"/>
        <w:spacing w:line="420" w:lineRule="exact"/>
        <w:ind w:firstLine="525" w:firstLineChars="2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以上调整事项涉及的价款计价原则按</w:t>
      </w:r>
      <w:r>
        <w:rPr>
          <w:rFonts w:hint="eastAsia" w:ascii="宋体" w:hAnsi="宋体" w:eastAsia="宋体" w:cs="宋体"/>
          <w:color w:val="auto"/>
          <w:szCs w:val="21"/>
          <w:highlight w:val="none"/>
          <w:u w:val="single"/>
        </w:rPr>
        <w:t>专用条款23.5款</w:t>
      </w:r>
      <w:r>
        <w:rPr>
          <w:rFonts w:hint="eastAsia" w:ascii="宋体" w:hAnsi="宋体" w:eastAsia="宋体" w:cs="宋体"/>
          <w:color w:val="auto"/>
          <w:szCs w:val="21"/>
          <w:highlight w:val="none"/>
        </w:rPr>
        <w:t>约定执行。</w:t>
      </w:r>
    </w:p>
    <w:p>
      <w:pPr>
        <w:keepNext w:val="0"/>
        <w:keepLines w:val="0"/>
        <w:pageBreakBefore w:val="0"/>
        <w:widowControl w:val="0"/>
        <w:kinsoku/>
        <w:overflowPunct/>
        <w:autoSpaceDE/>
        <w:autoSpaceDN/>
        <w:bidi w:val="0"/>
        <w:snapToGrid w:val="0"/>
        <w:spacing w:line="420" w:lineRule="exact"/>
        <w:ind w:firstLine="296" w:firstLineChars="141"/>
        <w:jc w:val="both"/>
        <w:textAlignment w:val="auto"/>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23.4承包人应在</w:t>
      </w:r>
      <w:r>
        <w:rPr>
          <w:rFonts w:hint="eastAsia" w:ascii="宋体" w:hAnsi="宋体" w:eastAsia="宋体" w:cs="宋体"/>
          <w:color w:val="auto"/>
          <w:kern w:val="2"/>
          <w:sz w:val="21"/>
          <w:szCs w:val="21"/>
          <w:highlight w:val="none"/>
          <w:u w:val="single"/>
          <w:lang w:val="en-US" w:eastAsia="zh-CN" w:bidi="ar-SA"/>
        </w:rPr>
        <w:t>专用条款23.3款</w:t>
      </w:r>
      <w:r>
        <w:rPr>
          <w:rFonts w:hint="eastAsia" w:ascii="宋体" w:hAnsi="宋体" w:eastAsia="宋体" w:cs="宋体"/>
          <w:color w:val="auto"/>
          <w:kern w:val="2"/>
          <w:sz w:val="21"/>
          <w:szCs w:val="21"/>
          <w:highlight w:val="none"/>
          <w:lang w:val="en-US" w:eastAsia="zh-CN" w:bidi="ar-SA"/>
        </w:rPr>
        <w:t>情况发生后3天内，将调整原因、金额以书面形式通知监理单位，必须经监理单位和发包人书面批准后作为调整合同价款的依据。</w:t>
      </w:r>
      <w:r>
        <w:rPr>
          <w:rFonts w:hint="eastAsia" w:ascii="宋体" w:hAnsi="宋体" w:eastAsia="宋体" w:cs="宋体"/>
          <w:color w:val="auto"/>
          <w:kern w:val="2"/>
          <w:sz w:val="21"/>
          <w:szCs w:val="21"/>
          <w:highlight w:val="none"/>
          <w:u w:val="single"/>
          <w:lang w:val="en-US" w:eastAsia="zh-CN" w:bidi="ar-SA"/>
        </w:rPr>
        <w:t>对承包人在没有得到发包人的同意和正式盖章书面函件的前提下进行的调整，发包人不予认可，一切责任和后果由承包人承担。</w:t>
      </w:r>
    </w:p>
    <w:p>
      <w:pPr>
        <w:keepNext w:val="0"/>
        <w:keepLines w:val="0"/>
        <w:pageBreakBefore w:val="0"/>
        <w:widowControl w:val="0"/>
        <w:kinsoku/>
        <w:overflowPunct/>
        <w:autoSpaceDE/>
        <w:autoSpaceDN/>
        <w:bidi w:val="0"/>
        <w:snapToGrid w:val="0"/>
        <w:spacing w:line="420" w:lineRule="exact"/>
        <w:ind w:firstLine="340" w:firstLineChars="141"/>
        <w:jc w:val="both"/>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23.5合同价款调整原则</w:t>
      </w:r>
    </w:p>
    <w:p>
      <w:pPr>
        <w:keepNext w:val="0"/>
        <w:keepLines w:val="0"/>
        <w:pageBreakBefore w:val="0"/>
        <w:widowControl w:val="0"/>
        <w:kinsoku/>
        <w:overflowPunct/>
        <w:autoSpaceDE/>
        <w:autoSpaceDN/>
        <w:bidi w:val="0"/>
        <w:spacing w:line="42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    23.5.1变更、签证工程和新增工程：工程项目实施期间和结算时，招标文件工程量清单中漏列而由监理单位和招标人现场签证确认的工程项目；由于设计需要或项目建设实际需要，会引致工程量清单内数量发生变化、或工程量清单内项目的局部内容发生变化、或新增了工程量清单内没有的项目；原设计没有而由招标人批准设计变更产生的工程项目及经监理单位和招标人现场签证确认的工程项目；合同所确定的工程内容以外，非施工单位原因造成而施工过程中实际发生且需支付工程费用的，并经监理单位和招标人现场签证确认工程实际内容。变更、签证工程和新增工程按以下办法确定价格：</w:t>
      </w:r>
    </w:p>
    <w:p>
      <w:pPr>
        <w:keepNext w:val="0"/>
        <w:keepLines w:val="0"/>
        <w:pageBreakBefore w:val="0"/>
        <w:widowControl w:val="0"/>
        <w:kinsoku/>
        <w:overflowPunct/>
        <w:autoSpaceDE/>
        <w:autoSpaceDN/>
        <w:bidi w:val="0"/>
        <w:spacing w:line="420" w:lineRule="exact"/>
        <w:ind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合同工程量清单中有相同适用项目的，则采用该项目投标综合单价；合同工程量清单中相同适用项目有多个的，取最有利于发包人的相同适用项目的投标综合单价。但新增工程量超过15%的，比较招标控制价对应的综合单价并执行中标下浮率和投标综合单价，取两者的较小值作为超出15%的新增工程量的综合单价。</w:t>
      </w:r>
    </w:p>
    <w:p>
      <w:pPr>
        <w:keepNext w:val="0"/>
        <w:keepLines w:val="0"/>
        <w:pageBreakBefore w:val="0"/>
        <w:widowControl w:val="0"/>
        <w:kinsoku/>
        <w:overflowPunct/>
        <w:autoSpaceDE/>
        <w:autoSpaceDN/>
        <w:bidi w:val="0"/>
        <w:snapToGrid w:val="0"/>
        <w:spacing w:line="420" w:lineRule="exact"/>
        <w:ind w:firstLine="296" w:firstLineChars="141"/>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 w:val="21"/>
          <w:szCs w:val="21"/>
          <w:highlight w:val="none"/>
          <w:u w:val="single"/>
        </w:rPr>
        <w:t>合同工程量清单中无相同适用项目、只有类似适用项目的，则按类似项目的综合单价对相应子目、消耗量、材料设备价格等进行调整换算，原管理费、利润水平不变，仅调整主材和主要设备价格。如合同工程量清单中类似项目的综合单价有两个以上，则由发包人按消耗量最少、管理费和利润取费最低的优先顺序选择类似项目综合单价进行换算。所换算主材及设备价格执行工程造价管理机构发布的实际施工月份《广州地区建设工程常用材料税前综合价格》（实际施工跨月份的，则按监理单位确认的各月施工完成的工程量为基础分别进行计算）；《广州地区建设工程常用材料税前综合价格》没有的材料、设备单价，参考实际施工期《广州地区建设工程材料（设备）厂商价格信息》计算税前价格（实际施工跨月份的，则按监理单位确认的各月施工完成的工程量为基础分别进行计算），</w:t>
      </w:r>
      <w:r>
        <w:rPr>
          <w:rFonts w:hint="eastAsia" w:ascii="宋体" w:hAnsi="宋体" w:eastAsia="宋体" w:cs="宋体"/>
          <w:color w:val="auto"/>
          <w:sz w:val="21"/>
          <w:highlight w:val="none"/>
        </w:rPr>
        <w:t>且需对选用的厂商价格信息重新进行市场调研询价后方可使用。</w:t>
      </w:r>
      <w:r>
        <w:rPr>
          <w:rFonts w:hint="eastAsia" w:ascii="宋体" w:hAnsi="宋体" w:eastAsia="宋体" w:cs="宋体"/>
          <w:color w:val="auto"/>
          <w:sz w:val="21"/>
          <w:szCs w:val="21"/>
          <w:highlight w:val="none"/>
          <w:u w:val="single"/>
        </w:rPr>
        <w:t>广东省水利主管部门发布的相关文件</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广州地区建设工程常用材料税前综合价格》及《广州地区建设工程材料（设备）厂商价格信息》均没有的材料、设备价格，由发包人、监理单位、承包人结合市场价共同协商确定。按上述原则调整后的换算综合单价最终均应执行中标下浮率</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napToGrid w:val="0"/>
        <w:spacing w:line="420" w:lineRule="exact"/>
        <w:ind w:firstLine="296" w:firstLineChars="141"/>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u w:val="single"/>
        </w:rPr>
        <w:t>合同工程量清单报价中没有相同或类似适用项目的，按以下原则计价</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napToGrid w:val="0"/>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w:t>
      </w:r>
      <w:r>
        <w:rPr>
          <w:rFonts w:hint="eastAsia" w:ascii="宋体" w:hAnsi="宋体" w:eastAsia="宋体" w:cs="宋体"/>
          <w:color w:val="auto"/>
          <w:sz w:val="21"/>
          <w:szCs w:val="21"/>
          <w:highlight w:val="none"/>
          <w:u w:val="single"/>
        </w:rPr>
        <w:t>由承包人依据变更工程资料，计量原则按《广东省水利水电建筑工程预算定额》（2017年版）、《广东省水利水电设备安装工程预算定额》（2017年版）、《广东省水利水电工程施工机械台班费定额》（2017年版）、《广东省水利水电工程设计概（估）算编制规定》 (粤水建管〔2017〕37号)</w:t>
      </w:r>
      <w:r>
        <w:rPr>
          <w:rFonts w:hint="eastAsia" w:ascii="宋体" w:hAnsi="宋体" w:eastAsia="宋体" w:cs="宋体"/>
          <w:color w:val="auto"/>
          <w:szCs w:val="21"/>
          <w:highlight w:val="none"/>
          <w:u w:val="single"/>
        </w:rPr>
        <w:t>编制综合单价并执行中标下浮率。上述定额没有的项目，可参考</w:t>
      </w:r>
      <w:r>
        <w:rPr>
          <w:rFonts w:hint="eastAsia" w:ascii="宋体" w:hAnsi="宋体" w:eastAsia="宋体" w:cs="宋体"/>
          <w:color w:val="auto"/>
          <w:sz w:val="21"/>
          <w:szCs w:val="21"/>
          <w:highlight w:val="none"/>
          <w:u w:val="single"/>
        </w:rPr>
        <w:t>《广东省市政工程综合定额》（201</w:t>
      </w:r>
      <w:r>
        <w:rPr>
          <w:rFonts w:hint="eastAsia" w:ascii="宋体" w:hAnsi="宋体" w:eastAsia="宋体" w:cs="宋体"/>
          <w:color w:val="auto"/>
          <w:sz w:val="21"/>
          <w:szCs w:val="21"/>
          <w:highlight w:val="none"/>
          <w:u w:val="single"/>
          <w:lang w:val="en-US" w:eastAsia="zh-CN"/>
        </w:rPr>
        <w:t>8</w:t>
      </w:r>
      <w:r>
        <w:rPr>
          <w:rFonts w:hint="eastAsia" w:ascii="宋体" w:hAnsi="宋体" w:eastAsia="宋体" w:cs="宋体"/>
          <w:color w:val="auto"/>
          <w:sz w:val="21"/>
          <w:szCs w:val="21"/>
          <w:highlight w:val="none"/>
          <w:u w:val="single"/>
        </w:rPr>
        <w:t>年）、《广东省房屋建筑与装饰工程综合定额》（201</w:t>
      </w:r>
      <w:r>
        <w:rPr>
          <w:rFonts w:hint="eastAsia" w:ascii="宋体" w:hAnsi="宋体" w:eastAsia="宋体" w:cs="宋体"/>
          <w:color w:val="auto"/>
          <w:sz w:val="21"/>
          <w:szCs w:val="21"/>
          <w:highlight w:val="none"/>
          <w:u w:val="single"/>
          <w:lang w:val="en-US" w:eastAsia="zh-CN"/>
        </w:rPr>
        <w:t>8</w:t>
      </w:r>
      <w:r>
        <w:rPr>
          <w:rFonts w:hint="eastAsia" w:ascii="宋体" w:hAnsi="宋体" w:eastAsia="宋体" w:cs="宋体"/>
          <w:color w:val="auto"/>
          <w:sz w:val="21"/>
          <w:szCs w:val="21"/>
          <w:highlight w:val="none"/>
          <w:u w:val="single"/>
        </w:rPr>
        <w:t>年）、《广东省</w:t>
      </w:r>
      <w:r>
        <w:rPr>
          <w:rFonts w:hint="eastAsia" w:ascii="宋体" w:hAnsi="宋体" w:eastAsia="宋体" w:cs="宋体"/>
          <w:color w:val="auto"/>
          <w:sz w:val="21"/>
          <w:szCs w:val="21"/>
          <w:highlight w:val="none"/>
          <w:u w:val="single"/>
          <w:lang w:eastAsia="zh-CN"/>
        </w:rPr>
        <w:t>通用</w:t>
      </w:r>
      <w:r>
        <w:rPr>
          <w:rFonts w:hint="eastAsia" w:ascii="宋体" w:hAnsi="宋体" w:eastAsia="宋体" w:cs="宋体"/>
          <w:color w:val="auto"/>
          <w:sz w:val="21"/>
          <w:szCs w:val="21"/>
          <w:highlight w:val="none"/>
          <w:u w:val="single"/>
        </w:rPr>
        <w:t>安装工程综合定额》（201</w:t>
      </w:r>
      <w:r>
        <w:rPr>
          <w:rFonts w:hint="eastAsia" w:ascii="宋体" w:hAnsi="宋体" w:eastAsia="宋体" w:cs="宋体"/>
          <w:color w:val="auto"/>
          <w:sz w:val="21"/>
          <w:szCs w:val="21"/>
          <w:highlight w:val="none"/>
          <w:u w:val="single"/>
          <w:lang w:val="en-US" w:eastAsia="zh-CN"/>
        </w:rPr>
        <w:t>8</w:t>
      </w:r>
      <w:r>
        <w:rPr>
          <w:rFonts w:hint="eastAsia" w:ascii="宋体" w:hAnsi="宋体" w:eastAsia="宋体" w:cs="宋体"/>
          <w:color w:val="auto"/>
          <w:sz w:val="21"/>
          <w:szCs w:val="21"/>
          <w:highlight w:val="none"/>
          <w:u w:val="single"/>
        </w:rPr>
        <w:t>年）、《广东省园林绿化工程综合定额》（201</w:t>
      </w:r>
      <w:r>
        <w:rPr>
          <w:rFonts w:hint="eastAsia" w:ascii="宋体" w:hAnsi="宋体" w:eastAsia="宋体" w:cs="宋体"/>
          <w:color w:val="auto"/>
          <w:sz w:val="21"/>
          <w:szCs w:val="21"/>
          <w:highlight w:val="none"/>
          <w:u w:val="single"/>
          <w:lang w:val="en-US" w:eastAsia="zh-CN"/>
        </w:rPr>
        <w:t>8</w:t>
      </w:r>
      <w:r>
        <w:rPr>
          <w:rFonts w:hint="eastAsia" w:ascii="宋体" w:hAnsi="宋体" w:eastAsia="宋体" w:cs="宋体"/>
          <w:color w:val="auto"/>
          <w:sz w:val="21"/>
          <w:szCs w:val="21"/>
          <w:highlight w:val="none"/>
          <w:u w:val="single"/>
        </w:rPr>
        <w:t>年）</w:t>
      </w:r>
      <w:r>
        <w:rPr>
          <w:rFonts w:hint="eastAsia" w:ascii="宋体" w:hAnsi="宋体" w:eastAsia="宋体" w:cs="宋体"/>
          <w:color w:val="auto"/>
          <w:sz w:val="21"/>
          <w:szCs w:val="21"/>
          <w:highlight w:val="none"/>
          <w:u w:val="single"/>
          <w:lang w:eastAsia="zh-CN"/>
        </w:rPr>
        <w:t>、《广东省建设工程施工机具台班费用编制规则（2018）</w:t>
      </w:r>
      <w:r>
        <w:rPr>
          <w:rFonts w:hint="eastAsia" w:ascii="宋体" w:hAnsi="宋体" w:eastAsia="宋体" w:cs="宋体"/>
          <w:color w:val="auto"/>
          <w:szCs w:val="21"/>
          <w:highlight w:val="none"/>
          <w:u w:val="single"/>
        </w:rPr>
        <w:t>等定额文件执行</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相关定额标准及工程实施期工程造价管理机构发布的材料设备参考价格编制综合单价并执行中标下浮率。其中材料、设备价格执行工程造价管理机构发布的实际施工月份《广州地区建设工程常用材料税前综合价格》（实际施工跨月份的，则按监理单位确认的各月施工完成的工程量为基础分别进行计算）；《广州地区建设工程常用材料税前综合价格》没有的材料、设备单价，参考实际施工期《广州地区建设工程材料（设备）厂商价格信息》计算税前价格（实际施工跨月份的，则按监理单位确认的各月施工完成的工程量为基础分别进行计算）</w:t>
      </w:r>
      <w:r>
        <w:rPr>
          <w:rFonts w:hint="eastAsia" w:ascii="宋体" w:hAnsi="宋体" w:eastAsia="宋体" w:cs="宋体"/>
          <w:color w:val="auto"/>
          <w:highlight w:val="none"/>
        </w:rPr>
        <w:t>，且需对选用的厂商价格信息重新进行市场调研询价后方可使用。</w:t>
      </w:r>
      <w:r>
        <w:rPr>
          <w:rFonts w:hint="eastAsia" w:ascii="宋体" w:hAnsi="宋体" w:eastAsia="宋体" w:cs="宋体"/>
          <w:color w:val="auto"/>
          <w:sz w:val="21"/>
          <w:szCs w:val="21"/>
          <w:highlight w:val="none"/>
          <w:u w:val="single"/>
        </w:rPr>
        <w:t>广东省水利主管部门发布的相关文件规定、</w:t>
      </w:r>
      <w:r>
        <w:rPr>
          <w:rFonts w:hint="eastAsia" w:ascii="宋体" w:hAnsi="宋体" w:eastAsia="宋体" w:cs="宋体"/>
          <w:color w:val="auto"/>
          <w:szCs w:val="21"/>
          <w:highlight w:val="none"/>
          <w:u w:val="single"/>
        </w:rPr>
        <w:t>《广州地区建设工程常用材料税前综合价格》及《广州地区建设工程材料（设备）厂商价格信息》均没有的相关价格的，由发包人、监理单位、承包人结合市场价共同协商确定</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napToGrid w:val="0"/>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w:t>
      </w:r>
      <w:r>
        <w:rPr>
          <w:rFonts w:hint="eastAsia" w:ascii="宋体" w:hAnsi="宋体" w:eastAsia="宋体" w:cs="宋体"/>
          <w:color w:val="auto"/>
          <w:szCs w:val="21"/>
          <w:highlight w:val="none"/>
          <w:u w:val="single"/>
        </w:rPr>
        <w:t>合同工程量清单没有相同或相类似且无相关定额的项目，</w:t>
      </w:r>
      <w:r>
        <w:rPr>
          <w:rFonts w:hint="eastAsia" w:ascii="宋体" w:hAnsi="宋体" w:eastAsia="宋体" w:cs="宋体"/>
          <w:color w:val="auto"/>
          <w:szCs w:val="21"/>
          <w:highlight w:val="none"/>
          <w:u w:val="single"/>
          <w:lang w:eastAsia="zh-CN"/>
        </w:rPr>
        <w:t>承包人</w:t>
      </w:r>
      <w:r>
        <w:rPr>
          <w:rFonts w:hint="eastAsia" w:ascii="宋体" w:hAnsi="宋体" w:eastAsia="宋体" w:cs="宋体"/>
          <w:color w:val="auto"/>
          <w:sz w:val="21"/>
          <w:szCs w:val="21"/>
          <w:highlight w:val="none"/>
          <w:u w:val="single"/>
        </w:rPr>
        <w:t>参照《广东省水利水电建筑工程预算定额》（2017年版）、《广东省水利水电设备安装工程预算定额》（2017年版）、《广东省水利水电工程施工机械台班费定额》（2017年版）、《广东省水利水电工程设计概（估）算编制规定》 (粤水建管〔2017〕37号)</w:t>
      </w:r>
      <w:r>
        <w:rPr>
          <w:rFonts w:hint="eastAsia" w:ascii="宋体" w:hAnsi="宋体" w:eastAsia="宋体" w:cs="宋体"/>
          <w:color w:val="auto"/>
          <w:szCs w:val="21"/>
          <w:highlight w:val="none"/>
          <w:u w:val="single"/>
        </w:rPr>
        <w:t>编制综合单价并执行中标下浮率。上述定额没有的项目，可参考</w:t>
      </w:r>
      <w:r>
        <w:rPr>
          <w:rFonts w:hint="eastAsia" w:ascii="宋体" w:hAnsi="宋体" w:eastAsia="宋体" w:cs="宋体"/>
          <w:color w:val="auto"/>
          <w:sz w:val="21"/>
          <w:szCs w:val="21"/>
          <w:highlight w:val="none"/>
          <w:u w:val="single"/>
        </w:rPr>
        <w:t>《广东省市政工程综合定额》（201</w:t>
      </w:r>
      <w:r>
        <w:rPr>
          <w:rFonts w:hint="eastAsia" w:ascii="宋体" w:hAnsi="宋体" w:eastAsia="宋体" w:cs="宋体"/>
          <w:color w:val="auto"/>
          <w:sz w:val="21"/>
          <w:szCs w:val="21"/>
          <w:highlight w:val="none"/>
          <w:u w:val="single"/>
          <w:lang w:val="en-US" w:eastAsia="zh-CN"/>
        </w:rPr>
        <w:t>8</w:t>
      </w:r>
      <w:r>
        <w:rPr>
          <w:rFonts w:hint="eastAsia" w:ascii="宋体" w:hAnsi="宋体" w:eastAsia="宋体" w:cs="宋体"/>
          <w:color w:val="auto"/>
          <w:sz w:val="21"/>
          <w:szCs w:val="21"/>
          <w:highlight w:val="none"/>
          <w:u w:val="single"/>
        </w:rPr>
        <w:t>年）、《广东省房屋建筑与装饰工程综合定额》（201</w:t>
      </w:r>
      <w:r>
        <w:rPr>
          <w:rFonts w:hint="eastAsia" w:ascii="宋体" w:hAnsi="宋体" w:eastAsia="宋体" w:cs="宋体"/>
          <w:color w:val="auto"/>
          <w:sz w:val="21"/>
          <w:szCs w:val="21"/>
          <w:highlight w:val="none"/>
          <w:u w:val="single"/>
          <w:lang w:val="en-US" w:eastAsia="zh-CN"/>
        </w:rPr>
        <w:t>8</w:t>
      </w:r>
      <w:r>
        <w:rPr>
          <w:rFonts w:hint="eastAsia" w:ascii="宋体" w:hAnsi="宋体" w:eastAsia="宋体" w:cs="宋体"/>
          <w:color w:val="auto"/>
          <w:sz w:val="21"/>
          <w:szCs w:val="21"/>
          <w:highlight w:val="none"/>
          <w:u w:val="single"/>
        </w:rPr>
        <w:t>年）、《广东省</w:t>
      </w:r>
      <w:r>
        <w:rPr>
          <w:rFonts w:hint="eastAsia" w:ascii="宋体" w:hAnsi="宋体" w:eastAsia="宋体" w:cs="宋体"/>
          <w:color w:val="auto"/>
          <w:sz w:val="21"/>
          <w:szCs w:val="21"/>
          <w:highlight w:val="none"/>
          <w:u w:val="single"/>
          <w:lang w:eastAsia="zh-CN"/>
        </w:rPr>
        <w:t>通用</w:t>
      </w:r>
      <w:r>
        <w:rPr>
          <w:rFonts w:hint="eastAsia" w:ascii="宋体" w:hAnsi="宋体" w:eastAsia="宋体" w:cs="宋体"/>
          <w:color w:val="auto"/>
          <w:sz w:val="21"/>
          <w:szCs w:val="21"/>
          <w:highlight w:val="none"/>
          <w:u w:val="single"/>
        </w:rPr>
        <w:t>安装工程综合定额》（201</w:t>
      </w:r>
      <w:r>
        <w:rPr>
          <w:rFonts w:hint="eastAsia" w:ascii="宋体" w:hAnsi="宋体" w:eastAsia="宋体" w:cs="宋体"/>
          <w:color w:val="auto"/>
          <w:sz w:val="21"/>
          <w:szCs w:val="21"/>
          <w:highlight w:val="none"/>
          <w:u w:val="single"/>
          <w:lang w:val="en-US" w:eastAsia="zh-CN"/>
        </w:rPr>
        <w:t>8</w:t>
      </w:r>
      <w:r>
        <w:rPr>
          <w:rFonts w:hint="eastAsia" w:ascii="宋体" w:hAnsi="宋体" w:eastAsia="宋体" w:cs="宋体"/>
          <w:color w:val="auto"/>
          <w:sz w:val="21"/>
          <w:szCs w:val="21"/>
          <w:highlight w:val="none"/>
          <w:u w:val="single"/>
        </w:rPr>
        <w:t>年）、《广东省园林绿化工程综合定额》（201</w:t>
      </w:r>
      <w:r>
        <w:rPr>
          <w:rFonts w:hint="eastAsia" w:ascii="宋体" w:hAnsi="宋体" w:eastAsia="宋体" w:cs="宋体"/>
          <w:color w:val="auto"/>
          <w:sz w:val="21"/>
          <w:szCs w:val="21"/>
          <w:highlight w:val="none"/>
          <w:u w:val="single"/>
          <w:lang w:val="en-US" w:eastAsia="zh-CN"/>
        </w:rPr>
        <w:t>8</w:t>
      </w:r>
      <w:r>
        <w:rPr>
          <w:rFonts w:hint="eastAsia" w:ascii="宋体" w:hAnsi="宋体" w:eastAsia="宋体" w:cs="宋体"/>
          <w:color w:val="auto"/>
          <w:sz w:val="21"/>
          <w:szCs w:val="21"/>
          <w:highlight w:val="none"/>
          <w:u w:val="single"/>
        </w:rPr>
        <w:t>年）</w:t>
      </w:r>
      <w:r>
        <w:rPr>
          <w:rFonts w:hint="eastAsia" w:ascii="宋体" w:hAnsi="宋体" w:eastAsia="宋体" w:cs="宋体"/>
          <w:color w:val="auto"/>
          <w:sz w:val="21"/>
          <w:szCs w:val="21"/>
          <w:highlight w:val="none"/>
          <w:u w:val="single"/>
          <w:lang w:eastAsia="zh-CN"/>
        </w:rPr>
        <w:t>、《广东省建设工程施工机具台班费用编制规则（2018）</w:t>
      </w:r>
      <w:r>
        <w:rPr>
          <w:rFonts w:hint="eastAsia" w:ascii="宋体" w:hAnsi="宋体" w:eastAsia="宋体" w:cs="宋体"/>
          <w:color w:val="auto"/>
          <w:szCs w:val="21"/>
          <w:highlight w:val="none"/>
          <w:u w:val="single"/>
        </w:rPr>
        <w:t>（上述定额查找不到的可参考其它相关定额或由发包人与承包人协商确定）及工程实施期工程造价管理机构发布的材料设备参考价格编制综合单价并执行中标下浮率。其中材料、设备价格执行工程造价管理机构发布的实际施工月份《广州地区建设工程常用材料税前综合价格》（实际施工跨月份的，则按监理单位确认的各月施工完成的工程量为基础分别进行计算）；《广州地区建设工程常用材料税前综合价格》没有的材料、设备单价，参考实际施工期《广州地区建设工程材料（设备）厂商价格信息》计算税前价格（实际施工跨月份的，则按监理单位确认的各月施工完成的工程量为基础分别进行计</w:t>
      </w:r>
      <w:r>
        <w:rPr>
          <w:rFonts w:hint="eastAsia" w:ascii="宋体" w:hAnsi="宋体" w:eastAsia="宋体" w:cs="宋体"/>
          <w:color w:val="auto"/>
          <w:szCs w:val="21"/>
          <w:highlight w:val="none"/>
        </w:rPr>
        <w:t>算）</w:t>
      </w:r>
      <w:r>
        <w:rPr>
          <w:rFonts w:hint="eastAsia" w:ascii="宋体" w:hAnsi="宋体" w:eastAsia="宋体" w:cs="宋体"/>
          <w:color w:val="auto"/>
          <w:highlight w:val="none"/>
        </w:rPr>
        <w:t>，且需对选用的厂商价格信息重新进行市场调研询价后方可使用。</w:t>
      </w:r>
      <w:r>
        <w:rPr>
          <w:rFonts w:hint="eastAsia" w:ascii="宋体" w:hAnsi="宋体" w:eastAsia="宋体" w:cs="宋体"/>
          <w:color w:val="auto"/>
          <w:sz w:val="21"/>
          <w:szCs w:val="21"/>
          <w:highlight w:val="none"/>
          <w:u w:val="single"/>
        </w:rPr>
        <w:t>广东省水利主管部门发布的</w:t>
      </w:r>
      <w:r>
        <w:rPr>
          <w:rFonts w:hint="eastAsia" w:ascii="宋体" w:hAnsi="宋体" w:eastAsia="宋体" w:cs="宋体"/>
          <w:color w:val="auto"/>
          <w:sz w:val="21"/>
          <w:szCs w:val="21"/>
          <w:highlight w:val="none"/>
        </w:rPr>
        <w:t>相关文件、</w:t>
      </w:r>
      <w:r>
        <w:rPr>
          <w:rFonts w:hint="eastAsia" w:ascii="宋体" w:hAnsi="宋体" w:eastAsia="宋体" w:cs="宋体"/>
          <w:color w:val="auto"/>
          <w:szCs w:val="21"/>
          <w:highlight w:val="none"/>
          <w:u w:val="single"/>
        </w:rPr>
        <w:t>《广州地区建设工程常用材料税前综合价格》及《广州地区建设工程材料（设备）厂商价格信息》均没有的相关价格的，由发包人、监理单位、承包人结合市场价共同协商确定</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adjustRightInd w:val="0"/>
        <w:snapToGrid w:val="0"/>
        <w:spacing w:line="420" w:lineRule="exact"/>
        <w:ind w:right="11" w:firstLine="315" w:firstLineChars="15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u w:val="single"/>
          <w:lang w:val="en-US" w:eastAsia="zh-CN" w:bidi="ar-SA"/>
        </w:rPr>
        <w:t>按上述原则确定价格时，措施项目费用（除施工围蔽外）不计取,清单计价及税金的计取，应符合《广东省住房和城乡建设厅关于营业税改征增值税后调整广东省建设工程计价依据的通知》（粤建市【2016】1113号）、《广州市住房和城乡建设委员会转发关于营业税改增值税后调整广东省建设工程计价依据有关事项的通知》（穗建筑【2016】744号）及《广州市建设工程造价管理站关于营业税改征增值税后广州市建设工程计价有关问题的通知》（穗建造价【2016】31号）、《广东省住房和城乡建设厅关于印发&lt;广东省建设工程计价依据（2018)&gt;的通知》（穗建市〔2019〕6号）等相关文件的规定。</w:t>
      </w:r>
    </w:p>
    <w:p>
      <w:pPr>
        <w:keepNext w:val="0"/>
        <w:keepLines w:val="0"/>
        <w:pageBreakBefore w:val="0"/>
        <w:widowControl w:val="0"/>
        <w:kinsoku/>
        <w:overflowPunct/>
        <w:autoSpaceDE/>
        <w:autoSpaceDN/>
        <w:bidi w:val="0"/>
        <w:snapToGrid w:val="0"/>
        <w:spacing w:line="420" w:lineRule="exact"/>
        <w:ind w:firstLine="504" w:firstLineChars="24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23.5.2 </w:t>
      </w:r>
      <w:r>
        <w:rPr>
          <w:rFonts w:hint="eastAsia" w:ascii="宋体" w:hAnsi="宋体" w:eastAsia="宋体" w:cs="宋体"/>
          <w:color w:val="auto"/>
          <w:szCs w:val="21"/>
          <w:highlight w:val="none"/>
          <w:u w:val="single"/>
        </w:rPr>
        <w:t>工程量发生变化时，如项目综合单价与招标控制价对应的综合单价×（1-中标下浮率)（下称基价）偏差超过一定幅度时，相应调整项目综合单价。其中项目综合单价＞（1+15%）×基价且工程量增加的，增加部分工程量的综合单价按基价执行；项目综合单价＜（1-15%）×基价且工程量减少的，减少部分工程量的综合单价按基价执行，并从合同价款中扣除</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napToGrid w:val="0"/>
        <w:spacing w:line="420" w:lineRule="exact"/>
        <w:ind w:firstLine="504" w:firstLineChars="24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23.5.3</w:t>
      </w:r>
      <w:r>
        <w:rPr>
          <w:rFonts w:hint="eastAsia" w:ascii="宋体" w:hAnsi="宋体" w:eastAsia="宋体" w:cs="宋体"/>
          <w:color w:val="auto"/>
          <w:szCs w:val="21"/>
          <w:highlight w:val="none"/>
          <w:u w:val="single"/>
        </w:rPr>
        <w:t>物价涨跌的价格调整</w:t>
      </w:r>
    </w:p>
    <w:p>
      <w:pPr>
        <w:keepNext w:val="0"/>
        <w:keepLines w:val="0"/>
        <w:pageBreakBefore w:val="0"/>
        <w:widowControl w:val="0"/>
        <w:kinsoku/>
        <w:overflowPunct/>
        <w:autoSpaceDE/>
        <w:autoSpaceDN/>
        <w:bidi w:val="0"/>
        <w:snapToGrid w:val="0"/>
        <w:spacing w:line="420" w:lineRule="exact"/>
        <w:ind w:firstLine="296" w:firstLineChars="141"/>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（1）合同履行期间，出现工程造价管理机构发布的人工、材料、工程设备和施工设备、机械台班单价涨跌超过本工程招标文件规定的投标截止日期</w:t>
      </w:r>
      <w:r>
        <w:rPr>
          <w:rFonts w:hint="eastAsia" w:ascii="宋体" w:hAnsi="宋体" w:eastAsia="宋体" w:cs="宋体"/>
          <w:color w:val="auto"/>
          <w:szCs w:val="21"/>
          <w:highlight w:val="none"/>
          <w:u w:val="single"/>
          <w:lang w:eastAsia="zh-CN"/>
        </w:rPr>
        <w:t>前第28天</w:t>
      </w:r>
      <w:r>
        <w:rPr>
          <w:rFonts w:hint="eastAsia" w:ascii="宋体" w:hAnsi="宋体" w:eastAsia="宋体" w:cs="宋体"/>
          <w:color w:val="auto"/>
          <w:szCs w:val="21"/>
          <w:highlight w:val="none"/>
          <w:u w:val="single"/>
        </w:rPr>
        <w:t>时广州市建设工程造价管理部门发布的人工、材料、工程设备和施工设备、机械台班相应单价且符合以下规定的，应调整合同价款。</w:t>
      </w:r>
    </w:p>
    <w:p>
      <w:pPr>
        <w:keepNext w:val="0"/>
        <w:keepLines w:val="0"/>
        <w:pageBreakBefore w:val="0"/>
        <w:widowControl w:val="0"/>
        <w:kinsoku/>
        <w:overflowPunct/>
        <w:autoSpaceDE/>
        <w:autoSpaceDN/>
        <w:bidi w:val="0"/>
        <w:snapToGrid w:val="0"/>
        <w:spacing w:line="420" w:lineRule="exact"/>
        <w:ind w:firstLine="296" w:firstLineChars="141"/>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承包人承担工料机价格涨跌幅度在10%以内（含10%）的风险，不予调整合同价款；工料机价格涨跌幅度超过10%时，可以调整合同价款, 调整范围为人工、机械台班、砂、碎石、石屑，及《印发&lt;关于区财政投资工程人工、材料（设备）、机械价格调整的意见&gt;的通知》（穗开环建〔2008〕59号）附件《各类工程可调价差材料（设备）清单》中对应工程类别规定的可调价材料（设备）且属《广州地区建设工程常用材料税前综合价格》（以下简称“综合价格”）包含的材料、设备；“综合价格”中没有的材料、设备均不予调整。</w:t>
      </w:r>
    </w:p>
    <w:p>
      <w:pPr>
        <w:keepNext w:val="0"/>
        <w:keepLines w:val="0"/>
        <w:pageBreakBefore w:val="0"/>
        <w:widowControl w:val="0"/>
        <w:kinsoku/>
        <w:overflowPunct/>
        <w:autoSpaceDE/>
        <w:autoSpaceDN/>
        <w:bidi w:val="0"/>
        <w:snapToGrid w:val="0"/>
        <w:spacing w:line="420" w:lineRule="exact"/>
        <w:ind w:firstLine="296" w:firstLineChars="141"/>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（2）价款调整的方法</w:t>
      </w:r>
    </w:p>
    <w:p>
      <w:pPr>
        <w:keepNext w:val="0"/>
        <w:keepLines w:val="0"/>
        <w:pageBreakBefore w:val="0"/>
        <w:widowControl w:val="0"/>
        <w:kinsoku/>
        <w:overflowPunct/>
        <w:autoSpaceDE/>
        <w:autoSpaceDN/>
        <w:bidi w:val="0"/>
        <w:snapToGrid w:val="0"/>
        <w:spacing w:line="420" w:lineRule="exact"/>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①当人工、机械台班、可调价格的材料设备价格上涨幅度超过10%时，超出10%的部分由发包人承担；当人工、机械台班、可调价格的材料设备价格下跌幅度超过10%时，超出10%的部分由承包人退回发包人。人工、机械台班价格按实际发生的数量调整，材料（设备）按各类工程消耗的主要材料（设备）进行调整。</w:t>
      </w:r>
    </w:p>
    <w:p>
      <w:pPr>
        <w:keepNext w:val="0"/>
        <w:keepLines w:val="0"/>
        <w:pageBreakBefore w:val="0"/>
        <w:widowControl w:val="0"/>
        <w:kinsoku/>
        <w:overflowPunct/>
        <w:autoSpaceDE/>
        <w:autoSpaceDN/>
        <w:bidi w:val="0"/>
        <w:snapToGrid w:val="0"/>
        <w:spacing w:line="420" w:lineRule="exact"/>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②价款调整以各调价工料机的数量乘以单价价差，再乘以（1-中标下浮率）计算。各工料机的数量按该当期实际完成的适用投标单价项目的工程量计取，各调价工料机的单价价差</w:t>
      </w:r>
      <w:r>
        <w:rPr>
          <w:rFonts w:hint="eastAsia" w:ascii="宋体" w:hAnsi="宋体" w:eastAsia="宋体" w:cs="宋体"/>
          <w:color w:val="auto"/>
          <w:sz w:val="21"/>
          <w:szCs w:val="21"/>
          <w:highlight w:val="none"/>
          <w:u w:val="single"/>
        </w:rPr>
        <w:t>优先执行工程施工期广东省水利造价部门发布的相关文件规定；</w:t>
      </w:r>
      <w:r>
        <w:rPr>
          <w:rFonts w:hint="eastAsia" w:ascii="宋体" w:hAnsi="宋体" w:eastAsia="宋体" w:cs="宋体"/>
          <w:color w:val="auto"/>
          <w:sz w:val="21"/>
          <w:szCs w:val="21"/>
          <w:highlight w:val="none"/>
          <w:u w:val="single"/>
          <w:lang w:eastAsia="zh-CN"/>
        </w:rPr>
        <w:t>上述</w:t>
      </w:r>
      <w:r>
        <w:rPr>
          <w:rFonts w:hint="eastAsia" w:ascii="宋体" w:hAnsi="宋体" w:eastAsia="宋体" w:cs="宋体"/>
          <w:color w:val="auto"/>
          <w:sz w:val="21"/>
          <w:szCs w:val="21"/>
          <w:highlight w:val="none"/>
          <w:u w:val="single"/>
        </w:rPr>
        <w:t>文件未规定</w:t>
      </w:r>
      <w:r>
        <w:rPr>
          <w:rFonts w:hint="eastAsia" w:ascii="宋体" w:hAnsi="宋体" w:eastAsia="宋体" w:cs="宋体"/>
          <w:color w:val="auto"/>
          <w:sz w:val="21"/>
          <w:szCs w:val="21"/>
          <w:highlight w:val="none"/>
          <w:u w:val="single"/>
          <w:lang w:eastAsia="zh-CN"/>
        </w:rPr>
        <w:t>的内容</w:t>
      </w:r>
      <w:r>
        <w:rPr>
          <w:rFonts w:hint="eastAsia" w:ascii="宋体" w:hAnsi="宋体" w:eastAsia="宋体" w:cs="宋体"/>
          <w:color w:val="auto"/>
          <w:szCs w:val="21"/>
          <w:highlight w:val="none"/>
          <w:u w:val="single"/>
        </w:rPr>
        <w:t>价差</w:t>
      </w:r>
      <w:r>
        <w:rPr>
          <w:rFonts w:hint="eastAsia" w:ascii="宋体" w:hAnsi="宋体" w:eastAsia="宋体" w:cs="宋体"/>
          <w:color w:val="auto"/>
          <w:sz w:val="21"/>
          <w:szCs w:val="21"/>
          <w:highlight w:val="none"/>
          <w:u w:val="single"/>
        </w:rPr>
        <w:t>执行</w:t>
      </w:r>
      <w:r>
        <w:rPr>
          <w:rFonts w:hint="eastAsia" w:ascii="宋体" w:hAnsi="宋体" w:eastAsia="宋体" w:cs="宋体"/>
          <w:color w:val="auto"/>
          <w:szCs w:val="21"/>
          <w:highlight w:val="none"/>
          <w:u w:val="single"/>
        </w:rPr>
        <w:t>广州市建设工程造价管理部门发布的价格信息，按施工当月信息价格与招标文件规定的投标截止日期</w:t>
      </w:r>
      <w:r>
        <w:rPr>
          <w:rFonts w:hint="eastAsia" w:ascii="宋体" w:hAnsi="宋体" w:eastAsia="宋体" w:cs="宋体"/>
          <w:color w:val="auto"/>
          <w:szCs w:val="21"/>
          <w:highlight w:val="none"/>
          <w:u w:val="single"/>
          <w:lang w:eastAsia="zh-CN"/>
        </w:rPr>
        <w:t>前第28天</w:t>
      </w:r>
      <w:r>
        <w:rPr>
          <w:rFonts w:hint="eastAsia" w:ascii="宋体" w:hAnsi="宋体" w:eastAsia="宋体" w:cs="宋体"/>
          <w:color w:val="auto"/>
          <w:szCs w:val="21"/>
          <w:highlight w:val="none"/>
          <w:u w:val="single"/>
        </w:rPr>
        <w:t>时广州市建设工程造价管理部门发布的人工、材料、工程设备和施工设备、机械台班信息价格差值计取。</w:t>
      </w:r>
    </w:p>
    <w:p>
      <w:pPr>
        <w:keepNext w:val="0"/>
        <w:keepLines w:val="0"/>
        <w:pageBreakBefore w:val="0"/>
        <w:widowControl w:val="0"/>
        <w:kinsoku/>
        <w:overflowPunct/>
        <w:autoSpaceDE/>
        <w:autoSpaceDN/>
        <w:bidi w:val="0"/>
        <w:snapToGrid w:val="0"/>
        <w:spacing w:line="420" w:lineRule="exact"/>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③价款调整以月为单位计算，结算时一次性调整，如施工期间需调整价款的，经发包人、承包人协商一致后可签订价差补充协议，作为追加（减）合同价款和支付工程进度款的依据。</w:t>
      </w:r>
    </w:p>
    <w:p>
      <w:pPr>
        <w:keepNext w:val="0"/>
        <w:keepLines w:val="0"/>
        <w:pageBreakBefore w:val="0"/>
        <w:widowControl w:val="0"/>
        <w:kinsoku/>
        <w:overflowPunct/>
        <w:autoSpaceDE/>
        <w:autoSpaceDN/>
        <w:bidi w:val="0"/>
        <w:snapToGrid w:val="0"/>
        <w:spacing w:line="420" w:lineRule="exact"/>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④各调价材料、设备的信息价格</w:t>
      </w:r>
      <w:r>
        <w:rPr>
          <w:rFonts w:hint="eastAsia" w:ascii="宋体" w:hAnsi="宋体" w:eastAsia="宋体" w:cs="宋体"/>
          <w:color w:val="auto"/>
          <w:sz w:val="21"/>
          <w:szCs w:val="21"/>
          <w:highlight w:val="none"/>
          <w:u w:val="single"/>
        </w:rPr>
        <w:t>优先执行工程施工期广东省水利造价部门发布的相关文件规定；</w:t>
      </w:r>
      <w:r>
        <w:rPr>
          <w:rFonts w:hint="eastAsia" w:ascii="宋体" w:hAnsi="宋体" w:eastAsia="宋体" w:cs="宋体"/>
          <w:color w:val="auto"/>
          <w:sz w:val="21"/>
          <w:szCs w:val="21"/>
          <w:highlight w:val="none"/>
          <w:u w:val="single"/>
          <w:lang w:eastAsia="zh-CN"/>
        </w:rPr>
        <w:t>上述</w:t>
      </w:r>
      <w:r>
        <w:rPr>
          <w:rFonts w:hint="eastAsia" w:ascii="宋体" w:hAnsi="宋体" w:eastAsia="宋体" w:cs="宋体"/>
          <w:color w:val="auto"/>
          <w:sz w:val="21"/>
          <w:szCs w:val="21"/>
          <w:highlight w:val="none"/>
          <w:u w:val="single"/>
        </w:rPr>
        <w:t>文件未规定</w:t>
      </w:r>
      <w:r>
        <w:rPr>
          <w:rFonts w:hint="eastAsia" w:ascii="宋体" w:hAnsi="宋体" w:eastAsia="宋体" w:cs="宋体"/>
          <w:color w:val="auto"/>
          <w:sz w:val="21"/>
          <w:szCs w:val="21"/>
          <w:highlight w:val="none"/>
          <w:u w:val="single"/>
          <w:lang w:eastAsia="zh-CN"/>
        </w:rPr>
        <w:t>的内容</w:t>
      </w:r>
      <w:r>
        <w:rPr>
          <w:rFonts w:hint="eastAsia" w:ascii="宋体" w:hAnsi="宋体" w:eastAsia="宋体" w:cs="宋体"/>
          <w:color w:val="auto"/>
          <w:szCs w:val="21"/>
          <w:highlight w:val="none"/>
          <w:u w:val="single"/>
        </w:rPr>
        <w:t>按广州市建设工程造价管理部门发布的当月 “综合价格”计取，综合价格中没有的材料、设备单价，价差不予调整。</w:t>
      </w:r>
    </w:p>
    <w:p>
      <w:pPr>
        <w:keepNext w:val="0"/>
        <w:keepLines w:val="0"/>
        <w:pageBreakBefore w:val="0"/>
        <w:widowControl w:val="0"/>
        <w:kinsoku/>
        <w:overflowPunct/>
        <w:autoSpaceDE/>
        <w:autoSpaceDN/>
        <w:bidi w:val="0"/>
        <w:snapToGrid w:val="0"/>
        <w:spacing w:line="420" w:lineRule="exact"/>
        <w:ind w:firstLine="296" w:firstLineChars="141"/>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（3）由于承包人原因导致工期延误的，所延误时段内物价上涨的风险全部由承包人承担，不予调整；如物价下跌，则仍按第（2）款约定计算及扣回相应价款。</w:t>
      </w:r>
    </w:p>
    <w:p>
      <w:pPr>
        <w:keepNext w:val="0"/>
        <w:keepLines w:val="0"/>
        <w:pageBreakBefore w:val="0"/>
        <w:widowControl w:val="0"/>
        <w:kinsoku/>
        <w:overflowPunct/>
        <w:autoSpaceDE/>
        <w:autoSpaceDN/>
        <w:bidi w:val="0"/>
        <w:snapToGrid w:val="0"/>
        <w:spacing w:line="420" w:lineRule="exac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24</w:t>
      </w:r>
      <w:r>
        <w:rPr>
          <w:rFonts w:hint="eastAsia" w:ascii="宋体" w:hAnsi="宋体" w:eastAsia="宋体" w:cs="宋体"/>
          <w:b/>
          <w:color w:val="auto"/>
          <w:sz w:val="24"/>
          <w:szCs w:val="24"/>
          <w:highlight w:val="none"/>
        </w:rPr>
        <w:t>、工程预付款及工人工资</w:t>
      </w:r>
    </w:p>
    <w:p>
      <w:pPr>
        <w:keepNext w:val="0"/>
        <w:keepLines w:val="0"/>
        <w:pageBreakBefore w:val="0"/>
        <w:widowControl w:val="0"/>
        <w:kinsoku/>
        <w:overflowPunct/>
        <w:autoSpaceDE/>
        <w:autoSpaceDN/>
        <w:bidi w:val="0"/>
        <w:snapToGrid w:val="0"/>
        <w:spacing w:line="420" w:lineRule="exact"/>
        <w:ind w:firstLine="296" w:firstLineChars="141"/>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24.1工程预付款</w:t>
      </w:r>
    </w:p>
    <w:p>
      <w:pPr>
        <w:keepNext w:val="0"/>
        <w:keepLines w:val="0"/>
        <w:pageBreakBefore w:val="0"/>
        <w:widowControl w:val="0"/>
        <w:kinsoku/>
        <w:overflowPunct/>
        <w:autoSpaceDE/>
        <w:autoSpaceDN/>
        <w:bidi w:val="0"/>
        <w:snapToGrid w:val="0"/>
        <w:spacing w:line="420" w:lineRule="exact"/>
        <w:ind w:firstLine="296" w:firstLineChars="141"/>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24.1.1发包人向承包人预付工程款的时间和金额或占合同价款总额的比例：按广州开发区财政投资建设项目管理中心 《关于加强建设工程预付款管理的通知》</w:t>
      </w:r>
      <w:r>
        <w:rPr>
          <w:rFonts w:hint="eastAsia" w:ascii="宋体" w:hAnsi="宋体" w:eastAsia="宋体" w:cs="宋体"/>
          <w:color w:val="auto"/>
          <w:sz w:val="21"/>
          <w:szCs w:val="21"/>
          <w:highlight w:val="none"/>
          <w:lang w:val="en-US" w:eastAsia="zh-CN"/>
        </w:rPr>
        <w:t>及相关</w:t>
      </w:r>
      <w:r>
        <w:rPr>
          <w:rFonts w:hint="eastAsia" w:ascii="宋体" w:hAnsi="宋体" w:eastAsia="宋体" w:cs="宋体"/>
          <w:color w:val="auto"/>
          <w:szCs w:val="21"/>
          <w:highlight w:val="none"/>
        </w:rPr>
        <w:t>规定核查，承包人相关情况符合要求，且合同生效及财政拨款到位后，发包人预付合同价</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扣除安全生产措施费，若工程量清单中有暂定金则扣除暂定金</w:t>
      </w:r>
      <w:r>
        <w:rPr>
          <w:rFonts w:hint="eastAsia" w:ascii="宋体" w:hAnsi="宋体" w:eastAsia="宋体" w:cs="宋体"/>
          <w:color w:val="auto"/>
          <w:sz w:val="21"/>
          <w:szCs w:val="21"/>
          <w:highlight w:val="none"/>
          <w:lang w:eastAsia="zh-CN"/>
        </w:rPr>
        <w:t>（含暂列金额和暂估价）</w:t>
      </w:r>
      <w:r>
        <w:rPr>
          <w:rFonts w:hint="eastAsia" w:ascii="宋体" w:hAnsi="宋体" w:eastAsia="宋体" w:cs="宋体"/>
          <w:color w:val="auto"/>
          <w:sz w:val="21"/>
          <w:szCs w:val="21"/>
          <w:highlight w:val="none"/>
        </w:rPr>
        <w:t>部分</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Cs w:val="21"/>
          <w:highlight w:val="none"/>
        </w:rPr>
        <w:t>的</w:t>
      </w:r>
      <w:r>
        <w:rPr>
          <w:rFonts w:hint="eastAsia" w:ascii="宋体" w:hAnsi="宋体" w:cs="宋体"/>
          <w:color w:val="auto"/>
          <w:szCs w:val="21"/>
          <w:highlight w:val="none"/>
          <w:u w:val="single"/>
          <w:lang w:val="en-US" w:eastAsia="zh-CN"/>
        </w:rPr>
        <w:t>30</w:t>
      </w:r>
      <w:r>
        <w:rPr>
          <w:rFonts w:hint="eastAsia" w:ascii="宋体" w:hAnsi="宋体" w:eastAsia="宋体" w:cs="宋体"/>
          <w:color w:val="auto"/>
          <w:szCs w:val="21"/>
          <w:highlight w:val="none"/>
        </w:rPr>
        <w:t>%作为预付款，但最高不超过</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1000</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万元。预付款中，（预付款×工人工资比例）的部分需支付至工人工资专用账户。</w:t>
      </w:r>
    </w:p>
    <w:p>
      <w:pPr>
        <w:keepNext w:val="0"/>
        <w:keepLines w:val="0"/>
        <w:pageBreakBefore w:val="0"/>
        <w:widowControl w:val="0"/>
        <w:kinsoku/>
        <w:overflowPunct/>
        <w:autoSpaceDE/>
        <w:autoSpaceDN/>
        <w:bidi w:val="0"/>
        <w:snapToGrid w:val="0"/>
        <w:spacing w:line="42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24.1.2承包人收取预付款后，应优先用于按有关规定缴纳工伤保险和办理建筑意外伤害险，专款专用。</w:t>
      </w:r>
    </w:p>
    <w:p>
      <w:pPr>
        <w:keepNext w:val="0"/>
        <w:keepLines w:val="0"/>
        <w:pageBreakBefore w:val="0"/>
        <w:widowControl w:val="0"/>
        <w:kinsoku/>
        <w:overflowPunct/>
        <w:autoSpaceDE/>
        <w:autoSpaceDN/>
        <w:bidi w:val="0"/>
        <w:snapToGrid w:val="0"/>
        <w:spacing w:line="420" w:lineRule="exact"/>
        <w:ind w:firstLine="296" w:firstLineChars="141"/>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24.1.3扣回预付款的时间、比例：按本合同专用条款26条约定执行。</w:t>
      </w:r>
    </w:p>
    <w:p>
      <w:pPr>
        <w:keepNext w:val="0"/>
        <w:keepLines w:val="0"/>
        <w:pageBreakBefore w:val="0"/>
        <w:widowControl w:val="0"/>
        <w:kinsoku/>
        <w:overflowPunct/>
        <w:autoSpaceDE/>
        <w:autoSpaceDN/>
        <w:bidi w:val="0"/>
        <w:snapToGrid w:val="0"/>
        <w:spacing w:line="420" w:lineRule="exact"/>
        <w:ind w:firstLine="296" w:firstLineChars="141"/>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24.2工人工资</w:t>
      </w:r>
    </w:p>
    <w:p>
      <w:pPr>
        <w:keepNext w:val="0"/>
        <w:keepLines w:val="0"/>
        <w:pageBreakBefore w:val="0"/>
        <w:widowControl w:val="0"/>
        <w:kinsoku/>
        <w:overflowPunct/>
        <w:autoSpaceDE/>
        <w:autoSpaceDN/>
        <w:bidi w:val="0"/>
        <w:snapToGrid w:val="0"/>
        <w:spacing w:line="420" w:lineRule="exact"/>
        <w:ind w:firstLine="296" w:firstLineChars="141"/>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24.2.1承包人需按有关规定与商业银行另行签订广州市建设领域工人工资支付专用账户管理协议、开设专用账户并报发包人备案,工人工资支付至专用账户。</w:t>
      </w:r>
    </w:p>
    <w:p>
      <w:pPr>
        <w:keepNext w:val="0"/>
        <w:keepLines w:val="0"/>
        <w:pageBreakBefore w:val="0"/>
        <w:widowControl w:val="0"/>
        <w:kinsoku/>
        <w:overflowPunct/>
        <w:autoSpaceDE/>
        <w:autoSpaceDN/>
        <w:bidi w:val="0"/>
        <w:snapToGrid w:val="0"/>
        <w:spacing w:line="420" w:lineRule="exact"/>
        <w:ind w:firstLine="296" w:firstLineChars="141"/>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24.2.2工人工资进度款与工程进度款同步支付，其中每期需支付的工程进度款×工人工资比例为该期工人工资进度款，支付至工人工资专用账户。</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25</w:t>
      </w:r>
      <w:r>
        <w:rPr>
          <w:rFonts w:hint="eastAsia" w:ascii="宋体" w:hAnsi="宋体" w:eastAsia="宋体" w:cs="宋体"/>
          <w:b/>
          <w:color w:val="auto"/>
          <w:sz w:val="24"/>
          <w:highlight w:val="none"/>
        </w:rPr>
        <w:t>、工程量确认</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25.1承包人向工程师提交已完工程量报告的时间：</w:t>
      </w:r>
      <w:r>
        <w:rPr>
          <w:rFonts w:hint="eastAsia" w:ascii="宋体" w:hAnsi="宋体" w:eastAsia="宋体" w:cs="宋体"/>
          <w:color w:val="auto"/>
          <w:szCs w:val="21"/>
          <w:highlight w:val="none"/>
          <w:u w:val="single"/>
        </w:rPr>
        <w:t>自开工之日起每周及每月报告已完成工程状况</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25.2双方一致同意不适用</w:t>
      </w:r>
      <w:r>
        <w:rPr>
          <w:rFonts w:hint="eastAsia" w:ascii="宋体" w:hAnsi="宋体" w:eastAsia="宋体" w:cs="宋体"/>
          <w:color w:val="auto"/>
          <w:szCs w:val="21"/>
          <w:highlight w:val="none"/>
          <w:u w:val="single"/>
        </w:rPr>
        <w:t>通用条款25.2款</w:t>
      </w:r>
      <w:r>
        <w:rPr>
          <w:rFonts w:hint="eastAsia" w:ascii="宋体" w:hAnsi="宋体" w:eastAsia="宋体" w:cs="宋体"/>
          <w:color w:val="auto"/>
          <w:szCs w:val="21"/>
          <w:highlight w:val="none"/>
        </w:rPr>
        <w:t>，承包人完成工程量必须经发包人书面确认。</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26、</w:t>
      </w:r>
      <w:r>
        <w:rPr>
          <w:rFonts w:hint="eastAsia" w:ascii="宋体" w:hAnsi="宋体" w:eastAsia="宋体" w:cs="宋体"/>
          <w:b/>
          <w:color w:val="auto"/>
          <w:sz w:val="24"/>
          <w:highlight w:val="none"/>
        </w:rPr>
        <w:t>工程款（进度款）支付</w:t>
      </w:r>
    </w:p>
    <w:p>
      <w:pPr>
        <w:keepNext w:val="0"/>
        <w:keepLines w:val="0"/>
        <w:pageBreakBefore w:val="0"/>
        <w:widowControl w:val="0"/>
        <w:kinsoku/>
        <w:overflowPunct/>
        <w:autoSpaceDE/>
        <w:autoSpaceDN/>
        <w:bidi w:val="0"/>
        <w:snapToGrid w:val="0"/>
        <w:spacing w:line="420" w:lineRule="exact"/>
        <w:ind w:firstLine="48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26.1双方约定的工程款（进度款）支付采取如下的</w:t>
      </w:r>
      <w:r>
        <w:rPr>
          <w:rFonts w:hint="eastAsia" w:ascii="宋体" w:hAnsi="宋体" w:eastAsia="宋体" w:cs="宋体"/>
          <w:color w:val="auto"/>
          <w:szCs w:val="21"/>
          <w:highlight w:val="none"/>
          <w:u w:val="single"/>
        </w:rPr>
        <w:t xml:space="preserve"> 26.1.1 </w:t>
      </w:r>
      <w:r>
        <w:rPr>
          <w:rFonts w:hint="eastAsia" w:ascii="宋体" w:hAnsi="宋体" w:eastAsia="宋体" w:cs="宋体"/>
          <w:color w:val="auto"/>
          <w:szCs w:val="21"/>
          <w:highlight w:val="none"/>
        </w:rPr>
        <w:t>方式进行：</w:t>
      </w:r>
    </w:p>
    <w:p>
      <w:pPr>
        <w:keepNext w:val="0"/>
        <w:keepLines w:val="0"/>
        <w:pageBreakBefore w:val="0"/>
        <w:widowControl w:val="0"/>
        <w:kinsoku/>
        <w:overflowPunct/>
        <w:autoSpaceDE/>
        <w:autoSpaceDN/>
        <w:bidi w:val="0"/>
        <w:snapToGrid w:val="0"/>
        <w:spacing w:line="420" w:lineRule="exact"/>
        <w:ind w:firstLine="48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26.1.1按累计完成工作量百分率支付工程款（进度款）方式：</w:t>
      </w:r>
    </w:p>
    <w:p>
      <w:pPr>
        <w:keepNext w:val="0"/>
        <w:keepLines w:val="0"/>
        <w:pageBreakBefore w:val="0"/>
        <w:widowControl w:val="0"/>
        <w:kinsoku/>
        <w:overflowPunct/>
        <w:autoSpaceDE/>
        <w:autoSpaceDN/>
        <w:bidi w:val="0"/>
        <w:snapToGrid w:val="0"/>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u w:val="single"/>
        </w:rPr>
        <w:t>当完成工作量达到60%时，支付工程进度款</w:t>
      </w:r>
      <w:r>
        <w:rPr>
          <w:rFonts w:hint="eastAsia" w:ascii="宋体" w:hAnsi="宋体" w:cs="宋体"/>
          <w:color w:val="auto"/>
          <w:sz w:val="21"/>
          <w:szCs w:val="21"/>
          <w:highlight w:val="none"/>
          <w:u w:val="single"/>
          <w:lang w:val="en-US" w:eastAsia="zh-CN"/>
        </w:rPr>
        <w:t>25</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累计付款</w:t>
      </w:r>
      <w:r>
        <w:rPr>
          <w:rFonts w:hint="eastAsia" w:ascii="宋体" w:hAnsi="宋体" w:eastAsia="宋体" w:cs="宋体"/>
          <w:color w:val="auto"/>
          <w:sz w:val="21"/>
          <w:szCs w:val="21"/>
          <w:highlight w:val="none"/>
          <w:u w:val="single"/>
          <w:lang w:val="en-US" w:eastAsia="zh-CN"/>
        </w:rPr>
        <w:t>(含已支付的</w:t>
      </w:r>
      <w:r>
        <w:rPr>
          <w:rFonts w:hint="eastAsia" w:ascii="宋体" w:hAnsi="宋体" w:eastAsia="宋体" w:cs="宋体"/>
          <w:color w:val="auto"/>
          <w:sz w:val="21"/>
          <w:szCs w:val="21"/>
          <w:highlight w:val="none"/>
        </w:rPr>
        <w:t>安全生产措施费</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至合同价款若有暂定金</w:t>
      </w:r>
      <w:r>
        <w:rPr>
          <w:rFonts w:hint="eastAsia" w:ascii="宋体" w:hAnsi="宋体" w:eastAsia="宋体" w:cs="宋体"/>
          <w:color w:val="auto"/>
          <w:sz w:val="21"/>
          <w:szCs w:val="21"/>
          <w:highlight w:val="none"/>
          <w:u w:val="single"/>
          <w:lang w:val="en-US" w:eastAsia="zh-CN"/>
        </w:rPr>
        <w:t>(含暂列金额和暂估价)</w:t>
      </w:r>
      <w:r>
        <w:rPr>
          <w:rFonts w:hint="eastAsia" w:ascii="宋体" w:hAnsi="宋体" w:eastAsia="宋体" w:cs="宋体"/>
          <w:color w:val="auto"/>
          <w:sz w:val="21"/>
          <w:szCs w:val="21"/>
          <w:highlight w:val="none"/>
          <w:u w:val="single"/>
        </w:rPr>
        <w:t>扣除未计量部分暂定金</w:t>
      </w:r>
      <w:r>
        <w:rPr>
          <w:rFonts w:hint="eastAsia" w:ascii="宋体" w:hAnsi="宋体" w:eastAsia="宋体" w:cs="宋体"/>
          <w:color w:val="auto"/>
          <w:sz w:val="21"/>
          <w:szCs w:val="21"/>
          <w:highlight w:val="none"/>
          <w:u w:val="single"/>
          <w:lang w:val="en-US" w:eastAsia="zh-CN"/>
        </w:rPr>
        <w:t>(含暂列金额和暂估价)</w:t>
      </w:r>
      <w:r>
        <w:rPr>
          <w:rFonts w:hint="eastAsia" w:ascii="宋体" w:hAnsi="宋体" w:eastAsia="宋体" w:cs="宋体"/>
          <w:color w:val="auto"/>
          <w:sz w:val="21"/>
          <w:szCs w:val="21"/>
          <w:highlight w:val="none"/>
          <w:u w:val="single"/>
        </w:rPr>
        <w:t>后的55%</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rPr>
        <w:t>；</w:t>
      </w:r>
    </w:p>
    <w:p>
      <w:pPr>
        <w:keepNext w:val="0"/>
        <w:keepLines w:val="0"/>
        <w:pageBreakBefore w:val="0"/>
        <w:widowControl w:val="0"/>
        <w:kinsoku/>
        <w:overflowPunct/>
        <w:autoSpaceDE/>
        <w:autoSpaceDN/>
        <w:bidi w:val="0"/>
        <w:snapToGrid w:val="0"/>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u w:val="single"/>
        </w:rPr>
        <w:t>工程完工后支付合同价款30%</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累计付款</w:t>
      </w:r>
      <w:r>
        <w:rPr>
          <w:rFonts w:hint="eastAsia" w:ascii="宋体" w:hAnsi="宋体" w:eastAsia="宋体" w:cs="宋体"/>
          <w:color w:val="auto"/>
          <w:sz w:val="21"/>
          <w:szCs w:val="21"/>
          <w:highlight w:val="none"/>
          <w:u w:val="single"/>
          <w:lang w:val="en-US" w:eastAsia="zh-CN"/>
        </w:rPr>
        <w:t>(含</w:t>
      </w:r>
      <w:r>
        <w:rPr>
          <w:rFonts w:hint="eastAsia" w:ascii="宋体" w:hAnsi="宋体" w:eastAsia="宋体" w:cs="宋体"/>
          <w:color w:val="auto"/>
          <w:sz w:val="21"/>
          <w:szCs w:val="21"/>
          <w:highlight w:val="none"/>
        </w:rPr>
        <w:t>安全生产措施费</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至合同价款若有暂定金</w:t>
      </w:r>
      <w:r>
        <w:rPr>
          <w:rFonts w:hint="eastAsia" w:ascii="宋体" w:hAnsi="宋体" w:eastAsia="宋体" w:cs="宋体"/>
          <w:color w:val="auto"/>
          <w:sz w:val="21"/>
          <w:szCs w:val="21"/>
          <w:highlight w:val="none"/>
          <w:u w:val="single"/>
          <w:lang w:val="en-US" w:eastAsia="zh-CN"/>
        </w:rPr>
        <w:t>(含暂列金额和暂估价)</w:t>
      </w:r>
      <w:r>
        <w:rPr>
          <w:rFonts w:hint="eastAsia" w:ascii="宋体" w:hAnsi="宋体" w:eastAsia="宋体" w:cs="宋体"/>
          <w:color w:val="auto"/>
          <w:sz w:val="21"/>
          <w:szCs w:val="21"/>
          <w:highlight w:val="none"/>
          <w:u w:val="single"/>
        </w:rPr>
        <w:t>扣除未计量部分暂定金</w:t>
      </w:r>
      <w:r>
        <w:rPr>
          <w:rFonts w:hint="eastAsia" w:ascii="宋体" w:hAnsi="宋体" w:eastAsia="宋体" w:cs="宋体"/>
          <w:color w:val="auto"/>
          <w:sz w:val="21"/>
          <w:szCs w:val="21"/>
          <w:highlight w:val="none"/>
          <w:u w:val="single"/>
          <w:lang w:val="en-US" w:eastAsia="zh-CN"/>
        </w:rPr>
        <w:t>(含暂列金额和暂估价)</w:t>
      </w:r>
      <w:r>
        <w:rPr>
          <w:rFonts w:hint="eastAsia" w:ascii="宋体" w:hAnsi="宋体" w:eastAsia="宋体" w:cs="宋体"/>
          <w:color w:val="auto"/>
          <w:sz w:val="21"/>
          <w:szCs w:val="21"/>
          <w:highlight w:val="none"/>
          <w:u w:val="single"/>
        </w:rPr>
        <w:t>后的85%</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rPr>
        <w:t>；</w:t>
      </w:r>
    </w:p>
    <w:p>
      <w:pPr>
        <w:keepNext w:val="0"/>
        <w:keepLines w:val="0"/>
        <w:pageBreakBefore w:val="0"/>
        <w:widowControl w:val="0"/>
        <w:kinsoku/>
        <w:overflowPunct/>
        <w:autoSpaceDE/>
        <w:autoSpaceDN/>
        <w:bidi w:val="0"/>
        <w:snapToGrid w:val="0"/>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u w:val="single"/>
        </w:rPr>
        <w:t>工程通过合同工程完工验收并经广州开发区财政局审定施工结算后支付工程款</w:t>
      </w:r>
      <w:r>
        <w:rPr>
          <w:rFonts w:hint="eastAsia" w:ascii="宋体" w:hAnsi="宋体" w:eastAsia="宋体" w:cs="宋体"/>
          <w:color w:val="auto"/>
          <w:sz w:val="21"/>
          <w:szCs w:val="21"/>
          <w:highlight w:val="none"/>
          <w:u w:val="single"/>
          <w:lang w:val="en-US" w:eastAsia="zh-CN"/>
        </w:rPr>
        <w:t>(含</w:t>
      </w:r>
      <w:r>
        <w:rPr>
          <w:rFonts w:hint="eastAsia" w:ascii="宋体" w:hAnsi="宋体" w:eastAsia="宋体" w:cs="宋体"/>
          <w:color w:val="auto"/>
          <w:sz w:val="21"/>
          <w:szCs w:val="21"/>
          <w:highlight w:val="none"/>
        </w:rPr>
        <w:t>安全生产措施费</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至结算价的9</w:t>
      </w:r>
      <w:r>
        <w:rPr>
          <w:rFonts w:hint="eastAsia" w:ascii="宋体" w:hAnsi="宋体" w:eastAsia="宋体" w:cs="宋体"/>
          <w:color w:val="auto"/>
          <w:sz w:val="21"/>
          <w:szCs w:val="21"/>
          <w:highlight w:val="none"/>
          <w:u w:val="single"/>
          <w:lang w:val="en-US" w:eastAsia="zh-CN"/>
        </w:rPr>
        <w:t>7</w:t>
      </w:r>
      <w:r>
        <w:rPr>
          <w:rFonts w:hint="eastAsia" w:ascii="宋体" w:hAnsi="宋体" w:eastAsia="宋体" w:cs="宋体"/>
          <w:color w:val="auto"/>
          <w:sz w:val="21"/>
          <w:szCs w:val="21"/>
          <w:highlight w:val="none"/>
          <w:u w:val="single"/>
        </w:rPr>
        <w:t>%；工程结算价款额度的</w:t>
      </w:r>
      <w:r>
        <w:rPr>
          <w:rFonts w:hint="eastAsia" w:ascii="宋体" w:hAnsi="宋体" w:eastAsia="宋体" w:cs="宋体"/>
          <w:color w:val="auto"/>
          <w:sz w:val="21"/>
          <w:szCs w:val="21"/>
          <w:highlight w:val="none"/>
          <w:u w:val="single"/>
          <w:lang w:val="en-US" w:eastAsia="zh-CN"/>
        </w:rPr>
        <w:t>3</w:t>
      </w:r>
      <w:r>
        <w:rPr>
          <w:rFonts w:hint="eastAsia" w:ascii="宋体" w:hAnsi="宋体" w:eastAsia="宋体" w:cs="宋体"/>
          <w:color w:val="auto"/>
          <w:sz w:val="21"/>
          <w:szCs w:val="21"/>
          <w:highlight w:val="none"/>
          <w:u w:val="single"/>
        </w:rPr>
        <w:t>%作为质量保修金，待缺陷责任期结束后结清（不计利息）</w:t>
      </w:r>
      <w:r>
        <w:rPr>
          <w:rFonts w:hint="eastAsia" w:ascii="宋体" w:hAnsi="宋体" w:eastAsia="宋体" w:cs="宋体"/>
          <w:color w:val="auto"/>
          <w:sz w:val="21"/>
          <w:szCs w:val="21"/>
          <w:highlight w:val="none"/>
        </w:rPr>
        <w:t>。</w:t>
      </w:r>
    </w:p>
    <w:p>
      <w:pPr>
        <w:keepNext w:val="0"/>
        <w:keepLines w:val="0"/>
        <w:pageBreakBefore w:val="0"/>
        <w:widowControl w:val="0"/>
        <w:kinsoku/>
        <w:overflowPunct/>
        <w:autoSpaceDE/>
        <w:autoSpaceDN/>
        <w:bidi w:val="0"/>
        <w:snapToGrid w:val="0"/>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上述所有款项均在广州开发区财政局审定该专项资金并拨款到位后支付，每期需支付的工程进度款×工人工资比例为该期工人工资进度款，支付至工人工资专用账户。办理工程款财政请款手续的时间不计入付款期限。</w:t>
      </w:r>
    </w:p>
    <w:p>
      <w:pPr>
        <w:keepNext w:val="0"/>
        <w:keepLines w:val="0"/>
        <w:pageBreakBefore w:val="0"/>
        <w:widowControl w:val="0"/>
        <w:kinsoku/>
        <w:overflowPunct/>
        <w:autoSpaceDE/>
        <w:autoSpaceDN/>
        <w:bidi w:val="0"/>
        <w:snapToGrid w:val="0"/>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26.1.2按月度支付工程款（进度款）：</w:t>
      </w:r>
    </w:p>
    <w:p>
      <w:pPr>
        <w:keepNext w:val="0"/>
        <w:keepLines w:val="0"/>
        <w:pageBreakBefore w:val="0"/>
        <w:widowControl w:val="0"/>
        <w:kinsoku/>
        <w:overflowPunct/>
        <w:autoSpaceDE/>
        <w:autoSpaceDN/>
        <w:bidi w:val="0"/>
        <w:snapToGrid w:val="0"/>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u w:val="single"/>
        </w:rPr>
        <w:t>承包人每月上报完成工程量报表，经监理审核及发包人确认后，发包人按经审定月度完成工程量的85%支付工程进度款</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napToGrid w:val="0"/>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u w:val="single"/>
        </w:rPr>
        <w:t>从本工程发生的第一次进度款支付起，发包人每次按审定月度完成工程量扣除安全生产措施费，若有暂定金扣除未计量部分暂定金后的85%中之50%扣回预付款，每次按审定月度完成工程量扣除安全生产措施费，若有暂定金扣除未计量部分暂定金后的85%扣除应扣回的预付款后支付承包人当次的工程进度款，直至预付款全部扣回完毕止。预付款扣回完毕后，发包人按审定月度完成工程量扣除安全生产措施费，若有暂定金扣除未计量部分暂定金后的85%支付工程进度款；工程完工，累计支付工程款（</w:t>
      </w:r>
      <w:r>
        <w:rPr>
          <w:rFonts w:hint="eastAsia" w:ascii="宋体" w:hAnsi="宋体" w:eastAsia="宋体" w:cs="宋体"/>
          <w:color w:val="auto"/>
          <w:sz w:val="21"/>
          <w:szCs w:val="21"/>
          <w:highlight w:val="none"/>
          <w:u w:val="single"/>
          <w:lang w:val="en-US" w:eastAsia="zh-CN"/>
        </w:rPr>
        <w:t>含</w:t>
      </w:r>
      <w:r>
        <w:rPr>
          <w:rFonts w:hint="eastAsia" w:ascii="宋体" w:hAnsi="宋体" w:eastAsia="宋体" w:cs="宋体"/>
          <w:color w:val="auto"/>
          <w:sz w:val="21"/>
          <w:szCs w:val="21"/>
          <w:highlight w:val="none"/>
        </w:rPr>
        <w:t>安全生产措施费</w:t>
      </w:r>
      <w:r>
        <w:rPr>
          <w:rFonts w:hint="eastAsia" w:ascii="宋体" w:hAnsi="宋体" w:eastAsia="宋体" w:cs="宋体"/>
          <w:color w:val="auto"/>
          <w:szCs w:val="21"/>
          <w:highlight w:val="none"/>
          <w:u w:val="single"/>
        </w:rPr>
        <w:t>）至合同价若有暂定金</w:t>
      </w:r>
      <w:r>
        <w:rPr>
          <w:rFonts w:hint="eastAsia" w:ascii="宋体" w:hAnsi="宋体" w:eastAsia="宋体" w:cs="宋体"/>
          <w:color w:val="auto"/>
          <w:sz w:val="21"/>
          <w:szCs w:val="21"/>
          <w:highlight w:val="none"/>
          <w:u w:val="single"/>
          <w:lang w:eastAsia="zh-CN"/>
        </w:rPr>
        <w:t>（含暂列金额及暂估价）</w:t>
      </w:r>
      <w:r>
        <w:rPr>
          <w:rFonts w:hint="eastAsia" w:ascii="宋体" w:hAnsi="宋体" w:eastAsia="宋体" w:cs="宋体"/>
          <w:color w:val="auto"/>
          <w:szCs w:val="21"/>
          <w:highlight w:val="none"/>
          <w:u w:val="single"/>
        </w:rPr>
        <w:t>则扣除未计量部分暂定金</w:t>
      </w:r>
      <w:r>
        <w:rPr>
          <w:rFonts w:hint="eastAsia" w:ascii="宋体" w:hAnsi="宋体" w:eastAsia="宋体" w:cs="宋体"/>
          <w:color w:val="auto"/>
          <w:sz w:val="21"/>
          <w:szCs w:val="21"/>
          <w:highlight w:val="none"/>
          <w:u w:val="single"/>
          <w:lang w:eastAsia="zh-CN"/>
        </w:rPr>
        <w:t>（含暂列金额及暂估价）</w:t>
      </w:r>
      <w:r>
        <w:rPr>
          <w:rFonts w:hint="eastAsia" w:ascii="宋体" w:hAnsi="宋体" w:eastAsia="宋体" w:cs="宋体"/>
          <w:color w:val="auto"/>
          <w:szCs w:val="21"/>
          <w:highlight w:val="none"/>
          <w:u w:val="single"/>
        </w:rPr>
        <w:t>后的85%</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napToGrid w:val="0"/>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u w:val="single"/>
        </w:rPr>
        <w:t>工程通过</w:t>
      </w:r>
      <w:r>
        <w:rPr>
          <w:rFonts w:hint="eastAsia" w:ascii="宋体" w:hAnsi="宋体" w:eastAsia="宋体" w:cs="宋体"/>
          <w:color w:val="auto"/>
          <w:sz w:val="21"/>
          <w:szCs w:val="21"/>
          <w:highlight w:val="none"/>
          <w:u w:val="single"/>
        </w:rPr>
        <w:t>合同工程完工验收</w:t>
      </w:r>
      <w:r>
        <w:rPr>
          <w:rFonts w:hint="eastAsia" w:ascii="宋体" w:hAnsi="宋体" w:eastAsia="宋体" w:cs="宋体"/>
          <w:color w:val="auto"/>
          <w:szCs w:val="21"/>
          <w:highlight w:val="none"/>
          <w:u w:val="single"/>
        </w:rPr>
        <w:t>并经广州开发区财政局审定施工结算后支付工程款（</w:t>
      </w:r>
      <w:r>
        <w:rPr>
          <w:rFonts w:hint="eastAsia" w:ascii="宋体" w:hAnsi="宋体" w:eastAsia="宋体" w:cs="宋体"/>
          <w:color w:val="auto"/>
          <w:sz w:val="21"/>
          <w:szCs w:val="21"/>
          <w:highlight w:val="none"/>
          <w:u w:val="single"/>
          <w:lang w:val="en-US" w:eastAsia="zh-CN"/>
        </w:rPr>
        <w:t>含</w:t>
      </w:r>
      <w:r>
        <w:rPr>
          <w:rFonts w:hint="eastAsia" w:ascii="宋体" w:hAnsi="宋体" w:eastAsia="宋体" w:cs="宋体"/>
          <w:color w:val="auto"/>
          <w:sz w:val="21"/>
          <w:szCs w:val="21"/>
          <w:highlight w:val="none"/>
        </w:rPr>
        <w:t>安全生产措施费</w:t>
      </w:r>
      <w:r>
        <w:rPr>
          <w:rFonts w:hint="eastAsia" w:ascii="宋体" w:hAnsi="宋体" w:eastAsia="宋体" w:cs="宋体"/>
          <w:color w:val="auto"/>
          <w:szCs w:val="21"/>
          <w:highlight w:val="none"/>
          <w:u w:val="single"/>
        </w:rPr>
        <w:t>）至结算价的9</w:t>
      </w:r>
      <w:r>
        <w:rPr>
          <w:rFonts w:hint="eastAsia" w:ascii="宋体" w:hAnsi="宋体" w:eastAsia="宋体" w:cs="宋体"/>
          <w:color w:val="auto"/>
          <w:szCs w:val="21"/>
          <w:highlight w:val="none"/>
          <w:u w:val="single"/>
          <w:lang w:val="en-US" w:eastAsia="zh-CN"/>
        </w:rPr>
        <w:t>7</w:t>
      </w:r>
      <w:r>
        <w:rPr>
          <w:rFonts w:hint="eastAsia" w:ascii="宋体" w:hAnsi="宋体" w:eastAsia="宋体" w:cs="宋体"/>
          <w:color w:val="auto"/>
          <w:szCs w:val="21"/>
          <w:highlight w:val="none"/>
          <w:u w:val="single"/>
        </w:rPr>
        <w:t>%；工程结算价款额度的</w:t>
      </w:r>
      <w:r>
        <w:rPr>
          <w:rFonts w:hint="eastAsia" w:ascii="宋体" w:hAnsi="宋体" w:eastAsia="宋体" w:cs="宋体"/>
          <w:color w:val="auto"/>
          <w:szCs w:val="21"/>
          <w:highlight w:val="none"/>
          <w:u w:val="single"/>
          <w:lang w:val="en-US" w:eastAsia="zh-CN"/>
        </w:rPr>
        <w:t>3</w:t>
      </w:r>
      <w:r>
        <w:rPr>
          <w:rFonts w:hint="eastAsia" w:ascii="宋体" w:hAnsi="宋体" w:eastAsia="宋体" w:cs="宋体"/>
          <w:color w:val="auto"/>
          <w:szCs w:val="21"/>
          <w:highlight w:val="none"/>
          <w:u w:val="single"/>
        </w:rPr>
        <w:t>%作为质量保修金，待缺陷责任期结束后结清（不计利息）</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napToGrid w:val="0"/>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上述所有款项均在广州开发区财政局审定该专项资金并拨款到位后支付，每期需支付的工程进度款×工人工资比例为该期工人工资进度款，支付至工人工资专用账户。办理工程款财政请款手续的时间不计入付款期限。</w:t>
      </w:r>
    </w:p>
    <w:p>
      <w:pPr>
        <w:keepNext w:val="0"/>
        <w:keepLines w:val="0"/>
        <w:pageBreakBefore w:val="0"/>
        <w:widowControl w:val="0"/>
        <w:kinsoku/>
        <w:overflowPunct/>
        <w:autoSpaceDE/>
        <w:autoSpaceDN/>
        <w:bidi w:val="0"/>
        <w:adjustRightInd w:val="0"/>
        <w:snapToGrid w:val="0"/>
        <w:spacing w:line="420" w:lineRule="exact"/>
        <w:ind w:right="11" w:firstLine="367" w:firstLineChars="17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所有因变更、签证及价格调整等原因所调整增加的工程价款均应由承包人按广州开发区、黄埔区及发包人相关规定程序，报监理初审，并经发包人审批同意后，按审定金额另行签订补充协议支付，或在工程结算中一并支付。</w:t>
      </w:r>
    </w:p>
    <w:p>
      <w:pPr>
        <w:keepNext w:val="0"/>
        <w:keepLines w:val="0"/>
        <w:pageBreakBefore w:val="0"/>
        <w:widowControl w:val="0"/>
        <w:kinsoku/>
        <w:overflowPunct/>
        <w:autoSpaceDE/>
        <w:autoSpaceDN/>
        <w:bidi w:val="0"/>
        <w:snapToGrid w:val="0"/>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26.4工程价款的支付条件：</w:t>
      </w:r>
    </w:p>
    <w:p>
      <w:pPr>
        <w:keepNext w:val="0"/>
        <w:keepLines w:val="0"/>
        <w:pageBreakBefore w:val="0"/>
        <w:widowControl w:val="0"/>
        <w:kinsoku/>
        <w:overflowPunct/>
        <w:autoSpaceDE/>
        <w:autoSpaceDN/>
        <w:bidi w:val="0"/>
        <w:snapToGrid w:val="0"/>
        <w:spacing w:line="420" w:lineRule="exact"/>
        <w:ind w:firstLine="48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（1）支付预付款：</w:t>
      </w:r>
      <w:r>
        <w:rPr>
          <w:rFonts w:hint="eastAsia" w:ascii="宋体" w:hAnsi="宋体" w:eastAsia="宋体" w:cs="宋体"/>
          <w:color w:val="auto"/>
          <w:szCs w:val="21"/>
          <w:highlight w:val="none"/>
          <w:u w:val="single"/>
        </w:rPr>
        <w:t>承包人已与发包人签订工程施工合同，承包人承诺的项目管理人员、机械设备到位。已生效的履约担保已按发包人要求准时提交发包人，工程已经监理工程师批准正式动工，该工程财政拨款已到位。如工程因用地、拆迁等原因导致不能全面开工，则预付款的支付按可开工部分的工程量占总工程量的比例做相应调整</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napToGrid w:val="0"/>
        <w:spacing w:line="420" w:lineRule="exact"/>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（2）支付工程款（进度款）：</w:t>
      </w:r>
      <w:r>
        <w:rPr>
          <w:rFonts w:hint="eastAsia" w:ascii="宋体" w:hAnsi="宋体" w:eastAsia="宋体" w:cs="宋体"/>
          <w:color w:val="auto"/>
          <w:szCs w:val="21"/>
          <w:highlight w:val="none"/>
          <w:u w:val="single"/>
        </w:rPr>
        <w:t>承包人必须及时向监理工程师提供其完成工作量的计量支付汇总报表和相应的分项工程计量支付报表。完成的全部分项工程数量均需有监理工程师的签认手续，计算依据和相关的质量合格证明资料，需通过测量确定数量的必须附有完整的测量资料且有监理工程师的签认</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napToGrid w:val="0"/>
        <w:spacing w:line="420" w:lineRule="exact"/>
        <w:ind w:firstLine="420" w:firstLineChars="200"/>
        <w:jc w:val="both"/>
        <w:textAlignment w:val="auto"/>
        <w:rPr>
          <w:rFonts w:hint="eastAsia" w:ascii="宋体" w:hAnsi="宋体" w:eastAsia="宋体" w:cs="宋体"/>
          <w:color w:val="auto"/>
          <w:kern w:val="2"/>
          <w:sz w:val="21"/>
          <w:szCs w:val="21"/>
          <w:highlight w:val="none"/>
          <w:lang w:val="en-US" w:eastAsia="zh-CN" w:bidi="ar-SA"/>
        </w:rPr>
      </w:pPr>
      <w:bookmarkStart w:id="146" w:name="_Toc491697683"/>
      <w:bookmarkStart w:id="147" w:name="_Toc491697733"/>
      <w:bookmarkStart w:id="148" w:name="_Toc490222529"/>
      <w:r>
        <w:rPr>
          <w:rFonts w:hint="eastAsia" w:ascii="宋体" w:hAnsi="宋体" w:eastAsia="宋体" w:cs="宋体"/>
          <w:color w:val="auto"/>
          <w:kern w:val="2"/>
          <w:sz w:val="21"/>
          <w:szCs w:val="21"/>
          <w:highlight w:val="none"/>
          <w:lang w:val="en-US" w:eastAsia="zh-CN" w:bidi="ar-SA"/>
        </w:rPr>
        <w:t>26.5安全生产措施费支付的支付条件：</w:t>
      </w:r>
    </w:p>
    <w:p>
      <w:pPr>
        <w:keepNext w:val="0"/>
        <w:keepLines w:val="0"/>
        <w:pageBreakBefore w:val="0"/>
        <w:widowControl w:val="0"/>
        <w:kinsoku/>
        <w:overflowPunct/>
        <w:autoSpaceDE/>
        <w:autoSpaceDN/>
        <w:bidi w:val="0"/>
        <w:snapToGrid w:val="0"/>
        <w:spacing w:line="420" w:lineRule="exact"/>
        <w:ind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安全生产措施费按在工程投标最高报价中的安全生产措施费用计取，专款专用，并从本施工合同价款中提取（安全生产措施费已包含在本工程中标价即施工合同价中）。该费用根据《关于加强安全文明施工管理及措施费支付管理的通知》（穗开建管〔2015〕7号）及“穗建筑【2008】967号”及“穗建筑【2018】981号”文规定，分阶段支付安全生产措施费：</w:t>
      </w:r>
    </w:p>
    <w:p>
      <w:pPr>
        <w:keepNext w:val="0"/>
        <w:keepLines w:val="0"/>
        <w:pageBreakBefore w:val="0"/>
        <w:widowControl w:val="0"/>
        <w:suppressLineNumbers w:val="0"/>
        <w:kinsoku/>
        <w:overflowPunct/>
        <w:autoSpaceDE/>
        <w:autoSpaceDN/>
        <w:bidi w:val="0"/>
        <w:spacing w:before="0" w:beforeAutospacing="0" w:after="0" w:afterAutospacing="0" w:line="420" w:lineRule="exact"/>
        <w:ind w:left="0" w:right="0"/>
        <w:jc w:val="both"/>
        <w:textAlignment w:val="auto"/>
        <w:rPr>
          <w:rFonts w:hint="eastAsia" w:ascii="宋体" w:hAnsi="宋体" w:eastAsia="宋体" w:cs="宋体"/>
          <w:color w:val="auto"/>
          <w:sz w:val="22"/>
          <w:szCs w:val="28"/>
          <w:highlight w:val="none"/>
          <w:lang w:val="en-US"/>
        </w:rPr>
      </w:pPr>
      <w:r>
        <w:rPr>
          <w:rFonts w:hint="eastAsia" w:ascii="宋体" w:hAnsi="宋体" w:eastAsia="宋体" w:cs="宋体"/>
          <w:color w:val="auto"/>
          <w:kern w:val="2"/>
          <w:sz w:val="22"/>
          <w:szCs w:val="28"/>
          <w:highlight w:val="none"/>
          <w:lang w:val="en-US" w:eastAsia="zh-CN" w:bidi="ar"/>
        </w:rPr>
        <w:t xml:space="preserve">    1、施工单位进场完成工地围墙、大门、临时设施、洗车槽、水枪、场内道路硬化、绿化、钢筋堆放点及加工场、垃圾收集点等部位的建设或布置后，由建设业主、代建单位（如有）、监理单位根据《广州市建设工程文明施工管理规定》、《广州市建设工程文明施工标准》等有关规定，对施工现场进行现场验收并拍照留存，《建设工程项目安全生产及文明施工检查记录表》评为合格或以上且财政拨款到位后，支付绿色施工安全防护措施费的50%。</w:t>
      </w:r>
    </w:p>
    <w:p>
      <w:pPr>
        <w:keepNext w:val="0"/>
        <w:keepLines w:val="0"/>
        <w:pageBreakBefore w:val="0"/>
        <w:widowControl w:val="0"/>
        <w:suppressLineNumbers w:val="0"/>
        <w:kinsoku/>
        <w:overflowPunct/>
        <w:autoSpaceDE/>
        <w:autoSpaceDN/>
        <w:bidi w:val="0"/>
        <w:spacing w:before="0" w:beforeAutospacing="0" w:after="0" w:afterAutospacing="0" w:line="420" w:lineRule="exact"/>
        <w:ind w:left="0" w:right="0"/>
        <w:jc w:val="both"/>
        <w:textAlignment w:val="auto"/>
        <w:rPr>
          <w:rFonts w:hint="eastAsia" w:ascii="宋体" w:hAnsi="宋体" w:eastAsia="宋体" w:cs="宋体"/>
          <w:color w:val="auto"/>
          <w:sz w:val="22"/>
          <w:szCs w:val="28"/>
          <w:highlight w:val="none"/>
          <w:lang w:val="en-US"/>
        </w:rPr>
      </w:pPr>
      <w:r>
        <w:rPr>
          <w:rFonts w:hint="eastAsia" w:ascii="宋体" w:hAnsi="宋体" w:eastAsia="宋体" w:cs="宋体"/>
          <w:color w:val="auto"/>
          <w:kern w:val="2"/>
          <w:sz w:val="22"/>
          <w:szCs w:val="28"/>
          <w:highlight w:val="none"/>
          <w:lang w:val="en-US" w:eastAsia="zh-CN" w:bidi="ar"/>
        </w:rPr>
        <w:t xml:space="preserve">    2、房建工程完成主体结构封顶、市政工程完成路基工作、其它工程完成合同约定工程量的60%后，再次按上述要求进行现场验收并拍照留存，《建筑工程安全中间检查评价表》或者《建设工程项目安全生产及文明施工检查记录表》评为合格或以上且财政拨款到位后，再支付绿色施工安全防护措施费的40%。</w:t>
      </w:r>
    </w:p>
    <w:p>
      <w:pPr>
        <w:keepNext w:val="0"/>
        <w:keepLines w:val="0"/>
        <w:pageBreakBefore w:val="0"/>
        <w:widowControl w:val="0"/>
        <w:suppressLineNumbers w:val="0"/>
        <w:kinsoku/>
        <w:overflowPunct/>
        <w:autoSpaceDE/>
        <w:autoSpaceDN/>
        <w:bidi w:val="0"/>
        <w:spacing w:before="0" w:beforeAutospacing="0" w:after="0" w:afterAutospacing="0" w:line="420" w:lineRule="exact"/>
        <w:ind w:left="0" w:right="0"/>
        <w:jc w:val="both"/>
        <w:textAlignment w:val="auto"/>
        <w:rPr>
          <w:rFonts w:hint="eastAsia" w:ascii="宋体" w:hAnsi="宋体" w:eastAsia="宋体" w:cs="宋体"/>
          <w:color w:val="auto"/>
          <w:sz w:val="22"/>
          <w:szCs w:val="28"/>
          <w:highlight w:val="none"/>
          <w:lang w:val="en-US"/>
        </w:rPr>
      </w:pPr>
      <w:r>
        <w:rPr>
          <w:rFonts w:hint="eastAsia" w:ascii="宋体" w:hAnsi="宋体" w:eastAsia="宋体" w:cs="宋体"/>
          <w:color w:val="auto"/>
          <w:kern w:val="2"/>
          <w:sz w:val="22"/>
          <w:szCs w:val="28"/>
          <w:highlight w:val="none"/>
          <w:lang w:val="en-US" w:eastAsia="zh-CN" w:bidi="ar"/>
        </w:rPr>
        <w:t xml:space="preserve">    3、工程完工，《建设工程施工安全评价书》评为合格或以上后，再支付相应</w:t>
      </w:r>
      <w:r>
        <w:rPr>
          <w:rFonts w:hint="eastAsia" w:ascii="宋体" w:hAnsi="宋体" w:eastAsia="宋体" w:cs="宋体"/>
          <w:color w:val="auto"/>
          <w:sz w:val="21"/>
          <w:szCs w:val="21"/>
          <w:highlight w:val="none"/>
        </w:rPr>
        <w:t>安全生产措施费</w:t>
      </w:r>
      <w:r>
        <w:rPr>
          <w:rFonts w:hint="eastAsia" w:ascii="宋体" w:hAnsi="宋体" w:eastAsia="宋体" w:cs="宋体"/>
          <w:color w:val="auto"/>
          <w:kern w:val="2"/>
          <w:sz w:val="22"/>
          <w:szCs w:val="28"/>
          <w:highlight w:val="none"/>
          <w:lang w:val="en-US" w:eastAsia="zh-CN" w:bidi="ar"/>
        </w:rPr>
        <w:t>的10%。</w:t>
      </w:r>
    </w:p>
    <w:p>
      <w:pPr>
        <w:keepNext w:val="0"/>
        <w:keepLines w:val="0"/>
        <w:pageBreakBefore w:val="0"/>
        <w:widowControl w:val="0"/>
        <w:kinsoku/>
        <w:overflowPunct/>
        <w:autoSpaceDE/>
        <w:autoSpaceDN/>
        <w:bidi w:val="0"/>
        <w:spacing w:line="420" w:lineRule="exact"/>
        <w:ind w:firstLine="420" w:firstLineChars="200"/>
        <w:jc w:val="both"/>
        <w:textAlignment w:val="auto"/>
        <w:outlineLvl w:val="1"/>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26.6根据广州市环境保护局《关于开展建筑施工扬尘排污费征收工作的通知》（穗环〔2015〕114号）及广州开发区建设和环境保护局《关于开展建筑施工扬尘排污费征收工作的通知》（穗开环〔2015〕20号）规定，本工程需向环保部门交纳建筑施工扬尘排污费，该费用由环保部门根据《广州市建筑施工扬尘排放量核算办法》和《排污费征收标准及计算方法》核定。根据环保部门开具的《排放污染物与排污费缴纳金额核定表》，超标及落后产能部分由承包人承担，其余部分由发包人承担。缴纳方式如下：由承包人以发包人名义先行垫付资金向环保部门缴纳，并在10个工作日内凭缴费凭证就除超标及落后产能外的费用向发包人提交报销申请，逾期未提出申请视为放弃相关权利。</w:t>
      </w:r>
      <w:bookmarkEnd w:id="146"/>
      <w:bookmarkEnd w:id="147"/>
      <w:bookmarkEnd w:id="148"/>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highlight w:val="none"/>
        </w:rPr>
        <w:t>七、材料设备供应</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27、发包人供应材料设备</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27.4发包人供应的材料设备与一览表不符时，双方约定发包人承担责任如下：</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（1）材料设备单价与一览表不符：</w:t>
      </w:r>
      <w:r>
        <w:rPr>
          <w:rFonts w:hint="eastAsia" w:ascii="宋体" w:hAnsi="宋体" w:eastAsia="宋体" w:cs="宋体"/>
          <w:color w:val="auto"/>
          <w:sz w:val="30"/>
          <w:szCs w:val="24"/>
          <w:highlight w:val="none"/>
        </w:rPr>
        <mc:AlternateContent>
          <mc:Choice Requires="wps">
            <w:drawing>
              <wp:anchor distT="0" distB="0" distL="114300" distR="114300" simplePos="0" relativeHeight="251659264" behindDoc="0" locked="0" layoutInCell="0" allowOverlap="1">
                <wp:simplePos x="0" y="0"/>
                <wp:positionH relativeFrom="column">
                  <wp:posOffset>3556000</wp:posOffset>
                </wp:positionH>
                <wp:positionV relativeFrom="paragraph">
                  <wp:posOffset>0</wp:posOffset>
                </wp:positionV>
                <wp:extent cx="635" cy="0"/>
                <wp:effectExtent l="0" t="0" r="0" b="0"/>
                <wp:wrapNone/>
                <wp:docPr id="35" name="直接连接符 35"/>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80pt;margin-top:0pt;height:0pt;width:0.05pt;z-index:251659264;mso-width-relative:page;mso-height-relative:page;" filled="f" stroked="t" coordsize="21600,21600" o:allowincell="f" o:gfxdata="UEsDBAoAAAAAAIdO4kAAAAAAAAAAAAAAAAAEAAAAZHJzL1BLAwQUAAAACACHTuJAfOXkENMAAAAF&#10;AQAADwAAAGRycy9kb3ducmV2LnhtbE2PTU/DMAyG70j8h8hIXCaWdBMTKk13AHrjsrFpV68xbUXj&#10;dE32Ab8e7wQXS49e6/XjYnnxvTrRGLvAFrKpAUVcB9dxY2HzUT08gYoJ2WEfmCx8U4RleXtTYO7C&#10;mVd0WqdGSQnHHC20KQ251rFuyWOchoFYss8wekyCY6PdiGcp972eGbPQHjuWCy0O9NJS/bU+egux&#10;2tKh+pnUE7ObN4Fmh9f3N7T2/i4zz6ASXdLfMlz1RR1KcdqHI7uoeguPCyO/JAsyJRbMQO2vqMtC&#10;/7cvfwFQSwMEFAAAAAgAh07iQL1I9QrxAQAA4gMAAA4AAABkcnMvZTJvRG9jLnhtbK1TvY4TMRDu&#10;kXgHyz3ZJOhOsMrmigtHgyAS8AAT27tryX/yONnkJXgBJDqoKOl5G+4eg7E3l4OjScEW3vHM+Jv5&#10;Po8XV3tr2E5F1N41fDaZcqac8FK7ruEfP9w8e8EZJnASjHeq4QeF/Gr59MliCLWa+94bqSIjEIf1&#10;EBrepxTqqkLRKws48UE5CrY+Wki0jV0lIwyEbk01n04vq8FHGaIXCpG8qzHIj4jxHEDftlqolRdb&#10;q1waUaMykIgS9jogX5Zu21aJ9K5tUSVmGk5MU1mpCNmbvFbLBdRdhNBrcWwBzmnhEScL2lHRE9QK&#10;ErBt1P9AWS2iR9+mifC2GokURYjFbPpIm/c9BFW4kNQYTqLj/4MVb3fryLRs+PMLzhxYuvHbzz9+&#10;ffp69/MLrbffvzGKkExDwJqyr906HncY1jFz3rfR5j+xYfsi7eEkrdonJsh5meHFvb96OBQiptfK&#10;W5aNhhvtMmOoYfcGExWi1PuU7DaODQ1/eTHPcEDj19K1k2kDUUDXlbPojZY32ph8AmO3uTaR7SCP&#10;QPkyHcL9Ky0XWQH2Y14JjcPRK5CvnGTpEEgbR2+C5xaskpwZRU8oWwQIdQJtzsmk0sZRB1nRUcNs&#10;bbw80FVsQ9RdT0rMSpc5Qldf+j2OaZ6tP/cF6eFpLn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fOXkENMAAAAFAQAADwAAAAAAAAABACAAAAAiAAAAZHJzL2Rvd25yZXYueG1sUEsBAhQAFAAAAAgA&#10;h07iQL1I9QrxAQAA4gMAAA4AAAAAAAAAAQAgAAAAIgEAAGRycy9lMm9Eb2MueG1sUEsFBgAAAAAG&#10;AAYAWQEAAIUFAAAAAA==&#10;">
                <v:fill on="f" focussize="0,0"/>
                <v:stroke color="#000000" joinstyle="round"/>
                <v:imagedata o:title=""/>
                <o:lock v:ext="edit" aspectratio="f"/>
              </v:line>
            </w:pict>
          </mc:Fallback>
        </mc:AlternateConten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（2）材料设备的品种、规格、型号、质量等级与一览表不符：</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（3）承包人可代为调剂串换的材料：</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（4）到货地点与一览表不符：</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（5）供应数量与一览表不符：</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pPr>
        <w:keepNext w:val="0"/>
        <w:keepLines w:val="0"/>
        <w:pageBreakBefore w:val="0"/>
        <w:widowControl w:val="0"/>
        <w:tabs>
          <w:tab w:val="left" w:pos="700"/>
        </w:tabs>
        <w:kinsoku/>
        <w:overflowPunct/>
        <w:autoSpaceDE/>
        <w:autoSpaceDN/>
        <w:bidi w:val="0"/>
        <w:snapToGrid w:val="0"/>
        <w:spacing w:line="420" w:lineRule="exact"/>
        <w:ind w:firstLine="397"/>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（6）到货时间与一览表不符；</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pPr>
        <w:keepNext w:val="0"/>
        <w:keepLines w:val="0"/>
        <w:pageBreakBefore w:val="0"/>
        <w:widowControl w:val="0"/>
        <w:tabs>
          <w:tab w:val="left" w:pos="700"/>
        </w:tabs>
        <w:kinsoku/>
        <w:overflowPunct/>
        <w:autoSpaceDE/>
        <w:autoSpaceDN/>
        <w:bidi w:val="0"/>
        <w:snapToGrid w:val="0"/>
        <w:spacing w:line="420" w:lineRule="exact"/>
        <w:ind w:firstLine="397"/>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27.6发包人供应材料设备的结算方法：</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highlight w:val="none"/>
        </w:rPr>
        <w:t>28、承包人采购材料设备</w:t>
      </w:r>
    </w:p>
    <w:p>
      <w:pPr>
        <w:keepNext w:val="0"/>
        <w:keepLines w:val="0"/>
        <w:pageBreakBefore w:val="0"/>
        <w:widowControl w:val="0"/>
        <w:kinsoku/>
        <w:overflowPunct/>
        <w:autoSpaceDE/>
        <w:autoSpaceDN/>
        <w:bidi w:val="0"/>
        <w:spacing w:line="420" w:lineRule="exact"/>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28.1承包人采购材料设备的约定：</w:t>
      </w:r>
      <w:r>
        <w:rPr>
          <w:rFonts w:hint="eastAsia" w:ascii="宋体" w:hAnsi="宋体" w:eastAsia="宋体" w:cs="宋体"/>
          <w:color w:val="auto"/>
          <w:sz w:val="21"/>
          <w:szCs w:val="21"/>
          <w:highlight w:val="none"/>
          <w:u w:val="single"/>
        </w:rPr>
        <w:t>由承包人负责采购材料设备的，按招标文件规定和本合同专用条款第47.28条约定、工程设计的有关标准并以符合相关行政主管部门颁发的环保标准或要求进行采购，对材料设备质量负责。承包人应将各项材料设备的供货人及品种、规格、数量和供货时间等报送监理人审批，并向监理人提交其负责提供材料设备的合格证明和质量证明文件，满足合同约定的质量标准，承包人在材料设备到货前24小时通知工程师清点。</w:t>
      </w:r>
    </w:p>
    <w:p>
      <w:pPr>
        <w:keepNext w:val="0"/>
        <w:keepLines w:val="0"/>
        <w:pageBreakBefore w:val="0"/>
        <w:widowControl w:val="0"/>
        <w:kinsoku/>
        <w:overflowPunct/>
        <w:autoSpaceDE/>
        <w:autoSpaceDN/>
        <w:bidi w:val="0"/>
        <w:spacing w:line="420" w:lineRule="exact"/>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28.2对承包人提供的材料和设备，承包人应会同监理人、发包人进行检验和交货验收，查验材料合格证明和产品合格证书，并按合同约定和监理人或发包人的指示，进行材料的抽样检验和工程设备的检验检测，检验检测结果提交监理人。不合格的不得使用，检验或试验费用由承包人承担。</w:t>
      </w:r>
    </w:p>
    <w:p>
      <w:pPr>
        <w:keepNext w:val="0"/>
        <w:keepLines w:val="0"/>
        <w:pageBreakBefore w:val="0"/>
        <w:widowControl w:val="0"/>
        <w:kinsoku/>
        <w:overflowPunct/>
        <w:autoSpaceDE/>
        <w:autoSpaceDN/>
        <w:bidi w:val="0"/>
        <w:spacing w:line="420" w:lineRule="exact"/>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28.3所有材料、设备报价必须报监理、业主同意后方可使用。</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highlight w:val="none"/>
        </w:rPr>
        <w:t>八、工程变更</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29、工程设计变更</w:t>
      </w:r>
    </w:p>
    <w:p>
      <w:pPr>
        <w:keepNext w:val="0"/>
        <w:keepLines w:val="0"/>
        <w:pageBreakBefore w:val="0"/>
        <w:widowControl w:val="0"/>
        <w:kinsoku/>
        <w:overflowPunct/>
        <w:autoSpaceDE/>
        <w:autoSpaceDN/>
        <w:bidi w:val="0"/>
        <w:snapToGrid w:val="0"/>
        <w:spacing w:line="420" w:lineRule="exact"/>
        <w:ind w:firstLine="397"/>
        <w:jc w:val="both"/>
        <w:textAlignment w:val="auto"/>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29.4</w:t>
      </w:r>
      <w:r>
        <w:rPr>
          <w:rFonts w:hint="eastAsia" w:ascii="宋体" w:hAnsi="宋体" w:eastAsia="宋体" w:cs="宋体"/>
          <w:color w:val="auto"/>
          <w:kern w:val="2"/>
          <w:sz w:val="21"/>
          <w:szCs w:val="21"/>
          <w:highlight w:val="none"/>
          <w:u w:val="single"/>
          <w:lang w:val="en-US" w:eastAsia="zh-CN" w:bidi="ar-SA"/>
        </w:rPr>
        <w:t>开工前，发包人组织承包人、监理单位、设计单位对施工图纸进行会审。否则工程实施过程中每实施一项变更签证，承包人须按该变更签证工程价款的3%向发包人支付违约金，引起的工期延误不予顺延。</w:t>
      </w:r>
    </w:p>
    <w:p>
      <w:pPr>
        <w:keepNext w:val="0"/>
        <w:keepLines w:val="0"/>
        <w:pageBreakBefore w:val="0"/>
        <w:widowControl w:val="0"/>
        <w:kinsoku/>
        <w:overflowPunct/>
        <w:autoSpaceDE/>
        <w:autoSpaceDN/>
        <w:bidi w:val="0"/>
        <w:snapToGrid w:val="0"/>
        <w:spacing w:line="420" w:lineRule="exact"/>
        <w:ind w:firstLine="397"/>
        <w:jc w:val="both"/>
        <w:textAlignment w:val="auto"/>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u w:val="single"/>
          <w:lang w:val="en-US" w:eastAsia="zh-CN" w:bidi="ar-SA"/>
        </w:rPr>
        <w:t>同时，如实施工程变更，承包人应以书面形式通知发包人和监理工程师，经监理工程师审查并报发包人同意后，由发包人与设计单位商定修改或变更设计方案进行实施。</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29.5</w:t>
      </w:r>
      <w:r>
        <w:rPr>
          <w:rFonts w:hint="eastAsia" w:ascii="宋体" w:hAnsi="宋体" w:eastAsia="宋体" w:cs="宋体"/>
          <w:color w:val="auto"/>
          <w:szCs w:val="21"/>
          <w:highlight w:val="none"/>
          <w:u w:val="single"/>
        </w:rPr>
        <w:t>变更应由监理工程师发出变更指令，没有监理工程师的指令，承包人不得进行上述变更</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29.6</w:t>
      </w:r>
      <w:r>
        <w:rPr>
          <w:rFonts w:hint="eastAsia" w:ascii="宋体" w:hAnsi="宋体" w:eastAsia="宋体" w:cs="宋体"/>
          <w:color w:val="auto"/>
          <w:szCs w:val="21"/>
          <w:highlight w:val="none"/>
          <w:u w:val="single"/>
        </w:rPr>
        <w:t>按施工图纸实施使得工程量少于施工合同工程量清单中已确定或有规定的数量的，则该项工程量减少不需要任何指令</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29.7</w:t>
      </w:r>
      <w:r>
        <w:rPr>
          <w:rFonts w:hint="eastAsia" w:ascii="宋体" w:hAnsi="宋体" w:eastAsia="宋体" w:cs="宋体"/>
          <w:color w:val="auto"/>
          <w:szCs w:val="21"/>
          <w:highlight w:val="none"/>
          <w:u w:val="single"/>
        </w:rPr>
        <w:t>所有涉及工期和工程量的变更均应获得发包人书面批准才能生效</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29.8</w:t>
      </w:r>
      <w:r>
        <w:rPr>
          <w:rFonts w:hint="eastAsia" w:ascii="宋体" w:hAnsi="宋体" w:eastAsia="宋体" w:cs="宋体"/>
          <w:color w:val="auto"/>
          <w:szCs w:val="21"/>
          <w:highlight w:val="none"/>
          <w:u w:val="single"/>
        </w:rPr>
        <w:t>当发包人提出变更通知，承包人认为产生了增加费用，承包人应在发包人提出通知要求后3-7天（时间视变更大小而定）内向发包人提交增加费用报告，报告内应说明变更原因、增加费用金额、增加费用计算书，若承包人不在规定的时间内提供增加费用报告，该类变更所涉及的增加费用视为包括在合同价款中。发包人提出变更通知的时间是指承包人收取变更通知时进行登记交接的时间</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29.9</w:t>
      </w:r>
      <w:r>
        <w:rPr>
          <w:rFonts w:hint="eastAsia" w:ascii="宋体" w:hAnsi="宋体" w:eastAsia="宋体" w:cs="宋体"/>
          <w:color w:val="auto"/>
          <w:szCs w:val="21"/>
          <w:highlight w:val="none"/>
          <w:u w:val="single"/>
        </w:rPr>
        <w:t>工程变更申报程序按广州开发区、黄埔区以及建设业主的有关规定执行</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29.10</w:t>
      </w:r>
      <w:r>
        <w:rPr>
          <w:rFonts w:hint="eastAsia" w:ascii="宋体" w:hAnsi="宋体" w:eastAsia="宋体" w:cs="宋体"/>
          <w:color w:val="auto"/>
          <w:szCs w:val="21"/>
          <w:highlight w:val="none"/>
          <w:u w:val="single"/>
        </w:rPr>
        <w:t>工程实施过程中发包人有权对承包内容和范围进行调整，如实际工程量相对施工图纸及施工合同工程量发生变化，承包人不得有任何异议，且承包人不得以任何理由要求发包人补偿任何费用（承包人要充分考虑最不利因素影响）。涉及本合同约定的合同价款调整的，按相关约定处理</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highlight w:val="none"/>
        </w:rPr>
        <w:t>30、其它变更</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30.1工程现场签证：</w:t>
      </w:r>
      <w:r>
        <w:rPr>
          <w:rFonts w:hint="eastAsia" w:ascii="宋体" w:hAnsi="宋体" w:eastAsia="宋体" w:cs="宋体"/>
          <w:color w:val="auto"/>
          <w:szCs w:val="21"/>
          <w:highlight w:val="none"/>
          <w:u w:val="single"/>
        </w:rPr>
        <w:t>工程现场签证是指施工生产活动中用以证实在施工中遇到的某些特殊情况的一种书</w:t>
      </w:r>
      <w:r>
        <w:rPr>
          <w:rFonts w:hint="eastAsia" w:ascii="宋体" w:hAnsi="宋体" w:eastAsia="宋体" w:cs="宋体"/>
          <w:color w:val="auto"/>
          <w:szCs w:val="21"/>
          <w:highlight w:val="none"/>
          <w:u w:val="single"/>
          <w:lang w:eastAsia="zh-CN"/>
        </w:rPr>
        <w:t>面</w:t>
      </w:r>
      <w:r>
        <w:rPr>
          <w:rFonts w:hint="eastAsia" w:ascii="宋体" w:hAnsi="宋体" w:eastAsia="宋体" w:cs="宋体"/>
          <w:color w:val="auto"/>
          <w:szCs w:val="21"/>
          <w:highlight w:val="none"/>
          <w:u w:val="single"/>
        </w:rPr>
        <w:t>证明资料，一般指按承发包合同约定，由承发包双方代表就施工过程中涉及合同价款之外的责任事件所作的签认证明</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承包人需对施工图纸进行会审，如需对工程量清单错漏进行确认，承包人需在前四分之一工期阶段内且最长不得超过中标通知书发出之日起6个月内向发包人提出，并按《广州开发区财政投资建设项目管理中心工程量清单错漏申报管理办法（2021年）》（穗开建管〔2021〕78号）办理申报手续，同时需配合发包人的复核工作，双方对复核结果盖章签名后方可作为最终结算依据；如因特殊原因，承包人无法在规定时间内申报的，经发包人同意后方可申报。承包人未按上述规定进行申报的，发包人对应申报而未办理申报手续的漏量漏项不予确认。</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30.2签证的计价：</w:t>
      </w:r>
      <w:r>
        <w:rPr>
          <w:rFonts w:hint="eastAsia" w:ascii="宋体" w:hAnsi="宋体" w:eastAsia="宋体" w:cs="宋体"/>
          <w:color w:val="auto"/>
          <w:szCs w:val="21"/>
          <w:highlight w:val="none"/>
          <w:u w:val="single"/>
        </w:rPr>
        <w:t>按招标文件及合同中关于工程变更的计价有关规定执行</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30.3签证实施前所需的施工方案：</w:t>
      </w:r>
      <w:r>
        <w:rPr>
          <w:rFonts w:hint="eastAsia" w:ascii="宋体" w:hAnsi="宋体" w:eastAsia="宋体" w:cs="宋体"/>
          <w:color w:val="auto"/>
          <w:szCs w:val="21"/>
          <w:highlight w:val="none"/>
          <w:u w:val="single"/>
        </w:rPr>
        <w:t>若签证事件发生时，需使用没有被监理工程师批准过的施工方案，则必须将该施工方案提前报监理工程师和发包人批准，经批准后才能实施，否则发包人将按最经济的施工方案对该签证进行计价</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30.4</w:t>
      </w:r>
      <w:r>
        <w:rPr>
          <w:rFonts w:hint="eastAsia" w:ascii="宋体" w:hAnsi="宋体" w:eastAsia="宋体" w:cs="宋体"/>
          <w:color w:val="auto"/>
          <w:szCs w:val="21"/>
          <w:highlight w:val="none"/>
          <w:u w:val="single"/>
        </w:rPr>
        <w:t>工程现场签证申报程序按广州开发区、黄埔区以及建设业主的有关规定执行</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highlight w:val="none"/>
        </w:rPr>
        <w:t>31、确定变更价款</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31.1</w:t>
      </w:r>
      <w:r>
        <w:rPr>
          <w:rFonts w:hint="eastAsia" w:ascii="宋体" w:hAnsi="宋体" w:eastAsia="宋体" w:cs="宋体"/>
          <w:color w:val="auto"/>
          <w:szCs w:val="21"/>
          <w:highlight w:val="none"/>
          <w:u w:val="single"/>
        </w:rPr>
        <w:t>承包人在工程变更确定后14天内，提出变更工程价款的报告，经工程师确认后调整合同价款。变更合同价款确定原则按本合同相关约定执行</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31.3</w:t>
      </w:r>
      <w:r>
        <w:rPr>
          <w:rFonts w:hint="eastAsia" w:ascii="宋体" w:hAnsi="宋体" w:eastAsia="宋体" w:cs="宋体"/>
          <w:color w:val="auto"/>
          <w:szCs w:val="21"/>
          <w:highlight w:val="none"/>
          <w:u w:val="single"/>
        </w:rPr>
        <w:t>所有变更工程价款的报告必须按规定程序报发包人审核确认</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31.5</w:t>
      </w:r>
      <w:r>
        <w:rPr>
          <w:rFonts w:hint="eastAsia" w:ascii="宋体" w:hAnsi="宋体" w:eastAsia="宋体" w:cs="宋体"/>
          <w:color w:val="auto"/>
          <w:szCs w:val="21"/>
          <w:highlight w:val="none"/>
          <w:u w:val="single"/>
        </w:rPr>
        <w:t>工程变更价款的支付按本合同相关约定支付</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31.7</w:t>
      </w:r>
      <w:r>
        <w:rPr>
          <w:rFonts w:hint="eastAsia" w:ascii="宋体" w:hAnsi="宋体" w:eastAsia="宋体" w:cs="宋体"/>
          <w:color w:val="auto"/>
          <w:szCs w:val="21"/>
          <w:highlight w:val="none"/>
          <w:u w:val="single"/>
        </w:rPr>
        <w:t>发生上述规定的变更后，承包人在收到发包人变更通知的7天内按合同文件规定的计价方式内容编出变更工程建议送交监理单位</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31.8</w:t>
      </w:r>
      <w:r>
        <w:rPr>
          <w:rFonts w:hint="eastAsia" w:ascii="宋体" w:hAnsi="宋体" w:eastAsia="宋体" w:cs="宋体"/>
          <w:color w:val="auto"/>
          <w:szCs w:val="21"/>
          <w:highlight w:val="none"/>
          <w:u w:val="single"/>
        </w:rPr>
        <w:t>在工程变更价款计算时，承包人应按招标文件相关规定编制变更工程的预算，提供变更依据及详细的计算资料，报监理单位和发包人批准</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31.9</w:t>
      </w:r>
      <w:r>
        <w:rPr>
          <w:rFonts w:hint="eastAsia" w:ascii="宋体" w:hAnsi="宋体" w:eastAsia="宋体" w:cs="宋体"/>
          <w:color w:val="auto"/>
          <w:szCs w:val="21"/>
          <w:highlight w:val="none"/>
          <w:u w:val="single"/>
        </w:rPr>
        <w:t>工程变更、签证申报程序按广州开发区、黄埔区以及建设业主的有关规定执行</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highlight w:val="none"/>
        </w:rPr>
        <w:t>九、合同工程完工验收与结算</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32、合同工程完工验收</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32.1承包人提供竣工图纸的约定：</w:t>
      </w:r>
      <w:r>
        <w:rPr>
          <w:rFonts w:hint="eastAsia" w:ascii="宋体" w:hAnsi="宋体" w:eastAsia="宋体" w:cs="宋体"/>
          <w:color w:val="auto"/>
          <w:szCs w:val="21"/>
          <w:highlight w:val="none"/>
          <w:u w:val="single"/>
        </w:rPr>
        <w:t>承包人合同工程完工验收资料必须按照国家及广州市、开发区有关工程竣工资料档案管理的要求进行整理归档。承包人在合同工程完工验收合格后四十五个日历天内，向建设单位提供符合要求按规格编制成册的工程竣工图及有关的技术档案资料一式伍份</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32.6中间交工工程的范围和竣工时间：</w:t>
      </w:r>
      <w:r>
        <w:rPr>
          <w:rFonts w:hint="eastAsia" w:ascii="宋体" w:hAnsi="宋体" w:eastAsia="宋体" w:cs="宋体"/>
          <w:color w:val="auto"/>
          <w:szCs w:val="21"/>
          <w:highlight w:val="none"/>
          <w:u w:val="single"/>
        </w:rPr>
        <w:t xml:space="preserve">   /   </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highlight w:val="none"/>
        </w:rPr>
        <w:t>33、合同工程完工结算</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（1）承发包双方一致同意不适用</w:t>
      </w:r>
      <w:r>
        <w:rPr>
          <w:rFonts w:hint="eastAsia" w:ascii="宋体" w:hAnsi="宋体" w:eastAsia="宋体" w:cs="宋体"/>
          <w:color w:val="auto"/>
          <w:szCs w:val="21"/>
          <w:highlight w:val="none"/>
          <w:u w:val="single"/>
        </w:rPr>
        <w:t>通用条款33.2款、33.3款、33.4款</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（2）合同工程完工结算办法：</w:t>
      </w:r>
      <w:r>
        <w:rPr>
          <w:rFonts w:hint="eastAsia" w:ascii="宋体" w:hAnsi="宋体" w:eastAsia="宋体" w:cs="宋体"/>
          <w:color w:val="auto"/>
          <w:szCs w:val="21"/>
          <w:highlight w:val="none"/>
          <w:u w:val="single"/>
        </w:rPr>
        <w:t>所有工程量（含暂定工程量的结算）的结算均以广州开发区财政局审定的金额为准。合同工程完工验收后，承包人编制本工程的结算书送监理单位审核，经监理单位审核后送发包人复审，按规定送广州开发区财政局审核，并以区财政局审定本工程的结算为准</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szCs w:val="21"/>
          <w:highlight w:val="none"/>
        </w:rPr>
        <w:t>（3）合同工程完工结算提交时间：承包人须按</w:t>
      </w:r>
      <w:r>
        <w:rPr>
          <w:rFonts w:hint="eastAsia" w:ascii="宋体" w:hAnsi="宋体" w:eastAsia="宋体" w:cs="宋体"/>
          <w:color w:val="auto"/>
          <w:szCs w:val="21"/>
          <w:highlight w:val="none"/>
          <w:u w:val="single"/>
        </w:rPr>
        <w:t>《广州开发区财政投资建设项目管理中心施工类合同结算编审指引（试行）》及区有关规定编制及办理建设项目工程结算</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pacing w:line="42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kern w:val="2"/>
          <w:sz w:val="21"/>
          <w:highlight w:val="none"/>
          <w:lang w:val="en-US" w:eastAsia="zh-CN" w:bidi="ar-SA"/>
        </w:rPr>
        <w:t xml:space="preserve">    </w:t>
      </w:r>
      <w:r>
        <w:rPr>
          <w:rFonts w:hint="eastAsia" w:ascii="宋体" w:hAnsi="宋体" w:eastAsia="宋体" w:cs="宋体"/>
          <w:color w:val="auto"/>
          <w:kern w:val="2"/>
          <w:sz w:val="21"/>
          <w:szCs w:val="21"/>
          <w:highlight w:val="none"/>
          <w:lang w:val="en-US" w:eastAsia="zh-CN" w:bidi="ar-SA"/>
        </w:rPr>
        <w:t>承包人未按前款规定的期限和内容编制及办理建设项目工程结算（非承包人原因无法办理工程结算的情况除外），经发包人或代建单位或监理人书面通知之日起2个月内（最长期限不得超过6个月）仍未提交编制及办理建设项目工程结算的相关文件的，监理人和发包人有权根据发包人已有资料进行审核，并报区财政局审定，区财政局审定的合同工程完工结算合同总价视同是经承包人认可的合同工程完工结算合同总价。</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highlight w:val="none"/>
        </w:rPr>
        <w:t>十、违约、索赔和争议</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35、违约</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35.1本合同中关于发包人违约的具体责任如下：</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本合同通用条款第35.1条约定发包人违约应承担的责任：</w:t>
      </w:r>
      <w:r>
        <w:rPr>
          <w:rFonts w:hint="eastAsia" w:ascii="宋体" w:hAnsi="宋体" w:eastAsia="宋体" w:cs="宋体"/>
          <w:color w:val="auto"/>
          <w:szCs w:val="21"/>
          <w:highlight w:val="none"/>
          <w:u w:val="single"/>
        </w:rPr>
        <w:t>顺延工期，但不作费用赔偿</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双方约定的发包人其他违约责任：</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35.2本合同中关于承包人违约的具体责任如下：</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35.2.1工期延误的违约责任：</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u w:val="single"/>
        </w:rPr>
        <w:t>承包人未按发包人或监理单位开工令要求时间开工的，每迟延开工1天，应向发包人支付违约金5000元；迟延开工超过20天的，发包人有权根据实际情况单方面解除合同</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u w:val="single"/>
        </w:rPr>
        <w:t>因承包人的原因造成工期延误，其中属节点工期延误，从延误的第一天起，每天支付违约金5000元，如在下一个节点赶回工期，可免除上述违约金。属总工期延误，从总工期延误的第一天起，每天支付违约金20000元。延误工期超过20天的，发包人可视情况终止合同。</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u w:val="single"/>
        </w:rPr>
        <w:t>承包人必须按期完成主要工序的施工任务，若属承包人原因逾期达10天未完成主要节点的施工任务时，除按第（2）项约定承担违约责任外，发包人可要求撤换项目负责人，承包人应予以执行，并在总工期不调整的前提下自行消化节点工期的延误。逾期20天未完成主要节点的施工任务时，属承包人进度严重违约行为，发包人可单方面终止合同，将承包人作不良纪录报区建设行政主管部门备案。并由承包人承担相应的进度严重违约责任</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u w:val="single"/>
        </w:rPr>
        <w:t>承包人承担的进度严重违约责任为：如果承包人出现进度严重违约事件，则须无条件接受发包人终止合同，并在接到终止合同通知书之日起5个日历天内（发包人应予以配合），在监理工程师的监督下退场完毕。退场完毕后由监理工程师出具《退出完结证明书》，并据此进行相关结算。承包人按履约担保金额支付违约金。给发包人造成的损失超过履约担保金额的部分，承包人还应承担赔偿责任</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u w:val="single"/>
        </w:rPr>
        <w:t>工程施工过程中（</w:t>
      </w:r>
      <w:r>
        <w:rPr>
          <w:rFonts w:hint="eastAsia" w:ascii="宋体" w:hAnsi="宋体" w:eastAsia="宋体" w:cs="宋体"/>
          <w:color w:val="auto"/>
          <w:sz w:val="21"/>
          <w:szCs w:val="21"/>
          <w:highlight w:val="none"/>
        </w:rPr>
        <w:t>合同工程完工</w:t>
      </w:r>
      <w:r>
        <w:rPr>
          <w:rFonts w:hint="eastAsia" w:ascii="宋体" w:hAnsi="宋体" w:eastAsia="宋体" w:cs="宋体"/>
          <w:color w:val="auto"/>
          <w:szCs w:val="21"/>
          <w:highlight w:val="none"/>
          <w:u w:val="single"/>
        </w:rPr>
        <w:t>验收前），承包人必须按发包人、监理人的要求及时为专业工程（电信、电力管线、电力走廊、煤气、道路绿化、路灯、交通设施等）提供工作面及为专业工程穿插施工所需各项配合工作给予方便，承包人应在施工方案中充分考虑专业工程穿插施工所需的穿插工作面及工期，由于承包人未能给予专业工程穿插施工，造成总施工工期的延误，施工工期不予顺延，承包人承担由于工期延误所产生的损失。因承包人原因造成其他专业工程工期延误的，从延误其他专业工程工期第一天起，每延误一天，承包人支付5000元违约金</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（6）</w:t>
      </w:r>
      <w:r>
        <w:rPr>
          <w:rFonts w:hint="eastAsia" w:ascii="宋体" w:hAnsi="宋体" w:eastAsia="宋体" w:cs="宋体"/>
          <w:snapToGrid w:val="0"/>
          <w:color w:val="auto"/>
          <w:kern w:val="0"/>
          <w:szCs w:val="21"/>
          <w:highlight w:val="none"/>
          <w:u w:val="single"/>
        </w:rPr>
        <w:t>承包人违反合同专用条款的约定和发包人的规定，逾期完成</w:t>
      </w:r>
      <w:r>
        <w:rPr>
          <w:rFonts w:hint="eastAsia" w:ascii="宋体" w:hAnsi="宋体" w:eastAsia="宋体" w:cs="宋体"/>
          <w:snapToGrid w:val="0"/>
          <w:color w:val="auto"/>
          <w:kern w:val="0"/>
          <w:szCs w:val="21"/>
          <w:highlight w:val="none"/>
          <w:u w:val="single"/>
          <w:lang w:eastAsia="zh-CN"/>
        </w:rPr>
        <w:t>工程</w:t>
      </w:r>
      <w:r>
        <w:rPr>
          <w:rFonts w:hint="eastAsia" w:ascii="宋体" w:hAnsi="宋体" w:eastAsia="宋体" w:cs="宋体"/>
          <w:snapToGrid w:val="0"/>
          <w:color w:val="auto"/>
          <w:kern w:val="0"/>
          <w:szCs w:val="21"/>
          <w:highlight w:val="none"/>
          <w:u w:val="single"/>
        </w:rPr>
        <w:t>档案的整理、移交、送审备案工作的，每逾期1天，承包人支付违约金5000元</w:t>
      </w:r>
      <w:r>
        <w:rPr>
          <w:rFonts w:hint="eastAsia" w:ascii="宋体" w:hAnsi="宋体" w:eastAsia="宋体" w:cs="宋体"/>
          <w:snapToGrid w:val="0"/>
          <w:color w:val="auto"/>
          <w:kern w:val="0"/>
          <w:szCs w:val="21"/>
          <w:highlight w:val="none"/>
        </w:rPr>
        <w:t>。</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35.2.2安全、文明施工要求及违约处理：</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u w:val="single"/>
        </w:rPr>
        <w:t>承包人必须按本合同的约定编制施工组织设计（施工方案、包括安全文明施工措施），经过监理人和发包人审核确认后按其施工，不得随意更改。如果根据实际情况确需修改，则需经工程师及发包人审批同意。如果未经工程师及发包人审批同意而擅自更改施工组织设计（施工方案，包括安全文明施工措施）或不按照施工组织设计（施工方案，包括安全文明施工措施）施工，则发包人将扣减更改部分的造价（该造价按广东省相关综合定额和取费标准计算，不下浮）；同时，每擅自更改一次，承包人需支付10000元人民币违约金给发包人</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u w:val="single"/>
        </w:rPr>
        <w:t>承包人应严格遵守国家、省、市及开发区有关防火、爆破和施工安全以及文明施工、深夜施工、环卫和城市管理等规定，建立规章制度和防护措施，并组织施工。在相关部门的检查中，承包人施工场地被评为不合格工地或被通报批评或者被新闻媒体曝光的，每发生一次，承包人支付10000元违约金，如发包人因此被相关部门处罚的，罚金由承包人承担</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u w:val="single"/>
        </w:rPr>
        <w:t>如果承包人未按招投标文件及本合同要求做好安全、文明施工相关措施，经监理工程师或发包人检查发现的，每发现一次，承包人支付5000元违约金，并按发包人或监理单位要求限期整改，未在限期内完成整改的，每延期一天，承包人支付10000元违约金</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snapToGrid w:val="0"/>
          <w:color w:val="auto"/>
          <w:kern w:val="0"/>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u w:val="single"/>
        </w:rPr>
        <w:t>在施工过程中发生安全事故的，除按照国家、省、市规定进行处理外。若导致人员伤亡的，承包人按下列办法支付违约金：如发生死亡事故，死亡1人，支付20万元；死亡2人，支付40万元；死亡3人或以上，支付80万元。如发生重伤事故，重伤1人，支付10万元；重伤2人，支付20万元；重伤3人或以上，支付40万元。因承包人原因发生一般安全事故，未造成人员伤亡或造成人员轻伤及轻微财产损失的，每发生一次，承包人支付违约金5000元</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pacing w:line="420" w:lineRule="exact"/>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u w:val="single"/>
        </w:rPr>
        <w:t>在本工程余泥渣土清运施工和建筑垃圾排放运输时，承包人必须严格执行《广州市建筑废弃物管理条例（2015年修正本）》、《广州市市容环境卫生管理规定》、《广州市建设工程现场文明施工管理办法》《关于加强施工现场余泥渣土排放管理工作的通知》（穗建筑【2008】60号）等广州市、黄埔区相关管理规定的标准和要求，保证落实“一不准进，三不准出”规定，办齐排放有关证照，雇请有合格准运证车辆和具备资质的运输企业，设立专职人员管理余泥渣土、建筑垃圾的运输工作，并对分包单位依法排放余泥渣土、建筑垃圾进行监管。本工程淤泥需由珠江前航道、黄埔水道、狮子洋、虎门出海水道运至淇澳岛海洋倾倒区的，承包人必须严格执行（《广东省人民政府印发广东省海洋功能区划文本的通知》及粤府（2008）57号）。承包人因违反本款约定所造成的一切责任后果全部由承包人承担。经发包人或相关部门检查发现承包人未执行本款约定的，每发现一次，承包人支付5000元违约金。同时，发包人将根据承包人违反余泥渣土运输管理有关规定而造成的不良后果的严重程度，上报区建设行政主管部门进行处理。</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35.2.3工程质量方面的违约责任：</w:t>
      </w:r>
    </w:p>
    <w:p>
      <w:pPr>
        <w:keepNext w:val="0"/>
        <w:keepLines w:val="0"/>
        <w:pageBreakBefore w:val="0"/>
        <w:widowControl w:val="0"/>
        <w:numPr>
          <w:ilvl w:val="0"/>
          <w:numId w:val="19"/>
        </w:numPr>
        <w:kinsoku/>
        <w:overflowPunct/>
        <w:autoSpaceDE/>
        <w:autoSpaceDN/>
        <w:bidi w:val="0"/>
        <w:snapToGrid w:val="0"/>
        <w:spacing w:line="420" w:lineRule="exact"/>
        <w:ind w:firstLine="397"/>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承包人必须保证用于本合同工程所有的材料设备的品牌、型号、规格、质量等符合本合同及招投标文件的要求，严禁假冒伪劣产品，严禁以次充好，严禁未经发包人批准即以其他产品（包括承包人的产品）顶替本合同及招投标文件中规定的产品。承包人在施工中偷工减料、使用不合格的建筑材料、建筑构配件或设备、不按照工程设计图纸、施工技术标准施工，或者未对建筑材料、建筑构配件、设备、商品混凝土进行检验，或者未对涉及结构安全的试块、试件以及有关材料取样送检的，应负责无偿修理或返工，并应支付合同价款百分之二的违约金给发包人</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pacing w:line="420" w:lineRule="exact"/>
        <w:ind w:firstLine="359" w:firstLineChars="171"/>
        <w:jc w:val="both"/>
        <w:textAlignment w:val="auto"/>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u w:val="single"/>
          <w:lang w:val="en-US" w:eastAsia="zh-CN" w:bidi="ar-SA"/>
        </w:rPr>
        <w:t>（2）承包人在缺陷责任期内，未能对工程接收证书所列的缺陷清单的内容或缺陷责任期内发生的缺陷进行修复，而又拒绝按监理人指示再进行修复，发包人可委托其他单位修复，所需费用由承包人承担，发包人可在工程质量保修金中抵扣，保修金不足抵扣的，由承包人另行支付。</w:t>
      </w:r>
    </w:p>
    <w:p>
      <w:pPr>
        <w:keepNext w:val="0"/>
        <w:keepLines w:val="0"/>
        <w:pageBreakBefore w:val="0"/>
        <w:widowControl w:val="0"/>
        <w:kinsoku/>
        <w:overflowPunct/>
        <w:autoSpaceDE/>
        <w:autoSpaceDN/>
        <w:bidi w:val="0"/>
        <w:snapToGrid w:val="0"/>
        <w:spacing w:line="420" w:lineRule="exact"/>
        <w:ind w:firstLine="420"/>
        <w:jc w:val="both"/>
        <w:textAlignment w:val="auto"/>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u w:val="single"/>
          <w:lang w:val="en-US" w:eastAsia="zh-CN" w:bidi="ar-SA"/>
        </w:rPr>
        <w:t>（3）对施工质量问题存在争议，应请国家认可的第三方机构出具检测报告，检测费用由责任方承担。</w:t>
      </w:r>
    </w:p>
    <w:p>
      <w:pPr>
        <w:keepNext w:val="0"/>
        <w:keepLines w:val="0"/>
        <w:pageBreakBefore w:val="0"/>
        <w:widowControl w:val="0"/>
        <w:suppressLineNumbers w:val="0"/>
        <w:kinsoku/>
        <w:overflowPunct/>
        <w:autoSpaceDE/>
        <w:autoSpaceDN/>
        <w:bidi w:val="0"/>
        <w:snapToGrid w:val="0"/>
        <w:spacing w:before="0" w:beforeAutospacing="0" w:after="0" w:afterAutospacing="0" w:line="420" w:lineRule="exact"/>
        <w:ind w:left="0" w:right="0" w:firstLine="397"/>
        <w:jc w:val="both"/>
        <w:textAlignment w:val="auto"/>
        <w:rPr>
          <w:rFonts w:hint="eastAsia" w:ascii="宋体" w:hAnsi="宋体" w:eastAsia="宋体" w:cs="宋体"/>
          <w:b w:val="0"/>
          <w:color w:val="auto"/>
          <w:sz w:val="21"/>
          <w:szCs w:val="21"/>
          <w:highlight w:val="none"/>
          <w:u w:val="single"/>
          <w:lang w:val="en-US"/>
        </w:rPr>
      </w:pPr>
      <w:r>
        <w:rPr>
          <w:rFonts w:hint="eastAsia" w:ascii="宋体" w:hAnsi="宋体" w:eastAsia="宋体" w:cs="宋体"/>
          <w:b w:val="0"/>
          <w:color w:val="auto"/>
          <w:kern w:val="2"/>
          <w:sz w:val="21"/>
          <w:szCs w:val="21"/>
          <w:highlight w:val="none"/>
          <w:u w:val="single"/>
          <w:lang w:val="en-US" w:eastAsia="zh-CN" w:bidi="ar"/>
        </w:rPr>
        <w:t>35.2.4关于第三方质量安全评估的违约责任：</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color w:val="auto"/>
          <w:sz w:val="21"/>
          <w:szCs w:val="21"/>
          <w:highlight w:val="none"/>
          <w:u w:val="single"/>
        </w:rPr>
      </w:pPr>
      <w:r>
        <w:rPr>
          <w:rFonts w:hint="eastAsia" w:ascii="宋体" w:hAnsi="宋体" w:eastAsia="宋体" w:cs="宋体"/>
          <w:b w:val="0"/>
          <w:color w:val="auto"/>
          <w:kern w:val="2"/>
          <w:sz w:val="21"/>
          <w:szCs w:val="21"/>
          <w:highlight w:val="none"/>
          <w:u w:val="single"/>
          <w:lang w:val="en-US" w:eastAsia="zh-CN" w:bidi="ar"/>
        </w:rPr>
        <w:t>承包人应严格遵守中心制定的建设工程第三方质量安全评估服务相关管理办法，配合完成第三方质量安全评估工作。根据每次评估结果，经评估确定为一般违约情况的，承包人每次应支付10000元违约金给发包人；经评估确定为严重违约情况的，承包人每次应支付50000元违约金给发包人。</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关于农民工工资支付的违约责任：</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承包人拖欠农民工工资</w:t>
      </w:r>
      <w:r>
        <w:rPr>
          <w:rFonts w:hint="eastAsia" w:ascii="宋体" w:hAnsi="宋体" w:eastAsia="宋体" w:cs="宋体"/>
          <w:color w:val="auto"/>
          <w:szCs w:val="21"/>
          <w:highlight w:val="none"/>
          <w:u w:val="single"/>
          <w:lang w:eastAsia="zh-CN"/>
        </w:rPr>
        <w:t>（含代发的分包单位工人工资）</w:t>
      </w:r>
      <w:r>
        <w:rPr>
          <w:rFonts w:hint="eastAsia" w:ascii="宋体" w:hAnsi="宋体" w:eastAsia="宋体" w:cs="宋体"/>
          <w:color w:val="auto"/>
          <w:szCs w:val="21"/>
          <w:highlight w:val="none"/>
          <w:u w:val="single"/>
        </w:rPr>
        <w:t>，被农民工投诉属实的，承包人必须在3天内发放拖欠的款项。若继续拖延被投诉2次及以上，经查实，承包人除应立即支付拖欠款项外，还应支付10000违约金给发包人。因承包人拖欠农民工工资，导致农民工采取停工、集聚围阻发包人办公地点甚至政府办公部门等过激行动的，承包人应支付50000元违约金，并立即采取切实有效措施予以整改；拒不采取切实有效措施整改的，或整改效果不明显的，发包人可用承包人工程款垫付。若承包人在本工程内发生无故拖欠农民工工资现象，将被作不良记录，上报区建设行政主管部门</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napToGrid w:val="0"/>
        <w:spacing w:line="420" w:lineRule="exact"/>
        <w:ind w:firstLine="397"/>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35.2.6项目管理机构人员、机械设备、劳动力到位方面的违约责任：</w:t>
      </w:r>
    </w:p>
    <w:p>
      <w:pPr>
        <w:keepNext w:val="0"/>
        <w:keepLines w:val="0"/>
        <w:pageBreakBefore w:val="0"/>
        <w:widowControl w:val="0"/>
        <w:numPr>
          <w:ilvl w:val="0"/>
          <w:numId w:val="20"/>
        </w:numPr>
        <w:kinsoku/>
        <w:overflowPunct/>
        <w:autoSpaceDE/>
        <w:autoSpaceDN/>
        <w:bidi w:val="0"/>
        <w:snapToGrid w:val="0"/>
        <w:spacing w:line="420" w:lineRule="exact"/>
        <w:ind w:firstLine="397"/>
        <w:jc w:val="both"/>
        <w:textAlignment w:val="auto"/>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u w:val="single"/>
          <w:lang w:val="en-US" w:eastAsia="zh-CN" w:bidi="ar-SA"/>
        </w:rPr>
        <w:t>承包人必须保证投标文件中确定的项目负责人及其项目技术负责人、主要施工管理人员能及时地、始终地参与本工程施工管理，在未征得发包人书面同意之前不得更换。如未征得发包人书面同意，擅自更换项目负责人或项目技术负责人的，承包人每更换一人次，需支付50000元违约金给发包人，擅自更换主要施工管理人员的，每更换一人次，承包人需支付30000元违约金给发包人</w:t>
      </w:r>
      <w:r>
        <w:rPr>
          <w:rFonts w:hint="eastAsia" w:ascii="宋体" w:hAnsi="宋体" w:eastAsia="宋体" w:cs="宋体"/>
          <w:color w:val="auto"/>
          <w:kern w:val="2"/>
          <w:sz w:val="21"/>
          <w:szCs w:val="21"/>
          <w:highlight w:val="none"/>
          <w:lang w:val="en-US" w:eastAsia="zh-CN" w:bidi="ar-SA"/>
        </w:rPr>
        <w:t>。但征得</w:t>
      </w:r>
      <w:r>
        <w:rPr>
          <w:rFonts w:hint="eastAsia" w:ascii="宋体" w:hAnsi="宋体" w:eastAsia="宋体" w:cs="宋体"/>
          <w:color w:val="auto"/>
          <w:kern w:val="2"/>
          <w:sz w:val="21"/>
          <w:szCs w:val="21"/>
          <w:highlight w:val="none"/>
          <w:u w:val="single"/>
          <w:lang w:val="en-US" w:eastAsia="zh-CN" w:bidi="ar-SA"/>
        </w:rPr>
        <w:t>发包人书面同意更换或因发包人按本协议要求更换仍需支付违约金，具体为：更换项目负责人或项目技术负责人的，承包人每更换一人次，需支付30000元违约金给发包人，更换主要施工管理人员的，每更换一人次，承包人需支付10000元违约金给发包人</w:t>
      </w:r>
    </w:p>
    <w:p>
      <w:pPr>
        <w:keepNext w:val="0"/>
        <w:keepLines w:val="0"/>
        <w:pageBreakBefore w:val="0"/>
        <w:widowControl w:val="0"/>
        <w:kinsoku/>
        <w:overflowPunct/>
        <w:autoSpaceDE/>
        <w:autoSpaceDN/>
        <w:bidi w:val="0"/>
        <w:snapToGrid w:val="0"/>
        <w:spacing w:line="42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    （2）</w:t>
      </w:r>
      <w:r>
        <w:rPr>
          <w:rFonts w:hint="eastAsia" w:ascii="宋体" w:hAnsi="宋体" w:eastAsia="宋体" w:cs="宋体"/>
          <w:color w:val="auto"/>
          <w:kern w:val="2"/>
          <w:sz w:val="21"/>
          <w:szCs w:val="21"/>
          <w:highlight w:val="none"/>
          <w:u w:val="single"/>
          <w:lang w:val="en-US" w:eastAsia="zh-CN" w:bidi="ar-SA"/>
        </w:rPr>
        <w:t>如果承包人未按投标文件中的机械设备投入计划投入机械设备，经监理工程师或发包人代表检查发现的，将书面告知限期整改，未在限期内完成整改的，每延期一天，承包人需支付10000元违约金给发包人</w:t>
      </w:r>
      <w:r>
        <w:rPr>
          <w:rFonts w:hint="eastAsia" w:ascii="宋体" w:hAnsi="宋体" w:eastAsia="宋体" w:cs="宋体"/>
          <w:color w:val="auto"/>
          <w:kern w:val="2"/>
          <w:sz w:val="21"/>
          <w:szCs w:val="21"/>
          <w:highlight w:val="none"/>
          <w:lang w:val="en-US" w:eastAsia="zh-CN" w:bidi="ar-SA"/>
        </w:rPr>
        <w:t>。</w:t>
      </w:r>
    </w:p>
    <w:p>
      <w:pPr>
        <w:keepNext w:val="0"/>
        <w:keepLines w:val="0"/>
        <w:pageBreakBefore w:val="0"/>
        <w:widowControl w:val="0"/>
        <w:kinsoku/>
        <w:overflowPunct/>
        <w:autoSpaceDE/>
        <w:autoSpaceDN/>
        <w:bidi w:val="0"/>
        <w:snapToGrid w:val="0"/>
        <w:spacing w:line="420" w:lineRule="exact"/>
        <w:ind w:firstLine="397"/>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u w:val="single"/>
          <w:lang w:val="en-US" w:eastAsia="zh-CN" w:bidi="ar-SA"/>
        </w:rPr>
        <w:t>如果承包人未投标文件中的人力投入计划投入人力，经监理工程师和发包人代表检查发现的，每发现一次，承包人支付10000元违约金给发包人</w:t>
      </w:r>
      <w:r>
        <w:rPr>
          <w:rFonts w:hint="eastAsia" w:ascii="宋体" w:hAnsi="宋体" w:eastAsia="宋体" w:cs="宋体"/>
          <w:color w:val="auto"/>
          <w:kern w:val="2"/>
          <w:sz w:val="21"/>
          <w:szCs w:val="21"/>
          <w:highlight w:val="none"/>
          <w:lang w:val="en-US" w:eastAsia="zh-CN" w:bidi="ar-SA"/>
        </w:rPr>
        <w:t>。</w:t>
      </w:r>
    </w:p>
    <w:p>
      <w:pPr>
        <w:keepNext w:val="0"/>
        <w:keepLines w:val="0"/>
        <w:pageBreakBefore w:val="0"/>
        <w:widowControl w:val="0"/>
        <w:kinsoku/>
        <w:overflowPunct/>
        <w:autoSpaceDE/>
        <w:autoSpaceDN/>
        <w:bidi w:val="0"/>
        <w:snapToGrid w:val="0"/>
        <w:spacing w:line="420" w:lineRule="exact"/>
        <w:ind w:firstLine="397"/>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u w:val="single"/>
          <w:lang w:val="en-US" w:eastAsia="zh-CN" w:bidi="ar-SA"/>
        </w:rPr>
        <w:t>如果检查发现承包人超过三次未按承诺投入的人力、机械、物力组织施工，发包人将作为不良纪录报区建设行政主管部门备案。如果检查发现承包人没有按施工组织设计的进度安排推进工程建设，使主要工序的工期延误超过10天，没有按发包人的意见撤换现场负责人；或者按发包人的意见撤换现场负责人后，仍然无法有效控制工程进度，承包人除需按本条第（1）项支付违约金外，发包人将发出书面警告，警告发出后15天内，主要工序的工期延误仍然超过10天，发包人将作为不良纪录报区建设行政主管部门备案。对此，承包人不得有异议</w:t>
      </w:r>
      <w:r>
        <w:rPr>
          <w:rFonts w:hint="eastAsia" w:ascii="宋体" w:hAnsi="宋体" w:eastAsia="宋体" w:cs="宋体"/>
          <w:color w:val="auto"/>
          <w:kern w:val="2"/>
          <w:sz w:val="21"/>
          <w:szCs w:val="21"/>
          <w:highlight w:val="none"/>
          <w:lang w:val="en-US" w:eastAsia="zh-CN" w:bidi="ar-SA"/>
        </w:rPr>
        <w:t>。</w:t>
      </w:r>
    </w:p>
    <w:p>
      <w:pPr>
        <w:keepNext w:val="0"/>
        <w:keepLines w:val="0"/>
        <w:pageBreakBefore w:val="0"/>
        <w:widowControl w:val="0"/>
        <w:kinsoku/>
        <w:overflowPunct/>
        <w:autoSpaceDE/>
        <w:autoSpaceDN/>
        <w:bidi w:val="0"/>
        <w:snapToGrid w:val="0"/>
        <w:spacing w:line="420" w:lineRule="exact"/>
        <w:ind w:firstLine="397"/>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color w:val="auto"/>
          <w:kern w:val="2"/>
          <w:sz w:val="21"/>
          <w:szCs w:val="21"/>
          <w:highlight w:val="none"/>
          <w:u w:val="single"/>
          <w:lang w:val="en-US" w:eastAsia="zh-CN" w:bidi="ar-SA"/>
        </w:rPr>
        <w:t>承包人的项目负责人、技术负责人、安全负责人、质量负责人、防火负责人等必须常驻施工现场，且须无条件参加每周的工地例会以及发包人书面通知的其它会议，如有缺席，则每人每缺席一次，承包人需支付5000元人民币违约金</w:t>
      </w:r>
      <w:r>
        <w:rPr>
          <w:rFonts w:hint="eastAsia" w:ascii="宋体" w:hAnsi="宋体" w:eastAsia="宋体" w:cs="宋体"/>
          <w:color w:val="auto"/>
          <w:kern w:val="2"/>
          <w:sz w:val="21"/>
          <w:szCs w:val="21"/>
          <w:highlight w:val="none"/>
          <w:lang w:val="en-US" w:eastAsia="zh-CN" w:bidi="ar-SA"/>
        </w:rPr>
        <w:t>。</w:t>
      </w:r>
    </w:p>
    <w:p>
      <w:pPr>
        <w:keepNext w:val="0"/>
        <w:keepLines w:val="0"/>
        <w:pageBreakBefore w:val="0"/>
        <w:widowControl w:val="0"/>
        <w:kinsoku/>
        <w:overflowPunct/>
        <w:autoSpaceDE/>
        <w:autoSpaceDN/>
        <w:bidi w:val="0"/>
        <w:snapToGrid w:val="0"/>
        <w:spacing w:line="42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35.2.</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工程转包违约责任：</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合同约定的工程项目承包人不得转包，必须分包的少量子项工程和专业工程，事先需取得监理人、发包人的审查同意后方可进场施工。否则，发包人有权单方面终止合同，并令其立即退场，工程项目另行处理，承包人还应按履约担保金额支付违约金，发包人的损失超过履约担保金额的部分，承包人还应承担赔偿责任</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napToGrid w:val="0"/>
        <w:spacing w:line="420" w:lineRule="exact"/>
        <w:ind w:firstLine="397"/>
        <w:jc w:val="both"/>
        <w:textAlignment w:val="auto"/>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u w:val="single"/>
          <w:lang w:val="en-US" w:eastAsia="zh-CN" w:bidi="ar-SA"/>
        </w:rPr>
        <w:t>承包人在本工程中有转包、转让、出借资质证书或者以其他方式允许他人以本企业的名义承揽工程的，发包人将解除合同，承包人按合同价的10%承担违约金。因此导致发包人损失超出违约金的部分，承包人应负责赔偿。</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35.2.</w:t>
      </w:r>
      <w:r>
        <w:rPr>
          <w:rFonts w:hint="eastAsia" w:ascii="宋体" w:hAnsi="宋体" w:eastAsia="宋体" w:cs="宋体"/>
          <w:color w:val="auto"/>
          <w:szCs w:val="21"/>
          <w:highlight w:val="none"/>
          <w:u w:val="single"/>
          <w:lang w:val="en-US" w:eastAsia="zh-CN"/>
        </w:rPr>
        <w:t>8</w:t>
      </w:r>
      <w:r>
        <w:rPr>
          <w:rFonts w:hint="eastAsia" w:ascii="宋体" w:hAnsi="宋体" w:eastAsia="宋体" w:cs="宋体"/>
          <w:color w:val="auto"/>
          <w:szCs w:val="21"/>
          <w:highlight w:val="none"/>
          <w:u w:val="single"/>
        </w:rPr>
        <w:t>解除合同的违约责任：</w:t>
      </w:r>
    </w:p>
    <w:p>
      <w:pPr>
        <w:keepNext w:val="0"/>
        <w:keepLines w:val="0"/>
        <w:pageBreakBefore w:val="0"/>
        <w:widowControl w:val="0"/>
        <w:kinsoku/>
        <w:overflowPunct/>
        <w:autoSpaceDE/>
        <w:autoSpaceDN/>
        <w:bidi w:val="0"/>
        <w:snapToGrid w:val="0"/>
        <w:spacing w:line="420" w:lineRule="exact"/>
        <w:ind w:firstLine="397"/>
        <w:jc w:val="both"/>
        <w:textAlignment w:val="auto"/>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u w:val="single"/>
          <w:lang w:val="en-US" w:eastAsia="zh-CN" w:bidi="ar-SA"/>
        </w:rPr>
        <w:t>35.2.8.1因承包人严重违约导致发包人单方面解除合同或承包人违约擅自解除合同的，承包人应向发包人支付本合同价款10%的违约金，因解除合同导致发包人的损失超过违约金的部分，承包人还应承担赔偿责任。合同解除后，承包人应妥善做好已完工程和已购材料、设备的保护和移交工作。发包人可派员进驻施工场地，另行组织人员或委托其他承包人施工。发包人因继续完成该工程的需要，有权扣留使用承包人在现场的材料、设备和临时设施，也可要求承包人自行将自有机械设备和人员撤出施工场地，但发包人的这一行为不免除承包人应承担的违约责任，也不影响发包人根据合同约定享有的索赔权利。</w:t>
      </w:r>
    </w:p>
    <w:p>
      <w:pPr>
        <w:keepNext w:val="0"/>
        <w:keepLines w:val="0"/>
        <w:pageBreakBefore w:val="0"/>
        <w:widowControl w:val="0"/>
        <w:kinsoku/>
        <w:overflowPunct/>
        <w:autoSpaceDE/>
        <w:autoSpaceDN/>
        <w:bidi w:val="0"/>
        <w:spacing w:line="420" w:lineRule="exact"/>
        <w:ind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35.2.8.2不适用通用条款44.6条的约定。</w:t>
      </w:r>
    </w:p>
    <w:p>
      <w:pPr>
        <w:keepNext w:val="0"/>
        <w:keepLines w:val="0"/>
        <w:pageBreakBefore w:val="0"/>
        <w:widowControl w:val="0"/>
        <w:tabs>
          <w:tab w:val="left" w:pos="8280"/>
        </w:tabs>
        <w:kinsoku/>
        <w:overflowPunct/>
        <w:autoSpaceDE/>
        <w:autoSpaceDN/>
        <w:bidi w:val="0"/>
        <w:spacing w:line="420" w:lineRule="exact"/>
        <w:ind w:right="28" w:firstLine="420" w:firstLineChars="200"/>
        <w:jc w:val="both"/>
        <w:textAlignment w:val="auto"/>
        <w:rPr>
          <w:rFonts w:hint="eastAsia" w:ascii="宋体" w:hAnsi="宋体" w:eastAsia="宋体" w:cs="宋体"/>
          <w:bCs/>
          <w:snapToGrid w:val="0"/>
          <w:color w:val="auto"/>
          <w:kern w:val="0"/>
          <w:sz w:val="21"/>
          <w:szCs w:val="21"/>
          <w:highlight w:val="none"/>
          <w:lang w:val="en-US" w:eastAsia="zh-CN" w:bidi="ar-SA"/>
        </w:rPr>
      </w:pPr>
      <w:r>
        <w:rPr>
          <w:rFonts w:hint="eastAsia" w:ascii="宋体" w:hAnsi="宋体" w:eastAsia="宋体" w:cs="宋体"/>
          <w:bCs/>
          <w:snapToGrid w:val="0"/>
          <w:color w:val="auto"/>
          <w:kern w:val="0"/>
          <w:sz w:val="21"/>
          <w:szCs w:val="21"/>
          <w:highlight w:val="none"/>
          <w:lang w:val="en-US" w:eastAsia="zh-CN" w:bidi="ar-SA"/>
        </w:rPr>
        <w:t>35.2.9办理结算的违约责任：</w:t>
      </w:r>
    </w:p>
    <w:p>
      <w:pPr>
        <w:keepNext w:val="0"/>
        <w:keepLines w:val="0"/>
        <w:pageBreakBefore w:val="0"/>
        <w:widowControl w:val="0"/>
        <w:tabs>
          <w:tab w:val="left" w:pos="8280"/>
        </w:tabs>
        <w:kinsoku/>
        <w:overflowPunct/>
        <w:autoSpaceDE/>
        <w:autoSpaceDN/>
        <w:bidi w:val="0"/>
        <w:spacing w:line="420" w:lineRule="exact"/>
        <w:ind w:right="28" w:firstLine="420" w:firstLineChars="200"/>
        <w:jc w:val="both"/>
        <w:textAlignment w:val="auto"/>
        <w:rPr>
          <w:rFonts w:hint="eastAsia" w:ascii="宋体" w:hAnsi="宋体" w:eastAsia="宋体" w:cs="宋体"/>
          <w:bCs/>
          <w:snapToGrid w:val="0"/>
          <w:color w:val="auto"/>
          <w:kern w:val="0"/>
          <w:sz w:val="21"/>
          <w:szCs w:val="21"/>
          <w:highlight w:val="none"/>
          <w:u w:val="single"/>
          <w:lang w:val="en-US" w:eastAsia="zh-CN" w:bidi="ar-SA"/>
        </w:rPr>
      </w:pPr>
      <w:r>
        <w:rPr>
          <w:rFonts w:hint="eastAsia" w:ascii="宋体" w:hAnsi="宋体" w:eastAsia="宋体" w:cs="宋体"/>
          <w:bCs/>
          <w:snapToGrid w:val="0"/>
          <w:color w:val="auto"/>
          <w:kern w:val="0"/>
          <w:sz w:val="21"/>
          <w:szCs w:val="21"/>
          <w:highlight w:val="none"/>
          <w:u w:val="single"/>
          <w:lang w:val="en-US" w:eastAsia="zh-CN" w:bidi="ar-SA"/>
        </w:rPr>
        <w:t>承包人不执行《</w:t>
      </w:r>
      <w:r>
        <w:rPr>
          <w:rFonts w:hint="eastAsia" w:ascii="宋体" w:hAnsi="宋体" w:eastAsia="宋体" w:cs="宋体"/>
          <w:color w:val="auto"/>
          <w:kern w:val="2"/>
          <w:sz w:val="21"/>
          <w:szCs w:val="21"/>
          <w:highlight w:val="none"/>
          <w:u w:val="single"/>
          <w:lang w:val="en-US" w:eastAsia="zh-CN" w:bidi="ar-SA"/>
        </w:rPr>
        <w:t>广州开发区财政投资建设项目管理中心施工类合同结算编审指引（试行）</w:t>
      </w:r>
      <w:r>
        <w:rPr>
          <w:rFonts w:hint="eastAsia" w:ascii="宋体" w:hAnsi="宋体" w:eastAsia="宋体" w:cs="宋体"/>
          <w:bCs/>
          <w:snapToGrid w:val="0"/>
          <w:color w:val="auto"/>
          <w:kern w:val="0"/>
          <w:sz w:val="21"/>
          <w:szCs w:val="21"/>
          <w:highlight w:val="none"/>
          <w:u w:val="single"/>
          <w:lang w:val="en-US" w:eastAsia="zh-CN" w:bidi="ar-SA"/>
        </w:rPr>
        <w:t>》有关规定的，须按该指引有关规定承担违约责任。</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35.2.</w:t>
      </w:r>
      <w:r>
        <w:rPr>
          <w:rFonts w:hint="eastAsia" w:ascii="宋体" w:hAnsi="宋体" w:eastAsia="宋体" w:cs="宋体"/>
          <w:color w:val="auto"/>
          <w:szCs w:val="21"/>
          <w:highlight w:val="none"/>
          <w:u w:val="single"/>
          <w:lang w:val="en-US" w:eastAsia="zh-CN"/>
        </w:rPr>
        <w:t>10</w:t>
      </w:r>
      <w:r>
        <w:rPr>
          <w:rFonts w:hint="eastAsia" w:ascii="宋体" w:hAnsi="宋体" w:eastAsia="宋体" w:cs="宋体"/>
          <w:bCs/>
          <w:snapToGrid w:val="0"/>
          <w:color w:val="auto"/>
          <w:kern w:val="0"/>
          <w:szCs w:val="21"/>
          <w:highlight w:val="none"/>
          <w:u w:val="single"/>
        </w:rPr>
        <w:t>除上述违约责任外，因承包人履行本合同不符合约定或</w:t>
      </w:r>
      <w:r>
        <w:rPr>
          <w:rFonts w:hint="eastAsia" w:ascii="宋体" w:hAnsi="宋体" w:eastAsia="宋体" w:cs="宋体"/>
          <w:color w:val="auto"/>
          <w:szCs w:val="21"/>
          <w:highlight w:val="none"/>
          <w:u w:val="single"/>
        </w:rPr>
        <w:t>相关规定，发包人可根据实际情况，给予承包人通报批评及作不良记录等处罚措施；情节严重的，可报请上级行政主管部门给予相应处罚</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adjustRightInd w:val="0"/>
        <w:snapToGrid w:val="0"/>
        <w:spacing w:line="420" w:lineRule="exact"/>
        <w:ind w:firstLine="420" w:firstLineChars="200"/>
        <w:jc w:val="both"/>
        <w:textAlignment w:val="auto"/>
        <w:outlineLvl w:val="3"/>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u w:val="single"/>
          <w:lang w:val="en-US" w:eastAsia="zh-CN" w:bidi="ar-SA"/>
        </w:rPr>
        <w:t>35.2.11承包人违约责任的认定方式、送达程序及违约金的处理</w:t>
      </w:r>
    </w:p>
    <w:p>
      <w:pPr>
        <w:keepNext w:val="0"/>
        <w:keepLines w:val="0"/>
        <w:pageBreakBefore w:val="0"/>
        <w:widowControl w:val="0"/>
        <w:kinsoku/>
        <w:overflowPunct/>
        <w:autoSpaceDE/>
        <w:autoSpaceDN/>
        <w:bidi w:val="0"/>
        <w:adjustRightInd w:val="0"/>
        <w:snapToGrid w:val="0"/>
        <w:spacing w:line="420" w:lineRule="exact"/>
        <w:ind w:firstLine="420" w:firstLineChars="200"/>
        <w:jc w:val="both"/>
        <w:textAlignment w:val="auto"/>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u w:val="single"/>
          <w:lang w:val="en-US" w:eastAsia="zh-CN" w:bidi="ar-SA"/>
        </w:rPr>
        <w:t>（1）认定方式：以发包人发出的通知、通报、会议纪要等书面文件确定的内容为准。</w:t>
      </w:r>
    </w:p>
    <w:p>
      <w:pPr>
        <w:keepNext w:val="0"/>
        <w:keepLines w:val="0"/>
        <w:pageBreakBefore w:val="0"/>
        <w:widowControl w:val="0"/>
        <w:kinsoku/>
        <w:overflowPunct/>
        <w:autoSpaceDE/>
        <w:autoSpaceDN/>
        <w:bidi w:val="0"/>
        <w:adjustRightInd w:val="0"/>
        <w:snapToGrid w:val="0"/>
        <w:spacing w:line="420" w:lineRule="exact"/>
        <w:ind w:firstLine="420" w:firstLineChars="200"/>
        <w:jc w:val="both"/>
        <w:textAlignment w:val="auto"/>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u w:val="single"/>
          <w:lang w:val="en-US" w:eastAsia="zh-CN" w:bidi="ar-SA"/>
        </w:rPr>
        <w:t>（2）送达程序：发包人以下列方式之一将书面违约处理决定送达承包人：</w:t>
      </w:r>
    </w:p>
    <w:p>
      <w:pPr>
        <w:keepNext w:val="0"/>
        <w:keepLines w:val="0"/>
        <w:pageBreakBefore w:val="0"/>
        <w:widowControl w:val="0"/>
        <w:kinsoku/>
        <w:overflowPunct/>
        <w:autoSpaceDE/>
        <w:autoSpaceDN/>
        <w:bidi w:val="0"/>
        <w:adjustRightInd w:val="0"/>
        <w:snapToGrid w:val="0"/>
        <w:spacing w:line="420" w:lineRule="exact"/>
        <w:ind w:firstLine="420" w:firstLineChars="200"/>
        <w:jc w:val="both"/>
        <w:textAlignment w:val="auto"/>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u w:val="single"/>
          <w:lang w:val="en-US" w:eastAsia="zh-CN" w:bidi="ar-SA"/>
        </w:rPr>
        <w:t>1）承包人现场管理机构工作人员签收。</w:t>
      </w:r>
    </w:p>
    <w:p>
      <w:pPr>
        <w:keepNext w:val="0"/>
        <w:keepLines w:val="0"/>
        <w:pageBreakBefore w:val="0"/>
        <w:widowControl w:val="0"/>
        <w:kinsoku/>
        <w:overflowPunct/>
        <w:autoSpaceDE/>
        <w:autoSpaceDN/>
        <w:bidi w:val="0"/>
        <w:adjustRightInd w:val="0"/>
        <w:snapToGrid w:val="0"/>
        <w:spacing w:line="420" w:lineRule="exact"/>
        <w:ind w:firstLine="420" w:firstLineChars="200"/>
        <w:jc w:val="both"/>
        <w:textAlignment w:val="auto"/>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u w:val="single"/>
          <w:lang w:val="en-US" w:eastAsia="zh-CN" w:bidi="ar-SA"/>
        </w:rPr>
        <w:t>2）承包人其他工作人员签收。</w:t>
      </w:r>
    </w:p>
    <w:p>
      <w:pPr>
        <w:keepNext w:val="0"/>
        <w:keepLines w:val="0"/>
        <w:pageBreakBefore w:val="0"/>
        <w:widowControl w:val="0"/>
        <w:kinsoku/>
        <w:overflowPunct/>
        <w:autoSpaceDE/>
        <w:autoSpaceDN/>
        <w:bidi w:val="0"/>
        <w:adjustRightInd w:val="0"/>
        <w:snapToGrid w:val="0"/>
        <w:spacing w:line="420" w:lineRule="exact"/>
        <w:ind w:firstLine="420" w:firstLineChars="200"/>
        <w:jc w:val="both"/>
        <w:textAlignment w:val="auto"/>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u w:val="single"/>
          <w:lang w:val="en-US" w:eastAsia="zh-CN" w:bidi="ar-SA"/>
        </w:rPr>
        <w:t>3）发包人邮寄送达。</w:t>
      </w:r>
    </w:p>
    <w:p>
      <w:pPr>
        <w:keepNext w:val="0"/>
        <w:keepLines w:val="0"/>
        <w:pageBreakBefore w:val="0"/>
        <w:widowControl w:val="0"/>
        <w:kinsoku/>
        <w:overflowPunct/>
        <w:autoSpaceDE/>
        <w:autoSpaceDN/>
        <w:bidi w:val="0"/>
        <w:adjustRightInd w:val="0"/>
        <w:snapToGrid w:val="0"/>
        <w:spacing w:line="420" w:lineRule="exact"/>
        <w:ind w:firstLine="420" w:firstLineChars="200"/>
        <w:jc w:val="both"/>
        <w:textAlignment w:val="auto"/>
        <w:outlineLvl w:val="3"/>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u w:val="single"/>
          <w:lang w:val="en-US" w:eastAsia="zh-CN" w:bidi="ar-SA"/>
        </w:rPr>
        <w:t>（3）发包人以书面形式作出的违约处理决定一经送达承包人立即生效。承包人如有足够证据证明不应由其承担违约责任的，应在收到违约处理决定后3天内以书面形式向发包人提出异议并附上有关证据。发包人在收到承包人的异议后15个工作日内审核完毕且作出书面决定并通知承包人。在异议审核期间，承包人须正常施工，不得以审核未确定为由拖延或者中止工程施工。</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highlight w:val="none"/>
        </w:rPr>
        <w:t>37、争议</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37.1双方约定，在履行合同过程中产生争议时：</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（1）由双方协商解决；</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（2）协商不成的，向</w:t>
      </w:r>
      <w:r>
        <w:rPr>
          <w:rFonts w:hint="eastAsia" w:ascii="宋体" w:hAnsi="宋体" w:eastAsia="宋体" w:cs="宋体"/>
          <w:color w:val="auto"/>
          <w:szCs w:val="21"/>
          <w:highlight w:val="none"/>
          <w:u w:val="single"/>
        </w:rPr>
        <w:t>工程所在地</w:t>
      </w:r>
      <w:r>
        <w:rPr>
          <w:rFonts w:hint="eastAsia" w:ascii="宋体" w:hAnsi="宋体" w:eastAsia="宋体" w:cs="宋体"/>
          <w:color w:val="auto"/>
          <w:szCs w:val="21"/>
          <w:highlight w:val="none"/>
        </w:rPr>
        <w:t>人民法院提起诉讼。</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highlight w:val="none"/>
        </w:rPr>
        <w:t>十一、其他</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38、工程分包</w:t>
      </w:r>
    </w:p>
    <w:p>
      <w:pPr>
        <w:keepNext w:val="0"/>
        <w:keepLines w:val="0"/>
        <w:pageBreakBefore w:val="0"/>
        <w:widowControl w:val="0"/>
        <w:kinsoku/>
        <w:overflowPunct/>
        <w:autoSpaceDE/>
        <w:autoSpaceDN/>
        <w:bidi w:val="0"/>
        <w:snapToGrid w:val="0"/>
        <w:spacing w:line="420" w:lineRule="exac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38.1（1）本工程发包人同意承包人分包的工程：非主体非关键工程。承包人分包工程的，需先报发包人同意，分包合同签订后必须报发包人备案，承包人与分包单位签订的分包合同中应明确工人工资比例及支付期限。</w:t>
      </w:r>
    </w:p>
    <w:p>
      <w:pPr>
        <w:keepNext w:val="0"/>
        <w:keepLines w:val="0"/>
        <w:pageBreakBefore w:val="0"/>
        <w:widowControl w:val="0"/>
        <w:kinsoku/>
        <w:overflowPunct/>
        <w:autoSpaceDE/>
        <w:autoSpaceDN/>
        <w:bidi w:val="0"/>
        <w:adjustRightInd w:val="0"/>
        <w:snapToGrid w:val="0"/>
        <w:spacing w:line="420" w:lineRule="exact"/>
        <w:ind w:firstLine="420" w:firstLineChars="200"/>
        <w:jc w:val="both"/>
        <w:textAlignment w:val="auto"/>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u w:val="single"/>
          <w:lang w:val="en-US" w:eastAsia="zh-CN" w:bidi="ar-SA"/>
        </w:rPr>
        <w:t>劳务分包必须严格执行广州市相关规定，禁止分包劳务给无资质单位或个人。在发包人同意承包人进行劳务分包的情况下，劳务分包单位须与向政府相关部门备案的劳务分包的单位一致，不得私自变更劳务分包单位。</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highlight w:val="none"/>
        </w:rPr>
        <w:t>39、不可抗力</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39.1双方关于不可抗力的约定：按本合同通用条款执行，自然灾害的范围及其认定方式，按下述约定执行：</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u w:val="single"/>
        </w:rPr>
        <w:t>异常天气：仅指50年一遇以上（含50年）的洪水、10级（含本数）以上台风，因异常天气袭击工地为确保安全而停工的，承包人应于台风、洪水天气结束之日起七日内，向当地气象部门索取工程所在地台风、暴雨天气资料或报告（含气象实况及对此分析的内容），连同施工日志、现场照片办理证据保全公证，方可认定为是不可抗力</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u w:val="single"/>
        </w:rPr>
        <w:t>里氏5级（含本数）以上地震</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39.3双方关于不可抗力事件导致的费用承担</w:t>
      </w:r>
      <w:r>
        <w:rPr>
          <w:rFonts w:hint="eastAsia" w:ascii="宋体" w:hAnsi="宋体" w:eastAsia="宋体" w:cs="宋体"/>
          <w:color w:val="auto"/>
          <w:szCs w:val="21"/>
          <w:highlight w:val="none"/>
          <w:u w:val="single"/>
        </w:rPr>
        <w:t>按本专用条款12.3款约定执行</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highlight w:val="none"/>
        </w:rPr>
        <w:t>40、保险</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40.2承包人对其运至施工场地内用于工程的材料和待安装设备办理保险并支付保险费用。</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40.6本工程双方约定投保内容如下：</w:t>
      </w:r>
    </w:p>
    <w:p>
      <w:pPr>
        <w:keepNext w:val="0"/>
        <w:keepLines w:val="0"/>
        <w:pageBreakBefore w:val="0"/>
        <w:widowControl w:val="0"/>
        <w:kinsoku/>
        <w:overflowPunct/>
        <w:autoSpaceDE/>
        <w:autoSpaceDN/>
        <w:bidi w:val="0"/>
        <w:snapToGrid w:val="0"/>
        <w:spacing w:line="420" w:lineRule="exact"/>
        <w:ind w:left="397"/>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（1）发包人投保内容：</w:t>
      </w:r>
      <w:r>
        <w:rPr>
          <w:rFonts w:hint="eastAsia" w:ascii="宋体" w:hAnsi="宋体" w:eastAsia="宋体" w:cs="宋体"/>
          <w:color w:val="auto"/>
          <w:szCs w:val="21"/>
          <w:highlight w:val="none"/>
          <w:u w:val="single"/>
        </w:rPr>
        <w:t>按广州市建设项目劳动保险相关规定投保</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napToGrid w:val="0"/>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发包人委托承包人办理的保险事项：</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napToGrid w:val="0"/>
        <w:spacing w:line="420" w:lineRule="exact"/>
        <w:ind w:left="397"/>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（2）承包人投保内容：</w:t>
      </w:r>
      <w:r>
        <w:rPr>
          <w:rFonts w:hint="eastAsia" w:ascii="宋体" w:hAnsi="宋体" w:eastAsia="宋体" w:cs="宋体"/>
          <w:color w:val="auto"/>
          <w:szCs w:val="21"/>
          <w:highlight w:val="none"/>
          <w:u w:val="single"/>
        </w:rPr>
        <w:t>开工前承包人应当投保安全生产责任保险，且该保险保障场所应包含本项目，合同价视作已含该项费用。承包人未按规定购买安全生产责任保险，发包人可视严重程度拒绝该单位一定时期内参与后续工程投标</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41、担保</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41.1本工程双方约定担保事项如下：</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（1）发包人向承包人提供履约担保，担保方式为：</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，担保合同作为本合同附件。</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（2）承包人按如下方式向发包人提供履约担保：</w:t>
      </w:r>
    </w:p>
    <w:p>
      <w:pPr>
        <w:keepNext w:val="0"/>
        <w:keepLines w:val="0"/>
        <w:pageBreakBefore w:val="0"/>
        <w:widowControl w:val="0"/>
        <w:kinsoku/>
        <w:overflowPunct/>
        <w:autoSpaceDE/>
        <w:autoSpaceDN/>
        <w:bidi w:val="0"/>
        <w:snapToGrid w:val="0"/>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 履约担保：</w:t>
      </w:r>
      <w:r>
        <w:rPr>
          <w:rFonts w:hint="eastAsia" w:ascii="宋体" w:hAnsi="宋体" w:eastAsia="宋体" w:cs="宋体"/>
          <w:color w:val="auto"/>
          <w:sz w:val="21"/>
          <w:szCs w:val="21"/>
          <w:highlight w:val="none"/>
          <w:u w:val="single"/>
        </w:rPr>
        <w:t>承包人向发包人提交担保金额为中标价10%的履约担保，以银行保函形式提交。履约担保为银行保函的，须广州市内分行以上的银行开具的无条件、不可撤销的保函，保函有效期至合同工程完工验收合格之日。履约银行保函到期但工程尚未</w:t>
      </w:r>
      <w:r>
        <w:rPr>
          <w:rFonts w:hint="eastAsia" w:ascii="宋体" w:hAnsi="宋体" w:eastAsia="宋体" w:cs="宋体"/>
          <w:color w:val="auto"/>
          <w:sz w:val="21"/>
          <w:szCs w:val="21"/>
          <w:highlight w:val="none"/>
          <w:u w:val="single"/>
          <w:lang w:eastAsia="zh-CN"/>
        </w:rPr>
        <w:t>验收</w:t>
      </w:r>
      <w:r>
        <w:rPr>
          <w:rFonts w:hint="eastAsia" w:ascii="宋体" w:hAnsi="宋体" w:eastAsia="宋体" w:cs="宋体"/>
          <w:color w:val="auto"/>
          <w:sz w:val="21"/>
          <w:szCs w:val="21"/>
          <w:highlight w:val="none"/>
          <w:u w:val="single"/>
        </w:rPr>
        <w:t>的，承包人应自觉办理保函延期手续，确保担保期限不出现空缺，否则，发包人不予支付工程款</w:t>
      </w:r>
      <w:r>
        <w:rPr>
          <w:rFonts w:hint="eastAsia" w:ascii="宋体" w:hAnsi="宋体" w:eastAsia="宋体" w:cs="宋体"/>
          <w:color w:val="auto"/>
          <w:sz w:val="21"/>
          <w:szCs w:val="21"/>
          <w:highlight w:val="none"/>
        </w:rPr>
        <w:t>。</w:t>
      </w:r>
    </w:p>
    <w:p>
      <w:pPr>
        <w:keepNext w:val="0"/>
        <w:keepLines w:val="0"/>
        <w:pageBreakBefore w:val="0"/>
        <w:widowControl w:val="0"/>
        <w:kinsoku/>
        <w:overflowPunct/>
        <w:autoSpaceDE/>
        <w:autoSpaceDN/>
        <w:bidi w:val="0"/>
        <w:snapToGrid w:val="0"/>
        <w:spacing w:line="420" w:lineRule="exact"/>
        <w:ind w:firstLine="504" w:firstLineChars="24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首次办理履约保函，如合同工期低于1年的，担保期限可按合同工期，如合同工期高于1年的，担保期限</w:t>
      </w:r>
      <w:r>
        <w:rPr>
          <w:rFonts w:hint="eastAsia" w:ascii="宋体" w:hAnsi="宋体" w:eastAsia="宋体" w:cs="宋体"/>
          <w:color w:val="auto"/>
          <w:sz w:val="21"/>
          <w:szCs w:val="21"/>
          <w:highlight w:val="none"/>
          <w:lang w:val="en-US" w:eastAsia="zh-CN"/>
        </w:rPr>
        <w:t>不低于1年</w:t>
      </w:r>
      <w:r>
        <w:rPr>
          <w:rFonts w:hint="eastAsia" w:ascii="宋体" w:hAnsi="宋体" w:eastAsia="宋体" w:cs="宋体"/>
          <w:color w:val="auto"/>
          <w:sz w:val="21"/>
          <w:szCs w:val="21"/>
          <w:highlight w:val="none"/>
          <w:lang w:eastAsia="zh-CN"/>
        </w:rPr>
        <w:t>。</w:t>
      </w:r>
    </w:p>
    <w:p>
      <w:pPr>
        <w:keepNext w:val="0"/>
        <w:keepLines w:val="0"/>
        <w:pageBreakBefore w:val="0"/>
        <w:widowControl w:val="0"/>
        <w:kinsoku/>
        <w:overflowPunct/>
        <w:autoSpaceDE/>
        <w:autoSpaceDN/>
        <w:bidi w:val="0"/>
        <w:snapToGrid w:val="0"/>
        <w:spacing w:line="420" w:lineRule="exact"/>
        <w:ind w:firstLine="504" w:firstLineChars="2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履约保函</w:t>
      </w:r>
      <w:r>
        <w:rPr>
          <w:rFonts w:hint="eastAsia" w:ascii="宋体" w:hAnsi="宋体" w:eastAsia="宋体" w:cs="宋体"/>
          <w:color w:val="auto"/>
          <w:sz w:val="21"/>
          <w:szCs w:val="21"/>
          <w:highlight w:val="none"/>
          <w:u w:val="single"/>
        </w:rPr>
        <w:t>办理延期手续</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lang w:val="en-US" w:eastAsia="zh-CN"/>
        </w:rPr>
        <w:t>若项目的</w:t>
      </w:r>
      <w:r>
        <w:rPr>
          <w:rFonts w:hint="eastAsia" w:ascii="宋体" w:hAnsi="宋体" w:eastAsia="宋体" w:cs="宋体"/>
          <w:color w:val="auto"/>
          <w:sz w:val="21"/>
          <w:szCs w:val="21"/>
          <w:highlight w:val="none"/>
        </w:rPr>
        <w:t>完成工程量不足一半，担保金额</w:t>
      </w:r>
      <w:r>
        <w:rPr>
          <w:rFonts w:hint="eastAsia" w:ascii="宋体" w:hAnsi="宋体" w:eastAsia="宋体" w:cs="宋体"/>
          <w:color w:val="auto"/>
          <w:sz w:val="21"/>
          <w:szCs w:val="21"/>
          <w:highlight w:val="none"/>
          <w:lang w:val="en-US" w:eastAsia="zh-CN"/>
        </w:rPr>
        <w:t>按</w:t>
      </w:r>
      <w:r>
        <w:rPr>
          <w:rFonts w:hint="eastAsia" w:ascii="宋体" w:hAnsi="宋体" w:eastAsia="宋体" w:cs="宋体"/>
          <w:color w:val="auto"/>
          <w:sz w:val="21"/>
          <w:szCs w:val="21"/>
          <w:highlight w:val="none"/>
        </w:rPr>
        <w:t>中标价的10%；</w:t>
      </w:r>
      <w:r>
        <w:rPr>
          <w:rFonts w:hint="eastAsia" w:ascii="宋体" w:hAnsi="宋体" w:eastAsia="宋体" w:cs="宋体"/>
          <w:color w:val="auto"/>
          <w:sz w:val="21"/>
          <w:szCs w:val="21"/>
          <w:highlight w:val="none"/>
          <w:lang w:val="en-US" w:eastAsia="zh-CN"/>
        </w:rPr>
        <w:t>若项目的</w:t>
      </w:r>
      <w:r>
        <w:rPr>
          <w:rFonts w:hint="eastAsia" w:ascii="宋体" w:hAnsi="宋体" w:eastAsia="宋体" w:cs="宋体"/>
          <w:color w:val="auto"/>
          <w:sz w:val="21"/>
          <w:szCs w:val="21"/>
          <w:highlight w:val="none"/>
        </w:rPr>
        <w:t>完成工程量超过一半，担保金额</w:t>
      </w:r>
      <w:r>
        <w:rPr>
          <w:rFonts w:hint="eastAsia" w:ascii="宋体" w:hAnsi="宋体" w:eastAsia="宋体" w:cs="宋体"/>
          <w:color w:val="auto"/>
          <w:sz w:val="21"/>
          <w:szCs w:val="21"/>
          <w:highlight w:val="none"/>
          <w:lang w:val="en-US" w:eastAsia="zh-CN"/>
        </w:rPr>
        <w:t>可按</w:t>
      </w:r>
      <w:r>
        <w:rPr>
          <w:rFonts w:hint="eastAsia" w:ascii="宋体" w:hAnsi="宋体" w:eastAsia="宋体" w:cs="宋体"/>
          <w:color w:val="auto"/>
          <w:sz w:val="21"/>
          <w:szCs w:val="21"/>
          <w:highlight w:val="none"/>
        </w:rPr>
        <w:t>中标价的5%；其他特殊情况需调整的，需报</w:t>
      </w:r>
      <w:r>
        <w:rPr>
          <w:rFonts w:hint="eastAsia" w:ascii="宋体" w:hAnsi="宋体" w:eastAsia="宋体" w:cs="宋体"/>
          <w:color w:val="auto"/>
          <w:sz w:val="21"/>
          <w:szCs w:val="21"/>
          <w:highlight w:val="none"/>
          <w:lang w:eastAsia="zh-CN"/>
        </w:rPr>
        <w:t>发包人</w:t>
      </w:r>
      <w:r>
        <w:rPr>
          <w:rFonts w:hint="eastAsia" w:ascii="宋体" w:hAnsi="宋体" w:eastAsia="宋体" w:cs="宋体"/>
          <w:color w:val="auto"/>
          <w:sz w:val="21"/>
          <w:szCs w:val="21"/>
          <w:highlight w:val="none"/>
        </w:rPr>
        <w:t>审议同意。</w:t>
      </w:r>
    </w:p>
    <w:p>
      <w:pPr>
        <w:keepNext w:val="0"/>
        <w:keepLines w:val="0"/>
        <w:pageBreakBefore w:val="0"/>
        <w:widowControl w:val="0"/>
        <w:kinsoku/>
        <w:overflowPunct/>
        <w:autoSpaceDE/>
        <w:autoSpaceDN/>
        <w:bidi w:val="0"/>
        <w:snapToGrid w:val="0"/>
        <w:spacing w:line="420" w:lineRule="exact"/>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② 履约担保的返还方式：</w:t>
      </w:r>
      <w:r>
        <w:rPr>
          <w:rFonts w:hint="eastAsia" w:ascii="宋体" w:hAnsi="宋体" w:eastAsia="宋体" w:cs="宋体"/>
          <w:color w:val="auto"/>
          <w:sz w:val="21"/>
          <w:szCs w:val="21"/>
          <w:highlight w:val="none"/>
          <w:u w:val="single"/>
        </w:rPr>
        <w:t>履约担保为银行保函的，在合同工程完工验收合格后返还承包人</w:t>
      </w:r>
      <w:r>
        <w:rPr>
          <w:rFonts w:hint="eastAsia" w:ascii="宋体" w:hAnsi="宋体" w:eastAsia="宋体" w:cs="宋体"/>
          <w:color w:val="auto"/>
          <w:sz w:val="21"/>
          <w:szCs w:val="21"/>
          <w:highlight w:val="none"/>
        </w:rPr>
        <w:t>。</w:t>
      </w:r>
    </w:p>
    <w:p>
      <w:pPr>
        <w:keepNext w:val="0"/>
        <w:keepLines w:val="0"/>
        <w:pageBreakBefore w:val="0"/>
        <w:widowControl w:val="0"/>
        <w:kinsoku/>
        <w:overflowPunct/>
        <w:autoSpaceDE/>
        <w:autoSpaceDN/>
        <w:bidi w:val="0"/>
        <w:snapToGrid w:val="0"/>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银行保函的管理和格式按《广州开发区财政投资建设项目管理中心建设工程保函管理细则》执行</w:t>
      </w:r>
      <w:r>
        <w:rPr>
          <w:rFonts w:hint="eastAsia" w:ascii="宋体" w:hAnsi="宋体" w:eastAsia="宋体" w:cs="宋体"/>
          <w:color w:val="auto"/>
          <w:sz w:val="21"/>
          <w:szCs w:val="21"/>
          <w:highlight w:val="none"/>
        </w:rPr>
        <w:t>。</w:t>
      </w:r>
    </w:p>
    <w:p>
      <w:pPr>
        <w:keepNext w:val="0"/>
        <w:keepLines w:val="0"/>
        <w:pageBreakBefore w:val="0"/>
        <w:widowControl w:val="0"/>
        <w:kinsoku/>
        <w:overflowPunct/>
        <w:autoSpaceDE/>
        <w:autoSpaceDN/>
        <w:bidi w:val="0"/>
        <w:adjustRightInd w:val="0"/>
        <w:snapToGrid w:val="0"/>
        <w:spacing w:line="420" w:lineRule="exact"/>
        <w:ind w:right="11" w:firstLine="420" w:firstLineChars="200"/>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承包人提交的履约担保是对本合同约定的承包人的全部义务（包括但不限于承包人违约后应支付的违约金和赔偿金）的担保，承包人的任何一次不履行或不完全履行合同义务的行为，发包人均有权提出索赔。</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highlight w:val="none"/>
        </w:rPr>
        <w:t>46、合同份数</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46.1双方约定合同正副本份数：</w:t>
      </w:r>
      <w:r>
        <w:rPr>
          <w:rFonts w:hint="eastAsia" w:ascii="宋体" w:hAnsi="宋体" w:eastAsia="宋体" w:cs="宋体"/>
          <w:color w:val="auto"/>
          <w:szCs w:val="21"/>
          <w:highlight w:val="none"/>
          <w:u w:val="single"/>
        </w:rPr>
        <w:t>共拾份，正本一式贰份，发包人承包人各执壹份；副本捌份，发包人</w:t>
      </w:r>
      <w:r>
        <w:rPr>
          <w:rFonts w:hint="eastAsia" w:ascii="宋体" w:hAnsi="宋体" w:eastAsia="宋体" w:cs="宋体"/>
          <w:color w:val="auto"/>
          <w:szCs w:val="21"/>
          <w:highlight w:val="none"/>
          <w:u w:val="single"/>
          <w:lang w:eastAsia="zh-CN"/>
        </w:rPr>
        <w:t>伍</w:t>
      </w:r>
      <w:r>
        <w:rPr>
          <w:rFonts w:hint="eastAsia" w:ascii="宋体" w:hAnsi="宋体" w:eastAsia="宋体" w:cs="宋体"/>
          <w:color w:val="auto"/>
          <w:szCs w:val="21"/>
          <w:highlight w:val="none"/>
          <w:u w:val="single"/>
        </w:rPr>
        <w:t>份，承包人叁份</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napToGrid w:val="0"/>
        <w:spacing w:line="420" w:lineRule="exact"/>
        <w:ind w:firstLine="397"/>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highlight w:val="none"/>
        </w:rPr>
        <w:t>47、补充条款</w:t>
      </w:r>
    </w:p>
    <w:p>
      <w:pPr>
        <w:keepNext w:val="0"/>
        <w:keepLines w:val="0"/>
        <w:pageBreakBefore w:val="0"/>
        <w:widowControl w:val="0"/>
        <w:kinsoku/>
        <w:overflowPunct/>
        <w:autoSpaceDE/>
        <w:autoSpaceDN/>
        <w:bidi w:val="0"/>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安全、文明、科学、规范的施工要求</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pacing w:line="420" w:lineRule="exact"/>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47.1</w:t>
      </w:r>
      <w:r>
        <w:rPr>
          <w:rFonts w:hint="eastAsia" w:ascii="宋体" w:hAnsi="宋体" w:eastAsia="宋体" w:cs="宋体"/>
          <w:color w:val="auto"/>
          <w:szCs w:val="21"/>
          <w:highlight w:val="none"/>
          <w:u w:val="single"/>
        </w:rPr>
        <w:t>承包人在开工前，必须按照广州市、开发区有关要求办理好相应的施工手续方可开工</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pacing w:line="420" w:lineRule="exact"/>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47.2</w:t>
      </w:r>
      <w:r>
        <w:rPr>
          <w:rFonts w:hint="eastAsia" w:ascii="宋体" w:hAnsi="宋体" w:eastAsia="宋体" w:cs="宋体"/>
          <w:color w:val="auto"/>
          <w:szCs w:val="21"/>
          <w:highlight w:val="none"/>
          <w:u w:val="single"/>
        </w:rPr>
        <w:t>施工范围的具体位置及可交付承包人施工安排的用地范围，由承包人根据现场勘察情况报发包人同意确定，建筑轴线控制基点由承包人联系规划局提供</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pacing w:line="420" w:lineRule="exact"/>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47.3</w:t>
      </w:r>
      <w:r>
        <w:rPr>
          <w:rFonts w:hint="eastAsia" w:ascii="宋体" w:hAnsi="宋体" w:eastAsia="宋体" w:cs="宋体"/>
          <w:color w:val="auto"/>
          <w:szCs w:val="21"/>
          <w:highlight w:val="none"/>
          <w:u w:val="single"/>
        </w:rPr>
        <w:t>承包人必须保证在收到中标通知书后五天内进场作好施工准备，十五天内提交有关开工报告、施工组织设计、主要材料厂家、材料品牌的选择报验，完成本工程所需的相关工作（如配合比试验、土工试验、场地原地面标高测量、导线放线及复测工作、水准点加密、现场临时设施建设等工作），经监理工程师批准开工或下达开工令后正式施工</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47.4</w:t>
      </w:r>
      <w:r>
        <w:rPr>
          <w:rFonts w:hint="eastAsia" w:ascii="宋体" w:hAnsi="宋体" w:eastAsia="宋体" w:cs="宋体"/>
          <w:color w:val="auto"/>
          <w:szCs w:val="21"/>
          <w:highlight w:val="none"/>
          <w:u w:val="single"/>
        </w:rPr>
        <w:t>承包人在施工期间要确保工程外场地清洁及道路畅通，如须使用他方道路，则还必须负责养护、保洁责任，否则责任自负。施工和警示标志明显，因施工造成人身损害和财产损失的，由承包人承担责任</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47.5</w:t>
      </w:r>
      <w:r>
        <w:rPr>
          <w:rFonts w:hint="eastAsia" w:ascii="宋体" w:hAnsi="宋体" w:eastAsia="宋体" w:cs="宋体"/>
          <w:color w:val="auto"/>
          <w:szCs w:val="21"/>
          <w:highlight w:val="none"/>
          <w:u w:val="single"/>
        </w:rPr>
        <w:t>承包人必须考虑安全、环保等因素在局部施工范围进行围蔽施工，现场围蔽不符合国家有关安全措施及技术要求的，不得开展施工作业，由此造成的工期延长，由承包人自己负责，当作延误工期处理</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pacing w:line="420" w:lineRule="exact"/>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47.6</w:t>
      </w:r>
      <w:r>
        <w:rPr>
          <w:rFonts w:hint="eastAsia" w:ascii="宋体" w:hAnsi="宋体" w:eastAsia="宋体" w:cs="宋体"/>
          <w:color w:val="auto"/>
          <w:szCs w:val="21"/>
          <w:highlight w:val="none"/>
          <w:u w:val="single"/>
        </w:rPr>
        <w:t>承包人应注意对现有的道路、供水管、排水管、绿化、路灯、电力与通讯设施等进行保护，如因承包人原因损坏，承包人应无条件修复，由此引起的任何安全事故由承包人负责，并承担由此产生的一切费用。若承包人不能按要求修复的，则由发包人委托其它单位修复，费用从承包人工程款中扣付</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pacing w:line="420" w:lineRule="exact"/>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47.7</w:t>
      </w:r>
      <w:r>
        <w:rPr>
          <w:rFonts w:hint="eastAsia" w:ascii="宋体" w:hAnsi="宋体" w:eastAsia="宋体" w:cs="宋体"/>
          <w:color w:val="auto"/>
          <w:szCs w:val="21"/>
          <w:highlight w:val="none"/>
          <w:u w:val="single"/>
        </w:rPr>
        <w:t>场内土方开挖时，承包人向发包人书面申请，并按发包人的书面批复进行调配平衡，不得任意处置，多余土方由承包人自行安排外运，</w:t>
      </w:r>
      <w:r>
        <w:rPr>
          <w:rFonts w:hint="eastAsia" w:ascii="宋体" w:hAnsi="宋体" w:eastAsia="宋体" w:cs="宋体"/>
          <w:color w:val="auto"/>
          <w:sz w:val="21"/>
          <w:szCs w:val="21"/>
          <w:highlight w:val="none"/>
          <w:u w:val="single"/>
        </w:rPr>
        <w:t>合同工程完工</w:t>
      </w:r>
      <w:r>
        <w:rPr>
          <w:rFonts w:hint="eastAsia" w:ascii="宋体" w:hAnsi="宋体" w:eastAsia="宋体" w:cs="宋体"/>
          <w:color w:val="auto"/>
          <w:sz w:val="21"/>
          <w:szCs w:val="21"/>
          <w:highlight w:val="none"/>
          <w:u w:val="single"/>
          <w:lang w:eastAsia="zh-CN"/>
        </w:rPr>
        <w:t>验收后</w:t>
      </w:r>
      <w:r>
        <w:rPr>
          <w:rFonts w:hint="eastAsia" w:ascii="宋体" w:hAnsi="宋体" w:eastAsia="宋体" w:cs="宋体"/>
          <w:color w:val="auto"/>
          <w:szCs w:val="21"/>
          <w:highlight w:val="none"/>
          <w:u w:val="single"/>
        </w:rPr>
        <w:t>退场时必须清理施工现场，并达到发包人要求；若承包人未及时外运，则由发包人另行委托其他单位外运，所需费用从承包人工程款中扣付</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pacing w:line="420" w:lineRule="exact"/>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47.8</w:t>
      </w:r>
      <w:r>
        <w:rPr>
          <w:rFonts w:hint="eastAsia" w:ascii="宋体" w:hAnsi="宋体" w:eastAsia="宋体" w:cs="宋体"/>
          <w:color w:val="auto"/>
          <w:szCs w:val="21"/>
          <w:highlight w:val="none"/>
          <w:u w:val="single"/>
        </w:rPr>
        <w:t>若遇阻碍施工需拆迁的旧建（构）筑物、地下孤石等障碍物，由承包人</w:t>
      </w:r>
      <w:r>
        <w:rPr>
          <w:rFonts w:hint="eastAsia" w:ascii="宋体" w:hAnsi="宋体" w:eastAsia="宋体" w:cs="宋体"/>
          <w:color w:val="auto"/>
          <w:szCs w:val="21"/>
          <w:highlight w:val="none"/>
          <w:u w:val="single"/>
          <w:lang w:eastAsia="zh-CN"/>
        </w:rPr>
        <w:t>负责清障</w:t>
      </w:r>
      <w:r>
        <w:rPr>
          <w:rFonts w:hint="eastAsia" w:ascii="宋体" w:hAnsi="宋体" w:eastAsia="宋体" w:cs="宋体"/>
          <w:color w:val="auto"/>
          <w:szCs w:val="21"/>
          <w:highlight w:val="none"/>
          <w:u w:val="single"/>
        </w:rPr>
        <w:t>，所需清障费用经监理、发包人现场签证调整</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47.9</w:t>
      </w:r>
      <w:r>
        <w:rPr>
          <w:rFonts w:hint="eastAsia" w:ascii="宋体" w:hAnsi="宋体" w:eastAsia="宋体" w:cs="宋体"/>
          <w:color w:val="auto"/>
          <w:szCs w:val="21"/>
          <w:highlight w:val="none"/>
          <w:u w:val="single"/>
        </w:rPr>
        <w:t>在工程完成初验及工程实物移交给发包人或开发区有关的接收单位或部门后一个月内，承包人必须拆除本工程全部的施工临时设施，做到工完场清；否则，发包人有权安排清拆，由此所发生的一切费用在承包人的结算工程款中扣除</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pacing w:line="420" w:lineRule="exact"/>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47.10</w:t>
      </w:r>
      <w:r>
        <w:rPr>
          <w:rFonts w:hint="eastAsia" w:ascii="宋体" w:hAnsi="宋体" w:eastAsia="宋体" w:cs="宋体"/>
          <w:color w:val="auto"/>
          <w:szCs w:val="21"/>
          <w:highlight w:val="none"/>
          <w:u w:val="single"/>
        </w:rPr>
        <w:t>双方根据国家有关规定，结合具体工程约定质量缺陷责任期如下</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pacing w:line="420" w:lineRule="exact"/>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u w:val="single"/>
        </w:rPr>
        <w:t>基础设施工程、房屋建筑的地基基础工程和主体结构工程为2年</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pacing w:line="420" w:lineRule="exact"/>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u w:val="single"/>
        </w:rPr>
        <w:t>屋面防水工程为 2 年，室外装饰工程为 2 年</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pacing w:line="420" w:lineRule="exact"/>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u w:val="single"/>
        </w:rPr>
        <w:t>电力管线、上下水管线安装工程为 2 年</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pacing w:line="420" w:lineRule="exact"/>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u w:val="single"/>
        </w:rPr>
        <w:t>供热及供冷为 2 个采暖期及供冷期</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pacing w:line="420" w:lineRule="exact"/>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u w:val="single"/>
        </w:rPr>
        <w:t>室外的上下水和小区道路等市政公用工程为 2 年</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pacing w:line="420" w:lineRule="exact"/>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u w:val="single"/>
        </w:rPr>
        <w:t>市政道路排水工程为 2 年，市政供水工程为 2 年</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pacing w:line="420" w:lineRule="exact"/>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7、</w:t>
      </w:r>
      <w:r>
        <w:rPr>
          <w:rFonts w:hint="eastAsia" w:ascii="宋体" w:hAnsi="宋体" w:eastAsia="宋体" w:cs="宋体"/>
          <w:color w:val="auto"/>
          <w:szCs w:val="21"/>
          <w:highlight w:val="none"/>
          <w:u w:val="single"/>
        </w:rPr>
        <w:t>市政供电工程为 2 年，市政道路照明工程 2 年，市政交通设施工程为 2 年</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pacing w:line="420" w:lineRule="exact"/>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8、</w:t>
      </w:r>
      <w:r>
        <w:rPr>
          <w:rFonts w:hint="eastAsia" w:ascii="宋体" w:hAnsi="宋体" w:eastAsia="宋体" w:cs="宋体"/>
          <w:color w:val="auto"/>
          <w:szCs w:val="21"/>
          <w:highlight w:val="none"/>
          <w:u w:val="single"/>
        </w:rPr>
        <w:t>园林建筑工程为1年，喷淋工程为2年，胸径15cm以内（含15cm）的苗木养护期为3个月，胸径15cm以上的苗木养护期为1年</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r>
        <w:rPr>
          <w:rFonts w:hint="eastAsia" w:ascii="宋体" w:hAnsi="宋体" w:eastAsia="宋体" w:cs="宋体"/>
          <w:color w:val="auto"/>
          <w:szCs w:val="21"/>
          <w:highlight w:val="none"/>
          <w:u w:val="single"/>
        </w:rPr>
        <w:t>水利工程</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lang w:val="en-US" w:eastAsia="zh-CN"/>
        </w:rPr>
        <w:t>1个</w:t>
      </w:r>
      <w:r>
        <w:rPr>
          <w:rFonts w:hint="eastAsia" w:ascii="宋体" w:hAnsi="宋体" w:eastAsia="宋体" w:cs="宋体"/>
          <w:color w:val="auto"/>
          <w:szCs w:val="21"/>
          <w:highlight w:val="none"/>
          <w:u w:val="single"/>
        </w:rPr>
        <w:t>防汛期。</w:t>
      </w:r>
    </w:p>
    <w:p>
      <w:pPr>
        <w:keepNext w:val="0"/>
        <w:keepLines w:val="0"/>
        <w:pageBreakBefore w:val="0"/>
        <w:widowControl w:val="0"/>
        <w:kinsoku/>
        <w:overflowPunct/>
        <w:autoSpaceDE/>
        <w:autoSpaceDN/>
        <w:bidi w:val="0"/>
        <w:spacing w:line="420" w:lineRule="exact"/>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lang w:val="en-US" w:eastAsia="zh-CN"/>
        </w:rPr>
        <w:t>10、</w:t>
      </w:r>
      <w:r>
        <w:rPr>
          <w:rFonts w:hint="eastAsia" w:ascii="宋体" w:hAnsi="宋体" w:eastAsia="宋体" w:cs="宋体"/>
          <w:color w:val="auto"/>
          <w:szCs w:val="21"/>
          <w:highlight w:val="none"/>
          <w:u w:val="single"/>
        </w:rPr>
        <w:t>除上述专业工程外其它工程的质量缺陷责任期按相关规定或经双方另行协商确定</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pacing w:line="420" w:lineRule="exact"/>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本工程质量缺陷责任期从广州开发区管委会或其相关职能部门批准的提前移交之日或者正式通过</w:t>
      </w:r>
      <w:r>
        <w:rPr>
          <w:rFonts w:hint="eastAsia" w:ascii="宋体" w:hAnsi="宋体" w:eastAsia="宋体" w:cs="宋体"/>
          <w:color w:val="auto"/>
          <w:sz w:val="21"/>
          <w:szCs w:val="21"/>
          <w:highlight w:val="none"/>
          <w:u w:val="single"/>
        </w:rPr>
        <w:t>合同工程完工验收</w:t>
      </w:r>
      <w:r>
        <w:rPr>
          <w:rFonts w:hint="eastAsia" w:ascii="宋体" w:hAnsi="宋体" w:eastAsia="宋体" w:cs="宋体"/>
          <w:color w:val="auto"/>
          <w:szCs w:val="21"/>
          <w:highlight w:val="none"/>
          <w:u w:val="single"/>
        </w:rPr>
        <w:t>之日（以先发生日期为准）算起。缺陷责任期内，由承包人原因造成的缺陷，承包人应负责维修，并承担鉴定及维修费用。如承包人不维修也不承担费用，发包人可按合同约定扣除质量保修金，并由承包人承担违约责任。承包人维修并承担相应费用后，不免除对工程的一般损失赔偿责任</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47.11</w:t>
      </w:r>
      <w:r>
        <w:rPr>
          <w:rFonts w:hint="eastAsia" w:ascii="宋体" w:hAnsi="宋体" w:eastAsia="宋体" w:cs="宋体"/>
          <w:color w:val="auto"/>
          <w:szCs w:val="21"/>
          <w:highlight w:val="none"/>
          <w:u w:val="single"/>
        </w:rPr>
        <w:t>本工程的保修期按本合同《工程质量保修责任书》规定的保修期限实行。在保修期内因施工质量而造成返修，其费用由承包人负责。工程质量按市政工程现行验评标准组织验收认定</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pacing w:line="420" w:lineRule="exact"/>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47.12施工现场生活区应设置信息公示栏，每月10日前将上月作业工人考勤和工资结算和支付信息在信息公示栏进行公示，公示期不少于5天。</w:t>
      </w:r>
    </w:p>
    <w:p>
      <w:pPr>
        <w:keepNext w:val="0"/>
        <w:keepLines w:val="0"/>
        <w:pageBreakBefore w:val="0"/>
        <w:widowControl w:val="0"/>
        <w:kinsoku/>
        <w:overflowPunct/>
        <w:autoSpaceDE/>
        <w:autoSpaceDN/>
        <w:bidi w:val="0"/>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（农民工佣工要求）</w:t>
      </w:r>
    </w:p>
    <w:p>
      <w:pPr>
        <w:keepNext w:val="0"/>
        <w:keepLines w:val="0"/>
        <w:pageBreakBefore w:val="0"/>
        <w:widowControl w:val="0"/>
        <w:kinsoku/>
        <w:overflowPunct/>
        <w:autoSpaceDE/>
        <w:autoSpaceDN/>
        <w:bidi w:val="0"/>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47.13</w:t>
      </w:r>
      <w:r>
        <w:rPr>
          <w:rFonts w:hint="eastAsia" w:ascii="宋体" w:hAnsi="宋体" w:eastAsia="宋体" w:cs="宋体"/>
          <w:color w:val="auto"/>
          <w:szCs w:val="21"/>
          <w:highlight w:val="none"/>
          <w:u w:val="single"/>
        </w:rPr>
        <w:t>承包人必须按照穗开规『2004』58号文的有关要求及规定优先使用广州开发区的农民工</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pacing w:line="420" w:lineRule="exact"/>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47.14</w:t>
      </w:r>
      <w:r>
        <w:rPr>
          <w:rFonts w:hint="eastAsia" w:ascii="宋体" w:hAnsi="宋体" w:eastAsia="宋体" w:cs="宋体"/>
          <w:color w:val="auto"/>
          <w:szCs w:val="21"/>
          <w:highlight w:val="none"/>
          <w:u w:val="single"/>
        </w:rPr>
        <w:t>承包人必须严格执行穗开纪[2005]10号文的规定和要求，在本工程施工中使用劳工时，一律由承包人签订用工合同，建立工资直接支付制度，承包人每月按时发放劳工工资，自觉接受发包人和主管部门的监督，不论何种原因决不拖欠或克扣劳工工资。否则，可由员工代表知会有关部门，或拨打投诉电话。承包人必须将上述内容在本工程开工的十日内向全体员工张榜公开。如承包人违约，发包人有权解除合同，并追究承包人由此给发包人造成的一切损失</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pacing w:line="420" w:lineRule="exact"/>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47.15</w:t>
      </w:r>
      <w:r>
        <w:rPr>
          <w:rFonts w:hint="eastAsia" w:ascii="宋体" w:hAnsi="宋体" w:eastAsia="宋体" w:cs="宋体"/>
          <w:color w:val="auto"/>
          <w:sz w:val="21"/>
          <w:szCs w:val="21"/>
          <w:highlight w:val="none"/>
          <w:u w:val="single"/>
        </w:rPr>
        <w:t>承包人应按照《广州市住房和城乡建设委员会关于印发&lt;广州市建筑施工实名制管理办法&gt;的通知》（穗建规字[2017]4号）、《关于印发广州市建设领域工人工资支付分帐管理实施细则的通知》（穗建规字[2020]37号）、《广州市根治拖欠农民工工资工作领导小组办公室关于广州市建设领域工程项目全面实施农民工工资总包代发制度的通知》及广州市黄埔区、开发区对应出台的相关文件规定办理建筑工地实名制管理和工人工资支付分帐管理事宜；防止出现拖欠工人工资情况。承包人违法转包、分包工程的或其他承包人原因导致相应工程出现拖欠工人工资情况的，承包人对拖欠工人工资承担清偿责任，对此引起的纠纷负全责，造成</w:t>
      </w:r>
      <w:r>
        <w:rPr>
          <w:rFonts w:hint="eastAsia" w:ascii="宋体" w:hAnsi="宋体" w:eastAsia="宋体" w:cs="宋体"/>
          <w:color w:val="auto"/>
          <w:sz w:val="21"/>
          <w:szCs w:val="21"/>
          <w:highlight w:val="none"/>
          <w:u w:val="single"/>
          <w:lang w:eastAsia="zh-CN"/>
        </w:rPr>
        <w:t>发包人</w:t>
      </w:r>
      <w:r>
        <w:rPr>
          <w:rFonts w:hint="eastAsia" w:ascii="宋体" w:hAnsi="宋体" w:eastAsia="宋体" w:cs="宋体"/>
          <w:color w:val="auto"/>
          <w:sz w:val="21"/>
          <w:szCs w:val="21"/>
          <w:highlight w:val="none"/>
          <w:u w:val="single"/>
        </w:rPr>
        <w:t>损失（包括但不限于</w:t>
      </w:r>
      <w:r>
        <w:rPr>
          <w:rFonts w:hint="eastAsia" w:ascii="宋体" w:hAnsi="宋体" w:eastAsia="宋体" w:cs="宋体"/>
          <w:color w:val="auto"/>
          <w:sz w:val="21"/>
          <w:szCs w:val="21"/>
          <w:highlight w:val="none"/>
          <w:u w:val="single"/>
          <w:lang w:eastAsia="zh-CN"/>
        </w:rPr>
        <w:t>发包人</w:t>
      </w:r>
      <w:r>
        <w:rPr>
          <w:rFonts w:hint="eastAsia" w:ascii="宋体" w:hAnsi="宋体" w:eastAsia="宋体" w:cs="宋体"/>
          <w:color w:val="auto"/>
          <w:sz w:val="21"/>
          <w:szCs w:val="21"/>
          <w:highlight w:val="none"/>
          <w:u w:val="single"/>
        </w:rPr>
        <w:t>因此而支付的赔偿款、律师费、诉讼费、保全费、公证费、鉴定费等）的，承包人须承担全部责任。</w:t>
      </w:r>
    </w:p>
    <w:p>
      <w:pPr>
        <w:keepNext w:val="0"/>
        <w:keepLines w:val="0"/>
        <w:pageBreakBefore w:val="0"/>
        <w:widowControl w:val="0"/>
        <w:kinsoku/>
        <w:overflowPunct/>
        <w:autoSpaceDE/>
        <w:autoSpaceDN/>
        <w:bidi w:val="0"/>
        <w:spacing w:line="420" w:lineRule="exact"/>
        <w:ind w:firstLine="420" w:firstLineChars="200"/>
        <w:textAlignment w:val="auto"/>
        <w:rPr>
          <w:rFonts w:hint="eastAsia" w:ascii="宋体" w:hAnsi="宋体" w:eastAsia="宋体" w:cs="宋体"/>
          <w:b/>
          <w:color w:val="auto"/>
          <w:sz w:val="28"/>
          <w:szCs w:val="28"/>
          <w:highlight w:val="none"/>
        </w:rPr>
      </w:pPr>
      <w:r>
        <w:rPr>
          <w:rFonts w:hint="eastAsia" w:ascii="宋体" w:hAnsi="宋体" w:eastAsia="宋体" w:cs="宋体"/>
          <w:color w:val="auto"/>
          <w:szCs w:val="21"/>
          <w:highlight w:val="none"/>
        </w:rPr>
        <w:t>47.16</w:t>
      </w:r>
      <w:r>
        <w:rPr>
          <w:rFonts w:hint="eastAsia" w:ascii="宋体" w:hAnsi="宋体" w:eastAsia="宋体" w:cs="宋体"/>
          <w:color w:val="auto"/>
          <w:szCs w:val="21"/>
          <w:highlight w:val="none"/>
          <w:u w:val="single"/>
        </w:rPr>
        <w:t>若承包人在本工程内发生无故拖欠农民工工资现象，将被作不良记录，上报区建设行政主管部门</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若承包人转包或者违法分包造成拖欠工人工资的，除上报区建设行政主管部门外，还将提请省建设行业主管部门禁止在广东省行政区域范围内承包工程。</w:t>
      </w:r>
    </w:p>
    <w:p>
      <w:pPr>
        <w:keepNext w:val="0"/>
        <w:keepLines w:val="0"/>
        <w:pageBreakBefore w:val="0"/>
        <w:widowControl w:val="0"/>
        <w:kinsoku/>
        <w:overflowPunct/>
        <w:autoSpaceDE/>
        <w:autoSpaceDN/>
        <w:bidi w:val="0"/>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（项目管理机构人员、机械设备、劳动力到位方面的要求）</w:t>
      </w:r>
    </w:p>
    <w:p>
      <w:pPr>
        <w:keepNext w:val="0"/>
        <w:keepLines w:val="0"/>
        <w:pageBreakBefore w:val="0"/>
        <w:widowControl w:val="0"/>
        <w:kinsoku/>
        <w:overflowPunct/>
        <w:autoSpaceDE/>
        <w:autoSpaceDN/>
        <w:bidi w:val="0"/>
        <w:snapToGrid w:val="0"/>
        <w:spacing w:line="420" w:lineRule="exact"/>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47.17</w:t>
      </w:r>
      <w:r>
        <w:rPr>
          <w:rFonts w:hint="eastAsia" w:ascii="宋体" w:hAnsi="宋体" w:eastAsia="宋体" w:cs="宋体"/>
          <w:color w:val="auto"/>
          <w:szCs w:val="21"/>
          <w:highlight w:val="none"/>
          <w:u w:val="single"/>
        </w:rPr>
        <w:t>合同签订后，项目负责人、项目班子主要成员不到位，则工程师不签发开工令，工期不顺延。施工中班子主要成员离开工地应向工程师请假，经批准后才能离开，擅自离开工地，工程师将发出停工令，待人员回到岗位后才批准复工，由此产生的工期和经济损失由承包人自负，造成发包人和建设管理方损失的，发包人和建设管理方保留索赔的权利</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napToGrid w:val="0"/>
        <w:spacing w:line="420" w:lineRule="exact"/>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47.18</w:t>
      </w:r>
      <w:r>
        <w:rPr>
          <w:rFonts w:hint="eastAsia" w:ascii="宋体" w:hAnsi="宋体" w:eastAsia="宋体" w:cs="宋体"/>
          <w:color w:val="auto"/>
          <w:szCs w:val="21"/>
          <w:highlight w:val="none"/>
          <w:u w:val="single"/>
        </w:rPr>
        <w:t>尽管承包人已按投标文件附表中所列的数量派遣了各类管理人员，但若监理工程师经论证认为这些人员仍不足以适应现场施工的需要且不能保证工程质量时，监理工程师有权要求承包人继续增派或雇佣这类人员，并书面通知承包人和抄送发包人。承包人在接到上述通知后应立即执行监理工程师的上述指示，不得无故拖延</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napToGrid w:val="0"/>
        <w:spacing w:line="420" w:lineRule="exact"/>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47.19</w:t>
      </w:r>
      <w:r>
        <w:rPr>
          <w:rFonts w:hint="eastAsia" w:ascii="宋体" w:hAnsi="宋体" w:eastAsia="宋体" w:cs="宋体"/>
          <w:color w:val="auto"/>
          <w:szCs w:val="21"/>
          <w:highlight w:val="none"/>
          <w:u w:val="single"/>
        </w:rPr>
        <w:t>现场施工时，施工员（技术员）不在施工现场不得施工，否则发包人可随时要求停工，工期延误由承包人负责</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napToGrid w:val="0"/>
        <w:spacing w:line="420" w:lineRule="exact"/>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47.20</w:t>
      </w:r>
      <w:r>
        <w:rPr>
          <w:rFonts w:hint="eastAsia" w:ascii="宋体" w:hAnsi="宋体" w:eastAsia="宋体" w:cs="宋体"/>
          <w:color w:val="auto"/>
          <w:szCs w:val="21"/>
          <w:highlight w:val="none"/>
          <w:u w:val="single"/>
        </w:rPr>
        <w:t>承包人派往现场的管理人员若因不负责任、或玩忽职守、或严重失职等给发包人造成经济损失，承包人承担相应的经济责任和连带法律责任</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napToGrid w:val="0"/>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 w:val="24"/>
          <w:szCs w:val="24"/>
          <w:highlight w:val="none"/>
        </w:rPr>
        <w:t>投标报价及造价承包和变更结算方式的要求</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pacing w:line="420" w:lineRule="exact"/>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47.21</w:t>
      </w:r>
      <w:r>
        <w:rPr>
          <w:rFonts w:hint="eastAsia" w:ascii="宋体" w:hAnsi="宋体" w:eastAsia="宋体" w:cs="宋体"/>
          <w:color w:val="auto"/>
          <w:sz w:val="21"/>
          <w:szCs w:val="21"/>
          <w:highlight w:val="none"/>
          <w:u w:val="single"/>
        </w:rPr>
        <w:t>工程量清单报价中有关问题的说明：</w:t>
      </w:r>
    </w:p>
    <w:p>
      <w:pPr>
        <w:keepNext w:val="0"/>
        <w:keepLines w:val="0"/>
        <w:pageBreakBefore w:val="0"/>
        <w:widowControl w:val="0"/>
        <w:kinsoku/>
        <w:overflowPunct/>
        <w:autoSpaceDE/>
        <w:autoSpaceDN/>
        <w:bidi w:val="0"/>
        <w:spacing w:line="420" w:lineRule="exact"/>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① </w:t>
      </w:r>
      <w:r>
        <w:rPr>
          <w:rFonts w:hint="eastAsia" w:ascii="宋体" w:hAnsi="宋体" w:eastAsia="宋体" w:cs="宋体"/>
          <w:color w:val="auto"/>
          <w:sz w:val="21"/>
          <w:szCs w:val="21"/>
          <w:highlight w:val="none"/>
          <w:u w:val="single"/>
        </w:rPr>
        <w:t>工程量清单中的标志杆基础中的土方开挖、运输、外运等费用包含在相应项目中，不包含在土石方工程的相关项目中</w:t>
      </w:r>
      <w:r>
        <w:rPr>
          <w:rFonts w:hint="eastAsia" w:ascii="宋体" w:hAnsi="宋体" w:eastAsia="宋体" w:cs="宋体"/>
          <w:color w:val="auto"/>
          <w:sz w:val="21"/>
          <w:szCs w:val="21"/>
          <w:highlight w:val="none"/>
        </w:rPr>
        <w:t>；</w:t>
      </w:r>
    </w:p>
    <w:p>
      <w:pPr>
        <w:keepNext w:val="0"/>
        <w:keepLines w:val="0"/>
        <w:pageBreakBefore w:val="0"/>
        <w:widowControl w:val="0"/>
        <w:kinsoku/>
        <w:overflowPunct/>
        <w:autoSpaceDE/>
        <w:autoSpaceDN/>
        <w:bidi w:val="0"/>
        <w:spacing w:line="420" w:lineRule="exact"/>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② </w:t>
      </w:r>
      <w:r>
        <w:rPr>
          <w:rFonts w:hint="eastAsia" w:ascii="宋体" w:hAnsi="宋体" w:eastAsia="宋体" w:cs="宋体"/>
          <w:color w:val="auto"/>
          <w:sz w:val="21"/>
          <w:szCs w:val="21"/>
          <w:highlight w:val="none"/>
          <w:u w:val="single"/>
        </w:rPr>
        <w:t>投标时,土方的弃运距离暂按15km内考虑，超过15km按15km计算，结算时按招标人确认的实际运距计算,实际运距超过15公里时按15公里包干,弃运的土方单价按定额计算。</w:t>
      </w:r>
    </w:p>
    <w:p>
      <w:pPr>
        <w:keepNext w:val="0"/>
        <w:keepLines w:val="0"/>
        <w:pageBreakBefore w:val="0"/>
        <w:widowControl w:val="0"/>
        <w:kinsoku/>
        <w:overflowPunct/>
        <w:autoSpaceDE/>
        <w:autoSpaceDN/>
        <w:bidi w:val="0"/>
        <w:spacing w:line="420" w:lineRule="exact"/>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③</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安全生产</w:t>
      </w:r>
      <w:r>
        <w:rPr>
          <w:rFonts w:hint="eastAsia" w:ascii="宋体" w:hAnsi="宋体" w:eastAsia="宋体" w:cs="宋体"/>
          <w:color w:val="auto"/>
          <w:sz w:val="21"/>
          <w:szCs w:val="21"/>
          <w:highlight w:val="none"/>
          <w:u w:val="single"/>
        </w:rPr>
        <w:t>措施费执行《广东省住房和城乡建设厅关于印发&lt;广东省建设工程计价依据（2018)&gt;的通知》（穗建市〔2019〕6号）文，按发包人公布的本工程招标控制价中的</w:t>
      </w:r>
      <w:r>
        <w:rPr>
          <w:rFonts w:hint="eastAsia" w:ascii="宋体" w:hAnsi="宋体" w:eastAsia="宋体" w:cs="宋体"/>
          <w:color w:val="auto"/>
          <w:sz w:val="21"/>
          <w:szCs w:val="21"/>
          <w:highlight w:val="none"/>
          <w:u w:val="single"/>
          <w:lang w:eastAsia="zh-CN"/>
        </w:rPr>
        <w:t>安全生产</w:t>
      </w:r>
      <w:r>
        <w:rPr>
          <w:rFonts w:hint="eastAsia" w:ascii="宋体" w:hAnsi="宋体" w:eastAsia="宋体" w:cs="宋体"/>
          <w:color w:val="auto"/>
          <w:sz w:val="21"/>
          <w:szCs w:val="21"/>
          <w:highlight w:val="none"/>
          <w:u w:val="single"/>
        </w:rPr>
        <w:t>措施费计取，作为非竞争费用，在投标报价中单列，不参与投标竞价，该费用从工程施工中标价中提取，专款专用</w:t>
      </w:r>
      <w:r>
        <w:rPr>
          <w:rFonts w:hint="eastAsia" w:ascii="宋体" w:hAnsi="宋体" w:eastAsia="宋体" w:cs="宋体"/>
          <w:color w:val="auto"/>
          <w:sz w:val="21"/>
          <w:szCs w:val="21"/>
          <w:highlight w:val="none"/>
        </w:rPr>
        <w:t>。</w:t>
      </w:r>
    </w:p>
    <w:p>
      <w:pPr>
        <w:keepNext w:val="0"/>
        <w:keepLines w:val="0"/>
        <w:pageBreakBefore w:val="0"/>
        <w:widowControl w:val="0"/>
        <w:kinsoku/>
        <w:overflowPunct/>
        <w:autoSpaceDE/>
        <w:autoSpaceDN/>
        <w:bidi w:val="0"/>
        <w:spacing w:line="420" w:lineRule="exact"/>
        <w:ind w:firstLine="420" w:firstLineChars="200"/>
        <w:textAlignment w:val="auto"/>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 w:val="21"/>
          <w:szCs w:val="21"/>
          <w:highlight w:val="none"/>
        </w:rPr>
        <w:t>47.22</w:t>
      </w:r>
      <w:r>
        <w:rPr>
          <w:rFonts w:hint="eastAsia" w:ascii="宋体" w:hAnsi="宋体" w:eastAsia="宋体" w:cs="宋体"/>
          <w:color w:val="auto"/>
          <w:sz w:val="21"/>
          <w:szCs w:val="21"/>
          <w:highlight w:val="none"/>
          <w:u w:val="single"/>
        </w:rPr>
        <w:t>本工程承包人通过现场考察，提出具体施工方案，无论在工程施工期间或是在质量保修期内，若因施工而引起的一切索赔、赔偿、诉讼费用和其他开支，由承包人承担全部责任。该项费用在措施项目费中设有独立单项项目，该费用包干使用（施工围蔽费用除外），且承包人不得以任何理由要求发包人另行增加该部分费用（承包人要充分考虑最不利因素影响而采用的施工方案所需的费用）</w:t>
      </w:r>
      <w:r>
        <w:rPr>
          <w:rFonts w:hint="eastAsia" w:ascii="宋体" w:hAnsi="宋体" w:eastAsia="宋体" w:cs="宋体"/>
          <w:color w:val="auto"/>
          <w:sz w:val="21"/>
          <w:szCs w:val="21"/>
          <w:highlight w:val="none"/>
        </w:rPr>
        <w:t>。</w:t>
      </w:r>
    </w:p>
    <w:p>
      <w:pPr>
        <w:keepNext w:val="0"/>
        <w:keepLines w:val="0"/>
        <w:pageBreakBefore w:val="0"/>
        <w:widowControl w:val="0"/>
        <w:kinsoku/>
        <w:overflowPunct/>
        <w:autoSpaceDE/>
        <w:autoSpaceDN/>
        <w:bidi w:val="0"/>
        <w:spacing w:line="420" w:lineRule="exact"/>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lang w:val="en-US" w:eastAsia="zh-CN"/>
        </w:rPr>
        <w:t>47.23</w:t>
      </w:r>
      <w:r>
        <w:rPr>
          <w:rFonts w:hint="eastAsia" w:ascii="宋体" w:hAnsi="宋体" w:eastAsia="宋体" w:cs="宋体"/>
          <w:color w:val="auto"/>
          <w:szCs w:val="21"/>
          <w:highlight w:val="none"/>
          <w:u w:val="single"/>
          <w:lang w:eastAsia="zh-CN"/>
        </w:rPr>
        <w:t>承包人</w:t>
      </w:r>
      <w:r>
        <w:rPr>
          <w:rFonts w:hint="eastAsia" w:ascii="宋体" w:hAnsi="宋体" w:eastAsia="宋体" w:cs="宋体"/>
          <w:color w:val="auto"/>
          <w:szCs w:val="21"/>
          <w:highlight w:val="none"/>
          <w:u w:val="single"/>
        </w:rPr>
        <w:t>应结合本工程招标内容对现场进行充分的调查，充分考虑工程招标内容及施工组织方案，承包单位应与相关管理部门（如铁路管理部门）协商，取得同意协调，按要求完成工程招标内容，工程及相关费用包含在</w:t>
      </w:r>
      <w:r>
        <w:rPr>
          <w:rFonts w:hint="eastAsia" w:ascii="宋体" w:hAnsi="宋体" w:eastAsia="宋体" w:cs="宋体"/>
          <w:color w:val="auto"/>
          <w:szCs w:val="21"/>
          <w:highlight w:val="none"/>
          <w:u w:val="single"/>
          <w:lang w:eastAsia="zh-CN"/>
        </w:rPr>
        <w:t>合同价</w:t>
      </w:r>
      <w:r>
        <w:rPr>
          <w:rFonts w:hint="eastAsia" w:ascii="宋体" w:hAnsi="宋体" w:eastAsia="宋体" w:cs="宋体"/>
          <w:color w:val="auto"/>
          <w:szCs w:val="21"/>
          <w:highlight w:val="none"/>
          <w:u w:val="single"/>
        </w:rPr>
        <w:t>中，</w:t>
      </w:r>
      <w:r>
        <w:rPr>
          <w:rFonts w:hint="eastAsia" w:ascii="宋体" w:hAnsi="宋体" w:eastAsia="宋体" w:cs="宋体"/>
          <w:color w:val="auto"/>
          <w:szCs w:val="21"/>
          <w:highlight w:val="none"/>
          <w:u w:val="single"/>
          <w:lang w:eastAsia="zh-CN"/>
        </w:rPr>
        <w:t>不另行计费。</w:t>
      </w:r>
      <w:r>
        <w:rPr>
          <w:rFonts w:hint="eastAsia" w:ascii="宋体" w:hAnsi="宋体" w:eastAsia="宋体" w:cs="宋体"/>
          <w:color w:val="auto"/>
          <w:szCs w:val="21"/>
          <w:highlight w:val="none"/>
          <w:u w:val="single"/>
        </w:rPr>
        <w:t>如果</w:t>
      </w:r>
      <w:r>
        <w:rPr>
          <w:rFonts w:hint="eastAsia" w:ascii="宋体" w:hAnsi="宋体" w:eastAsia="宋体" w:cs="宋体"/>
          <w:color w:val="auto"/>
          <w:szCs w:val="21"/>
          <w:highlight w:val="none"/>
          <w:u w:val="single"/>
          <w:lang w:eastAsia="zh-CN"/>
        </w:rPr>
        <w:t>承包</w:t>
      </w:r>
      <w:r>
        <w:rPr>
          <w:rFonts w:hint="eastAsia" w:ascii="宋体" w:hAnsi="宋体" w:eastAsia="宋体" w:cs="宋体"/>
          <w:color w:val="auto"/>
          <w:szCs w:val="21"/>
          <w:highlight w:val="none"/>
          <w:u w:val="single"/>
        </w:rPr>
        <w:t>人不及时按要求完成，</w:t>
      </w:r>
      <w:r>
        <w:rPr>
          <w:rFonts w:hint="eastAsia" w:ascii="宋体" w:hAnsi="宋体" w:eastAsia="宋体" w:cs="宋体"/>
          <w:color w:val="auto"/>
          <w:szCs w:val="21"/>
          <w:highlight w:val="none"/>
          <w:u w:val="single"/>
          <w:lang w:eastAsia="zh-CN"/>
        </w:rPr>
        <w:t>发包人</w:t>
      </w:r>
      <w:r>
        <w:rPr>
          <w:rFonts w:hint="eastAsia" w:ascii="宋体" w:hAnsi="宋体" w:eastAsia="宋体" w:cs="宋体"/>
          <w:color w:val="auto"/>
          <w:szCs w:val="21"/>
          <w:highlight w:val="none"/>
          <w:u w:val="single"/>
        </w:rPr>
        <w:t>可以另行委托实施，</w:t>
      </w:r>
      <w:r>
        <w:rPr>
          <w:rFonts w:hint="eastAsia" w:ascii="宋体" w:hAnsi="宋体" w:eastAsia="宋体" w:cs="宋体"/>
          <w:color w:val="auto"/>
          <w:szCs w:val="21"/>
          <w:highlight w:val="none"/>
          <w:u w:val="single"/>
          <w:lang w:eastAsia="zh-CN"/>
        </w:rPr>
        <w:t>发包人</w:t>
      </w:r>
      <w:r>
        <w:rPr>
          <w:rFonts w:hint="eastAsia" w:ascii="宋体" w:hAnsi="宋体" w:eastAsia="宋体" w:cs="宋体"/>
          <w:color w:val="auto"/>
          <w:szCs w:val="21"/>
          <w:highlight w:val="none"/>
          <w:u w:val="single"/>
        </w:rPr>
        <w:t>按实际发生的费用在工程款中扣除，</w:t>
      </w:r>
      <w:r>
        <w:rPr>
          <w:rFonts w:hint="eastAsia" w:ascii="宋体" w:hAnsi="宋体" w:eastAsia="宋体" w:cs="宋体"/>
          <w:color w:val="auto"/>
          <w:szCs w:val="21"/>
          <w:highlight w:val="none"/>
          <w:u w:val="single"/>
          <w:lang w:eastAsia="zh-CN"/>
        </w:rPr>
        <w:t>承包</w:t>
      </w:r>
      <w:r>
        <w:rPr>
          <w:rFonts w:hint="eastAsia" w:ascii="宋体" w:hAnsi="宋体" w:eastAsia="宋体" w:cs="宋体"/>
          <w:color w:val="auto"/>
          <w:szCs w:val="21"/>
          <w:highlight w:val="none"/>
          <w:u w:val="single"/>
        </w:rPr>
        <w:t>人不得有任何异议。</w:t>
      </w:r>
    </w:p>
    <w:p>
      <w:pPr>
        <w:keepNext w:val="0"/>
        <w:keepLines w:val="0"/>
        <w:pageBreakBefore w:val="0"/>
        <w:widowControl w:val="0"/>
        <w:kinsoku/>
        <w:overflowPunct/>
        <w:autoSpaceDE/>
        <w:autoSpaceDN/>
        <w:bidi w:val="0"/>
        <w:spacing w:line="420" w:lineRule="exact"/>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lang w:val="en-US" w:eastAsia="zh-CN"/>
        </w:rPr>
        <w:t>47.24</w:t>
      </w:r>
      <w:r>
        <w:rPr>
          <w:rFonts w:hint="eastAsia" w:ascii="宋体" w:hAnsi="宋体" w:eastAsia="宋体" w:cs="宋体"/>
          <w:color w:val="auto"/>
          <w:szCs w:val="21"/>
          <w:highlight w:val="none"/>
          <w:u w:val="single"/>
          <w:lang w:eastAsia="zh-CN"/>
        </w:rPr>
        <w:t>承包人</w:t>
      </w:r>
      <w:r>
        <w:rPr>
          <w:rFonts w:hint="eastAsia" w:ascii="宋体" w:hAnsi="宋体" w:eastAsia="宋体" w:cs="宋体"/>
          <w:color w:val="auto"/>
          <w:szCs w:val="21"/>
          <w:highlight w:val="none"/>
          <w:u w:val="single"/>
        </w:rPr>
        <w:t>应根据区相关主管部门批复的水土保持实施方案及相关规定完成本工程的水土保持工作，承担防止水土流失职责，相关费用包含在</w:t>
      </w:r>
      <w:r>
        <w:rPr>
          <w:rFonts w:hint="eastAsia" w:ascii="宋体" w:hAnsi="宋体" w:eastAsia="宋体" w:cs="宋体"/>
          <w:color w:val="auto"/>
          <w:szCs w:val="21"/>
          <w:highlight w:val="none"/>
          <w:u w:val="single"/>
          <w:lang w:eastAsia="zh-CN"/>
        </w:rPr>
        <w:t>合同价</w:t>
      </w:r>
      <w:r>
        <w:rPr>
          <w:rFonts w:hint="eastAsia" w:ascii="宋体" w:hAnsi="宋体" w:eastAsia="宋体" w:cs="宋体"/>
          <w:color w:val="auto"/>
          <w:szCs w:val="21"/>
          <w:highlight w:val="none"/>
          <w:u w:val="single"/>
        </w:rPr>
        <w:t>中，</w:t>
      </w:r>
      <w:r>
        <w:rPr>
          <w:rFonts w:hint="eastAsia" w:ascii="宋体" w:hAnsi="宋体" w:eastAsia="宋体" w:cs="宋体"/>
          <w:color w:val="auto"/>
          <w:szCs w:val="21"/>
          <w:highlight w:val="none"/>
          <w:u w:val="single"/>
          <w:lang w:eastAsia="zh-CN"/>
        </w:rPr>
        <w:t>不另行计费。</w:t>
      </w:r>
      <w:r>
        <w:rPr>
          <w:rFonts w:hint="eastAsia" w:ascii="宋体" w:hAnsi="宋体" w:eastAsia="宋体" w:cs="宋体"/>
          <w:color w:val="auto"/>
          <w:szCs w:val="21"/>
          <w:highlight w:val="none"/>
          <w:u w:val="single"/>
        </w:rPr>
        <w:t>如果</w:t>
      </w:r>
      <w:r>
        <w:rPr>
          <w:rFonts w:hint="eastAsia" w:ascii="宋体" w:hAnsi="宋体" w:eastAsia="宋体" w:cs="宋体"/>
          <w:color w:val="auto"/>
          <w:szCs w:val="21"/>
          <w:highlight w:val="none"/>
          <w:u w:val="single"/>
          <w:lang w:eastAsia="zh-CN"/>
        </w:rPr>
        <w:t>承包</w:t>
      </w:r>
      <w:r>
        <w:rPr>
          <w:rFonts w:hint="eastAsia" w:ascii="宋体" w:hAnsi="宋体" w:eastAsia="宋体" w:cs="宋体"/>
          <w:color w:val="auto"/>
          <w:szCs w:val="21"/>
          <w:highlight w:val="none"/>
          <w:u w:val="single"/>
        </w:rPr>
        <w:t>人不及时按要求完成上述工作，</w:t>
      </w:r>
      <w:r>
        <w:rPr>
          <w:rFonts w:hint="eastAsia" w:ascii="宋体" w:hAnsi="宋体" w:eastAsia="宋体" w:cs="宋体"/>
          <w:color w:val="auto"/>
          <w:szCs w:val="21"/>
          <w:highlight w:val="none"/>
          <w:u w:val="single"/>
          <w:lang w:eastAsia="zh-CN"/>
        </w:rPr>
        <w:t>发包人</w:t>
      </w:r>
      <w:r>
        <w:rPr>
          <w:rFonts w:hint="eastAsia" w:ascii="宋体" w:hAnsi="宋体" w:eastAsia="宋体" w:cs="宋体"/>
          <w:color w:val="auto"/>
          <w:szCs w:val="21"/>
          <w:highlight w:val="none"/>
          <w:u w:val="single"/>
        </w:rPr>
        <w:t>可以另行委托实施，</w:t>
      </w:r>
      <w:r>
        <w:rPr>
          <w:rFonts w:hint="eastAsia" w:ascii="宋体" w:hAnsi="宋体" w:eastAsia="宋体" w:cs="宋体"/>
          <w:color w:val="auto"/>
          <w:szCs w:val="21"/>
          <w:highlight w:val="none"/>
          <w:u w:val="single"/>
          <w:lang w:eastAsia="zh-CN"/>
        </w:rPr>
        <w:t>发包人</w:t>
      </w:r>
      <w:r>
        <w:rPr>
          <w:rFonts w:hint="eastAsia" w:ascii="宋体" w:hAnsi="宋体" w:eastAsia="宋体" w:cs="宋体"/>
          <w:color w:val="auto"/>
          <w:szCs w:val="21"/>
          <w:highlight w:val="none"/>
          <w:u w:val="single"/>
        </w:rPr>
        <w:t>按实际发生的费用在工程款中扣除，</w:t>
      </w:r>
      <w:r>
        <w:rPr>
          <w:rFonts w:hint="eastAsia" w:ascii="宋体" w:hAnsi="宋体" w:eastAsia="宋体" w:cs="宋体"/>
          <w:color w:val="auto"/>
          <w:szCs w:val="21"/>
          <w:highlight w:val="none"/>
          <w:u w:val="single"/>
          <w:lang w:eastAsia="zh-CN"/>
        </w:rPr>
        <w:t>承包</w:t>
      </w:r>
      <w:r>
        <w:rPr>
          <w:rFonts w:hint="eastAsia" w:ascii="宋体" w:hAnsi="宋体" w:eastAsia="宋体" w:cs="宋体"/>
          <w:color w:val="auto"/>
          <w:szCs w:val="21"/>
          <w:highlight w:val="none"/>
          <w:u w:val="single"/>
        </w:rPr>
        <w:t>人不得有任何异议。</w:t>
      </w:r>
    </w:p>
    <w:p>
      <w:pPr>
        <w:keepNext w:val="0"/>
        <w:keepLines w:val="0"/>
        <w:pageBreakBefore w:val="0"/>
        <w:widowControl w:val="0"/>
        <w:kinsoku/>
        <w:overflowPunct/>
        <w:autoSpaceDE/>
        <w:autoSpaceDN/>
        <w:bidi w:val="0"/>
        <w:spacing w:line="420" w:lineRule="exact"/>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lang w:val="en-US" w:eastAsia="zh-CN"/>
        </w:rPr>
        <w:t>47.25</w:t>
      </w:r>
      <w:r>
        <w:rPr>
          <w:rFonts w:hint="eastAsia" w:ascii="宋体" w:hAnsi="宋体" w:eastAsia="宋体" w:cs="宋体"/>
          <w:color w:val="auto"/>
          <w:szCs w:val="21"/>
          <w:highlight w:val="none"/>
          <w:u w:val="single"/>
          <w:lang w:eastAsia="zh-CN"/>
        </w:rPr>
        <w:t>承包</w:t>
      </w:r>
      <w:r>
        <w:rPr>
          <w:rFonts w:hint="eastAsia" w:ascii="宋体" w:hAnsi="宋体" w:eastAsia="宋体" w:cs="宋体"/>
          <w:color w:val="auto"/>
          <w:szCs w:val="21"/>
          <w:highlight w:val="none"/>
          <w:u w:val="single"/>
        </w:rPr>
        <w:t>人应使用绿色生产达标企业生产的混凝土，若不遵守承诺，自愿按不履行合同约定处理。</w:t>
      </w:r>
    </w:p>
    <w:p>
      <w:pPr>
        <w:keepNext w:val="0"/>
        <w:keepLines w:val="0"/>
        <w:pageBreakBefore w:val="0"/>
        <w:widowControl w:val="0"/>
        <w:kinsoku/>
        <w:overflowPunct/>
        <w:autoSpaceDE/>
        <w:autoSpaceDN/>
        <w:bidi w:val="0"/>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lang w:val="en-US" w:eastAsia="zh-CN"/>
        </w:rPr>
        <w:t>47.26</w:t>
      </w:r>
      <w:r>
        <w:rPr>
          <w:rFonts w:hint="eastAsia" w:ascii="宋体" w:hAnsi="宋体" w:eastAsia="宋体" w:cs="宋体"/>
          <w:color w:val="auto"/>
          <w:szCs w:val="21"/>
          <w:highlight w:val="none"/>
          <w:u w:val="single"/>
          <w:lang w:eastAsia="zh-CN"/>
        </w:rPr>
        <w:t>承包人</w:t>
      </w:r>
      <w:r>
        <w:rPr>
          <w:rFonts w:hint="eastAsia" w:ascii="宋体" w:hAnsi="宋体" w:eastAsia="宋体" w:cs="宋体"/>
          <w:color w:val="auto"/>
          <w:szCs w:val="21"/>
          <w:highlight w:val="none"/>
          <w:u w:val="single"/>
        </w:rPr>
        <w:t>人应按有关规定协助</w:t>
      </w:r>
      <w:r>
        <w:rPr>
          <w:rFonts w:hint="eastAsia" w:ascii="宋体" w:hAnsi="宋体" w:eastAsia="宋体" w:cs="宋体"/>
          <w:color w:val="auto"/>
          <w:szCs w:val="21"/>
          <w:highlight w:val="none"/>
          <w:u w:val="single"/>
          <w:lang w:eastAsia="zh-CN"/>
        </w:rPr>
        <w:t>发包人</w:t>
      </w:r>
      <w:r>
        <w:rPr>
          <w:rFonts w:hint="eastAsia" w:ascii="宋体" w:hAnsi="宋体" w:eastAsia="宋体" w:cs="宋体"/>
          <w:color w:val="auto"/>
          <w:szCs w:val="21"/>
          <w:highlight w:val="none"/>
          <w:u w:val="single"/>
        </w:rPr>
        <w:t>完成公共排水设施竣工图纸备案工作。</w:t>
      </w:r>
    </w:p>
    <w:p>
      <w:pPr>
        <w:keepNext w:val="0"/>
        <w:keepLines w:val="0"/>
        <w:pageBreakBefore w:val="0"/>
        <w:widowControl w:val="0"/>
        <w:kinsoku/>
        <w:overflowPunct/>
        <w:autoSpaceDE/>
        <w:autoSpaceDN/>
        <w:bidi w:val="0"/>
        <w:spacing w:line="420" w:lineRule="exact"/>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47.2</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u w:val="single"/>
        </w:rPr>
        <w:t>在整个合同执行期间发包人如发现有不合理投标报价的，发包人有权按有关规定和合同约定进行调整，并将书面通知承包人，并以此作为结算依据</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pacing w:line="420" w:lineRule="exact"/>
        <w:ind w:firstLine="420" w:firstLineChars="200"/>
        <w:textAlignment w:val="auto"/>
        <w:rPr>
          <w:rFonts w:hint="eastAsia" w:ascii="宋体" w:hAnsi="宋体" w:eastAsia="宋体" w:cs="宋体"/>
          <w:b/>
          <w:bCs/>
          <w:color w:val="auto"/>
          <w:sz w:val="32"/>
          <w:szCs w:val="21"/>
          <w:highlight w:val="none"/>
          <w:u w:val="single"/>
        </w:rPr>
      </w:pPr>
      <w:r>
        <w:rPr>
          <w:rFonts w:hint="eastAsia" w:ascii="宋体" w:hAnsi="宋体" w:eastAsia="宋体" w:cs="宋体"/>
          <w:color w:val="auto"/>
          <w:szCs w:val="21"/>
          <w:highlight w:val="none"/>
        </w:rPr>
        <w:t>47.2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 w:val="21"/>
          <w:szCs w:val="21"/>
          <w:highlight w:val="none"/>
          <w:u w:val="single"/>
        </w:rPr>
        <w:t>本工程采用的</w:t>
      </w:r>
      <w:r>
        <w:rPr>
          <w:rFonts w:hint="eastAsia" w:ascii="宋体" w:hAnsi="宋体" w:eastAsia="宋体" w:cs="宋体"/>
          <w:color w:val="auto"/>
          <w:szCs w:val="21"/>
          <w:highlight w:val="none"/>
          <w:u w:val="single"/>
        </w:rPr>
        <w:t>所有材料品牌选择均须报发包人、监理工程师确认，且经检验合格后方能使用。</w:t>
      </w:r>
    </w:p>
    <w:p>
      <w:pPr>
        <w:keepNext w:val="0"/>
        <w:keepLines w:val="0"/>
        <w:pageBreakBefore w:val="0"/>
        <w:widowControl w:val="0"/>
        <w:kinsoku/>
        <w:overflowPunct/>
        <w:autoSpaceDE/>
        <w:autoSpaceDN/>
        <w:bidi w:val="0"/>
        <w:spacing w:line="420" w:lineRule="exact"/>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47.2</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u w:val="single"/>
        </w:rPr>
        <w:t>在本工程实施过程中，若与其他工程发生重叠情况或因征地拆迁问题而无法实施的工程，发包人有权取消重叠部分及无法实施部分的工程量，并按照减少的工程量扣除相应的工程款，承包人不得有异议。另外，由于前述原因造成的工程损失，发包人不予赔偿</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47.</w:t>
      </w: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u w:val="single"/>
        </w:rPr>
        <w:t>在承包人严重违约、不可抗力或政府政策性调整情况下或根据工程实施实际情况，发包人可对本合同承包范围和承包内容进行调整，发包人对承包人的损失不予补偿（本合同其他条款约定可进行造价调整的除外）</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pacing w:line="420" w:lineRule="exact"/>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47.</w:t>
      </w:r>
      <w:r>
        <w:rPr>
          <w:rFonts w:hint="eastAsia" w:ascii="宋体" w:hAnsi="宋体" w:eastAsia="宋体" w:cs="宋体"/>
          <w:color w:val="auto"/>
          <w:szCs w:val="21"/>
          <w:highlight w:val="none"/>
          <w:lang w:val="en-US" w:eastAsia="zh-CN"/>
        </w:rPr>
        <w:t>31</w:t>
      </w:r>
      <w:r>
        <w:rPr>
          <w:rFonts w:hint="eastAsia" w:ascii="宋体" w:hAnsi="宋体" w:eastAsia="宋体" w:cs="宋体"/>
          <w:color w:val="auto"/>
          <w:szCs w:val="21"/>
          <w:highlight w:val="none"/>
          <w:u w:val="single"/>
        </w:rPr>
        <w:t>承包人须按照发包人与监理人签订的委托监理合同接受监理人的全过程监理</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pacing w:line="420" w:lineRule="exact"/>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47.</w:t>
      </w:r>
      <w:r>
        <w:rPr>
          <w:rFonts w:hint="eastAsia" w:ascii="宋体" w:hAnsi="宋体" w:eastAsia="宋体" w:cs="宋体"/>
          <w:color w:val="auto"/>
          <w:szCs w:val="21"/>
          <w:highlight w:val="none"/>
          <w:lang w:val="en-US" w:eastAsia="zh-CN"/>
        </w:rPr>
        <w:t>32</w:t>
      </w:r>
      <w:r>
        <w:rPr>
          <w:rFonts w:hint="eastAsia" w:ascii="宋体" w:hAnsi="宋体" w:eastAsia="宋体" w:cs="宋体"/>
          <w:color w:val="auto"/>
          <w:szCs w:val="21"/>
          <w:highlight w:val="none"/>
          <w:u w:val="single"/>
        </w:rPr>
        <w:t>如广州开发区、黄埔区对工程验收及备案有相关规定，则本合同执行该规定</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pacing w:line="420" w:lineRule="exact"/>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47.</w:t>
      </w:r>
      <w:r>
        <w:rPr>
          <w:rFonts w:hint="eastAsia" w:ascii="宋体" w:hAnsi="宋体" w:eastAsia="宋体" w:cs="宋体"/>
          <w:color w:val="auto"/>
          <w:szCs w:val="21"/>
          <w:highlight w:val="none"/>
          <w:lang w:val="en-US" w:eastAsia="zh-CN"/>
        </w:rPr>
        <w:t>33</w:t>
      </w:r>
      <w:r>
        <w:rPr>
          <w:rFonts w:hint="eastAsia" w:ascii="宋体" w:hAnsi="宋体" w:eastAsia="宋体" w:cs="宋体"/>
          <w:color w:val="auto"/>
          <w:szCs w:val="21"/>
          <w:highlight w:val="none"/>
          <w:u w:val="single"/>
        </w:rPr>
        <w:t>如果审计机关依法对本工程实施审计，发包人、承包人及监理单位应积极配合</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pacing w:line="420" w:lineRule="exact"/>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47.3</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u w:val="single"/>
        </w:rPr>
        <w:t>本合同在实施过程中所发生的文件来往，双方不得拒绝签收。如果发生类似事件，发文一方可以监理工程师签收为准，视为送达</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pacing w:line="420" w:lineRule="exact"/>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47.3</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u w:val="single"/>
        </w:rPr>
        <w:t>关于现场文件送达后的时效约定：如果涉及到安全、质量、工期（或进度）、经济、技术方案等的报审文件，在发往现场项目部的同时，抄送一份给对方公司，按约定的时效执行；如果属于一般性文件，就直接发往对方现场项目部，项目部如果在约定的时效内未作答复，发文一方再追加一份给对方公司并重新约定答复时效，如果对方公司仍然没有答复，则按重新约定的时效执行</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pacing w:line="420" w:lineRule="exact"/>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47.3</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u w:val="single"/>
        </w:rPr>
        <w:t>在本合同实施过程中所发生的违约金、罚款、扣款等费用，经监理工程师核实并通知承包人后直接作为财务扣款依据（无需承包人签认或同意），可由发包人在履约担保中主张或在工程款中扣除，承包人对此无异议</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pacing w:line="420" w:lineRule="exact"/>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47.3</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u w:val="single"/>
        </w:rPr>
        <w:t>承包人施工过程中不得侵犯他人的专利权或者其他合法权益，否则由承包人承担相关责任，并保证不因该侵权行为影响工程建设</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pacing w:line="420" w:lineRule="exact"/>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47.3</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u w:val="single"/>
        </w:rPr>
        <w:t>承包人与发包人签订合同时所提供的开户银行名称及帐号不得擅自变更，如需变更必须征得发包人的书面同意，否则发包人有权停止工程款的拨付，所造成的一切后果由承包人承担</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47.3</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u w:val="single"/>
        </w:rPr>
        <w:t>如发包人为本工程的代建单位，则本工程建设业主同时享有本合同项下属发包人的权利，并且合同中约定需发包人审批的事项，必须经建设业主审批同意后方可实施</w:t>
      </w:r>
      <w:r>
        <w:rPr>
          <w:rFonts w:hint="eastAsia" w:ascii="宋体" w:hAnsi="宋体" w:eastAsia="宋体" w:cs="宋体"/>
          <w:color w:val="auto"/>
          <w:szCs w:val="21"/>
          <w:highlight w:val="none"/>
        </w:rPr>
        <w:t>。</w:t>
      </w:r>
    </w:p>
    <w:p>
      <w:pPr>
        <w:keepNext w:val="0"/>
        <w:keepLines w:val="0"/>
        <w:pageBreakBefore w:val="0"/>
        <w:widowControl w:val="0"/>
        <w:kinsoku/>
        <w:overflowPunct/>
        <w:autoSpaceDE/>
        <w:autoSpaceDN/>
        <w:bidi w:val="0"/>
        <w:spacing w:line="420" w:lineRule="exact"/>
        <w:ind w:firstLine="420" w:firstLineChars="200"/>
        <w:jc w:val="both"/>
        <w:textAlignment w:val="auto"/>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u w:val="single"/>
          <w:lang w:val="en-US" w:eastAsia="zh-CN" w:bidi="ar-SA"/>
        </w:rPr>
        <w:t>47.40 《广州开发区财政投资建设项目管理中心 绿化景观工程计量管理办法》将作为合同附件，各相关单位须遵照执行。(注：该条款适用于绿化施工工程)</w:t>
      </w:r>
    </w:p>
    <w:p>
      <w:pPr>
        <w:keepNext w:val="0"/>
        <w:keepLines w:val="0"/>
        <w:pageBreakBefore w:val="0"/>
        <w:widowControl w:val="0"/>
        <w:kinsoku/>
        <w:overflowPunct/>
        <w:autoSpaceDE/>
        <w:autoSpaceDN/>
        <w:bidi w:val="0"/>
        <w:spacing w:line="420" w:lineRule="exact"/>
        <w:ind w:firstLine="420" w:firstLineChars="200"/>
        <w:jc w:val="both"/>
        <w:textAlignment w:val="auto"/>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u w:val="single"/>
          <w:lang w:val="en-US" w:eastAsia="zh-CN" w:bidi="ar-SA"/>
        </w:rPr>
        <w:t>47.41工程获得国家、省级、市级所发奖项的，可给予通报表彰，但不给予任何物质奖励。</w:t>
      </w:r>
    </w:p>
    <w:p>
      <w:pPr>
        <w:keepNext w:val="0"/>
        <w:keepLines w:val="0"/>
        <w:pageBreakBefore w:val="0"/>
        <w:widowControl w:val="0"/>
        <w:kinsoku/>
        <w:overflowPunct/>
        <w:autoSpaceDE/>
        <w:autoSpaceDN/>
        <w:bidi w:val="0"/>
        <w:spacing w:line="420" w:lineRule="exact"/>
        <w:ind w:firstLine="420" w:firstLineChars="200"/>
        <w:jc w:val="both"/>
        <w:textAlignment w:val="auto"/>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u w:val="single"/>
          <w:lang w:val="en-US" w:eastAsia="zh-CN" w:bidi="ar-SA"/>
        </w:rPr>
        <w:t>47.42 如本合同需缴纳合同印花税，承包人需在有关税务部门规定期限及结清本合同费用前，代缴按规定属发包人缴纳的部分，代缴后发包人按代缴金额实报实销。承包人未按规定期限代缴印花税的，因此产生的滞纳金由承包人承担。</w:t>
      </w:r>
    </w:p>
    <w:p>
      <w:pPr>
        <w:keepNext w:val="0"/>
        <w:keepLines w:val="0"/>
        <w:pageBreakBefore w:val="0"/>
        <w:widowControl w:val="0"/>
        <w:kinsoku/>
        <w:wordWrap w:val="0"/>
        <w:overflowPunct/>
        <w:topLinePunct/>
        <w:autoSpaceDE/>
        <w:autoSpaceDN/>
        <w:bidi w:val="0"/>
        <w:adjustRightInd w:val="0"/>
        <w:spacing w:line="420" w:lineRule="exact"/>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47.</w:t>
      </w:r>
      <w:r>
        <w:rPr>
          <w:rFonts w:hint="eastAsia" w:ascii="宋体" w:hAnsi="宋体" w:eastAsia="宋体" w:cs="宋体"/>
          <w:color w:val="auto"/>
          <w:szCs w:val="21"/>
          <w:highlight w:val="none"/>
          <w:u w:val="single"/>
          <w:lang w:val="en-US" w:eastAsia="zh-CN"/>
        </w:rPr>
        <w:t>43</w:t>
      </w:r>
      <w:r>
        <w:rPr>
          <w:rFonts w:hint="eastAsia" w:ascii="宋体" w:hAnsi="宋体" w:eastAsia="宋体" w:cs="宋体"/>
          <w:color w:val="auto"/>
          <w:szCs w:val="21"/>
          <w:highlight w:val="none"/>
          <w:u w:val="single"/>
        </w:rPr>
        <w:t>如承包人为联合体的，本合同由联合体的主办方负责签订。</w:t>
      </w:r>
      <w:r>
        <w:rPr>
          <w:rFonts w:hint="eastAsia" w:ascii="宋体" w:hAnsi="宋体" w:eastAsia="宋体" w:cs="宋体"/>
          <w:color w:val="auto"/>
          <w:szCs w:val="21"/>
          <w:highlight w:val="none"/>
          <w:u w:val="single"/>
          <w:lang w:eastAsia="zh-CN"/>
        </w:rPr>
        <w:t>可</w:t>
      </w:r>
      <w:r>
        <w:rPr>
          <w:rFonts w:hint="eastAsia" w:ascii="宋体" w:hAnsi="宋体" w:eastAsia="宋体" w:cs="宋体"/>
          <w:color w:val="auto"/>
          <w:szCs w:val="21"/>
          <w:highlight w:val="none"/>
          <w:u w:val="single"/>
        </w:rPr>
        <w:t>由联合体主办方负责开具合同价款全额发票、收取合同款项，联合体主办方收取合同款项后由联合体各方自行分配相应款项</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或由联合体各方负责开具其对应价款的全额发票，具体分配事宜与发包人无关。</w:t>
      </w:r>
    </w:p>
    <w:p>
      <w:pPr>
        <w:keepNext w:val="0"/>
        <w:keepLines w:val="0"/>
        <w:pageBreakBefore w:val="0"/>
        <w:widowControl w:val="0"/>
        <w:suppressLineNumbers w:val="0"/>
        <w:kinsoku/>
        <w:overflowPunct/>
        <w:autoSpaceDE/>
        <w:autoSpaceDN/>
        <w:bidi w:val="0"/>
        <w:spacing w:line="420" w:lineRule="exact"/>
        <w:ind w:firstLine="420" w:firstLineChars="200"/>
        <w:jc w:val="both"/>
        <w:textAlignment w:val="auto"/>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u w:val="single"/>
          <w:lang w:val="en-US" w:eastAsia="zh-CN" w:bidi="ar-SA"/>
        </w:rPr>
        <w:t>47.44如承包人及承包人的项目负责人存在因与工程项目施工相关的车辆运输而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不良行为记录（处罚有效期内）的，经发包人核实，发包人有权终止合同。</w:t>
      </w:r>
    </w:p>
    <w:p>
      <w:pPr>
        <w:keepNext w:val="0"/>
        <w:keepLines w:val="0"/>
        <w:pageBreakBefore w:val="0"/>
        <w:widowControl w:val="0"/>
        <w:kinsoku/>
        <w:overflowPunct/>
        <w:autoSpaceDE/>
        <w:autoSpaceDN/>
        <w:bidi w:val="0"/>
        <w:spacing w:line="420" w:lineRule="exact"/>
        <w:ind w:firstLine="420" w:firstLineChars="200"/>
        <w:textAlignment w:val="auto"/>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u w:val="single"/>
          <w:lang w:val="en-US" w:eastAsia="zh-CN" w:bidi="ar-SA"/>
        </w:rPr>
        <w:t>47.45如承包人将工程施工过程中产生的土石方、建筑垃圾及施工过程中使用的建筑材料、设备等的运输委托给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不良行为记录（处罚有效期内）的单位或个体经营者运输的，经发包人核实，发包人有权终止合同。</w:t>
      </w:r>
    </w:p>
    <w:p>
      <w:pPr>
        <w:keepNext w:val="0"/>
        <w:keepLines w:val="0"/>
        <w:pageBreakBefore w:val="0"/>
        <w:widowControl w:val="0"/>
        <w:kinsoku/>
        <w:overflowPunct/>
        <w:autoSpaceDE/>
        <w:autoSpaceDN/>
        <w:bidi w:val="0"/>
        <w:spacing w:line="420" w:lineRule="exact"/>
        <w:ind w:firstLine="420" w:firstLineChars="200"/>
        <w:textAlignment w:val="auto"/>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u w:val="single"/>
          <w:lang w:val="en-US" w:eastAsia="zh-CN" w:bidi="ar-SA"/>
        </w:rPr>
        <w:t>47.46开工前中标人应当投保安全生产责任保险，且该保险保障场所应包含中标项目。投标人的投标报价视为包含该项目费用。中标人未按规定购买安全生产责任保险，招标人可视严重程度拒绝该单位一定时期内参与后续工程投标。</w:t>
      </w:r>
    </w:p>
    <w:p>
      <w:pPr>
        <w:keepNext w:val="0"/>
        <w:keepLines w:val="0"/>
        <w:pageBreakBefore w:val="0"/>
        <w:widowControl w:val="0"/>
        <w:kinsoku/>
        <w:overflowPunct/>
        <w:autoSpaceDE/>
        <w:autoSpaceDN/>
        <w:bidi w:val="0"/>
        <w:spacing w:line="420" w:lineRule="exact"/>
        <w:ind w:firstLine="420" w:firstLineChars="200"/>
        <w:textAlignment w:val="auto"/>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u w:val="single"/>
          <w:lang w:val="en-US" w:eastAsia="zh-CN" w:bidi="ar-SA"/>
        </w:rPr>
        <w:t>47.47 承包人在施工过程中应严格执行《城市绿化条例》、《广东省城市绿化条例》、《广州市绿化条例》、《广州市城市树木保护管理规定（试行）》（穗林业园林规字〔2022〕1号）等法规规定。不得破坏树木和树木立地生境，不得随意更改树木根颈处的地形标高。对可能影响绿地使用功能或树木正常生长的，应采取避让和保护措施。涉及树木周边环境施工时，承包人应对可能受损的树木采取保护措施，包括设立保护区域、使用保护物料包裹树干、设置临时支撑、定期检查树木健康状况等。工程建设应符合相关规划和标准，保证树木的生长空间。相关费用包含在合同价中，不另行计费。如果承包人不及时按要求完成，发包人可以另行委托实施，发包人按实际发生的费用在工程款中扣除，承包人不得有任何异议。</w:t>
      </w:r>
    </w:p>
    <w:p>
      <w:pPr>
        <w:keepNext w:val="0"/>
        <w:keepLines w:val="0"/>
        <w:pageBreakBefore w:val="0"/>
        <w:widowControl w:val="0"/>
        <w:kinsoku/>
        <w:overflowPunct/>
        <w:autoSpaceDE/>
        <w:autoSpaceDN/>
        <w:bidi w:val="0"/>
        <w:spacing w:line="420" w:lineRule="exact"/>
        <w:ind w:firstLine="420" w:firstLineChars="200"/>
        <w:textAlignment w:val="auto"/>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u w:val="single"/>
          <w:lang w:val="en-US" w:eastAsia="zh-CN" w:bidi="ar-SA"/>
        </w:rPr>
        <w:t>47.48 承包人应严格保护古树名木、古树后续资源、行道树、大树等树木，禁止擅自砍伐树木，禁止擅自迁移树木。如承包人未经批准擅自砍伐树木、损害绿化、损害树木及绿化保护设施的，发包人将上报绿化行政主管部门，视情节轻重给予相应处罚，构成犯罪的将依法移交相关机关追究刑事责任。</w:t>
      </w:r>
    </w:p>
    <w:p>
      <w:pPr>
        <w:spacing w:line="440" w:lineRule="exact"/>
        <w:ind w:firstLine="420" w:firstLineChars="200"/>
        <w:rPr>
          <w:rFonts w:hint="eastAsia" w:ascii="宋体" w:hAnsi="宋体" w:cs="Times New Roman"/>
          <w:color w:val="auto"/>
          <w:sz w:val="21"/>
          <w:szCs w:val="21"/>
          <w:highlight w:val="none"/>
          <w:u w:val="single"/>
        </w:rPr>
      </w:pPr>
      <w:r>
        <w:rPr>
          <w:rFonts w:hint="eastAsia" w:ascii="宋体" w:hAnsi="宋体" w:cs="Times New Roman"/>
          <w:color w:val="auto"/>
          <w:sz w:val="21"/>
          <w:szCs w:val="21"/>
          <w:highlight w:val="none"/>
          <w:u w:val="single"/>
        </w:rPr>
        <w:t xml:space="preserve">47.49 </w:t>
      </w:r>
      <w:r>
        <w:rPr>
          <w:rFonts w:ascii="宋体" w:hAnsi="宋体" w:cs="Times New Roman"/>
          <w:color w:val="auto"/>
          <w:sz w:val="21"/>
          <w:szCs w:val="21"/>
          <w:highlight w:val="none"/>
          <w:u w:val="single"/>
        </w:rPr>
        <w:t>承包人应切实遵守《中华人民共和国文物保护法》、《中华人民共和国文物保护法实施条例》、《广州市文物保护规定》等文物保护相关法律、法规规定，在工程施工前，协助发包人按规定履行文物保护相关审批手续，及配合相关单位完成考古调查、勘探相关工作。不得因施工发生损毁文物的情况。承包人应加强对其施工队伍及分包单位（如有）关于文物保护相关法律、法规的宣传教育，保证施工全过程不违反文物保护相关规定。如因承包人原因发生未履行文物考古调查、勘探等前置工作擅自开工建设的，由承包人承担全部法律责任，发包人将上报文物行政主管部门，视情节轻重给予相应处罚，构成犯罪的将依法移交相关机关追究刑事责任。</w:t>
      </w:r>
    </w:p>
    <w:p>
      <w:pPr>
        <w:spacing w:line="440" w:lineRule="exact"/>
        <w:ind w:firstLine="420" w:firstLineChars="200"/>
        <w:rPr>
          <w:rFonts w:hint="eastAsia" w:ascii="宋体" w:hAnsi="宋体" w:cs="Times New Roman"/>
          <w:color w:val="auto"/>
          <w:sz w:val="21"/>
          <w:szCs w:val="21"/>
          <w:highlight w:val="none"/>
          <w:u w:val="single"/>
        </w:rPr>
      </w:pPr>
      <w:r>
        <w:rPr>
          <w:rFonts w:hint="eastAsia" w:ascii="宋体" w:hAnsi="宋体" w:cs="Times New Roman"/>
          <w:color w:val="auto"/>
          <w:sz w:val="21"/>
          <w:szCs w:val="21"/>
          <w:highlight w:val="none"/>
          <w:u w:val="single"/>
        </w:rPr>
        <w:t>47.50 未尽事宜，经双方友好协商解决。</w:t>
      </w:r>
    </w:p>
    <w:p>
      <w:pPr>
        <w:widowControl w:val="0"/>
        <w:spacing w:line="360" w:lineRule="auto"/>
        <w:jc w:val="both"/>
        <w:rPr>
          <w:rFonts w:hint="eastAsia" w:ascii="宋体" w:hAnsi="宋体" w:eastAsia="宋体" w:cs="Times New Roman"/>
          <w:color w:val="auto"/>
          <w:kern w:val="2"/>
          <w:sz w:val="21"/>
          <w:szCs w:val="21"/>
          <w:highlight w:val="none"/>
          <w:u w:val="single"/>
          <w:lang w:val="en-US" w:eastAsia="zh-CN" w:bidi="ar-SA"/>
        </w:rPr>
      </w:pPr>
    </w:p>
    <w:p>
      <w:pPr>
        <w:spacing w:line="480" w:lineRule="exact"/>
        <w:jc w:val="center"/>
        <w:rPr>
          <w:rFonts w:hint="eastAsia" w:ascii="宋体" w:hAnsi="宋体" w:cs="Times New Roman"/>
          <w:b/>
          <w:color w:val="auto"/>
          <w:sz w:val="32"/>
          <w:szCs w:val="32"/>
          <w:highlight w:val="none"/>
        </w:rPr>
      </w:pPr>
      <w:r>
        <w:rPr>
          <w:rFonts w:hint="eastAsia" w:ascii="宋体" w:hAnsi="宋体" w:cs="Times New Roman"/>
          <w:color w:val="auto"/>
          <w:sz w:val="24"/>
          <w:highlight w:val="none"/>
          <w:u w:val="single"/>
        </w:rPr>
        <w:br w:type="page"/>
      </w:r>
      <w:r>
        <w:rPr>
          <w:rFonts w:hint="eastAsia" w:ascii="宋体" w:hAnsi="宋体" w:cs="Times New Roman"/>
          <w:b/>
          <w:color w:val="auto"/>
          <w:sz w:val="32"/>
          <w:szCs w:val="32"/>
          <w:highlight w:val="none"/>
        </w:rPr>
        <w:t>第四部分  工程质量保修责任书</w:t>
      </w:r>
    </w:p>
    <w:p>
      <w:pPr>
        <w:snapToGrid w:val="0"/>
        <w:spacing w:line="480" w:lineRule="exact"/>
        <w:rPr>
          <w:rFonts w:hint="eastAsia" w:ascii="宋体" w:hAnsi="宋体" w:cs="Times New Roman"/>
          <w:color w:val="auto"/>
          <w:sz w:val="24"/>
          <w:highlight w:val="none"/>
        </w:rPr>
      </w:pPr>
    </w:p>
    <w:p>
      <w:pPr>
        <w:snapToGrid w:val="0"/>
        <w:spacing w:line="480" w:lineRule="exact"/>
        <w:rPr>
          <w:rFonts w:hint="eastAsia" w:ascii="宋体" w:hAnsi="宋体" w:cs="Times New Roman"/>
          <w:color w:val="auto"/>
          <w:sz w:val="21"/>
          <w:szCs w:val="21"/>
          <w:highlight w:val="none"/>
          <w:u w:val="single"/>
        </w:rPr>
      </w:pPr>
      <w:r>
        <w:rPr>
          <w:rFonts w:hint="eastAsia" w:ascii="宋体" w:hAnsi="宋体" w:cs="Times New Roman"/>
          <w:color w:val="auto"/>
          <w:sz w:val="21"/>
          <w:szCs w:val="21"/>
          <w:highlight w:val="none"/>
        </w:rPr>
        <w:t>发包人（全称）：</w:t>
      </w:r>
      <w:r>
        <w:rPr>
          <w:rFonts w:hint="eastAsia" w:ascii="宋体" w:hAnsi="宋体" w:cs="Times New Roman"/>
          <w:color w:val="auto"/>
          <w:sz w:val="21"/>
          <w:szCs w:val="21"/>
          <w:highlight w:val="none"/>
          <w:u w:val="single"/>
        </w:rPr>
        <w:t>广州开发区财政投资建设项目管理中心</w:t>
      </w:r>
    </w:p>
    <w:p>
      <w:pPr>
        <w:snapToGrid w:val="0"/>
        <w:spacing w:line="480" w:lineRule="exact"/>
        <w:rPr>
          <w:rFonts w:hint="eastAsia" w:ascii="宋体" w:hAnsi="宋体" w:cs="Times New Roman"/>
          <w:color w:val="auto"/>
          <w:sz w:val="21"/>
          <w:szCs w:val="21"/>
          <w:highlight w:val="none"/>
        </w:rPr>
      </w:pPr>
      <w:r>
        <w:rPr>
          <w:rFonts w:hint="eastAsia" w:ascii="宋体" w:hAnsi="宋体" w:cs="Times New Roman"/>
          <w:color w:val="auto"/>
          <w:sz w:val="21"/>
          <w:szCs w:val="21"/>
          <w:highlight w:val="none"/>
        </w:rPr>
        <w:t>承包人（全称）：</w:t>
      </w:r>
      <w:r>
        <w:rPr>
          <w:rFonts w:hint="eastAsia" w:ascii="宋体" w:hAnsi="宋体" w:cs="Times New Roman"/>
          <w:color w:val="auto"/>
          <w:sz w:val="21"/>
          <w:szCs w:val="21"/>
          <w:highlight w:val="none"/>
          <w:u w:val="single"/>
        </w:rPr>
        <w:t xml:space="preserve">                                </w:t>
      </w:r>
    </w:p>
    <w:p>
      <w:pPr>
        <w:snapToGrid w:val="0"/>
        <w:spacing w:line="480" w:lineRule="exact"/>
        <w:ind w:firstLine="420" w:firstLineChars="200"/>
        <w:rPr>
          <w:rFonts w:hint="eastAsia" w:ascii="宋体" w:hAnsi="宋体" w:cs="Times New Roman"/>
          <w:color w:val="auto"/>
          <w:sz w:val="21"/>
          <w:szCs w:val="21"/>
          <w:highlight w:val="none"/>
        </w:rPr>
      </w:pPr>
      <w:r>
        <w:rPr>
          <w:rFonts w:hint="eastAsia" w:ascii="宋体" w:hAnsi="宋体" w:cs="Times New Roman"/>
          <w:color w:val="auto"/>
          <w:sz w:val="21"/>
          <w:szCs w:val="21"/>
          <w:highlight w:val="none"/>
        </w:rPr>
        <w:t>为保证</w:t>
      </w:r>
      <w:r>
        <w:rPr>
          <w:rFonts w:hint="eastAsia" w:ascii="宋体" w:hAnsi="宋体" w:cs="Times New Roman"/>
          <w:color w:val="auto"/>
          <w:sz w:val="21"/>
          <w:szCs w:val="21"/>
          <w:highlight w:val="none"/>
          <w:u w:val="single"/>
        </w:rPr>
        <w:t xml:space="preserve">         </w:t>
      </w:r>
      <w:r>
        <w:rPr>
          <w:rFonts w:hint="eastAsia" w:ascii="宋体" w:hAnsi="宋体" w:cs="Times New Roman"/>
          <w:color w:val="auto"/>
          <w:sz w:val="21"/>
          <w:szCs w:val="21"/>
          <w:highlight w:val="none"/>
        </w:rPr>
        <w:t>在合理使用期限内正常使用，发包人承包人协商一致签订工程质量保修责任书。承包人在质量保修期内按照有关管理规定及双方约定承担本工程质量保修责任。</w:t>
      </w:r>
    </w:p>
    <w:p>
      <w:pPr>
        <w:numPr>
          <w:ilvl w:val="0"/>
          <w:numId w:val="21"/>
        </w:numPr>
        <w:tabs>
          <w:tab w:val="left" w:pos="960"/>
          <w:tab w:val="left" w:pos="1120"/>
        </w:tabs>
        <w:snapToGrid w:val="0"/>
        <w:spacing w:line="480" w:lineRule="exact"/>
        <w:ind w:left="960" w:hanging="240"/>
        <w:rPr>
          <w:rFonts w:hint="eastAsia" w:ascii="宋体" w:hAnsi="宋体" w:cs="Times New Roman"/>
          <w:b/>
          <w:bCs/>
          <w:color w:val="auto"/>
          <w:sz w:val="21"/>
          <w:szCs w:val="21"/>
          <w:highlight w:val="none"/>
        </w:rPr>
      </w:pPr>
      <w:r>
        <w:rPr>
          <w:rFonts w:hint="eastAsia" w:ascii="宋体" w:hAnsi="宋体" w:cs="Times New Roman"/>
          <w:b/>
          <w:bCs/>
          <w:color w:val="auto"/>
          <w:sz w:val="21"/>
          <w:szCs w:val="21"/>
          <w:highlight w:val="none"/>
        </w:rPr>
        <w:t>工程质量保修范围和内容</w:t>
      </w:r>
    </w:p>
    <w:p>
      <w:pPr>
        <w:snapToGrid w:val="0"/>
        <w:spacing w:line="480" w:lineRule="exact"/>
        <w:ind w:firstLine="506" w:firstLineChars="241"/>
        <w:rPr>
          <w:rFonts w:hint="eastAsia" w:ascii="宋体" w:hAnsi="宋体" w:cs="Times New Roman"/>
          <w:color w:val="auto"/>
          <w:sz w:val="21"/>
          <w:szCs w:val="21"/>
          <w:highlight w:val="none"/>
        </w:rPr>
      </w:pPr>
      <w:r>
        <w:rPr>
          <w:rFonts w:hint="eastAsia" w:ascii="宋体" w:hAnsi="宋体" w:cs="Times New Roman"/>
          <w:color w:val="auto"/>
          <w:sz w:val="21"/>
          <w:szCs w:val="21"/>
          <w:highlight w:val="none"/>
        </w:rPr>
        <w:t>质量保修范围包括基础工程、主体路基、路面、桥涵构造物工程、给排水、防护工程以及本建设工程施工合同中所含的其它项目。具体质量保修内容双方约定如下：</w:t>
      </w:r>
    </w:p>
    <w:p>
      <w:pPr>
        <w:snapToGrid w:val="0"/>
        <w:spacing w:line="480" w:lineRule="exact"/>
        <w:ind w:firstLine="506" w:firstLineChars="241"/>
        <w:rPr>
          <w:rFonts w:hint="eastAsia" w:ascii="宋体" w:hAnsi="宋体" w:cs="Times New Roman"/>
          <w:color w:val="auto"/>
          <w:sz w:val="21"/>
          <w:szCs w:val="21"/>
          <w:highlight w:val="none"/>
          <w:u w:val="single"/>
        </w:rPr>
      </w:pPr>
      <w:r>
        <w:rPr>
          <w:rFonts w:hint="eastAsia" w:ascii="宋体" w:hAnsi="宋体" w:cs="Times New Roman"/>
          <w:color w:val="auto"/>
          <w:sz w:val="21"/>
          <w:szCs w:val="21"/>
          <w:highlight w:val="none"/>
          <w:u w:val="single"/>
        </w:rPr>
        <w:t>按施工合同约定的承包范围内的全部工程内容</w:t>
      </w:r>
      <w:r>
        <w:rPr>
          <w:rFonts w:hint="eastAsia" w:ascii="宋体" w:hAnsi="宋体" w:cs="Times New Roman"/>
          <w:color w:val="auto"/>
          <w:sz w:val="21"/>
          <w:szCs w:val="21"/>
          <w:highlight w:val="none"/>
        </w:rPr>
        <w:t>。</w:t>
      </w:r>
    </w:p>
    <w:p>
      <w:pPr>
        <w:numPr>
          <w:ilvl w:val="0"/>
          <w:numId w:val="21"/>
        </w:numPr>
        <w:tabs>
          <w:tab w:val="left" w:pos="960"/>
          <w:tab w:val="left" w:pos="1120"/>
        </w:tabs>
        <w:snapToGrid w:val="0"/>
        <w:spacing w:line="480" w:lineRule="exact"/>
        <w:ind w:left="960" w:hanging="240"/>
        <w:rPr>
          <w:rFonts w:hint="eastAsia" w:ascii="宋体" w:hAnsi="宋体" w:cs="Times New Roman"/>
          <w:b/>
          <w:bCs/>
          <w:color w:val="auto"/>
          <w:sz w:val="21"/>
          <w:szCs w:val="21"/>
          <w:highlight w:val="none"/>
        </w:rPr>
      </w:pPr>
      <w:r>
        <w:rPr>
          <w:rFonts w:hint="eastAsia" w:ascii="宋体" w:hAnsi="宋体" w:cs="Times New Roman"/>
          <w:b/>
          <w:bCs/>
          <w:color w:val="auto"/>
          <w:sz w:val="21"/>
          <w:szCs w:val="21"/>
          <w:highlight w:val="none"/>
        </w:rPr>
        <w:t>质量保修期</w:t>
      </w:r>
    </w:p>
    <w:p>
      <w:pPr>
        <w:snapToGrid w:val="0"/>
        <w:spacing w:line="480" w:lineRule="exact"/>
        <w:ind w:firstLine="506" w:firstLineChars="241"/>
        <w:rPr>
          <w:rFonts w:hint="eastAsia" w:ascii="宋体" w:hAnsi="宋体" w:cs="Times New Roman"/>
          <w:color w:val="auto"/>
          <w:sz w:val="21"/>
          <w:szCs w:val="21"/>
          <w:highlight w:val="none"/>
        </w:rPr>
      </w:pPr>
      <w:r>
        <w:rPr>
          <w:rFonts w:hint="eastAsia" w:ascii="宋体" w:hAnsi="宋体" w:cs="Times New Roman"/>
          <w:color w:val="auto"/>
          <w:sz w:val="21"/>
          <w:szCs w:val="21"/>
          <w:highlight w:val="none"/>
        </w:rPr>
        <w:t>质量保修期从广州开发区管委会或其相关职能部门批准的提前移交之日或者正式通过单位工程验收之日（以先发生日期为准）算起。</w:t>
      </w:r>
    </w:p>
    <w:p>
      <w:pPr>
        <w:snapToGrid w:val="0"/>
        <w:spacing w:line="480" w:lineRule="exact"/>
        <w:ind w:firstLine="506" w:firstLineChars="241"/>
        <w:rPr>
          <w:rFonts w:hint="eastAsia" w:ascii="宋体" w:hAnsi="宋体" w:cs="Times New Roman"/>
          <w:color w:val="auto"/>
          <w:sz w:val="21"/>
          <w:szCs w:val="21"/>
          <w:highlight w:val="none"/>
        </w:rPr>
      </w:pPr>
      <w:r>
        <w:rPr>
          <w:rFonts w:hint="eastAsia" w:ascii="宋体" w:hAnsi="宋体" w:cs="Times New Roman"/>
          <w:color w:val="auto"/>
          <w:sz w:val="21"/>
          <w:szCs w:val="21"/>
          <w:highlight w:val="none"/>
        </w:rPr>
        <w:t>双方根据国家有关规定，结合具体工程约定质量保修期如下：</w:t>
      </w:r>
    </w:p>
    <w:p>
      <w:pPr>
        <w:snapToGrid w:val="0"/>
        <w:spacing w:line="480" w:lineRule="exact"/>
        <w:ind w:firstLine="506" w:firstLineChars="241"/>
        <w:rPr>
          <w:rFonts w:hint="eastAsia" w:ascii="宋体" w:hAnsi="宋体" w:cs="Times New Roman"/>
          <w:color w:val="auto"/>
          <w:sz w:val="21"/>
          <w:szCs w:val="21"/>
          <w:highlight w:val="none"/>
        </w:rPr>
      </w:pPr>
      <w:r>
        <w:rPr>
          <w:rFonts w:hint="eastAsia" w:ascii="宋体" w:hAnsi="宋体" w:cs="Times New Roman"/>
          <w:color w:val="auto"/>
          <w:sz w:val="21"/>
          <w:szCs w:val="21"/>
          <w:highlight w:val="none"/>
        </w:rPr>
        <w:t>1、基础设施工程、房屋建筑的地基基础和主体结构工程为设计文件规定的该工程合理使用年限；</w:t>
      </w:r>
    </w:p>
    <w:p>
      <w:pPr>
        <w:snapToGrid w:val="0"/>
        <w:spacing w:line="480" w:lineRule="exact"/>
        <w:ind w:firstLine="506" w:firstLineChars="241"/>
        <w:rPr>
          <w:rFonts w:hint="eastAsia" w:ascii="宋体" w:hAnsi="宋体" w:cs="Times New Roman"/>
          <w:color w:val="auto"/>
          <w:sz w:val="21"/>
          <w:szCs w:val="21"/>
          <w:highlight w:val="none"/>
        </w:rPr>
      </w:pPr>
      <w:r>
        <w:rPr>
          <w:rFonts w:hint="eastAsia" w:ascii="宋体" w:hAnsi="宋体" w:cs="Times New Roman"/>
          <w:color w:val="auto"/>
          <w:sz w:val="21"/>
          <w:szCs w:val="21"/>
          <w:highlight w:val="none"/>
        </w:rPr>
        <w:t>2、电力管线、上下水管线安装工程为</w:t>
      </w:r>
      <w:r>
        <w:rPr>
          <w:rFonts w:hint="eastAsia" w:ascii="宋体" w:hAnsi="宋体" w:cs="Times New Roman"/>
          <w:color w:val="auto"/>
          <w:sz w:val="21"/>
          <w:szCs w:val="21"/>
          <w:highlight w:val="none"/>
          <w:u w:val="single"/>
        </w:rPr>
        <w:t xml:space="preserve"> 2 </w:t>
      </w:r>
      <w:r>
        <w:rPr>
          <w:rFonts w:hint="eastAsia" w:ascii="宋体" w:hAnsi="宋体" w:cs="Times New Roman"/>
          <w:color w:val="auto"/>
          <w:sz w:val="21"/>
          <w:szCs w:val="21"/>
          <w:highlight w:val="none"/>
        </w:rPr>
        <w:t>年；</w:t>
      </w:r>
    </w:p>
    <w:p>
      <w:pPr>
        <w:snapToGrid w:val="0"/>
        <w:spacing w:line="480" w:lineRule="exact"/>
        <w:ind w:firstLine="506" w:firstLineChars="241"/>
        <w:rPr>
          <w:rFonts w:hint="eastAsia" w:ascii="宋体" w:hAnsi="宋体" w:cs="Times New Roman"/>
          <w:color w:val="auto"/>
          <w:sz w:val="21"/>
          <w:szCs w:val="21"/>
          <w:highlight w:val="none"/>
        </w:rPr>
      </w:pPr>
      <w:r>
        <w:rPr>
          <w:rFonts w:hint="eastAsia" w:ascii="宋体" w:hAnsi="宋体" w:cs="Times New Roman"/>
          <w:color w:val="auto"/>
          <w:sz w:val="21"/>
          <w:szCs w:val="21"/>
          <w:highlight w:val="none"/>
        </w:rPr>
        <w:t>3、供热及供冷为</w:t>
      </w:r>
      <w:r>
        <w:rPr>
          <w:rFonts w:hint="eastAsia" w:ascii="宋体" w:hAnsi="宋体" w:cs="Times New Roman"/>
          <w:color w:val="auto"/>
          <w:sz w:val="21"/>
          <w:szCs w:val="21"/>
          <w:highlight w:val="none"/>
          <w:u w:val="single"/>
        </w:rPr>
        <w:t xml:space="preserve"> 2 </w:t>
      </w:r>
      <w:r>
        <w:rPr>
          <w:rFonts w:hint="eastAsia" w:ascii="宋体" w:hAnsi="宋体" w:cs="Times New Roman"/>
          <w:color w:val="auto"/>
          <w:sz w:val="21"/>
          <w:szCs w:val="21"/>
          <w:highlight w:val="none"/>
        </w:rPr>
        <w:t>个采暖期及供冷期；</w:t>
      </w:r>
    </w:p>
    <w:p>
      <w:pPr>
        <w:snapToGrid w:val="0"/>
        <w:spacing w:line="480" w:lineRule="exact"/>
        <w:ind w:firstLine="506" w:firstLineChars="241"/>
        <w:rPr>
          <w:rFonts w:hint="eastAsia" w:ascii="宋体" w:hAnsi="宋体" w:cs="Times New Roman"/>
          <w:color w:val="auto"/>
          <w:sz w:val="21"/>
          <w:szCs w:val="21"/>
          <w:highlight w:val="none"/>
        </w:rPr>
      </w:pPr>
      <w:r>
        <w:rPr>
          <w:rFonts w:hint="eastAsia" w:ascii="宋体" w:hAnsi="宋体" w:cs="Times New Roman"/>
          <w:color w:val="auto"/>
          <w:sz w:val="21"/>
          <w:szCs w:val="21"/>
          <w:highlight w:val="none"/>
        </w:rPr>
        <w:t>4、室外的上下水和小区道路等市政公用工程为</w:t>
      </w:r>
      <w:r>
        <w:rPr>
          <w:rFonts w:hint="eastAsia" w:ascii="宋体" w:hAnsi="宋体" w:cs="Times New Roman"/>
          <w:color w:val="auto"/>
          <w:sz w:val="21"/>
          <w:szCs w:val="21"/>
          <w:highlight w:val="none"/>
          <w:u w:val="single"/>
        </w:rPr>
        <w:t xml:space="preserve"> </w:t>
      </w:r>
      <w:r>
        <w:rPr>
          <w:rFonts w:hint="eastAsia" w:ascii="宋体" w:hAnsi="宋体" w:cs="Times New Roman"/>
          <w:color w:val="auto"/>
          <w:sz w:val="21"/>
          <w:szCs w:val="21"/>
          <w:highlight w:val="none"/>
          <w:u w:val="single"/>
          <w:lang w:val="en-US" w:eastAsia="zh-CN"/>
        </w:rPr>
        <w:t>2</w:t>
      </w:r>
      <w:r>
        <w:rPr>
          <w:rFonts w:hint="eastAsia" w:ascii="宋体" w:hAnsi="宋体" w:cs="Times New Roman"/>
          <w:color w:val="auto"/>
          <w:sz w:val="21"/>
          <w:szCs w:val="21"/>
          <w:highlight w:val="none"/>
          <w:u w:val="single"/>
        </w:rPr>
        <w:t xml:space="preserve">  </w:t>
      </w:r>
      <w:r>
        <w:rPr>
          <w:rFonts w:hint="eastAsia" w:ascii="宋体" w:hAnsi="宋体" w:cs="Times New Roman"/>
          <w:color w:val="auto"/>
          <w:sz w:val="21"/>
          <w:szCs w:val="21"/>
          <w:highlight w:val="none"/>
        </w:rPr>
        <w:t>年；</w:t>
      </w:r>
    </w:p>
    <w:p>
      <w:pPr>
        <w:snapToGrid w:val="0"/>
        <w:spacing w:line="480" w:lineRule="exact"/>
        <w:ind w:firstLine="506" w:firstLineChars="241"/>
        <w:rPr>
          <w:rFonts w:hint="eastAsia" w:ascii="宋体" w:hAnsi="宋体" w:cs="Times New Roman"/>
          <w:color w:val="auto"/>
          <w:sz w:val="21"/>
          <w:szCs w:val="21"/>
          <w:highlight w:val="none"/>
          <w:u w:val="single"/>
        </w:rPr>
      </w:pPr>
      <w:r>
        <w:rPr>
          <w:rFonts w:hint="eastAsia" w:ascii="宋体" w:hAnsi="宋体" w:cs="Times New Roman"/>
          <w:color w:val="auto"/>
          <w:sz w:val="21"/>
          <w:szCs w:val="21"/>
          <w:highlight w:val="none"/>
        </w:rPr>
        <w:t>5、市政道路排水工程为</w:t>
      </w:r>
      <w:r>
        <w:rPr>
          <w:rFonts w:hint="eastAsia" w:ascii="宋体" w:hAnsi="宋体" w:cs="Times New Roman"/>
          <w:color w:val="auto"/>
          <w:sz w:val="21"/>
          <w:szCs w:val="21"/>
          <w:highlight w:val="none"/>
          <w:u w:val="single"/>
        </w:rPr>
        <w:t xml:space="preserve"> 2 </w:t>
      </w:r>
      <w:r>
        <w:rPr>
          <w:rFonts w:hint="eastAsia" w:ascii="宋体" w:hAnsi="宋体" w:cs="Times New Roman"/>
          <w:color w:val="auto"/>
          <w:sz w:val="21"/>
          <w:szCs w:val="21"/>
          <w:highlight w:val="none"/>
        </w:rPr>
        <w:t>年，市政供水工程为</w:t>
      </w:r>
      <w:r>
        <w:rPr>
          <w:rFonts w:hint="eastAsia" w:ascii="宋体" w:hAnsi="宋体" w:cs="Times New Roman"/>
          <w:color w:val="auto"/>
          <w:sz w:val="21"/>
          <w:szCs w:val="21"/>
          <w:highlight w:val="none"/>
          <w:u w:val="single"/>
        </w:rPr>
        <w:t xml:space="preserve"> 2 </w:t>
      </w:r>
      <w:r>
        <w:rPr>
          <w:rFonts w:hint="eastAsia" w:ascii="宋体" w:hAnsi="宋体" w:cs="Times New Roman"/>
          <w:color w:val="auto"/>
          <w:sz w:val="21"/>
          <w:szCs w:val="21"/>
          <w:highlight w:val="none"/>
        </w:rPr>
        <w:t>年；</w:t>
      </w:r>
    </w:p>
    <w:p>
      <w:pPr>
        <w:snapToGrid w:val="0"/>
        <w:spacing w:line="480" w:lineRule="exact"/>
        <w:ind w:firstLine="506" w:firstLineChars="241"/>
        <w:rPr>
          <w:rFonts w:hint="eastAsia" w:ascii="宋体" w:hAnsi="宋体" w:cs="Times New Roman"/>
          <w:color w:val="auto"/>
          <w:sz w:val="21"/>
          <w:szCs w:val="21"/>
          <w:highlight w:val="none"/>
        </w:rPr>
      </w:pPr>
      <w:r>
        <w:rPr>
          <w:rFonts w:hint="eastAsia" w:ascii="宋体" w:hAnsi="宋体" w:cs="Times New Roman"/>
          <w:color w:val="auto"/>
          <w:sz w:val="21"/>
          <w:szCs w:val="21"/>
          <w:highlight w:val="none"/>
        </w:rPr>
        <w:t>6、市政供电工程为</w:t>
      </w:r>
      <w:r>
        <w:rPr>
          <w:rFonts w:hint="eastAsia" w:ascii="宋体" w:hAnsi="宋体" w:cs="Times New Roman"/>
          <w:color w:val="auto"/>
          <w:sz w:val="21"/>
          <w:szCs w:val="21"/>
          <w:highlight w:val="none"/>
          <w:u w:val="single"/>
        </w:rPr>
        <w:t xml:space="preserve"> 2 </w:t>
      </w:r>
      <w:r>
        <w:rPr>
          <w:rFonts w:hint="eastAsia" w:ascii="宋体" w:hAnsi="宋体" w:cs="Times New Roman"/>
          <w:color w:val="auto"/>
          <w:sz w:val="21"/>
          <w:szCs w:val="21"/>
          <w:highlight w:val="none"/>
        </w:rPr>
        <w:t>年，市政道路照明工程</w:t>
      </w:r>
      <w:r>
        <w:rPr>
          <w:rFonts w:hint="eastAsia" w:ascii="宋体" w:hAnsi="宋体" w:cs="Times New Roman"/>
          <w:color w:val="auto"/>
          <w:sz w:val="21"/>
          <w:szCs w:val="21"/>
          <w:highlight w:val="none"/>
          <w:u w:val="single"/>
        </w:rPr>
        <w:t xml:space="preserve"> 2 </w:t>
      </w:r>
      <w:r>
        <w:rPr>
          <w:rFonts w:hint="eastAsia" w:ascii="宋体" w:hAnsi="宋体" w:cs="Times New Roman"/>
          <w:color w:val="auto"/>
          <w:sz w:val="21"/>
          <w:szCs w:val="21"/>
          <w:highlight w:val="none"/>
        </w:rPr>
        <w:t>年，市政交通设施工程为</w:t>
      </w:r>
      <w:r>
        <w:rPr>
          <w:rFonts w:hint="eastAsia" w:ascii="宋体" w:hAnsi="宋体" w:cs="Times New Roman"/>
          <w:color w:val="auto"/>
          <w:sz w:val="21"/>
          <w:szCs w:val="21"/>
          <w:highlight w:val="none"/>
          <w:u w:val="single"/>
        </w:rPr>
        <w:t xml:space="preserve"> </w:t>
      </w:r>
      <w:r>
        <w:rPr>
          <w:rFonts w:hint="eastAsia" w:ascii="宋体" w:hAnsi="宋体" w:cs="Times New Roman"/>
          <w:color w:val="auto"/>
          <w:sz w:val="21"/>
          <w:szCs w:val="21"/>
          <w:highlight w:val="none"/>
          <w:u w:val="single"/>
          <w:lang w:val="en-US" w:eastAsia="zh-CN"/>
        </w:rPr>
        <w:t>2</w:t>
      </w:r>
      <w:r>
        <w:rPr>
          <w:rFonts w:hint="eastAsia" w:ascii="宋体" w:hAnsi="宋体" w:cs="Times New Roman"/>
          <w:color w:val="auto"/>
          <w:sz w:val="21"/>
          <w:szCs w:val="21"/>
          <w:highlight w:val="none"/>
          <w:u w:val="single"/>
        </w:rPr>
        <w:t xml:space="preserve">  </w:t>
      </w:r>
      <w:r>
        <w:rPr>
          <w:rFonts w:hint="eastAsia" w:ascii="宋体" w:hAnsi="宋体" w:cs="Times New Roman"/>
          <w:color w:val="auto"/>
          <w:sz w:val="21"/>
          <w:szCs w:val="21"/>
          <w:highlight w:val="none"/>
        </w:rPr>
        <w:t>年。</w:t>
      </w:r>
    </w:p>
    <w:p>
      <w:pPr>
        <w:snapToGrid w:val="0"/>
        <w:spacing w:line="480" w:lineRule="exact"/>
        <w:ind w:firstLine="506" w:firstLineChars="241"/>
        <w:rPr>
          <w:rFonts w:hint="eastAsia" w:ascii="宋体" w:hAnsi="宋体" w:cs="Times New Roman"/>
          <w:color w:val="auto"/>
          <w:sz w:val="21"/>
          <w:szCs w:val="21"/>
          <w:highlight w:val="none"/>
        </w:rPr>
      </w:pPr>
      <w:r>
        <w:rPr>
          <w:rFonts w:hint="eastAsia" w:ascii="宋体" w:hAnsi="宋体" w:cs="Times New Roman"/>
          <w:color w:val="auto"/>
          <w:sz w:val="21"/>
          <w:szCs w:val="21"/>
          <w:highlight w:val="none"/>
        </w:rPr>
        <w:t>7、园林建筑工程为</w:t>
      </w:r>
      <w:r>
        <w:rPr>
          <w:rFonts w:hint="eastAsia" w:ascii="宋体" w:hAnsi="宋体" w:cs="Times New Roman"/>
          <w:color w:val="auto"/>
          <w:sz w:val="21"/>
          <w:szCs w:val="21"/>
          <w:highlight w:val="none"/>
          <w:u w:val="single"/>
        </w:rPr>
        <w:t xml:space="preserve"> 1 </w:t>
      </w:r>
      <w:r>
        <w:rPr>
          <w:rFonts w:hint="eastAsia" w:ascii="宋体" w:hAnsi="宋体" w:cs="Times New Roman"/>
          <w:color w:val="auto"/>
          <w:sz w:val="21"/>
          <w:szCs w:val="21"/>
          <w:highlight w:val="none"/>
        </w:rPr>
        <w:t>年，喷淋工程为</w:t>
      </w:r>
      <w:r>
        <w:rPr>
          <w:rFonts w:hint="eastAsia" w:ascii="宋体" w:hAnsi="宋体" w:cs="Times New Roman"/>
          <w:color w:val="auto"/>
          <w:sz w:val="21"/>
          <w:szCs w:val="21"/>
          <w:highlight w:val="none"/>
          <w:u w:val="single"/>
        </w:rPr>
        <w:t xml:space="preserve"> 2 </w:t>
      </w:r>
      <w:r>
        <w:rPr>
          <w:rFonts w:hint="eastAsia" w:ascii="宋体" w:hAnsi="宋体" w:cs="Times New Roman"/>
          <w:color w:val="auto"/>
          <w:sz w:val="21"/>
          <w:szCs w:val="21"/>
          <w:highlight w:val="none"/>
        </w:rPr>
        <w:t>年，胸径15cm以内（含15cm）的苗木养护期为</w:t>
      </w:r>
      <w:r>
        <w:rPr>
          <w:rFonts w:hint="eastAsia" w:ascii="宋体" w:hAnsi="宋体" w:cs="Times New Roman"/>
          <w:color w:val="auto"/>
          <w:sz w:val="21"/>
          <w:szCs w:val="21"/>
          <w:highlight w:val="none"/>
          <w:u w:val="single"/>
        </w:rPr>
        <w:t xml:space="preserve"> 3 </w:t>
      </w:r>
      <w:r>
        <w:rPr>
          <w:rFonts w:hint="eastAsia" w:ascii="宋体" w:hAnsi="宋体" w:cs="Times New Roman"/>
          <w:color w:val="auto"/>
          <w:sz w:val="21"/>
          <w:szCs w:val="21"/>
          <w:highlight w:val="none"/>
        </w:rPr>
        <w:t>个月，胸径15cm以上的苗木养护期为</w:t>
      </w:r>
      <w:r>
        <w:rPr>
          <w:rFonts w:hint="eastAsia" w:ascii="宋体" w:hAnsi="宋体" w:cs="Times New Roman"/>
          <w:color w:val="auto"/>
          <w:sz w:val="21"/>
          <w:szCs w:val="21"/>
          <w:highlight w:val="none"/>
          <w:u w:val="single"/>
        </w:rPr>
        <w:t xml:space="preserve"> 1 </w:t>
      </w:r>
      <w:r>
        <w:rPr>
          <w:rFonts w:hint="eastAsia" w:ascii="宋体" w:hAnsi="宋体" w:cs="Times New Roman"/>
          <w:color w:val="auto"/>
          <w:sz w:val="21"/>
          <w:szCs w:val="21"/>
          <w:highlight w:val="none"/>
        </w:rPr>
        <w:t>年。</w:t>
      </w:r>
    </w:p>
    <w:p>
      <w:pPr>
        <w:widowControl w:val="0"/>
        <w:snapToGrid w:val="0"/>
        <w:spacing w:line="520" w:lineRule="exact"/>
        <w:ind w:firstLine="506" w:firstLineChars="241"/>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8、水利工程1个</w:t>
      </w:r>
      <w:r>
        <w:rPr>
          <w:rFonts w:hint="eastAsia" w:ascii="宋体" w:hAnsi="宋体" w:eastAsia="宋体" w:cs="Times New Roman"/>
          <w:color w:val="auto"/>
          <w:kern w:val="2"/>
          <w:sz w:val="21"/>
          <w:szCs w:val="21"/>
          <w:highlight w:val="none"/>
          <w:u w:val="single"/>
          <w:lang w:val="en-US" w:eastAsia="zh-CN" w:bidi="ar-SA"/>
        </w:rPr>
        <w:t>防汛期。</w:t>
      </w:r>
    </w:p>
    <w:p>
      <w:pPr>
        <w:widowControl w:val="0"/>
        <w:snapToGrid w:val="0"/>
        <w:spacing w:line="520" w:lineRule="exact"/>
        <w:ind w:firstLine="506" w:firstLineChars="241"/>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9、</w:t>
      </w:r>
      <w:r>
        <w:rPr>
          <w:rFonts w:hint="eastAsia" w:ascii="宋体" w:hAnsi="宋体" w:eastAsia="宋体" w:cs="Times New Roman"/>
          <w:color w:val="auto"/>
          <w:kern w:val="2"/>
          <w:sz w:val="21"/>
          <w:szCs w:val="21"/>
          <w:highlight w:val="none"/>
          <w:u w:val="single"/>
          <w:lang w:val="en-US" w:eastAsia="zh-CN" w:bidi="ar-SA"/>
        </w:rPr>
        <w:t>除上述专业工程外其它工程的缺陷责任期按相关规定或经双方另行协商确定</w:t>
      </w:r>
      <w:r>
        <w:rPr>
          <w:rFonts w:hint="eastAsia" w:ascii="宋体" w:hAnsi="宋体" w:eastAsia="宋体" w:cs="Times New Roman"/>
          <w:color w:val="auto"/>
          <w:kern w:val="2"/>
          <w:sz w:val="21"/>
          <w:szCs w:val="21"/>
          <w:highlight w:val="none"/>
          <w:lang w:val="en-US" w:eastAsia="zh-CN" w:bidi="ar-SA"/>
        </w:rPr>
        <w:t>。</w:t>
      </w:r>
    </w:p>
    <w:p>
      <w:pPr>
        <w:numPr>
          <w:ilvl w:val="0"/>
          <w:numId w:val="21"/>
        </w:numPr>
        <w:tabs>
          <w:tab w:val="left" w:pos="960"/>
          <w:tab w:val="left" w:pos="1120"/>
        </w:tabs>
        <w:snapToGrid w:val="0"/>
        <w:spacing w:line="480" w:lineRule="exact"/>
        <w:ind w:left="960" w:hanging="420"/>
        <w:rPr>
          <w:rFonts w:hint="eastAsia" w:ascii="宋体" w:hAnsi="宋体" w:cs="Times New Roman"/>
          <w:b/>
          <w:color w:val="auto"/>
          <w:sz w:val="21"/>
          <w:szCs w:val="21"/>
          <w:highlight w:val="none"/>
        </w:rPr>
      </w:pPr>
      <w:r>
        <w:rPr>
          <w:rFonts w:hint="eastAsia" w:ascii="宋体" w:hAnsi="宋体" w:cs="Times New Roman"/>
          <w:b/>
          <w:color w:val="auto"/>
          <w:sz w:val="21"/>
          <w:szCs w:val="21"/>
          <w:highlight w:val="none"/>
        </w:rPr>
        <w:t>质量保修责任</w:t>
      </w:r>
    </w:p>
    <w:p>
      <w:pPr>
        <w:tabs>
          <w:tab w:val="left" w:pos="980"/>
        </w:tabs>
        <w:snapToGrid w:val="0"/>
        <w:spacing w:line="480" w:lineRule="exact"/>
        <w:ind w:firstLine="420" w:firstLineChars="200"/>
        <w:rPr>
          <w:rFonts w:hint="eastAsia" w:ascii="宋体" w:hAnsi="宋体" w:cs="Times New Roman"/>
          <w:color w:val="auto"/>
          <w:sz w:val="21"/>
          <w:szCs w:val="21"/>
          <w:highlight w:val="none"/>
        </w:rPr>
      </w:pPr>
      <w:r>
        <w:rPr>
          <w:rFonts w:hint="eastAsia" w:ascii="宋体" w:hAnsi="宋体" w:cs="Times New Roman"/>
          <w:bCs/>
          <w:color w:val="auto"/>
          <w:sz w:val="21"/>
          <w:szCs w:val="21"/>
          <w:highlight w:val="none"/>
        </w:rPr>
        <w:t>1、</w:t>
      </w:r>
      <w:r>
        <w:rPr>
          <w:rFonts w:hint="eastAsia" w:ascii="宋体" w:hAnsi="宋体" w:cs="Times New Roman"/>
          <w:color w:val="auto"/>
          <w:sz w:val="21"/>
          <w:szCs w:val="21"/>
          <w:highlight w:val="none"/>
        </w:rPr>
        <w:t>属于保修范围的内容项目，承包人应在接到修理通知之日后七天内派人员修理。承包人不在约定期内派人修理，发包人可委托其他人员修理，修理费用从质量保修金内扣除。</w:t>
      </w:r>
    </w:p>
    <w:p>
      <w:pPr>
        <w:tabs>
          <w:tab w:val="left" w:pos="980"/>
        </w:tabs>
        <w:snapToGrid w:val="0"/>
        <w:spacing w:line="480" w:lineRule="exact"/>
        <w:ind w:firstLine="420" w:firstLineChars="200"/>
        <w:rPr>
          <w:rFonts w:hint="eastAsia" w:ascii="宋体" w:hAnsi="宋体" w:cs="Times New Roman"/>
          <w:color w:val="auto"/>
          <w:sz w:val="21"/>
          <w:szCs w:val="21"/>
          <w:highlight w:val="none"/>
        </w:rPr>
      </w:pPr>
      <w:r>
        <w:rPr>
          <w:rFonts w:hint="eastAsia" w:ascii="宋体" w:hAnsi="宋体" w:cs="Times New Roman"/>
          <w:color w:val="auto"/>
          <w:sz w:val="21"/>
          <w:szCs w:val="21"/>
          <w:highlight w:val="none"/>
        </w:rPr>
        <w:t>2、发生须紧急抢修事故（如给水管道破裂，排水管道严重堵塞，构造物破坏、损坏，路面严重坍塌等），承包人接到事故通知后，应立即到达事故现场抢修。非承包人施工质量引起的事故，抢修费用由发包人承担。</w:t>
      </w:r>
    </w:p>
    <w:p>
      <w:pPr>
        <w:tabs>
          <w:tab w:val="left" w:pos="980"/>
        </w:tabs>
        <w:snapToGrid w:val="0"/>
        <w:spacing w:line="480" w:lineRule="exact"/>
        <w:ind w:firstLine="420" w:firstLineChars="200"/>
        <w:rPr>
          <w:rFonts w:hint="eastAsia" w:ascii="宋体" w:hAnsi="宋体" w:cs="Times New Roman"/>
          <w:color w:val="auto"/>
          <w:sz w:val="21"/>
          <w:szCs w:val="21"/>
          <w:highlight w:val="none"/>
        </w:rPr>
      </w:pPr>
      <w:r>
        <w:rPr>
          <w:rFonts w:hint="eastAsia" w:ascii="宋体" w:hAnsi="宋体" w:cs="Times New Roman"/>
          <w:color w:val="auto"/>
          <w:sz w:val="21"/>
          <w:szCs w:val="21"/>
          <w:highlight w:val="none"/>
        </w:rPr>
        <w:t>3、国家规定的土木、土建、市政工程合理使用期限内，承包人确保主体工程和桥涵构造物的质量和安全。因承包人原因致使工程在合理使用期限内因质量或安全方面的缺陷造成人身和财产损害的，承包人应承担损害赔偿责任。</w:t>
      </w:r>
    </w:p>
    <w:p>
      <w:pPr>
        <w:numPr>
          <w:ilvl w:val="0"/>
          <w:numId w:val="21"/>
        </w:numPr>
        <w:tabs>
          <w:tab w:val="left" w:pos="960"/>
          <w:tab w:val="left" w:pos="1120"/>
        </w:tabs>
        <w:snapToGrid w:val="0"/>
        <w:spacing w:line="480" w:lineRule="exact"/>
        <w:ind w:left="960" w:hanging="420"/>
        <w:rPr>
          <w:rFonts w:hint="eastAsia" w:ascii="宋体" w:hAnsi="宋体" w:cs="Times New Roman"/>
          <w:b/>
          <w:bCs/>
          <w:color w:val="auto"/>
          <w:sz w:val="21"/>
          <w:szCs w:val="21"/>
          <w:highlight w:val="none"/>
        </w:rPr>
      </w:pPr>
      <w:r>
        <w:rPr>
          <w:rFonts w:hint="eastAsia" w:ascii="宋体" w:hAnsi="宋体" w:cs="Times New Roman"/>
          <w:b/>
          <w:bCs/>
          <w:color w:val="auto"/>
          <w:sz w:val="21"/>
          <w:szCs w:val="21"/>
          <w:highlight w:val="none"/>
        </w:rPr>
        <w:t>质量保修金的支付</w:t>
      </w:r>
    </w:p>
    <w:p>
      <w:pPr>
        <w:snapToGrid w:val="0"/>
        <w:spacing w:line="480" w:lineRule="exact"/>
        <w:ind w:firstLine="420" w:firstLineChars="200"/>
        <w:rPr>
          <w:rFonts w:hint="eastAsia" w:ascii="宋体" w:hAnsi="宋体" w:cs="Times New Roman"/>
          <w:color w:val="auto"/>
          <w:sz w:val="21"/>
          <w:szCs w:val="21"/>
          <w:highlight w:val="none"/>
        </w:rPr>
      </w:pPr>
      <w:r>
        <w:rPr>
          <w:rFonts w:hint="eastAsia" w:ascii="宋体" w:hAnsi="宋体" w:cs="Times New Roman"/>
          <w:color w:val="auto"/>
          <w:sz w:val="21"/>
          <w:szCs w:val="21"/>
          <w:highlight w:val="none"/>
        </w:rPr>
        <w:t>本工程约定的工程质量保修金为施工合同结算总价款的</w:t>
      </w:r>
      <w:r>
        <w:rPr>
          <w:rFonts w:hint="eastAsia" w:ascii="宋体" w:hAnsi="宋体" w:cs="Times New Roman"/>
          <w:color w:val="auto"/>
          <w:sz w:val="21"/>
          <w:szCs w:val="21"/>
          <w:highlight w:val="none"/>
          <w:u w:val="single"/>
          <w:lang w:val="en-US" w:eastAsia="zh-CN"/>
        </w:rPr>
        <w:t>3</w:t>
      </w:r>
      <w:r>
        <w:rPr>
          <w:rFonts w:hint="eastAsia" w:ascii="宋体" w:hAnsi="宋体" w:cs="Times New Roman"/>
          <w:color w:val="auto"/>
          <w:sz w:val="21"/>
          <w:szCs w:val="21"/>
          <w:highlight w:val="none"/>
        </w:rPr>
        <w:t>%。</w:t>
      </w:r>
    </w:p>
    <w:p>
      <w:pPr>
        <w:snapToGrid w:val="0"/>
        <w:spacing w:line="480" w:lineRule="exact"/>
        <w:ind w:firstLine="445" w:firstLineChars="250"/>
        <w:rPr>
          <w:rFonts w:hint="eastAsia" w:ascii="宋体" w:hAnsi="宋体" w:cs="Times New Roman"/>
          <w:color w:val="auto"/>
          <w:spacing w:val="-32"/>
          <w:sz w:val="21"/>
          <w:szCs w:val="21"/>
          <w:highlight w:val="none"/>
        </w:rPr>
      </w:pPr>
      <w:r>
        <w:rPr>
          <w:rFonts w:hint="eastAsia" w:ascii="宋体" w:hAnsi="宋体" w:cs="Times New Roman"/>
          <w:color w:val="auto"/>
          <w:spacing w:val="-16"/>
          <w:sz w:val="21"/>
          <w:szCs w:val="21"/>
          <w:highlight w:val="none"/>
        </w:rPr>
        <w:t>本工程双方约定工程质量保修金金额为</w:t>
      </w:r>
      <w:r>
        <w:rPr>
          <w:rFonts w:hint="eastAsia" w:ascii="宋体" w:hAnsi="宋体" w:cs="Times New Roman"/>
          <w:color w:val="auto"/>
          <w:spacing w:val="-16"/>
          <w:sz w:val="21"/>
          <w:szCs w:val="21"/>
          <w:highlight w:val="none"/>
          <w:u w:val="single"/>
        </w:rPr>
        <w:t xml:space="preserve">(大写)  </w:t>
      </w:r>
      <w:r>
        <w:rPr>
          <w:rFonts w:hint="eastAsia" w:ascii="宋体" w:hAnsi="宋体" w:cs="Times New Roman"/>
          <w:color w:val="auto"/>
          <w:spacing w:val="-32"/>
          <w:sz w:val="21"/>
          <w:szCs w:val="21"/>
          <w:highlight w:val="none"/>
          <w:u w:val="single"/>
        </w:rPr>
        <w:t xml:space="preserve">          /               </w:t>
      </w:r>
      <w:r>
        <w:rPr>
          <w:rFonts w:hint="eastAsia" w:ascii="宋体" w:hAnsi="宋体" w:cs="Times New Roman"/>
          <w:color w:val="auto"/>
          <w:spacing w:val="-32"/>
          <w:sz w:val="21"/>
          <w:szCs w:val="21"/>
          <w:highlight w:val="none"/>
        </w:rPr>
        <w:t>。</w:t>
      </w:r>
    </w:p>
    <w:p>
      <w:pPr>
        <w:snapToGrid w:val="0"/>
        <w:spacing w:line="480" w:lineRule="exact"/>
        <w:ind w:firstLine="420" w:firstLineChars="200"/>
        <w:rPr>
          <w:rFonts w:hint="eastAsia" w:ascii="宋体" w:hAnsi="宋体" w:cs="Times New Roman"/>
          <w:bCs/>
          <w:color w:val="auto"/>
          <w:sz w:val="21"/>
          <w:szCs w:val="21"/>
          <w:highlight w:val="none"/>
        </w:rPr>
      </w:pPr>
      <w:r>
        <w:rPr>
          <w:rFonts w:hint="eastAsia" w:ascii="宋体" w:hAnsi="宋体" w:cs="Times New Roman"/>
          <w:color w:val="auto"/>
          <w:sz w:val="21"/>
          <w:szCs w:val="21"/>
          <w:highlight w:val="none"/>
        </w:rPr>
        <w:t xml:space="preserve">质量保修金银行利率为 </w:t>
      </w:r>
      <w:r>
        <w:rPr>
          <w:rFonts w:hint="eastAsia" w:ascii="宋体" w:hAnsi="宋体" w:cs="Times New Roman"/>
          <w:color w:val="auto"/>
          <w:sz w:val="21"/>
          <w:szCs w:val="21"/>
          <w:highlight w:val="none"/>
          <w:u w:val="single"/>
        </w:rPr>
        <w:t xml:space="preserve">      /     </w:t>
      </w:r>
      <w:r>
        <w:rPr>
          <w:rFonts w:hint="eastAsia" w:ascii="宋体" w:hAnsi="宋体" w:cs="Times New Roman"/>
          <w:color w:val="auto"/>
          <w:sz w:val="21"/>
          <w:szCs w:val="21"/>
          <w:highlight w:val="none"/>
        </w:rPr>
        <w:t xml:space="preserve"> 。</w:t>
      </w:r>
    </w:p>
    <w:p>
      <w:pPr>
        <w:numPr>
          <w:ilvl w:val="0"/>
          <w:numId w:val="21"/>
        </w:numPr>
        <w:tabs>
          <w:tab w:val="left" w:pos="960"/>
          <w:tab w:val="left" w:pos="1120"/>
        </w:tabs>
        <w:snapToGrid w:val="0"/>
        <w:spacing w:line="480" w:lineRule="exact"/>
        <w:ind w:left="960" w:hanging="420"/>
        <w:rPr>
          <w:rFonts w:hint="eastAsia" w:ascii="宋体" w:hAnsi="宋体" w:cs="Times New Roman"/>
          <w:b/>
          <w:color w:val="auto"/>
          <w:sz w:val="21"/>
          <w:szCs w:val="21"/>
          <w:highlight w:val="none"/>
        </w:rPr>
      </w:pPr>
      <w:r>
        <w:rPr>
          <w:rFonts w:hint="eastAsia" w:ascii="宋体" w:hAnsi="宋体" w:cs="Times New Roman"/>
          <w:b/>
          <w:color w:val="auto"/>
          <w:sz w:val="21"/>
          <w:szCs w:val="21"/>
          <w:highlight w:val="none"/>
        </w:rPr>
        <w:t>其他</w:t>
      </w:r>
    </w:p>
    <w:p>
      <w:pPr>
        <w:tabs>
          <w:tab w:val="left" w:pos="980"/>
        </w:tabs>
        <w:spacing w:line="480" w:lineRule="exact"/>
        <w:ind w:firstLine="420" w:firstLineChars="200"/>
        <w:rPr>
          <w:rFonts w:hint="eastAsia" w:ascii="宋体" w:hAnsi="宋体" w:cs="Times New Roman"/>
          <w:color w:val="auto"/>
          <w:sz w:val="21"/>
          <w:szCs w:val="21"/>
          <w:highlight w:val="none"/>
          <w:u w:val="single"/>
        </w:rPr>
      </w:pPr>
      <w:r>
        <w:rPr>
          <w:rFonts w:hint="eastAsia" w:ascii="宋体" w:hAnsi="宋体" w:cs="Times New Roman"/>
          <w:color w:val="auto"/>
          <w:sz w:val="21"/>
          <w:szCs w:val="21"/>
          <w:highlight w:val="none"/>
        </w:rPr>
        <w:t>双方约定的其他工程质量保修事项：</w:t>
      </w:r>
      <w:r>
        <w:rPr>
          <w:rFonts w:hint="eastAsia" w:ascii="宋体" w:hAnsi="宋体" w:cs="Times New Roman"/>
          <w:color w:val="auto"/>
          <w:sz w:val="21"/>
          <w:szCs w:val="21"/>
          <w:highlight w:val="none"/>
          <w:u w:val="single"/>
        </w:rPr>
        <w:t>保留经广州开发区财政局核定的结算总造价的</w:t>
      </w:r>
      <w:r>
        <w:rPr>
          <w:rFonts w:hint="eastAsia" w:ascii="宋体" w:hAnsi="宋体" w:cs="Times New Roman"/>
          <w:color w:val="auto"/>
          <w:sz w:val="21"/>
          <w:szCs w:val="21"/>
          <w:highlight w:val="none"/>
          <w:u w:val="single"/>
          <w:lang w:val="en-US" w:eastAsia="zh-CN"/>
        </w:rPr>
        <w:t>3</w:t>
      </w:r>
      <w:r>
        <w:rPr>
          <w:rFonts w:hint="eastAsia" w:ascii="宋体" w:hAnsi="宋体" w:cs="Times New Roman"/>
          <w:color w:val="auto"/>
          <w:sz w:val="21"/>
          <w:szCs w:val="21"/>
          <w:highlight w:val="none"/>
          <w:u w:val="single"/>
        </w:rPr>
        <w:t>%作为保修金，在质量缺陷责任期满后结清（不计利息）。</w:t>
      </w:r>
    </w:p>
    <w:p>
      <w:pPr>
        <w:tabs>
          <w:tab w:val="left" w:pos="980"/>
        </w:tabs>
        <w:spacing w:line="480" w:lineRule="exact"/>
        <w:ind w:firstLine="420" w:firstLineChars="200"/>
        <w:rPr>
          <w:rFonts w:hint="eastAsia" w:ascii="宋体" w:hAnsi="宋体" w:cs="Times New Roman"/>
          <w:color w:val="auto"/>
          <w:sz w:val="21"/>
          <w:szCs w:val="21"/>
          <w:highlight w:val="none"/>
        </w:rPr>
      </w:pPr>
      <w:r>
        <w:rPr>
          <w:rFonts w:hint="eastAsia" w:ascii="宋体" w:hAnsi="宋体" w:cs="Times New Roman"/>
          <w:color w:val="auto"/>
          <w:sz w:val="21"/>
          <w:szCs w:val="21"/>
          <w:highlight w:val="none"/>
        </w:rPr>
        <w:t>本工程质量保修责任书作为施工合同附件，由施工合同发包人与承包人双方共同签署。</w:t>
      </w:r>
    </w:p>
    <w:p>
      <w:pPr>
        <w:widowControl w:val="0"/>
        <w:spacing w:line="480" w:lineRule="exact"/>
        <w:ind w:firstLine="0"/>
        <w:jc w:val="left"/>
        <w:rPr>
          <w:rFonts w:hint="eastAsia" w:ascii="宋体" w:hAnsi="宋体" w:eastAsia="宋体" w:cs="Times New Roman"/>
          <w:color w:val="auto"/>
          <w:kern w:val="2"/>
          <w:sz w:val="21"/>
          <w:szCs w:val="21"/>
          <w:highlight w:val="none"/>
          <w:lang w:val="en-US" w:eastAsia="zh-CN" w:bidi="ar-SA"/>
        </w:rPr>
      </w:pPr>
    </w:p>
    <w:tbl>
      <w:tblPr>
        <w:tblStyle w:val="40"/>
        <w:tblpPr w:leftFromText="180" w:rightFromText="180" w:vertAnchor="text" w:horzAnchor="page" w:tblpX="1895" w:tblpY="779"/>
        <w:tblOverlap w:val="never"/>
        <w:tblW w:w="9270" w:type="dxa"/>
        <w:tblInd w:w="0" w:type="dxa"/>
        <w:tblLayout w:type="fixed"/>
        <w:tblCellMar>
          <w:top w:w="0" w:type="dxa"/>
          <w:left w:w="108" w:type="dxa"/>
          <w:bottom w:w="0" w:type="dxa"/>
          <w:right w:w="108" w:type="dxa"/>
        </w:tblCellMar>
      </w:tblPr>
      <w:tblGrid>
        <w:gridCol w:w="4800"/>
        <w:gridCol w:w="4470"/>
      </w:tblGrid>
      <w:tr>
        <w:tblPrEx>
          <w:tblCellMar>
            <w:top w:w="0" w:type="dxa"/>
            <w:left w:w="108" w:type="dxa"/>
            <w:bottom w:w="0" w:type="dxa"/>
            <w:right w:w="108" w:type="dxa"/>
          </w:tblCellMar>
        </w:tblPrEx>
        <w:trPr>
          <w:trHeight w:val="1040" w:hRule="atLeast"/>
        </w:trPr>
        <w:tc>
          <w:tcPr>
            <w:tcW w:w="4800" w:type="dxa"/>
            <w:noWrap w:val="0"/>
            <w:vAlign w:val="top"/>
          </w:tcPr>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cs="Times New Roman"/>
                <w:color w:val="auto"/>
                <w:sz w:val="21"/>
                <w:szCs w:val="21"/>
                <w:highlight w:val="none"/>
                <w:u w:val="none"/>
                <w:lang w:eastAsia="zh-CN"/>
              </w:rPr>
            </w:pPr>
            <w:r>
              <w:rPr>
                <w:rFonts w:hint="eastAsia" w:ascii="宋体" w:hAnsi="宋体" w:cs="Times New Roman"/>
                <w:color w:val="auto"/>
                <w:sz w:val="21"/>
                <w:szCs w:val="21"/>
                <w:highlight w:val="none"/>
              </w:rPr>
              <w:t>发包人：（</w:t>
            </w:r>
            <w:r>
              <w:rPr>
                <w:rFonts w:hint="eastAsia" w:ascii="宋体" w:hAnsi="宋体" w:cs="Times New Roman"/>
                <w:color w:val="auto"/>
                <w:sz w:val="21"/>
                <w:szCs w:val="21"/>
                <w:highlight w:val="none"/>
                <w:lang w:eastAsia="zh-CN"/>
              </w:rPr>
              <w:t>盖</w:t>
            </w:r>
            <w:r>
              <w:rPr>
                <w:rFonts w:hint="eastAsia" w:ascii="宋体" w:hAnsi="宋体" w:cs="Times New Roman"/>
                <w:color w:val="auto"/>
                <w:sz w:val="21"/>
                <w:szCs w:val="21"/>
                <w:highlight w:val="none"/>
              </w:rPr>
              <w:t>章）</w:t>
            </w:r>
            <w:r>
              <w:rPr>
                <w:rFonts w:hint="eastAsia" w:ascii="宋体" w:hAnsi="宋体" w:cs="Times New Roman"/>
                <w:color w:val="auto"/>
                <w:sz w:val="21"/>
                <w:szCs w:val="21"/>
                <w:highlight w:val="none"/>
                <w:u w:val="none"/>
                <w:lang w:eastAsia="zh-CN"/>
              </w:rPr>
              <w:t>广州开发区财政投资建设</w:t>
            </w:r>
          </w:p>
          <w:p>
            <w:pPr>
              <w:keepNext w:val="0"/>
              <w:keepLines w:val="0"/>
              <w:pageBreakBefore w:val="0"/>
              <w:kinsoku/>
              <w:wordWrap/>
              <w:overflowPunct/>
              <w:topLinePunct w:val="0"/>
              <w:autoSpaceDE/>
              <w:autoSpaceDN/>
              <w:bidi w:val="0"/>
              <w:adjustRightInd/>
              <w:snapToGrid w:val="0"/>
              <w:spacing w:line="400" w:lineRule="exact"/>
              <w:ind w:firstLine="1680" w:firstLineChars="800"/>
              <w:textAlignment w:val="auto"/>
              <w:rPr>
                <w:rFonts w:hint="eastAsia" w:ascii="宋体" w:hAnsi="宋体" w:cs="Times New Roman"/>
                <w:color w:val="auto"/>
                <w:sz w:val="21"/>
                <w:szCs w:val="21"/>
                <w:highlight w:val="none"/>
              </w:rPr>
            </w:pPr>
            <w:r>
              <w:rPr>
                <w:rFonts w:hint="eastAsia" w:ascii="宋体" w:hAnsi="宋体" w:cs="Times New Roman"/>
                <w:color w:val="auto"/>
                <w:sz w:val="21"/>
                <w:szCs w:val="21"/>
                <w:highlight w:val="none"/>
                <w:u w:val="none"/>
                <w:lang w:eastAsia="zh-CN"/>
              </w:rPr>
              <w:t>项目管理中心</w:t>
            </w:r>
          </w:p>
        </w:tc>
        <w:tc>
          <w:tcPr>
            <w:tcW w:w="4470" w:type="dxa"/>
            <w:noWrap w:val="0"/>
            <w:vAlign w:val="top"/>
          </w:tcPr>
          <w:p>
            <w:pPr>
              <w:keepNext w:val="0"/>
              <w:keepLines w:val="0"/>
              <w:pageBreakBefore w:val="0"/>
              <w:kinsoku/>
              <w:wordWrap/>
              <w:overflowPunct/>
              <w:topLinePunct w:val="0"/>
              <w:autoSpaceDE/>
              <w:autoSpaceDN/>
              <w:bidi w:val="0"/>
              <w:adjustRightInd/>
              <w:snapToGrid w:val="0"/>
              <w:spacing w:line="400" w:lineRule="exact"/>
              <w:ind w:firstLine="0" w:firstLineChars="0"/>
              <w:textAlignment w:val="auto"/>
              <w:rPr>
                <w:rFonts w:hint="eastAsia" w:ascii="宋体" w:hAnsi="宋体" w:cs="Times New Roman"/>
                <w:color w:val="auto"/>
                <w:sz w:val="21"/>
                <w:szCs w:val="21"/>
                <w:highlight w:val="none"/>
              </w:rPr>
            </w:pPr>
            <w:r>
              <w:rPr>
                <w:rFonts w:hint="eastAsia" w:ascii="宋体" w:hAnsi="宋体" w:cs="Times New Roman"/>
                <w:color w:val="auto"/>
                <w:sz w:val="21"/>
                <w:szCs w:val="21"/>
                <w:highlight w:val="none"/>
              </w:rPr>
              <w:t>承包人：（</w:t>
            </w:r>
            <w:r>
              <w:rPr>
                <w:rFonts w:hint="eastAsia" w:ascii="宋体" w:hAnsi="宋体" w:cs="Times New Roman"/>
                <w:color w:val="auto"/>
                <w:sz w:val="21"/>
                <w:szCs w:val="21"/>
                <w:highlight w:val="none"/>
                <w:lang w:eastAsia="zh-CN"/>
              </w:rPr>
              <w:t>盖</w:t>
            </w:r>
            <w:r>
              <w:rPr>
                <w:rFonts w:hint="eastAsia" w:ascii="宋体" w:hAnsi="宋体" w:cs="Times New Roman"/>
                <w:color w:val="auto"/>
                <w:sz w:val="21"/>
                <w:szCs w:val="21"/>
                <w:highlight w:val="none"/>
              </w:rPr>
              <w:t xml:space="preserve">章） </w:t>
            </w:r>
          </w:p>
        </w:tc>
      </w:tr>
      <w:tr>
        <w:tblPrEx>
          <w:tblCellMar>
            <w:top w:w="0" w:type="dxa"/>
            <w:left w:w="108" w:type="dxa"/>
            <w:bottom w:w="0" w:type="dxa"/>
            <w:right w:w="108" w:type="dxa"/>
          </w:tblCellMar>
        </w:tblPrEx>
        <w:trPr>
          <w:trHeight w:val="925" w:hRule="atLeast"/>
        </w:trPr>
        <w:tc>
          <w:tcPr>
            <w:tcW w:w="4800" w:type="dxa"/>
            <w:noWrap w:val="0"/>
            <w:vAlign w:val="top"/>
          </w:tcPr>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cs="Times New Roman"/>
                <w:color w:val="auto"/>
                <w:sz w:val="21"/>
                <w:szCs w:val="21"/>
                <w:highlight w:val="none"/>
              </w:rPr>
            </w:pPr>
            <w:r>
              <w:rPr>
                <w:rFonts w:hint="eastAsia" w:ascii="宋体" w:hAnsi="宋体" w:cs="Times New Roman"/>
                <w:color w:val="auto"/>
                <w:sz w:val="21"/>
                <w:szCs w:val="21"/>
                <w:highlight w:val="none"/>
              </w:rPr>
              <w:t>法定代表人：</w:t>
            </w:r>
          </w:p>
        </w:tc>
        <w:tc>
          <w:tcPr>
            <w:tcW w:w="4470" w:type="dxa"/>
            <w:noWrap w:val="0"/>
            <w:vAlign w:val="top"/>
          </w:tcPr>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cs="Times New Roman"/>
                <w:color w:val="auto"/>
                <w:sz w:val="21"/>
                <w:szCs w:val="21"/>
                <w:highlight w:val="none"/>
              </w:rPr>
            </w:pPr>
            <w:r>
              <w:rPr>
                <w:rFonts w:hint="eastAsia" w:ascii="宋体" w:hAnsi="宋体" w:cs="Times New Roman"/>
                <w:color w:val="auto"/>
                <w:sz w:val="21"/>
                <w:szCs w:val="21"/>
                <w:highlight w:val="none"/>
              </w:rPr>
              <w:t>法定代表人：</w:t>
            </w:r>
          </w:p>
        </w:tc>
      </w:tr>
      <w:tr>
        <w:tblPrEx>
          <w:tblCellMar>
            <w:top w:w="0" w:type="dxa"/>
            <w:left w:w="108" w:type="dxa"/>
            <w:bottom w:w="0" w:type="dxa"/>
            <w:right w:w="108" w:type="dxa"/>
          </w:tblCellMar>
        </w:tblPrEx>
        <w:trPr>
          <w:trHeight w:val="1007" w:hRule="atLeast"/>
        </w:trPr>
        <w:tc>
          <w:tcPr>
            <w:tcW w:w="4800" w:type="dxa"/>
            <w:noWrap w:val="0"/>
            <w:vAlign w:val="top"/>
          </w:tcPr>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cs="Times New Roman"/>
                <w:color w:val="auto"/>
                <w:sz w:val="21"/>
                <w:szCs w:val="21"/>
                <w:highlight w:val="none"/>
              </w:rPr>
            </w:pPr>
            <w:r>
              <w:rPr>
                <w:rFonts w:hint="eastAsia" w:ascii="宋体" w:hAnsi="宋体" w:cs="Times New Roman"/>
                <w:color w:val="auto"/>
                <w:sz w:val="21"/>
                <w:szCs w:val="21"/>
                <w:highlight w:val="none"/>
              </w:rPr>
              <w:t>委托代理人：</w:t>
            </w:r>
          </w:p>
        </w:tc>
        <w:tc>
          <w:tcPr>
            <w:tcW w:w="4470" w:type="dxa"/>
            <w:noWrap w:val="0"/>
            <w:vAlign w:val="top"/>
          </w:tcPr>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cs="Times New Roman"/>
                <w:color w:val="auto"/>
                <w:sz w:val="21"/>
                <w:szCs w:val="21"/>
                <w:highlight w:val="none"/>
              </w:rPr>
            </w:pPr>
            <w:r>
              <w:rPr>
                <w:rFonts w:hint="eastAsia" w:ascii="宋体" w:hAnsi="宋体" w:cs="Times New Roman"/>
                <w:color w:val="auto"/>
                <w:sz w:val="21"/>
                <w:szCs w:val="21"/>
                <w:highlight w:val="none"/>
              </w:rPr>
              <w:t>委托代理人：</w:t>
            </w:r>
          </w:p>
        </w:tc>
      </w:tr>
    </w:tbl>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outlineLvl w:val="9"/>
        <w:rPr>
          <w:rFonts w:hint="eastAsia" w:ascii="宋体" w:hAnsi="宋体" w:eastAsia="宋体" w:cs="Times New Roman"/>
          <w:color w:val="auto"/>
          <w:kern w:val="2"/>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outlineLvl w:val="9"/>
        <w:rPr>
          <w:rFonts w:hint="eastAsia" w:ascii="宋体" w:hAnsi="宋体" w:eastAsia="宋体" w:cs="Times New Roman"/>
          <w:color w:val="auto"/>
          <w:kern w:val="2"/>
          <w:sz w:val="24"/>
          <w:szCs w:val="24"/>
          <w:highlight w:val="none"/>
          <w:lang w:val="en-US" w:eastAsia="zh-CN" w:bidi="ar-SA"/>
        </w:rPr>
      </w:pPr>
    </w:p>
    <w:p>
      <w:pPr>
        <w:widowControl w:val="0"/>
        <w:spacing w:line="480" w:lineRule="exact"/>
        <w:ind w:firstLine="420" w:firstLineChars="200"/>
        <w:jc w:val="left"/>
        <w:rPr>
          <w:rFonts w:hint="eastAsia" w:ascii="宋体" w:hAnsi="宋体" w:eastAsia="宋体" w:cs="Times New Roman"/>
          <w:color w:val="auto"/>
          <w:kern w:val="2"/>
          <w:sz w:val="21"/>
          <w:szCs w:val="21"/>
          <w:highlight w:val="none"/>
          <w:lang w:val="en-US" w:eastAsia="zh-CN" w:bidi="ar-SA"/>
        </w:rPr>
      </w:pPr>
    </w:p>
    <w:p>
      <w:pPr>
        <w:widowControl w:val="0"/>
        <w:spacing w:line="480" w:lineRule="exact"/>
        <w:ind w:firstLine="420" w:firstLineChars="200"/>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签订时间：  年      月    日</w:t>
      </w:r>
    </w:p>
    <w:p>
      <w:pPr>
        <w:widowControl w:val="0"/>
        <w:adjustRightInd w:val="0"/>
        <w:snapToGrid w:val="0"/>
        <w:spacing w:before="0" w:beforeLines="0" w:after="0" w:afterLines="0" w:line="400" w:lineRule="exact"/>
        <w:jc w:val="both"/>
        <w:rPr>
          <w:rFonts w:hint="eastAsia" w:ascii="宋体" w:hAnsi="宋体" w:eastAsia="宋体" w:cs="宋体"/>
          <w:b/>
          <w:bCs/>
          <w:color w:val="auto"/>
          <w:sz w:val="30"/>
          <w:szCs w:val="30"/>
          <w:highlight w:val="none"/>
          <w:lang w:val="en-US" w:eastAsia="zh-CN" w:bidi="ar-SA"/>
        </w:rPr>
      </w:pPr>
      <w:r>
        <w:rPr>
          <w:rFonts w:ascii="宋体" w:hAnsi="宋体" w:eastAsia="宋体" w:cs="宋体"/>
          <w:color w:val="auto"/>
          <w:sz w:val="21"/>
          <w:szCs w:val="21"/>
          <w:highlight w:val="none"/>
          <w:lang w:val="en-US" w:eastAsia="zh-CN" w:bidi="ar-SA"/>
        </w:rPr>
        <w:br w:type="page"/>
      </w:r>
      <w:r>
        <w:rPr>
          <w:rFonts w:hint="eastAsia" w:ascii="宋体" w:hAnsi="宋体" w:eastAsia="宋体" w:cs="宋体"/>
          <w:b/>
          <w:bCs/>
          <w:color w:val="auto"/>
          <w:sz w:val="30"/>
          <w:szCs w:val="30"/>
          <w:highlight w:val="none"/>
          <w:lang w:val="en-US" w:eastAsia="zh-CN" w:bidi="ar-SA"/>
        </w:rPr>
        <w:t xml:space="preserve">附件：            </w:t>
      </w:r>
      <w:r>
        <w:rPr>
          <w:rFonts w:hint="eastAsia" w:ascii="宋体" w:hAnsi="宋体" w:eastAsia="宋体" w:cs="宋体"/>
          <w:color w:val="auto"/>
          <w:sz w:val="24"/>
          <w:szCs w:val="32"/>
          <w:highlight w:val="none"/>
          <w:lang w:val="en-US" w:eastAsia="zh-CN" w:bidi="ar-SA"/>
        </w:rPr>
        <w:t xml:space="preserve">  </w:t>
      </w:r>
      <w:r>
        <w:rPr>
          <w:rFonts w:hint="eastAsia" w:ascii="宋体" w:hAnsi="宋体" w:eastAsia="宋体" w:cs="宋体"/>
          <w:b/>
          <w:bCs/>
          <w:color w:val="auto"/>
          <w:sz w:val="30"/>
          <w:szCs w:val="30"/>
          <w:highlight w:val="none"/>
          <w:lang w:val="en-US" w:eastAsia="zh-CN" w:bidi="ar-SA"/>
        </w:rPr>
        <w:t>工程建设项目廉政责任书</w:t>
      </w:r>
    </w:p>
    <w:p>
      <w:pPr>
        <w:widowControl w:val="0"/>
        <w:adjustRightInd w:val="0"/>
        <w:snapToGrid w:val="0"/>
        <w:spacing w:line="400" w:lineRule="exact"/>
        <w:ind w:firstLine="0"/>
        <w:jc w:val="both"/>
        <w:rPr>
          <w:rFonts w:hint="eastAsia" w:ascii="宋体" w:hAnsi="宋体" w:eastAsia="宋体" w:cs="Times New Roman"/>
          <w:snapToGrid w:val="0"/>
          <w:color w:val="auto"/>
          <w:kern w:val="0"/>
          <w:sz w:val="24"/>
          <w:szCs w:val="20"/>
          <w:highlight w:val="none"/>
          <w:lang w:val="en-US" w:eastAsia="zh-CN" w:bidi="ar-SA"/>
        </w:rPr>
      </w:pPr>
    </w:p>
    <w:p>
      <w:pPr>
        <w:widowControl w:val="0"/>
        <w:adjustRightInd w:val="0"/>
        <w:snapToGrid w:val="0"/>
        <w:spacing w:line="400" w:lineRule="exact"/>
        <w:ind w:left="495" w:hanging="495"/>
        <w:jc w:val="both"/>
        <w:rPr>
          <w:rFonts w:hint="eastAsia" w:ascii="宋体" w:hAnsi="宋体" w:eastAsia="宋体" w:cs="宋体"/>
          <w:color w:val="auto"/>
          <w:sz w:val="21"/>
          <w:szCs w:val="21"/>
          <w:highlight w:val="none"/>
          <w:u w:val="single"/>
          <w:lang w:val="en-US" w:eastAsia="zh-CN" w:bidi="ar-SA"/>
        </w:rPr>
      </w:pPr>
      <w:r>
        <w:rPr>
          <w:rFonts w:hint="eastAsia" w:ascii="宋体" w:hAnsi="宋体" w:eastAsia="宋体" w:cs="宋体"/>
          <w:color w:val="auto"/>
          <w:sz w:val="21"/>
          <w:szCs w:val="21"/>
          <w:highlight w:val="none"/>
          <w:lang w:val="en-US" w:eastAsia="zh-CN" w:bidi="ar-SA"/>
        </w:rPr>
        <w:t>工程项目名称：</w:t>
      </w:r>
      <w:r>
        <w:rPr>
          <w:rFonts w:hint="eastAsia" w:ascii="宋体" w:hAnsi="宋体" w:eastAsia="宋体" w:cs="宋体"/>
          <w:color w:val="auto"/>
          <w:sz w:val="21"/>
          <w:szCs w:val="21"/>
          <w:highlight w:val="none"/>
          <w:u w:val="single"/>
          <w:lang w:val="en-US" w:eastAsia="zh-CN" w:bidi="ar-SA"/>
        </w:rPr>
        <w:t xml:space="preserve">                                </w:t>
      </w:r>
    </w:p>
    <w:p>
      <w:pPr>
        <w:widowControl w:val="0"/>
        <w:adjustRightInd w:val="0"/>
        <w:snapToGrid w:val="0"/>
        <w:spacing w:line="400" w:lineRule="exact"/>
        <w:ind w:left="495" w:hanging="495"/>
        <w:jc w:val="both"/>
        <w:rPr>
          <w:rFonts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工程项目地址：</w:t>
      </w:r>
      <w:r>
        <w:rPr>
          <w:rFonts w:hint="eastAsia" w:ascii="宋体" w:hAnsi="宋体" w:eastAsia="宋体" w:cs="宋体"/>
          <w:color w:val="auto"/>
          <w:sz w:val="21"/>
          <w:szCs w:val="21"/>
          <w:highlight w:val="none"/>
          <w:u w:val="single"/>
          <w:lang w:val="en-US" w:eastAsia="zh-CN" w:bidi="ar-SA"/>
        </w:rPr>
        <w:t xml:space="preserve">                                </w:t>
      </w:r>
    </w:p>
    <w:p>
      <w:pPr>
        <w:widowControl w:val="0"/>
        <w:adjustRightInd w:val="0"/>
        <w:snapToGrid w:val="0"/>
        <w:spacing w:line="400" w:lineRule="exact"/>
        <w:jc w:val="both"/>
        <w:rPr>
          <w:rFonts w:ascii="宋体" w:hAnsi="宋体" w:eastAsia="宋体" w:cs="宋体"/>
          <w:color w:val="auto"/>
          <w:sz w:val="21"/>
          <w:szCs w:val="21"/>
          <w:highlight w:val="none"/>
          <w:u w:val="single"/>
          <w:lang w:val="en-US" w:eastAsia="zh-CN" w:bidi="ar-SA"/>
        </w:rPr>
      </w:pPr>
      <w:r>
        <w:rPr>
          <w:rFonts w:hint="eastAsia" w:ascii="宋体" w:hAnsi="宋体" w:eastAsia="宋体" w:cs="宋体"/>
          <w:color w:val="auto"/>
          <w:sz w:val="21"/>
          <w:szCs w:val="21"/>
          <w:highlight w:val="none"/>
          <w:lang w:val="en-US" w:eastAsia="zh-CN" w:bidi="ar-SA"/>
        </w:rPr>
        <w:t xml:space="preserve">甲方： </w:t>
      </w:r>
      <w:r>
        <w:rPr>
          <w:rFonts w:hint="eastAsia" w:ascii="宋体" w:hAnsi="宋体" w:eastAsia="宋体" w:cs="宋体"/>
          <w:color w:val="auto"/>
          <w:sz w:val="21"/>
          <w:szCs w:val="21"/>
          <w:highlight w:val="none"/>
          <w:u w:val="single"/>
          <w:lang w:val="en-US" w:eastAsia="zh-CN" w:bidi="ar-SA"/>
        </w:rPr>
        <w:t xml:space="preserve">                                       </w:t>
      </w:r>
    </w:p>
    <w:p>
      <w:pPr>
        <w:widowControl w:val="0"/>
        <w:adjustRightInd w:val="0"/>
        <w:snapToGrid w:val="0"/>
        <w:spacing w:line="400" w:lineRule="exact"/>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 xml:space="preserve">乙方： </w:t>
      </w:r>
      <w:r>
        <w:rPr>
          <w:rFonts w:hint="eastAsia" w:ascii="宋体" w:hAnsi="宋体" w:eastAsia="宋体" w:cs="宋体"/>
          <w:color w:val="auto"/>
          <w:sz w:val="21"/>
          <w:szCs w:val="21"/>
          <w:highlight w:val="none"/>
          <w:u w:val="single"/>
          <w:lang w:val="en-US" w:eastAsia="zh-CN" w:bidi="ar-SA"/>
        </w:rPr>
        <w:t xml:space="preserve">                                       </w:t>
      </w:r>
    </w:p>
    <w:p>
      <w:pPr>
        <w:widowControl w:val="0"/>
        <w:adjustRightInd w:val="0"/>
        <w:snapToGrid w:val="0"/>
        <w:spacing w:line="400" w:lineRule="exact"/>
        <w:jc w:val="both"/>
        <w:rPr>
          <w:rFonts w:ascii="宋体" w:hAnsi="宋体" w:eastAsia="宋体" w:cs="宋体"/>
          <w:color w:val="auto"/>
          <w:sz w:val="21"/>
          <w:szCs w:val="21"/>
          <w:highlight w:val="none"/>
          <w:lang w:val="en-US" w:eastAsia="zh-CN" w:bidi="ar-SA"/>
        </w:rPr>
      </w:pPr>
    </w:p>
    <w:p>
      <w:pPr>
        <w:keepNext w:val="0"/>
        <w:keepLines w:val="0"/>
        <w:widowControl w:val="0"/>
        <w:suppressLineNumbers w:val="0"/>
        <w:adjustRightInd w:val="0"/>
        <w:snapToGrid w:val="0"/>
        <w:spacing w:before="0" w:beforeAutospacing="0" w:after="0" w:afterAutospacing="0" w:line="440" w:lineRule="exact"/>
        <w:ind w:left="0" w:right="0" w:firstLine="482"/>
        <w:jc w:val="both"/>
        <w:rPr>
          <w:rFonts w:hint="eastAsia" w:ascii="宋体" w:hAnsi="宋体" w:eastAsia="宋体" w:cs="宋体"/>
          <w:color w:val="auto"/>
          <w:kern w:val="0"/>
          <w:sz w:val="21"/>
          <w:szCs w:val="21"/>
          <w:highlight w:val="none"/>
          <w:lang w:val="en-US"/>
        </w:rPr>
      </w:pPr>
      <w:r>
        <w:rPr>
          <w:rFonts w:hint="eastAsia" w:ascii="宋体" w:hAnsi="宋体" w:eastAsia="宋体" w:cs="宋体"/>
          <w:snapToGrid w:val="0"/>
          <w:color w:val="auto"/>
          <w:kern w:val="0"/>
          <w:sz w:val="21"/>
          <w:szCs w:val="21"/>
          <w:highlight w:val="none"/>
          <w:lang w:val="en-US" w:eastAsia="zh-CN" w:bidi="ar"/>
        </w:rPr>
        <w:t>为加强工程建设中的廉政建设，规范工程建设项目的各项活动，防止发生各种谋取不正当利益的违法违纪行为，保护国家、集体和当事人的合法权益，根据国家有关工程建设的法律法规和廉政建设责任制规定，特订立本廉政责任书。</w:t>
      </w:r>
    </w:p>
    <w:p>
      <w:pPr>
        <w:keepNext w:val="0"/>
        <w:keepLines w:val="0"/>
        <w:widowControl w:val="0"/>
        <w:suppressLineNumbers w:val="0"/>
        <w:adjustRightInd w:val="0"/>
        <w:snapToGrid w:val="0"/>
        <w:spacing w:before="0" w:beforeAutospacing="0" w:after="0" w:afterAutospacing="0" w:line="440" w:lineRule="exact"/>
        <w:ind w:left="0" w:right="0" w:firstLine="482"/>
        <w:jc w:val="both"/>
        <w:rPr>
          <w:rFonts w:hint="eastAsia" w:ascii="宋体" w:hAnsi="宋体" w:eastAsia="宋体" w:cs="宋体"/>
          <w:b/>
          <w:bCs w:val="0"/>
          <w:color w:val="auto"/>
          <w:kern w:val="0"/>
          <w:sz w:val="21"/>
          <w:szCs w:val="21"/>
          <w:highlight w:val="none"/>
          <w:lang w:val="en-US"/>
        </w:rPr>
      </w:pPr>
      <w:r>
        <w:rPr>
          <w:rFonts w:hint="eastAsia" w:ascii="宋体" w:hAnsi="宋体" w:eastAsia="宋体" w:cs="宋体"/>
          <w:b/>
          <w:bCs w:val="0"/>
          <w:snapToGrid w:val="0"/>
          <w:color w:val="auto"/>
          <w:kern w:val="0"/>
          <w:sz w:val="21"/>
          <w:szCs w:val="21"/>
          <w:highlight w:val="none"/>
          <w:lang w:val="en-US" w:eastAsia="zh-CN" w:bidi="ar"/>
        </w:rPr>
        <w:t xml:space="preserve">第一条 </w:t>
      </w:r>
      <w:r>
        <w:rPr>
          <w:rFonts w:hint="eastAsia" w:ascii="宋体" w:hAnsi="宋体" w:eastAsia="宋体" w:cs="宋体"/>
          <w:snapToGrid w:val="0"/>
          <w:color w:val="auto"/>
          <w:kern w:val="0"/>
          <w:sz w:val="21"/>
          <w:szCs w:val="21"/>
          <w:highlight w:val="none"/>
          <w:lang w:val="en-US" w:eastAsia="zh-CN" w:bidi="ar"/>
        </w:rPr>
        <w:t>甲、乙双方的责任</w:t>
      </w:r>
    </w:p>
    <w:p>
      <w:pPr>
        <w:keepNext w:val="0"/>
        <w:keepLines w:val="0"/>
        <w:widowControl w:val="0"/>
        <w:suppressLineNumbers w:val="0"/>
        <w:adjustRightInd w:val="0"/>
        <w:snapToGrid w:val="0"/>
        <w:spacing w:before="0" w:beforeAutospacing="0" w:after="0" w:afterAutospacing="0" w:line="440" w:lineRule="exact"/>
        <w:ind w:left="0" w:right="0" w:firstLine="482"/>
        <w:jc w:val="both"/>
        <w:rPr>
          <w:rFonts w:hint="eastAsia" w:ascii="宋体" w:hAnsi="宋体" w:eastAsia="宋体" w:cs="宋体"/>
          <w:color w:val="auto"/>
          <w:kern w:val="0"/>
          <w:sz w:val="21"/>
          <w:szCs w:val="21"/>
          <w:highlight w:val="none"/>
          <w:lang w:val="en-US"/>
        </w:rPr>
      </w:pPr>
      <w:r>
        <w:rPr>
          <w:rFonts w:hint="eastAsia" w:ascii="宋体" w:hAnsi="宋体" w:eastAsia="宋体" w:cs="宋体"/>
          <w:snapToGrid w:val="0"/>
          <w:color w:val="auto"/>
          <w:kern w:val="0"/>
          <w:sz w:val="21"/>
          <w:szCs w:val="21"/>
          <w:highlight w:val="none"/>
          <w:lang w:val="en-US" w:eastAsia="zh-CN" w:bidi="ar"/>
        </w:rPr>
        <w:t>（一）应严格遵守国家关于市场准入、项目招标投标、</w:t>
      </w:r>
      <w:r>
        <w:rPr>
          <w:rFonts w:hint="eastAsia" w:ascii="宋体" w:hAnsi="宋体" w:eastAsia="宋体" w:cs="宋体"/>
          <w:color w:val="auto"/>
          <w:kern w:val="0"/>
          <w:sz w:val="21"/>
          <w:szCs w:val="21"/>
          <w:highlight w:val="none"/>
          <w:lang w:val="en-US" w:eastAsia="zh-CN" w:bidi="ar"/>
        </w:rPr>
        <w:t>工程建设和市场活动</w:t>
      </w:r>
      <w:r>
        <w:rPr>
          <w:rFonts w:hint="eastAsia" w:ascii="宋体" w:hAnsi="宋体" w:eastAsia="宋体" w:cs="宋体"/>
          <w:snapToGrid w:val="0"/>
          <w:color w:val="auto"/>
          <w:kern w:val="0"/>
          <w:sz w:val="21"/>
          <w:szCs w:val="21"/>
          <w:highlight w:val="none"/>
          <w:lang w:val="en-US" w:eastAsia="zh-CN" w:bidi="ar"/>
        </w:rPr>
        <w:t>等有关法律、法规、相关政策，以及廉政建设的各项规定。</w:t>
      </w:r>
    </w:p>
    <w:p>
      <w:pPr>
        <w:keepNext w:val="0"/>
        <w:keepLines w:val="0"/>
        <w:widowControl w:val="0"/>
        <w:suppressLineNumbers w:val="0"/>
        <w:adjustRightInd w:val="0"/>
        <w:snapToGrid w:val="0"/>
        <w:spacing w:before="0" w:beforeAutospacing="0" w:after="0" w:afterAutospacing="0" w:line="440" w:lineRule="exact"/>
        <w:ind w:left="0" w:right="0" w:firstLine="482"/>
        <w:jc w:val="both"/>
        <w:rPr>
          <w:rFonts w:hint="eastAsia" w:ascii="宋体" w:hAnsi="宋体" w:eastAsia="宋体" w:cs="宋体"/>
          <w:color w:val="auto"/>
          <w:kern w:val="0"/>
          <w:sz w:val="21"/>
          <w:szCs w:val="21"/>
          <w:highlight w:val="none"/>
          <w:lang w:val="en-US"/>
        </w:rPr>
      </w:pPr>
      <w:r>
        <w:rPr>
          <w:rFonts w:hint="eastAsia" w:ascii="宋体" w:hAnsi="宋体" w:eastAsia="宋体" w:cs="宋体"/>
          <w:snapToGrid w:val="0"/>
          <w:color w:val="auto"/>
          <w:kern w:val="0"/>
          <w:sz w:val="21"/>
          <w:szCs w:val="21"/>
          <w:highlight w:val="none"/>
          <w:lang w:val="en-US" w:eastAsia="zh-CN" w:bidi="ar"/>
        </w:rPr>
        <w:t>（二）严格执行建设工程项目承发包合同文件，自觉按合同办事。</w:t>
      </w:r>
    </w:p>
    <w:p>
      <w:pPr>
        <w:keepNext w:val="0"/>
        <w:keepLines w:val="0"/>
        <w:widowControl w:val="0"/>
        <w:suppressLineNumbers w:val="0"/>
        <w:adjustRightInd w:val="0"/>
        <w:snapToGrid w:val="0"/>
        <w:spacing w:before="0" w:beforeAutospacing="0" w:after="0" w:afterAutospacing="0" w:line="440" w:lineRule="exact"/>
        <w:ind w:left="0" w:right="0" w:firstLine="482"/>
        <w:jc w:val="both"/>
        <w:rPr>
          <w:rFonts w:hint="eastAsia" w:ascii="宋体" w:hAnsi="宋体" w:eastAsia="宋体" w:cs="宋体"/>
          <w:color w:val="auto"/>
          <w:kern w:val="0"/>
          <w:sz w:val="21"/>
          <w:szCs w:val="21"/>
          <w:highlight w:val="none"/>
          <w:lang w:val="en-US"/>
        </w:rPr>
      </w:pPr>
      <w:r>
        <w:rPr>
          <w:rFonts w:hint="eastAsia" w:ascii="宋体" w:hAnsi="宋体" w:eastAsia="宋体" w:cs="宋体"/>
          <w:snapToGrid w:val="0"/>
          <w:color w:val="auto"/>
          <w:kern w:val="0"/>
          <w:sz w:val="21"/>
          <w:szCs w:val="21"/>
          <w:highlight w:val="none"/>
          <w:lang w:val="en-US" w:eastAsia="zh-CN" w:bidi="ar"/>
        </w:rPr>
        <w:t>（三）业务活动必须坚持公开、公平、公正、诚信、透明的原则（除法律法规另有规定者外），不得为获取不正当的利益，损害国家、集体和对方利益，不得</w:t>
      </w:r>
      <w:r>
        <w:rPr>
          <w:rFonts w:hint="eastAsia" w:ascii="宋体" w:hAnsi="宋体" w:eastAsia="宋体" w:cs="宋体"/>
          <w:color w:val="auto"/>
          <w:kern w:val="0"/>
          <w:sz w:val="21"/>
          <w:szCs w:val="21"/>
          <w:highlight w:val="none"/>
          <w:lang w:val="en-US" w:eastAsia="zh-CN" w:bidi="ar"/>
        </w:rPr>
        <w:t>违反工程建设过程管理的规章制度。</w:t>
      </w:r>
    </w:p>
    <w:p>
      <w:pPr>
        <w:keepNext w:val="0"/>
        <w:keepLines w:val="0"/>
        <w:widowControl w:val="0"/>
        <w:suppressLineNumbers w:val="0"/>
        <w:adjustRightInd w:val="0"/>
        <w:snapToGrid w:val="0"/>
        <w:spacing w:before="0" w:beforeAutospacing="0" w:after="0" w:afterAutospacing="0" w:line="440" w:lineRule="exact"/>
        <w:ind w:left="0" w:right="0" w:firstLine="482"/>
        <w:jc w:val="both"/>
        <w:rPr>
          <w:rFonts w:hint="eastAsia" w:ascii="宋体" w:hAnsi="宋体" w:eastAsia="宋体" w:cs="宋体"/>
          <w:color w:val="auto"/>
          <w:kern w:val="0"/>
          <w:sz w:val="21"/>
          <w:szCs w:val="21"/>
          <w:highlight w:val="none"/>
          <w:lang w:val="en-US"/>
        </w:rPr>
      </w:pPr>
      <w:r>
        <w:rPr>
          <w:rFonts w:hint="eastAsia" w:ascii="宋体" w:hAnsi="宋体" w:eastAsia="宋体" w:cs="宋体"/>
          <w:snapToGrid w:val="0"/>
          <w:color w:val="auto"/>
          <w:kern w:val="0"/>
          <w:sz w:val="21"/>
          <w:szCs w:val="21"/>
          <w:highlight w:val="none"/>
          <w:lang w:val="en-US" w:eastAsia="zh-CN" w:bidi="ar"/>
        </w:rPr>
        <w:t>（四）发现对方在业务活动中有违规、违纪、违法行为的，应及时提醒对方，情节严重的，应向其上级主管部门或纪检监察、司法等有关机关举报。</w:t>
      </w:r>
    </w:p>
    <w:p>
      <w:pPr>
        <w:keepNext w:val="0"/>
        <w:keepLines w:val="0"/>
        <w:widowControl w:val="0"/>
        <w:suppressLineNumbers w:val="0"/>
        <w:adjustRightInd w:val="0"/>
        <w:snapToGrid w:val="0"/>
        <w:spacing w:before="0" w:beforeAutospacing="0" w:after="0" w:afterAutospacing="0" w:line="440" w:lineRule="exact"/>
        <w:ind w:left="0" w:right="0" w:firstLine="482"/>
        <w:jc w:val="both"/>
        <w:rPr>
          <w:rFonts w:hint="eastAsia" w:ascii="宋体" w:hAnsi="宋体" w:eastAsia="宋体" w:cs="宋体"/>
          <w:color w:val="auto"/>
          <w:kern w:val="0"/>
          <w:sz w:val="21"/>
          <w:szCs w:val="21"/>
          <w:highlight w:val="none"/>
          <w:lang w:val="en-US"/>
        </w:rPr>
      </w:pPr>
      <w:r>
        <w:rPr>
          <w:rFonts w:hint="eastAsia" w:ascii="宋体" w:hAnsi="宋体" w:eastAsia="宋体" w:cs="宋体"/>
          <w:b/>
          <w:bCs w:val="0"/>
          <w:snapToGrid w:val="0"/>
          <w:color w:val="auto"/>
          <w:kern w:val="0"/>
          <w:sz w:val="21"/>
          <w:szCs w:val="21"/>
          <w:highlight w:val="none"/>
          <w:lang w:val="en-US" w:eastAsia="zh-CN" w:bidi="ar"/>
        </w:rPr>
        <w:t xml:space="preserve">第二条 </w:t>
      </w:r>
      <w:r>
        <w:rPr>
          <w:rFonts w:hint="eastAsia" w:ascii="宋体" w:hAnsi="宋体" w:eastAsia="宋体" w:cs="宋体"/>
          <w:snapToGrid w:val="0"/>
          <w:color w:val="auto"/>
          <w:kern w:val="0"/>
          <w:sz w:val="21"/>
          <w:szCs w:val="21"/>
          <w:highlight w:val="none"/>
          <w:lang w:val="en-US" w:eastAsia="zh-CN" w:bidi="ar"/>
        </w:rPr>
        <w:t>甲方的责任</w:t>
      </w:r>
    </w:p>
    <w:p>
      <w:pPr>
        <w:keepNext w:val="0"/>
        <w:keepLines w:val="0"/>
        <w:widowControl w:val="0"/>
        <w:suppressLineNumbers w:val="0"/>
        <w:adjustRightInd w:val="0"/>
        <w:snapToGrid w:val="0"/>
        <w:spacing w:before="0" w:beforeAutospacing="0" w:after="0" w:afterAutospacing="0" w:line="440" w:lineRule="exact"/>
        <w:ind w:left="0" w:right="0" w:firstLine="482"/>
        <w:jc w:val="both"/>
        <w:rPr>
          <w:rFonts w:hint="eastAsia" w:ascii="宋体" w:hAnsi="宋体" w:eastAsia="宋体" w:cs="宋体"/>
          <w:color w:val="auto"/>
          <w:kern w:val="0"/>
          <w:sz w:val="21"/>
          <w:szCs w:val="21"/>
          <w:highlight w:val="none"/>
          <w:lang w:val="en-US"/>
        </w:rPr>
      </w:pPr>
      <w:r>
        <w:rPr>
          <w:rFonts w:hint="eastAsia" w:ascii="宋体" w:hAnsi="宋体" w:eastAsia="宋体" w:cs="宋体"/>
          <w:snapToGrid w:val="0"/>
          <w:color w:val="auto"/>
          <w:kern w:val="0"/>
          <w:sz w:val="21"/>
          <w:szCs w:val="21"/>
          <w:highlight w:val="none"/>
          <w:lang w:val="en-US" w:eastAsia="zh-CN" w:bidi="ar"/>
        </w:rPr>
        <w:t>甲方的领导和从事本建设工程项目的工作人员，在工程建设的事前、事中、事后应遵守以下规定：</w:t>
      </w:r>
    </w:p>
    <w:p>
      <w:pPr>
        <w:keepNext w:val="0"/>
        <w:keepLines w:val="0"/>
        <w:widowControl w:val="0"/>
        <w:suppressLineNumbers w:val="0"/>
        <w:adjustRightInd w:val="0"/>
        <w:snapToGrid w:val="0"/>
        <w:spacing w:before="0" w:beforeAutospacing="0" w:after="0" w:afterAutospacing="0" w:line="440" w:lineRule="exact"/>
        <w:ind w:left="0" w:right="0" w:firstLine="482"/>
        <w:jc w:val="both"/>
        <w:rPr>
          <w:rFonts w:hint="eastAsia" w:ascii="宋体" w:hAnsi="宋体" w:eastAsia="宋体" w:cs="宋体"/>
          <w:color w:val="auto"/>
          <w:kern w:val="0"/>
          <w:sz w:val="21"/>
          <w:szCs w:val="21"/>
          <w:highlight w:val="none"/>
          <w:lang w:val="en-US"/>
        </w:rPr>
      </w:pPr>
      <w:r>
        <w:rPr>
          <w:rFonts w:hint="eastAsia" w:ascii="宋体" w:hAnsi="宋体" w:eastAsia="宋体" w:cs="宋体"/>
          <w:snapToGrid w:val="0"/>
          <w:color w:val="auto"/>
          <w:kern w:val="0"/>
          <w:sz w:val="21"/>
          <w:szCs w:val="21"/>
          <w:highlight w:val="none"/>
          <w:lang w:val="en-US" w:eastAsia="zh-CN" w:bidi="ar"/>
        </w:rPr>
        <w:t>（一）不准向乙方和相关单位索要或接受回扣、礼金、有价证券、贵重物品和好处费、感谢费等。</w:t>
      </w:r>
    </w:p>
    <w:p>
      <w:pPr>
        <w:keepNext w:val="0"/>
        <w:keepLines w:val="0"/>
        <w:widowControl w:val="0"/>
        <w:suppressLineNumbers w:val="0"/>
        <w:adjustRightInd w:val="0"/>
        <w:snapToGrid w:val="0"/>
        <w:spacing w:before="0" w:beforeAutospacing="0" w:after="0" w:afterAutospacing="0" w:line="440" w:lineRule="exact"/>
        <w:ind w:left="0" w:right="0" w:firstLine="482"/>
        <w:jc w:val="both"/>
        <w:rPr>
          <w:rFonts w:hint="eastAsia" w:ascii="宋体" w:hAnsi="宋体" w:eastAsia="宋体" w:cs="宋体"/>
          <w:color w:val="auto"/>
          <w:kern w:val="0"/>
          <w:sz w:val="21"/>
          <w:szCs w:val="21"/>
          <w:highlight w:val="none"/>
          <w:lang w:val="en-US"/>
        </w:rPr>
      </w:pPr>
      <w:r>
        <w:rPr>
          <w:rFonts w:hint="eastAsia" w:ascii="宋体" w:hAnsi="宋体" w:eastAsia="宋体" w:cs="宋体"/>
          <w:snapToGrid w:val="0"/>
          <w:color w:val="auto"/>
          <w:kern w:val="0"/>
          <w:sz w:val="21"/>
          <w:szCs w:val="21"/>
          <w:highlight w:val="none"/>
          <w:lang w:val="en-US" w:eastAsia="zh-CN" w:bidi="ar"/>
        </w:rPr>
        <w:t>（二）不准在乙方和相关单位报销任何应由甲方或个人支付的费用。</w:t>
      </w:r>
    </w:p>
    <w:p>
      <w:pPr>
        <w:keepNext w:val="0"/>
        <w:keepLines w:val="0"/>
        <w:widowControl w:val="0"/>
        <w:suppressLineNumbers w:val="0"/>
        <w:adjustRightInd w:val="0"/>
        <w:snapToGrid w:val="0"/>
        <w:spacing w:before="0" w:beforeAutospacing="0" w:after="0" w:afterAutospacing="0" w:line="440" w:lineRule="exact"/>
        <w:ind w:left="0" w:right="0" w:firstLine="482"/>
        <w:jc w:val="both"/>
        <w:rPr>
          <w:rFonts w:hint="eastAsia" w:ascii="宋体" w:hAnsi="宋体" w:eastAsia="宋体" w:cs="宋体"/>
          <w:color w:val="auto"/>
          <w:kern w:val="0"/>
          <w:sz w:val="21"/>
          <w:szCs w:val="21"/>
          <w:highlight w:val="none"/>
          <w:lang w:val="en-US"/>
        </w:rPr>
      </w:pPr>
      <w:r>
        <w:rPr>
          <w:rFonts w:hint="eastAsia" w:ascii="宋体" w:hAnsi="宋体" w:eastAsia="宋体" w:cs="宋体"/>
          <w:snapToGrid w:val="0"/>
          <w:color w:val="auto"/>
          <w:kern w:val="0"/>
          <w:sz w:val="21"/>
          <w:szCs w:val="21"/>
          <w:highlight w:val="none"/>
          <w:lang w:val="en-US" w:eastAsia="zh-CN" w:bidi="ar"/>
        </w:rPr>
        <w:t>（三）不准要求、暗示或接受乙方和相关单位为个人装修住房、婚丧嫁娶、配偶子女的工作安排以及出国（境）、旅游等提供方便。</w:t>
      </w:r>
    </w:p>
    <w:p>
      <w:pPr>
        <w:keepNext w:val="0"/>
        <w:keepLines w:val="0"/>
        <w:widowControl w:val="0"/>
        <w:suppressLineNumbers w:val="0"/>
        <w:adjustRightInd w:val="0"/>
        <w:snapToGrid w:val="0"/>
        <w:spacing w:before="0" w:beforeAutospacing="0" w:after="0" w:afterAutospacing="0" w:line="440" w:lineRule="exact"/>
        <w:ind w:left="0" w:right="0" w:firstLine="482"/>
        <w:jc w:val="both"/>
        <w:rPr>
          <w:rFonts w:hint="eastAsia" w:ascii="宋体" w:hAnsi="宋体" w:eastAsia="宋体" w:cs="宋体"/>
          <w:color w:val="auto"/>
          <w:kern w:val="0"/>
          <w:sz w:val="21"/>
          <w:szCs w:val="21"/>
          <w:highlight w:val="none"/>
          <w:lang w:val="en-US"/>
        </w:rPr>
      </w:pPr>
      <w:r>
        <w:rPr>
          <w:rFonts w:hint="eastAsia" w:ascii="宋体" w:hAnsi="宋体" w:eastAsia="宋体" w:cs="宋体"/>
          <w:snapToGrid w:val="0"/>
          <w:color w:val="auto"/>
          <w:kern w:val="0"/>
          <w:sz w:val="21"/>
          <w:szCs w:val="21"/>
          <w:highlight w:val="none"/>
          <w:lang w:val="en-US" w:eastAsia="zh-CN" w:bidi="ar"/>
        </w:rPr>
        <w:t>（四）不准参加有可能影响公正执行公务的乙方及相关单位的宴请、健身、娱乐等活动。</w:t>
      </w:r>
    </w:p>
    <w:p>
      <w:pPr>
        <w:keepNext w:val="0"/>
        <w:keepLines w:val="0"/>
        <w:widowControl w:val="0"/>
        <w:suppressLineNumbers w:val="0"/>
        <w:adjustRightInd w:val="0"/>
        <w:snapToGrid w:val="0"/>
        <w:spacing w:before="0" w:beforeAutospacing="0" w:after="0" w:afterAutospacing="0" w:line="440" w:lineRule="exact"/>
        <w:ind w:left="0" w:right="0" w:firstLine="482"/>
        <w:jc w:val="both"/>
        <w:rPr>
          <w:rFonts w:hint="eastAsia" w:ascii="宋体" w:hAnsi="宋体" w:eastAsia="宋体" w:cs="宋体"/>
          <w:color w:val="auto"/>
          <w:kern w:val="0"/>
          <w:sz w:val="21"/>
          <w:szCs w:val="21"/>
          <w:highlight w:val="none"/>
          <w:lang w:val="en-US"/>
        </w:rPr>
      </w:pPr>
      <w:r>
        <w:rPr>
          <w:rFonts w:hint="eastAsia" w:ascii="宋体" w:hAnsi="宋体" w:eastAsia="宋体" w:cs="宋体"/>
          <w:snapToGrid w:val="0"/>
          <w:color w:val="auto"/>
          <w:kern w:val="0"/>
          <w:sz w:val="21"/>
          <w:szCs w:val="21"/>
          <w:highlight w:val="none"/>
          <w:lang w:val="en-US" w:eastAsia="zh-CN" w:bidi="ar"/>
        </w:rPr>
        <w:t>（五）不准向乙方介绍或为配偶、子女、亲属参与同甲方项目工程合同有关的设备、材料、工程分包、劳务等经济活动。不得以任何理由向乙方和相关单位推荐分包单位。</w:t>
      </w:r>
    </w:p>
    <w:p>
      <w:pPr>
        <w:keepNext w:val="0"/>
        <w:keepLines w:val="0"/>
        <w:widowControl w:val="0"/>
        <w:suppressLineNumbers w:val="0"/>
        <w:adjustRightInd w:val="0"/>
        <w:snapToGrid w:val="0"/>
        <w:spacing w:before="0" w:beforeAutospacing="0" w:after="0" w:afterAutospacing="0" w:line="440" w:lineRule="exact"/>
        <w:ind w:left="0" w:right="0" w:firstLine="482"/>
        <w:jc w:val="both"/>
        <w:rPr>
          <w:rFonts w:hint="eastAsia" w:ascii="宋体" w:hAnsi="宋体" w:eastAsia="宋体" w:cs="宋体"/>
          <w:color w:val="auto"/>
          <w:kern w:val="0"/>
          <w:sz w:val="21"/>
          <w:szCs w:val="21"/>
          <w:highlight w:val="none"/>
          <w:lang w:val="en-US"/>
        </w:rPr>
      </w:pPr>
      <w:r>
        <w:rPr>
          <w:rFonts w:hint="eastAsia" w:ascii="宋体" w:hAnsi="宋体" w:eastAsia="宋体" w:cs="宋体"/>
          <w:b/>
          <w:bCs w:val="0"/>
          <w:snapToGrid w:val="0"/>
          <w:color w:val="auto"/>
          <w:kern w:val="0"/>
          <w:sz w:val="21"/>
          <w:szCs w:val="21"/>
          <w:highlight w:val="none"/>
          <w:lang w:val="en-US" w:eastAsia="zh-CN" w:bidi="ar"/>
        </w:rPr>
        <w:t xml:space="preserve">第三条 </w:t>
      </w:r>
      <w:r>
        <w:rPr>
          <w:rFonts w:hint="eastAsia" w:ascii="宋体" w:hAnsi="宋体" w:eastAsia="宋体" w:cs="宋体"/>
          <w:snapToGrid w:val="0"/>
          <w:color w:val="auto"/>
          <w:kern w:val="0"/>
          <w:sz w:val="21"/>
          <w:szCs w:val="21"/>
          <w:highlight w:val="none"/>
          <w:lang w:val="en-US" w:eastAsia="zh-CN" w:bidi="ar"/>
        </w:rPr>
        <w:t>乙方的责任</w:t>
      </w:r>
    </w:p>
    <w:p>
      <w:pPr>
        <w:keepNext w:val="0"/>
        <w:keepLines w:val="0"/>
        <w:widowControl w:val="0"/>
        <w:suppressLineNumbers w:val="0"/>
        <w:adjustRightInd w:val="0"/>
        <w:snapToGrid w:val="0"/>
        <w:spacing w:before="0" w:beforeAutospacing="0" w:after="0" w:afterAutospacing="0" w:line="440" w:lineRule="exact"/>
        <w:ind w:left="0" w:right="0" w:firstLine="482"/>
        <w:jc w:val="both"/>
        <w:rPr>
          <w:rFonts w:hint="eastAsia" w:ascii="宋体" w:hAnsi="宋体" w:eastAsia="宋体" w:cs="宋体"/>
          <w:color w:val="auto"/>
          <w:kern w:val="0"/>
          <w:sz w:val="21"/>
          <w:szCs w:val="21"/>
          <w:highlight w:val="none"/>
          <w:lang w:val="en-US"/>
        </w:rPr>
      </w:pPr>
      <w:r>
        <w:rPr>
          <w:rFonts w:hint="eastAsia" w:ascii="宋体" w:hAnsi="宋体" w:eastAsia="宋体" w:cs="宋体"/>
          <w:snapToGrid w:val="0"/>
          <w:color w:val="auto"/>
          <w:kern w:val="0"/>
          <w:sz w:val="21"/>
          <w:szCs w:val="21"/>
          <w:highlight w:val="none"/>
          <w:lang w:val="en-US" w:eastAsia="zh-CN" w:bidi="ar"/>
        </w:rPr>
        <w:t>应与甲方保持正常的业务交往，按照有关法律法规和程序开展业务工作，严格执行</w:t>
      </w:r>
      <w:r>
        <w:rPr>
          <w:rFonts w:hint="eastAsia" w:ascii="宋体" w:hAnsi="宋体" w:eastAsia="宋体" w:cs="宋体"/>
          <w:color w:val="auto"/>
          <w:kern w:val="0"/>
          <w:sz w:val="21"/>
          <w:szCs w:val="21"/>
          <w:highlight w:val="none"/>
          <w:lang w:val="en-US" w:eastAsia="zh-CN" w:bidi="ar"/>
        </w:rPr>
        <w:t>工程建设过程管理的有关方针、政策，尤其是强制性标准和规范</w:t>
      </w:r>
      <w:r>
        <w:rPr>
          <w:rFonts w:hint="eastAsia" w:ascii="宋体" w:hAnsi="宋体" w:eastAsia="宋体" w:cs="宋体"/>
          <w:snapToGrid w:val="0"/>
          <w:color w:val="auto"/>
          <w:kern w:val="0"/>
          <w:sz w:val="21"/>
          <w:szCs w:val="21"/>
          <w:highlight w:val="none"/>
          <w:lang w:val="en-US" w:eastAsia="zh-CN" w:bidi="ar"/>
        </w:rPr>
        <w:t>，并遵守以下规定：</w:t>
      </w:r>
    </w:p>
    <w:p>
      <w:pPr>
        <w:keepNext w:val="0"/>
        <w:keepLines w:val="0"/>
        <w:widowControl w:val="0"/>
        <w:suppressLineNumbers w:val="0"/>
        <w:adjustRightInd w:val="0"/>
        <w:snapToGrid w:val="0"/>
        <w:spacing w:before="0" w:beforeAutospacing="0" w:after="0" w:afterAutospacing="0" w:line="440" w:lineRule="exact"/>
        <w:ind w:left="0" w:right="0" w:firstLine="482"/>
        <w:jc w:val="both"/>
        <w:rPr>
          <w:rFonts w:hint="eastAsia" w:ascii="宋体" w:hAnsi="宋体" w:eastAsia="宋体" w:cs="宋体"/>
          <w:color w:val="auto"/>
          <w:kern w:val="0"/>
          <w:sz w:val="21"/>
          <w:szCs w:val="21"/>
          <w:highlight w:val="none"/>
          <w:lang w:val="en-US"/>
        </w:rPr>
      </w:pPr>
      <w:r>
        <w:rPr>
          <w:rFonts w:hint="eastAsia" w:ascii="宋体" w:hAnsi="宋体" w:eastAsia="宋体" w:cs="宋体"/>
          <w:snapToGrid w:val="0"/>
          <w:color w:val="auto"/>
          <w:kern w:val="0"/>
          <w:sz w:val="21"/>
          <w:szCs w:val="21"/>
          <w:highlight w:val="none"/>
          <w:lang w:val="en-US" w:eastAsia="zh-CN" w:bidi="ar"/>
        </w:rPr>
        <w:t>（一）不准以任何理由向甲方、相关单位及其工作人员索要、接受或赠送礼金、有价证券、贵重物品及回扣、好处费、感谢费等。</w:t>
      </w:r>
    </w:p>
    <w:p>
      <w:pPr>
        <w:keepNext w:val="0"/>
        <w:keepLines w:val="0"/>
        <w:widowControl w:val="0"/>
        <w:suppressLineNumbers w:val="0"/>
        <w:adjustRightInd w:val="0"/>
        <w:snapToGrid w:val="0"/>
        <w:spacing w:before="0" w:beforeAutospacing="0" w:after="0" w:afterAutospacing="0" w:line="440" w:lineRule="exact"/>
        <w:ind w:left="0" w:right="0" w:firstLine="482"/>
        <w:jc w:val="both"/>
        <w:rPr>
          <w:rFonts w:hint="eastAsia" w:ascii="宋体" w:hAnsi="宋体" w:eastAsia="宋体" w:cs="宋体"/>
          <w:color w:val="auto"/>
          <w:kern w:val="0"/>
          <w:sz w:val="21"/>
          <w:szCs w:val="21"/>
          <w:highlight w:val="none"/>
          <w:lang w:val="en-US"/>
        </w:rPr>
      </w:pPr>
      <w:r>
        <w:rPr>
          <w:rFonts w:hint="eastAsia" w:ascii="宋体" w:hAnsi="宋体" w:eastAsia="宋体" w:cs="宋体"/>
          <w:snapToGrid w:val="0"/>
          <w:color w:val="auto"/>
          <w:kern w:val="0"/>
          <w:sz w:val="21"/>
          <w:szCs w:val="21"/>
          <w:highlight w:val="none"/>
          <w:lang w:val="en-US" w:eastAsia="zh-CN" w:bidi="ar"/>
        </w:rPr>
        <w:t>（二）不准以任何理由为甲方和相关单位报销应由对方或个人支付的费用。</w:t>
      </w:r>
    </w:p>
    <w:p>
      <w:pPr>
        <w:keepNext w:val="0"/>
        <w:keepLines w:val="0"/>
        <w:widowControl w:val="0"/>
        <w:suppressLineNumbers w:val="0"/>
        <w:adjustRightInd w:val="0"/>
        <w:snapToGrid w:val="0"/>
        <w:spacing w:before="0" w:beforeAutospacing="0" w:after="0" w:afterAutospacing="0" w:line="440" w:lineRule="exact"/>
        <w:ind w:left="0" w:right="0" w:firstLine="482"/>
        <w:jc w:val="both"/>
        <w:rPr>
          <w:rFonts w:hint="eastAsia" w:ascii="宋体" w:hAnsi="宋体" w:eastAsia="宋体" w:cs="宋体"/>
          <w:color w:val="auto"/>
          <w:kern w:val="0"/>
          <w:sz w:val="21"/>
          <w:szCs w:val="21"/>
          <w:highlight w:val="none"/>
          <w:lang w:val="en-US"/>
        </w:rPr>
      </w:pPr>
      <w:r>
        <w:rPr>
          <w:rFonts w:hint="eastAsia" w:ascii="宋体" w:hAnsi="宋体" w:eastAsia="宋体" w:cs="宋体"/>
          <w:snapToGrid w:val="0"/>
          <w:color w:val="auto"/>
          <w:kern w:val="0"/>
          <w:sz w:val="21"/>
          <w:szCs w:val="21"/>
          <w:highlight w:val="none"/>
          <w:lang w:val="en-US" w:eastAsia="zh-CN" w:bidi="ar"/>
        </w:rPr>
        <w:t>（三）不准接受或暗示为甲方、相关单位或个人装修住房、婚丧嫁娶、配偶子女的工作安排以及出国（境）、旅游等提供方便。</w:t>
      </w:r>
    </w:p>
    <w:p>
      <w:pPr>
        <w:keepNext w:val="0"/>
        <w:keepLines w:val="0"/>
        <w:widowControl w:val="0"/>
        <w:suppressLineNumbers w:val="0"/>
        <w:adjustRightInd w:val="0"/>
        <w:snapToGrid w:val="0"/>
        <w:spacing w:before="0" w:beforeAutospacing="0" w:after="0" w:afterAutospacing="0" w:line="440" w:lineRule="exact"/>
        <w:ind w:left="0" w:right="0" w:firstLine="482"/>
        <w:jc w:val="both"/>
        <w:rPr>
          <w:rFonts w:hint="eastAsia" w:ascii="宋体" w:hAnsi="宋体" w:eastAsia="宋体" w:cs="宋体"/>
          <w:snapToGrid w:val="0"/>
          <w:color w:val="auto"/>
          <w:kern w:val="0"/>
          <w:sz w:val="21"/>
          <w:szCs w:val="21"/>
          <w:highlight w:val="none"/>
          <w:lang w:val="en-US" w:eastAsia="zh-CN" w:bidi="ar"/>
        </w:rPr>
      </w:pPr>
      <w:r>
        <w:rPr>
          <w:rFonts w:hint="eastAsia" w:ascii="宋体" w:hAnsi="宋体" w:eastAsia="宋体" w:cs="宋体"/>
          <w:snapToGrid w:val="0"/>
          <w:color w:val="auto"/>
          <w:kern w:val="0"/>
          <w:sz w:val="21"/>
          <w:szCs w:val="21"/>
          <w:highlight w:val="none"/>
          <w:lang w:val="en-US" w:eastAsia="zh-CN" w:bidi="ar"/>
        </w:rPr>
        <w:t>（四）不准以任何理由为甲方、相关单位或个人组织有可能影响公正执行公务的宴请、健身、娱乐等活动。</w:t>
      </w:r>
    </w:p>
    <w:p>
      <w:pPr>
        <w:keepNext w:val="0"/>
        <w:keepLines w:val="0"/>
        <w:widowControl w:val="0"/>
        <w:suppressLineNumbers w:val="0"/>
        <w:adjustRightInd w:val="0"/>
        <w:snapToGrid w:val="0"/>
        <w:spacing w:before="0" w:beforeAutospacing="0" w:after="0" w:afterAutospacing="0" w:line="440" w:lineRule="exact"/>
        <w:ind w:left="0" w:right="0" w:firstLine="482"/>
        <w:jc w:val="both"/>
        <w:rPr>
          <w:rFonts w:hint="eastAsia" w:ascii="宋体" w:hAnsi="宋体" w:eastAsia="宋体" w:cs="宋体"/>
          <w:color w:val="auto"/>
          <w:kern w:val="0"/>
          <w:sz w:val="21"/>
          <w:szCs w:val="21"/>
          <w:highlight w:val="none"/>
          <w:lang w:val="en-US"/>
        </w:rPr>
      </w:pPr>
      <w:r>
        <w:rPr>
          <w:rFonts w:hint="eastAsia" w:ascii="宋体" w:hAnsi="宋体" w:eastAsia="宋体" w:cs="宋体"/>
          <w:b/>
          <w:bCs w:val="0"/>
          <w:snapToGrid w:val="0"/>
          <w:color w:val="auto"/>
          <w:kern w:val="0"/>
          <w:sz w:val="21"/>
          <w:szCs w:val="21"/>
          <w:highlight w:val="none"/>
          <w:lang w:val="en-US" w:eastAsia="zh-CN" w:bidi="ar"/>
        </w:rPr>
        <w:t xml:space="preserve">第四条 </w:t>
      </w:r>
      <w:r>
        <w:rPr>
          <w:rFonts w:hint="eastAsia" w:ascii="宋体" w:hAnsi="宋体" w:eastAsia="宋体" w:cs="宋体"/>
          <w:snapToGrid w:val="0"/>
          <w:color w:val="auto"/>
          <w:kern w:val="0"/>
          <w:sz w:val="21"/>
          <w:szCs w:val="21"/>
          <w:highlight w:val="none"/>
          <w:lang w:val="en-US" w:eastAsia="zh-CN" w:bidi="ar"/>
        </w:rPr>
        <w:t>违约责任</w:t>
      </w:r>
    </w:p>
    <w:p>
      <w:pPr>
        <w:keepNext w:val="0"/>
        <w:keepLines w:val="0"/>
        <w:widowControl w:val="0"/>
        <w:suppressLineNumbers w:val="0"/>
        <w:adjustRightInd w:val="0"/>
        <w:snapToGrid w:val="0"/>
        <w:spacing w:before="0" w:beforeAutospacing="0" w:after="0" w:afterAutospacing="0" w:line="440" w:lineRule="exact"/>
        <w:ind w:left="0" w:right="0" w:firstLine="482"/>
        <w:jc w:val="both"/>
        <w:rPr>
          <w:rFonts w:hint="eastAsia" w:ascii="宋体" w:hAnsi="宋体" w:eastAsia="宋体" w:cs="宋体"/>
          <w:color w:val="auto"/>
          <w:kern w:val="0"/>
          <w:sz w:val="21"/>
          <w:szCs w:val="21"/>
          <w:highlight w:val="none"/>
          <w:lang w:val="en-US"/>
        </w:rPr>
      </w:pPr>
      <w:r>
        <w:rPr>
          <w:rFonts w:hint="eastAsia" w:ascii="宋体" w:hAnsi="宋体" w:eastAsia="宋体" w:cs="宋体"/>
          <w:snapToGrid w:val="0"/>
          <w:color w:val="auto"/>
          <w:kern w:val="0"/>
          <w:sz w:val="21"/>
          <w:szCs w:val="21"/>
          <w:highlight w:val="none"/>
          <w:lang w:val="en-US" w:eastAsia="zh-CN" w:bidi="ar"/>
        </w:rPr>
        <w:t>（一）甲方工作人员有违反本廉政责任书第一、第二条责任行为的，按照管理权限，依据有关法律法规和规定给予党纪、政纪处分或组织处理；涉嫌犯罪的，移交司法机关追究刑事责任；给乙方单位造成经济损失的，应予以赔偿。</w:t>
      </w:r>
    </w:p>
    <w:p>
      <w:pPr>
        <w:keepNext w:val="0"/>
        <w:keepLines w:val="0"/>
        <w:widowControl w:val="0"/>
        <w:suppressLineNumbers w:val="0"/>
        <w:adjustRightInd w:val="0"/>
        <w:snapToGrid w:val="0"/>
        <w:spacing w:before="0" w:beforeAutospacing="0" w:after="0" w:afterAutospacing="0" w:line="440" w:lineRule="exact"/>
        <w:ind w:left="0" w:right="0" w:firstLine="482"/>
        <w:jc w:val="both"/>
        <w:rPr>
          <w:rFonts w:hint="eastAsia" w:ascii="宋体" w:hAnsi="宋体" w:eastAsia="宋体" w:cs="宋体"/>
          <w:color w:val="auto"/>
          <w:kern w:val="0"/>
          <w:sz w:val="21"/>
          <w:szCs w:val="21"/>
          <w:highlight w:val="none"/>
          <w:lang w:val="en-US"/>
        </w:rPr>
      </w:pPr>
      <w:r>
        <w:rPr>
          <w:rFonts w:hint="eastAsia" w:ascii="宋体" w:hAnsi="宋体" w:eastAsia="宋体" w:cs="宋体"/>
          <w:snapToGrid w:val="0"/>
          <w:color w:val="auto"/>
          <w:kern w:val="0"/>
          <w:sz w:val="21"/>
          <w:szCs w:val="21"/>
          <w:highlight w:val="none"/>
          <w:lang w:val="en-US" w:eastAsia="zh-CN" w:bidi="ar"/>
        </w:rPr>
        <w:t>（二）乙方工作人员有违反本廉政责任书第一、三条责任行为的，按照管理权限，依据有关法律法规和规定给予党纪、政纪处分或组织处理；涉嫌犯罪的，移交司法机关追究刑事责任；给甲方单位造成经济损失的，应予以赔偿。</w:t>
      </w:r>
    </w:p>
    <w:p>
      <w:pPr>
        <w:keepNext w:val="0"/>
        <w:keepLines w:val="0"/>
        <w:widowControl w:val="0"/>
        <w:suppressLineNumbers w:val="0"/>
        <w:adjustRightInd w:val="0"/>
        <w:snapToGrid w:val="0"/>
        <w:spacing w:before="0" w:beforeAutospacing="0" w:after="0" w:afterAutospacing="0" w:line="440" w:lineRule="exact"/>
        <w:ind w:left="0" w:right="0" w:firstLine="482"/>
        <w:jc w:val="both"/>
        <w:rPr>
          <w:rFonts w:hint="eastAsia" w:ascii="宋体" w:hAnsi="宋体" w:eastAsia="宋体" w:cs="宋体"/>
          <w:b/>
          <w:bCs w:val="0"/>
          <w:color w:val="auto"/>
          <w:kern w:val="0"/>
          <w:sz w:val="21"/>
          <w:szCs w:val="21"/>
          <w:highlight w:val="none"/>
          <w:lang w:val="en-US"/>
        </w:rPr>
      </w:pPr>
      <w:r>
        <w:rPr>
          <w:rFonts w:hint="eastAsia" w:ascii="宋体" w:hAnsi="宋体" w:eastAsia="宋体" w:cs="宋体"/>
          <w:b/>
          <w:bCs w:val="0"/>
          <w:snapToGrid w:val="0"/>
          <w:color w:val="auto"/>
          <w:kern w:val="0"/>
          <w:sz w:val="21"/>
          <w:szCs w:val="21"/>
          <w:highlight w:val="none"/>
          <w:lang w:val="en-US" w:eastAsia="zh-CN" w:bidi="ar"/>
        </w:rPr>
        <w:t xml:space="preserve">第五条 </w:t>
      </w:r>
      <w:r>
        <w:rPr>
          <w:rFonts w:hint="eastAsia" w:ascii="宋体" w:hAnsi="宋体" w:eastAsia="宋体" w:cs="宋体"/>
          <w:snapToGrid w:val="0"/>
          <w:color w:val="auto"/>
          <w:kern w:val="0"/>
          <w:sz w:val="21"/>
          <w:szCs w:val="21"/>
          <w:highlight w:val="none"/>
          <w:lang w:val="en-US" w:eastAsia="zh-CN" w:bidi="ar"/>
        </w:rPr>
        <w:t>本廉政责任书作为合同的附件，与合同具有同等法律效力。经双方签署后立即生效。</w:t>
      </w:r>
    </w:p>
    <w:p>
      <w:pPr>
        <w:keepNext w:val="0"/>
        <w:keepLines w:val="0"/>
        <w:widowControl w:val="0"/>
        <w:suppressLineNumbers w:val="0"/>
        <w:adjustRightInd w:val="0"/>
        <w:snapToGrid w:val="0"/>
        <w:spacing w:before="0" w:beforeAutospacing="0" w:after="0" w:afterAutospacing="0" w:line="440" w:lineRule="exact"/>
        <w:ind w:left="0" w:right="0" w:firstLine="482"/>
        <w:jc w:val="both"/>
        <w:rPr>
          <w:rFonts w:hint="eastAsia" w:ascii="宋体" w:hAnsi="宋体" w:eastAsia="宋体" w:cs="宋体"/>
          <w:b/>
          <w:bCs w:val="0"/>
          <w:color w:val="auto"/>
          <w:kern w:val="0"/>
          <w:sz w:val="21"/>
          <w:szCs w:val="21"/>
          <w:highlight w:val="none"/>
          <w:lang w:val="en-US"/>
        </w:rPr>
      </w:pPr>
      <w:r>
        <w:rPr>
          <w:rFonts w:hint="eastAsia" w:ascii="宋体" w:hAnsi="宋体" w:eastAsia="宋体" w:cs="宋体"/>
          <w:b/>
          <w:bCs w:val="0"/>
          <w:snapToGrid w:val="0"/>
          <w:color w:val="auto"/>
          <w:kern w:val="0"/>
          <w:sz w:val="21"/>
          <w:szCs w:val="21"/>
          <w:highlight w:val="none"/>
          <w:lang w:val="en-US" w:eastAsia="zh-CN" w:bidi="ar"/>
        </w:rPr>
        <w:t xml:space="preserve">第六条 </w:t>
      </w:r>
      <w:r>
        <w:rPr>
          <w:rFonts w:hint="eastAsia" w:ascii="宋体" w:hAnsi="宋体" w:eastAsia="宋体" w:cs="宋体"/>
          <w:snapToGrid w:val="0"/>
          <w:color w:val="auto"/>
          <w:kern w:val="0"/>
          <w:sz w:val="21"/>
          <w:szCs w:val="21"/>
          <w:highlight w:val="none"/>
          <w:lang w:val="en-US" w:eastAsia="zh-CN" w:bidi="ar"/>
        </w:rPr>
        <w:t>本廉政责任书的有效期与合同的有效期相同。</w:t>
      </w:r>
    </w:p>
    <w:p>
      <w:pPr>
        <w:keepNext w:val="0"/>
        <w:keepLines w:val="0"/>
        <w:widowControl w:val="0"/>
        <w:suppressLineNumbers w:val="0"/>
        <w:adjustRightInd w:val="0"/>
        <w:snapToGrid w:val="0"/>
        <w:spacing w:before="0" w:beforeAutospacing="0" w:after="0" w:afterAutospacing="0" w:line="440" w:lineRule="exact"/>
        <w:ind w:left="0" w:right="0" w:firstLine="421"/>
        <w:jc w:val="both"/>
        <w:rPr>
          <w:rFonts w:hint="eastAsia" w:ascii="宋体" w:hAnsi="宋体" w:eastAsia="宋体" w:cs="宋体"/>
          <w:bCs/>
          <w:color w:val="auto"/>
          <w:kern w:val="0"/>
          <w:sz w:val="21"/>
          <w:szCs w:val="21"/>
          <w:highlight w:val="none"/>
          <w:lang w:val="en-US" w:eastAsia="zh-CN" w:bidi="ar"/>
        </w:rPr>
      </w:pPr>
      <w:r>
        <w:rPr>
          <w:rFonts w:hint="eastAsia" w:ascii="宋体" w:hAnsi="宋体" w:eastAsia="宋体" w:cs="宋体"/>
          <w:b/>
          <w:bCs w:val="0"/>
          <w:snapToGrid w:val="0"/>
          <w:color w:val="auto"/>
          <w:kern w:val="0"/>
          <w:sz w:val="21"/>
          <w:szCs w:val="21"/>
          <w:highlight w:val="none"/>
          <w:lang w:val="en-US" w:eastAsia="zh-CN" w:bidi="ar"/>
        </w:rPr>
        <w:t xml:space="preserve">第七条 </w:t>
      </w:r>
      <w:r>
        <w:rPr>
          <w:rFonts w:hint="eastAsia" w:ascii="宋体" w:hAnsi="宋体" w:eastAsia="宋体" w:cs="宋体"/>
          <w:snapToGrid w:val="0"/>
          <w:color w:val="auto"/>
          <w:kern w:val="0"/>
          <w:sz w:val="21"/>
          <w:szCs w:val="21"/>
          <w:highlight w:val="none"/>
          <w:lang w:val="en-US" w:eastAsia="zh-CN" w:bidi="ar"/>
        </w:rPr>
        <w:t>本廉政责任书一式十份，</w:t>
      </w:r>
      <w:r>
        <w:rPr>
          <w:rFonts w:hint="eastAsia" w:ascii="宋体" w:hAnsi="宋体" w:eastAsia="宋体" w:cs="宋体"/>
          <w:bCs/>
          <w:color w:val="auto"/>
          <w:kern w:val="0"/>
          <w:sz w:val="21"/>
          <w:szCs w:val="21"/>
          <w:highlight w:val="none"/>
          <w:lang w:val="en-US" w:eastAsia="zh-CN" w:bidi="ar"/>
        </w:rPr>
        <w:t>甲方执六份，乙方执四份。</w:t>
      </w:r>
    </w:p>
    <w:tbl>
      <w:tblPr>
        <w:tblStyle w:val="40"/>
        <w:tblpPr w:leftFromText="180" w:rightFromText="180" w:vertAnchor="text" w:horzAnchor="page" w:tblpX="1885" w:tblpY="466"/>
        <w:tblOverlap w:val="never"/>
        <w:tblW w:w="8815" w:type="dxa"/>
        <w:tblInd w:w="0" w:type="dxa"/>
        <w:tblLayout w:type="fixed"/>
        <w:tblCellMar>
          <w:top w:w="0" w:type="dxa"/>
          <w:left w:w="108" w:type="dxa"/>
          <w:bottom w:w="0" w:type="dxa"/>
          <w:right w:w="108" w:type="dxa"/>
        </w:tblCellMar>
      </w:tblPr>
      <w:tblGrid>
        <w:gridCol w:w="4800"/>
        <w:gridCol w:w="4015"/>
      </w:tblGrid>
      <w:tr>
        <w:tblPrEx>
          <w:tblCellMar>
            <w:top w:w="0" w:type="dxa"/>
            <w:left w:w="108" w:type="dxa"/>
            <w:bottom w:w="0" w:type="dxa"/>
            <w:right w:w="108" w:type="dxa"/>
          </w:tblCellMar>
        </w:tblPrEx>
        <w:trPr>
          <w:trHeight w:val="1082" w:hRule="atLeast"/>
        </w:trPr>
        <w:tc>
          <w:tcPr>
            <w:tcW w:w="4800" w:type="dxa"/>
            <w:noWrap w:val="0"/>
            <w:vAlign w:val="top"/>
          </w:tcPr>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cs="Times New Roman"/>
                <w:color w:val="auto"/>
                <w:sz w:val="21"/>
                <w:szCs w:val="21"/>
                <w:highlight w:val="none"/>
                <w:u w:val="none"/>
                <w:lang w:eastAsia="zh-CN"/>
              </w:rPr>
            </w:pPr>
            <w:r>
              <w:rPr>
                <w:rFonts w:hint="eastAsia" w:ascii="宋体" w:hAnsi="宋体" w:cs="Times New Roman"/>
                <w:color w:val="auto"/>
                <w:sz w:val="21"/>
                <w:szCs w:val="21"/>
                <w:highlight w:val="none"/>
                <w:lang w:eastAsia="zh-CN"/>
              </w:rPr>
              <w:t>甲</w:t>
            </w:r>
            <w:r>
              <w:rPr>
                <w:rFonts w:hint="eastAsia" w:ascii="宋体" w:hAnsi="宋体" w:cs="Times New Roman"/>
                <w:color w:val="auto"/>
                <w:sz w:val="21"/>
                <w:szCs w:val="21"/>
                <w:highlight w:val="none"/>
                <w:lang w:val="en-US" w:eastAsia="zh-CN"/>
              </w:rPr>
              <w:t xml:space="preserve">  </w:t>
            </w:r>
            <w:r>
              <w:rPr>
                <w:rFonts w:hint="eastAsia" w:ascii="宋体" w:hAnsi="宋体" w:cs="Times New Roman"/>
                <w:color w:val="auto"/>
                <w:sz w:val="21"/>
                <w:szCs w:val="21"/>
                <w:highlight w:val="none"/>
                <w:lang w:eastAsia="zh-CN"/>
              </w:rPr>
              <w:t>方</w:t>
            </w:r>
            <w:r>
              <w:rPr>
                <w:rFonts w:hint="eastAsia" w:ascii="宋体" w:hAnsi="宋体" w:cs="Times New Roman"/>
                <w:color w:val="auto"/>
                <w:sz w:val="21"/>
                <w:szCs w:val="21"/>
                <w:highlight w:val="none"/>
              </w:rPr>
              <w:t>：（</w:t>
            </w:r>
            <w:r>
              <w:rPr>
                <w:rFonts w:hint="eastAsia" w:ascii="宋体" w:hAnsi="宋体" w:cs="Times New Roman"/>
                <w:color w:val="auto"/>
                <w:sz w:val="21"/>
                <w:szCs w:val="21"/>
                <w:highlight w:val="none"/>
                <w:lang w:eastAsia="zh-CN"/>
              </w:rPr>
              <w:t>盖</w:t>
            </w:r>
            <w:r>
              <w:rPr>
                <w:rFonts w:hint="eastAsia" w:ascii="宋体" w:hAnsi="宋体" w:cs="Times New Roman"/>
                <w:color w:val="auto"/>
                <w:sz w:val="21"/>
                <w:szCs w:val="21"/>
                <w:highlight w:val="none"/>
              </w:rPr>
              <w:t>章）</w:t>
            </w:r>
            <w:r>
              <w:rPr>
                <w:rFonts w:hint="eastAsia" w:ascii="宋体" w:hAnsi="宋体" w:cs="Times New Roman"/>
                <w:color w:val="auto"/>
                <w:sz w:val="21"/>
                <w:szCs w:val="21"/>
                <w:highlight w:val="none"/>
                <w:u w:val="none"/>
                <w:lang w:eastAsia="zh-CN"/>
              </w:rPr>
              <w:t>广州开发区财政投资建设</w:t>
            </w:r>
          </w:p>
          <w:p>
            <w:pPr>
              <w:keepNext w:val="0"/>
              <w:keepLines w:val="0"/>
              <w:pageBreakBefore w:val="0"/>
              <w:kinsoku/>
              <w:wordWrap/>
              <w:overflowPunct/>
              <w:topLinePunct w:val="0"/>
              <w:autoSpaceDE/>
              <w:autoSpaceDN/>
              <w:bidi w:val="0"/>
              <w:adjustRightInd/>
              <w:snapToGrid w:val="0"/>
              <w:spacing w:line="400" w:lineRule="exact"/>
              <w:ind w:firstLine="1680" w:firstLineChars="800"/>
              <w:textAlignment w:val="auto"/>
              <w:rPr>
                <w:rFonts w:hint="eastAsia" w:ascii="宋体" w:hAnsi="宋体" w:cs="Times New Roman"/>
                <w:color w:val="auto"/>
                <w:sz w:val="21"/>
                <w:szCs w:val="21"/>
                <w:highlight w:val="none"/>
              </w:rPr>
            </w:pPr>
            <w:r>
              <w:rPr>
                <w:rFonts w:hint="eastAsia" w:ascii="宋体" w:hAnsi="宋体" w:cs="Times New Roman"/>
                <w:color w:val="auto"/>
                <w:sz w:val="21"/>
                <w:szCs w:val="21"/>
                <w:highlight w:val="none"/>
                <w:u w:val="none"/>
                <w:lang w:eastAsia="zh-CN"/>
              </w:rPr>
              <w:t>项目管理中心</w:t>
            </w:r>
          </w:p>
        </w:tc>
        <w:tc>
          <w:tcPr>
            <w:tcW w:w="4015" w:type="dxa"/>
            <w:noWrap w:val="0"/>
            <w:vAlign w:val="top"/>
          </w:tcPr>
          <w:p>
            <w:pPr>
              <w:keepNext w:val="0"/>
              <w:keepLines w:val="0"/>
              <w:pageBreakBefore w:val="0"/>
              <w:kinsoku/>
              <w:wordWrap/>
              <w:overflowPunct/>
              <w:topLinePunct w:val="0"/>
              <w:autoSpaceDE/>
              <w:autoSpaceDN/>
              <w:bidi w:val="0"/>
              <w:adjustRightInd/>
              <w:snapToGrid w:val="0"/>
              <w:spacing w:line="400" w:lineRule="exact"/>
              <w:ind w:firstLine="0" w:firstLineChars="0"/>
              <w:textAlignment w:val="auto"/>
              <w:rPr>
                <w:rFonts w:hint="eastAsia" w:ascii="宋体" w:hAnsi="宋体" w:cs="Times New Roman"/>
                <w:color w:val="auto"/>
                <w:sz w:val="21"/>
                <w:szCs w:val="21"/>
                <w:highlight w:val="none"/>
              </w:rPr>
            </w:pPr>
            <w:r>
              <w:rPr>
                <w:rFonts w:hint="eastAsia" w:ascii="宋体" w:hAnsi="宋体" w:cs="Times New Roman"/>
                <w:color w:val="auto"/>
                <w:sz w:val="21"/>
                <w:szCs w:val="21"/>
                <w:highlight w:val="none"/>
                <w:lang w:eastAsia="zh-CN"/>
              </w:rPr>
              <w:t>乙</w:t>
            </w:r>
            <w:r>
              <w:rPr>
                <w:rFonts w:hint="eastAsia" w:ascii="宋体" w:hAnsi="宋体" w:cs="Times New Roman"/>
                <w:color w:val="auto"/>
                <w:sz w:val="21"/>
                <w:szCs w:val="21"/>
                <w:highlight w:val="none"/>
                <w:lang w:val="en-US" w:eastAsia="zh-CN"/>
              </w:rPr>
              <w:t xml:space="preserve">  </w:t>
            </w:r>
            <w:r>
              <w:rPr>
                <w:rFonts w:hint="eastAsia" w:ascii="宋体" w:hAnsi="宋体" w:cs="Times New Roman"/>
                <w:color w:val="auto"/>
                <w:sz w:val="21"/>
                <w:szCs w:val="21"/>
                <w:highlight w:val="none"/>
                <w:lang w:eastAsia="zh-CN"/>
              </w:rPr>
              <w:t>方</w:t>
            </w:r>
            <w:r>
              <w:rPr>
                <w:rFonts w:hint="eastAsia" w:ascii="宋体" w:hAnsi="宋体" w:cs="Times New Roman"/>
                <w:color w:val="auto"/>
                <w:sz w:val="21"/>
                <w:szCs w:val="21"/>
                <w:highlight w:val="none"/>
              </w:rPr>
              <w:t>：（</w:t>
            </w:r>
            <w:r>
              <w:rPr>
                <w:rFonts w:hint="eastAsia" w:ascii="宋体" w:hAnsi="宋体" w:cs="Times New Roman"/>
                <w:color w:val="auto"/>
                <w:sz w:val="21"/>
                <w:szCs w:val="21"/>
                <w:highlight w:val="none"/>
                <w:lang w:eastAsia="zh-CN"/>
              </w:rPr>
              <w:t>盖</w:t>
            </w:r>
            <w:r>
              <w:rPr>
                <w:rFonts w:hint="eastAsia" w:ascii="宋体" w:hAnsi="宋体" w:cs="Times New Roman"/>
                <w:color w:val="auto"/>
                <w:sz w:val="21"/>
                <w:szCs w:val="21"/>
                <w:highlight w:val="none"/>
              </w:rPr>
              <w:t>章）</w:t>
            </w:r>
          </w:p>
        </w:tc>
      </w:tr>
      <w:tr>
        <w:tblPrEx>
          <w:tblCellMar>
            <w:top w:w="0" w:type="dxa"/>
            <w:left w:w="108" w:type="dxa"/>
            <w:bottom w:w="0" w:type="dxa"/>
            <w:right w:w="108" w:type="dxa"/>
          </w:tblCellMar>
        </w:tblPrEx>
        <w:trPr>
          <w:trHeight w:val="812" w:hRule="atLeast"/>
        </w:trPr>
        <w:tc>
          <w:tcPr>
            <w:tcW w:w="4800" w:type="dxa"/>
            <w:noWrap w:val="0"/>
            <w:vAlign w:val="top"/>
          </w:tcPr>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cs="Times New Roman"/>
                <w:color w:val="auto"/>
                <w:sz w:val="21"/>
                <w:szCs w:val="21"/>
                <w:highlight w:val="none"/>
              </w:rPr>
            </w:pPr>
            <w:r>
              <w:rPr>
                <w:rFonts w:hint="eastAsia" w:ascii="宋体" w:hAnsi="宋体" w:cs="Times New Roman"/>
                <w:color w:val="auto"/>
                <w:sz w:val="21"/>
                <w:szCs w:val="21"/>
                <w:highlight w:val="none"/>
              </w:rPr>
              <w:t>法定代表人：</w:t>
            </w:r>
          </w:p>
        </w:tc>
        <w:tc>
          <w:tcPr>
            <w:tcW w:w="4015" w:type="dxa"/>
            <w:noWrap w:val="0"/>
            <w:vAlign w:val="top"/>
          </w:tcPr>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cs="Times New Roman"/>
                <w:color w:val="auto"/>
                <w:sz w:val="21"/>
                <w:szCs w:val="21"/>
                <w:highlight w:val="none"/>
              </w:rPr>
            </w:pPr>
            <w:r>
              <w:rPr>
                <w:rFonts w:hint="eastAsia" w:ascii="宋体" w:hAnsi="宋体" w:cs="Times New Roman"/>
                <w:color w:val="auto"/>
                <w:sz w:val="21"/>
                <w:szCs w:val="21"/>
                <w:highlight w:val="none"/>
              </w:rPr>
              <w:t>法定代表人：</w:t>
            </w:r>
          </w:p>
        </w:tc>
      </w:tr>
      <w:tr>
        <w:tblPrEx>
          <w:tblCellMar>
            <w:top w:w="0" w:type="dxa"/>
            <w:left w:w="108" w:type="dxa"/>
            <w:bottom w:w="0" w:type="dxa"/>
            <w:right w:w="108" w:type="dxa"/>
          </w:tblCellMar>
        </w:tblPrEx>
        <w:trPr>
          <w:trHeight w:val="812" w:hRule="atLeast"/>
        </w:trPr>
        <w:tc>
          <w:tcPr>
            <w:tcW w:w="4800" w:type="dxa"/>
            <w:noWrap w:val="0"/>
            <w:vAlign w:val="top"/>
          </w:tcPr>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cs="Times New Roman"/>
                <w:color w:val="auto"/>
                <w:sz w:val="21"/>
                <w:szCs w:val="21"/>
                <w:highlight w:val="none"/>
              </w:rPr>
            </w:pPr>
            <w:r>
              <w:rPr>
                <w:rFonts w:hint="eastAsia" w:ascii="宋体" w:hAnsi="宋体" w:cs="Times New Roman"/>
                <w:color w:val="auto"/>
                <w:sz w:val="21"/>
                <w:szCs w:val="21"/>
                <w:highlight w:val="none"/>
              </w:rPr>
              <w:t>委托代理人：</w:t>
            </w:r>
          </w:p>
        </w:tc>
        <w:tc>
          <w:tcPr>
            <w:tcW w:w="4015" w:type="dxa"/>
            <w:noWrap w:val="0"/>
            <w:vAlign w:val="top"/>
          </w:tcPr>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cs="Times New Roman"/>
                <w:color w:val="auto"/>
                <w:sz w:val="21"/>
                <w:szCs w:val="21"/>
                <w:highlight w:val="none"/>
              </w:rPr>
            </w:pPr>
            <w:r>
              <w:rPr>
                <w:rFonts w:hint="eastAsia" w:ascii="宋体" w:hAnsi="宋体" w:cs="Times New Roman"/>
                <w:color w:val="auto"/>
                <w:sz w:val="21"/>
                <w:szCs w:val="21"/>
                <w:highlight w:val="none"/>
              </w:rPr>
              <w:t>委托代理人：</w:t>
            </w:r>
          </w:p>
        </w:tc>
      </w:tr>
    </w:tbl>
    <w:p>
      <w:pPr>
        <w:keepNext w:val="0"/>
        <w:keepLines w:val="0"/>
        <w:widowControl w:val="0"/>
        <w:suppressLineNumbers w:val="0"/>
        <w:adjustRightInd w:val="0"/>
        <w:snapToGrid w:val="0"/>
        <w:spacing w:before="0" w:beforeAutospacing="0" w:after="0" w:afterAutospacing="0" w:line="440" w:lineRule="exact"/>
        <w:ind w:left="0" w:right="0" w:firstLine="421"/>
        <w:jc w:val="both"/>
        <w:rPr>
          <w:rFonts w:hint="eastAsia" w:ascii="宋体" w:hAnsi="宋体" w:eastAsia="宋体" w:cs="宋体"/>
          <w:bCs/>
          <w:color w:val="auto"/>
          <w:kern w:val="0"/>
          <w:sz w:val="21"/>
          <w:szCs w:val="21"/>
          <w:highlight w:val="none"/>
          <w:lang w:val="en-US" w:eastAsia="zh-CN" w:bidi="ar"/>
        </w:rPr>
      </w:pPr>
    </w:p>
    <w:p>
      <w:pPr>
        <w:keepNext w:val="0"/>
        <w:keepLines w:val="0"/>
        <w:widowControl w:val="0"/>
        <w:suppressLineNumbers w:val="0"/>
        <w:adjustRightInd w:val="0"/>
        <w:snapToGrid w:val="0"/>
        <w:spacing w:before="0" w:beforeAutospacing="0" w:after="0" w:afterAutospacing="0" w:line="380" w:lineRule="exact"/>
        <w:ind w:left="0" w:right="11"/>
        <w:jc w:val="both"/>
        <w:rPr>
          <w:rFonts w:hint="eastAsia" w:ascii="宋体" w:hAnsi="宋体" w:eastAsia="宋体" w:cs="宋体"/>
          <w:snapToGrid w:val="0"/>
          <w:color w:val="auto"/>
          <w:kern w:val="0"/>
          <w:sz w:val="21"/>
          <w:szCs w:val="21"/>
          <w:highlight w:val="none"/>
          <w:lang w:val="en-US"/>
        </w:rPr>
      </w:pPr>
    </w:p>
    <w:p>
      <w:pPr>
        <w:rPr>
          <w:rFonts w:hint="eastAsia" w:ascii="Times New Roman" w:hAnsi="Times New Roman" w:cs="Times New Roman"/>
          <w:color w:val="auto"/>
          <w:highlight w:val="none"/>
          <w:lang w:val="en-US"/>
        </w:rPr>
      </w:pPr>
    </w:p>
    <w:p>
      <w:pPr>
        <w:widowControl w:val="0"/>
        <w:tabs>
          <w:tab w:val="left" w:pos="5460"/>
        </w:tabs>
        <w:adjustRightInd w:val="0"/>
        <w:snapToGrid w:val="0"/>
        <w:spacing w:line="400" w:lineRule="exact"/>
        <w:ind w:left="0" w:leftChars="0" w:right="11"/>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签约日期：</w:t>
      </w:r>
      <w:r>
        <w:rPr>
          <w:rFonts w:hint="eastAsia" w:ascii="宋体" w:hAnsi="宋体" w:eastAsia="宋体" w:cs="宋体"/>
          <w:color w:val="auto"/>
          <w:sz w:val="21"/>
          <w:szCs w:val="21"/>
          <w:highlight w:val="none"/>
          <w:u w:val="single"/>
          <w:lang w:val="en-US" w:eastAsia="zh-CN" w:bidi="ar-SA"/>
        </w:rPr>
        <w:t xml:space="preserve">     </w:t>
      </w:r>
      <w:r>
        <w:rPr>
          <w:rFonts w:hint="eastAsia" w:ascii="宋体" w:hAnsi="宋体" w:eastAsia="宋体" w:cs="宋体"/>
          <w:color w:val="auto"/>
          <w:sz w:val="21"/>
          <w:szCs w:val="21"/>
          <w:highlight w:val="none"/>
          <w:lang w:val="en-US" w:eastAsia="zh-CN" w:bidi="ar-SA"/>
        </w:rPr>
        <w:t xml:space="preserve">年 </w:t>
      </w:r>
      <w:r>
        <w:rPr>
          <w:rFonts w:hint="eastAsia" w:ascii="宋体" w:hAnsi="宋体" w:eastAsia="宋体" w:cs="宋体"/>
          <w:color w:val="auto"/>
          <w:sz w:val="21"/>
          <w:szCs w:val="21"/>
          <w:highlight w:val="none"/>
          <w:u w:val="single"/>
          <w:lang w:val="en-US" w:eastAsia="zh-CN" w:bidi="ar-SA"/>
        </w:rPr>
        <w:t xml:space="preserve">    </w:t>
      </w:r>
      <w:r>
        <w:rPr>
          <w:rFonts w:hint="eastAsia" w:ascii="宋体" w:hAnsi="宋体" w:eastAsia="宋体" w:cs="宋体"/>
          <w:color w:val="auto"/>
          <w:sz w:val="21"/>
          <w:szCs w:val="21"/>
          <w:highlight w:val="none"/>
          <w:lang w:val="en-US" w:eastAsia="zh-CN" w:bidi="ar-SA"/>
        </w:rPr>
        <w:t>月</w:t>
      </w:r>
      <w:r>
        <w:rPr>
          <w:rFonts w:hint="eastAsia" w:ascii="宋体" w:hAnsi="宋体" w:eastAsia="宋体" w:cs="宋体"/>
          <w:color w:val="auto"/>
          <w:sz w:val="21"/>
          <w:szCs w:val="21"/>
          <w:highlight w:val="none"/>
          <w:u w:val="single"/>
          <w:lang w:val="en-US" w:eastAsia="zh-CN" w:bidi="ar-SA"/>
        </w:rPr>
        <w:t xml:space="preserve">    </w:t>
      </w:r>
      <w:r>
        <w:rPr>
          <w:rFonts w:hint="eastAsia" w:ascii="宋体" w:hAnsi="宋体" w:eastAsia="宋体" w:cs="宋体"/>
          <w:color w:val="auto"/>
          <w:sz w:val="21"/>
          <w:szCs w:val="21"/>
          <w:highlight w:val="none"/>
          <w:lang w:val="en-US" w:eastAsia="zh-CN" w:bidi="ar-SA"/>
        </w:rPr>
        <w:t xml:space="preserve">日                           </w:t>
      </w:r>
    </w:p>
    <w:p>
      <w:pPr>
        <w:widowControl w:val="0"/>
        <w:snapToGrid w:val="0"/>
        <w:spacing w:line="400" w:lineRule="exact"/>
        <w:jc w:val="both"/>
        <w:rPr>
          <w:rFonts w:hint="eastAsia" w:ascii="宋体" w:hAnsi="宋体" w:eastAsia="宋体" w:cs="宋体"/>
          <w:bCs/>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签约地点：广东省广州市黄埔区。</w:t>
      </w:r>
    </w:p>
    <w:p>
      <w:pPr>
        <w:pStyle w:val="2"/>
        <w:jc w:val="center"/>
        <w:rPr>
          <w:rFonts w:ascii="宋体" w:hAnsi="宋体"/>
          <w:color w:val="auto"/>
          <w:sz w:val="24"/>
          <w:highlight w:val="none"/>
        </w:rPr>
      </w:pPr>
      <w:r>
        <w:rPr>
          <w:rFonts w:ascii="宋体" w:hAnsi="宋体"/>
          <w:color w:val="auto"/>
          <w:sz w:val="24"/>
          <w:highlight w:val="none"/>
        </w:rPr>
        <w:br w:type="page"/>
      </w:r>
      <w:bookmarkStart w:id="149" w:name="_Toc21787751"/>
      <w:r>
        <w:rPr>
          <w:rFonts w:hint="eastAsia" w:ascii="宋体" w:hAnsi="宋体"/>
          <w:color w:val="auto"/>
          <w:highlight w:val="none"/>
        </w:rPr>
        <w:t>第五章工程量清单（综合单价承包）</w:t>
      </w:r>
      <w:bookmarkEnd w:id="149"/>
    </w:p>
    <w:p>
      <w:pPr>
        <w:pStyle w:val="3"/>
        <w:numPr>
          <w:ilvl w:val="0"/>
          <w:numId w:val="22"/>
        </w:numPr>
        <w:rPr>
          <w:rFonts w:ascii="宋体" w:hAnsi="宋体"/>
          <w:color w:val="auto"/>
          <w:highlight w:val="none"/>
        </w:rPr>
      </w:pPr>
      <w:bookmarkStart w:id="150" w:name="_Toc21787752"/>
      <w:r>
        <w:rPr>
          <w:rFonts w:hint="eastAsia" w:ascii="宋体" w:hAnsi="宋体"/>
          <w:color w:val="auto"/>
          <w:highlight w:val="none"/>
        </w:rPr>
        <w:t>工程量清单说明</w:t>
      </w:r>
      <w:bookmarkEnd w:id="150"/>
    </w:p>
    <w:p>
      <w:pPr>
        <w:spacing w:line="360" w:lineRule="auto"/>
        <w:jc w:val="left"/>
        <w:rPr>
          <w:rFonts w:ascii="宋体" w:hAnsi="宋体"/>
          <w:color w:val="auto"/>
          <w:sz w:val="24"/>
          <w:highlight w:val="none"/>
        </w:rPr>
      </w:pPr>
      <w:r>
        <w:rPr>
          <w:rFonts w:hint="eastAsia" w:ascii="宋体" w:hAnsi="宋体"/>
          <w:color w:val="auto"/>
          <w:sz w:val="24"/>
          <w:highlight w:val="none"/>
        </w:rPr>
        <w:t>1.1 本工程量清单是根据招标文件中包括的、有合同约束力的图纸以及有关工程量清单的国家标准、行业标准、合同条款中约定的工程量计算规则编制。约定计量规则中没有的子目，其工程量按照有合同约束力的图纸所标示尺寸的理论净量计算。计量采用中华人民共和国法定计量单位。</w:t>
      </w:r>
    </w:p>
    <w:p>
      <w:pPr>
        <w:spacing w:line="360" w:lineRule="auto"/>
        <w:jc w:val="left"/>
        <w:rPr>
          <w:rFonts w:ascii="宋体" w:hAnsi="宋体"/>
          <w:color w:val="auto"/>
          <w:sz w:val="24"/>
          <w:highlight w:val="none"/>
        </w:rPr>
      </w:pPr>
      <w:r>
        <w:rPr>
          <w:rFonts w:hint="eastAsia" w:ascii="宋体" w:hAnsi="宋体"/>
          <w:color w:val="auto"/>
          <w:sz w:val="24"/>
          <w:highlight w:val="none"/>
        </w:rPr>
        <w:t>1.2 本工程量清单应与招标文件中的投标人须知、通用合同条款、专用合同条款、技术标准和要求及图纸等一起阅读和理解。</w:t>
      </w:r>
    </w:p>
    <w:p>
      <w:pPr>
        <w:spacing w:line="360" w:lineRule="auto"/>
        <w:jc w:val="left"/>
        <w:rPr>
          <w:rFonts w:ascii="宋体" w:hAnsi="宋体"/>
          <w:color w:val="auto"/>
          <w:sz w:val="24"/>
          <w:highlight w:val="none"/>
        </w:rPr>
      </w:pPr>
      <w:r>
        <w:rPr>
          <w:rFonts w:hint="eastAsia" w:ascii="宋体" w:hAnsi="宋体"/>
          <w:color w:val="auto"/>
          <w:sz w:val="24"/>
          <w:highlight w:val="none"/>
        </w:rPr>
        <w:t>1.3 本工程量清单仅是投标报价的共同基础，实际工程计量和工程价款的支付应遵循合同条款的约定和第七章“技术标准和要求”的有关规定。</w:t>
      </w:r>
    </w:p>
    <w:p>
      <w:pPr>
        <w:pStyle w:val="3"/>
        <w:numPr>
          <w:ilvl w:val="0"/>
          <w:numId w:val="22"/>
        </w:numPr>
        <w:rPr>
          <w:rFonts w:ascii="宋体" w:hAnsi="宋体"/>
          <w:color w:val="auto"/>
          <w:highlight w:val="none"/>
        </w:rPr>
      </w:pPr>
      <w:bookmarkStart w:id="151" w:name="_Toc21787753"/>
      <w:r>
        <w:rPr>
          <w:rFonts w:hint="eastAsia" w:ascii="宋体" w:hAnsi="宋体"/>
          <w:color w:val="auto"/>
          <w:highlight w:val="none"/>
        </w:rPr>
        <w:t>投标报价说明</w:t>
      </w:r>
      <w:bookmarkEnd w:id="151"/>
    </w:p>
    <w:p>
      <w:pPr>
        <w:spacing w:line="360" w:lineRule="auto"/>
        <w:jc w:val="left"/>
        <w:rPr>
          <w:rFonts w:ascii="宋体" w:hAnsi="宋体"/>
          <w:color w:val="auto"/>
          <w:sz w:val="24"/>
          <w:highlight w:val="none"/>
        </w:rPr>
      </w:pPr>
      <w:r>
        <w:rPr>
          <w:rFonts w:hint="eastAsia" w:ascii="宋体" w:hAnsi="宋体"/>
          <w:color w:val="auto"/>
          <w:sz w:val="24"/>
          <w:highlight w:val="none"/>
        </w:rPr>
        <w:t>2.1 工程量清单中的每一子目须填入单价或价格，且只允许有一个报价。</w:t>
      </w:r>
    </w:p>
    <w:p>
      <w:pPr>
        <w:spacing w:line="360" w:lineRule="auto"/>
        <w:jc w:val="left"/>
        <w:rPr>
          <w:rFonts w:ascii="宋体" w:hAnsi="宋体"/>
          <w:color w:val="auto"/>
          <w:sz w:val="24"/>
          <w:highlight w:val="none"/>
        </w:rPr>
      </w:pPr>
      <w:r>
        <w:rPr>
          <w:rFonts w:hint="eastAsia" w:ascii="宋体" w:hAnsi="宋体"/>
          <w:color w:val="auto"/>
          <w:sz w:val="24"/>
          <w:highlight w:val="none"/>
        </w:rPr>
        <w:t>2.2 工程量清单中标价的单价或金额，应包括所需的人工费、材料和施工机具使用费和企业管理费、利润以及一定范围内的风险费用等。</w:t>
      </w:r>
    </w:p>
    <w:p>
      <w:pPr>
        <w:spacing w:line="360" w:lineRule="auto"/>
        <w:jc w:val="left"/>
        <w:rPr>
          <w:rFonts w:ascii="宋体" w:hAnsi="宋体"/>
          <w:color w:val="auto"/>
          <w:sz w:val="24"/>
          <w:highlight w:val="none"/>
        </w:rPr>
      </w:pPr>
      <w:r>
        <w:rPr>
          <w:rFonts w:hint="eastAsia" w:ascii="宋体" w:hAnsi="宋体"/>
          <w:color w:val="auto"/>
          <w:sz w:val="24"/>
          <w:highlight w:val="none"/>
        </w:rPr>
        <w:t>2.3 工程量清单中投标人没有填入单价或价格的子目，其费用视为已分摊在工程量清单中其他相关子目的单价或价格之中。</w:t>
      </w:r>
    </w:p>
    <w:p>
      <w:pPr>
        <w:pStyle w:val="3"/>
        <w:numPr>
          <w:ilvl w:val="0"/>
          <w:numId w:val="22"/>
        </w:numPr>
        <w:rPr>
          <w:rFonts w:ascii="宋体" w:hAnsi="宋体"/>
          <w:color w:val="auto"/>
          <w:highlight w:val="none"/>
        </w:rPr>
      </w:pPr>
      <w:bookmarkStart w:id="152" w:name="_Toc21787754"/>
      <w:r>
        <w:rPr>
          <w:rFonts w:hint="eastAsia" w:ascii="宋体" w:hAnsi="宋体"/>
          <w:color w:val="auto"/>
          <w:highlight w:val="none"/>
        </w:rPr>
        <w:t>其他说明</w:t>
      </w:r>
      <w:bookmarkEnd w:id="152"/>
      <w:r>
        <w:rPr>
          <w:rFonts w:hint="eastAsia" w:ascii="宋体" w:hAnsi="宋体"/>
          <w:color w:val="auto"/>
          <w:highlight w:val="none"/>
        </w:rPr>
        <w:t>：</w:t>
      </w:r>
      <w:r>
        <w:rPr>
          <w:rFonts w:hint="eastAsia" w:ascii="宋体" w:hAnsi="宋体"/>
          <w:b/>
          <w:bCs/>
          <w:color w:val="auto"/>
          <w:highlight w:val="none"/>
        </w:rPr>
        <w:t>无</w:t>
      </w:r>
    </w:p>
    <w:p>
      <w:pPr>
        <w:pStyle w:val="3"/>
        <w:numPr>
          <w:ilvl w:val="0"/>
          <w:numId w:val="22"/>
        </w:numPr>
        <w:rPr>
          <w:rFonts w:ascii="宋体" w:hAnsi="宋体"/>
          <w:color w:val="auto"/>
          <w:sz w:val="24"/>
          <w:highlight w:val="none"/>
        </w:rPr>
      </w:pPr>
      <w:bookmarkStart w:id="153" w:name="_Toc21787755"/>
      <w:r>
        <w:rPr>
          <w:rFonts w:hint="eastAsia" w:ascii="宋体" w:hAnsi="宋体"/>
          <w:color w:val="auto"/>
          <w:highlight w:val="none"/>
        </w:rPr>
        <w:t>工程量清单</w:t>
      </w:r>
      <w:bookmarkEnd w:id="153"/>
      <w:r>
        <w:rPr>
          <w:rFonts w:hint="eastAsia" w:ascii="宋体" w:hAnsi="宋体"/>
          <w:color w:val="auto"/>
          <w:highlight w:val="none"/>
        </w:rPr>
        <w:t>：</w:t>
      </w:r>
      <w:r>
        <w:rPr>
          <w:rFonts w:hint="eastAsia" w:ascii="宋体" w:hAnsi="宋体"/>
          <w:b/>
          <w:bCs/>
          <w:color w:val="auto"/>
          <w:highlight w:val="none"/>
        </w:rPr>
        <w:t>另册</w:t>
      </w:r>
    </w:p>
    <w:p>
      <w:pPr>
        <w:pStyle w:val="2"/>
        <w:jc w:val="center"/>
        <w:rPr>
          <w:rFonts w:ascii="宋体" w:hAnsi="宋体"/>
          <w:color w:val="auto"/>
          <w:sz w:val="24"/>
          <w:highlight w:val="none"/>
        </w:rPr>
      </w:pPr>
      <w:r>
        <w:rPr>
          <w:rFonts w:ascii="宋体" w:hAnsi="宋体"/>
          <w:color w:val="auto"/>
          <w:sz w:val="24"/>
          <w:highlight w:val="none"/>
        </w:rPr>
        <w:br w:type="page"/>
      </w:r>
      <w:bookmarkStart w:id="154" w:name="_Toc21787756"/>
      <w:r>
        <w:rPr>
          <w:rFonts w:hint="eastAsia" w:ascii="宋体" w:hAnsi="宋体"/>
          <w:color w:val="auto"/>
          <w:highlight w:val="none"/>
        </w:rPr>
        <w:t>第六章图纸及勘察资料</w:t>
      </w:r>
      <w:bookmarkEnd w:id="154"/>
    </w:p>
    <w:p>
      <w:pPr>
        <w:spacing w:line="360" w:lineRule="auto"/>
        <w:jc w:val="center"/>
        <w:rPr>
          <w:rFonts w:ascii="宋体" w:hAnsi="宋体"/>
          <w:b/>
          <w:bCs/>
          <w:color w:val="auto"/>
          <w:sz w:val="32"/>
          <w:szCs w:val="28"/>
          <w:highlight w:val="none"/>
        </w:rPr>
      </w:pPr>
      <w:r>
        <w:rPr>
          <w:rFonts w:hint="eastAsia" w:ascii="宋体" w:hAnsi="宋体"/>
          <w:b/>
          <w:bCs/>
          <w:color w:val="auto"/>
          <w:sz w:val="24"/>
          <w:szCs w:val="24"/>
          <w:highlight w:val="none"/>
        </w:rPr>
        <w:t>（另册）</w:t>
      </w:r>
    </w:p>
    <w:p>
      <w:pPr>
        <w:spacing w:line="360" w:lineRule="auto"/>
        <w:jc w:val="left"/>
        <w:rPr>
          <w:rFonts w:ascii="宋体" w:hAnsi="宋体"/>
          <w:color w:val="auto"/>
          <w:sz w:val="24"/>
          <w:highlight w:val="none"/>
        </w:rPr>
      </w:pPr>
    </w:p>
    <w:p>
      <w:pPr>
        <w:pStyle w:val="2"/>
        <w:jc w:val="center"/>
        <w:rPr>
          <w:rFonts w:ascii="宋体" w:hAnsi="宋体"/>
          <w:color w:val="auto"/>
          <w:sz w:val="24"/>
          <w:highlight w:val="none"/>
        </w:rPr>
      </w:pPr>
      <w:r>
        <w:rPr>
          <w:rFonts w:ascii="宋体" w:hAnsi="宋体"/>
          <w:color w:val="auto"/>
          <w:sz w:val="24"/>
          <w:highlight w:val="none"/>
        </w:rPr>
        <w:br w:type="page"/>
      </w:r>
      <w:bookmarkStart w:id="155" w:name="_Toc21787757"/>
      <w:r>
        <w:rPr>
          <w:rFonts w:hint="eastAsia" w:ascii="宋体" w:hAnsi="宋体"/>
          <w:color w:val="auto"/>
          <w:highlight w:val="none"/>
        </w:rPr>
        <w:t>第七章技术标准和要求</w:t>
      </w:r>
      <w:bookmarkEnd w:id="155"/>
    </w:p>
    <w:p>
      <w:pPr>
        <w:ind w:firstLine="480" w:firstLineChars="200"/>
        <w:rPr>
          <w:rFonts w:ascii="宋体" w:hAnsi="宋体"/>
          <w:color w:val="auto"/>
          <w:sz w:val="24"/>
          <w:szCs w:val="24"/>
          <w:highlight w:val="none"/>
        </w:rPr>
      </w:pPr>
      <w:r>
        <w:rPr>
          <w:rFonts w:hint="eastAsia" w:ascii="宋体" w:hAnsi="宋体"/>
          <w:color w:val="auto"/>
          <w:sz w:val="24"/>
          <w:szCs w:val="24"/>
          <w:highlight w:val="none"/>
        </w:rPr>
        <w:t>一、按现行的中华人民共和国及有关部委分布的标准、规范、规程。若施工时间建设主管部门</w:t>
      </w:r>
      <w:r>
        <w:rPr>
          <w:rFonts w:hint="eastAsia" w:ascii="宋体" w:hAnsi="宋体"/>
          <w:color w:val="auto"/>
          <w:sz w:val="24"/>
          <w:szCs w:val="24"/>
          <w:highlight w:val="none"/>
          <w:lang w:val="en-US" w:eastAsia="zh-CN"/>
        </w:rPr>
        <w:t>颁</w:t>
      </w:r>
      <w:r>
        <w:rPr>
          <w:rFonts w:hint="eastAsia" w:ascii="宋体" w:hAnsi="宋体"/>
          <w:color w:val="auto"/>
          <w:sz w:val="24"/>
          <w:szCs w:val="24"/>
          <w:highlight w:val="none"/>
        </w:rPr>
        <w:t>布新的规范、标准等，则按照新的规范、标准执行。</w:t>
      </w:r>
    </w:p>
    <w:p>
      <w:pPr>
        <w:rPr>
          <w:rFonts w:ascii="宋体" w:hAnsi="宋体"/>
          <w:color w:val="auto"/>
          <w:sz w:val="24"/>
          <w:szCs w:val="24"/>
          <w:highlight w:val="none"/>
        </w:rPr>
      </w:pP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水利项目：引用《水利水电工程标准施工招标文件》（技术标准和要求）（合同技术条款）（</w:t>
      </w:r>
      <w:r>
        <w:rPr>
          <w:rFonts w:ascii="宋体" w:hAnsi="宋体"/>
          <w:color w:val="auto"/>
          <w:sz w:val="24"/>
          <w:highlight w:val="none"/>
        </w:rPr>
        <w:t>2009</w:t>
      </w:r>
      <w:r>
        <w:rPr>
          <w:rFonts w:hint="eastAsia" w:ascii="宋体" w:hAnsi="宋体"/>
          <w:color w:val="auto"/>
          <w:sz w:val="24"/>
          <w:highlight w:val="none"/>
        </w:rPr>
        <w:t>年版）</w:t>
      </w:r>
    </w:p>
    <w:p>
      <w:pPr>
        <w:spacing w:line="360" w:lineRule="auto"/>
        <w:ind w:firstLine="588"/>
        <w:rPr>
          <w:rFonts w:ascii="宋体" w:hAnsi="宋体"/>
          <w:color w:val="auto"/>
          <w:kern w:val="0"/>
          <w:sz w:val="24"/>
          <w:szCs w:val="24"/>
          <w:highlight w:val="none"/>
        </w:rPr>
      </w:pPr>
      <w:r>
        <w:rPr>
          <w:rFonts w:hint="eastAsia" w:ascii="宋体" w:hAnsi="宋体"/>
          <w:color w:val="auto"/>
          <w:kern w:val="0"/>
          <w:sz w:val="24"/>
          <w:szCs w:val="24"/>
          <w:highlight w:val="none"/>
        </w:rPr>
        <w:t>依据设计文件的要求，本招标工程项目的材料、设备、施工须达到现行中华人民共和国以及省、自治区、直辖市或行业的工程建设标准、规范的要求，包括但不限于以下标准：</w:t>
      </w:r>
    </w:p>
    <w:p>
      <w:pPr>
        <w:spacing w:line="360" w:lineRule="auto"/>
        <w:ind w:firstLine="360" w:firstLineChars="150"/>
        <w:rPr>
          <w:rFonts w:ascii="宋体" w:hAnsi="宋体"/>
          <w:color w:val="auto"/>
          <w:kern w:val="0"/>
          <w:sz w:val="24"/>
          <w:szCs w:val="24"/>
          <w:highlight w:val="none"/>
        </w:rPr>
      </w:pPr>
      <w:r>
        <w:rPr>
          <w:rFonts w:ascii="宋体" w:hAnsi="宋体"/>
          <w:color w:val="auto"/>
          <w:kern w:val="0"/>
          <w:sz w:val="24"/>
          <w:szCs w:val="24"/>
          <w:highlight w:val="none"/>
        </w:rPr>
        <w:t>1.1</w:t>
      </w:r>
      <w:r>
        <w:rPr>
          <w:rFonts w:hint="eastAsia" w:ascii="宋体" w:hAnsi="宋体"/>
          <w:color w:val="auto"/>
          <w:kern w:val="0"/>
          <w:sz w:val="24"/>
          <w:szCs w:val="24"/>
          <w:highlight w:val="none"/>
        </w:rPr>
        <w:t>《堤防工程施工规范》</w:t>
      </w:r>
      <w:r>
        <w:rPr>
          <w:rFonts w:ascii="宋体" w:hAnsi="宋体"/>
          <w:color w:val="auto"/>
          <w:kern w:val="0"/>
          <w:sz w:val="24"/>
          <w:szCs w:val="24"/>
          <w:highlight w:val="none"/>
        </w:rPr>
        <w:t xml:space="preserve"> SL260-98</w:t>
      </w:r>
    </w:p>
    <w:p>
      <w:pPr>
        <w:spacing w:line="360" w:lineRule="auto"/>
        <w:ind w:firstLine="360" w:firstLineChars="150"/>
        <w:rPr>
          <w:rFonts w:ascii="宋体" w:hAnsi="宋体"/>
          <w:color w:val="auto"/>
          <w:kern w:val="0"/>
          <w:sz w:val="24"/>
          <w:szCs w:val="24"/>
          <w:highlight w:val="none"/>
        </w:rPr>
      </w:pPr>
      <w:r>
        <w:rPr>
          <w:rFonts w:ascii="宋体" w:hAnsi="宋体"/>
          <w:color w:val="auto"/>
          <w:kern w:val="0"/>
          <w:sz w:val="24"/>
          <w:szCs w:val="24"/>
          <w:highlight w:val="none"/>
        </w:rPr>
        <w:t>1.2</w:t>
      </w:r>
      <w:r>
        <w:rPr>
          <w:rFonts w:hint="eastAsia" w:ascii="宋体" w:hAnsi="宋体"/>
          <w:color w:val="auto"/>
          <w:kern w:val="0"/>
          <w:sz w:val="24"/>
          <w:szCs w:val="24"/>
          <w:highlight w:val="none"/>
        </w:rPr>
        <w:t>《水利水电工程施工测量规范》</w:t>
      </w:r>
      <w:r>
        <w:rPr>
          <w:rFonts w:ascii="宋体" w:hAnsi="宋体"/>
          <w:color w:val="auto"/>
          <w:kern w:val="0"/>
          <w:sz w:val="24"/>
          <w:szCs w:val="24"/>
          <w:highlight w:val="none"/>
        </w:rPr>
        <w:t>SL52-93</w:t>
      </w:r>
    </w:p>
    <w:p>
      <w:pPr>
        <w:spacing w:line="360" w:lineRule="auto"/>
        <w:ind w:firstLine="360" w:firstLineChars="150"/>
        <w:rPr>
          <w:rFonts w:ascii="宋体" w:hAnsi="宋体"/>
          <w:color w:val="auto"/>
          <w:kern w:val="0"/>
          <w:sz w:val="24"/>
          <w:szCs w:val="24"/>
          <w:highlight w:val="none"/>
        </w:rPr>
      </w:pPr>
      <w:r>
        <w:rPr>
          <w:rFonts w:ascii="宋体" w:hAnsi="宋体"/>
          <w:color w:val="auto"/>
          <w:kern w:val="0"/>
          <w:sz w:val="24"/>
          <w:szCs w:val="24"/>
          <w:highlight w:val="none"/>
        </w:rPr>
        <w:t>1.3</w:t>
      </w:r>
      <w:r>
        <w:rPr>
          <w:rFonts w:hint="eastAsia" w:ascii="宋体" w:hAnsi="宋体"/>
          <w:color w:val="auto"/>
          <w:kern w:val="0"/>
          <w:sz w:val="24"/>
          <w:szCs w:val="24"/>
          <w:highlight w:val="none"/>
        </w:rPr>
        <w:t>《水利水电工程土工合成材料应用技术规范》</w:t>
      </w:r>
      <w:r>
        <w:rPr>
          <w:rFonts w:ascii="宋体" w:hAnsi="宋体"/>
          <w:color w:val="auto"/>
          <w:kern w:val="0"/>
          <w:sz w:val="24"/>
          <w:szCs w:val="24"/>
          <w:highlight w:val="none"/>
        </w:rPr>
        <w:t>SL/T225-98</w:t>
      </w:r>
    </w:p>
    <w:p>
      <w:pPr>
        <w:spacing w:line="360" w:lineRule="auto"/>
        <w:ind w:firstLine="360" w:firstLineChars="150"/>
        <w:rPr>
          <w:rFonts w:ascii="宋体" w:hAnsi="宋体"/>
          <w:color w:val="auto"/>
          <w:kern w:val="0"/>
          <w:sz w:val="24"/>
          <w:szCs w:val="24"/>
          <w:highlight w:val="none"/>
        </w:rPr>
      </w:pPr>
      <w:r>
        <w:rPr>
          <w:rFonts w:ascii="宋体" w:hAnsi="宋体"/>
          <w:color w:val="auto"/>
          <w:kern w:val="0"/>
          <w:sz w:val="24"/>
          <w:szCs w:val="24"/>
          <w:highlight w:val="none"/>
        </w:rPr>
        <w:t>1.4</w:t>
      </w:r>
      <w:r>
        <w:rPr>
          <w:rFonts w:hint="eastAsia" w:ascii="宋体" w:hAnsi="宋体"/>
          <w:color w:val="auto"/>
          <w:kern w:val="0"/>
          <w:sz w:val="24"/>
          <w:szCs w:val="24"/>
          <w:highlight w:val="none"/>
        </w:rPr>
        <w:t>《水利水电建设工程验收规程》</w:t>
      </w:r>
      <w:r>
        <w:rPr>
          <w:rFonts w:ascii="宋体" w:hAnsi="宋体"/>
          <w:color w:val="auto"/>
          <w:kern w:val="0"/>
          <w:sz w:val="24"/>
          <w:szCs w:val="24"/>
          <w:highlight w:val="none"/>
        </w:rPr>
        <w:t>SD223-1999</w:t>
      </w:r>
    </w:p>
    <w:p>
      <w:pPr>
        <w:spacing w:line="360" w:lineRule="auto"/>
        <w:ind w:firstLine="360" w:firstLineChars="150"/>
        <w:rPr>
          <w:rFonts w:ascii="宋体" w:hAnsi="宋体"/>
          <w:color w:val="auto"/>
          <w:kern w:val="0"/>
          <w:sz w:val="24"/>
          <w:szCs w:val="24"/>
          <w:highlight w:val="none"/>
        </w:rPr>
      </w:pPr>
      <w:r>
        <w:rPr>
          <w:rFonts w:ascii="宋体" w:hAnsi="宋体"/>
          <w:color w:val="auto"/>
          <w:kern w:val="0"/>
          <w:sz w:val="24"/>
          <w:szCs w:val="24"/>
          <w:highlight w:val="none"/>
        </w:rPr>
        <w:t>1.5</w:t>
      </w:r>
      <w:r>
        <w:rPr>
          <w:rFonts w:hint="eastAsia" w:ascii="宋体" w:hAnsi="宋体"/>
          <w:color w:val="auto"/>
          <w:kern w:val="0"/>
          <w:sz w:val="24"/>
          <w:szCs w:val="24"/>
          <w:highlight w:val="none"/>
        </w:rPr>
        <w:t>《堤防工程施工质量评定与验收规程》</w:t>
      </w:r>
      <w:r>
        <w:rPr>
          <w:rFonts w:ascii="宋体" w:hAnsi="宋体"/>
          <w:color w:val="auto"/>
          <w:kern w:val="0"/>
          <w:sz w:val="24"/>
          <w:szCs w:val="24"/>
          <w:highlight w:val="none"/>
        </w:rPr>
        <w:t>SL239-1999</w:t>
      </w:r>
    </w:p>
    <w:p>
      <w:pPr>
        <w:spacing w:line="360" w:lineRule="auto"/>
        <w:ind w:firstLine="360" w:firstLineChars="150"/>
        <w:rPr>
          <w:rFonts w:ascii="宋体" w:hAnsi="宋体"/>
          <w:color w:val="auto"/>
          <w:kern w:val="0"/>
          <w:sz w:val="24"/>
          <w:szCs w:val="24"/>
          <w:highlight w:val="none"/>
        </w:rPr>
      </w:pPr>
      <w:r>
        <w:rPr>
          <w:rFonts w:ascii="宋体" w:hAnsi="宋体"/>
          <w:color w:val="auto"/>
          <w:kern w:val="0"/>
          <w:sz w:val="24"/>
          <w:szCs w:val="24"/>
          <w:highlight w:val="none"/>
        </w:rPr>
        <w:t>1.6</w:t>
      </w:r>
      <w:r>
        <w:rPr>
          <w:rFonts w:hint="eastAsia" w:ascii="宋体" w:hAnsi="宋体"/>
          <w:color w:val="auto"/>
          <w:kern w:val="0"/>
          <w:sz w:val="24"/>
          <w:szCs w:val="24"/>
          <w:highlight w:val="none"/>
        </w:rPr>
        <w:t>《水利水电工程施工质量评定规程（试行）》</w:t>
      </w:r>
      <w:r>
        <w:rPr>
          <w:rFonts w:ascii="宋体" w:hAnsi="宋体"/>
          <w:color w:val="auto"/>
          <w:kern w:val="0"/>
          <w:sz w:val="24"/>
          <w:szCs w:val="24"/>
          <w:highlight w:val="none"/>
        </w:rPr>
        <w:t>SL176-96</w:t>
      </w:r>
    </w:p>
    <w:p>
      <w:pPr>
        <w:spacing w:line="360" w:lineRule="auto"/>
        <w:ind w:firstLine="360" w:firstLineChars="150"/>
        <w:rPr>
          <w:rFonts w:ascii="宋体" w:hAnsi="宋体"/>
          <w:color w:val="auto"/>
          <w:kern w:val="0"/>
          <w:sz w:val="24"/>
          <w:szCs w:val="24"/>
          <w:highlight w:val="none"/>
        </w:rPr>
      </w:pPr>
      <w:r>
        <w:rPr>
          <w:rFonts w:ascii="宋体" w:hAnsi="宋体"/>
          <w:color w:val="auto"/>
          <w:kern w:val="0"/>
          <w:sz w:val="24"/>
          <w:szCs w:val="24"/>
          <w:highlight w:val="none"/>
        </w:rPr>
        <w:t>1.7</w:t>
      </w:r>
      <w:r>
        <w:rPr>
          <w:rFonts w:hint="eastAsia" w:ascii="宋体" w:hAnsi="宋体"/>
          <w:color w:val="auto"/>
          <w:kern w:val="0"/>
          <w:sz w:val="24"/>
          <w:szCs w:val="24"/>
          <w:highlight w:val="none"/>
        </w:rPr>
        <w:t>《水利水电基本建设单元工程质量等级评定标准》</w:t>
      </w:r>
      <w:r>
        <w:rPr>
          <w:rFonts w:ascii="宋体" w:hAnsi="宋体"/>
          <w:color w:val="auto"/>
          <w:kern w:val="0"/>
          <w:sz w:val="24"/>
          <w:szCs w:val="24"/>
          <w:highlight w:val="none"/>
        </w:rPr>
        <w:t>SDJ249-88</w:t>
      </w:r>
    </w:p>
    <w:p>
      <w:pPr>
        <w:spacing w:line="360" w:lineRule="auto"/>
        <w:ind w:firstLine="360" w:firstLineChars="150"/>
        <w:rPr>
          <w:rFonts w:ascii="宋体" w:hAnsi="宋体"/>
          <w:color w:val="auto"/>
          <w:kern w:val="0"/>
          <w:sz w:val="24"/>
          <w:szCs w:val="24"/>
          <w:highlight w:val="none"/>
        </w:rPr>
      </w:pPr>
      <w:r>
        <w:rPr>
          <w:rFonts w:ascii="宋体" w:hAnsi="宋体"/>
          <w:color w:val="auto"/>
          <w:kern w:val="0"/>
          <w:sz w:val="24"/>
          <w:szCs w:val="24"/>
          <w:highlight w:val="none"/>
        </w:rPr>
        <w:t>1.8</w:t>
      </w:r>
      <w:r>
        <w:rPr>
          <w:rFonts w:hint="eastAsia" w:ascii="宋体" w:hAnsi="宋体"/>
          <w:color w:val="auto"/>
          <w:kern w:val="0"/>
          <w:sz w:val="24"/>
          <w:szCs w:val="24"/>
          <w:highlight w:val="none"/>
        </w:rPr>
        <w:t>《土方试验规程》</w:t>
      </w:r>
      <w:r>
        <w:rPr>
          <w:rFonts w:ascii="宋体" w:hAnsi="宋体"/>
          <w:color w:val="auto"/>
          <w:kern w:val="0"/>
          <w:sz w:val="24"/>
          <w:szCs w:val="24"/>
          <w:highlight w:val="none"/>
        </w:rPr>
        <w:t>SD128-87</w:t>
      </w:r>
    </w:p>
    <w:p>
      <w:pPr>
        <w:spacing w:line="360" w:lineRule="auto"/>
        <w:ind w:firstLine="360" w:firstLineChars="150"/>
        <w:rPr>
          <w:rFonts w:ascii="宋体" w:hAnsi="宋体"/>
          <w:color w:val="auto"/>
          <w:kern w:val="0"/>
          <w:sz w:val="24"/>
          <w:szCs w:val="24"/>
          <w:highlight w:val="none"/>
        </w:rPr>
      </w:pPr>
      <w:r>
        <w:rPr>
          <w:rFonts w:ascii="宋体" w:hAnsi="宋体"/>
          <w:color w:val="auto"/>
          <w:kern w:val="0"/>
          <w:sz w:val="24"/>
          <w:szCs w:val="24"/>
          <w:highlight w:val="none"/>
        </w:rPr>
        <w:t xml:space="preserve">1.9 </w:t>
      </w:r>
      <w:r>
        <w:rPr>
          <w:rFonts w:hint="eastAsia" w:ascii="宋体" w:hAnsi="宋体"/>
          <w:color w:val="auto"/>
          <w:kern w:val="0"/>
          <w:sz w:val="24"/>
          <w:szCs w:val="24"/>
          <w:highlight w:val="none"/>
        </w:rPr>
        <w:t>工程测量规范</w:t>
      </w:r>
      <w:r>
        <w:rPr>
          <w:rFonts w:ascii="宋体" w:hAnsi="宋体"/>
          <w:color w:val="auto"/>
          <w:kern w:val="0"/>
          <w:sz w:val="24"/>
          <w:szCs w:val="24"/>
          <w:highlight w:val="none"/>
        </w:rPr>
        <w:t>(GB50026-2007)</w:t>
      </w:r>
    </w:p>
    <w:p>
      <w:pPr>
        <w:spacing w:line="360" w:lineRule="auto"/>
        <w:ind w:firstLine="360" w:firstLineChars="150"/>
        <w:rPr>
          <w:rFonts w:ascii="宋体" w:hAnsi="宋体"/>
          <w:color w:val="auto"/>
          <w:kern w:val="0"/>
          <w:sz w:val="24"/>
          <w:szCs w:val="24"/>
          <w:highlight w:val="none"/>
        </w:rPr>
      </w:pPr>
      <w:r>
        <w:rPr>
          <w:rFonts w:ascii="宋体" w:hAnsi="宋体"/>
          <w:color w:val="auto"/>
          <w:kern w:val="0"/>
          <w:sz w:val="24"/>
          <w:szCs w:val="24"/>
          <w:highlight w:val="none"/>
        </w:rPr>
        <w:t xml:space="preserve">1.10 </w:t>
      </w:r>
      <w:r>
        <w:rPr>
          <w:rFonts w:hint="eastAsia" w:ascii="宋体" w:hAnsi="宋体"/>
          <w:color w:val="auto"/>
          <w:kern w:val="0"/>
          <w:sz w:val="24"/>
          <w:szCs w:val="24"/>
          <w:highlight w:val="none"/>
        </w:rPr>
        <w:t>岩土工程勘察规范</w:t>
      </w:r>
      <w:r>
        <w:rPr>
          <w:rFonts w:ascii="宋体" w:hAnsi="宋体"/>
          <w:color w:val="auto"/>
          <w:kern w:val="0"/>
          <w:sz w:val="24"/>
          <w:szCs w:val="24"/>
          <w:highlight w:val="none"/>
        </w:rPr>
        <w:t xml:space="preserve"> (GB50021-2001)</w:t>
      </w:r>
      <w:r>
        <w:rPr>
          <w:rFonts w:hint="eastAsia" w:ascii="宋体" w:hAnsi="宋体"/>
          <w:color w:val="auto"/>
          <w:kern w:val="0"/>
          <w:sz w:val="24"/>
          <w:szCs w:val="24"/>
          <w:highlight w:val="none"/>
        </w:rPr>
        <w:t>（</w:t>
      </w:r>
      <w:r>
        <w:rPr>
          <w:rFonts w:ascii="宋体" w:hAnsi="宋体"/>
          <w:color w:val="auto"/>
          <w:kern w:val="0"/>
          <w:sz w:val="24"/>
          <w:szCs w:val="24"/>
          <w:highlight w:val="none"/>
        </w:rPr>
        <w:t>2009</w:t>
      </w:r>
      <w:r>
        <w:rPr>
          <w:rFonts w:hint="eastAsia" w:ascii="宋体" w:hAnsi="宋体"/>
          <w:color w:val="auto"/>
          <w:kern w:val="0"/>
          <w:sz w:val="24"/>
          <w:szCs w:val="24"/>
          <w:highlight w:val="none"/>
        </w:rPr>
        <w:t>年版）</w:t>
      </w:r>
    </w:p>
    <w:p>
      <w:pPr>
        <w:spacing w:line="360" w:lineRule="auto"/>
        <w:ind w:firstLine="360" w:firstLineChars="150"/>
        <w:rPr>
          <w:rFonts w:ascii="宋体" w:hAnsi="宋体"/>
          <w:color w:val="auto"/>
          <w:kern w:val="0"/>
          <w:sz w:val="24"/>
          <w:szCs w:val="24"/>
          <w:highlight w:val="none"/>
        </w:rPr>
      </w:pPr>
      <w:r>
        <w:rPr>
          <w:rFonts w:ascii="宋体" w:hAnsi="宋体"/>
          <w:color w:val="auto"/>
          <w:kern w:val="0"/>
          <w:sz w:val="24"/>
          <w:szCs w:val="24"/>
          <w:highlight w:val="none"/>
        </w:rPr>
        <w:t>1.11</w:t>
      </w:r>
      <w:r>
        <w:rPr>
          <w:rFonts w:hint="eastAsia" w:ascii="宋体" w:hAnsi="宋体"/>
          <w:color w:val="auto"/>
          <w:kern w:val="0"/>
          <w:sz w:val="24"/>
          <w:szCs w:val="24"/>
          <w:highlight w:val="none"/>
        </w:rPr>
        <w:t>建筑地基基础设计规范</w:t>
      </w:r>
      <w:r>
        <w:rPr>
          <w:rFonts w:ascii="宋体" w:hAnsi="宋体"/>
          <w:color w:val="auto"/>
          <w:kern w:val="0"/>
          <w:sz w:val="24"/>
          <w:szCs w:val="24"/>
          <w:highlight w:val="none"/>
        </w:rPr>
        <w:t xml:space="preserve"> (GB50007-2002)</w:t>
      </w:r>
    </w:p>
    <w:p>
      <w:pPr>
        <w:spacing w:line="360" w:lineRule="auto"/>
        <w:ind w:firstLine="360" w:firstLineChars="150"/>
        <w:rPr>
          <w:rFonts w:ascii="宋体" w:hAnsi="宋体"/>
          <w:color w:val="auto"/>
          <w:kern w:val="0"/>
          <w:sz w:val="24"/>
          <w:szCs w:val="24"/>
          <w:highlight w:val="none"/>
        </w:rPr>
      </w:pPr>
      <w:r>
        <w:rPr>
          <w:rFonts w:ascii="宋体" w:hAnsi="宋体"/>
          <w:color w:val="auto"/>
          <w:kern w:val="0"/>
          <w:sz w:val="24"/>
          <w:szCs w:val="24"/>
          <w:highlight w:val="none"/>
        </w:rPr>
        <w:t>1.12</w:t>
      </w:r>
      <w:r>
        <w:rPr>
          <w:rFonts w:hint="eastAsia" w:ascii="宋体" w:hAnsi="宋体"/>
          <w:color w:val="auto"/>
          <w:kern w:val="0"/>
          <w:sz w:val="24"/>
          <w:szCs w:val="24"/>
          <w:highlight w:val="none"/>
        </w:rPr>
        <w:t>建筑结构荷载规范</w:t>
      </w:r>
      <w:r>
        <w:rPr>
          <w:rFonts w:ascii="宋体" w:hAnsi="宋体"/>
          <w:color w:val="auto"/>
          <w:kern w:val="0"/>
          <w:sz w:val="24"/>
          <w:szCs w:val="24"/>
          <w:highlight w:val="none"/>
        </w:rPr>
        <w:t xml:space="preserve"> (GB50009-2001)</w:t>
      </w:r>
      <w:r>
        <w:rPr>
          <w:rFonts w:hint="eastAsia" w:ascii="宋体" w:hAnsi="宋体"/>
          <w:color w:val="auto"/>
          <w:kern w:val="0"/>
          <w:sz w:val="24"/>
          <w:szCs w:val="24"/>
          <w:highlight w:val="none"/>
        </w:rPr>
        <w:t>（</w:t>
      </w:r>
      <w:r>
        <w:rPr>
          <w:rFonts w:ascii="宋体" w:hAnsi="宋体"/>
          <w:color w:val="auto"/>
          <w:kern w:val="0"/>
          <w:sz w:val="24"/>
          <w:szCs w:val="24"/>
          <w:highlight w:val="none"/>
        </w:rPr>
        <w:t>2006</w:t>
      </w:r>
      <w:r>
        <w:rPr>
          <w:rFonts w:hint="eastAsia" w:ascii="宋体" w:hAnsi="宋体"/>
          <w:color w:val="auto"/>
          <w:kern w:val="0"/>
          <w:sz w:val="24"/>
          <w:szCs w:val="24"/>
          <w:highlight w:val="none"/>
        </w:rPr>
        <w:t>版）</w:t>
      </w:r>
    </w:p>
    <w:p>
      <w:pPr>
        <w:spacing w:line="360" w:lineRule="auto"/>
        <w:ind w:firstLine="360" w:firstLineChars="150"/>
        <w:rPr>
          <w:rFonts w:ascii="宋体" w:hAnsi="宋体"/>
          <w:color w:val="auto"/>
          <w:kern w:val="0"/>
          <w:sz w:val="24"/>
          <w:szCs w:val="24"/>
          <w:highlight w:val="none"/>
        </w:rPr>
      </w:pPr>
      <w:r>
        <w:rPr>
          <w:rFonts w:ascii="宋体" w:hAnsi="宋体"/>
          <w:color w:val="auto"/>
          <w:kern w:val="0"/>
          <w:sz w:val="24"/>
          <w:szCs w:val="24"/>
          <w:highlight w:val="none"/>
        </w:rPr>
        <w:t>1.13</w:t>
      </w:r>
      <w:r>
        <w:rPr>
          <w:rFonts w:hint="eastAsia" w:ascii="宋体" w:hAnsi="宋体"/>
          <w:color w:val="auto"/>
          <w:kern w:val="0"/>
          <w:sz w:val="24"/>
          <w:szCs w:val="24"/>
          <w:highlight w:val="none"/>
        </w:rPr>
        <w:t>砌体结构设计规范</w:t>
      </w:r>
      <w:r>
        <w:rPr>
          <w:rFonts w:ascii="宋体" w:hAnsi="宋体"/>
          <w:color w:val="auto"/>
          <w:kern w:val="0"/>
          <w:sz w:val="24"/>
          <w:szCs w:val="24"/>
          <w:highlight w:val="none"/>
        </w:rPr>
        <w:t xml:space="preserve"> (GB50003-2001)</w:t>
      </w:r>
    </w:p>
    <w:p>
      <w:pPr>
        <w:spacing w:line="360" w:lineRule="auto"/>
        <w:ind w:firstLine="360" w:firstLineChars="150"/>
        <w:rPr>
          <w:rFonts w:ascii="宋体" w:hAnsi="宋体"/>
          <w:color w:val="auto"/>
          <w:kern w:val="0"/>
          <w:sz w:val="24"/>
          <w:szCs w:val="24"/>
          <w:highlight w:val="none"/>
        </w:rPr>
      </w:pPr>
      <w:r>
        <w:rPr>
          <w:rFonts w:ascii="宋体" w:hAnsi="宋体"/>
          <w:color w:val="auto"/>
          <w:kern w:val="0"/>
          <w:sz w:val="24"/>
          <w:szCs w:val="24"/>
          <w:highlight w:val="none"/>
        </w:rPr>
        <w:t>1.14</w:t>
      </w:r>
      <w:r>
        <w:rPr>
          <w:rFonts w:hint="eastAsia" w:ascii="宋体" w:hAnsi="宋体"/>
          <w:color w:val="auto"/>
          <w:kern w:val="0"/>
          <w:sz w:val="24"/>
          <w:szCs w:val="24"/>
          <w:highlight w:val="none"/>
        </w:rPr>
        <w:t>混凝土结构设计规范</w:t>
      </w:r>
      <w:r>
        <w:rPr>
          <w:rFonts w:ascii="宋体" w:hAnsi="宋体"/>
          <w:color w:val="auto"/>
          <w:kern w:val="0"/>
          <w:sz w:val="24"/>
          <w:szCs w:val="24"/>
          <w:highlight w:val="none"/>
        </w:rPr>
        <w:t xml:space="preserve"> (GB50010-2002)</w:t>
      </w:r>
    </w:p>
    <w:p>
      <w:pPr>
        <w:spacing w:line="360" w:lineRule="auto"/>
        <w:ind w:firstLine="360" w:firstLineChars="150"/>
        <w:rPr>
          <w:rFonts w:ascii="宋体" w:hAnsi="宋体"/>
          <w:color w:val="auto"/>
          <w:kern w:val="0"/>
          <w:sz w:val="24"/>
          <w:szCs w:val="24"/>
          <w:highlight w:val="none"/>
        </w:rPr>
      </w:pPr>
      <w:r>
        <w:rPr>
          <w:rFonts w:ascii="宋体" w:hAnsi="宋体"/>
          <w:color w:val="auto"/>
          <w:kern w:val="0"/>
          <w:sz w:val="24"/>
          <w:szCs w:val="24"/>
          <w:highlight w:val="none"/>
        </w:rPr>
        <w:t>1.15</w:t>
      </w:r>
      <w:r>
        <w:rPr>
          <w:rFonts w:hint="eastAsia" w:ascii="宋体" w:hAnsi="宋体"/>
          <w:color w:val="auto"/>
          <w:kern w:val="0"/>
          <w:sz w:val="24"/>
          <w:szCs w:val="24"/>
          <w:highlight w:val="none"/>
        </w:rPr>
        <w:t>建筑地基基础工程施工质量验收规范</w:t>
      </w:r>
      <w:r>
        <w:rPr>
          <w:rFonts w:ascii="宋体" w:hAnsi="宋体"/>
          <w:color w:val="auto"/>
          <w:kern w:val="0"/>
          <w:sz w:val="24"/>
          <w:szCs w:val="24"/>
          <w:highlight w:val="none"/>
        </w:rPr>
        <w:t xml:space="preserve"> (GB50202-2002)</w:t>
      </w:r>
    </w:p>
    <w:p>
      <w:pPr>
        <w:spacing w:line="360" w:lineRule="auto"/>
        <w:ind w:firstLine="360" w:firstLineChars="150"/>
        <w:rPr>
          <w:rFonts w:ascii="宋体" w:hAnsi="宋体"/>
          <w:color w:val="auto"/>
          <w:kern w:val="0"/>
          <w:sz w:val="24"/>
          <w:szCs w:val="24"/>
          <w:highlight w:val="none"/>
        </w:rPr>
      </w:pPr>
      <w:r>
        <w:rPr>
          <w:rFonts w:ascii="宋体" w:hAnsi="宋体"/>
          <w:color w:val="auto"/>
          <w:kern w:val="0"/>
          <w:sz w:val="24"/>
          <w:szCs w:val="24"/>
          <w:highlight w:val="none"/>
        </w:rPr>
        <w:t>1.16</w:t>
      </w:r>
      <w:r>
        <w:rPr>
          <w:rFonts w:hint="eastAsia" w:ascii="宋体" w:hAnsi="宋体"/>
          <w:color w:val="auto"/>
          <w:kern w:val="0"/>
          <w:sz w:val="24"/>
          <w:szCs w:val="24"/>
          <w:highlight w:val="none"/>
        </w:rPr>
        <w:t>地下防水工程质量验收规范</w:t>
      </w:r>
      <w:r>
        <w:rPr>
          <w:rFonts w:ascii="宋体" w:hAnsi="宋体"/>
          <w:color w:val="auto"/>
          <w:kern w:val="0"/>
          <w:sz w:val="24"/>
          <w:szCs w:val="24"/>
          <w:highlight w:val="none"/>
        </w:rPr>
        <w:t>(GB50208-2002)</w:t>
      </w:r>
    </w:p>
    <w:p>
      <w:pPr>
        <w:spacing w:line="360" w:lineRule="auto"/>
        <w:ind w:firstLine="360" w:firstLineChars="150"/>
        <w:rPr>
          <w:rFonts w:ascii="宋体" w:hAnsi="宋体"/>
          <w:color w:val="auto"/>
          <w:kern w:val="0"/>
          <w:sz w:val="24"/>
          <w:szCs w:val="24"/>
          <w:highlight w:val="none"/>
        </w:rPr>
      </w:pPr>
      <w:r>
        <w:rPr>
          <w:rFonts w:ascii="宋体" w:hAnsi="宋体"/>
          <w:color w:val="auto"/>
          <w:kern w:val="0"/>
          <w:sz w:val="24"/>
          <w:szCs w:val="24"/>
          <w:highlight w:val="none"/>
        </w:rPr>
        <w:t>1.17</w:t>
      </w:r>
      <w:r>
        <w:rPr>
          <w:rFonts w:hint="eastAsia" w:ascii="宋体" w:hAnsi="宋体"/>
          <w:color w:val="auto"/>
          <w:kern w:val="0"/>
          <w:sz w:val="24"/>
          <w:szCs w:val="24"/>
          <w:highlight w:val="none"/>
        </w:rPr>
        <w:t>建筑工程施工质量验收统一标准</w:t>
      </w:r>
      <w:r>
        <w:rPr>
          <w:rFonts w:ascii="宋体" w:hAnsi="宋体"/>
          <w:color w:val="auto"/>
          <w:kern w:val="0"/>
          <w:sz w:val="24"/>
          <w:szCs w:val="24"/>
          <w:highlight w:val="none"/>
        </w:rPr>
        <w:t xml:space="preserve">  (GB50300-2001)</w:t>
      </w:r>
    </w:p>
    <w:p>
      <w:pPr>
        <w:spacing w:line="360" w:lineRule="auto"/>
        <w:ind w:firstLine="360" w:firstLineChars="150"/>
        <w:rPr>
          <w:rFonts w:ascii="宋体" w:hAnsi="宋体"/>
          <w:color w:val="auto"/>
          <w:kern w:val="0"/>
          <w:sz w:val="24"/>
          <w:szCs w:val="24"/>
          <w:highlight w:val="none"/>
        </w:rPr>
      </w:pPr>
      <w:r>
        <w:rPr>
          <w:rFonts w:ascii="宋体" w:hAnsi="宋体"/>
          <w:color w:val="auto"/>
          <w:kern w:val="0"/>
          <w:sz w:val="24"/>
          <w:szCs w:val="24"/>
          <w:highlight w:val="none"/>
        </w:rPr>
        <w:t xml:space="preserve">1.18 </w:t>
      </w:r>
      <w:r>
        <w:rPr>
          <w:rFonts w:hint="eastAsia" w:ascii="宋体" w:hAnsi="宋体"/>
          <w:color w:val="auto"/>
          <w:kern w:val="0"/>
          <w:sz w:val="24"/>
          <w:szCs w:val="24"/>
          <w:highlight w:val="none"/>
        </w:rPr>
        <w:t>混凝土结构工程施工质量验收规范</w:t>
      </w:r>
      <w:r>
        <w:rPr>
          <w:rFonts w:ascii="宋体" w:hAnsi="宋体"/>
          <w:color w:val="auto"/>
          <w:kern w:val="0"/>
          <w:sz w:val="24"/>
          <w:szCs w:val="24"/>
          <w:highlight w:val="none"/>
        </w:rPr>
        <w:t xml:space="preserve">  (GB50204-2002)</w:t>
      </w:r>
    </w:p>
    <w:p>
      <w:pPr>
        <w:spacing w:line="360" w:lineRule="auto"/>
        <w:ind w:firstLine="360" w:firstLineChars="150"/>
        <w:rPr>
          <w:rFonts w:ascii="宋体" w:hAnsi="宋体"/>
          <w:color w:val="auto"/>
          <w:kern w:val="0"/>
          <w:sz w:val="24"/>
          <w:szCs w:val="24"/>
          <w:highlight w:val="none"/>
        </w:rPr>
      </w:pPr>
      <w:r>
        <w:rPr>
          <w:rFonts w:ascii="宋体" w:hAnsi="宋体"/>
          <w:color w:val="auto"/>
          <w:kern w:val="0"/>
          <w:sz w:val="24"/>
          <w:szCs w:val="24"/>
          <w:highlight w:val="none"/>
        </w:rPr>
        <w:t>1.19</w:t>
      </w:r>
      <w:r>
        <w:rPr>
          <w:rFonts w:hint="eastAsia" w:ascii="宋体" w:hAnsi="宋体"/>
          <w:color w:val="auto"/>
          <w:kern w:val="0"/>
          <w:sz w:val="24"/>
          <w:szCs w:val="24"/>
          <w:highlight w:val="none"/>
        </w:rPr>
        <w:t>普通混凝土用碎石或卵石质量标准及检验方法</w:t>
      </w:r>
      <w:r>
        <w:rPr>
          <w:rFonts w:ascii="宋体" w:hAnsi="宋体"/>
          <w:color w:val="auto"/>
          <w:kern w:val="0"/>
          <w:sz w:val="24"/>
          <w:szCs w:val="24"/>
          <w:highlight w:val="none"/>
        </w:rPr>
        <w:t xml:space="preserve">  (JGJ53-92)</w:t>
      </w:r>
    </w:p>
    <w:p>
      <w:pPr>
        <w:spacing w:line="360" w:lineRule="auto"/>
        <w:ind w:firstLine="360" w:firstLineChars="150"/>
        <w:rPr>
          <w:rFonts w:ascii="宋体" w:hAnsi="宋体"/>
          <w:color w:val="auto"/>
          <w:kern w:val="0"/>
          <w:sz w:val="24"/>
          <w:szCs w:val="24"/>
          <w:highlight w:val="none"/>
        </w:rPr>
      </w:pPr>
      <w:r>
        <w:rPr>
          <w:rFonts w:ascii="宋体" w:hAnsi="宋体"/>
          <w:color w:val="auto"/>
          <w:kern w:val="0"/>
          <w:sz w:val="24"/>
          <w:szCs w:val="24"/>
          <w:highlight w:val="none"/>
        </w:rPr>
        <w:t xml:space="preserve">1.20 </w:t>
      </w:r>
      <w:r>
        <w:rPr>
          <w:rFonts w:hint="eastAsia" w:ascii="宋体" w:hAnsi="宋体"/>
          <w:color w:val="auto"/>
          <w:kern w:val="0"/>
          <w:sz w:val="24"/>
          <w:szCs w:val="24"/>
          <w:highlight w:val="none"/>
        </w:rPr>
        <w:t>混凝土外加剂应用技术规范</w:t>
      </w:r>
      <w:r>
        <w:rPr>
          <w:rFonts w:ascii="宋体" w:hAnsi="宋体"/>
          <w:color w:val="auto"/>
          <w:kern w:val="0"/>
          <w:sz w:val="24"/>
          <w:szCs w:val="24"/>
          <w:highlight w:val="none"/>
        </w:rPr>
        <w:t xml:space="preserve">  (GB50119-2003)</w:t>
      </w:r>
    </w:p>
    <w:p>
      <w:pPr>
        <w:spacing w:line="360" w:lineRule="auto"/>
        <w:ind w:firstLine="360" w:firstLineChars="150"/>
        <w:rPr>
          <w:rFonts w:ascii="宋体" w:hAnsi="宋体"/>
          <w:color w:val="auto"/>
          <w:kern w:val="0"/>
          <w:sz w:val="24"/>
          <w:szCs w:val="24"/>
          <w:highlight w:val="none"/>
        </w:rPr>
      </w:pPr>
      <w:r>
        <w:rPr>
          <w:rFonts w:ascii="宋体" w:hAnsi="宋体"/>
          <w:color w:val="auto"/>
          <w:kern w:val="0"/>
          <w:sz w:val="24"/>
          <w:szCs w:val="24"/>
          <w:highlight w:val="none"/>
        </w:rPr>
        <w:t xml:space="preserve">1.21 </w:t>
      </w:r>
      <w:r>
        <w:rPr>
          <w:rFonts w:hint="eastAsia" w:ascii="宋体" w:hAnsi="宋体"/>
          <w:color w:val="auto"/>
          <w:kern w:val="0"/>
          <w:sz w:val="24"/>
          <w:szCs w:val="24"/>
          <w:highlight w:val="none"/>
        </w:rPr>
        <w:t>砌体工程施工质量验收规范</w:t>
      </w:r>
      <w:r>
        <w:rPr>
          <w:rFonts w:ascii="宋体" w:hAnsi="宋体"/>
          <w:color w:val="auto"/>
          <w:kern w:val="0"/>
          <w:sz w:val="24"/>
          <w:szCs w:val="24"/>
          <w:highlight w:val="none"/>
        </w:rPr>
        <w:t xml:space="preserve">  (GB50203-2002)</w:t>
      </w:r>
    </w:p>
    <w:p>
      <w:pPr>
        <w:spacing w:line="360" w:lineRule="auto"/>
        <w:ind w:firstLine="360" w:firstLineChars="150"/>
        <w:rPr>
          <w:rFonts w:ascii="宋体" w:hAnsi="宋体"/>
          <w:color w:val="auto"/>
          <w:kern w:val="0"/>
          <w:sz w:val="24"/>
          <w:szCs w:val="24"/>
          <w:highlight w:val="none"/>
        </w:rPr>
      </w:pPr>
      <w:r>
        <w:rPr>
          <w:rFonts w:ascii="宋体" w:hAnsi="宋体"/>
          <w:color w:val="auto"/>
          <w:kern w:val="0"/>
          <w:sz w:val="24"/>
          <w:szCs w:val="24"/>
          <w:highlight w:val="none"/>
        </w:rPr>
        <w:t xml:space="preserve">1.22 </w:t>
      </w:r>
      <w:r>
        <w:rPr>
          <w:rFonts w:hint="eastAsia" w:ascii="宋体" w:hAnsi="宋体"/>
          <w:color w:val="auto"/>
          <w:kern w:val="0"/>
          <w:sz w:val="24"/>
          <w:szCs w:val="24"/>
          <w:highlight w:val="none"/>
        </w:rPr>
        <w:t>钢结构工程施工质量验收规范</w:t>
      </w:r>
      <w:r>
        <w:rPr>
          <w:rFonts w:ascii="宋体" w:hAnsi="宋体"/>
          <w:color w:val="auto"/>
          <w:kern w:val="0"/>
          <w:sz w:val="24"/>
          <w:szCs w:val="24"/>
          <w:highlight w:val="none"/>
        </w:rPr>
        <w:t xml:space="preserve">  (GB50205-2001)</w:t>
      </w:r>
    </w:p>
    <w:p>
      <w:pPr>
        <w:spacing w:line="360" w:lineRule="auto"/>
        <w:ind w:firstLine="360" w:firstLineChars="150"/>
        <w:rPr>
          <w:rFonts w:ascii="宋体" w:hAnsi="宋体"/>
          <w:color w:val="auto"/>
          <w:kern w:val="0"/>
          <w:sz w:val="24"/>
          <w:szCs w:val="24"/>
          <w:highlight w:val="none"/>
        </w:rPr>
      </w:pPr>
      <w:r>
        <w:rPr>
          <w:rFonts w:ascii="宋体" w:hAnsi="宋体"/>
          <w:color w:val="auto"/>
          <w:kern w:val="0"/>
          <w:sz w:val="24"/>
          <w:szCs w:val="24"/>
          <w:highlight w:val="none"/>
        </w:rPr>
        <w:t>1.23</w:t>
      </w:r>
      <w:r>
        <w:rPr>
          <w:rFonts w:hint="eastAsia" w:ascii="宋体" w:hAnsi="宋体"/>
          <w:color w:val="auto"/>
          <w:kern w:val="0"/>
          <w:sz w:val="24"/>
          <w:szCs w:val="24"/>
          <w:highlight w:val="none"/>
        </w:rPr>
        <w:t>建筑地面工程施工质量验收规范</w:t>
      </w:r>
      <w:r>
        <w:rPr>
          <w:rFonts w:ascii="宋体" w:hAnsi="宋体"/>
          <w:color w:val="auto"/>
          <w:kern w:val="0"/>
          <w:sz w:val="24"/>
          <w:szCs w:val="24"/>
          <w:highlight w:val="none"/>
        </w:rPr>
        <w:t xml:space="preserve">  (GB50209-2002)</w:t>
      </w:r>
    </w:p>
    <w:p>
      <w:pPr>
        <w:spacing w:line="360" w:lineRule="auto"/>
        <w:ind w:firstLine="360" w:firstLineChars="150"/>
        <w:rPr>
          <w:rFonts w:ascii="宋体" w:hAnsi="宋体"/>
          <w:color w:val="auto"/>
          <w:kern w:val="0"/>
          <w:sz w:val="24"/>
          <w:szCs w:val="24"/>
          <w:highlight w:val="none"/>
        </w:rPr>
      </w:pPr>
      <w:r>
        <w:rPr>
          <w:rFonts w:ascii="宋体" w:hAnsi="宋体"/>
          <w:color w:val="auto"/>
          <w:kern w:val="0"/>
          <w:sz w:val="24"/>
          <w:szCs w:val="24"/>
          <w:highlight w:val="none"/>
        </w:rPr>
        <w:t xml:space="preserve">1.24 </w:t>
      </w:r>
      <w:r>
        <w:rPr>
          <w:rFonts w:hint="eastAsia" w:ascii="宋体" w:hAnsi="宋体"/>
          <w:color w:val="auto"/>
          <w:kern w:val="0"/>
          <w:sz w:val="24"/>
          <w:szCs w:val="24"/>
          <w:highlight w:val="none"/>
        </w:rPr>
        <w:t>屋面工程质量验收规范</w:t>
      </w:r>
      <w:r>
        <w:rPr>
          <w:rFonts w:ascii="宋体" w:hAnsi="宋体"/>
          <w:color w:val="auto"/>
          <w:kern w:val="0"/>
          <w:sz w:val="24"/>
          <w:szCs w:val="24"/>
          <w:highlight w:val="none"/>
        </w:rPr>
        <w:t xml:space="preserve">  (GB50207-2002)</w:t>
      </w:r>
    </w:p>
    <w:p>
      <w:pPr>
        <w:spacing w:line="360" w:lineRule="auto"/>
        <w:ind w:firstLine="360" w:firstLineChars="150"/>
        <w:rPr>
          <w:rFonts w:ascii="宋体" w:hAnsi="宋体"/>
          <w:color w:val="auto"/>
          <w:kern w:val="0"/>
          <w:sz w:val="24"/>
          <w:szCs w:val="24"/>
          <w:highlight w:val="none"/>
        </w:rPr>
      </w:pPr>
      <w:r>
        <w:rPr>
          <w:rFonts w:ascii="宋体" w:hAnsi="宋体"/>
          <w:color w:val="auto"/>
          <w:kern w:val="0"/>
          <w:sz w:val="24"/>
          <w:szCs w:val="24"/>
          <w:highlight w:val="none"/>
        </w:rPr>
        <w:t xml:space="preserve">1.25 </w:t>
      </w:r>
      <w:r>
        <w:rPr>
          <w:rFonts w:hint="eastAsia" w:ascii="宋体" w:hAnsi="宋体"/>
          <w:color w:val="auto"/>
          <w:kern w:val="0"/>
          <w:sz w:val="24"/>
          <w:szCs w:val="24"/>
          <w:highlight w:val="none"/>
        </w:rPr>
        <w:t>建筑装饰装修工程质量验收规范</w:t>
      </w:r>
      <w:r>
        <w:rPr>
          <w:rFonts w:ascii="宋体" w:hAnsi="宋体"/>
          <w:color w:val="auto"/>
          <w:kern w:val="0"/>
          <w:sz w:val="24"/>
          <w:szCs w:val="24"/>
          <w:highlight w:val="none"/>
        </w:rPr>
        <w:t xml:space="preserve"> (GB50210-2001)</w:t>
      </w:r>
    </w:p>
    <w:p>
      <w:pPr>
        <w:spacing w:line="360" w:lineRule="auto"/>
        <w:ind w:firstLine="360" w:firstLineChars="150"/>
        <w:rPr>
          <w:rFonts w:ascii="宋体" w:hAnsi="宋体"/>
          <w:color w:val="auto"/>
          <w:kern w:val="0"/>
          <w:sz w:val="24"/>
          <w:szCs w:val="24"/>
          <w:highlight w:val="none"/>
        </w:rPr>
      </w:pPr>
      <w:r>
        <w:rPr>
          <w:rFonts w:ascii="宋体" w:hAnsi="宋体"/>
          <w:color w:val="auto"/>
          <w:kern w:val="0"/>
          <w:sz w:val="24"/>
          <w:szCs w:val="24"/>
          <w:highlight w:val="none"/>
        </w:rPr>
        <w:t xml:space="preserve">1.26 </w:t>
      </w:r>
      <w:r>
        <w:rPr>
          <w:rFonts w:hint="eastAsia" w:ascii="宋体" w:hAnsi="宋体"/>
          <w:color w:val="auto"/>
          <w:kern w:val="0"/>
          <w:sz w:val="24"/>
          <w:szCs w:val="24"/>
          <w:highlight w:val="none"/>
        </w:rPr>
        <w:t>建筑给水排水及采暖工程施工质量验收规范</w:t>
      </w:r>
      <w:r>
        <w:rPr>
          <w:rFonts w:ascii="宋体" w:hAnsi="宋体"/>
          <w:color w:val="auto"/>
          <w:kern w:val="0"/>
          <w:sz w:val="24"/>
          <w:szCs w:val="24"/>
          <w:highlight w:val="none"/>
        </w:rPr>
        <w:t>(GB50242-2002)</w:t>
      </w:r>
    </w:p>
    <w:p>
      <w:pPr>
        <w:spacing w:line="360" w:lineRule="auto"/>
        <w:ind w:firstLine="360" w:firstLineChars="150"/>
        <w:rPr>
          <w:rFonts w:ascii="宋体" w:hAnsi="宋体"/>
          <w:color w:val="auto"/>
          <w:kern w:val="0"/>
          <w:sz w:val="24"/>
          <w:szCs w:val="24"/>
          <w:highlight w:val="none"/>
        </w:rPr>
      </w:pPr>
      <w:r>
        <w:rPr>
          <w:rFonts w:ascii="宋体" w:hAnsi="宋体"/>
          <w:color w:val="auto"/>
          <w:kern w:val="0"/>
          <w:sz w:val="24"/>
          <w:szCs w:val="24"/>
          <w:highlight w:val="none"/>
        </w:rPr>
        <w:t xml:space="preserve">1.27 </w:t>
      </w:r>
      <w:r>
        <w:rPr>
          <w:rFonts w:hint="eastAsia" w:ascii="宋体" w:hAnsi="宋体"/>
          <w:color w:val="auto"/>
          <w:kern w:val="0"/>
          <w:sz w:val="24"/>
          <w:szCs w:val="24"/>
          <w:highlight w:val="none"/>
        </w:rPr>
        <w:t>建筑电气工程施工质量验收规范</w:t>
      </w:r>
      <w:r>
        <w:rPr>
          <w:rFonts w:ascii="宋体" w:hAnsi="宋体"/>
          <w:color w:val="auto"/>
          <w:kern w:val="0"/>
          <w:sz w:val="24"/>
          <w:szCs w:val="24"/>
          <w:highlight w:val="none"/>
        </w:rPr>
        <w:t xml:space="preserve"> (GB50303-2002)</w:t>
      </w:r>
    </w:p>
    <w:p>
      <w:pPr>
        <w:spacing w:line="360" w:lineRule="auto"/>
        <w:ind w:firstLine="360" w:firstLineChars="150"/>
        <w:rPr>
          <w:rFonts w:ascii="宋体" w:hAnsi="宋体"/>
          <w:color w:val="auto"/>
          <w:kern w:val="0"/>
          <w:sz w:val="24"/>
          <w:szCs w:val="24"/>
          <w:highlight w:val="none"/>
        </w:rPr>
      </w:pPr>
      <w:r>
        <w:rPr>
          <w:rFonts w:ascii="宋体" w:hAnsi="宋体"/>
          <w:color w:val="auto"/>
          <w:kern w:val="0"/>
          <w:sz w:val="24"/>
          <w:szCs w:val="24"/>
          <w:highlight w:val="none"/>
        </w:rPr>
        <w:t xml:space="preserve">1.28 </w:t>
      </w:r>
      <w:r>
        <w:rPr>
          <w:rFonts w:hint="eastAsia" w:ascii="宋体" w:hAnsi="宋体"/>
          <w:color w:val="auto"/>
          <w:kern w:val="0"/>
          <w:sz w:val="24"/>
          <w:szCs w:val="24"/>
          <w:highlight w:val="none"/>
        </w:rPr>
        <w:t>通风与空调工程施工质量验收规范</w:t>
      </w:r>
      <w:r>
        <w:rPr>
          <w:rFonts w:ascii="宋体" w:hAnsi="宋体"/>
          <w:color w:val="auto"/>
          <w:kern w:val="0"/>
          <w:sz w:val="24"/>
          <w:szCs w:val="24"/>
          <w:highlight w:val="none"/>
        </w:rPr>
        <w:t xml:space="preserve"> (GB50243-2002)</w:t>
      </w:r>
    </w:p>
    <w:p>
      <w:pPr>
        <w:spacing w:line="360" w:lineRule="auto"/>
        <w:ind w:firstLine="360" w:firstLineChars="150"/>
        <w:rPr>
          <w:rFonts w:ascii="宋体" w:hAnsi="宋体"/>
          <w:color w:val="auto"/>
          <w:kern w:val="0"/>
          <w:sz w:val="24"/>
          <w:szCs w:val="24"/>
          <w:highlight w:val="none"/>
        </w:rPr>
      </w:pPr>
      <w:r>
        <w:rPr>
          <w:rFonts w:ascii="宋体" w:hAnsi="宋体"/>
          <w:color w:val="auto"/>
          <w:kern w:val="0"/>
          <w:sz w:val="24"/>
          <w:szCs w:val="24"/>
          <w:highlight w:val="none"/>
        </w:rPr>
        <w:t xml:space="preserve">1.28 </w:t>
      </w:r>
      <w:r>
        <w:rPr>
          <w:rFonts w:hint="eastAsia" w:ascii="宋体" w:hAnsi="宋体"/>
          <w:color w:val="auto"/>
          <w:kern w:val="0"/>
          <w:sz w:val="24"/>
          <w:szCs w:val="24"/>
          <w:highlight w:val="none"/>
        </w:rPr>
        <w:t>施工现场临时用电安全技术规范</w:t>
      </w:r>
      <w:r>
        <w:rPr>
          <w:rFonts w:ascii="宋体" w:hAnsi="宋体"/>
          <w:color w:val="auto"/>
          <w:kern w:val="0"/>
          <w:sz w:val="24"/>
          <w:szCs w:val="24"/>
          <w:highlight w:val="none"/>
        </w:rPr>
        <w:t xml:space="preserve">  (JGJ46-88)</w:t>
      </w:r>
    </w:p>
    <w:p>
      <w:pPr>
        <w:spacing w:line="360" w:lineRule="auto"/>
        <w:ind w:firstLine="360" w:firstLineChars="150"/>
        <w:rPr>
          <w:rFonts w:ascii="宋体" w:hAnsi="宋体"/>
          <w:color w:val="auto"/>
          <w:kern w:val="0"/>
          <w:sz w:val="24"/>
          <w:szCs w:val="24"/>
          <w:highlight w:val="none"/>
        </w:rPr>
      </w:pPr>
      <w:r>
        <w:rPr>
          <w:rFonts w:ascii="宋体" w:hAnsi="宋体"/>
          <w:color w:val="auto"/>
          <w:kern w:val="0"/>
          <w:sz w:val="24"/>
          <w:szCs w:val="24"/>
          <w:highlight w:val="none"/>
        </w:rPr>
        <w:t xml:space="preserve">1.30 </w:t>
      </w:r>
      <w:r>
        <w:rPr>
          <w:rFonts w:hint="eastAsia" w:ascii="宋体" w:hAnsi="宋体"/>
          <w:color w:val="auto"/>
          <w:kern w:val="0"/>
          <w:sz w:val="24"/>
          <w:szCs w:val="24"/>
          <w:highlight w:val="none"/>
        </w:rPr>
        <w:t>建筑施工高处作业安全技术规范</w:t>
      </w:r>
      <w:r>
        <w:rPr>
          <w:rFonts w:ascii="宋体" w:hAnsi="宋体"/>
          <w:color w:val="auto"/>
          <w:kern w:val="0"/>
          <w:sz w:val="24"/>
          <w:szCs w:val="24"/>
          <w:highlight w:val="none"/>
        </w:rPr>
        <w:t xml:space="preserve">  (JGJ80-91)</w:t>
      </w:r>
    </w:p>
    <w:p>
      <w:pPr>
        <w:spacing w:line="360" w:lineRule="auto"/>
        <w:ind w:firstLine="360" w:firstLineChars="150"/>
        <w:rPr>
          <w:rFonts w:ascii="宋体" w:hAnsi="宋体"/>
          <w:color w:val="auto"/>
          <w:kern w:val="0"/>
          <w:sz w:val="24"/>
          <w:szCs w:val="24"/>
          <w:highlight w:val="none"/>
        </w:rPr>
      </w:pPr>
      <w:r>
        <w:rPr>
          <w:rFonts w:ascii="宋体" w:hAnsi="宋体"/>
          <w:color w:val="auto"/>
          <w:kern w:val="0"/>
          <w:sz w:val="24"/>
          <w:szCs w:val="24"/>
          <w:highlight w:val="none"/>
        </w:rPr>
        <w:t xml:space="preserve">1.31 </w:t>
      </w:r>
      <w:r>
        <w:rPr>
          <w:rFonts w:hint="eastAsia" w:ascii="宋体" w:hAnsi="宋体"/>
          <w:color w:val="auto"/>
          <w:kern w:val="0"/>
          <w:sz w:val="24"/>
          <w:szCs w:val="24"/>
          <w:highlight w:val="none"/>
        </w:rPr>
        <w:t>建筑机械使用安全技术规程</w:t>
      </w:r>
      <w:r>
        <w:rPr>
          <w:rFonts w:ascii="宋体" w:hAnsi="宋体"/>
          <w:color w:val="auto"/>
          <w:kern w:val="0"/>
          <w:sz w:val="24"/>
          <w:szCs w:val="24"/>
          <w:highlight w:val="none"/>
        </w:rPr>
        <w:t xml:space="preserve">  (JGJ33-2001/J119-2001)</w:t>
      </w:r>
    </w:p>
    <w:p>
      <w:pPr>
        <w:spacing w:line="360" w:lineRule="auto"/>
        <w:ind w:firstLine="360" w:firstLineChars="150"/>
        <w:rPr>
          <w:rFonts w:ascii="宋体" w:hAnsi="宋体"/>
          <w:color w:val="auto"/>
          <w:kern w:val="0"/>
          <w:sz w:val="24"/>
          <w:szCs w:val="24"/>
          <w:highlight w:val="none"/>
        </w:rPr>
      </w:pPr>
      <w:r>
        <w:rPr>
          <w:rFonts w:ascii="宋体" w:hAnsi="宋体"/>
          <w:color w:val="auto"/>
          <w:kern w:val="0"/>
          <w:sz w:val="24"/>
          <w:szCs w:val="24"/>
          <w:highlight w:val="none"/>
        </w:rPr>
        <w:t xml:space="preserve">1.32 </w:t>
      </w:r>
      <w:r>
        <w:rPr>
          <w:rFonts w:hint="eastAsia" w:ascii="宋体" w:hAnsi="宋体"/>
          <w:color w:val="auto"/>
          <w:kern w:val="0"/>
          <w:sz w:val="24"/>
          <w:szCs w:val="24"/>
          <w:highlight w:val="none"/>
        </w:rPr>
        <w:t>混凝土质量控制标准</w:t>
      </w:r>
      <w:r>
        <w:rPr>
          <w:rFonts w:ascii="宋体" w:hAnsi="宋体"/>
          <w:color w:val="auto"/>
          <w:kern w:val="0"/>
          <w:sz w:val="24"/>
          <w:szCs w:val="24"/>
          <w:highlight w:val="none"/>
        </w:rPr>
        <w:t>(GB50164-92)</w:t>
      </w:r>
    </w:p>
    <w:p>
      <w:pPr>
        <w:spacing w:line="360" w:lineRule="auto"/>
        <w:ind w:firstLine="360" w:firstLineChars="150"/>
        <w:rPr>
          <w:rFonts w:ascii="宋体" w:hAnsi="宋体"/>
          <w:color w:val="auto"/>
          <w:kern w:val="0"/>
          <w:sz w:val="24"/>
          <w:szCs w:val="24"/>
          <w:highlight w:val="none"/>
        </w:rPr>
      </w:pPr>
      <w:r>
        <w:rPr>
          <w:rFonts w:ascii="宋体" w:hAnsi="宋体"/>
          <w:color w:val="auto"/>
          <w:kern w:val="0"/>
          <w:sz w:val="24"/>
          <w:szCs w:val="24"/>
          <w:highlight w:val="none"/>
        </w:rPr>
        <w:t xml:space="preserve">1.33 </w:t>
      </w:r>
      <w:r>
        <w:rPr>
          <w:rFonts w:hint="eastAsia" w:ascii="宋体" w:hAnsi="宋体"/>
          <w:color w:val="auto"/>
          <w:kern w:val="0"/>
          <w:sz w:val="24"/>
          <w:szCs w:val="24"/>
          <w:highlight w:val="none"/>
        </w:rPr>
        <w:t>钢筋混凝土用热轧带肋钢筋（</w:t>
      </w:r>
      <w:r>
        <w:rPr>
          <w:rFonts w:ascii="宋体" w:hAnsi="宋体"/>
          <w:color w:val="auto"/>
          <w:kern w:val="0"/>
          <w:sz w:val="24"/>
          <w:szCs w:val="24"/>
          <w:highlight w:val="none"/>
        </w:rPr>
        <w:t>GB1499.2-2007</w:t>
      </w:r>
      <w:r>
        <w:rPr>
          <w:rFonts w:hint="eastAsia" w:ascii="宋体" w:hAnsi="宋体"/>
          <w:color w:val="auto"/>
          <w:kern w:val="0"/>
          <w:sz w:val="24"/>
          <w:szCs w:val="24"/>
          <w:highlight w:val="none"/>
        </w:rPr>
        <w:t>）</w:t>
      </w:r>
    </w:p>
    <w:p>
      <w:pPr>
        <w:spacing w:line="360" w:lineRule="auto"/>
        <w:ind w:firstLine="360" w:firstLineChars="150"/>
        <w:rPr>
          <w:rFonts w:ascii="宋体" w:hAnsi="宋体"/>
          <w:color w:val="auto"/>
          <w:kern w:val="0"/>
          <w:sz w:val="24"/>
          <w:szCs w:val="24"/>
          <w:highlight w:val="none"/>
        </w:rPr>
      </w:pPr>
      <w:r>
        <w:rPr>
          <w:rFonts w:ascii="宋体" w:hAnsi="宋体"/>
          <w:color w:val="auto"/>
          <w:kern w:val="0"/>
          <w:sz w:val="24"/>
          <w:szCs w:val="24"/>
          <w:highlight w:val="none"/>
        </w:rPr>
        <w:t xml:space="preserve">1.34 </w:t>
      </w:r>
      <w:r>
        <w:rPr>
          <w:rFonts w:hint="eastAsia" w:ascii="宋体" w:hAnsi="宋体"/>
          <w:color w:val="auto"/>
          <w:kern w:val="0"/>
          <w:sz w:val="24"/>
          <w:szCs w:val="24"/>
          <w:highlight w:val="none"/>
        </w:rPr>
        <w:t>硅酸盐水泥、普通硅酸盐水泥</w:t>
      </w:r>
      <w:r>
        <w:rPr>
          <w:rFonts w:ascii="宋体" w:hAnsi="宋体"/>
          <w:color w:val="auto"/>
          <w:kern w:val="0"/>
          <w:sz w:val="24"/>
          <w:szCs w:val="24"/>
          <w:highlight w:val="none"/>
        </w:rPr>
        <w:t>(GB175-1999)</w:t>
      </w:r>
    </w:p>
    <w:p>
      <w:pPr>
        <w:spacing w:line="360" w:lineRule="auto"/>
        <w:ind w:firstLine="360" w:firstLineChars="150"/>
        <w:rPr>
          <w:rFonts w:ascii="宋体" w:hAnsi="宋体"/>
          <w:color w:val="auto"/>
          <w:kern w:val="0"/>
          <w:sz w:val="24"/>
          <w:szCs w:val="24"/>
          <w:highlight w:val="none"/>
        </w:rPr>
      </w:pPr>
      <w:r>
        <w:rPr>
          <w:rFonts w:ascii="宋体" w:hAnsi="宋体"/>
          <w:color w:val="auto"/>
          <w:kern w:val="0"/>
          <w:sz w:val="24"/>
          <w:szCs w:val="24"/>
          <w:highlight w:val="none"/>
        </w:rPr>
        <w:t xml:space="preserve">1.35 </w:t>
      </w:r>
      <w:r>
        <w:rPr>
          <w:rFonts w:hint="eastAsia" w:ascii="宋体" w:hAnsi="宋体"/>
          <w:color w:val="auto"/>
          <w:kern w:val="0"/>
          <w:sz w:val="24"/>
          <w:szCs w:val="24"/>
          <w:highlight w:val="none"/>
        </w:rPr>
        <w:t>粉煤灰混凝土应用技术规范</w:t>
      </w:r>
      <w:r>
        <w:rPr>
          <w:rFonts w:ascii="宋体" w:hAnsi="宋体"/>
          <w:color w:val="auto"/>
          <w:kern w:val="0"/>
          <w:sz w:val="24"/>
          <w:szCs w:val="24"/>
          <w:highlight w:val="none"/>
        </w:rPr>
        <w:t>(GBJ146-90)</w:t>
      </w:r>
    </w:p>
    <w:p>
      <w:pPr>
        <w:spacing w:line="360" w:lineRule="auto"/>
        <w:ind w:firstLine="360" w:firstLineChars="150"/>
        <w:rPr>
          <w:rFonts w:ascii="宋体" w:hAnsi="宋体"/>
          <w:color w:val="auto"/>
          <w:kern w:val="0"/>
          <w:sz w:val="24"/>
          <w:szCs w:val="24"/>
          <w:highlight w:val="none"/>
        </w:rPr>
      </w:pPr>
      <w:r>
        <w:rPr>
          <w:rFonts w:ascii="宋体" w:hAnsi="宋体"/>
          <w:color w:val="auto"/>
          <w:kern w:val="0"/>
          <w:sz w:val="24"/>
          <w:szCs w:val="24"/>
          <w:highlight w:val="none"/>
        </w:rPr>
        <w:t xml:space="preserve">1.36 </w:t>
      </w:r>
      <w:r>
        <w:rPr>
          <w:rFonts w:hint="eastAsia" w:ascii="宋体" w:hAnsi="宋体"/>
          <w:color w:val="auto"/>
          <w:kern w:val="0"/>
          <w:sz w:val="24"/>
          <w:szCs w:val="24"/>
          <w:highlight w:val="none"/>
        </w:rPr>
        <w:t>混凝土强度检验评定标准</w:t>
      </w:r>
      <w:r>
        <w:rPr>
          <w:rFonts w:ascii="宋体" w:hAnsi="宋体"/>
          <w:color w:val="auto"/>
          <w:kern w:val="0"/>
          <w:sz w:val="24"/>
          <w:szCs w:val="24"/>
          <w:highlight w:val="none"/>
        </w:rPr>
        <w:t>(GB/T50107-2010)</w:t>
      </w:r>
    </w:p>
    <w:p>
      <w:pPr>
        <w:spacing w:line="360" w:lineRule="auto"/>
        <w:ind w:firstLine="360" w:firstLineChars="150"/>
        <w:rPr>
          <w:rFonts w:ascii="宋体" w:hAnsi="宋体"/>
          <w:color w:val="auto"/>
          <w:kern w:val="0"/>
          <w:sz w:val="24"/>
          <w:szCs w:val="24"/>
          <w:highlight w:val="none"/>
        </w:rPr>
      </w:pPr>
      <w:r>
        <w:rPr>
          <w:rFonts w:ascii="宋体" w:hAnsi="宋体"/>
          <w:color w:val="auto"/>
          <w:kern w:val="0"/>
          <w:sz w:val="24"/>
          <w:szCs w:val="24"/>
          <w:highlight w:val="none"/>
        </w:rPr>
        <w:t xml:space="preserve">1.37 </w:t>
      </w:r>
      <w:r>
        <w:rPr>
          <w:rFonts w:hint="eastAsia" w:ascii="宋体" w:hAnsi="宋体"/>
          <w:color w:val="auto"/>
          <w:kern w:val="0"/>
          <w:sz w:val="24"/>
          <w:szCs w:val="24"/>
          <w:highlight w:val="none"/>
        </w:rPr>
        <w:t>钢筋焊接及验收规程</w:t>
      </w:r>
      <w:r>
        <w:rPr>
          <w:rFonts w:ascii="宋体" w:hAnsi="宋体"/>
          <w:color w:val="auto"/>
          <w:kern w:val="0"/>
          <w:sz w:val="24"/>
          <w:szCs w:val="24"/>
          <w:highlight w:val="none"/>
        </w:rPr>
        <w:t>(JGJ18-2003/J253-2003)</w:t>
      </w:r>
    </w:p>
    <w:p>
      <w:pPr>
        <w:spacing w:line="360" w:lineRule="auto"/>
        <w:ind w:firstLine="360" w:firstLineChars="150"/>
        <w:rPr>
          <w:rFonts w:ascii="宋体" w:hAnsi="宋体"/>
          <w:color w:val="auto"/>
          <w:kern w:val="0"/>
          <w:sz w:val="24"/>
          <w:szCs w:val="24"/>
          <w:highlight w:val="none"/>
        </w:rPr>
      </w:pPr>
      <w:r>
        <w:rPr>
          <w:rFonts w:ascii="宋体" w:hAnsi="宋体"/>
          <w:color w:val="auto"/>
          <w:kern w:val="0"/>
          <w:sz w:val="24"/>
          <w:szCs w:val="24"/>
          <w:highlight w:val="none"/>
        </w:rPr>
        <w:t xml:space="preserve">1.38 </w:t>
      </w:r>
      <w:r>
        <w:rPr>
          <w:rFonts w:hint="eastAsia" w:ascii="宋体" w:hAnsi="宋体"/>
          <w:color w:val="auto"/>
          <w:kern w:val="0"/>
          <w:sz w:val="24"/>
          <w:szCs w:val="24"/>
          <w:highlight w:val="none"/>
        </w:rPr>
        <w:t>屋面工程技术规范</w:t>
      </w:r>
      <w:r>
        <w:rPr>
          <w:rFonts w:ascii="宋体" w:hAnsi="宋体"/>
          <w:color w:val="auto"/>
          <w:kern w:val="0"/>
          <w:sz w:val="24"/>
          <w:szCs w:val="24"/>
          <w:highlight w:val="none"/>
        </w:rPr>
        <w:t>(GB50345-2004)</w:t>
      </w:r>
    </w:p>
    <w:p>
      <w:pPr>
        <w:spacing w:line="360" w:lineRule="auto"/>
        <w:ind w:firstLine="360" w:firstLineChars="150"/>
        <w:rPr>
          <w:rFonts w:ascii="宋体" w:hAnsi="宋体"/>
          <w:color w:val="auto"/>
          <w:kern w:val="0"/>
          <w:sz w:val="24"/>
          <w:szCs w:val="24"/>
          <w:highlight w:val="none"/>
        </w:rPr>
      </w:pPr>
      <w:r>
        <w:rPr>
          <w:rFonts w:ascii="宋体" w:hAnsi="宋体"/>
          <w:color w:val="auto"/>
          <w:kern w:val="0"/>
          <w:sz w:val="24"/>
          <w:szCs w:val="24"/>
          <w:highlight w:val="none"/>
        </w:rPr>
        <w:t xml:space="preserve">1.39 </w:t>
      </w:r>
      <w:r>
        <w:rPr>
          <w:rFonts w:hint="eastAsia" w:ascii="宋体" w:hAnsi="宋体"/>
          <w:color w:val="auto"/>
          <w:kern w:val="0"/>
          <w:sz w:val="24"/>
          <w:szCs w:val="24"/>
          <w:highlight w:val="none"/>
        </w:rPr>
        <w:t>钢结构工程质量检验评定标准</w:t>
      </w:r>
      <w:r>
        <w:rPr>
          <w:rFonts w:ascii="宋体" w:hAnsi="宋体"/>
          <w:color w:val="auto"/>
          <w:kern w:val="0"/>
          <w:sz w:val="24"/>
          <w:szCs w:val="24"/>
          <w:highlight w:val="none"/>
        </w:rPr>
        <w:t>(GB50221-95)</w:t>
      </w:r>
    </w:p>
    <w:p>
      <w:pPr>
        <w:spacing w:line="360" w:lineRule="auto"/>
        <w:ind w:firstLine="360" w:firstLineChars="150"/>
        <w:rPr>
          <w:rFonts w:ascii="宋体" w:hAnsi="宋体"/>
          <w:color w:val="auto"/>
          <w:kern w:val="0"/>
          <w:sz w:val="24"/>
          <w:szCs w:val="24"/>
          <w:highlight w:val="none"/>
        </w:rPr>
      </w:pPr>
      <w:r>
        <w:rPr>
          <w:rFonts w:ascii="宋体" w:hAnsi="宋体"/>
          <w:color w:val="auto"/>
          <w:kern w:val="0"/>
          <w:sz w:val="24"/>
          <w:szCs w:val="24"/>
          <w:highlight w:val="none"/>
        </w:rPr>
        <w:t xml:space="preserve">1.40 </w:t>
      </w:r>
      <w:r>
        <w:rPr>
          <w:rFonts w:hint="eastAsia" w:ascii="宋体" w:hAnsi="宋体"/>
          <w:color w:val="auto"/>
          <w:kern w:val="0"/>
          <w:sz w:val="24"/>
          <w:szCs w:val="24"/>
          <w:highlight w:val="none"/>
        </w:rPr>
        <w:t>建筑钢结构焊接技术规程</w:t>
      </w:r>
      <w:r>
        <w:rPr>
          <w:rFonts w:ascii="宋体" w:hAnsi="宋体"/>
          <w:color w:val="auto"/>
          <w:kern w:val="0"/>
          <w:sz w:val="24"/>
          <w:szCs w:val="24"/>
          <w:highlight w:val="none"/>
        </w:rPr>
        <w:t>(JGJ81-2002)</w:t>
      </w:r>
    </w:p>
    <w:p>
      <w:pPr>
        <w:spacing w:line="360" w:lineRule="auto"/>
        <w:ind w:firstLine="360" w:firstLineChars="150"/>
        <w:rPr>
          <w:rFonts w:ascii="宋体" w:hAnsi="宋体"/>
          <w:color w:val="auto"/>
          <w:kern w:val="0"/>
          <w:sz w:val="24"/>
          <w:szCs w:val="24"/>
          <w:highlight w:val="none"/>
        </w:rPr>
      </w:pPr>
      <w:r>
        <w:rPr>
          <w:rFonts w:ascii="宋体" w:hAnsi="宋体"/>
          <w:color w:val="auto"/>
          <w:kern w:val="0"/>
          <w:sz w:val="24"/>
          <w:szCs w:val="24"/>
          <w:highlight w:val="none"/>
        </w:rPr>
        <w:t xml:space="preserve">1.41 </w:t>
      </w:r>
      <w:r>
        <w:rPr>
          <w:rFonts w:hint="eastAsia" w:ascii="宋体" w:hAnsi="宋体"/>
          <w:color w:val="auto"/>
          <w:kern w:val="0"/>
          <w:sz w:val="24"/>
          <w:szCs w:val="24"/>
          <w:highlight w:val="none"/>
        </w:rPr>
        <w:t>钢结构、管道涂装技术规程</w:t>
      </w:r>
      <w:r>
        <w:rPr>
          <w:rFonts w:ascii="宋体" w:hAnsi="宋体"/>
          <w:color w:val="auto"/>
          <w:kern w:val="0"/>
          <w:sz w:val="24"/>
          <w:szCs w:val="24"/>
          <w:highlight w:val="none"/>
        </w:rPr>
        <w:t>(YB/T9256-96)</w:t>
      </w:r>
    </w:p>
    <w:p>
      <w:pPr>
        <w:spacing w:line="360" w:lineRule="auto"/>
        <w:ind w:firstLine="360" w:firstLineChars="150"/>
        <w:rPr>
          <w:rFonts w:ascii="宋体" w:hAnsi="宋体"/>
          <w:color w:val="auto"/>
          <w:kern w:val="0"/>
          <w:sz w:val="24"/>
          <w:szCs w:val="24"/>
          <w:highlight w:val="none"/>
        </w:rPr>
      </w:pPr>
      <w:r>
        <w:rPr>
          <w:rFonts w:ascii="宋体" w:hAnsi="宋体"/>
          <w:color w:val="auto"/>
          <w:kern w:val="0"/>
          <w:sz w:val="24"/>
          <w:szCs w:val="24"/>
          <w:highlight w:val="none"/>
        </w:rPr>
        <w:t xml:space="preserve">1.42 </w:t>
      </w:r>
      <w:r>
        <w:rPr>
          <w:rFonts w:hint="eastAsia" w:ascii="宋体" w:hAnsi="宋体"/>
          <w:color w:val="auto"/>
          <w:kern w:val="0"/>
          <w:sz w:val="24"/>
          <w:szCs w:val="24"/>
          <w:highlight w:val="none"/>
        </w:rPr>
        <w:t>网架结构工程质量检验评定标准</w:t>
      </w:r>
      <w:r>
        <w:rPr>
          <w:rFonts w:ascii="宋体" w:hAnsi="宋体"/>
          <w:color w:val="auto"/>
          <w:kern w:val="0"/>
          <w:sz w:val="24"/>
          <w:szCs w:val="24"/>
          <w:highlight w:val="none"/>
        </w:rPr>
        <w:t>(JGJ78-91)</w:t>
      </w:r>
    </w:p>
    <w:p>
      <w:pPr>
        <w:spacing w:line="360" w:lineRule="auto"/>
        <w:ind w:firstLine="360" w:firstLineChars="150"/>
        <w:rPr>
          <w:rFonts w:ascii="宋体" w:hAnsi="宋体"/>
          <w:color w:val="auto"/>
          <w:kern w:val="0"/>
          <w:sz w:val="24"/>
          <w:szCs w:val="24"/>
          <w:highlight w:val="none"/>
        </w:rPr>
      </w:pPr>
      <w:r>
        <w:rPr>
          <w:rFonts w:ascii="宋体" w:hAnsi="宋体"/>
          <w:color w:val="auto"/>
          <w:kern w:val="0"/>
          <w:sz w:val="24"/>
          <w:szCs w:val="24"/>
          <w:highlight w:val="none"/>
        </w:rPr>
        <w:t>1.43</w:t>
      </w:r>
      <w:r>
        <w:rPr>
          <w:rFonts w:hint="eastAsia" w:ascii="宋体" w:hAnsi="宋体"/>
          <w:color w:val="auto"/>
          <w:kern w:val="0"/>
          <w:sz w:val="24"/>
          <w:szCs w:val="24"/>
          <w:highlight w:val="none"/>
        </w:rPr>
        <w:t>《城市绿化工程施工及验收规范》（</w:t>
      </w:r>
      <w:r>
        <w:rPr>
          <w:rFonts w:ascii="宋体" w:hAnsi="宋体"/>
          <w:color w:val="auto"/>
          <w:kern w:val="0"/>
          <w:sz w:val="24"/>
          <w:szCs w:val="24"/>
          <w:highlight w:val="none"/>
        </w:rPr>
        <w:t>CJJ/T82-99</w:t>
      </w:r>
      <w:r>
        <w:rPr>
          <w:rFonts w:hint="eastAsia" w:ascii="宋体" w:hAnsi="宋体"/>
          <w:color w:val="auto"/>
          <w:kern w:val="0"/>
          <w:sz w:val="24"/>
          <w:szCs w:val="24"/>
          <w:highlight w:val="none"/>
        </w:rPr>
        <w:t>）</w:t>
      </w:r>
    </w:p>
    <w:p>
      <w:pPr>
        <w:spacing w:line="360" w:lineRule="auto"/>
        <w:ind w:firstLine="360" w:firstLineChars="150"/>
        <w:rPr>
          <w:rFonts w:ascii="宋体" w:hAnsi="宋体"/>
          <w:color w:val="auto"/>
          <w:kern w:val="0"/>
          <w:sz w:val="24"/>
          <w:szCs w:val="24"/>
          <w:highlight w:val="none"/>
        </w:rPr>
      </w:pPr>
      <w:r>
        <w:rPr>
          <w:rFonts w:ascii="宋体" w:hAnsi="宋体"/>
          <w:color w:val="auto"/>
          <w:kern w:val="0"/>
          <w:sz w:val="24"/>
          <w:szCs w:val="24"/>
          <w:highlight w:val="none"/>
        </w:rPr>
        <w:t>1.44</w:t>
      </w:r>
      <w:r>
        <w:rPr>
          <w:rFonts w:hint="eastAsia" w:ascii="宋体" w:hAnsi="宋体"/>
          <w:color w:val="auto"/>
          <w:kern w:val="0"/>
          <w:sz w:val="24"/>
          <w:szCs w:val="24"/>
          <w:highlight w:val="none"/>
        </w:rPr>
        <w:t>《建筑装饰装修工程质量验收规范》</w:t>
      </w:r>
      <w:r>
        <w:rPr>
          <w:rFonts w:ascii="宋体" w:hAnsi="宋体"/>
          <w:color w:val="auto"/>
          <w:kern w:val="0"/>
          <w:sz w:val="24"/>
          <w:szCs w:val="24"/>
          <w:highlight w:val="none"/>
        </w:rPr>
        <w:t>GB50210-2001</w:t>
      </w:r>
    </w:p>
    <w:p>
      <w:pPr>
        <w:spacing w:line="360" w:lineRule="auto"/>
        <w:ind w:firstLine="360" w:firstLineChars="150"/>
        <w:rPr>
          <w:rFonts w:ascii="宋体" w:hAnsi="宋体"/>
          <w:color w:val="auto"/>
          <w:kern w:val="0"/>
          <w:sz w:val="24"/>
          <w:szCs w:val="24"/>
          <w:highlight w:val="none"/>
        </w:rPr>
      </w:pPr>
      <w:r>
        <w:rPr>
          <w:rFonts w:ascii="宋体" w:hAnsi="宋体"/>
          <w:color w:val="auto"/>
          <w:kern w:val="0"/>
          <w:sz w:val="24"/>
          <w:szCs w:val="24"/>
          <w:highlight w:val="none"/>
        </w:rPr>
        <w:t>1.45</w:t>
      </w:r>
      <w:r>
        <w:rPr>
          <w:rFonts w:hint="eastAsia" w:ascii="宋体" w:hAnsi="宋体"/>
          <w:color w:val="auto"/>
          <w:kern w:val="0"/>
          <w:sz w:val="24"/>
          <w:szCs w:val="24"/>
          <w:highlight w:val="none"/>
        </w:rPr>
        <w:t>《建设工程质量管理条例》（中华人民共和国国务院令第</w:t>
      </w:r>
      <w:r>
        <w:rPr>
          <w:rFonts w:ascii="宋体" w:hAnsi="宋体"/>
          <w:color w:val="auto"/>
          <w:kern w:val="0"/>
          <w:sz w:val="24"/>
          <w:szCs w:val="24"/>
          <w:highlight w:val="none"/>
        </w:rPr>
        <w:t>279</w:t>
      </w:r>
      <w:r>
        <w:rPr>
          <w:rFonts w:hint="eastAsia" w:ascii="宋体" w:hAnsi="宋体"/>
          <w:color w:val="auto"/>
          <w:kern w:val="0"/>
          <w:sz w:val="24"/>
          <w:szCs w:val="24"/>
          <w:highlight w:val="none"/>
        </w:rPr>
        <w:t>号）</w:t>
      </w:r>
    </w:p>
    <w:p>
      <w:pPr>
        <w:spacing w:line="360" w:lineRule="auto"/>
        <w:ind w:firstLine="360" w:firstLineChars="150"/>
        <w:rPr>
          <w:rFonts w:ascii="宋体" w:hAnsi="宋体"/>
          <w:color w:val="auto"/>
          <w:kern w:val="0"/>
          <w:sz w:val="24"/>
          <w:szCs w:val="24"/>
          <w:highlight w:val="none"/>
        </w:rPr>
      </w:pPr>
      <w:r>
        <w:rPr>
          <w:rFonts w:ascii="宋体" w:hAnsi="宋体"/>
          <w:color w:val="auto"/>
          <w:kern w:val="0"/>
          <w:sz w:val="24"/>
          <w:szCs w:val="24"/>
          <w:highlight w:val="none"/>
        </w:rPr>
        <w:t>1.46</w:t>
      </w:r>
      <w:r>
        <w:rPr>
          <w:rFonts w:hint="eastAsia" w:ascii="宋体" w:hAnsi="宋体"/>
          <w:color w:val="auto"/>
          <w:kern w:val="0"/>
          <w:sz w:val="24"/>
          <w:szCs w:val="24"/>
          <w:highlight w:val="none"/>
        </w:rPr>
        <w:t>《建筑电气工程施工质量验收规范》（</w:t>
      </w:r>
      <w:r>
        <w:rPr>
          <w:rFonts w:ascii="宋体" w:hAnsi="宋体"/>
          <w:color w:val="auto"/>
          <w:kern w:val="0"/>
          <w:sz w:val="24"/>
          <w:szCs w:val="24"/>
          <w:highlight w:val="none"/>
        </w:rPr>
        <w:t>GB50303</w:t>
      </w:r>
      <w:r>
        <w:rPr>
          <w:rFonts w:hint="eastAsia" w:ascii="宋体" w:hAnsi="宋体"/>
          <w:color w:val="auto"/>
          <w:kern w:val="0"/>
          <w:sz w:val="24"/>
          <w:szCs w:val="24"/>
          <w:highlight w:val="none"/>
        </w:rPr>
        <w:t>－</w:t>
      </w:r>
      <w:r>
        <w:rPr>
          <w:rFonts w:ascii="宋体" w:hAnsi="宋体"/>
          <w:color w:val="auto"/>
          <w:kern w:val="0"/>
          <w:sz w:val="24"/>
          <w:szCs w:val="24"/>
          <w:highlight w:val="none"/>
        </w:rPr>
        <w:t>2002</w:t>
      </w:r>
      <w:r>
        <w:rPr>
          <w:rFonts w:hint="eastAsia" w:ascii="宋体" w:hAnsi="宋体"/>
          <w:color w:val="auto"/>
          <w:kern w:val="0"/>
          <w:sz w:val="24"/>
          <w:szCs w:val="24"/>
          <w:highlight w:val="none"/>
        </w:rPr>
        <w:t>）</w:t>
      </w:r>
    </w:p>
    <w:p>
      <w:pPr>
        <w:spacing w:line="360" w:lineRule="auto"/>
        <w:ind w:firstLine="360" w:firstLineChars="150"/>
        <w:rPr>
          <w:rFonts w:ascii="宋体" w:hAnsi="宋体"/>
          <w:color w:val="auto"/>
          <w:kern w:val="0"/>
          <w:sz w:val="24"/>
          <w:szCs w:val="24"/>
          <w:highlight w:val="none"/>
        </w:rPr>
      </w:pPr>
      <w:r>
        <w:rPr>
          <w:rFonts w:ascii="宋体" w:hAnsi="宋体"/>
          <w:color w:val="auto"/>
          <w:kern w:val="0"/>
          <w:sz w:val="24"/>
          <w:szCs w:val="24"/>
          <w:highlight w:val="none"/>
        </w:rPr>
        <w:t>1.47</w:t>
      </w:r>
      <w:r>
        <w:rPr>
          <w:rFonts w:hint="eastAsia" w:ascii="宋体" w:hAnsi="宋体"/>
          <w:color w:val="auto"/>
          <w:kern w:val="0"/>
          <w:sz w:val="24"/>
          <w:szCs w:val="24"/>
          <w:highlight w:val="none"/>
        </w:rPr>
        <w:t>《建筑给水排水及采暖工程施工质量验收规范》（</w:t>
      </w:r>
      <w:r>
        <w:rPr>
          <w:rFonts w:ascii="宋体" w:hAnsi="宋体"/>
          <w:color w:val="auto"/>
          <w:kern w:val="0"/>
          <w:sz w:val="24"/>
          <w:szCs w:val="24"/>
          <w:highlight w:val="none"/>
        </w:rPr>
        <w:t>GB50242</w:t>
      </w:r>
      <w:r>
        <w:rPr>
          <w:rFonts w:hint="eastAsia" w:ascii="宋体" w:hAnsi="宋体"/>
          <w:color w:val="auto"/>
          <w:kern w:val="0"/>
          <w:sz w:val="24"/>
          <w:szCs w:val="24"/>
          <w:highlight w:val="none"/>
        </w:rPr>
        <w:t>－</w:t>
      </w:r>
      <w:r>
        <w:rPr>
          <w:rFonts w:ascii="宋体" w:hAnsi="宋体"/>
          <w:color w:val="auto"/>
          <w:kern w:val="0"/>
          <w:sz w:val="24"/>
          <w:szCs w:val="24"/>
          <w:highlight w:val="none"/>
        </w:rPr>
        <w:t>2002</w:t>
      </w:r>
      <w:r>
        <w:rPr>
          <w:rFonts w:hint="eastAsia" w:ascii="宋体" w:hAnsi="宋体"/>
          <w:color w:val="auto"/>
          <w:kern w:val="0"/>
          <w:sz w:val="24"/>
          <w:szCs w:val="24"/>
          <w:highlight w:val="none"/>
        </w:rPr>
        <w:t>）</w:t>
      </w:r>
    </w:p>
    <w:p>
      <w:pPr>
        <w:spacing w:line="360" w:lineRule="auto"/>
        <w:ind w:firstLine="360" w:firstLineChars="150"/>
        <w:rPr>
          <w:rFonts w:ascii="宋体" w:hAnsi="宋体"/>
          <w:color w:val="auto"/>
          <w:kern w:val="0"/>
          <w:sz w:val="24"/>
          <w:szCs w:val="24"/>
          <w:highlight w:val="none"/>
        </w:rPr>
      </w:pPr>
      <w:r>
        <w:rPr>
          <w:rFonts w:ascii="宋体" w:hAnsi="宋体"/>
          <w:color w:val="auto"/>
          <w:kern w:val="0"/>
          <w:sz w:val="24"/>
          <w:szCs w:val="24"/>
          <w:highlight w:val="none"/>
        </w:rPr>
        <w:t>1.48</w:t>
      </w:r>
      <w:r>
        <w:rPr>
          <w:rFonts w:hint="eastAsia" w:ascii="宋体" w:hAnsi="宋体"/>
          <w:color w:val="auto"/>
          <w:kern w:val="0"/>
          <w:sz w:val="24"/>
          <w:szCs w:val="24"/>
          <w:highlight w:val="none"/>
        </w:rPr>
        <w:t>《给水排水管道工程施工及验收规范》（</w:t>
      </w:r>
      <w:r>
        <w:rPr>
          <w:rFonts w:ascii="宋体" w:hAnsi="宋体"/>
          <w:color w:val="auto"/>
          <w:kern w:val="0"/>
          <w:sz w:val="24"/>
          <w:szCs w:val="24"/>
          <w:highlight w:val="none"/>
        </w:rPr>
        <w:t>GB50268-97</w:t>
      </w:r>
      <w:r>
        <w:rPr>
          <w:rFonts w:hint="eastAsia" w:ascii="宋体" w:hAnsi="宋体"/>
          <w:color w:val="auto"/>
          <w:kern w:val="0"/>
          <w:sz w:val="24"/>
          <w:szCs w:val="24"/>
          <w:highlight w:val="none"/>
        </w:rPr>
        <w:t>）</w:t>
      </w:r>
    </w:p>
    <w:p>
      <w:pPr>
        <w:spacing w:line="360" w:lineRule="auto"/>
        <w:ind w:firstLine="360" w:firstLineChars="150"/>
        <w:rPr>
          <w:rFonts w:ascii="宋体" w:hAnsi="宋体"/>
          <w:color w:val="auto"/>
          <w:kern w:val="0"/>
          <w:sz w:val="24"/>
          <w:szCs w:val="24"/>
          <w:highlight w:val="none"/>
        </w:rPr>
      </w:pPr>
      <w:r>
        <w:rPr>
          <w:rFonts w:ascii="宋体" w:hAnsi="宋体"/>
          <w:color w:val="auto"/>
          <w:kern w:val="0"/>
          <w:sz w:val="24"/>
          <w:szCs w:val="24"/>
          <w:highlight w:val="none"/>
        </w:rPr>
        <w:t>1.49</w:t>
      </w:r>
      <w:r>
        <w:rPr>
          <w:rFonts w:hint="eastAsia" w:ascii="宋体" w:hAnsi="宋体"/>
          <w:color w:val="auto"/>
          <w:kern w:val="0"/>
          <w:sz w:val="24"/>
          <w:szCs w:val="24"/>
          <w:highlight w:val="none"/>
        </w:rPr>
        <w:t>《公园设计规范》</w:t>
      </w:r>
      <w:r>
        <w:rPr>
          <w:rFonts w:ascii="宋体" w:hAnsi="宋体"/>
          <w:color w:val="auto"/>
          <w:kern w:val="0"/>
          <w:sz w:val="24"/>
          <w:szCs w:val="24"/>
          <w:highlight w:val="none"/>
        </w:rPr>
        <w:t>CJJ48—92</w:t>
      </w:r>
    </w:p>
    <w:p>
      <w:pPr>
        <w:spacing w:line="360" w:lineRule="auto"/>
        <w:ind w:firstLine="360" w:firstLineChars="150"/>
        <w:rPr>
          <w:rFonts w:ascii="宋体" w:hAnsi="宋体"/>
          <w:color w:val="auto"/>
          <w:kern w:val="0"/>
          <w:sz w:val="24"/>
          <w:szCs w:val="24"/>
          <w:highlight w:val="none"/>
        </w:rPr>
      </w:pPr>
      <w:r>
        <w:rPr>
          <w:rFonts w:ascii="宋体" w:hAnsi="宋体"/>
          <w:color w:val="auto"/>
          <w:kern w:val="0"/>
          <w:sz w:val="24"/>
          <w:szCs w:val="24"/>
          <w:highlight w:val="none"/>
        </w:rPr>
        <w:t>1.50</w:t>
      </w:r>
      <w:r>
        <w:rPr>
          <w:rFonts w:hint="eastAsia" w:ascii="宋体" w:hAnsi="宋体"/>
          <w:color w:val="auto"/>
          <w:kern w:val="0"/>
          <w:sz w:val="24"/>
          <w:szCs w:val="24"/>
          <w:highlight w:val="none"/>
        </w:rPr>
        <w:t>《城市绿地设计规范》</w:t>
      </w:r>
      <w:r>
        <w:rPr>
          <w:rFonts w:ascii="宋体" w:hAnsi="宋体"/>
          <w:color w:val="auto"/>
          <w:kern w:val="0"/>
          <w:sz w:val="24"/>
          <w:szCs w:val="24"/>
          <w:highlight w:val="none"/>
        </w:rPr>
        <w:t>GB50420-2007</w:t>
      </w:r>
    </w:p>
    <w:p>
      <w:pPr>
        <w:spacing w:line="360" w:lineRule="auto"/>
        <w:ind w:firstLine="360" w:firstLineChars="150"/>
        <w:rPr>
          <w:rFonts w:ascii="宋体" w:hAnsi="宋体"/>
          <w:color w:val="auto"/>
          <w:kern w:val="0"/>
          <w:sz w:val="24"/>
          <w:szCs w:val="24"/>
          <w:highlight w:val="none"/>
        </w:rPr>
      </w:pPr>
      <w:r>
        <w:rPr>
          <w:rFonts w:ascii="宋体" w:hAnsi="宋体"/>
          <w:color w:val="auto"/>
          <w:kern w:val="0"/>
          <w:sz w:val="24"/>
          <w:szCs w:val="24"/>
          <w:highlight w:val="none"/>
        </w:rPr>
        <w:t>1.51</w:t>
      </w:r>
      <w:r>
        <w:rPr>
          <w:rFonts w:hint="eastAsia" w:ascii="宋体" w:hAnsi="宋体"/>
          <w:color w:val="auto"/>
          <w:kern w:val="0"/>
          <w:sz w:val="24"/>
          <w:szCs w:val="24"/>
          <w:highlight w:val="none"/>
        </w:rPr>
        <w:t>《城市绿化工程施工及验收规范》</w:t>
      </w:r>
      <w:r>
        <w:rPr>
          <w:rFonts w:ascii="宋体" w:hAnsi="宋体"/>
          <w:color w:val="auto"/>
          <w:kern w:val="0"/>
          <w:sz w:val="24"/>
          <w:szCs w:val="24"/>
          <w:highlight w:val="none"/>
        </w:rPr>
        <w:t>CJJ/T82-99</w:t>
      </w:r>
    </w:p>
    <w:p>
      <w:pPr>
        <w:spacing w:line="360" w:lineRule="auto"/>
        <w:ind w:firstLine="360" w:firstLineChars="150"/>
        <w:rPr>
          <w:rFonts w:ascii="宋体" w:hAnsi="宋体"/>
          <w:color w:val="auto"/>
          <w:kern w:val="0"/>
          <w:sz w:val="24"/>
          <w:szCs w:val="24"/>
          <w:highlight w:val="none"/>
        </w:rPr>
      </w:pPr>
      <w:r>
        <w:rPr>
          <w:rFonts w:hint="eastAsia" w:ascii="宋体" w:hAnsi="宋体"/>
          <w:color w:val="auto"/>
          <w:kern w:val="0"/>
          <w:sz w:val="24"/>
          <w:szCs w:val="24"/>
          <w:highlight w:val="none"/>
        </w:rPr>
        <w:t>注：若建设主管部门颁布新的规范、标准，则按照新的规范、标准执行。</w:t>
      </w:r>
    </w:p>
    <w:p>
      <w:pPr>
        <w:pStyle w:val="2"/>
        <w:jc w:val="center"/>
        <w:rPr>
          <w:rFonts w:ascii="宋体" w:hAnsi="宋体"/>
          <w:color w:val="auto"/>
          <w:sz w:val="24"/>
          <w:highlight w:val="none"/>
        </w:rPr>
      </w:pPr>
      <w:r>
        <w:rPr>
          <w:rFonts w:ascii="宋体" w:hAnsi="宋体"/>
          <w:color w:val="auto"/>
          <w:sz w:val="24"/>
          <w:highlight w:val="none"/>
        </w:rPr>
        <w:br w:type="page"/>
      </w:r>
      <w:bookmarkStart w:id="156" w:name="_Toc21787758"/>
      <w:r>
        <w:rPr>
          <w:rFonts w:hint="eastAsia" w:ascii="宋体" w:hAnsi="宋体"/>
          <w:color w:val="auto"/>
          <w:highlight w:val="none"/>
        </w:rPr>
        <w:t>第八章投标文件格式</w:t>
      </w:r>
      <w:bookmarkEnd w:id="156"/>
    </w:p>
    <w:p>
      <w:pPr>
        <w:spacing w:line="360" w:lineRule="auto"/>
        <w:jc w:val="left"/>
        <w:rPr>
          <w:rFonts w:ascii="宋体" w:hAnsi="宋体"/>
          <w:color w:val="auto"/>
          <w:sz w:val="24"/>
          <w:highlight w:val="none"/>
        </w:rPr>
      </w:pPr>
    </w:p>
    <w:p>
      <w:pPr>
        <w:spacing w:line="360" w:lineRule="auto"/>
        <w:jc w:val="left"/>
        <w:rPr>
          <w:rFonts w:ascii="宋体" w:hAnsi="宋体"/>
          <w:color w:val="auto"/>
          <w:sz w:val="24"/>
          <w:highlight w:val="none"/>
        </w:rPr>
      </w:pPr>
      <w:r>
        <w:rPr>
          <w:rFonts w:ascii="宋体" w:hAnsi="宋体"/>
          <w:color w:val="auto"/>
          <w:sz w:val="24"/>
          <w:highlight w:val="none"/>
        </w:rPr>
        <w:br w:type="page"/>
      </w:r>
    </w:p>
    <w:p>
      <w:pPr>
        <w:spacing w:line="400" w:lineRule="exact"/>
        <w:rPr>
          <w:rFonts w:ascii="宋体" w:hAnsi="宋体"/>
          <w:color w:val="auto"/>
          <w:sz w:val="35"/>
          <w:szCs w:val="35"/>
          <w:highlight w:val="none"/>
        </w:rPr>
      </w:pPr>
    </w:p>
    <w:p>
      <w:pPr>
        <w:spacing w:line="400" w:lineRule="exact"/>
        <w:rPr>
          <w:rFonts w:ascii="宋体" w:hAnsi="宋体"/>
          <w:color w:val="auto"/>
          <w:sz w:val="19"/>
          <w:szCs w:val="19"/>
          <w:highlight w:val="none"/>
        </w:rPr>
      </w:pPr>
    </w:p>
    <w:p>
      <w:pPr>
        <w:spacing w:line="400" w:lineRule="exact"/>
        <w:rPr>
          <w:rFonts w:ascii="宋体" w:hAnsi="宋体"/>
          <w:color w:val="auto"/>
          <w:sz w:val="19"/>
          <w:szCs w:val="19"/>
          <w:highlight w:val="none"/>
        </w:rPr>
      </w:pPr>
    </w:p>
    <w:p>
      <w:pPr>
        <w:jc w:val="center"/>
        <w:rPr>
          <w:rFonts w:hint="eastAsia" w:ascii="宋体" w:hAnsi="宋体" w:eastAsia="宋体"/>
          <w:color w:val="auto"/>
          <w:sz w:val="27"/>
          <w:szCs w:val="27"/>
          <w:highlight w:val="none"/>
          <w:lang w:eastAsia="zh-CN"/>
        </w:rPr>
      </w:pPr>
      <w:r>
        <w:rPr>
          <w:rFonts w:hint="eastAsia" w:ascii="宋体" w:hAnsi="宋体"/>
          <w:b/>
          <w:color w:val="auto"/>
          <w:sz w:val="48"/>
          <w:szCs w:val="48"/>
          <w:highlight w:val="none"/>
          <w:lang w:eastAsia="zh-CN"/>
        </w:rPr>
        <w:t>芳尾涌整治工程施工总承包</w:t>
      </w:r>
    </w:p>
    <w:p>
      <w:pPr>
        <w:spacing w:line="400" w:lineRule="exact"/>
        <w:rPr>
          <w:rFonts w:ascii="宋体" w:hAnsi="宋体"/>
          <w:color w:val="auto"/>
          <w:sz w:val="19"/>
          <w:szCs w:val="19"/>
          <w:highlight w:val="none"/>
        </w:rPr>
      </w:pPr>
    </w:p>
    <w:p>
      <w:pPr>
        <w:spacing w:line="400" w:lineRule="exact"/>
        <w:rPr>
          <w:rFonts w:ascii="宋体" w:hAnsi="宋体"/>
          <w:color w:val="auto"/>
          <w:sz w:val="19"/>
          <w:szCs w:val="19"/>
          <w:highlight w:val="none"/>
        </w:rPr>
      </w:pPr>
    </w:p>
    <w:p>
      <w:pPr>
        <w:spacing w:line="400" w:lineRule="exact"/>
        <w:jc w:val="center"/>
        <w:rPr>
          <w:rFonts w:ascii="宋体" w:hAnsi="宋体"/>
          <w:color w:val="auto"/>
          <w:sz w:val="42"/>
          <w:szCs w:val="42"/>
          <w:highlight w:val="none"/>
        </w:rPr>
      </w:pPr>
      <w:r>
        <w:rPr>
          <w:rFonts w:ascii="宋体" w:hAnsi="宋体"/>
          <w:color w:val="auto"/>
          <w:sz w:val="42"/>
          <w:szCs w:val="42"/>
          <w:highlight w:val="none"/>
        </w:rPr>
        <w:t>投标文件</w:t>
      </w:r>
    </w:p>
    <w:p>
      <w:pPr>
        <w:spacing w:line="400" w:lineRule="exact"/>
        <w:rPr>
          <w:rFonts w:ascii="宋体" w:hAnsi="宋体"/>
          <w:color w:val="auto"/>
          <w:sz w:val="27"/>
          <w:szCs w:val="27"/>
          <w:highlight w:val="none"/>
        </w:rPr>
      </w:pPr>
    </w:p>
    <w:p>
      <w:pPr>
        <w:spacing w:line="400" w:lineRule="exact"/>
        <w:rPr>
          <w:rFonts w:ascii="宋体" w:hAnsi="宋体"/>
          <w:color w:val="auto"/>
          <w:sz w:val="27"/>
          <w:szCs w:val="27"/>
          <w:highlight w:val="none"/>
        </w:rPr>
      </w:pPr>
    </w:p>
    <w:p>
      <w:pPr>
        <w:spacing w:line="400" w:lineRule="exact"/>
        <w:rPr>
          <w:rFonts w:ascii="宋体" w:hAnsi="宋体"/>
          <w:color w:val="auto"/>
          <w:sz w:val="27"/>
          <w:szCs w:val="27"/>
          <w:highlight w:val="none"/>
        </w:rPr>
      </w:pPr>
    </w:p>
    <w:p>
      <w:pPr>
        <w:spacing w:line="400" w:lineRule="exact"/>
        <w:rPr>
          <w:rFonts w:ascii="宋体" w:hAnsi="宋体"/>
          <w:color w:val="auto"/>
          <w:sz w:val="27"/>
          <w:szCs w:val="27"/>
          <w:highlight w:val="none"/>
        </w:rPr>
      </w:pPr>
    </w:p>
    <w:p>
      <w:pPr>
        <w:spacing w:line="400" w:lineRule="exact"/>
        <w:rPr>
          <w:rFonts w:ascii="宋体" w:hAnsi="宋体"/>
          <w:color w:val="auto"/>
          <w:sz w:val="27"/>
          <w:szCs w:val="27"/>
          <w:highlight w:val="none"/>
        </w:rPr>
      </w:pPr>
    </w:p>
    <w:p>
      <w:pPr>
        <w:spacing w:line="400" w:lineRule="exact"/>
        <w:rPr>
          <w:rFonts w:ascii="宋体" w:hAnsi="宋体"/>
          <w:color w:val="auto"/>
          <w:sz w:val="27"/>
          <w:szCs w:val="27"/>
          <w:highlight w:val="none"/>
        </w:rPr>
      </w:pPr>
    </w:p>
    <w:p>
      <w:pPr>
        <w:spacing w:line="400" w:lineRule="exact"/>
        <w:rPr>
          <w:rFonts w:ascii="宋体" w:hAnsi="宋体"/>
          <w:color w:val="auto"/>
          <w:sz w:val="27"/>
          <w:szCs w:val="27"/>
          <w:highlight w:val="none"/>
        </w:rPr>
      </w:pPr>
    </w:p>
    <w:p>
      <w:pPr>
        <w:spacing w:line="400" w:lineRule="exact"/>
        <w:rPr>
          <w:rFonts w:ascii="宋体" w:hAnsi="宋体"/>
          <w:color w:val="auto"/>
          <w:sz w:val="27"/>
          <w:szCs w:val="27"/>
          <w:highlight w:val="none"/>
        </w:rPr>
      </w:pPr>
    </w:p>
    <w:p>
      <w:pPr>
        <w:spacing w:line="400" w:lineRule="exact"/>
        <w:rPr>
          <w:rFonts w:ascii="宋体" w:hAnsi="宋体"/>
          <w:color w:val="auto"/>
          <w:sz w:val="27"/>
          <w:szCs w:val="27"/>
          <w:highlight w:val="none"/>
        </w:rPr>
      </w:pPr>
    </w:p>
    <w:p>
      <w:pPr>
        <w:spacing w:line="400" w:lineRule="exact"/>
        <w:rPr>
          <w:rFonts w:ascii="宋体" w:hAnsi="宋体"/>
          <w:color w:val="auto"/>
          <w:sz w:val="27"/>
          <w:szCs w:val="27"/>
          <w:highlight w:val="none"/>
        </w:rPr>
      </w:pPr>
    </w:p>
    <w:p>
      <w:pPr>
        <w:spacing w:line="400" w:lineRule="exact"/>
        <w:rPr>
          <w:rFonts w:ascii="宋体" w:hAnsi="宋体"/>
          <w:color w:val="auto"/>
          <w:sz w:val="27"/>
          <w:szCs w:val="27"/>
          <w:highlight w:val="none"/>
        </w:rPr>
      </w:pPr>
    </w:p>
    <w:p>
      <w:pPr>
        <w:spacing w:line="400" w:lineRule="exact"/>
        <w:jc w:val="center"/>
        <w:rPr>
          <w:rFonts w:ascii="宋体" w:hAnsi="宋体"/>
          <w:color w:val="auto"/>
          <w:sz w:val="27"/>
          <w:szCs w:val="27"/>
          <w:highlight w:val="none"/>
        </w:rPr>
      </w:pPr>
      <w:r>
        <w:rPr>
          <w:rFonts w:ascii="宋体" w:hAnsi="宋体"/>
          <w:color w:val="auto"/>
          <w:sz w:val="27"/>
          <w:szCs w:val="27"/>
          <w:highlight w:val="none"/>
        </w:rPr>
        <w:t>投标人：</w:t>
      </w:r>
      <w:r>
        <w:rPr>
          <w:rFonts w:hint="eastAsia" w:ascii="宋体" w:hAnsi="宋体"/>
          <w:color w:val="auto"/>
          <w:sz w:val="27"/>
          <w:szCs w:val="27"/>
          <w:highlight w:val="none"/>
          <w:u w:val="single"/>
        </w:rPr>
        <w:t xml:space="preserve">                 </w:t>
      </w:r>
      <w:r>
        <w:rPr>
          <w:rFonts w:ascii="宋体" w:hAnsi="宋体"/>
          <w:color w:val="auto"/>
          <w:sz w:val="27"/>
          <w:szCs w:val="27"/>
          <w:highlight w:val="none"/>
        </w:rPr>
        <w:t>（盖单位章）</w:t>
      </w:r>
    </w:p>
    <w:p>
      <w:pPr>
        <w:spacing w:line="400" w:lineRule="exact"/>
        <w:jc w:val="center"/>
        <w:rPr>
          <w:rFonts w:ascii="宋体" w:hAnsi="宋体"/>
          <w:color w:val="auto"/>
          <w:sz w:val="27"/>
          <w:szCs w:val="27"/>
          <w:highlight w:val="none"/>
          <w:u w:val="single"/>
        </w:rPr>
      </w:pPr>
    </w:p>
    <w:p>
      <w:pPr>
        <w:spacing w:line="360" w:lineRule="auto"/>
        <w:jc w:val="center"/>
        <w:rPr>
          <w:rFonts w:ascii="宋体" w:hAnsi="宋体"/>
          <w:color w:val="auto"/>
          <w:sz w:val="27"/>
          <w:szCs w:val="27"/>
          <w:highlight w:val="none"/>
        </w:rPr>
      </w:pPr>
      <w:bookmarkStart w:id="157" w:name="_Toc359263272"/>
      <w:r>
        <w:rPr>
          <w:rFonts w:hint="eastAsia" w:ascii="宋体" w:hAnsi="宋体"/>
          <w:color w:val="auto"/>
          <w:sz w:val="27"/>
          <w:szCs w:val="27"/>
          <w:highlight w:val="none"/>
        </w:rPr>
        <w:t>202</w:t>
      </w:r>
      <w:r>
        <w:rPr>
          <w:rFonts w:hint="eastAsia" w:ascii="宋体" w:hAnsi="宋体"/>
          <w:color w:val="auto"/>
          <w:sz w:val="27"/>
          <w:szCs w:val="27"/>
          <w:highlight w:val="none"/>
          <w:lang w:val="en-US" w:eastAsia="zh-CN"/>
        </w:rPr>
        <w:t>3</w:t>
      </w:r>
      <w:r>
        <w:rPr>
          <w:rFonts w:ascii="宋体" w:hAnsi="宋体"/>
          <w:color w:val="auto"/>
          <w:sz w:val="27"/>
          <w:szCs w:val="27"/>
          <w:highlight w:val="none"/>
        </w:rPr>
        <w:t>年</w:t>
      </w:r>
      <w:bookmarkEnd w:id="157"/>
      <w:r>
        <w:rPr>
          <w:rFonts w:hint="eastAsia" w:ascii="宋体" w:hAnsi="宋体"/>
          <w:color w:val="auto"/>
          <w:sz w:val="27"/>
          <w:szCs w:val="27"/>
          <w:highlight w:val="none"/>
        </w:rPr>
        <w:t xml:space="preserve">  </w:t>
      </w:r>
      <w:r>
        <w:rPr>
          <w:rFonts w:ascii="宋体" w:hAnsi="宋体"/>
          <w:color w:val="auto"/>
          <w:sz w:val="27"/>
          <w:szCs w:val="27"/>
          <w:highlight w:val="none"/>
        </w:rPr>
        <w:t>月</w:t>
      </w:r>
      <w:r>
        <w:rPr>
          <w:rFonts w:hint="eastAsia" w:ascii="宋体" w:hAnsi="宋体"/>
          <w:color w:val="auto"/>
          <w:sz w:val="27"/>
          <w:szCs w:val="27"/>
          <w:highlight w:val="none"/>
        </w:rPr>
        <w:t xml:space="preserve">  </w:t>
      </w:r>
      <w:r>
        <w:rPr>
          <w:rFonts w:ascii="宋体" w:hAnsi="宋体"/>
          <w:color w:val="auto"/>
          <w:sz w:val="27"/>
          <w:szCs w:val="27"/>
          <w:highlight w:val="none"/>
        </w:rPr>
        <w:t>日</w:t>
      </w:r>
    </w:p>
    <w:p>
      <w:pPr>
        <w:spacing w:line="360" w:lineRule="auto"/>
        <w:jc w:val="center"/>
        <w:rPr>
          <w:rFonts w:ascii="宋体" w:hAnsi="宋体"/>
          <w:color w:val="auto"/>
          <w:sz w:val="27"/>
          <w:szCs w:val="27"/>
          <w:highlight w:val="none"/>
        </w:rPr>
      </w:pPr>
    </w:p>
    <w:p>
      <w:pPr>
        <w:pStyle w:val="3"/>
        <w:numPr>
          <w:ilvl w:val="0"/>
          <w:numId w:val="0"/>
        </w:numPr>
        <w:spacing w:line="400" w:lineRule="exact"/>
        <w:ind w:left="420"/>
        <w:rPr>
          <w:rFonts w:ascii="宋体" w:hAnsi="宋体"/>
          <w:color w:val="auto"/>
          <w:sz w:val="21"/>
          <w:szCs w:val="21"/>
          <w:highlight w:val="none"/>
        </w:rPr>
      </w:pPr>
      <w:r>
        <w:rPr>
          <w:rFonts w:ascii="宋体" w:hAnsi="宋体"/>
          <w:color w:val="auto"/>
          <w:sz w:val="27"/>
          <w:szCs w:val="27"/>
          <w:highlight w:val="none"/>
        </w:rPr>
        <w:br w:type="page"/>
      </w:r>
      <w:bookmarkStart w:id="158" w:name="_Toc229305418"/>
      <w:bookmarkStart w:id="159" w:name="_Toc21787759"/>
      <w:bookmarkStart w:id="160" w:name="_Toc477711671"/>
      <w:bookmarkStart w:id="161" w:name="_Toc174784340"/>
      <w:r>
        <w:rPr>
          <w:rFonts w:ascii="宋体" w:hAnsi="宋体"/>
          <w:color w:val="auto"/>
          <w:sz w:val="21"/>
          <w:szCs w:val="21"/>
          <w:highlight w:val="none"/>
        </w:rPr>
        <w:t>评标要素索引表</w:t>
      </w:r>
      <w:bookmarkEnd w:id="158"/>
      <w:bookmarkEnd w:id="159"/>
      <w:bookmarkEnd w:id="160"/>
      <w:bookmarkEnd w:id="161"/>
    </w:p>
    <w:p>
      <w:pPr>
        <w:rPr>
          <w:rFonts w:ascii="宋体" w:hAnsi="宋体"/>
          <w:color w:val="auto"/>
          <w:szCs w:val="21"/>
          <w:highlight w:val="none"/>
        </w:rPr>
      </w:pPr>
    </w:p>
    <w:p>
      <w:pPr>
        <w:adjustRightInd w:val="0"/>
        <w:snapToGrid w:val="0"/>
        <w:spacing w:after="156" w:afterLines="50" w:line="400" w:lineRule="exact"/>
        <w:jc w:val="center"/>
        <w:rPr>
          <w:rFonts w:ascii="宋体" w:hAnsi="宋体"/>
          <w:b/>
          <w:color w:val="auto"/>
          <w:szCs w:val="21"/>
          <w:highlight w:val="none"/>
        </w:rPr>
      </w:pPr>
      <w:r>
        <w:rPr>
          <w:rFonts w:ascii="宋体" w:hAnsi="宋体"/>
          <w:b/>
          <w:color w:val="auto"/>
          <w:szCs w:val="21"/>
          <w:highlight w:val="none"/>
        </w:rPr>
        <w:t>评标要素索引表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5580"/>
        <w:gridCol w:w="2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pPr>
              <w:adjustRightInd w:val="0"/>
              <w:snapToGrid w:val="0"/>
              <w:spacing w:line="400" w:lineRule="exact"/>
              <w:jc w:val="center"/>
              <w:rPr>
                <w:rFonts w:ascii="宋体" w:hAnsi="宋体"/>
                <w:b/>
                <w:color w:val="auto"/>
                <w:szCs w:val="21"/>
                <w:highlight w:val="none"/>
              </w:rPr>
            </w:pPr>
            <w:r>
              <w:rPr>
                <w:rFonts w:ascii="宋体" w:hAnsi="宋体"/>
                <w:b/>
                <w:color w:val="auto"/>
                <w:szCs w:val="21"/>
                <w:highlight w:val="none"/>
              </w:rPr>
              <w:t>序号</w:t>
            </w:r>
          </w:p>
        </w:tc>
        <w:tc>
          <w:tcPr>
            <w:tcW w:w="5580" w:type="dxa"/>
            <w:vAlign w:val="center"/>
          </w:tcPr>
          <w:p>
            <w:pPr>
              <w:adjustRightInd w:val="0"/>
              <w:snapToGrid w:val="0"/>
              <w:spacing w:line="400" w:lineRule="exact"/>
              <w:jc w:val="center"/>
              <w:rPr>
                <w:rFonts w:ascii="宋体" w:hAnsi="宋体"/>
                <w:b/>
                <w:color w:val="auto"/>
                <w:szCs w:val="21"/>
                <w:highlight w:val="none"/>
              </w:rPr>
            </w:pPr>
            <w:r>
              <w:rPr>
                <w:rFonts w:ascii="宋体" w:hAnsi="宋体"/>
                <w:b/>
                <w:color w:val="auto"/>
                <w:szCs w:val="21"/>
                <w:highlight w:val="none"/>
              </w:rPr>
              <w:t>评审内容</w:t>
            </w:r>
          </w:p>
        </w:tc>
        <w:tc>
          <w:tcPr>
            <w:tcW w:w="2120" w:type="dxa"/>
            <w:vAlign w:val="center"/>
          </w:tcPr>
          <w:p>
            <w:pPr>
              <w:adjustRightInd w:val="0"/>
              <w:snapToGrid w:val="0"/>
              <w:spacing w:line="400" w:lineRule="exact"/>
              <w:jc w:val="center"/>
              <w:rPr>
                <w:rFonts w:ascii="宋体" w:hAnsi="宋体"/>
                <w:b/>
                <w:color w:val="auto"/>
                <w:szCs w:val="21"/>
                <w:highlight w:val="none"/>
              </w:rPr>
            </w:pPr>
            <w:r>
              <w:rPr>
                <w:rFonts w:ascii="宋体" w:hAnsi="宋体"/>
                <w:b/>
                <w:color w:val="auto"/>
                <w:szCs w:val="21"/>
                <w:highlight w:val="none"/>
              </w:rPr>
              <w:t>投标文件页码范围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28" w:type="dxa"/>
            <w:vAlign w:val="center"/>
          </w:tcPr>
          <w:p>
            <w:pPr>
              <w:adjustRightInd w:val="0"/>
              <w:snapToGrid w:val="0"/>
              <w:spacing w:line="400" w:lineRule="exact"/>
              <w:jc w:val="center"/>
              <w:rPr>
                <w:rFonts w:ascii="宋体" w:hAnsi="宋体"/>
                <w:b/>
                <w:bCs/>
                <w:color w:val="auto"/>
                <w:szCs w:val="21"/>
                <w:highlight w:val="none"/>
              </w:rPr>
            </w:pPr>
          </w:p>
        </w:tc>
        <w:tc>
          <w:tcPr>
            <w:tcW w:w="5580" w:type="dxa"/>
            <w:vAlign w:val="center"/>
          </w:tcPr>
          <w:p>
            <w:pPr>
              <w:adjustRightInd w:val="0"/>
              <w:snapToGrid w:val="0"/>
              <w:spacing w:line="400" w:lineRule="exact"/>
              <w:jc w:val="center"/>
              <w:rPr>
                <w:rFonts w:ascii="宋体" w:hAnsi="宋体"/>
                <w:bCs/>
                <w:color w:val="auto"/>
                <w:szCs w:val="21"/>
                <w:highlight w:val="none"/>
                <w:u w:val="single"/>
              </w:rPr>
            </w:pPr>
          </w:p>
        </w:tc>
        <w:tc>
          <w:tcPr>
            <w:tcW w:w="2120" w:type="dxa"/>
            <w:vAlign w:val="center"/>
          </w:tcPr>
          <w:p>
            <w:pPr>
              <w:adjustRightInd w:val="0"/>
              <w:snapToGrid w:val="0"/>
              <w:spacing w:line="400" w:lineRule="exact"/>
              <w:rPr>
                <w:rFonts w:ascii="宋体" w:hAnsi="宋体"/>
                <w:bCs/>
                <w:color w:val="auto"/>
                <w:szCs w:val="21"/>
                <w:highlight w:val="none"/>
                <w:u w:val="single"/>
              </w:rPr>
            </w:pPr>
            <w:r>
              <w:rPr>
                <w:rFonts w:ascii="宋体" w:hAnsi="宋体"/>
                <w:bCs/>
                <w:color w:val="auto"/>
                <w:szCs w:val="21"/>
                <w:highlight w:val="none"/>
              </w:rPr>
              <w:t>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28" w:type="dxa"/>
            <w:vAlign w:val="center"/>
          </w:tcPr>
          <w:p>
            <w:pPr>
              <w:adjustRightInd w:val="0"/>
              <w:snapToGrid w:val="0"/>
              <w:spacing w:line="400" w:lineRule="exact"/>
              <w:jc w:val="center"/>
              <w:rPr>
                <w:rFonts w:ascii="宋体" w:hAnsi="宋体"/>
                <w:b/>
                <w:bCs/>
                <w:color w:val="auto"/>
                <w:szCs w:val="21"/>
                <w:highlight w:val="none"/>
              </w:rPr>
            </w:pPr>
          </w:p>
        </w:tc>
        <w:tc>
          <w:tcPr>
            <w:tcW w:w="5580" w:type="dxa"/>
            <w:vAlign w:val="center"/>
          </w:tcPr>
          <w:p>
            <w:pPr>
              <w:adjustRightInd w:val="0"/>
              <w:snapToGrid w:val="0"/>
              <w:spacing w:line="400" w:lineRule="exact"/>
              <w:jc w:val="center"/>
              <w:rPr>
                <w:rFonts w:ascii="宋体" w:hAnsi="宋体"/>
                <w:bCs/>
                <w:color w:val="auto"/>
                <w:szCs w:val="21"/>
                <w:highlight w:val="none"/>
              </w:rPr>
            </w:pPr>
          </w:p>
        </w:tc>
        <w:tc>
          <w:tcPr>
            <w:tcW w:w="2120" w:type="dxa"/>
            <w:vAlign w:val="center"/>
          </w:tcPr>
          <w:p>
            <w:pPr>
              <w:adjustRightInd w:val="0"/>
              <w:snapToGrid w:val="0"/>
              <w:spacing w:line="400" w:lineRule="exact"/>
              <w:rPr>
                <w:rFonts w:ascii="宋体" w:hAnsi="宋体"/>
                <w:bCs/>
                <w:color w:val="auto"/>
                <w:szCs w:val="21"/>
                <w:highlight w:val="none"/>
              </w:rPr>
            </w:pPr>
            <w:r>
              <w:rPr>
                <w:rFonts w:ascii="宋体" w:hAnsi="宋体"/>
                <w:bCs/>
                <w:color w:val="auto"/>
                <w:szCs w:val="21"/>
                <w:highlight w:val="none"/>
              </w:rPr>
              <w:t>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28" w:type="dxa"/>
            <w:vAlign w:val="center"/>
          </w:tcPr>
          <w:p>
            <w:pPr>
              <w:adjustRightInd w:val="0"/>
              <w:snapToGrid w:val="0"/>
              <w:spacing w:line="400" w:lineRule="exact"/>
              <w:jc w:val="center"/>
              <w:rPr>
                <w:rFonts w:ascii="宋体" w:hAnsi="宋体"/>
                <w:b/>
                <w:bCs/>
                <w:color w:val="auto"/>
                <w:szCs w:val="21"/>
                <w:highlight w:val="none"/>
              </w:rPr>
            </w:pPr>
          </w:p>
        </w:tc>
        <w:tc>
          <w:tcPr>
            <w:tcW w:w="5580" w:type="dxa"/>
            <w:vAlign w:val="center"/>
          </w:tcPr>
          <w:p>
            <w:pPr>
              <w:adjustRightInd w:val="0"/>
              <w:snapToGrid w:val="0"/>
              <w:spacing w:line="400" w:lineRule="exact"/>
              <w:jc w:val="center"/>
              <w:rPr>
                <w:rFonts w:ascii="宋体" w:hAnsi="宋体"/>
                <w:bCs/>
                <w:color w:val="auto"/>
                <w:szCs w:val="21"/>
                <w:highlight w:val="none"/>
              </w:rPr>
            </w:pPr>
          </w:p>
        </w:tc>
        <w:tc>
          <w:tcPr>
            <w:tcW w:w="2120" w:type="dxa"/>
            <w:vAlign w:val="center"/>
          </w:tcPr>
          <w:p>
            <w:pPr>
              <w:adjustRightInd w:val="0"/>
              <w:snapToGrid w:val="0"/>
              <w:spacing w:line="400" w:lineRule="exact"/>
              <w:rPr>
                <w:rFonts w:ascii="宋体" w:hAnsi="宋体"/>
                <w:bCs/>
                <w:color w:val="auto"/>
                <w:szCs w:val="21"/>
                <w:highlight w:val="none"/>
              </w:rPr>
            </w:pPr>
            <w:r>
              <w:rPr>
                <w:rFonts w:ascii="宋体" w:hAnsi="宋体"/>
                <w:bCs/>
                <w:color w:val="auto"/>
                <w:szCs w:val="21"/>
                <w:highlight w:val="none"/>
              </w:rPr>
              <w:t>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28" w:type="dxa"/>
            <w:vAlign w:val="center"/>
          </w:tcPr>
          <w:p>
            <w:pPr>
              <w:adjustRightInd w:val="0"/>
              <w:snapToGrid w:val="0"/>
              <w:spacing w:line="400" w:lineRule="exact"/>
              <w:jc w:val="center"/>
              <w:rPr>
                <w:rFonts w:ascii="宋体" w:hAnsi="宋体"/>
                <w:b/>
                <w:bCs/>
                <w:color w:val="auto"/>
                <w:szCs w:val="21"/>
                <w:highlight w:val="none"/>
              </w:rPr>
            </w:pPr>
          </w:p>
        </w:tc>
        <w:tc>
          <w:tcPr>
            <w:tcW w:w="5580" w:type="dxa"/>
            <w:vAlign w:val="center"/>
          </w:tcPr>
          <w:p>
            <w:pPr>
              <w:adjustRightInd w:val="0"/>
              <w:snapToGrid w:val="0"/>
              <w:spacing w:line="400" w:lineRule="exact"/>
              <w:jc w:val="center"/>
              <w:rPr>
                <w:rFonts w:ascii="宋体" w:hAnsi="宋体"/>
                <w:bCs/>
                <w:color w:val="auto"/>
                <w:szCs w:val="21"/>
                <w:highlight w:val="none"/>
              </w:rPr>
            </w:pPr>
          </w:p>
        </w:tc>
        <w:tc>
          <w:tcPr>
            <w:tcW w:w="2120" w:type="dxa"/>
            <w:vAlign w:val="center"/>
          </w:tcPr>
          <w:p>
            <w:pPr>
              <w:adjustRightInd w:val="0"/>
              <w:snapToGrid w:val="0"/>
              <w:spacing w:line="400" w:lineRule="exact"/>
              <w:rPr>
                <w:rFonts w:ascii="宋体" w:hAnsi="宋体"/>
                <w:bCs/>
                <w:color w:val="auto"/>
                <w:szCs w:val="21"/>
                <w:highlight w:val="none"/>
              </w:rPr>
            </w:pPr>
            <w:r>
              <w:rPr>
                <w:rFonts w:ascii="宋体" w:hAnsi="宋体"/>
                <w:bCs/>
                <w:color w:val="auto"/>
                <w:szCs w:val="21"/>
                <w:highlight w:val="none"/>
              </w:rPr>
              <w:t>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28" w:type="dxa"/>
            <w:vAlign w:val="center"/>
          </w:tcPr>
          <w:p>
            <w:pPr>
              <w:adjustRightInd w:val="0"/>
              <w:snapToGrid w:val="0"/>
              <w:spacing w:line="400" w:lineRule="exact"/>
              <w:jc w:val="center"/>
              <w:rPr>
                <w:rFonts w:ascii="宋体" w:hAnsi="宋体"/>
                <w:b/>
                <w:bCs/>
                <w:color w:val="auto"/>
                <w:szCs w:val="21"/>
                <w:highlight w:val="none"/>
              </w:rPr>
            </w:pPr>
          </w:p>
        </w:tc>
        <w:tc>
          <w:tcPr>
            <w:tcW w:w="5580" w:type="dxa"/>
            <w:vAlign w:val="center"/>
          </w:tcPr>
          <w:p>
            <w:pPr>
              <w:adjustRightInd w:val="0"/>
              <w:snapToGrid w:val="0"/>
              <w:spacing w:line="400" w:lineRule="exact"/>
              <w:jc w:val="center"/>
              <w:rPr>
                <w:rFonts w:ascii="宋体" w:hAnsi="宋体"/>
                <w:bCs/>
                <w:color w:val="auto"/>
                <w:szCs w:val="21"/>
                <w:highlight w:val="none"/>
              </w:rPr>
            </w:pPr>
          </w:p>
        </w:tc>
        <w:tc>
          <w:tcPr>
            <w:tcW w:w="2120" w:type="dxa"/>
            <w:vAlign w:val="center"/>
          </w:tcPr>
          <w:p>
            <w:pPr>
              <w:adjustRightInd w:val="0"/>
              <w:snapToGrid w:val="0"/>
              <w:spacing w:line="400" w:lineRule="exact"/>
              <w:rPr>
                <w:rFonts w:ascii="宋体" w:hAnsi="宋体"/>
                <w:bCs/>
                <w:color w:val="auto"/>
                <w:szCs w:val="21"/>
                <w:highlight w:val="none"/>
              </w:rPr>
            </w:pPr>
            <w:r>
              <w:rPr>
                <w:rFonts w:ascii="宋体" w:hAnsi="宋体"/>
                <w:bCs/>
                <w:color w:val="auto"/>
                <w:szCs w:val="21"/>
                <w:highlight w:val="none"/>
              </w:rPr>
              <w:t>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28" w:type="dxa"/>
            <w:vAlign w:val="center"/>
          </w:tcPr>
          <w:p>
            <w:pPr>
              <w:adjustRightInd w:val="0"/>
              <w:snapToGrid w:val="0"/>
              <w:spacing w:line="400" w:lineRule="exact"/>
              <w:jc w:val="center"/>
              <w:rPr>
                <w:rFonts w:ascii="宋体" w:hAnsi="宋体"/>
                <w:b/>
                <w:bCs/>
                <w:color w:val="auto"/>
                <w:szCs w:val="21"/>
                <w:highlight w:val="none"/>
              </w:rPr>
            </w:pPr>
          </w:p>
        </w:tc>
        <w:tc>
          <w:tcPr>
            <w:tcW w:w="5580" w:type="dxa"/>
            <w:vAlign w:val="center"/>
          </w:tcPr>
          <w:p>
            <w:pPr>
              <w:adjustRightInd w:val="0"/>
              <w:snapToGrid w:val="0"/>
              <w:spacing w:line="400" w:lineRule="exact"/>
              <w:jc w:val="center"/>
              <w:rPr>
                <w:rFonts w:ascii="宋体" w:hAnsi="宋体"/>
                <w:bCs/>
                <w:color w:val="auto"/>
                <w:szCs w:val="21"/>
                <w:highlight w:val="none"/>
              </w:rPr>
            </w:pPr>
          </w:p>
        </w:tc>
        <w:tc>
          <w:tcPr>
            <w:tcW w:w="2120" w:type="dxa"/>
            <w:vAlign w:val="center"/>
          </w:tcPr>
          <w:p>
            <w:pPr>
              <w:adjustRightInd w:val="0"/>
              <w:snapToGrid w:val="0"/>
              <w:spacing w:line="400" w:lineRule="exact"/>
              <w:rPr>
                <w:rFonts w:ascii="宋体" w:hAnsi="宋体"/>
                <w:bCs/>
                <w:color w:val="auto"/>
                <w:szCs w:val="21"/>
                <w:highlight w:val="none"/>
                <w:u w:val="single"/>
              </w:rPr>
            </w:pPr>
            <w:r>
              <w:rPr>
                <w:rFonts w:ascii="宋体" w:hAnsi="宋体"/>
                <w:bCs/>
                <w:color w:val="auto"/>
                <w:szCs w:val="21"/>
                <w:highlight w:val="none"/>
              </w:rPr>
              <w:t>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28" w:type="dxa"/>
            <w:vAlign w:val="center"/>
          </w:tcPr>
          <w:p>
            <w:pPr>
              <w:adjustRightInd w:val="0"/>
              <w:snapToGrid w:val="0"/>
              <w:spacing w:line="400" w:lineRule="exact"/>
              <w:jc w:val="center"/>
              <w:rPr>
                <w:rFonts w:ascii="宋体" w:hAnsi="宋体"/>
                <w:b/>
                <w:bCs/>
                <w:color w:val="auto"/>
                <w:szCs w:val="21"/>
                <w:highlight w:val="none"/>
              </w:rPr>
            </w:pPr>
          </w:p>
        </w:tc>
        <w:tc>
          <w:tcPr>
            <w:tcW w:w="5580" w:type="dxa"/>
            <w:vAlign w:val="center"/>
          </w:tcPr>
          <w:p>
            <w:pPr>
              <w:adjustRightInd w:val="0"/>
              <w:snapToGrid w:val="0"/>
              <w:spacing w:line="400" w:lineRule="exact"/>
              <w:jc w:val="center"/>
              <w:rPr>
                <w:rFonts w:ascii="宋体" w:hAnsi="宋体"/>
                <w:bCs/>
                <w:color w:val="auto"/>
                <w:szCs w:val="21"/>
                <w:highlight w:val="none"/>
              </w:rPr>
            </w:pPr>
          </w:p>
        </w:tc>
        <w:tc>
          <w:tcPr>
            <w:tcW w:w="2120" w:type="dxa"/>
            <w:vAlign w:val="center"/>
          </w:tcPr>
          <w:p>
            <w:pPr>
              <w:adjustRightInd w:val="0"/>
              <w:snapToGrid w:val="0"/>
              <w:spacing w:line="400" w:lineRule="exact"/>
              <w:rPr>
                <w:rFonts w:ascii="宋体" w:hAnsi="宋体"/>
                <w:bCs/>
                <w:color w:val="auto"/>
                <w:szCs w:val="21"/>
                <w:highlight w:val="none"/>
              </w:rPr>
            </w:pPr>
            <w:r>
              <w:rPr>
                <w:rFonts w:ascii="宋体" w:hAnsi="宋体"/>
                <w:bCs/>
                <w:color w:val="auto"/>
                <w:szCs w:val="21"/>
                <w:highlight w:val="none"/>
              </w:rPr>
              <w:t>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28" w:type="dxa"/>
            <w:vAlign w:val="center"/>
          </w:tcPr>
          <w:p>
            <w:pPr>
              <w:adjustRightInd w:val="0"/>
              <w:snapToGrid w:val="0"/>
              <w:spacing w:line="400" w:lineRule="exact"/>
              <w:jc w:val="center"/>
              <w:rPr>
                <w:rFonts w:ascii="宋体" w:hAnsi="宋体"/>
                <w:b/>
                <w:bCs/>
                <w:color w:val="auto"/>
                <w:szCs w:val="21"/>
                <w:highlight w:val="none"/>
              </w:rPr>
            </w:pPr>
          </w:p>
        </w:tc>
        <w:tc>
          <w:tcPr>
            <w:tcW w:w="5580" w:type="dxa"/>
            <w:vAlign w:val="center"/>
          </w:tcPr>
          <w:p>
            <w:pPr>
              <w:adjustRightInd w:val="0"/>
              <w:snapToGrid w:val="0"/>
              <w:spacing w:line="400" w:lineRule="exact"/>
              <w:jc w:val="center"/>
              <w:rPr>
                <w:rFonts w:ascii="宋体" w:hAnsi="宋体"/>
                <w:bCs/>
                <w:color w:val="auto"/>
                <w:szCs w:val="21"/>
                <w:highlight w:val="none"/>
              </w:rPr>
            </w:pPr>
          </w:p>
        </w:tc>
        <w:tc>
          <w:tcPr>
            <w:tcW w:w="2120" w:type="dxa"/>
            <w:vAlign w:val="center"/>
          </w:tcPr>
          <w:p>
            <w:pPr>
              <w:adjustRightInd w:val="0"/>
              <w:snapToGrid w:val="0"/>
              <w:spacing w:line="400" w:lineRule="exact"/>
              <w:rPr>
                <w:rFonts w:ascii="宋体" w:hAnsi="宋体"/>
                <w:bCs/>
                <w:color w:val="auto"/>
                <w:szCs w:val="21"/>
                <w:highlight w:val="none"/>
              </w:rPr>
            </w:pPr>
            <w:r>
              <w:rPr>
                <w:rFonts w:ascii="宋体" w:hAnsi="宋体"/>
                <w:bCs/>
                <w:color w:val="auto"/>
                <w:szCs w:val="21"/>
                <w:highlight w:val="none"/>
              </w:rPr>
              <w:t>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28" w:type="dxa"/>
            <w:vAlign w:val="center"/>
          </w:tcPr>
          <w:p>
            <w:pPr>
              <w:adjustRightInd w:val="0"/>
              <w:snapToGrid w:val="0"/>
              <w:spacing w:line="400" w:lineRule="exact"/>
              <w:jc w:val="center"/>
              <w:rPr>
                <w:rFonts w:ascii="宋体" w:hAnsi="宋体"/>
                <w:bCs/>
                <w:color w:val="auto"/>
                <w:szCs w:val="21"/>
                <w:highlight w:val="none"/>
              </w:rPr>
            </w:pPr>
          </w:p>
        </w:tc>
        <w:tc>
          <w:tcPr>
            <w:tcW w:w="5580" w:type="dxa"/>
            <w:vAlign w:val="center"/>
          </w:tcPr>
          <w:p>
            <w:pPr>
              <w:adjustRightInd w:val="0"/>
              <w:snapToGrid w:val="0"/>
              <w:spacing w:line="400" w:lineRule="exact"/>
              <w:jc w:val="center"/>
              <w:rPr>
                <w:rFonts w:ascii="宋体" w:hAnsi="宋体"/>
                <w:bCs/>
                <w:color w:val="auto"/>
                <w:szCs w:val="21"/>
                <w:highlight w:val="none"/>
              </w:rPr>
            </w:pPr>
          </w:p>
        </w:tc>
        <w:tc>
          <w:tcPr>
            <w:tcW w:w="2120" w:type="dxa"/>
            <w:vAlign w:val="center"/>
          </w:tcPr>
          <w:p>
            <w:pPr>
              <w:adjustRightInd w:val="0"/>
              <w:snapToGrid w:val="0"/>
              <w:spacing w:line="400" w:lineRule="exact"/>
              <w:rPr>
                <w:rFonts w:ascii="宋体" w:hAnsi="宋体"/>
                <w:bCs/>
                <w:color w:val="auto"/>
                <w:szCs w:val="21"/>
                <w:highlight w:val="none"/>
              </w:rPr>
            </w:pPr>
            <w:r>
              <w:rPr>
                <w:rFonts w:ascii="宋体" w:hAnsi="宋体"/>
                <w:bCs/>
                <w:color w:val="auto"/>
                <w:szCs w:val="21"/>
                <w:highlight w:val="none"/>
              </w:rPr>
              <w:t>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28" w:type="dxa"/>
            <w:vAlign w:val="center"/>
          </w:tcPr>
          <w:p>
            <w:pPr>
              <w:adjustRightInd w:val="0"/>
              <w:snapToGrid w:val="0"/>
              <w:spacing w:line="400" w:lineRule="exact"/>
              <w:jc w:val="center"/>
              <w:rPr>
                <w:rFonts w:ascii="宋体" w:hAnsi="宋体"/>
                <w:bCs/>
                <w:color w:val="auto"/>
                <w:szCs w:val="21"/>
                <w:highlight w:val="none"/>
              </w:rPr>
            </w:pPr>
          </w:p>
        </w:tc>
        <w:tc>
          <w:tcPr>
            <w:tcW w:w="5580" w:type="dxa"/>
            <w:vAlign w:val="center"/>
          </w:tcPr>
          <w:p>
            <w:pPr>
              <w:adjustRightInd w:val="0"/>
              <w:snapToGrid w:val="0"/>
              <w:spacing w:line="400" w:lineRule="exact"/>
              <w:jc w:val="center"/>
              <w:rPr>
                <w:rFonts w:ascii="宋体" w:hAnsi="宋体"/>
                <w:bCs/>
                <w:color w:val="auto"/>
                <w:szCs w:val="21"/>
                <w:highlight w:val="none"/>
              </w:rPr>
            </w:pPr>
          </w:p>
        </w:tc>
        <w:tc>
          <w:tcPr>
            <w:tcW w:w="2120" w:type="dxa"/>
            <w:vAlign w:val="center"/>
          </w:tcPr>
          <w:p>
            <w:pPr>
              <w:adjustRightInd w:val="0"/>
              <w:snapToGrid w:val="0"/>
              <w:spacing w:line="400" w:lineRule="exact"/>
              <w:rPr>
                <w:rFonts w:ascii="宋体" w:hAnsi="宋体"/>
                <w:bCs/>
                <w:color w:val="auto"/>
                <w:szCs w:val="21"/>
                <w:highlight w:val="none"/>
              </w:rPr>
            </w:pPr>
            <w:r>
              <w:rPr>
                <w:rFonts w:ascii="宋体" w:hAnsi="宋体"/>
                <w:bCs/>
                <w:color w:val="auto"/>
                <w:szCs w:val="21"/>
                <w:highlight w:val="none"/>
              </w:rPr>
              <w:t>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28" w:type="dxa"/>
            <w:vAlign w:val="center"/>
          </w:tcPr>
          <w:p>
            <w:pPr>
              <w:adjustRightInd w:val="0"/>
              <w:snapToGrid w:val="0"/>
              <w:spacing w:line="400" w:lineRule="exact"/>
              <w:jc w:val="center"/>
              <w:rPr>
                <w:rFonts w:ascii="宋体" w:hAnsi="宋体"/>
                <w:bCs/>
                <w:color w:val="auto"/>
                <w:szCs w:val="21"/>
                <w:highlight w:val="none"/>
              </w:rPr>
            </w:pPr>
          </w:p>
        </w:tc>
        <w:tc>
          <w:tcPr>
            <w:tcW w:w="5580" w:type="dxa"/>
            <w:vAlign w:val="center"/>
          </w:tcPr>
          <w:p>
            <w:pPr>
              <w:adjustRightInd w:val="0"/>
              <w:snapToGrid w:val="0"/>
              <w:spacing w:line="400" w:lineRule="exact"/>
              <w:jc w:val="center"/>
              <w:rPr>
                <w:rFonts w:ascii="宋体" w:hAnsi="宋体"/>
                <w:bCs/>
                <w:color w:val="auto"/>
                <w:szCs w:val="21"/>
                <w:highlight w:val="none"/>
              </w:rPr>
            </w:pPr>
          </w:p>
        </w:tc>
        <w:tc>
          <w:tcPr>
            <w:tcW w:w="2120" w:type="dxa"/>
            <w:vAlign w:val="center"/>
          </w:tcPr>
          <w:p>
            <w:pPr>
              <w:adjustRightInd w:val="0"/>
              <w:snapToGrid w:val="0"/>
              <w:spacing w:line="400" w:lineRule="exact"/>
              <w:rPr>
                <w:rFonts w:ascii="宋体" w:hAnsi="宋体"/>
                <w:bCs/>
                <w:color w:val="auto"/>
                <w:szCs w:val="21"/>
                <w:highlight w:val="none"/>
              </w:rPr>
            </w:pPr>
            <w:r>
              <w:rPr>
                <w:rFonts w:ascii="宋体" w:hAnsi="宋体"/>
                <w:bCs/>
                <w:color w:val="auto"/>
                <w:szCs w:val="21"/>
                <w:highlight w:val="none"/>
              </w:rPr>
              <w:t>P～P</w:t>
            </w:r>
          </w:p>
        </w:tc>
      </w:tr>
    </w:tbl>
    <w:p>
      <w:pPr>
        <w:pStyle w:val="121"/>
        <w:spacing w:line="360" w:lineRule="auto"/>
        <w:ind w:left="960" w:firstLine="0"/>
        <w:rPr>
          <w:rFonts w:ascii="宋体" w:hAnsi="宋体"/>
          <w:color w:val="auto"/>
          <w:sz w:val="27"/>
          <w:szCs w:val="27"/>
          <w:highlight w:val="none"/>
        </w:rPr>
      </w:pPr>
      <w:r>
        <w:rPr>
          <w:rFonts w:ascii="宋体" w:hAnsi="宋体"/>
          <w:color w:val="auto"/>
          <w:sz w:val="27"/>
          <w:szCs w:val="27"/>
          <w:highlight w:val="none"/>
        </w:rPr>
        <w:br w:type="column"/>
      </w:r>
    </w:p>
    <w:p>
      <w:pPr>
        <w:spacing w:line="360" w:lineRule="auto"/>
        <w:jc w:val="center"/>
        <w:outlineLvl w:val="2"/>
        <w:rPr>
          <w:rFonts w:ascii="宋体" w:hAnsi="宋体"/>
          <w:b/>
          <w:bCs/>
          <w:color w:val="auto"/>
          <w:sz w:val="28"/>
          <w:szCs w:val="27"/>
          <w:highlight w:val="none"/>
        </w:rPr>
      </w:pPr>
      <w:bookmarkStart w:id="162" w:name="_Toc21787760"/>
      <w:r>
        <w:rPr>
          <w:rFonts w:hint="eastAsia" w:ascii="宋体" w:hAnsi="宋体"/>
          <w:b/>
          <w:bCs/>
          <w:color w:val="auto"/>
          <w:sz w:val="28"/>
          <w:szCs w:val="27"/>
          <w:highlight w:val="none"/>
        </w:rPr>
        <w:t xml:space="preserve">目 </w:t>
      </w:r>
      <w:bookmarkStart w:id="163" w:name="_Toc296602591"/>
      <w:bookmarkStart w:id="164" w:name="_Toc359263273"/>
      <w:r>
        <w:rPr>
          <w:rFonts w:hint="eastAsia" w:ascii="宋体" w:hAnsi="宋体"/>
          <w:b/>
          <w:bCs/>
          <w:color w:val="auto"/>
          <w:sz w:val="28"/>
          <w:szCs w:val="27"/>
          <w:highlight w:val="none"/>
        </w:rPr>
        <w:t xml:space="preserve">  录</w:t>
      </w:r>
      <w:bookmarkEnd w:id="162"/>
      <w:bookmarkEnd w:id="163"/>
      <w:bookmarkEnd w:id="164"/>
    </w:p>
    <w:p>
      <w:pPr>
        <w:spacing w:line="400" w:lineRule="exact"/>
        <w:rPr>
          <w:rFonts w:ascii="宋体" w:hAnsi="宋体"/>
          <w:color w:val="auto"/>
          <w:sz w:val="20"/>
          <w:szCs w:val="20"/>
          <w:highlight w:val="none"/>
        </w:rPr>
      </w:pPr>
    </w:p>
    <w:p>
      <w:pPr>
        <w:spacing w:line="276" w:lineRule="auto"/>
        <w:rPr>
          <w:rFonts w:ascii="宋体" w:hAnsi="宋体"/>
          <w:color w:val="auto"/>
          <w:sz w:val="27"/>
          <w:szCs w:val="27"/>
          <w:highlight w:val="none"/>
        </w:rPr>
      </w:pPr>
      <w:r>
        <w:rPr>
          <w:rFonts w:hint="eastAsia" w:ascii="宋体" w:hAnsi="宋体"/>
          <w:color w:val="auto"/>
          <w:sz w:val="27"/>
          <w:szCs w:val="27"/>
          <w:highlight w:val="none"/>
        </w:rPr>
        <w:t>一、投标函及投标函附录</w:t>
      </w:r>
    </w:p>
    <w:p>
      <w:pPr>
        <w:spacing w:line="276" w:lineRule="auto"/>
        <w:rPr>
          <w:rFonts w:ascii="宋体" w:hAnsi="宋体"/>
          <w:color w:val="auto"/>
          <w:sz w:val="27"/>
          <w:szCs w:val="27"/>
          <w:highlight w:val="none"/>
        </w:rPr>
      </w:pPr>
      <w:r>
        <w:rPr>
          <w:rFonts w:hint="eastAsia" w:ascii="宋体" w:hAnsi="宋体"/>
          <w:color w:val="auto"/>
          <w:sz w:val="27"/>
          <w:szCs w:val="27"/>
          <w:highlight w:val="none"/>
        </w:rPr>
        <w:t>二</w:t>
      </w:r>
      <w:bookmarkStart w:id="165" w:name="_Toc359263274"/>
      <w:r>
        <w:rPr>
          <w:rFonts w:hint="eastAsia" w:ascii="宋体" w:hAnsi="宋体"/>
          <w:color w:val="auto"/>
          <w:sz w:val="27"/>
          <w:szCs w:val="27"/>
          <w:highlight w:val="none"/>
        </w:rPr>
        <w:t>、法定代表人身</w:t>
      </w:r>
      <w:bookmarkEnd w:id="165"/>
      <w:r>
        <w:rPr>
          <w:rFonts w:hint="eastAsia" w:ascii="宋体" w:hAnsi="宋体"/>
          <w:color w:val="auto"/>
          <w:sz w:val="27"/>
          <w:szCs w:val="27"/>
          <w:highlight w:val="none"/>
        </w:rPr>
        <w:t>份证明</w:t>
      </w:r>
    </w:p>
    <w:p>
      <w:pPr>
        <w:spacing w:line="276" w:lineRule="auto"/>
        <w:rPr>
          <w:rFonts w:ascii="宋体" w:hAnsi="宋体"/>
          <w:color w:val="auto"/>
          <w:sz w:val="27"/>
          <w:szCs w:val="27"/>
          <w:highlight w:val="none"/>
        </w:rPr>
      </w:pPr>
      <w:r>
        <w:rPr>
          <w:rFonts w:hint="eastAsia" w:ascii="宋体" w:hAnsi="宋体"/>
          <w:color w:val="auto"/>
          <w:sz w:val="27"/>
          <w:szCs w:val="27"/>
          <w:highlight w:val="none"/>
        </w:rPr>
        <w:t>三、授权委托书</w:t>
      </w:r>
    </w:p>
    <w:p>
      <w:pPr>
        <w:spacing w:line="276" w:lineRule="auto"/>
        <w:rPr>
          <w:rFonts w:ascii="宋体" w:hAnsi="宋体"/>
          <w:strike/>
          <w:color w:val="auto"/>
          <w:sz w:val="27"/>
          <w:szCs w:val="27"/>
          <w:highlight w:val="none"/>
        </w:rPr>
      </w:pPr>
      <w:r>
        <w:rPr>
          <w:rFonts w:hint="eastAsia" w:ascii="宋体" w:hAnsi="宋体"/>
          <w:strike/>
          <w:color w:val="auto"/>
          <w:sz w:val="27"/>
          <w:szCs w:val="27"/>
          <w:highlight w:val="none"/>
        </w:rPr>
        <w:t>四、</w:t>
      </w:r>
      <w:bookmarkStart w:id="166" w:name="_Toc359263278"/>
      <w:bookmarkStart w:id="167" w:name="_Toc259524409"/>
      <w:r>
        <w:rPr>
          <w:rFonts w:hint="eastAsia" w:ascii="宋体" w:hAnsi="宋体"/>
          <w:strike/>
          <w:color w:val="auto"/>
          <w:sz w:val="27"/>
          <w:szCs w:val="27"/>
          <w:highlight w:val="none"/>
        </w:rPr>
        <w:t>投标保证金</w:t>
      </w:r>
    </w:p>
    <w:p>
      <w:pPr>
        <w:spacing w:line="276" w:lineRule="auto"/>
        <w:rPr>
          <w:rFonts w:ascii="宋体" w:hAnsi="宋体"/>
          <w:color w:val="auto"/>
          <w:sz w:val="27"/>
          <w:szCs w:val="27"/>
          <w:highlight w:val="none"/>
        </w:rPr>
      </w:pPr>
      <w:r>
        <w:rPr>
          <w:rFonts w:hint="eastAsia" w:ascii="宋体" w:hAnsi="宋体"/>
          <w:color w:val="auto"/>
          <w:sz w:val="27"/>
          <w:szCs w:val="27"/>
          <w:highlight w:val="none"/>
        </w:rPr>
        <w:t>五、 已标价工程量清单</w:t>
      </w:r>
    </w:p>
    <w:bookmarkEnd w:id="166"/>
    <w:bookmarkEnd w:id="167"/>
    <w:p>
      <w:pPr>
        <w:spacing w:line="276" w:lineRule="auto"/>
        <w:rPr>
          <w:rFonts w:ascii="宋体" w:hAnsi="宋体"/>
          <w:color w:val="auto"/>
          <w:sz w:val="27"/>
          <w:szCs w:val="27"/>
          <w:highlight w:val="none"/>
        </w:rPr>
      </w:pPr>
      <w:r>
        <w:rPr>
          <w:rFonts w:hint="eastAsia" w:ascii="宋体" w:hAnsi="宋体"/>
          <w:color w:val="auto"/>
          <w:sz w:val="27"/>
          <w:szCs w:val="27"/>
          <w:highlight w:val="none"/>
        </w:rPr>
        <w:t>六、项目管理机构</w:t>
      </w:r>
    </w:p>
    <w:p>
      <w:pPr>
        <w:spacing w:line="276" w:lineRule="auto"/>
        <w:rPr>
          <w:rFonts w:ascii="宋体" w:hAnsi="宋体"/>
          <w:color w:val="auto"/>
          <w:sz w:val="27"/>
          <w:szCs w:val="27"/>
          <w:highlight w:val="none"/>
        </w:rPr>
      </w:pPr>
      <w:r>
        <w:rPr>
          <w:rFonts w:hint="eastAsia" w:ascii="宋体" w:hAnsi="宋体"/>
          <w:color w:val="auto"/>
          <w:sz w:val="27"/>
          <w:szCs w:val="27"/>
          <w:highlight w:val="none"/>
        </w:rPr>
        <w:t>七、拟分包项目情况表（如有）</w:t>
      </w:r>
    </w:p>
    <w:p>
      <w:pPr>
        <w:spacing w:line="276" w:lineRule="auto"/>
        <w:rPr>
          <w:rFonts w:ascii="宋体" w:hAnsi="宋体"/>
          <w:color w:val="auto"/>
          <w:sz w:val="27"/>
          <w:szCs w:val="27"/>
          <w:highlight w:val="none"/>
        </w:rPr>
      </w:pPr>
      <w:r>
        <w:rPr>
          <w:rFonts w:hint="eastAsia" w:ascii="宋体" w:hAnsi="宋体"/>
          <w:color w:val="auto"/>
          <w:sz w:val="27"/>
          <w:szCs w:val="27"/>
          <w:highlight w:val="none"/>
        </w:rPr>
        <w:t>八、资格审查资料</w:t>
      </w:r>
    </w:p>
    <w:p>
      <w:pPr>
        <w:spacing w:line="360" w:lineRule="auto"/>
        <w:rPr>
          <w:rFonts w:ascii="宋体" w:hAnsi="宋体"/>
          <w:color w:val="auto"/>
          <w:sz w:val="27"/>
          <w:szCs w:val="27"/>
          <w:highlight w:val="none"/>
        </w:rPr>
      </w:pPr>
      <w:r>
        <w:rPr>
          <w:rFonts w:hint="eastAsia" w:ascii="宋体" w:hAnsi="宋体"/>
          <w:color w:val="auto"/>
          <w:sz w:val="27"/>
          <w:szCs w:val="27"/>
          <w:highlight w:val="none"/>
        </w:rPr>
        <w:t>九、投标人须知前附表规定的其他材料</w:t>
      </w:r>
    </w:p>
    <w:p>
      <w:pPr>
        <w:spacing w:line="360" w:lineRule="auto"/>
        <w:jc w:val="center"/>
        <w:outlineLvl w:val="2"/>
        <w:rPr>
          <w:rFonts w:ascii="宋体" w:hAnsi="宋体"/>
          <w:color w:val="auto"/>
          <w:sz w:val="28"/>
          <w:szCs w:val="27"/>
          <w:highlight w:val="none"/>
        </w:rPr>
      </w:pPr>
      <w:r>
        <w:rPr>
          <w:rFonts w:ascii="宋体" w:hAnsi="宋体"/>
          <w:color w:val="auto"/>
          <w:sz w:val="24"/>
          <w:highlight w:val="none"/>
        </w:rPr>
        <w:br w:type="page"/>
      </w:r>
      <w:bookmarkStart w:id="168" w:name="_Toc21787761"/>
      <w:r>
        <w:rPr>
          <w:rFonts w:ascii="宋体" w:hAnsi="宋体"/>
          <w:color w:val="auto"/>
          <w:sz w:val="28"/>
          <w:szCs w:val="27"/>
          <w:highlight w:val="none"/>
        </w:rPr>
        <w:t>一、投标函及投标函</w:t>
      </w:r>
      <w:bookmarkStart w:id="169" w:name="_Toc221951911"/>
      <w:r>
        <w:rPr>
          <w:rFonts w:ascii="宋体" w:hAnsi="宋体"/>
          <w:color w:val="auto"/>
          <w:sz w:val="28"/>
          <w:szCs w:val="27"/>
          <w:highlight w:val="none"/>
        </w:rPr>
        <w:t>附录</w:t>
      </w:r>
      <w:bookmarkEnd w:id="168"/>
    </w:p>
    <w:p>
      <w:pPr>
        <w:spacing w:line="400" w:lineRule="exact"/>
        <w:outlineLvl w:val="3"/>
        <w:rPr>
          <w:rFonts w:ascii="宋体" w:hAnsi="宋体"/>
          <w:b/>
          <w:color w:val="auto"/>
          <w:sz w:val="24"/>
          <w:szCs w:val="31"/>
          <w:highlight w:val="none"/>
        </w:rPr>
      </w:pPr>
      <w:r>
        <w:rPr>
          <w:rFonts w:ascii="宋体" w:hAnsi="宋体"/>
          <w:b/>
          <w:color w:val="auto"/>
          <w:sz w:val="24"/>
          <w:szCs w:val="31"/>
          <w:highlight w:val="none"/>
        </w:rPr>
        <w:t>（一）投标函</w:t>
      </w:r>
    </w:p>
    <w:bookmarkEnd w:id="169"/>
    <w:p>
      <w:pPr>
        <w:spacing w:line="400" w:lineRule="exact"/>
        <w:rPr>
          <w:rFonts w:ascii="宋体" w:hAnsi="宋体"/>
          <w:color w:val="auto"/>
          <w:sz w:val="19"/>
          <w:szCs w:val="19"/>
          <w:highlight w:val="none"/>
        </w:rPr>
      </w:pPr>
    </w:p>
    <w:p>
      <w:pPr>
        <w:spacing w:line="400" w:lineRule="exact"/>
        <w:rPr>
          <w:rFonts w:ascii="宋体" w:hAnsi="宋体"/>
          <w:color w:val="auto"/>
          <w:szCs w:val="21"/>
          <w:highlight w:val="none"/>
        </w:rPr>
      </w:pPr>
      <w:bookmarkStart w:id="170" w:name="_Toc221951912"/>
      <w:r>
        <w:rPr>
          <w:rFonts w:ascii="宋体" w:hAnsi="宋体"/>
          <w:color w:val="auto"/>
          <w:szCs w:val="21"/>
          <w:highlight w:val="none"/>
        </w:rPr>
        <w:t>（</w:t>
      </w:r>
      <w:r>
        <w:rPr>
          <w:rFonts w:hint="eastAsia" w:ascii="宋体" w:hAnsi="宋体"/>
          <w:color w:val="auto"/>
          <w:szCs w:val="21"/>
          <w:highlight w:val="none"/>
        </w:rPr>
        <w:t>招标人名称</w:t>
      </w:r>
      <w:r>
        <w:rPr>
          <w:rFonts w:ascii="宋体" w:hAnsi="宋体"/>
          <w:color w:val="auto"/>
          <w:szCs w:val="21"/>
          <w:highlight w:val="none"/>
        </w:rPr>
        <w:t>）：</w:t>
      </w:r>
    </w:p>
    <w:p>
      <w:pPr>
        <w:spacing w:line="400" w:lineRule="exact"/>
        <w:rPr>
          <w:rFonts w:ascii="宋体" w:hAnsi="宋体"/>
          <w:color w:val="auto"/>
          <w:szCs w:val="21"/>
          <w:highlight w:val="none"/>
        </w:rPr>
      </w:pPr>
    </w:p>
    <w:p>
      <w:pPr>
        <w:spacing w:line="400" w:lineRule="exact"/>
        <w:ind w:firstLine="420" w:firstLineChars="200"/>
        <w:rPr>
          <w:rFonts w:ascii="宋体" w:hAnsi="宋体"/>
          <w:color w:val="auto"/>
          <w:szCs w:val="21"/>
          <w:highlight w:val="none"/>
        </w:rPr>
      </w:pPr>
      <w:r>
        <w:rPr>
          <w:rFonts w:ascii="宋体" w:hAnsi="宋体"/>
          <w:color w:val="auto"/>
          <w:szCs w:val="21"/>
          <w:highlight w:val="none"/>
        </w:rPr>
        <w:t>1．我方已仔细研究了</w:t>
      </w:r>
      <w:bookmarkEnd w:id="170"/>
      <w:r>
        <w:rPr>
          <w:rFonts w:ascii="宋体" w:hAnsi="宋体"/>
          <w:color w:val="auto"/>
          <w:szCs w:val="21"/>
          <w:highlight w:val="none"/>
        </w:rPr>
        <w:t>（</w:t>
      </w:r>
      <w:r>
        <w:rPr>
          <w:rFonts w:hint="eastAsia" w:ascii="宋体" w:hAnsi="宋体"/>
          <w:color w:val="auto"/>
          <w:szCs w:val="21"/>
          <w:highlight w:val="none"/>
        </w:rPr>
        <w:t>项目名称）</w:t>
      </w:r>
      <w:bookmarkStart w:id="171" w:name="_Toc221951914"/>
      <w:r>
        <w:rPr>
          <w:rFonts w:hint="eastAsia" w:ascii="宋体" w:hAnsi="宋体"/>
          <w:color w:val="auto"/>
          <w:szCs w:val="21"/>
          <w:highlight w:val="none"/>
        </w:rPr>
        <w:t>（标段名称）</w:t>
      </w:r>
      <w:r>
        <w:rPr>
          <w:rFonts w:ascii="宋体" w:hAnsi="宋体"/>
          <w:color w:val="auto"/>
          <w:szCs w:val="21"/>
          <w:highlight w:val="none"/>
        </w:rPr>
        <w:t>招标文件的全部内容</w:t>
      </w:r>
      <w:bookmarkEnd w:id="171"/>
      <w:r>
        <w:rPr>
          <w:rFonts w:ascii="宋体" w:hAnsi="宋体"/>
          <w:color w:val="auto"/>
          <w:szCs w:val="21"/>
          <w:highlight w:val="none"/>
        </w:rPr>
        <w:t>，愿意</w:t>
      </w:r>
      <w:bookmarkStart w:id="172" w:name="_Toc359263280"/>
      <w:bookmarkStart w:id="173" w:name="_Toc259524413"/>
      <w:bookmarkStart w:id="174" w:name="_Toc229305419"/>
      <w:r>
        <w:rPr>
          <w:rFonts w:ascii="宋体" w:hAnsi="宋体"/>
          <w:color w:val="auto"/>
          <w:szCs w:val="21"/>
          <w:highlight w:val="none"/>
        </w:rPr>
        <w:t>以人民币（大</w:t>
      </w:r>
      <w:bookmarkEnd w:id="172"/>
      <w:bookmarkEnd w:id="173"/>
      <w:bookmarkEnd w:id="174"/>
      <w:r>
        <w:rPr>
          <w:rFonts w:ascii="宋体" w:hAnsi="宋体"/>
          <w:color w:val="auto"/>
          <w:szCs w:val="21"/>
          <w:highlight w:val="none"/>
        </w:rPr>
        <w:t>写）</w:t>
      </w:r>
      <w:bookmarkStart w:id="175" w:name="_Toc221951916"/>
      <w:r>
        <w:rPr>
          <w:rFonts w:hint="eastAsia" w:ascii="宋体" w:hAnsi="宋体"/>
          <w:color w:val="auto"/>
          <w:szCs w:val="21"/>
          <w:highlight w:val="none"/>
          <w:u w:val="single"/>
        </w:rPr>
        <w:t xml:space="preserve">           </w:t>
      </w:r>
      <w:r>
        <w:rPr>
          <w:rFonts w:ascii="宋体" w:hAnsi="宋体"/>
          <w:color w:val="auto"/>
          <w:szCs w:val="21"/>
          <w:highlight w:val="none"/>
        </w:rPr>
        <w:t>元（¥</w:t>
      </w:r>
      <w:bookmarkEnd w:id="175"/>
      <w:bookmarkStart w:id="176" w:name="_Toc221951917"/>
      <w:r>
        <w:rPr>
          <w:rFonts w:ascii="宋体" w:hAnsi="宋体"/>
          <w:color w:val="auto"/>
          <w:szCs w:val="21"/>
          <w:highlight w:val="none"/>
        </w:rPr>
        <w:t>）的投标总报价，</w:t>
      </w:r>
      <w:r>
        <w:rPr>
          <w:rFonts w:hint="eastAsia" w:ascii="宋体" w:hAnsi="宋体"/>
          <w:color w:val="auto"/>
          <w:szCs w:val="21"/>
          <w:highlight w:val="none"/>
        </w:rPr>
        <w:t>工期</w:t>
      </w:r>
      <w:bookmarkEnd w:id="176"/>
      <w:bookmarkStart w:id="177" w:name="_Toc221951918"/>
      <w:r>
        <w:rPr>
          <w:rFonts w:hint="eastAsia" w:ascii="宋体" w:hAnsi="宋体"/>
          <w:color w:val="auto"/>
          <w:szCs w:val="21"/>
          <w:highlight w:val="none"/>
          <w:u w:val="single"/>
        </w:rPr>
        <w:t xml:space="preserve">      </w:t>
      </w:r>
      <w:r>
        <w:rPr>
          <w:rFonts w:hint="eastAsia" w:ascii="宋体" w:hAnsi="宋体"/>
          <w:color w:val="auto"/>
          <w:szCs w:val="21"/>
          <w:highlight w:val="none"/>
        </w:rPr>
        <w:t>日历天，</w:t>
      </w:r>
      <w:r>
        <w:rPr>
          <w:rFonts w:ascii="宋体" w:hAnsi="宋体"/>
          <w:color w:val="auto"/>
          <w:szCs w:val="21"/>
          <w:highlight w:val="none"/>
        </w:rPr>
        <w:t>按合同约定</w:t>
      </w:r>
      <w:bookmarkEnd w:id="177"/>
      <w:r>
        <w:rPr>
          <w:rFonts w:ascii="宋体" w:hAnsi="宋体"/>
          <w:color w:val="auto"/>
          <w:szCs w:val="21"/>
          <w:highlight w:val="none"/>
        </w:rPr>
        <w:t>实</w:t>
      </w:r>
      <w:bookmarkStart w:id="178" w:name="_Toc221951919"/>
      <w:r>
        <w:rPr>
          <w:rFonts w:ascii="宋体" w:hAnsi="宋体"/>
          <w:color w:val="auto"/>
          <w:szCs w:val="21"/>
          <w:highlight w:val="none"/>
        </w:rPr>
        <w:t>施和完成承包工</w:t>
      </w:r>
      <w:bookmarkEnd w:id="178"/>
      <w:r>
        <w:rPr>
          <w:rFonts w:ascii="宋体" w:hAnsi="宋体"/>
          <w:color w:val="auto"/>
          <w:szCs w:val="21"/>
          <w:highlight w:val="none"/>
        </w:rPr>
        <w:t>程，</w:t>
      </w:r>
      <w:bookmarkStart w:id="179" w:name="_Toc221951920"/>
      <w:r>
        <w:rPr>
          <w:rFonts w:ascii="宋体" w:hAnsi="宋体"/>
          <w:color w:val="auto"/>
          <w:szCs w:val="21"/>
          <w:highlight w:val="none"/>
        </w:rPr>
        <w:t>修补工程中的任何缺陷</w:t>
      </w:r>
      <w:bookmarkEnd w:id="179"/>
      <w:r>
        <w:rPr>
          <w:rFonts w:ascii="宋体" w:hAnsi="宋体"/>
          <w:color w:val="auto"/>
          <w:szCs w:val="21"/>
          <w:highlight w:val="none"/>
        </w:rPr>
        <w:t>，</w:t>
      </w:r>
      <w:bookmarkStart w:id="180" w:name="_Toc221951921"/>
      <w:r>
        <w:rPr>
          <w:rFonts w:ascii="宋体" w:hAnsi="宋体"/>
          <w:color w:val="auto"/>
          <w:szCs w:val="21"/>
          <w:highlight w:val="none"/>
        </w:rPr>
        <w:t>工程质量达到</w:t>
      </w:r>
      <w:bookmarkEnd w:id="180"/>
      <w:r>
        <w:rPr>
          <w:rFonts w:ascii="宋体" w:hAnsi="宋体"/>
          <w:color w:val="auto"/>
          <w:szCs w:val="21"/>
          <w:highlight w:val="none"/>
        </w:rPr>
        <w:t xml:space="preserve"> 。</w:t>
      </w:r>
    </w:p>
    <w:p>
      <w:pPr>
        <w:spacing w:line="400" w:lineRule="exact"/>
        <w:ind w:firstLine="420" w:firstLineChars="200"/>
        <w:jc w:val="left"/>
        <w:rPr>
          <w:rFonts w:ascii="宋体" w:hAnsi="宋体"/>
          <w:color w:val="auto"/>
          <w:szCs w:val="21"/>
          <w:highlight w:val="none"/>
        </w:rPr>
      </w:pPr>
      <w:bookmarkStart w:id="181" w:name="_Toc221951922"/>
      <w:r>
        <w:rPr>
          <w:rFonts w:ascii="宋体" w:hAnsi="宋体"/>
          <w:color w:val="auto"/>
          <w:szCs w:val="21"/>
          <w:highlight w:val="none"/>
        </w:rPr>
        <w:t>2．我方承诺在投</w:t>
      </w:r>
      <w:bookmarkEnd w:id="181"/>
      <w:r>
        <w:rPr>
          <w:rFonts w:ascii="宋体" w:hAnsi="宋体"/>
          <w:color w:val="auto"/>
          <w:szCs w:val="21"/>
          <w:highlight w:val="none"/>
        </w:rPr>
        <w:t>标</w:t>
      </w:r>
      <w:bookmarkStart w:id="182" w:name="_Toc221951924"/>
      <w:r>
        <w:rPr>
          <w:rFonts w:ascii="宋体" w:hAnsi="宋体"/>
          <w:color w:val="auto"/>
          <w:szCs w:val="21"/>
          <w:highlight w:val="none"/>
        </w:rPr>
        <w:t>有效期内不</w:t>
      </w:r>
      <w:r>
        <w:rPr>
          <w:rFonts w:hint="eastAsia" w:ascii="宋体" w:hAnsi="宋体"/>
          <w:color w:val="auto"/>
          <w:szCs w:val="21"/>
          <w:highlight w:val="none"/>
        </w:rPr>
        <w:t>补充、</w:t>
      </w:r>
      <w:bookmarkEnd w:id="182"/>
      <w:r>
        <w:rPr>
          <w:rFonts w:ascii="宋体" w:hAnsi="宋体"/>
          <w:color w:val="auto"/>
          <w:szCs w:val="21"/>
          <w:highlight w:val="none"/>
        </w:rPr>
        <w:t>修</w:t>
      </w:r>
      <w:bookmarkStart w:id="183" w:name="_Toc221951925"/>
      <w:r>
        <w:rPr>
          <w:rFonts w:ascii="宋体" w:hAnsi="宋体"/>
          <w:color w:val="auto"/>
          <w:szCs w:val="21"/>
          <w:highlight w:val="none"/>
        </w:rPr>
        <w:t>改、</w:t>
      </w:r>
      <w:bookmarkEnd w:id="183"/>
      <w:r>
        <w:rPr>
          <w:rFonts w:hint="eastAsia" w:ascii="宋体" w:hAnsi="宋体"/>
          <w:color w:val="auto"/>
          <w:szCs w:val="21"/>
          <w:highlight w:val="none"/>
        </w:rPr>
        <w:t>替代或</w:t>
      </w:r>
      <w:r>
        <w:rPr>
          <w:rFonts w:ascii="宋体" w:hAnsi="宋体"/>
          <w:color w:val="auto"/>
          <w:szCs w:val="21"/>
          <w:highlight w:val="none"/>
        </w:rPr>
        <w:t>撤</w:t>
      </w:r>
      <w:r>
        <w:rPr>
          <w:rFonts w:hint="eastAsia" w:ascii="宋体" w:hAnsi="宋体"/>
          <w:color w:val="auto"/>
          <w:szCs w:val="21"/>
          <w:highlight w:val="none"/>
        </w:rPr>
        <w:t>回本</w:t>
      </w:r>
      <w:r>
        <w:rPr>
          <w:rFonts w:ascii="宋体" w:hAnsi="宋体"/>
          <w:color w:val="auto"/>
          <w:szCs w:val="21"/>
          <w:highlight w:val="none"/>
        </w:rPr>
        <w:t>投标文件。</w:t>
      </w:r>
    </w:p>
    <w:p>
      <w:pPr>
        <w:spacing w:line="400" w:lineRule="exact"/>
        <w:ind w:firstLine="420" w:firstLineChars="200"/>
        <w:rPr>
          <w:rFonts w:ascii="宋体" w:hAnsi="宋体"/>
          <w:color w:val="auto"/>
          <w:szCs w:val="21"/>
          <w:highlight w:val="none"/>
        </w:rPr>
      </w:pPr>
      <w:r>
        <w:rPr>
          <w:rFonts w:ascii="宋体" w:hAnsi="宋体"/>
          <w:strike/>
          <w:color w:val="auto"/>
          <w:szCs w:val="21"/>
          <w:highlight w:val="none"/>
        </w:rPr>
        <w:t>3．随同本投</w:t>
      </w:r>
      <w:bookmarkStart w:id="184" w:name="_Toc168475915"/>
      <w:bookmarkStart w:id="185" w:name="_Toc222033911"/>
      <w:bookmarkStart w:id="186" w:name="_Toc222029560"/>
      <w:bookmarkStart w:id="187" w:name="_Toc168476318"/>
      <w:bookmarkStart w:id="188" w:name="_Toc221951926"/>
      <w:bookmarkStart w:id="189" w:name="_Toc259524414"/>
      <w:bookmarkStart w:id="190" w:name="_Toc359263281"/>
      <w:bookmarkStart w:id="191" w:name="_Toc222032729"/>
      <w:bookmarkStart w:id="192" w:name="_Toc144974857"/>
      <w:bookmarkStart w:id="193" w:name="_Toc229305420"/>
      <w:bookmarkStart w:id="194" w:name="_Toc222031062"/>
      <w:r>
        <w:rPr>
          <w:rFonts w:ascii="宋体" w:hAnsi="宋体"/>
          <w:strike/>
          <w:color w:val="auto"/>
          <w:szCs w:val="21"/>
          <w:highlight w:val="none"/>
        </w:rPr>
        <w:t>标函提交投标保证金一份</w:t>
      </w:r>
      <w:bookmarkEnd w:id="184"/>
      <w:bookmarkEnd w:id="185"/>
      <w:bookmarkEnd w:id="186"/>
      <w:bookmarkEnd w:id="187"/>
      <w:bookmarkEnd w:id="188"/>
      <w:bookmarkEnd w:id="189"/>
      <w:bookmarkEnd w:id="190"/>
      <w:bookmarkEnd w:id="191"/>
      <w:bookmarkEnd w:id="192"/>
      <w:bookmarkEnd w:id="193"/>
      <w:bookmarkEnd w:id="194"/>
      <w:r>
        <w:rPr>
          <w:rFonts w:ascii="宋体" w:hAnsi="宋体"/>
          <w:strike/>
          <w:color w:val="auto"/>
          <w:szCs w:val="21"/>
          <w:highlight w:val="none"/>
        </w:rPr>
        <w:t>，</w:t>
      </w:r>
      <w:bookmarkStart w:id="195" w:name="_Toc168475916"/>
      <w:bookmarkStart w:id="196" w:name="_Toc168476319"/>
      <w:bookmarkStart w:id="197" w:name="_Toc144974858"/>
      <w:bookmarkStart w:id="198" w:name="_Toc221951927"/>
      <w:r>
        <w:rPr>
          <w:rFonts w:ascii="宋体" w:hAnsi="宋体"/>
          <w:strike/>
          <w:color w:val="auto"/>
          <w:szCs w:val="21"/>
          <w:highlight w:val="none"/>
        </w:rPr>
        <w:t>金额为人民币</w:t>
      </w:r>
      <w:bookmarkEnd w:id="195"/>
      <w:bookmarkEnd w:id="196"/>
      <w:bookmarkEnd w:id="197"/>
      <w:bookmarkEnd w:id="198"/>
      <w:r>
        <w:rPr>
          <w:rFonts w:ascii="宋体" w:hAnsi="宋体"/>
          <w:strike/>
          <w:color w:val="auto"/>
          <w:szCs w:val="21"/>
          <w:highlight w:val="none"/>
        </w:rPr>
        <w:t>（大写）</w:t>
      </w:r>
      <w:r>
        <w:rPr>
          <w:rFonts w:hint="eastAsia" w:ascii="宋体" w:hAnsi="宋体"/>
          <w:strike/>
          <w:color w:val="auto"/>
          <w:szCs w:val="21"/>
          <w:highlight w:val="none"/>
          <w:u w:val="single"/>
        </w:rPr>
        <w:t xml:space="preserve">      </w:t>
      </w:r>
      <w:r>
        <w:rPr>
          <w:rFonts w:ascii="宋体" w:hAnsi="宋体"/>
          <w:strike/>
          <w:color w:val="auto"/>
          <w:szCs w:val="21"/>
          <w:highlight w:val="none"/>
        </w:rPr>
        <w:t>元（¥</w:t>
      </w:r>
      <w:r>
        <w:rPr>
          <w:rFonts w:hint="eastAsia" w:ascii="宋体" w:hAnsi="宋体"/>
          <w:strike/>
          <w:color w:val="auto"/>
          <w:szCs w:val="21"/>
          <w:highlight w:val="none"/>
          <w:u w:val="single"/>
        </w:rPr>
        <w:t xml:space="preserve">      </w:t>
      </w:r>
      <w:r>
        <w:rPr>
          <w:rFonts w:hint="eastAsia" w:ascii="宋体" w:hAnsi="宋体"/>
          <w:strike/>
          <w:color w:val="auto"/>
          <w:szCs w:val="21"/>
          <w:highlight w:val="none"/>
        </w:rPr>
        <w:t>元</w:t>
      </w:r>
      <w:r>
        <w:rPr>
          <w:rFonts w:ascii="宋体" w:hAnsi="宋体"/>
          <w:strike/>
          <w:color w:val="auto"/>
          <w:szCs w:val="21"/>
          <w:highlight w:val="none"/>
        </w:rPr>
        <w:t xml:space="preserve"> ）。</w:t>
      </w:r>
    </w:p>
    <w:p>
      <w:pPr>
        <w:spacing w:line="400" w:lineRule="exact"/>
        <w:ind w:firstLine="420" w:firstLineChars="200"/>
        <w:rPr>
          <w:rFonts w:ascii="宋体" w:hAnsi="宋体"/>
          <w:color w:val="auto"/>
          <w:szCs w:val="21"/>
          <w:highlight w:val="none"/>
        </w:rPr>
      </w:pPr>
      <w:bookmarkStart w:id="199" w:name="_Toc221951928"/>
      <w:r>
        <w:rPr>
          <w:rFonts w:ascii="宋体" w:hAnsi="宋体"/>
          <w:color w:val="auto"/>
          <w:szCs w:val="21"/>
          <w:highlight w:val="none"/>
        </w:rPr>
        <w:t>4．如我方中标：</w:t>
      </w:r>
      <w:bookmarkEnd w:id="199"/>
    </w:p>
    <w:p>
      <w:pPr>
        <w:spacing w:line="400" w:lineRule="exact"/>
        <w:ind w:firstLine="718" w:firstLineChars="342"/>
        <w:rPr>
          <w:rFonts w:ascii="宋体" w:hAnsi="宋体"/>
          <w:color w:val="auto"/>
          <w:szCs w:val="21"/>
          <w:highlight w:val="none"/>
        </w:rPr>
      </w:pPr>
      <w:r>
        <w:rPr>
          <w:rFonts w:ascii="宋体" w:hAnsi="宋体"/>
          <w:color w:val="auto"/>
          <w:szCs w:val="21"/>
          <w:highlight w:val="none"/>
        </w:rPr>
        <w:t>（</w:t>
      </w:r>
      <w:bookmarkStart w:id="200" w:name="_Toc221951929"/>
      <w:r>
        <w:rPr>
          <w:rFonts w:ascii="宋体" w:hAnsi="宋体"/>
          <w:color w:val="auto"/>
          <w:szCs w:val="21"/>
          <w:highlight w:val="none"/>
        </w:rPr>
        <w:t>1）我方承诺在收到中标通知书后，在中标通知书规定的期限内与你方签订合同。</w:t>
      </w:r>
    </w:p>
    <w:p>
      <w:pPr>
        <w:spacing w:line="400" w:lineRule="exact"/>
        <w:ind w:firstLine="718" w:firstLineChars="342"/>
        <w:rPr>
          <w:rFonts w:ascii="宋体" w:hAnsi="宋体"/>
          <w:color w:val="auto"/>
          <w:szCs w:val="21"/>
          <w:highlight w:val="none"/>
        </w:rPr>
      </w:pPr>
      <w:r>
        <w:rPr>
          <w:rFonts w:ascii="宋体" w:hAnsi="宋体"/>
          <w:color w:val="auto"/>
          <w:szCs w:val="21"/>
          <w:highlight w:val="none"/>
        </w:rPr>
        <w:t>（2）随同本投标函递交的投标函附录属于合同文件的组成部分。</w:t>
      </w:r>
    </w:p>
    <w:p>
      <w:pPr>
        <w:spacing w:line="400" w:lineRule="exact"/>
        <w:ind w:firstLine="718" w:firstLineChars="342"/>
        <w:rPr>
          <w:rFonts w:ascii="宋体" w:hAnsi="宋体"/>
          <w:color w:val="auto"/>
          <w:szCs w:val="21"/>
          <w:highlight w:val="none"/>
        </w:rPr>
      </w:pPr>
      <w:r>
        <w:rPr>
          <w:rFonts w:ascii="宋体" w:hAnsi="宋体"/>
          <w:color w:val="auto"/>
          <w:szCs w:val="21"/>
          <w:highlight w:val="none"/>
        </w:rPr>
        <w:t>（3）我方承诺按照招标文件规定向你方递交履约担保。</w:t>
      </w:r>
    </w:p>
    <w:p>
      <w:pPr>
        <w:spacing w:line="400" w:lineRule="exact"/>
        <w:ind w:firstLine="718" w:firstLineChars="342"/>
        <w:rPr>
          <w:rFonts w:ascii="宋体" w:hAnsi="宋体"/>
          <w:color w:val="auto"/>
          <w:szCs w:val="21"/>
          <w:highlight w:val="none"/>
        </w:rPr>
      </w:pPr>
      <w:r>
        <w:rPr>
          <w:rFonts w:ascii="宋体" w:hAnsi="宋体"/>
          <w:color w:val="auto"/>
          <w:szCs w:val="21"/>
          <w:highlight w:val="none"/>
        </w:rPr>
        <w:t>（4）我方承诺在合同约定的期限内完成并移交全部合同工程。</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5．我方在此声明，所递交的投标文件及有关资料内容完整、真实</w:t>
      </w:r>
      <w:bookmarkEnd w:id="200"/>
      <w:r>
        <w:rPr>
          <w:rFonts w:hint="eastAsia" w:ascii="宋体" w:hAnsi="宋体"/>
          <w:color w:val="auto"/>
          <w:szCs w:val="21"/>
          <w:highlight w:val="none"/>
        </w:rPr>
        <w:t>和</w:t>
      </w:r>
      <w:bookmarkStart w:id="201" w:name="_Toc221951930"/>
      <w:r>
        <w:rPr>
          <w:rFonts w:hint="eastAsia" w:ascii="宋体" w:hAnsi="宋体"/>
          <w:color w:val="auto"/>
          <w:szCs w:val="21"/>
          <w:highlight w:val="none"/>
        </w:rPr>
        <w:t>准确，且不存在第二章“投标人须知”第1.4.3项</w:t>
      </w:r>
      <w:bookmarkEnd w:id="201"/>
      <w:r>
        <w:rPr>
          <w:rFonts w:hint="eastAsia" w:ascii="宋体" w:hAnsi="宋体"/>
          <w:color w:val="auto"/>
          <w:szCs w:val="21"/>
          <w:highlight w:val="none"/>
        </w:rPr>
        <w:t>和第</w:t>
      </w:r>
      <w:r>
        <w:rPr>
          <w:rFonts w:ascii="宋体" w:hAnsi="宋体"/>
          <w:color w:val="auto"/>
          <w:szCs w:val="21"/>
          <w:highlight w:val="none"/>
        </w:rPr>
        <w:t>1.4.4</w:t>
      </w:r>
      <w:r>
        <w:rPr>
          <w:rFonts w:hint="eastAsia" w:ascii="宋体" w:hAnsi="宋体"/>
          <w:color w:val="auto"/>
          <w:szCs w:val="21"/>
          <w:highlight w:val="none"/>
        </w:rPr>
        <w:t>项规</w:t>
      </w:r>
      <w:bookmarkStart w:id="202" w:name="_Toc221951931"/>
      <w:r>
        <w:rPr>
          <w:rFonts w:hint="eastAsia" w:ascii="宋体" w:hAnsi="宋体"/>
          <w:color w:val="auto"/>
          <w:szCs w:val="21"/>
          <w:highlight w:val="none"/>
        </w:rPr>
        <w:t>定的任何一种情形。</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6</w:t>
      </w:r>
      <w:r>
        <w:rPr>
          <w:rFonts w:ascii="宋体" w:hAnsi="宋体"/>
          <w:color w:val="auto"/>
          <w:szCs w:val="21"/>
          <w:highlight w:val="none"/>
        </w:rPr>
        <w:t>．</w:t>
      </w:r>
      <w:bookmarkEnd w:id="202"/>
      <w:bookmarkStart w:id="203" w:name="_Toc221951932"/>
      <w:r>
        <w:rPr>
          <w:rFonts w:ascii="宋体" w:hAnsi="宋体"/>
          <w:color w:val="auto"/>
          <w:szCs w:val="21"/>
          <w:highlight w:val="none"/>
        </w:rPr>
        <w:t>（</w:t>
      </w:r>
      <w:r>
        <w:rPr>
          <w:rFonts w:hint="eastAsia" w:ascii="宋体" w:hAnsi="宋体"/>
          <w:color w:val="auto"/>
          <w:szCs w:val="21"/>
          <w:highlight w:val="none"/>
        </w:rPr>
        <w:t>其他</w:t>
      </w:r>
      <w:r>
        <w:rPr>
          <w:rFonts w:ascii="宋体" w:hAnsi="宋体"/>
          <w:color w:val="auto"/>
          <w:szCs w:val="21"/>
          <w:highlight w:val="none"/>
        </w:rPr>
        <w:t>补充说明）</w:t>
      </w:r>
      <w:bookmarkEnd w:id="203"/>
      <w:r>
        <w:rPr>
          <w:rFonts w:ascii="宋体" w:hAnsi="宋体"/>
          <w:color w:val="auto"/>
          <w:szCs w:val="21"/>
          <w:highlight w:val="none"/>
        </w:rPr>
        <w:t>。</w:t>
      </w:r>
      <w:bookmarkStart w:id="204" w:name="_Toc221951933"/>
    </w:p>
    <w:p>
      <w:pPr>
        <w:spacing w:line="400" w:lineRule="exact"/>
        <w:rPr>
          <w:rFonts w:ascii="宋体" w:hAnsi="宋体"/>
          <w:color w:val="auto"/>
          <w:szCs w:val="21"/>
          <w:highlight w:val="none"/>
        </w:rPr>
      </w:pPr>
    </w:p>
    <w:p>
      <w:pPr>
        <w:spacing w:line="400" w:lineRule="exact"/>
        <w:ind w:firstLine="3675" w:firstLineChars="1750"/>
        <w:rPr>
          <w:rFonts w:ascii="宋体" w:hAnsi="宋体"/>
          <w:color w:val="auto"/>
          <w:szCs w:val="21"/>
          <w:highlight w:val="none"/>
        </w:rPr>
      </w:pPr>
      <w:r>
        <w:rPr>
          <w:rFonts w:ascii="宋体" w:hAnsi="宋体"/>
          <w:color w:val="auto"/>
          <w:szCs w:val="21"/>
          <w:highlight w:val="none"/>
        </w:rPr>
        <w:t>投 标 人：</w:t>
      </w:r>
      <w:r>
        <w:rPr>
          <w:rFonts w:hint="eastAsia" w:ascii="宋体" w:hAnsi="宋体"/>
          <w:color w:val="auto"/>
          <w:szCs w:val="21"/>
          <w:highlight w:val="none"/>
          <w:u w:val="single"/>
        </w:rPr>
        <w:t xml:space="preserve">                       </w:t>
      </w:r>
      <w:r>
        <w:rPr>
          <w:rFonts w:ascii="宋体" w:hAnsi="宋体"/>
          <w:color w:val="auto"/>
          <w:szCs w:val="21"/>
          <w:highlight w:val="none"/>
        </w:rPr>
        <w:t>（盖单位章）</w:t>
      </w:r>
    </w:p>
    <w:bookmarkEnd w:id="204"/>
    <w:p>
      <w:pPr>
        <w:spacing w:line="400" w:lineRule="exact"/>
        <w:ind w:firstLine="3675" w:firstLineChars="1750"/>
        <w:rPr>
          <w:rFonts w:ascii="宋体" w:hAnsi="宋体"/>
          <w:color w:val="auto"/>
          <w:szCs w:val="21"/>
          <w:highlight w:val="none"/>
          <w:u w:val="single"/>
        </w:rPr>
      </w:pPr>
      <w:r>
        <w:rPr>
          <w:rFonts w:ascii="宋体" w:hAnsi="宋体"/>
          <w:color w:val="auto"/>
          <w:szCs w:val="21"/>
          <w:highlight w:val="none"/>
        </w:rPr>
        <w:t>法</w:t>
      </w:r>
      <w:bookmarkStart w:id="205" w:name="_Toc221951934"/>
      <w:r>
        <w:rPr>
          <w:rFonts w:ascii="宋体" w:hAnsi="宋体"/>
          <w:color w:val="auto"/>
          <w:szCs w:val="21"/>
          <w:highlight w:val="none"/>
        </w:rPr>
        <w:t>定代表人或其</w:t>
      </w:r>
      <w:r>
        <w:rPr>
          <w:rFonts w:hint="eastAsia" w:ascii="宋体" w:hAnsi="宋体"/>
          <w:color w:val="auto"/>
          <w:szCs w:val="21"/>
          <w:highlight w:val="none"/>
        </w:rPr>
        <w:t>委托</w:t>
      </w:r>
      <w:r>
        <w:rPr>
          <w:rFonts w:ascii="宋体" w:hAnsi="宋体"/>
          <w:color w:val="auto"/>
          <w:szCs w:val="21"/>
          <w:highlight w:val="none"/>
        </w:rPr>
        <w:t>代理人：</w:t>
      </w:r>
      <w:r>
        <w:rPr>
          <w:rFonts w:hint="eastAsia" w:ascii="宋体" w:hAnsi="宋体"/>
          <w:color w:val="auto"/>
          <w:szCs w:val="21"/>
          <w:highlight w:val="none"/>
          <w:u w:val="single"/>
        </w:rPr>
        <w:t xml:space="preserve">          （签字）</w:t>
      </w:r>
      <w:bookmarkEnd w:id="205"/>
    </w:p>
    <w:p>
      <w:pPr>
        <w:spacing w:line="400" w:lineRule="exact"/>
        <w:ind w:firstLine="3675" w:firstLineChars="1750"/>
        <w:rPr>
          <w:rFonts w:ascii="宋体" w:hAnsi="宋体"/>
          <w:color w:val="auto"/>
          <w:szCs w:val="21"/>
          <w:highlight w:val="none"/>
          <w:u w:val="single"/>
        </w:rPr>
      </w:pPr>
      <w:r>
        <w:rPr>
          <w:rFonts w:hint="eastAsia" w:ascii="宋体" w:hAnsi="宋体"/>
          <w:color w:val="auto"/>
          <w:szCs w:val="21"/>
          <w:highlight w:val="none"/>
          <w:u w:val="single"/>
        </w:rPr>
        <w:t>项目负责人：                        （签字）</w:t>
      </w:r>
    </w:p>
    <w:p>
      <w:pPr>
        <w:spacing w:line="400" w:lineRule="exact"/>
        <w:ind w:firstLine="3675" w:firstLineChars="1750"/>
        <w:rPr>
          <w:rFonts w:ascii="宋体" w:hAnsi="宋体"/>
          <w:color w:val="auto"/>
          <w:szCs w:val="21"/>
          <w:highlight w:val="none"/>
        </w:rPr>
      </w:pPr>
      <w:bookmarkStart w:id="206" w:name="_Toc221951935"/>
      <w:r>
        <w:rPr>
          <w:rFonts w:ascii="宋体" w:hAnsi="宋体"/>
          <w:color w:val="auto"/>
          <w:szCs w:val="21"/>
          <w:highlight w:val="none"/>
        </w:rPr>
        <w:t>地址：</w:t>
      </w:r>
      <w:bookmarkEnd w:id="206"/>
      <w:bookmarkStart w:id="207" w:name="_Toc221951936"/>
    </w:p>
    <w:p>
      <w:pPr>
        <w:spacing w:line="400" w:lineRule="exact"/>
        <w:ind w:firstLine="3675" w:firstLineChars="1750"/>
        <w:rPr>
          <w:rFonts w:ascii="宋体" w:hAnsi="宋体"/>
          <w:color w:val="auto"/>
          <w:szCs w:val="21"/>
          <w:highlight w:val="none"/>
        </w:rPr>
      </w:pPr>
      <w:r>
        <w:rPr>
          <w:rFonts w:ascii="宋体" w:hAnsi="宋体"/>
          <w:color w:val="auto"/>
          <w:szCs w:val="21"/>
          <w:highlight w:val="none"/>
        </w:rPr>
        <w:t>网址：</w:t>
      </w:r>
      <w:bookmarkEnd w:id="207"/>
      <w:bookmarkStart w:id="208" w:name="_Toc221951937"/>
    </w:p>
    <w:p>
      <w:pPr>
        <w:spacing w:line="400" w:lineRule="exact"/>
        <w:ind w:firstLine="3675" w:firstLineChars="1750"/>
        <w:rPr>
          <w:rFonts w:ascii="宋体" w:hAnsi="宋体"/>
          <w:color w:val="auto"/>
          <w:szCs w:val="21"/>
          <w:highlight w:val="none"/>
        </w:rPr>
      </w:pPr>
      <w:r>
        <w:rPr>
          <w:rFonts w:ascii="宋体" w:hAnsi="宋体"/>
          <w:color w:val="auto"/>
          <w:szCs w:val="21"/>
          <w:highlight w:val="none"/>
        </w:rPr>
        <w:t>电话：</w:t>
      </w:r>
    </w:p>
    <w:p>
      <w:pPr>
        <w:spacing w:line="400" w:lineRule="exact"/>
        <w:ind w:firstLine="3675" w:firstLineChars="1750"/>
        <w:rPr>
          <w:rFonts w:ascii="宋体" w:hAnsi="宋体"/>
          <w:color w:val="auto"/>
          <w:szCs w:val="21"/>
          <w:highlight w:val="none"/>
        </w:rPr>
      </w:pPr>
      <w:r>
        <w:rPr>
          <w:rFonts w:ascii="宋体" w:hAnsi="宋体"/>
          <w:color w:val="auto"/>
          <w:szCs w:val="21"/>
          <w:highlight w:val="none"/>
        </w:rPr>
        <w:t>传真：</w:t>
      </w:r>
      <w:bookmarkEnd w:id="208"/>
      <w:bookmarkStart w:id="209" w:name="_Toc221951938"/>
    </w:p>
    <w:p>
      <w:pPr>
        <w:spacing w:line="400" w:lineRule="exact"/>
        <w:ind w:firstLine="3675" w:firstLineChars="1750"/>
        <w:rPr>
          <w:rFonts w:ascii="宋体" w:hAnsi="宋体"/>
          <w:color w:val="auto"/>
          <w:szCs w:val="21"/>
          <w:highlight w:val="none"/>
        </w:rPr>
      </w:pPr>
      <w:r>
        <w:rPr>
          <w:rFonts w:ascii="宋体" w:hAnsi="宋体"/>
          <w:color w:val="auto"/>
          <w:szCs w:val="21"/>
          <w:highlight w:val="none"/>
        </w:rPr>
        <w:t>邮政编码：</w:t>
      </w:r>
      <w:bookmarkEnd w:id="209"/>
      <w:bookmarkStart w:id="210" w:name="_Toc221951939"/>
    </w:p>
    <w:p>
      <w:pPr>
        <w:spacing w:line="400" w:lineRule="exact"/>
        <w:ind w:firstLine="3675" w:firstLineChars="1750"/>
        <w:rPr>
          <w:rFonts w:ascii="宋体" w:hAnsi="宋体"/>
          <w:color w:val="auto"/>
          <w:szCs w:val="21"/>
          <w:highlight w:val="none"/>
        </w:rPr>
      </w:pPr>
    </w:p>
    <w:p>
      <w:pPr>
        <w:spacing w:line="360" w:lineRule="auto"/>
        <w:jc w:val="right"/>
        <w:rPr>
          <w:rFonts w:ascii="宋体" w:hAnsi="宋体"/>
          <w:color w:val="auto"/>
          <w:szCs w:val="21"/>
          <w:highlight w:val="none"/>
        </w:rPr>
      </w:pPr>
      <w:r>
        <w:rPr>
          <w:rFonts w:ascii="宋体" w:hAnsi="宋体"/>
          <w:color w:val="auto"/>
          <w:szCs w:val="21"/>
          <w:highlight w:val="none"/>
        </w:rPr>
        <w:t>年</w:t>
      </w:r>
      <w:bookmarkEnd w:id="210"/>
      <w:r>
        <w:rPr>
          <w:rFonts w:hint="eastAsia" w:ascii="宋体" w:hAnsi="宋体"/>
          <w:color w:val="auto"/>
          <w:szCs w:val="21"/>
          <w:highlight w:val="none"/>
        </w:rPr>
        <w:t xml:space="preserve">   </w:t>
      </w:r>
      <w:r>
        <w:rPr>
          <w:rFonts w:ascii="宋体" w:hAnsi="宋体"/>
          <w:color w:val="auto"/>
          <w:szCs w:val="21"/>
          <w:highlight w:val="none"/>
        </w:rPr>
        <w:t>月</w:t>
      </w:r>
      <w:r>
        <w:rPr>
          <w:rFonts w:hint="eastAsia" w:ascii="宋体" w:hAnsi="宋体"/>
          <w:color w:val="auto"/>
          <w:szCs w:val="21"/>
          <w:highlight w:val="none"/>
        </w:rPr>
        <w:t xml:space="preserve">   </w:t>
      </w:r>
      <w:r>
        <w:rPr>
          <w:rFonts w:ascii="宋体" w:hAnsi="宋体"/>
          <w:color w:val="auto"/>
          <w:szCs w:val="21"/>
          <w:highlight w:val="none"/>
        </w:rPr>
        <w:t>日</w:t>
      </w:r>
    </w:p>
    <w:p>
      <w:pPr>
        <w:spacing w:line="360" w:lineRule="auto"/>
        <w:jc w:val="center"/>
        <w:rPr>
          <w:rFonts w:ascii="宋体" w:hAnsi="宋体"/>
          <w:color w:val="auto"/>
          <w:szCs w:val="21"/>
          <w:highlight w:val="none"/>
        </w:rPr>
      </w:pPr>
    </w:p>
    <w:p>
      <w:pPr>
        <w:spacing w:line="360" w:lineRule="auto"/>
        <w:jc w:val="center"/>
        <w:rPr>
          <w:rFonts w:ascii="宋体" w:hAnsi="宋体"/>
          <w:color w:val="auto"/>
          <w:szCs w:val="21"/>
          <w:highlight w:val="none"/>
        </w:rPr>
      </w:pPr>
    </w:p>
    <w:p>
      <w:pPr>
        <w:spacing w:line="360" w:lineRule="auto"/>
        <w:jc w:val="center"/>
        <w:rPr>
          <w:rFonts w:ascii="宋体" w:hAnsi="宋体"/>
          <w:color w:val="auto"/>
          <w:szCs w:val="21"/>
          <w:highlight w:val="none"/>
        </w:rPr>
      </w:pPr>
    </w:p>
    <w:p>
      <w:pPr>
        <w:spacing w:line="400" w:lineRule="exact"/>
        <w:rPr>
          <w:rFonts w:ascii="宋体" w:hAnsi="宋体"/>
          <w:b/>
          <w:color w:val="auto"/>
          <w:sz w:val="24"/>
          <w:szCs w:val="31"/>
          <w:highlight w:val="none"/>
        </w:rPr>
      </w:pPr>
    </w:p>
    <w:p>
      <w:pPr>
        <w:spacing w:line="400" w:lineRule="exact"/>
        <w:outlineLvl w:val="3"/>
        <w:rPr>
          <w:rFonts w:ascii="宋体" w:hAnsi="宋体"/>
          <w:b/>
          <w:color w:val="auto"/>
          <w:sz w:val="24"/>
          <w:szCs w:val="31"/>
          <w:highlight w:val="none"/>
        </w:rPr>
      </w:pPr>
      <w:r>
        <w:rPr>
          <w:rFonts w:ascii="宋体" w:hAnsi="宋体"/>
          <w:b/>
          <w:color w:val="auto"/>
          <w:sz w:val="24"/>
          <w:szCs w:val="31"/>
          <w:highlight w:val="none"/>
        </w:rPr>
        <w:t>（二）投标函附录</w:t>
      </w:r>
    </w:p>
    <w:p>
      <w:pPr>
        <w:autoSpaceDE w:val="0"/>
        <w:autoSpaceDN w:val="0"/>
        <w:adjustRightInd w:val="0"/>
        <w:jc w:val="center"/>
        <w:rPr>
          <w:rFonts w:ascii="宋体" w:hAnsi="宋体"/>
          <w:bCs/>
          <w:color w:val="auto"/>
          <w:sz w:val="52"/>
          <w:szCs w:val="52"/>
          <w:highlight w:val="none"/>
        </w:rPr>
      </w:pPr>
      <w:bookmarkStart w:id="211" w:name="_Toc221951942"/>
      <w:bookmarkEnd w:id="211"/>
      <w:r>
        <w:rPr>
          <w:rFonts w:hint="eastAsia" w:ascii="宋体" w:hAnsi="宋体" w:cs="宋体"/>
          <w:color w:val="auto"/>
          <w:sz w:val="24"/>
          <w:szCs w:val="24"/>
          <w:highlight w:val="none"/>
          <w:lang w:val="zh-CN"/>
        </w:rPr>
        <w:t>投标日期：   年  月  日</w:t>
      </w:r>
    </w:p>
    <w:tbl>
      <w:tblPr>
        <w:tblStyle w:val="40"/>
        <w:tblpPr w:leftFromText="180" w:rightFromText="180" w:vertAnchor="text" w:horzAnchor="page" w:tblpX="1150" w:tblpY="-86"/>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28"/>
        <w:gridCol w:w="2518"/>
        <w:gridCol w:w="3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352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color w:val="auto"/>
                <w:sz w:val="24"/>
                <w:szCs w:val="24"/>
                <w:highlight w:val="none"/>
                <w:lang w:val="zh-CN"/>
              </w:rPr>
            </w:pPr>
            <w:r>
              <w:rPr>
                <w:rFonts w:hint="eastAsia" w:ascii="宋体" w:hAnsi="宋体" w:cs="宋体"/>
                <w:color w:val="auto"/>
                <w:sz w:val="24"/>
                <w:szCs w:val="24"/>
                <w:highlight w:val="none"/>
                <w:lang w:val="zh-CN"/>
              </w:rPr>
              <w:t>工 程 名 称</w:t>
            </w:r>
          </w:p>
        </w:tc>
        <w:tc>
          <w:tcPr>
            <w:tcW w:w="5851"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Cs/>
                <w:color w:val="auto"/>
                <w:sz w:val="24"/>
                <w:szCs w:val="24"/>
                <w:highlight w:val="none"/>
                <w:lang w:val="zh-CN"/>
              </w:rPr>
            </w:pPr>
          </w:p>
        </w:tc>
        <w:bookmarkStart w:id="212" w:name="_Toc221951943"/>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528"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color w:val="auto"/>
                <w:sz w:val="24"/>
                <w:szCs w:val="24"/>
                <w:highlight w:val="none"/>
                <w:lang w:val="zh-CN"/>
              </w:rPr>
            </w:pPr>
            <w:r>
              <w:rPr>
                <w:rFonts w:hint="eastAsia" w:ascii="宋体" w:hAnsi="宋体" w:cs="宋体"/>
                <w:color w:val="auto"/>
                <w:sz w:val="24"/>
                <w:szCs w:val="24"/>
                <w:highlight w:val="none"/>
                <w:lang w:val="zh-CN"/>
              </w:rPr>
              <w:t>投标</w:t>
            </w:r>
            <w:bookmarkEnd w:id="212"/>
            <w:r>
              <w:rPr>
                <w:rFonts w:hint="eastAsia" w:ascii="宋体" w:hAnsi="宋体" w:cs="宋体"/>
                <w:color w:val="auto"/>
                <w:sz w:val="24"/>
                <w:szCs w:val="24"/>
                <w:highlight w:val="none"/>
                <w:lang w:val="zh-CN"/>
              </w:rPr>
              <w:t>总报价（元）</w:t>
            </w:r>
          </w:p>
        </w:tc>
        <w:tc>
          <w:tcPr>
            <w:tcW w:w="585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color w:val="auto"/>
                <w:sz w:val="24"/>
                <w:szCs w:val="24"/>
                <w:highlight w:val="none"/>
                <w:lang w:val="zh-CN"/>
              </w:rPr>
            </w:pPr>
            <w:r>
              <w:rPr>
                <w:rFonts w:hint="eastAsia" w:ascii="宋体" w:hAnsi="宋体"/>
                <w:color w:val="auto"/>
                <w:sz w:val="24"/>
                <w:szCs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352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auto"/>
                <w:sz w:val="24"/>
                <w:szCs w:val="24"/>
                <w:highlight w:val="none"/>
                <w:lang w:val="zh-CN"/>
              </w:rPr>
            </w:pPr>
          </w:p>
        </w:tc>
        <w:tc>
          <w:tcPr>
            <w:tcW w:w="585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color w:val="auto"/>
                <w:sz w:val="24"/>
                <w:szCs w:val="24"/>
                <w:highlight w:val="none"/>
                <w:lang w:val="zh-CN"/>
              </w:rPr>
            </w:pPr>
            <w:r>
              <w:rPr>
                <w:rFonts w:hint="eastAsia" w:ascii="宋体" w:hAnsi="宋体"/>
                <w:color w:val="auto"/>
                <w:sz w:val="24"/>
                <w:szCs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528"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color w:val="auto"/>
                <w:sz w:val="24"/>
                <w:szCs w:val="24"/>
                <w:highlight w:val="none"/>
                <w:lang w:val="zh-CN"/>
              </w:rPr>
            </w:pPr>
            <w:r>
              <w:rPr>
                <w:rFonts w:hint="eastAsia" w:ascii="宋体" w:hAnsi="宋体" w:cs="宋体"/>
                <w:color w:val="auto"/>
                <w:sz w:val="24"/>
                <w:szCs w:val="24"/>
                <w:highlight w:val="none"/>
                <w:lang w:val="zh-CN"/>
              </w:rPr>
              <w:t>其中：</w:t>
            </w:r>
            <w:r>
              <w:rPr>
                <w:rFonts w:hint="eastAsia" w:ascii="宋体" w:hAnsi="宋体" w:cs="宋体"/>
                <w:bCs/>
                <w:color w:val="auto"/>
                <w:sz w:val="24"/>
                <w:szCs w:val="24"/>
                <w:highlight w:val="none"/>
                <w:lang w:val="zh-CN"/>
              </w:rPr>
              <w:t>人工费</w:t>
            </w:r>
            <w:r>
              <w:rPr>
                <w:rFonts w:hint="eastAsia" w:ascii="宋体" w:hAnsi="宋体" w:cs="宋体"/>
                <w:color w:val="auto"/>
                <w:sz w:val="24"/>
                <w:szCs w:val="24"/>
                <w:highlight w:val="none"/>
                <w:lang w:val="zh-CN"/>
              </w:rPr>
              <w:t>（元）</w:t>
            </w:r>
          </w:p>
        </w:tc>
        <w:tc>
          <w:tcPr>
            <w:tcW w:w="585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color w:val="auto"/>
                <w:sz w:val="24"/>
                <w:szCs w:val="24"/>
                <w:highlight w:val="none"/>
                <w:lang w:val="zh-CN"/>
              </w:rPr>
            </w:pPr>
            <w:r>
              <w:rPr>
                <w:rFonts w:hint="eastAsia" w:ascii="宋体" w:hAnsi="宋体"/>
                <w:color w:val="auto"/>
                <w:sz w:val="24"/>
                <w:szCs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352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auto"/>
                <w:sz w:val="24"/>
                <w:szCs w:val="24"/>
                <w:highlight w:val="none"/>
                <w:lang w:val="zh-CN"/>
              </w:rPr>
            </w:pPr>
          </w:p>
        </w:tc>
        <w:tc>
          <w:tcPr>
            <w:tcW w:w="585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color w:val="auto"/>
                <w:sz w:val="24"/>
                <w:szCs w:val="24"/>
                <w:highlight w:val="none"/>
                <w:lang w:val="zh-CN"/>
              </w:rPr>
            </w:pPr>
            <w:r>
              <w:rPr>
                <w:rFonts w:hint="eastAsia" w:ascii="宋体" w:hAnsi="宋体"/>
                <w:color w:val="auto"/>
                <w:sz w:val="24"/>
                <w:szCs w:val="24"/>
                <w:highlight w:val="none"/>
              </w:rPr>
              <w:t>小写：</w:t>
            </w:r>
          </w:p>
        </w:tc>
        <w:bookmarkStart w:id="213" w:name="_Toc221951944"/>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52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其中</w:t>
            </w:r>
            <w:bookmarkEnd w:id="213"/>
            <w:r>
              <w:rPr>
                <w:rFonts w:hint="eastAsia" w:ascii="宋体" w:hAnsi="宋体" w:cs="宋体"/>
                <w:bCs/>
                <w:color w:val="auto"/>
                <w:sz w:val="24"/>
                <w:szCs w:val="24"/>
                <w:highlight w:val="none"/>
                <w:lang w:val="zh-CN"/>
              </w:rPr>
              <w:t>：安全生产措施费（元）</w:t>
            </w:r>
          </w:p>
        </w:tc>
        <w:tc>
          <w:tcPr>
            <w:tcW w:w="585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color w:val="auto"/>
                <w:sz w:val="24"/>
                <w:szCs w:val="24"/>
                <w:highlight w:val="none"/>
                <w:lang w:val="zh-CN"/>
              </w:rPr>
            </w:pPr>
            <w:r>
              <w:rPr>
                <w:rFonts w:hint="eastAsia" w:ascii="宋体" w:hAnsi="宋体"/>
                <w:color w:val="auto"/>
                <w:sz w:val="24"/>
                <w:szCs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352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bCs/>
                <w:color w:val="auto"/>
                <w:sz w:val="24"/>
                <w:szCs w:val="24"/>
                <w:highlight w:val="none"/>
                <w:lang w:val="zh-CN"/>
              </w:rPr>
            </w:pPr>
          </w:p>
        </w:tc>
        <w:tc>
          <w:tcPr>
            <w:tcW w:w="585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color w:val="auto"/>
                <w:sz w:val="24"/>
                <w:szCs w:val="24"/>
                <w:highlight w:val="none"/>
                <w:lang w:val="zh-CN"/>
              </w:rPr>
            </w:pPr>
            <w:r>
              <w:rPr>
                <w:rFonts w:hint="eastAsia" w:ascii="宋体" w:hAnsi="宋体"/>
                <w:color w:val="auto"/>
                <w:sz w:val="24"/>
                <w:szCs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3528" w:type="dxa"/>
            <w:vMerge w:val="restart"/>
            <w:tcBorders>
              <w:top w:val="single" w:color="auto" w:sz="4" w:space="0"/>
              <w:left w:val="single" w:color="auto" w:sz="4" w:space="0"/>
              <w:right w:val="single" w:color="auto" w:sz="4" w:space="0"/>
            </w:tcBorders>
            <w:vAlign w:val="center"/>
          </w:tcPr>
          <w:p>
            <w:pPr>
              <w:jc w:val="center"/>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其中：余泥</w:t>
            </w:r>
            <w:bookmarkStart w:id="214" w:name="_Toc221951945"/>
            <w:r>
              <w:rPr>
                <w:rFonts w:hint="eastAsia" w:ascii="宋体" w:hAnsi="宋体" w:cs="宋体"/>
                <w:color w:val="auto"/>
                <w:sz w:val="24"/>
                <w:szCs w:val="24"/>
                <w:highlight w:val="none"/>
                <w:lang w:val="zh-CN"/>
              </w:rPr>
              <w:t>渣土运输与</w:t>
            </w:r>
            <w:bookmarkEnd w:id="214"/>
            <w:r>
              <w:rPr>
                <w:rFonts w:hint="eastAsia" w:ascii="宋体" w:hAnsi="宋体" w:cs="宋体"/>
                <w:color w:val="auto"/>
                <w:sz w:val="24"/>
                <w:szCs w:val="24"/>
                <w:highlight w:val="none"/>
                <w:lang w:val="zh-CN"/>
              </w:rPr>
              <w:t>排放费（元）</w:t>
            </w:r>
          </w:p>
        </w:tc>
        <w:tc>
          <w:tcPr>
            <w:tcW w:w="585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hAnsi="宋体"/>
                <w:color w:val="auto"/>
                <w:sz w:val="24"/>
                <w:szCs w:val="24"/>
                <w:highlight w:val="none"/>
              </w:rPr>
            </w:pPr>
            <w:r>
              <w:rPr>
                <w:rFonts w:hint="eastAsia" w:ascii="宋体" w:hAnsi="宋体"/>
                <w:color w:val="auto"/>
                <w:sz w:val="24"/>
                <w:szCs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3528" w:type="dxa"/>
            <w:vMerge w:val="continue"/>
            <w:tcBorders>
              <w:left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lang w:val="zh-CN"/>
              </w:rPr>
            </w:pPr>
          </w:p>
        </w:tc>
        <w:tc>
          <w:tcPr>
            <w:tcW w:w="585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hAnsi="宋体"/>
                <w:color w:val="auto"/>
                <w:sz w:val="24"/>
                <w:szCs w:val="24"/>
                <w:highlight w:val="none"/>
              </w:rPr>
            </w:pPr>
            <w:r>
              <w:rPr>
                <w:rFonts w:hint="eastAsia" w:ascii="宋体" w:hAnsi="宋体"/>
                <w:color w:val="auto"/>
                <w:sz w:val="24"/>
                <w:szCs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35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投 标 总工 期</w:t>
            </w:r>
          </w:p>
        </w:tc>
        <w:tc>
          <w:tcPr>
            <w:tcW w:w="585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color w:val="auto"/>
                <w:sz w:val="24"/>
                <w:szCs w:val="24"/>
                <w:highlight w:val="none"/>
                <w:lang w:val="zh-CN"/>
              </w:rPr>
            </w:pPr>
            <w:bookmarkStart w:id="215" w:name="_Toc22195194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35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szCs w:val="24"/>
                <w:highlight w:val="none"/>
              </w:rPr>
            </w:pPr>
            <w:r>
              <w:rPr>
                <w:rFonts w:hint="eastAsia" w:ascii="宋体" w:hAnsi="宋体" w:cs="宋体"/>
                <w:color w:val="auto"/>
                <w:sz w:val="24"/>
                <w:szCs w:val="24"/>
                <w:highlight w:val="none"/>
                <w:lang w:val="zh-CN"/>
              </w:rPr>
              <w:t>工程质量要求</w:t>
            </w:r>
          </w:p>
        </w:tc>
        <w:tc>
          <w:tcPr>
            <w:tcW w:w="5851"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52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470" w:firstLineChars="196"/>
              <w:rPr>
                <w:rFonts w:ascii="宋体" w:hAnsi="宋体" w:cs="宋体"/>
                <w:bCs/>
                <w:color w:val="auto"/>
                <w:sz w:val="24"/>
                <w:szCs w:val="24"/>
                <w:highlight w:val="none"/>
                <w:lang w:val="zh-CN"/>
              </w:rPr>
            </w:pPr>
            <w:r>
              <w:rPr>
                <w:rFonts w:hint="eastAsia" w:ascii="宋体" w:hAnsi="宋体" w:cs="宋体"/>
                <w:color w:val="auto"/>
                <w:sz w:val="24"/>
                <w:szCs w:val="24"/>
                <w:highlight w:val="none"/>
                <w:lang w:val="zh-CN"/>
              </w:rPr>
              <w:t>保 修 期 限</w:t>
            </w:r>
          </w:p>
        </w:tc>
        <w:tc>
          <w:tcPr>
            <w:tcW w:w="5851"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3528"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240" w:firstLineChars="100"/>
              <w:rPr>
                <w:rFonts w:ascii="宋体" w:hAnsi="宋体" w:cs="宋体"/>
                <w:bCs/>
                <w:color w:val="auto"/>
                <w:sz w:val="24"/>
                <w:szCs w:val="24"/>
                <w:highlight w:val="none"/>
                <w:lang w:val="zh-CN"/>
              </w:rPr>
            </w:pPr>
            <w:r>
              <w:rPr>
                <w:rFonts w:hint="eastAsia" w:ascii="宋体" w:hAnsi="宋体" w:cs="宋体"/>
                <w:color w:val="auto"/>
                <w:sz w:val="24"/>
                <w:szCs w:val="24"/>
                <w:highlight w:val="none"/>
                <w:lang w:val="zh-CN"/>
              </w:rPr>
              <w:t>委派的</w:t>
            </w:r>
            <w:bookmarkEnd w:id="215"/>
            <w:r>
              <w:rPr>
                <w:rFonts w:hint="eastAsia" w:ascii="宋体" w:hAnsi="宋体" w:cs="宋体"/>
                <w:color w:val="auto"/>
                <w:sz w:val="24"/>
                <w:szCs w:val="24"/>
                <w:highlight w:val="none"/>
                <w:lang w:val="zh-CN"/>
              </w:rPr>
              <w:t>项目负</w:t>
            </w:r>
            <w:bookmarkStart w:id="216" w:name="_Toc168475917"/>
            <w:bookmarkStart w:id="217" w:name="_Toc221951947"/>
            <w:bookmarkStart w:id="218" w:name="_Toc168476320"/>
            <w:bookmarkStart w:id="219" w:name="_Toc144974859"/>
            <w:r>
              <w:rPr>
                <w:rFonts w:hint="eastAsia" w:ascii="宋体" w:hAnsi="宋体" w:cs="宋体"/>
                <w:color w:val="auto"/>
                <w:sz w:val="24"/>
                <w:szCs w:val="24"/>
                <w:highlight w:val="none"/>
                <w:lang w:val="zh-CN"/>
              </w:rPr>
              <w:t>责人</w:t>
            </w:r>
          </w:p>
        </w:tc>
        <w:tc>
          <w:tcPr>
            <w:tcW w:w="25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姓    名</w:t>
            </w:r>
          </w:p>
        </w:tc>
        <w:tc>
          <w:tcPr>
            <w:tcW w:w="3333"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352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auto"/>
                <w:sz w:val="24"/>
                <w:szCs w:val="24"/>
                <w:highlight w:val="none"/>
                <w:lang w:val="zh-CN"/>
              </w:rPr>
            </w:pPr>
          </w:p>
        </w:tc>
        <w:tc>
          <w:tcPr>
            <w:tcW w:w="25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建造师的注册编号</w:t>
            </w:r>
          </w:p>
        </w:tc>
        <w:tc>
          <w:tcPr>
            <w:tcW w:w="3333"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28" w:type="dxa"/>
            <w:vMerge w:val="restart"/>
            <w:tcBorders>
              <w:top w:val="single" w:color="auto" w:sz="4" w:space="0"/>
              <w:left w:val="single" w:color="auto" w:sz="4" w:space="0"/>
              <w:right w:val="single" w:color="auto" w:sz="4" w:space="0"/>
            </w:tcBorders>
            <w:vAlign w:val="center"/>
          </w:tcPr>
          <w:p>
            <w:pPr>
              <w:widowControl/>
              <w:ind w:firstLine="240" w:firstLineChars="100"/>
              <w:jc w:val="left"/>
              <w:rPr>
                <w:rFonts w:ascii="宋体" w:hAnsi="宋体" w:cs="宋体"/>
                <w:bCs/>
                <w:color w:val="auto"/>
                <w:sz w:val="24"/>
                <w:szCs w:val="24"/>
                <w:highlight w:val="none"/>
                <w:lang w:val="zh-CN"/>
              </w:rPr>
            </w:pPr>
            <w:r>
              <w:rPr>
                <w:rFonts w:hint="eastAsia" w:ascii="宋体" w:hAnsi="宋体" w:cs="宋体"/>
                <w:color w:val="auto"/>
                <w:sz w:val="24"/>
                <w:szCs w:val="24"/>
                <w:highlight w:val="none"/>
                <w:lang w:val="zh-CN"/>
              </w:rPr>
              <w:t>委派的技术负责人</w:t>
            </w:r>
          </w:p>
        </w:tc>
        <w:tc>
          <w:tcPr>
            <w:tcW w:w="25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姓    名</w:t>
            </w:r>
          </w:p>
        </w:tc>
        <w:tc>
          <w:tcPr>
            <w:tcW w:w="3333"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3528"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bCs/>
                <w:color w:val="auto"/>
                <w:sz w:val="24"/>
                <w:szCs w:val="24"/>
                <w:highlight w:val="none"/>
                <w:lang w:val="zh-CN"/>
              </w:rPr>
            </w:pPr>
          </w:p>
        </w:tc>
        <w:tc>
          <w:tcPr>
            <w:tcW w:w="25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证书编号</w:t>
            </w:r>
          </w:p>
        </w:tc>
        <w:tc>
          <w:tcPr>
            <w:tcW w:w="3333"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528" w:type="dxa"/>
            <w:vMerge w:val="restart"/>
            <w:tcBorders>
              <w:top w:val="single" w:color="auto" w:sz="4" w:space="0"/>
              <w:left w:val="single" w:color="auto" w:sz="4" w:space="0"/>
              <w:right w:val="single" w:color="auto" w:sz="4" w:space="0"/>
            </w:tcBorders>
            <w:vAlign w:val="center"/>
          </w:tcPr>
          <w:p>
            <w:pPr>
              <w:autoSpaceDE w:val="0"/>
              <w:autoSpaceDN w:val="0"/>
              <w:adjustRightInd w:val="0"/>
              <w:ind w:firstLine="235" w:firstLineChars="98"/>
              <w:rPr>
                <w:rFonts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委派的专职安全员</w:t>
            </w:r>
          </w:p>
        </w:tc>
        <w:tc>
          <w:tcPr>
            <w:tcW w:w="25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352" w:firstLineChars="147"/>
              <w:jc w:val="center"/>
              <w:rPr>
                <w:rFonts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姓   名</w:t>
            </w:r>
          </w:p>
        </w:tc>
        <w:tc>
          <w:tcPr>
            <w:tcW w:w="3333"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528" w:type="dxa"/>
            <w:vMerge w:val="continue"/>
            <w:tcBorders>
              <w:left w:val="single" w:color="auto" w:sz="4" w:space="0"/>
              <w:bottom w:val="single" w:color="auto" w:sz="4" w:space="0"/>
              <w:right w:val="single" w:color="auto" w:sz="4" w:space="0"/>
            </w:tcBorders>
            <w:vAlign w:val="center"/>
          </w:tcPr>
          <w:p>
            <w:pPr>
              <w:autoSpaceDE w:val="0"/>
              <w:autoSpaceDN w:val="0"/>
              <w:adjustRightInd w:val="0"/>
              <w:ind w:firstLine="235" w:firstLineChars="98"/>
              <w:rPr>
                <w:rFonts w:ascii="宋体" w:hAnsi="宋体" w:cs="宋体"/>
                <w:bCs/>
                <w:color w:val="auto"/>
                <w:sz w:val="24"/>
                <w:szCs w:val="24"/>
                <w:highlight w:val="none"/>
                <w:lang w:val="zh-CN"/>
              </w:rPr>
            </w:pPr>
          </w:p>
        </w:tc>
        <w:tc>
          <w:tcPr>
            <w:tcW w:w="25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352" w:firstLineChars="147"/>
              <w:jc w:val="center"/>
              <w:rPr>
                <w:rFonts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安全生产考核</w:t>
            </w:r>
          </w:p>
          <w:p>
            <w:pPr>
              <w:autoSpaceDE w:val="0"/>
              <w:autoSpaceDN w:val="0"/>
              <w:adjustRightInd w:val="0"/>
              <w:ind w:firstLine="352" w:firstLineChars="147"/>
              <w:jc w:val="center"/>
              <w:rPr>
                <w:rFonts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合格证（C类）编号</w:t>
            </w:r>
          </w:p>
        </w:tc>
        <w:tc>
          <w:tcPr>
            <w:tcW w:w="3333"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
                <w:bCs/>
                <w:color w:val="auto"/>
                <w:sz w:val="24"/>
                <w:szCs w:val="24"/>
                <w:highlight w:val="none"/>
                <w:lang w:val="zh-CN"/>
              </w:rPr>
            </w:pPr>
          </w:p>
        </w:tc>
      </w:tr>
    </w:tbl>
    <w:p>
      <w:pPr>
        <w:autoSpaceDE w:val="0"/>
        <w:autoSpaceDN w:val="0"/>
        <w:adjustRightInd w:val="0"/>
        <w:rPr>
          <w:rFonts w:ascii="宋体" w:hAnsi="宋体" w:cs="宋体"/>
          <w:color w:val="auto"/>
          <w:szCs w:val="21"/>
          <w:highlight w:val="none"/>
          <w:lang w:val="zh-CN"/>
        </w:rPr>
      </w:pPr>
    </w:p>
    <w:p>
      <w:pPr>
        <w:autoSpaceDE w:val="0"/>
        <w:autoSpaceDN w:val="0"/>
        <w:adjustRightInd w:val="0"/>
        <w:rPr>
          <w:rFonts w:ascii="宋体" w:hAnsi="宋体"/>
          <w:color w:val="auto"/>
          <w:szCs w:val="21"/>
          <w:highlight w:val="none"/>
        </w:rPr>
      </w:pPr>
      <w:r>
        <w:rPr>
          <w:rFonts w:hint="eastAsia" w:ascii="宋体" w:hAnsi="宋体" w:cs="宋体"/>
          <w:color w:val="auto"/>
          <w:szCs w:val="21"/>
          <w:highlight w:val="none"/>
          <w:lang w:val="zh-CN"/>
        </w:rPr>
        <w:t>注：本表所报委派的项目负责人、安全员的姓名及相关资料，须与本企业在广州公共资源交易信息登记平台一致。</w:t>
      </w:r>
    </w:p>
    <w:bookmarkEnd w:id="216"/>
    <w:bookmarkEnd w:id="217"/>
    <w:bookmarkEnd w:id="218"/>
    <w:bookmarkEnd w:id="219"/>
    <w:p>
      <w:pPr>
        <w:spacing w:line="400" w:lineRule="exact"/>
        <w:jc w:val="center"/>
        <w:rPr>
          <w:rFonts w:ascii="宋体" w:hAnsi="宋体"/>
          <w:color w:val="auto"/>
          <w:sz w:val="19"/>
          <w:szCs w:val="19"/>
          <w:highlight w:val="none"/>
        </w:rPr>
      </w:pPr>
    </w:p>
    <w:p>
      <w:pPr>
        <w:spacing w:line="400" w:lineRule="exact"/>
        <w:jc w:val="center"/>
        <w:rPr>
          <w:rFonts w:ascii="宋体" w:hAnsi="宋体"/>
          <w:color w:val="auto"/>
          <w:sz w:val="19"/>
          <w:szCs w:val="19"/>
          <w:highlight w:val="none"/>
        </w:rPr>
      </w:pPr>
    </w:p>
    <w:p>
      <w:pPr>
        <w:spacing w:line="360" w:lineRule="auto"/>
        <w:jc w:val="center"/>
        <w:outlineLvl w:val="2"/>
        <w:rPr>
          <w:rFonts w:ascii="宋体" w:hAnsi="宋体"/>
          <w:color w:val="auto"/>
          <w:sz w:val="28"/>
          <w:szCs w:val="27"/>
          <w:highlight w:val="none"/>
        </w:rPr>
      </w:pPr>
      <w:bookmarkStart w:id="220" w:name="_Toc21787762"/>
      <w:r>
        <w:rPr>
          <w:rFonts w:ascii="宋体" w:hAnsi="宋体"/>
          <w:color w:val="auto"/>
          <w:sz w:val="28"/>
          <w:szCs w:val="27"/>
          <w:highlight w:val="none"/>
        </w:rPr>
        <w:t>二、法定代表人身份证明</w:t>
      </w:r>
      <w:bookmarkEnd w:id="220"/>
    </w:p>
    <w:p>
      <w:pPr>
        <w:spacing w:line="400" w:lineRule="exact"/>
        <w:rPr>
          <w:rFonts w:ascii="宋体" w:hAnsi="宋体"/>
          <w:color w:val="auto"/>
          <w:sz w:val="19"/>
          <w:szCs w:val="19"/>
          <w:highlight w:val="none"/>
        </w:rPr>
      </w:pPr>
    </w:p>
    <w:p>
      <w:pPr>
        <w:spacing w:line="400" w:lineRule="exact"/>
        <w:rPr>
          <w:rFonts w:ascii="宋体" w:hAnsi="宋体"/>
          <w:color w:val="auto"/>
          <w:szCs w:val="21"/>
          <w:highlight w:val="none"/>
        </w:rPr>
      </w:pPr>
    </w:p>
    <w:p>
      <w:pPr>
        <w:spacing w:line="400" w:lineRule="exact"/>
        <w:rPr>
          <w:rFonts w:ascii="宋体" w:hAnsi="宋体"/>
          <w:color w:val="auto"/>
          <w:szCs w:val="21"/>
          <w:highlight w:val="none"/>
        </w:rPr>
      </w:pPr>
      <w:r>
        <w:rPr>
          <w:rFonts w:ascii="宋体" w:hAnsi="宋体"/>
          <w:color w:val="auto"/>
          <w:szCs w:val="21"/>
          <w:highlight w:val="none"/>
        </w:rPr>
        <w:t>投标人名称：</w:t>
      </w:r>
    </w:p>
    <w:p>
      <w:pPr>
        <w:spacing w:line="400" w:lineRule="exact"/>
        <w:rPr>
          <w:rFonts w:ascii="宋体" w:hAnsi="宋体"/>
          <w:color w:val="auto"/>
          <w:szCs w:val="21"/>
          <w:highlight w:val="none"/>
        </w:rPr>
      </w:pPr>
      <w:r>
        <w:rPr>
          <w:rFonts w:ascii="宋体" w:hAnsi="宋体"/>
          <w:color w:val="auto"/>
          <w:szCs w:val="21"/>
          <w:highlight w:val="none"/>
        </w:rPr>
        <w:t>单位性质：</w:t>
      </w:r>
    </w:p>
    <w:p>
      <w:pPr>
        <w:spacing w:line="400" w:lineRule="exact"/>
        <w:rPr>
          <w:rFonts w:ascii="宋体" w:hAnsi="宋体"/>
          <w:color w:val="auto"/>
          <w:szCs w:val="21"/>
          <w:highlight w:val="none"/>
        </w:rPr>
      </w:pPr>
      <w:r>
        <w:rPr>
          <w:rFonts w:ascii="宋体" w:hAnsi="宋体"/>
          <w:color w:val="auto"/>
          <w:szCs w:val="21"/>
          <w:highlight w:val="none"/>
        </w:rPr>
        <w:t>地址：</w:t>
      </w:r>
    </w:p>
    <w:p>
      <w:pPr>
        <w:spacing w:line="400" w:lineRule="exact"/>
        <w:rPr>
          <w:rFonts w:ascii="宋体" w:hAnsi="宋体"/>
          <w:color w:val="auto"/>
          <w:szCs w:val="21"/>
          <w:highlight w:val="none"/>
        </w:rPr>
      </w:pPr>
      <w:r>
        <w:rPr>
          <w:rFonts w:ascii="宋体" w:hAnsi="宋体"/>
          <w:color w:val="auto"/>
          <w:szCs w:val="21"/>
          <w:highlight w:val="none"/>
        </w:rPr>
        <w:t>成立时间： 年 月 日</w:t>
      </w:r>
    </w:p>
    <w:p>
      <w:pPr>
        <w:spacing w:line="400" w:lineRule="exact"/>
        <w:rPr>
          <w:rFonts w:ascii="宋体" w:hAnsi="宋体"/>
          <w:color w:val="auto"/>
          <w:szCs w:val="21"/>
          <w:highlight w:val="none"/>
        </w:rPr>
      </w:pPr>
      <w:r>
        <w:rPr>
          <w:rFonts w:ascii="宋体" w:hAnsi="宋体"/>
          <w:color w:val="auto"/>
          <w:szCs w:val="21"/>
          <w:highlight w:val="none"/>
        </w:rPr>
        <w:t>经营期限：</w:t>
      </w:r>
    </w:p>
    <w:p>
      <w:pPr>
        <w:spacing w:line="400" w:lineRule="exact"/>
        <w:rPr>
          <w:rFonts w:ascii="宋体" w:hAnsi="宋体"/>
          <w:color w:val="auto"/>
          <w:szCs w:val="21"/>
          <w:highlight w:val="none"/>
        </w:rPr>
      </w:pPr>
      <w:r>
        <w:rPr>
          <w:rFonts w:ascii="宋体" w:hAnsi="宋体"/>
          <w:color w:val="auto"/>
          <w:szCs w:val="21"/>
          <w:highlight w:val="none"/>
        </w:rPr>
        <w:t>姓名：</w:t>
      </w:r>
      <w:r>
        <w:rPr>
          <w:rFonts w:hint="eastAsia" w:ascii="宋体" w:hAnsi="宋体"/>
          <w:color w:val="auto"/>
          <w:szCs w:val="21"/>
          <w:highlight w:val="none"/>
        </w:rPr>
        <w:t xml:space="preserve">  </w:t>
      </w:r>
      <w:r>
        <w:rPr>
          <w:rFonts w:ascii="宋体" w:hAnsi="宋体"/>
          <w:color w:val="auto"/>
          <w:szCs w:val="21"/>
          <w:highlight w:val="none"/>
        </w:rPr>
        <w:t xml:space="preserve"> 性别：</w:t>
      </w:r>
      <w:r>
        <w:rPr>
          <w:rFonts w:hint="eastAsia" w:ascii="宋体" w:hAnsi="宋体"/>
          <w:color w:val="auto"/>
          <w:szCs w:val="21"/>
          <w:highlight w:val="none"/>
        </w:rPr>
        <w:t xml:space="preserve">  </w:t>
      </w:r>
      <w:r>
        <w:rPr>
          <w:rFonts w:ascii="宋体" w:hAnsi="宋体"/>
          <w:color w:val="auto"/>
          <w:szCs w:val="21"/>
          <w:highlight w:val="none"/>
        </w:rPr>
        <w:t xml:space="preserve"> 年龄：</w:t>
      </w:r>
      <w:r>
        <w:rPr>
          <w:rFonts w:hint="eastAsia" w:ascii="宋体" w:hAnsi="宋体"/>
          <w:color w:val="auto"/>
          <w:szCs w:val="21"/>
          <w:highlight w:val="none"/>
        </w:rPr>
        <w:t xml:space="preserve">  身份证号码：</w:t>
      </w:r>
      <w:bookmarkStart w:id="221" w:name="_Toc144974860"/>
      <w:bookmarkEnd w:id="221"/>
      <w:bookmarkStart w:id="222" w:name="_Toc168476321"/>
      <w:bookmarkEnd w:id="222"/>
      <w:bookmarkStart w:id="223" w:name="_Toc222032730"/>
      <w:bookmarkEnd w:id="223"/>
      <w:bookmarkStart w:id="224" w:name="_Toc259524415"/>
      <w:bookmarkEnd w:id="224"/>
      <w:bookmarkStart w:id="225" w:name="_Toc221952013"/>
      <w:bookmarkEnd w:id="225"/>
      <w:bookmarkStart w:id="226" w:name="_Toc359263282"/>
      <w:bookmarkEnd w:id="226"/>
      <w:bookmarkStart w:id="227" w:name="_Toc222029561"/>
      <w:bookmarkEnd w:id="227"/>
      <w:bookmarkStart w:id="228" w:name="_Toc222033912"/>
      <w:bookmarkEnd w:id="228"/>
      <w:bookmarkStart w:id="229" w:name="_Toc168475918"/>
      <w:bookmarkEnd w:id="229"/>
      <w:bookmarkStart w:id="230" w:name="_Toc222031063"/>
      <w:bookmarkEnd w:id="230"/>
      <w:bookmarkStart w:id="231" w:name="_Toc229305421"/>
      <w:bookmarkEnd w:id="231"/>
      <w:bookmarkStart w:id="232" w:name="_Toc221952014"/>
      <w:r>
        <w:rPr>
          <w:rFonts w:hint="eastAsia" w:ascii="宋体" w:hAnsi="宋体"/>
          <w:color w:val="auto"/>
          <w:szCs w:val="21"/>
          <w:highlight w:val="none"/>
        </w:rPr>
        <w:t xml:space="preserve">  </w:t>
      </w:r>
      <w:r>
        <w:rPr>
          <w:rFonts w:ascii="宋体" w:hAnsi="宋体"/>
          <w:color w:val="auto"/>
          <w:szCs w:val="21"/>
          <w:highlight w:val="none"/>
        </w:rPr>
        <w:t>职务：</w:t>
      </w:r>
      <w:bookmarkEnd w:id="232"/>
      <w:r>
        <w:rPr>
          <w:rFonts w:ascii="宋体" w:hAnsi="宋体"/>
          <w:color w:val="auto"/>
          <w:szCs w:val="21"/>
          <w:highlight w:val="none"/>
        </w:rPr>
        <w:t>系</w:t>
      </w:r>
      <w:bookmarkStart w:id="233" w:name="_Toc221952015"/>
      <w:r>
        <w:rPr>
          <w:rFonts w:ascii="宋体" w:hAnsi="宋体"/>
          <w:color w:val="auto"/>
          <w:szCs w:val="21"/>
          <w:highlight w:val="none"/>
        </w:rPr>
        <w:t xml:space="preserve"> (投标人</w:t>
      </w:r>
      <w:bookmarkEnd w:id="233"/>
      <w:r>
        <w:rPr>
          <w:rFonts w:ascii="宋体" w:hAnsi="宋体"/>
          <w:color w:val="auto"/>
          <w:szCs w:val="21"/>
          <w:highlight w:val="none"/>
        </w:rPr>
        <w:t>名称)的法定代表人。</w:t>
      </w:r>
    </w:p>
    <w:p>
      <w:pPr>
        <w:spacing w:line="400" w:lineRule="exact"/>
        <w:ind w:firstLine="420" w:firstLineChars="200"/>
        <w:rPr>
          <w:rFonts w:ascii="宋体" w:hAnsi="宋体"/>
          <w:color w:val="auto"/>
          <w:szCs w:val="21"/>
          <w:highlight w:val="none"/>
        </w:rPr>
      </w:pPr>
      <w:r>
        <w:rPr>
          <w:rFonts w:ascii="宋体" w:hAnsi="宋体"/>
          <w:color w:val="auto"/>
          <w:szCs w:val="21"/>
          <w:highlight w:val="none"/>
        </w:rPr>
        <w:t>特此证明。</w:t>
      </w:r>
    </w:p>
    <w:p>
      <w:pPr>
        <w:spacing w:line="400" w:lineRule="exact"/>
        <w:rPr>
          <w:rFonts w:ascii="宋体" w:hAnsi="宋体"/>
          <w:color w:val="auto"/>
          <w:szCs w:val="21"/>
          <w:highlight w:val="none"/>
        </w:rPr>
      </w:pPr>
    </w:p>
    <w:p>
      <w:pPr>
        <w:spacing w:line="400" w:lineRule="exact"/>
        <w:rPr>
          <w:rFonts w:ascii="宋体" w:hAnsi="宋体"/>
          <w:color w:val="auto"/>
          <w:szCs w:val="21"/>
          <w:highlight w:val="none"/>
        </w:rPr>
      </w:pPr>
      <w:r>
        <w:rPr>
          <w:rFonts w:hint="eastAsia" w:ascii="宋体" w:hAnsi="宋体"/>
          <w:color w:val="auto"/>
          <w:szCs w:val="21"/>
          <w:highlight w:val="none"/>
        </w:rPr>
        <w:t>附：法定代表人身份证正反面彩色扫描件。</w:t>
      </w:r>
    </w:p>
    <w:p>
      <w:pPr>
        <w:spacing w:line="400" w:lineRule="exact"/>
        <w:rPr>
          <w:rFonts w:ascii="宋体" w:hAnsi="宋体"/>
          <w:color w:val="auto"/>
          <w:szCs w:val="21"/>
          <w:highlight w:val="none"/>
        </w:rPr>
      </w:pPr>
    </w:p>
    <w:p>
      <w:pPr>
        <w:spacing w:line="400" w:lineRule="exact"/>
        <w:rPr>
          <w:rFonts w:ascii="宋体" w:hAnsi="宋体"/>
          <w:color w:val="auto"/>
          <w:szCs w:val="21"/>
          <w:highlight w:val="none"/>
        </w:rPr>
      </w:pPr>
    </w:p>
    <w:p>
      <w:pPr>
        <w:spacing w:line="400" w:lineRule="exact"/>
        <w:jc w:val="right"/>
        <w:rPr>
          <w:rFonts w:ascii="宋体" w:hAnsi="宋体"/>
          <w:color w:val="auto"/>
          <w:szCs w:val="21"/>
          <w:highlight w:val="none"/>
        </w:rPr>
      </w:pPr>
      <w:r>
        <w:rPr>
          <w:rFonts w:ascii="宋体" w:hAnsi="宋体"/>
          <w:color w:val="auto"/>
          <w:szCs w:val="21"/>
          <w:highlight w:val="none"/>
        </w:rPr>
        <w:t>投标人：</w:t>
      </w:r>
      <w:bookmarkStart w:id="234" w:name="_Toc221952016"/>
      <w:bookmarkEnd w:id="234"/>
      <w:r>
        <w:rPr>
          <w:rFonts w:ascii="宋体" w:hAnsi="宋体"/>
          <w:color w:val="auto"/>
          <w:szCs w:val="21"/>
          <w:highlight w:val="none"/>
        </w:rPr>
        <w:t>（盖单位章）</w:t>
      </w:r>
    </w:p>
    <w:p>
      <w:pPr>
        <w:spacing w:line="400" w:lineRule="exact"/>
        <w:jc w:val="right"/>
        <w:rPr>
          <w:rFonts w:ascii="宋体" w:hAnsi="宋体"/>
          <w:color w:val="auto"/>
          <w:szCs w:val="21"/>
          <w:highlight w:val="none"/>
        </w:rPr>
      </w:pPr>
    </w:p>
    <w:p>
      <w:pPr>
        <w:spacing w:line="400" w:lineRule="exact"/>
        <w:jc w:val="right"/>
        <w:rPr>
          <w:rFonts w:ascii="宋体" w:hAnsi="宋体"/>
          <w:color w:val="auto"/>
          <w:szCs w:val="21"/>
          <w:highlight w:val="none"/>
        </w:rPr>
      </w:pPr>
      <w:r>
        <w:rPr>
          <w:rFonts w:ascii="宋体" w:hAnsi="宋体"/>
          <w:color w:val="auto"/>
          <w:szCs w:val="21"/>
          <w:highlight w:val="none"/>
        </w:rPr>
        <w:t>年</w:t>
      </w:r>
      <w:r>
        <w:rPr>
          <w:rFonts w:hint="eastAsia" w:ascii="宋体" w:hAnsi="宋体"/>
          <w:color w:val="auto"/>
          <w:szCs w:val="21"/>
          <w:highlight w:val="none"/>
        </w:rPr>
        <w:t xml:space="preserve">  </w:t>
      </w:r>
      <w:r>
        <w:rPr>
          <w:rFonts w:ascii="宋体" w:hAnsi="宋体"/>
          <w:color w:val="auto"/>
          <w:szCs w:val="21"/>
          <w:highlight w:val="none"/>
        </w:rPr>
        <w:t>月</w:t>
      </w:r>
      <w:r>
        <w:rPr>
          <w:rFonts w:hint="eastAsia" w:ascii="宋体" w:hAnsi="宋体"/>
          <w:color w:val="auto"/>
          <w:szCs w:val="21"/>
          <w:highlight w:val="none"/>
        </w:rPr>
        <w:t xml:space="preserve">  </w:t>
      </w:r>
      <w:r>
        <w:rPr>
          <w:rFonts w:ascii="宋体" w:hAnsi="宋体"/>
          <w:color w:val="auto"/>
          <w:szCs w:val="21"/>
          <w:highlight w:val="none"/>
        </w:rPr>
        <w:t xml:space="preserve"> 日 </w:t>
      </w:r>
      <w:bookmarkStart w:id="235" w:name="_Toc221952017"/>
    </w:p>
    <w:p>
      <w:pPr>
        <w:spacing w:line="400" w:lineRule="exact"/>
        <w:jc w:val="center"/>
        <w:rPr>
          <w:rFonts w:ascii="宋体" w:hAnsi="宋体"/>
          <w:color w:val="auto"/>
          <w:sz w:val="19"/>
          <w:szCs w:val="19"/>
          <w:highlight w:val="none"/>
        </w:rPr>
      </w:pPr>
      <w:r>
        <w:rPr>
          <w:rFonts w:ascii="宋体" w:hAnsi="宋体"/>
          <w:color w:val="auto"/>
          <w:szCs w:val="21"/>
          <w:highlight w:val="none"/>
        </w:rPr>
        <w:br w:type="page"/>
      </w:r>
    </w:p>
    <w:p>
      <w:pPr>
        <w:spacing w:line="360" w:lineRule="auto"/>
        <w:jc w:val="center"/>
        <w:outlineLvl w:val="2"/>
        <w:rPr>
          <w:rFonts w:ascii="宋体" w:hAnsi="宋体"/>
          <w:color w:val="auto"/>
          <w:sz w:val="28"/>
          <w:szCs w:val="27"/>
          <w:highlight w:val="none"/>
        </w:rPr>
      </w:pPr>
      <w:bookmarkStart w:id="236" w:name="_Toc21787763"/>
      <w:r>
        <w:rPr>
          <w:rFonts w:hint="eastAsia" w:ascii="宋体" w:hAnsi="宋体"/>
          <w:color w:val="auto"/>
          <w:sz w:val="28"/>
          <w:szCs w:val="27"/>
          <w:highlight w:val="none"/>
        </w:rPr>
        <w:t>三</w:t>
      </w:r>
      <w:r>
        <w:rPr>
          <w:rFonts w:ascii="宋体" w:hAnsi="宋体"/>
          <w:color w:val="auto"/>
          <w:sz w:val="28"/>
          <w:szCs w:val="27"/>
          <w:highlight w:val="none"/>
        </w:rPr>
        <w:t>、授权委托书</w:t>
      </w:r>
      <w:bookmarkEnd w:id="236"/>
    </w:p>
    <w:p>
      <w:pPr>
        <w:spacing w:line="400" w:lineRule="exact"/>
        <w:rPr>
          <w:rFonts w:ascii="宋体" w:hAnsi="宋体"/>
          <w:color w:val="auto"/>
          <w:sz w:val="20"/>
          <w:szCs w:val="20"/>
          <w:highlight w:val="none"/>
        </w:rPr>
      </w:pPr>
    </w:p>
    <w:p>
      <w:pPr>
        <w:topLinePunct/>
        <w:spacing w:line="400" w:lineRule="exact"/>
        <w:ind w:firstLine="420" w:firstLineChars="200"/>
        <w:rPr>
          <w:rFonts w:ascii="宋体" w:hAnsi="宋体"/>
          <w:color w:val="auto"/>
          <w:szCs w:val="21"/>
          <w:highlight w:val="none"/>
        </w:rPr>
      </w:pPr>
      <w:r>
        <w:rPr>
          <w:rFonts w:ascii="宋体" w:hAnsi="宋体"/>
          <w:color w:val="auto"/>
          <w:szCs w:val="21"/>
          <w:highlight w:val="none"/>
        </w:rPr>
        <w:t>本人（姓名）系</w:t>
      </w:r>
      <w:bookmarkEnd w:id="235"/>
      <w:r>
        <w:rPr>
          <w:rFonts w:ascii="宋体" w:hAnsi="宋体"/>
          <w:color w:val="auto"/>
          <w:szCs w:val="21"/>
          <w:highlight w:val="none"/>
        </w:rPr>
        <w:t>（</w:t>
      </w:r>
      <w:bookmarkStart w:id="237" w:name="_Toc221952018"/>
      <w:r>
        <w:rPr>
          <w:rFonts w:ascii="宋体" w:hAnsi="宋体"/>
          <w:color w:val="auto"/>
          <w:szCs w:val="21"/>
          <w:highlight w:val="none"/>
        </w:rPr>
        <w:t>投标人名称</w:t>
      </w:r>
      <w:bookmarkEnd w:id="237"/>
      <w:r>
        <w:rPr>
          <w:rFonts w:ascii="宋体" w:hAnsi="宋体"/>
          <w:color w:val="auto"/>
          <w:szCs w:val="21"/>
          <w:highlight w:val="none"/>
        </w:rPr>
        <w:t>）的法定代表人，现委托（姓名）为我方代理人。代理</w:t>
      </w:r>
      <w:bookmarkStart w:id="238" w:name="_Toc221952019"/>
      <w:r>
        <w:rPr>
          <w:rFonts w:ascii="宋体" w:hAnsi="宋体"/>
          <w:color w:val="auto"/>
          <w:szCs w:val="21"/>
          <w:highlight w:val="none"/>
        </w:rPr>
        <w:t>人根据授权，以我方名义签署、澄清、</w:t>
      </w:r>
      <w:r>
        <w:rPr>
          <w:rFonts w:hint="eastAsia" w:ascii="宋体" w:hAnsi="宋体"/>
          <w:color w:val="auto"/>
          <w:szCs w:val="21"/>
          <w:highlight w:val="none"/>
        </w:rPr>
        <w:t>说明、补正、</w:t>
      </w:r>
      <w:r>
        <w:rPr>
          <w:rFonts w:ascii="宋体" w:hAnsi="宋体"/>
          <w:color w:val="auto"/>
          <w:szCs w:val="21"/>
          <w:highlight w:val="none"/>
        </w:rPr>
        <w:t>递交、撤回、修改（项目名称）</w:t>
      </w:r>
      <w:r>
        <w:rPr>
          <w:rFonts w:hint="eastAsia" w:ascii="宋体" w:hAnsi="宋体"/>
          <w:color w:val="auto"/>
          <w:szCs w:val="21"/>
          <w:highlight w:val="none"/>
        </w:rPr>
        <w:t>（标段名称）</w:t>
      </w:r>
      <w:bookmarkEnd w:id="238"/>
      <w:r>
        <w:rPr>
          <w:rFonts w:ascii="宋体" w:hAnsi="宋体"/>
          <w:color w:val="auto"/>
          <w:szCs w:val="21"/>
          <w:highlight w:val="none"/>
        </w:rPr>
        <w:t>投标文件、签订合同和处理有</w:t>
      </w:r>
      <w:bookmarkStart w:id="239" w:name="_Toc221952020"/>
      <w:r>
        <w:rPr>
          <w:rFonts w:ascii="宋体" w:hAnsi="宋体"/>
          <w:color w:val="auto"/>
          <w:szCs w:val="21"/>
          <w:highlight w:val="none"/>
        </w:rPr>
        <w:t>关事宜，其法律后果由我方承担。</w:t>
      </w:r>
    </w:p>
    <w:p>
      <w:pPr>
        <w:spacing w:line="400" w:lineRule="exact"/>
        <w:rPr>
          <w:rFonts w:ascii="宋体" w:hAnsi="宋体"/>
          <w:color w:val="auto"/>
          <w:szCs w:val="21"/>
          <w:highlight w:val="none"/>
        </w:rPr>
      </w:pPr>
      <w:r>
        <w:rPr>
          <w:rFonts w:ascii="宋体" w:hAnsi="宋体"/>
          <w:color w:val="auto"/>
          <w:szCs w:val="21"/>
          <w:highlight w:val="none"/>
        </w:rPr>
        <w:t>委托期限：</w:t>
      </w:r>
      <w:bookmarkEnd w:id="239"/>
      <w:bookmarkStart w:id="240" w:name="_Toc221952021"/>
      <w:r>
        <w:rPr>
          <w:rFonts w:hint="eastAsia" w:ascii="宋体" w:hAnsi="宋体"/>
          <w:color w:val="auto"/>
          <w:szCs w:val="21"/>
          <w:highlight w:val="none"/>
        </w:rPr>
        <w:t>。</w:t>
      </w:r>
      <w:bookmarkEnd w:id="240"/>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代理人</w:t>
      </w:r>
      <w:bookmarkStart w:id="241" w:name="_Toc221952022"/>
      <w:r>
        <w:rPr>
          <w:rFonts w:hint="eastAsia" w:ascii="宋体" w:hAnsi="宋体"/>
          <w:color w:val="auto"/>
          <w:szCs w:val="21"/>
          <w:highlight w:val="none"/>
        </w:rPr>
        <w:t>无转委托权。代理人为投标人正式职工（提供最近1个月的社</w:t>
      </w:r>
      <w:bookmarkEnd w:id="241"/>
      <w:r>
        <w:rPr>
          <w:rFonts w:hint="eastAsia" w:ascii="宋体" w:hAnsi="宋体"/>
          <w:color w:val="auto"/>
          <w:szCs w:val="21"/>
          <w:highlight w:val="none"/>
        </w:rPr>
        <w:t>保证明）</w:t>
      </w:r>
    </w:p>
    <w:p>
      <w:pPr>
        <w:spacing w:line="400" w:lineRule="exact"/>
        <w:ind w:firstLine="420" w:firstLineChars="200"/>
        <w:rPr>
          <w:rFonts w:ascii="宋体" w:hAnsi="宋体"/>
          <w:color w:val="auto"/>
          <w:szCs w:val="21"/>
          <w:highlight w:val="none"/>
        </w:rPr>
      </w:pP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附：委托代</w:t>
      </w:r>
      <w:bookmarkStart w:id="242" w:name="_Toc221952023"/>
      <w:r>
        <w:rPr>
          <w:rFonts w:hint="eastAsia" w:ascii="宋体" w:hAnsi="宋体"/>
          <w:color w:val="auto"/>
          <w:szCs w:val="21"/>
          <w:highlight w:val="none"/>
        </w:rPr>
        <w:t>理人身份证正反面和社保证明扫描件。</w:t>
      </w:r>
    </w:p>
    <w:p>
      <w:pPr>
        <w:spacing w:line="400" w:lineRule="exact"/>
        <w:rPr>
          <w:rFonts w:ascii="宋体" w:hAnsi="宋体"/>
          <w:color w:val="auto"/>
          <w:szCs w:val="21"/>
          <w:highlight w:val="none"/>
        </w:rPr>
      </w:pPr>
    </w:p>
    <w:p>
      <w:pPr>
        <w:spacing w:line="400" w:lineRule="exact"/>
        <w:rPr>
          <w:rFonts w:ascii="宋体" w:hAnsi="宋体"/>
          <w:color w:val="auto"/>
          <w:szCs w:val="21"/>
          <w:highlight w:val="none"/>
        </w:rPr>
      </w:pPr>
    </w:p>
    <w:p>
      <w:pPr>
        <w:spacing w:line="400" w:lineRule="exact"/>
        <w:rPr>
          <w:rFonts w:ascii="宋体" w:hAnsi="宋体"/>
          <w:color w:val="auto"/>
          <w:szCs w:val="21"/>
          <w:highlight w:val="none"/>
        </w:rPr>
      </w:pPr>
    </w:p>
    <w:bookmarkEnd w:id="242"/>
    <w:p>
      <w:pPr>
        <w:spacing w:line="400" w:lineRule="exact"/>
        <w:jc w:val="right"/>
        <w:rPr>
          <w:rFonts w:ascii="宋体" w:hAnsi="宋体"/>
          <w:color w:val="auto"/>
          <w:szCs w:val="21"/>
          <w:highlight w:val="none"/>
        </w:rPr>
      </w:pPr>
      <w:r>
        <w:rPr>
          <w:rFonts w:ascii="宋体" w:hAnsi="宋体"/>
          <w:color w:val="auto"/>
          <w:szCs w:val="21"/>
          <w:highlight w:val="none"/>
        </w:rPr>
        <w:t>投标人：</w:t>
      </w:r>
      <w:bookmarkStart w:id="243" w:name="_Toc168475919"/>
      <w:bookmarkEnd w:id="243"/>
      <w:bookmarkStart w:id="244" w:name="_Toc222033913"/>
      <w:bookmarkEnd w:id="244"/>
      <w:bookmarkStart w:id="245" w:name="_Toc359263283"/>
      <w:bookmarkEnd w:id="245"/>
      <w:bookmarkStart w:id="246" w:name="_Toc168476322"/>
      <w:bookmarkEnd w:id="246"/>
      <w:bookmarkStart w:id="247" w:name="_Toc229305422"/>
      <w:bookmarkEnd w:id="247"/>
      <w:bookmarkStart w:id="248" w:name="_Toc259524416"/>
      <w:bookmarkEnd w:id="248"/>
      <w:bookmarkStart w:id="249" w:name="_Toc144974861"/>
      <w:bookmarkEnd w:id="249"/>
      <w:bookmarkStart w:id="250" w:name="_Toc222031064"/>
      <w:bookmarkEnd w:id="250"/>
      <w:bookmarkStart w:id="251" w:name="_Toc222032731"/>
      <w:bookmarkEnd w:id="251"/>
      <w:bookmarkStart w:id="252" w:name="_Toc222029562"/>
      <w:bookmarkEnd w:id="252"/>
      <w:bookmarkStart w:id="253" w:name="_Toc221952024"/>
      <w:bookmarkEnd w:id="253"/>
      <w:bookmarkStart w:id="254" w:name="_Toc221952025"/>
      <w:r>
        <w:rPr>
          <w:rFonts w:ascii="宋体" w:hAnsi="宋体"/>
          <w:color w:val="auto"/>
          <w:szCs w:val="21"/>
          <w:highlight w:val="none"/>
        </w:rPr>
        <w:t>（盖单位章）</w:t>
      </w:r>
    </w:p>
    <w:p>
      <w:pPr>
        <w:spacing w:line="400" w:lineRule="exact"/>
        <w:jc w:val="right"/>
        <w:rPr>
          <w:rFonts w:ascii="宋体" w:hAnsi="宋体"/>
          <w:color w:val="auto"/>
          <w:szCs w:val="21"/>
          <w:highlight w:val="none"/>
        </w:rPr>
      </w:pPr>
    </w:p>
    <w:p>
      <w:pPr>
        <w:wordWrap w:val="0"/>
        <w:spacing w:line="400" w:lineRule="exact"/>
        <w:jc w:val="right"/>
        <w:rPr>
          <w:rFonts w:ascii="宋体" w:hAnsi="宋体"/>
          <w:color w:val="auto"/>
          <w:szCs w:val="21"/>
          <w:highlight w:val="none"/>
        </w:rPr>
      </w:pPr>
      <w:r>
        <w:rPr>
          <w:rFonts w:ascii="宋体" w:hAnsi="宋体"/>
          <w:color w:val="auto"/>
          <w:szCs w:val="21"/>
          <w:highlight w:val="none"/>
        </w:rPr>
        <w:t>法定代表人：（</w:t>
      </w:r>
      <w:r>
        <w:rPr>
          <w:rFonts w:hint="eastAsia" w:ascii="宋体" w:hAnsi="宋体"/>
          <w:color w:val="auto"/>
          <w:szCs w:val="21"/>
          <w:highlight w:val="none"/>
        </w:rPr>
        <w:t>签字</w:t>
      </w:r>
      <w:r>
        <w:rPr>
          <w:rFonts w:ascii="宋体" w:hAnsi="宋体"/>
          <w:color w:val="auto"/>
          <w:szCs w:val="21"/>
          <w:highlight w:val="none"/>
        </w:rPr>
        <w:t>）</w:t>
      </w:r>
    </w:p>
    <w:p>
      <w:pPr>
        <w:spacing w:line="400" w:lineRule="exact"/>
        <w:jc w:val="right"/>
        <w:rPr>
          <w:rFonts w:ascii="宋体" w:hAnsi="宋体"/>
          <w:color w:val="auto"/>
          <w:szCs w:val="21"/>
          <w:highlight w:val="none"/>
        </w:rPr>
      </w:pPr>
    </w:p>
    <w:p>
      <w:pPr>
        <w:spacing w:line="400" w:lineRule="exact"/>
        <w:ind w:right="420" w:firstLine="2940" w:firstLineChars="1400"/>
        <w:rPr>
          <w:rFonts w:ascii="宋体" w:hAnsi="宋体"/>
          <w:color w:val="auto"/>
          <w:szCs w:val="21"/>
          <w:highlight w:val="none"/>
        </w:rPr>
      </w:pPr>
      <w:r>
        <w:rPr>
          <w:rFonts w:ascii="宋体" w:hAnsi="宋体"/>
          <w:color w:val="auto"/>
          <w:szCs w:val="21"/>
          <w:highlight w:val="none"/>
        </w:rPr>
        <w:t>身份证号码：</w:t>
      </w:r>
    </w:p>
    <w:p>
      <w:pPr>
        <w:spacing w:line="400" w:lineRule="exact"/>
        <w:jc w:val="right"/>
        <w:rPr>
          <w:rFonts w:ascii="宋体" w:hAnsi="宋体"/>
          <w:color w:val="auto"/>
          <w:szCs w:val="21"/>
          <w:highlight w:val="none"/>
        </w:rPr>
      </w:pPr>
    </w:p>
    <w:p>
      <w:pPr>
        <w:wordWrap w:val="0"/>
        <w:spacing w:line="400" w:lineRule="exact"/>
        <w:jc w:val="right"/>
        <w:rPr>
          <w:rFonts w:ascii="宋体" w:hAnsi="宋体"/>
          <w:color w:val="auto"/>
          <w:szCs w:val="21"/>
          <w:highlight w:val="none"/>
        </w:rPr>
      </w:pPr>
      <w:r>
        <w:rPr>
          <w:rFonts w:hint="eastAsia" w:ascii="宋体" w:hAnsi="宋体"/>
          <w:color w:val="auto"/>
          <w:szCs w:val="21"/>
          <w:highlight w:val="none"/>
        </w:rPr>
        <w:t>委托</w:t>
      </w:r>
      <w:r>
        <w:rPr>
          <w:rFonts w:ascii="宋体" w:hAnsi="宋体"/>
          <w:color w:val="auto"/>
          <w:szCs w:val="21"/>
          <w:highlight w:val="none"/>
        </w:rPr>
        <w:t>代理人：</w:t>
      </w:r>
      <w:r>
        <w:rPr>
          <w:rFonts w:hint="eastAsia" w:ascii="宋体" w:hAnsi="宋体"/>
          <w:color w:val="auto"/>
          <w:szCs w:val="21"/>
          <w:highlight w:val="none"/>
          <w:u w:val="single"/>
        </w:rPr>
        <w:t>（</w:t>
      </w:r>
      <w:bookmarkEnd w:id="254"/>
      <w:r>
        <w:rPr>
          <w:rFonts w:hint="eastAsia" w:ascii="宋体" w:hAnsi="宋体"/>
          <w:color w:val="auto"/>
          <w:szCs w:val="21"/>
          <w:highlight w:val="none"/>
        </w:rPr>
        <w:t>签字</w:t>
      </w:r>
      <w:r>
        <w:rPr>
          <w:rFonts w:ascii="宋体" w:hAnsi="宋体"/>
          <w:color w:val="auto"/>
          <w:szCs w:val="21"/>
          <w:highlight w:val="none"/>
        </w:rPr>
        <w:t>）</w:t>
      </w:r>
      <w:bookmarkStart w:id="255" w:name="_Toc221952026"/>
    </w:p>
    <w:p>
      <w:pPr>
        <w:spacing w:line="400" w:lineRule="exact"/>
        <w:jc w:val="right"/>
        <w:rPr>
          <w:rFonts w:ascii="宋体" w:hAnsi="宋体"/>
          <w:color w:val="auto"/>
          <w:szCs w:val="21"/>
          <w:highlight w:val="none"/>
        </w:rPr>
      </w:pPr>
    </w:p>
    <w:p>
      <w:pPr>
        <w:spacing w:line="400" w:lineRule="exact"/>
        <w:ind w:right="420" w:firstLine="2940" w:firstLineChars="1400"/>
        <w:rPr>
          <w:rFonts w:ascii="宋体" w:hAnsi="宋体"/>
          <w:color w:val="auto"/>
          <w:szCs w:val="21"/>
          <w:highlight w:val="none"/>
        </w:rPr>
      </w:pPr>
      <w:r>
        <w:rPr>
          <w:rFonts w:ascii="宋体" w:hAnsi="宋体"/>
          <w:color w:val="auto"/>
          <w:szCs w:val="21"/>
          <w:highlight w:val="none"/>
        </w:rPr>
        <w:t>身份证号码：</w:t>
      </w:r>
      <w:bookmarkEnd w:id="255"/>
    </w:p>
    <w:p>
      <w:pPr>
        <w:spacing w:line="400" w:lineRule="exact"/>
        <w:jc w:val="right"/>
        <w:rPr>
          <w:rFonts w:ascii="宋体" w:hAnsi="宋体"/>
          <w:color w:val="auto"/>
          <w:szCs w:val="21"/>
          <w:highlight w:val="none"/>
        </w:rPr>
      </w:pPr>
    </w:p>
    <w:p>
      <w:pPr>
        <w:spacing w:line="400" w:lineRule="exact"/>
        <w:ind w:firstLine="1575" w:firstLineChars="750"/>
        <w:jc w:val="right"/>
        <w:rPr>
          <w:rFonts w:ascii="宋体" w:hAnsi="宋体"/>
          <w:color w:val="auto"/>
          <w:szCs w:val="21"/>
          <w:highlight w:val="none"/>
        </w:rPr>
      </w:pPr>
      <w:r>
        <w:rPr>
          <w:rFonts w:ascii="宋体" w:hAnsi="宋体"/>
          <w:color w:val="auto"/>
          <w:szCs w:val="21"/>
          <w:highlight w:val="none"/>
        </w:rPr>
        <w:t>年月日</w:t>
      </w:r>
    </w:p>
    <w:p>
      <w:pPr>
        <w:spacing w:line="400" w:lineRule="exact"/>
        <w:ind w:firstLine="1425" w:firstLineChars="750"/>
        <w:jc w:val="right"/>
        <w:rPr>
          <w:rFonts w:ascii="宋体" w:hAnsi="宋体"/>
          <w:color w:val="auto"/>
          <w:sz w:val="19"/>
          <w:szCs w:val="19"/>
          <w:highlight w:val="none"/>
        </w:rPr>
      </w:pPr>
      <w:r>
        <w:rPr>
          <w:rFonts w:ascii="宋体" w:hAnsi="宋体"/>
          <w:color w:val="auto"/>
          <w:sz w:val="19"/>
          <w:szCs w:val="19"/>
          <w:highlight w:val="none"/>
        </w:rPr>
        <w:br w:type="page"/>
      </w:r>
    </w:p>
    <w:p>
      <w:pPr>
        <w:spacing w:line="360" w:lineRule="auto"/>
        <w:jc w:val="center"/>
        <w:outlineLvl w:val="2"/>
        <w:rPr>
          <w:rFonts w:ascii="宋体" w:hAnsi="宋体"/>
          <w:strike/>
          <w:color w:val="auto"/>
          <w:sz w:val="28"/>
          <w:szCs w:val="27"/>
          <w:highlight w:val="none"/>
        </w:rPr>
      </w:pPr>
      <w:bookmarkStart w:id="256" w:name="_Toc21787764"/>
      <w:r>
        <w:rPr>
          <w:rFonts w:hint="eastAsia" w:ascii="宋体" w:hAnsi="宋体"/>
          <w:strike/>
          <w:color w:val="auto"/>
          <w:sz w:val="28"/>
          <w:szCs w:val="27"/>
          <w:highlight w:val="none"/>
        </w:rPr>
        <w:t>四</w:t>
      </w:r>
      <w:r>
        <w:rPr>
          <w:rFonts w:ascii="宋体" w:hAnsi="宋体"/>
          <w:strike/>
          <w:color w:val="auto"/>
          <w:sz w:val="28"/>
          <w:szCs w:val="27"/>
          <w:highlight w:val="none"/>
        </w:rPr>
        <w:t>、</w:t>
      </w:r>
      <w:bookmarkEnd w:id="256"/>
      <w:bookmarkStart w:id="257" w:name="_Toc21787765"/>
      <w:bookmarkStart w:id="258" w:name="_Toc221952044"/>
      <w:r>
        <w:rPr>
          <w:rFonts w:ascii="宋体" w:hAnsi="宋体"/>
          <w:strike/>
          <w:color w:val="auto"/>
          <w:sz w:val="28"/>
          <w:szCs w:val="27"/>
          <w:highlight w:val="none"/>
        </w:rPr>
        <w:t>投标保证金</w:t>
      </w:r>
      <w:bookmarkEnd w:id="257"/>
    </w:p>
    <w:p>
      <w:pPr>
        <w:spacing w:line="400" w:lineRule="exact"/>
        <w:jc w:val="left"/>
        <w:rPr>
          <w:rFonts w:ascii="宋体" w:hAnsi="宋体"/>
          <w:strike/>
          <w:color w:val="auto"/>
          <w:szCs w:val="21"/>
          <w:highlight w:val="none"/>
          <w:u w:val="single"/>
        </w:rPr>
      </w:pPr>
    </w:p>
    <w:p>
      <w:pPr>
        <w:spacing w:line="400" w:lineRule="exact"/>
        <w:jc w:val="left"/>
        <w:rPr>
          <w:rFonts w:ascii="宋体" w:hAnsi="宋体"/>
          <w:strike/>
          <w:color w:val="auto"/>
          <w:szCs w:val="21"/>
          <w:highlight w:val="none"/>
        </w:rPr>
      </w:pPr>
      <w:r>
        <w:rPr>
          <w:rFonts w:ascii="宋体" w:hAnsi="宋体"/>
          <w:strike/>
          <w:color w:val="auto"/>
          <w:szCs w:val="21"/>
          <w:highlight w:val="none"/>
          <w:u w:val="single"/>
        </w:rPr>
        <w:tab/>
      </w:r>
      <w:r>
        <w:rPr>
          <w:rFonts w:ascii="宋体" w:hAnsi="宋体"/>
          <w:strike/>
          <w:color w:val="auto"/>
          <w:szCs w:val="21"/>
          <w:highlight w:val="none"/>
          <w:u w:val="single"/>
        </w:rPr>
        <w:tab/>
      </w:r>
      <w:r>
        <w:rPr>
          <w:rFonts w:ascii="宋体" w:hAnsi="宋体"/>
          <w:strike/>
          <w:color w:val="auto"/>
          <w:szCs w:val="21"/>
          <w:highlight w:val="none"/>
        </w:rPr>
        <w:t>（</w:t>
      </w:r>
      <w:r>
        <w:rPr>
          <w:rFonts w:hint="eastAsia" w:ascii="宋体" w:hAnsi="宋体"/>
          <w:strike/>
          <w:color w:val="auto"/>
          <w:szCs w:val="21"/>
          <w:highlight w:val="none"/>
        </w:rPr>
        <w:t>招标人名称</w:t>
      </w:r>
      <w:r>
        <w:rPr>
          <w:rFonts w:ascii="宋体" w:hAnsi="宋体"/>
          <w:strike/>
          <w:color w:val="auto"/>
          <w:szCs w:val="21"/>
          <w:highlight w:val="none"/>
        </w:rPr>
        <w:t>）：</w:t>
      </w:r>
    </w:p>
    <w:p>
      <w:pPr>
        <w:spacing w:line="400" w:lineRule="exact"/>
        <w:jc w:val="left"/>
        <w:rPr>
          <w:rFonts w:ascii="宋体" w:hAnsi="宋体"/>
          <w:strike/>
          <w:color w:val="auto"/>
          <w:szCs w:val="21"/>
          <w:highlight w:val="none"/>
        </w:rPr>
      </w:pPr>
    </w:p>
    <w:p>
      <w:pPr>
        <w:spacing w:line="400" w:lineRule="exact"/>
        <w:ind w:firstLine="420" w:firstLineChars="200"/>
        <w:jc w:val="left"/>
        <w:rPr>
          <w:rFonts w:ascii="宋体" w:hAnsi="宋体"/>
          <w:strike/>
          <w:color w:val="auto"/>
          <w:szCs w:val="21"/>
          <w:highlight w:val="none"/>
        </w:rPr>
      </w:pPr>
      <w:r>
        <w:rPr>
          <w:rFonts w:hint="eastAsia" w:ascii="宋体" w:hAnsi="宋体"/>
          <w:strike/>
          <w:color w:val="auto"/>
          <w:szCs w:val="21"/>
          <w:highlight w:val="none"/>
        </w:rPr>
        <w:t>鉴于</w:t>
      </w:r>
      <w:r>
        <w:rPr>
          <w:rFonts w:hint="eastAsia" w:ascii="宋体" w:hAnsi="宋体"/>
          <w:strike/>
          <w:color w:val="auto"/>
          <w:szCs w:val="21"/>
          <w:highlight w:val="none"/>
          <w:u w:val="single"/>
        </w:rPr>
        <w:t xml:space="preserve">       （投标人名称）  </w:t>
      </w:r>
      <w:r>
        <w:rPr>
          <w:rFonts w:hint="eastAsia" w:ascii="宋体" w:hAnsi="宋体"/>
          <w:strike/>
          <w:color w:val="auto"/>
          <w:szCs w:val="21"/>
          <w:highlight w:val="none"/>
        </w:rPr>
        <w:t>（以下称“投标人”）于年月日参加</w:t>
      </w:r>
      <w:r>
        <w:rPr>
          <w:rFonts w:hint="eastAsia" w:ascii="宋体" w:hAnsi="宋体"/>
          <w:strike/>
          <w:color w:val="auto"/>
          <w:szCs w:val="21"/>
          <w:highlight w:val="none"/>
          <w:u w:val="single"/>
        </w:rPr>
        <w:t xml:space="preserve">            （项目名称）</w:t>
      </w:r>
      <w:r>
        <w:rPr>
          <w:rFonts w:hint="eastAsia" w:ascii="宋体" w:hAnsi="宋体"/>
          <w:strike/>
          <w:color w:val="auto"/>
          <w:szCs w:val="21"/>
          <w:highlight w:val="none"/>
        </w:rPr>
        <w:t>的投标，（担保人名称，以下简称“我方”）保证：投标人在规定的投标文件有效期内撤销或修改其投标文件的，或者投标人在收到中标通知书后无正当理由拒签合同或拒交规定履约担保的，我方承担保证责任。收到你方书面通知后，在7日内向你</w:t>
      </w:r>
      <w:bookmarkEnd w:id="258"/>
      <w:bookmarkStart w:id="259" w:name="_Toc221952043"/>
      <w:r>
        <w:rPr>
          <w:rFonts w:hint="eastAsia" w:ascii="宋体" w:hAnsi="宋体"/>
          <w:strike/>
          <w:color w:val="auto"/>
          <w:szCs w:val="21"/>
          <w:highlight w:val="none"/>
        </w:rPr>
        <w:t>方支付人民币（大写）</w:t>
      </w:r>
      <w:r>
        <w:rPr>
          <w:rFonts w:hint="eastAsia" w:ascii="宋体" w:hAnsi="宋体"/>
          <w:strike/>
          <w:color w:val="auto"/>
          <w:szCs w:val="21"/>
          <w:highlight w:val="none"/>
          <w:u w:val="single"/>
        </w:rPr>
        <w:t xml:space="preserve">           </w:t>
      </w:r>
      <w:r>
        <w:rPr>
          <w:rFonts w:hint="eastAsia" w:ascii="宋体" w:hAnsi="宋体"/>
          <w:strike/>
          <w:color w:val="auto"/>
          <w:szCs w:val="21"/>
          <w:highlight w:val="none"/>
        </w:rPr>
        <w:t>。</w:t>
      </w:r>
    </w:p>
    <w:p>
      <w:pPr>
        <w:spacing w:line="400" w:lineRule="exact"/>
        <w:ind w:firstLine="420" w:firstLineChars="200"/>
        <w:jc w:val="left"/>
        <w:rPr>
          <w:rFonts w:ascii="宋体" w:hAnsi="宋体"/>
          <w:strike/>
          <w:color w:val="auto"/>
          <w:szCs w:val="21"/>
          <w:highlight w:val="none"/>
        </w:rPr>
      </w:pPr>
      <w:r>
        <w:rPr>
          <w:rFonts w:ascii="宋体" w:hAnsi="宋体"/>
          <w:strike/>
          <w:color w:val="auto"/>
          <w:szCs w:val="21"/>
          <w:highlight w:val="none"/>
        </w:rPr>
        <w:t>本</w:t>
      </w:r>
      <w:r>
        <w:rPr>
          <w:rFonts w:hint="eastAsia" w:ascii="宋体" w:hAnsi="宋体"/>
          <w:strike/>
          <w:color w:val="auto"/>
          <w:szCs w:val="21"/>
          <w:highlight w:val="none"/>
        </w:rPr>
        <w:t>担保</w:t>
      </w:r>
      <w:r>
        <w:rPr>
          <w:rFonts w:ascii="宋体" w:hAnsi="宋体"/>
          <w:strike/>
          <w:color w:val="auto"/>
          <w:szCs w:val="21"/>
          <w:highlight w:val="none"/>
        </w:rPr>
        <w:t>在投标有效期内保持有</w:t>
      </w:r>
      <w:bookmarkEnd w:id="259"/>
      <w:r>
        <w:rPr>
          <w:rFonts w:ascii="宋体" w:hAnsi="宋体"/>
          <w:strike/>
          <w:color w:val="auto"/>
          <w:szCs w:val="21"/>
          <w:highlight w:val="none"/>
        </w:rPr>
        <w:t>效。要求</w:t>
      </w:r>
      <w:r>
        <w:rPr>
          <w:rFonts w:hint="eastAsia" w:ascii="宋体" w:hAnsi="宋体"/>
          <w:strike/>
          <w:color w:val="auto"/>
          <w:szCs w:val="21"/>
          <w:highlight w:val="none"/>
        </w:rPr>
        <w:t>我</w:t>
      </w:r>
      <w:bookmarkStart w:id="260" w:name="_Toc229305424"/>
      <w:bookmarkStart w:id="261" w:name="_Toc359263285"/>
      <w:bookmarkStart w:id="262" w:name="_Toc222032733"/>
      <w:bookmarkStart w:id="263" w:name="_Toc168476324"/>
      <w:bookmarkStart w:id="264" w:name="_Toc168475921"/>
      <w:bookmarkStart w:id="265" w:name="_Toc221952052"/>
      <w:bookmarkStart w:id="266" w:name="_Toc259524418"/>
      <w:bookmarkStart w:id="267" w:name="_Toc222031066"/>
      <w:bookmarkStart w:id="268" w:name="_Toc222029564"/>
      <w:bookmarkStart w:id="269" w:name="_Toc222033915"/>
      <w:r>
        <w:rPr>
          <w:rFonts w:hint="eastAsia" w:ascii="宋体" w:hAnsi="宋体"/>
          <w:strike/>
          <w:color w:val="auto"/>
          <w:szCs w:val="21"/>
          <w:highlight w:val="none"/>
        </w:rPr>
        <w:t>方</w:t>
      </w:r>
      <w:r>
        <w:rPr>
          <w:rFonts w:ascii="宋体" w:hAnsi="宋体"/>
          <w:strike/>
          <w:color w:val="auto"/>
          <w:szCs w:val="21"/>
          <w:highlight w:val="none"/>
        </w:rPr>
        <w:t>承担保证责任</w:t>
      </w:r>
      <w:bookmarkEnd w:id="260"/>
      <w:bookmarkEnd w:id="261"/>
      <w:bookmarkEnd w:id="262"/>
      <w:bookmarkEnd w:id="263"/>
      <w:bookmarkEnd w:id="264"/>
      <w:bookmarkEnd w:id="265"/>
      <w:bookmarkEnd w:id="266"/>
      <w:bookmarkEnd w:id="267"/>
      <w:bookmarkEnd w:id="268"/>
      <w:bookmarkEnd w:id="269"/>
      <w:r>
        <w:rPr>
          <w:rFonts w:ascii="宋体" w:hAnsi="宋体"/>
          <w:strike/>
          <w:color w:val="auto"/>
          <w:szCs w:val="21"/>
          <w:highlight w:val="none"/>
        </w:rPr>
        <w:t>的</w:t>
      </w:r>
      <w:r>
        <w:rPr>
          <w:rFonts w:hint="eastAsia" w:ascii="宋体" w:hAnsi="宋体"/>
          <w:strike/>
          <w:color w:val="auto"/>
          <w:szCs w:val="21"/>
          <w:highlight w:val="none"/>
        </w:rPr>
        <w:t>书面</w:t>
      </w:r>
      <w:r>
        <w:rPr>
          <w:rFonts w:ascii="宋体" w:hAnsi="宋体"/>
          <w:strike/>
          <w:color w:val="auto"/>
          <w:szCs w:val="21"/>
          <w:highlight w:val="none"/>
        </w:rPr>
        <w:t>通知应在投标有效期内送达</w:t>
      </w:r>
      <w:bookmarkStart w:id="270" w:name="_Toc221952054"/>
      <w:r>
        <w:rPr>
          <w:rFonts w:hint="eastAsia" w:ascii="宋体" w:hAnsi="宋体"/>
          <w:strike/>
          <w:color w:val="auto"/>
          <w:szCs w:val="21"/>
          <w:highlight w:val="none"/>
        </w:rPr>
        <w:t>我方</w:t>
      </w:r>
      <w:r>
        <w:rPr>
          <w:rFonts w:ascii="宋体" w:hAnsi="宋体"/>
          <w:strike/>
          <w:color w:val="auto"/>
          <w:szCs w:val="21"/>
          <w:highlight w:val="none"/>
        </w:rPr>
        <w:t>。</w:t>
      </w:r>
    </w:p>
    <w:p>
      <w:pPr>
        <w:spacing w:line="400" w:lineRule="exact"/>
        <w:jc w:val="left"/>
        <w:rPr>
          <w:rFonts w:ascii="宋体" w:hAnsi="宋体"/>
          <w:strike/>
          <w:color w:val="auto"/>
          <w:szCs w:val="21"/>
          <w:highlight w:val="none"/>
        </w:rPr>
      </w:pPr>
    </w:p>
    <w:p>
      <w:pPr>
        <w:spacing w:line="400" w:lineRule="exact"/>
        <w:jc w:val="left"/>
        <w:rPr>
          <w:rFonts w:ascii="宋体" w:hAnsi="宋体"/>
          <w:strike/>
          <w:color w:val="auto"/>
          <w:szCs w:val="21"/>
          <w:highlight w:val="none"/>
        </w:rPr>
      </w:pPr>
    </w:p>
    <w:p>
      <w:pPr>
        <w:spacing w:line="400" w:lineRule="exact"/>
        <w:jc w:val="left"/>
        <w:rPr>
          <w:rFonts w:ascii="宋体" w:hAnsi="宋体"/>
          <w:strike/>
          <w:color w:val="auto"/>
          <w:szCs w:val="21"/>
          <w:highlight w:val="none"/>
        </w:rPr>
      </w:pPr>
    </w:p>
    <w:bookmarkEnd w:id="270"/>
    <w:p>
      <w:pPr>
        <w:spacing w:line="400" w:lineRule="exact"/>
        <w:jc w:val="left"/>
        <w:rPr>
          <w:rFonts w:ascii="宋体" w:hAnsi="宋体"/>
          <w:strike/>
          <w:color w:val="auto"/>
          <w:szCs w:val="21"/>
          <w:highlight w:val="none"/>
        </w:rPr>
      </w:pPr>
    </w:p>
    <w:p>
      <w:pPr>
        <w:spacing w:line="400" w:lineRule="exact"/>
        <w:ind w:firstLine="2158" w:firstLineChars="1028"/>
        <w:jc w:val="left"/>
        <w:rPr>
          <w:rFonts w:ascii="宋体" w:hAnsi="宋体"/>
          <w:strike/>
          <w:color w:val="auto"/>
          <w:szCs w:val="21"/>
          <w:highlight w:val="none"/>
        </w:rPr>
      </w:pPr>
      <w:r>
        <w:rPr>
          <w:rFonts w:hint="eastAsia" w:ascii="宋体" w:hAnsi="宋体"/>
          <w:strike/>
          <w:color w:val="auto"/>
          <w:szCs w:val="21"/>
          <w:highlight w:val="none"/>
        </w:rPr>
        <w:t>担保人</w:t>
      </w:r>
      <w:r>
        <w:rPr>
          <w:rFonts w:ascii="宋体" w:hAnsi="宋体"/>
          <w:strike/>
          <w:color w:val="auto"/>
          <w:szCs w:val="21"/>
          <w:highlight w:val="none"/>
        </w:rPr>
        <w:t>：（盖单位章）</w:t>
      </w:r>
    </w:p>
    <w:p>
      <w:pPr>
        <w:spacing w:line="400" w:lineRule="exact"/>
        <w:ind w:firstLine="2158" w:firstLineChars="1028"/>
        <w:jc w:val="left"/>
        <w:rPr>
          <w:rFonts w:ascii="宋体" w:hAnsi="宋体"/>
          <w:strike/>
          <w:color w:val="auto"/>
          <w:szCs w:val="21"/>
          <w:highlight w:val="none"/>
        </w:rPr>
      </w:pPr>
      <w:r>
        <w:rPr>
          <w:rFonts w:ascii="宋体" w:hAnsi="宋体"/>
          <w:strike/>
          <w:color w:val="auto"/>
          <w:szCs w:val="21"/>
          <w:highlight w:val="none"/>
        </w:rPr>
        <w:t>法定代表人或</w:t>
      </w:r>
      <w:r>
        <w:rPr>
          <w:rFonts w:hint="eastAsia" w:ascii="宋体" w:hAnsi="宋体"/>
          <w:strike/>
          <w:color w:val="auto"/>
          <w:szCs w:val="21"/>
          <w:highlight w:val="none"/>
        </w:rPr>
        <w:t>其委托代理</w:t>
      </w:r>
      <w:r>
        <w:rPr>
          <w:rFonts w:ascii="宋体" w:hAnsi="宋体"/>
          <w:strike/>
          <w:color w:val="auto"/>
          <w:szCs w:val="21"/>
          <w:highlight w:val="none"/>
        </w:rPr>
        <w:t>人：（</w:t>
      </w:r>
      <w:r>
        <w:rPr>
          <w:rFonts w:hint="eastAsia" w:ascii="宋体" w:hAnsi="宋体"/>
          <w:strike/>
          <w:color w:val="auto"/>
          <w:szCs w:val="21"/>
          <w:highlight w:val="none"/>
        </w:rPr>
        <w:t>签字</w:t>
      </w:r>
      <w:r>
        <w:rPr>
          <w:rFonts w:ascii="宋体" w:hAnsi="宋体"/>
          <w:strike/>
          <w:color w:val="auto"/>
          <w:szCs w:val="21"/>
          <w:highlight w:val="none"/>
        </w:rPr>
        <w:t>）</w:t>
      </w:r>
    </w:p>
    <w:p>
      <w:pPr>
        <w:spacing w:line="400" w:lineRule="exact"/>
        <w:ind w:firstLine="2158" w:firstLineChars="1028"/>
        <w:jc w:val="left"/>
        <w:rPr>
          <w:rFonts w:ascii="宋体" w:hAnsi="宋体"/>
          <w:strike/>
          <w:color w:val="auto"/>
          <w:szCs w:val="21"/>
          <w:highlight w:val="none"/>
        </w:rPr>
      </w:pPr>
      <w:r>
        <w:rPr>
          <w:rFonts w:ascii="宋体" w:hAnsi="宋体"/>
          <w:strike/>
          <w:color w:val="auto"/>
          <w:szCs w:val="21"/>
          <w:highlight w:val="none"/>
        </w:rPr>
        <w:t>地    址：</w:t>
      </w:r>
      <w:r>
        <w:rPr>
          <w:rFonts w:ascii="宋体" w:hAnsi="宋体"/>
          <w:strike/>
          <w:color w:val="auto"/>
          <w:szCs w:val="21"/>
          <w:highlight w:val="none"/>
          <w:u w:val="single"/>
        </w:rPr>
        <w:tab/>
      </w:r>
      <w:r>
        <w:rPr>
          <w:rFonts w:ascii="宋体" w:hAnsi="宋体"/>
          <w:strike/>
          <w:color w:val="auto"/>
          <w:szCs w:val="21"/>
          <w:highlight w:val="none"/>
          <w:u w:val="single"/>
        </w:rPr>
        <w:tab/>
      </w:r>
      <w:r>
        <w:rPr>
          <w:rFonts w:ascii="宋体" w:hAnsi="宋体"/>
          <w:strike/>
          <w:color w:val="auto"/>
          <w:szCs w:val="21"/>
          <w:highlight w:val="none"/>
          <w:u w:val="single"/>
        </w:rPr>
        <w:tab/>
      </w:r>
      <w:r>
        <w:rPr>
          <w:rFonts w:ascii="宋体" w:hAnsi="宋体"/>
          <w:strike/>
          <w:color w:val="auto"/>
          <w:szCs w:val="21"/>
          <w:highlight w:val="none"/>
          <w:u w:val="single"/>
        </w:rPr>
        <w:tab/>
      </w:r>
    </w:p>
    <w:p>
      <w:pPr>
        <w:spacing w:line="400" w:lineRule="exact"/>
        <w:ind w:firstLine="2158" w:firstLineChars="1028"/>
        <w:jc w:val="left"/>
        <w:rPr>
          <w:rFonts w:ascii="宋体" w:hAnsi="宋体"/>
          <w:strike/>
          <w:color w:val="auto"/>
          <w:szCs w:val="21"/>
          <w:highlight w:val="none"/>
          <w:u w:val="single"/>
        </w:rPr>
      </w:pPr>
      <w:r>
        <w:rPr>
          <w:rFonts w:ascii="宋体" w:hAnsi="宋体"/>
          <w:strike/>
          <w:color w:val="auto"/>
          <w:szCs w:val="21"/>
          <w:highlight w:val="none"/>
        </w:rPr>
        <w:t>邮政编码：</w:t>
      </w:r>
      <w:r>
        <w:rPr>
          <w:rFonts w:ascii="宋体" w:hAnsi="宋体"/>
          <w:strike/>
          <w:color w:val="auto"/>
          <w:szCs w:val="21"/>
          <w:highlight w:val="none"/>
          <w:u w:val="single"/>
        </w:rPr>
        <w:tab/>
      </w:r>
      <w:r>
        <w:rPr>
          <w:rFonts w:ascii="宋体" w:hAnsi="宋体"/>
          <w:strike/>
          <w:color w:val="auto"/>
          <w:szCs w:val="21"/>
          <w:highlight w:val="none"/>
          <w:u w:val="single"/>
        </w:rPr>
        <w:tab/>
      </w:r>
      <w:r>
        <w:rPr>
          <w:rFonts w:ascii="宋体" w:hAnsi="宋体"/>
          <w:strike/>
          <w:color w:val="auto"/>
          <w:szCs w:val="21"/>
          <w:highlight w:val="none"/>
          <w:u w:val="single"/>
        </w:rPr>
        <w:tab/>
      </w:r>
      <w:r>
        <w:rPr>
          <w:rFonts w:ascii="宋体" w:hAnsi="宋体"/>
          <w:strike/>
          <w:color w:val="auto"/>
          <w:szCs w:val="21"/>
          <w:highlight w:val="none"/>
          <w:u w:val="single"/>
        </w:rPr>
        <w:tab/>
      </w:r>
      <w:r>
        <w:rPr>
          <w:rFonts w:ascii="宋体" w:hAnsi="宋体"/>
          <w:strike/>
          <w:color w:val="auto"/>
          <w:szCs w:val="21"/>
          <w:highlight w:val="none"/>
          <w:u w:val="single"/>
        </w:rPr>
        <w:tab/>
      </w:r>
      <w:r>
        <w:rPr>
          <w:rFonts w:ascii="宋体" w:hAnsi="宋体"/>
          <w:strike/>
          <w:color w:val="auto"/>
          <w:szCs w:val="21"/>
          <w:highlight w:val="none"/>
          <w:u w:val="single"/>
        </w:rPr>
        <w:tab/>
      </w:r>
      <w:r>
        <w:rPr>
          <w:rFonts w:ascii="宋体" w:hAnsi="宋体"/>
          <w:strike/>
          <w:color w:val="auto"/>
          <w:szCs w:val="21"/>
          <w:highlight w:val="none"/>
          <w:u w:val="single"/>
        </w:rPr>
        <w:tab/>
      </w:r>
    </w:p>
    <w:p>
      <w:pPr>
        <w:spacing w:line="400" w:lineRule="exact"/>
        <w:ind w:firstLine="2158" w:firstLineChars="1028"/>
        <w:jc w:val="left"/>
        <w:rPr>
          <w:rFonts w:ascii="宋体" w:hAnsi="宋体"/>
          <w:strike/>
          <w:color w:val="auto"/>
          <w:szCs w:val="21"/>
          <w:highlight w:val="none"/>
        </w:rPr>
      </w:pPr>
      <w:r>
        <w:rPr>
          <w:rFonts w:ascii="宋体" w:hAnsi="宋体"/>
          <w:strike/>
          <w:color w:val="auto"/>
          <w:szCs w:val="21"/>
          <w:highlight w:val="none"/>
        </w:rPr>
        <w:t>电    话：</w:t>
      </w:r>
      <w:bookmarkStart w:id="271" w:name="_Toc221952056"/>
    </w:p>
    <w:p>
      <w:pPr>
        <w:spacing w:line="400" w:lineRule="exact"/>
        <w:ind w:firstLine="3313" w:firstLineChars="1578"/>
        <w:jc w:val="center"/>
        <w:rPr>
          <w:rFonts w:ascii="宋体" w:hAnsi="宋体"/>
          <w:strike/>
          <w:color w:val="auto"/>
          <w:szCs w:val="21"/>
          <w:highlight w:val="none"/>
        </w:rPr>
      </w:pPr>
      <w:r>
        <w:rPr>
          <w:rFonts w:hint="eastAsia" w:ascii="宋体" w:hAnsi="宋体"/>
          <w:strike/>
          <w:color w:val="auto"/>
          <w:szCs w:val="21"/>
          <w:highlight w:val="none"/>
        </w:rPr>
        <w:t>______</w:t>
      </w:r>
      <w:r>
        <w:rPr>
          <w:rFonts w:ascii="宋体" w:hAnsi="宋体"/>
          <w:strike/>
          <w:color w:val="auto"/>
          <w:szCs w:val="21"/>
          <w:highlight w:val="none"/>
        </w:rPr>
        <w:t>年</w:t>
      </w:r>
      <w:r>
        <w:rPr>
          <w:rFonts w:hint="eastAsia" w:ascii="宋体" w:hAnsi="宋体"/>
          <w:strike/>
          <w:color w:val="auto"/>
          <w:szCs w:val="21"/>
          <w:highlight w:val="none"/>
        </w:rPr>
        <w:t xml:space="preserve">  </w:t>
      </w:r>
      <w:r>
        <w:rPr>
          <w:rFonts w:ascii="宋体" w:hAnsi="宋体"/>
          <w:strike/>
          <w:color w:val="auto"/>
          <w:szCs w:val="21"/>
          <w:highlight w:val="none"/>
        </w:rPr>
        <w:t>月</w:t>
      </w:r>
      <w:r>
        <w:rPr>
          <w:rFonts w:hint="eastAsia" w:ascii="宋体" w:hAnsi="宋体"/>
          <w:strike/>
          <w:color w:val="auto"/>
          <w:szCs w:val="21"/>
          <w:highlight w:val="none"/>
        </w:rPr>
        <w:t xml:space="preserve">  </w:t>
      </w:r>
      <w:r>
        <w:rPr>
          <w:rFonts w:ascii="宋体" w:hAnsi="宋体"/>
          <w:strike/>
          <w:color w:val="auto"/>
          <w:szCs w:val="21"/>
          <w:highlight w:val="none"/>
        </w:rPr>
        <w:t>日</w:t>
      </w:r>
    </w:p>
    <w:p>
      <w:pPr>
        <w:spacing w:line="400" w:lineRule="exact"/>
        <w:jc w:val="left"/>
        <w:rPr>
          <w:rFonts w:ascii="宋体" w:hAnsi="宋体"/>
          <w:strike/>
          <w:color w:val="auto"/>
          <w:szCs w:val="21"/>
          <w:highlight w:val="none"/>
        </w:rPr>
      </w:pPr>
    </w:p>
    <w:p>
      <w:pPr>
        <w:spacing w:line="400" w:lineRule="exact"/>
        <w:jc w:val="left"/>
        <w:rPr>
          <w:rFonts w:ascii="宋体" w:hAnsi="宋体"/>
          <w:strike/>
          <w:color w:val="auto"/>
          <w:szCs w:val="21"/>
          <w:highlight w:val="none"/>
        </w:rPr>
      </w:pPr>
    </w:p>
    <w:p>
      <w:pPr>
        <w:spacing w:line="400" w:lineRule="exact"/>
        <w:jc w:val="left"/>
        <w:rPr>
          <w:rFonts w:ascii="宋体" w:hAnsi="宋体"/>
          <w:strike/>
          <w:color w:val="auto"/>
          <w:szCs w:val="21"/>
          <w:highlight w:val="none"/>
        </w:rPr>
      </w:pPr>
      <w:r>
        <w:rPr>
          <w:rFonts w:hint="eastAsia" w:ascii="宋体" w:hAnsi="宋体"/>
          <w:strike/>
          <w:color w:val="auto"/>
          <w:szCs w:val="21"/>
          <w:highlight w:val="none"/>
        </w:rPr>
        <w:t>注1：投标保证金由广州公共资源交易平台代收</w:t>
      </w:r>
      <w:bookmarkEnd w:id="271"/>
      <w:r>
        <w:rPr>
          <w:rFonts w:hint="eastAsia" w:ascii="宋体" w:hAnsi="宋体"/>
          <w:strike/>
          <w:color w:val="auto"/>
          <w:szCs w:val="21"/>
          <w:highlight w:val="none"/>
        </w:rPr>
        <w:t>的，以开标记录表记录的结果为准。</w:t>
      </w:r>
    </w:p>
    <w:p>
      <w:pPr>
        <w:spacing w:line="400" w:lineRule="exact"/>
        <w:jc w:val="left"/>
        <w:rPr>
          <w:rFonts w:ascii="宋体" w:hAnsi="宋体"/>
          <w:strike/>
          <w:color w:val="auto"/>
          <w:szCs w:val="21"/>
          <w:highlight w:val="none"/>
        </w:rPr>
      </w:pPr>
      <w:r>
        <w:rPr>
          <w:rFonts w:hint="eastAsia" w:ascii="宋体" w:hAnsi="宋体"/>
          <w:strike/>
          <w:color w:val="auto"/>
          <w:szCs w:val="21"/>
          <w:highlight w:val="none"/>
        </w:rPr>
        <w:t>2：采用投标保函形式的，应采用上述格式或银行保函的格式。</w:t>
      </w:r>
    </w:p>
    <w:p>
      <w:pPr>
        <w:spacing w:line="400" w:lineRule="exact"/>
        <w:jc w:val="left"/>
        <w:rPr>
          <w:rFonts w:ascii="宋体" w:hAnsi="宋体"/>
          <w:strike/>
          <w:color w:val="auto"/>
          <w:highlight w:val="none"/>
        </w:rPr>
      </w:pPr>
      <w:r>
        <w:rPr>
          <w:rFonts w:hint="eastAsia" w:ascii="宋体" w:hAnsi="宋体"/>
          <w:strike/>
          <w:color w:val="auto"/>
          <w:szCs w:val="21"/>
          <w:highlight w:val="none"/>
        </w:rPr>
        <w:t>3：</w:t>
      </w:r>
      <w:r>
        <w:rPr>
          <w:rFonts w:hint="eastAsia" w:ascii="宋体" w:hAnsi="宋体"/>
          <w:strike/>
          <w:color w:val="auto"/>
          <w:szCs w:val="21"/>
          <w:highlight w:val="none"/>
          <w:u w:val="single"/>
        </w:rPr>
        <w:t>保证金以银行保函、保证保险、专业担保公司担保等形式提交的，该证明文件在开标前不强制要求提交纸质原件，由中标候选人在中标候选人公示前提交并在网上公示，但投标人应在投标文件中提交银行保函、保证保险、专业担保公司担保原件扫描件并加盖投标人公章。</w:t>
      </w:r>
    </w:p>
    <w:p>
      <w:pPr>
        <w:spacing w:line="360" w:lineRule="auto"/>
        <w:rPr>
          <w:rFonts w:ascii="宋体" w:hAnsi="宋体"/>
          <w:strike/>
          <w:color w:val="auto"/>
          <w:szCs w:val="21"/>
          <w:highlight w:val="none"/>
        </w:rPr>
      </w:pPr>
      <w:r>
        <w:rPr>
          <w:rFonts w:hint="eastAsia" w:ascii="宋体" w:hAnsi="宋体"/>
          <w:strike/>
          <w:color w:val="auto"/>
          <w:szCs w:val="21"/>
          <w:highlight w:val="none"/>
        </w:rPr>
        <w:t>4：委托代理人应附授权委托书。</w:t>
      </w:r>
    </w:p>
    <w:p>
      <w:pPr>
        <w:spacing w:line="360" w:lineRule="auto"/>
        <w:jc w:val="center"/>
        <w:rPr>
          <w:rFonts w:ascii="宋体" w:hAnsi="宋体"/>
          <w:strike/>
          <w:color w:val="auto"/>
          <w:szCs w:val="21"/>
          <w:highlight w:val="none"/>
        </w:rPr>
      </w:pPr>
    </w:p>
    <w:p>
      <w:pPr>
        <w:spacing w:line="360" w:lineRule="auto"/>
        <w:jc w:val="center"/>
        <w:rPr>
          <w:rFonts w:ascii="宋体" w:hAnsi="宋体"/>
          <w:color w:val="auto"/>
          <w:szCs w:val="21"/>
          <w:highlight w:val="none"/>
        </w:rPr>
      </w:pPr>
      <w:r>
        <w:rPr>
          <w:rFonts w:ascii="宋体" w:hAnsi="宋体"/>
          <w:color w:val="auto"/>
          <w:szCs w:val="21"/>
          <w:highlight w:val="none"/>
        </w:rPr>
        <w:br w:type="page"/>
      </w:r>
    </w:p>
    <w:p>
      <w:pPr>
        <w:spacing w:line="360" w:lineRule="auto"/>
        <w:jc w:val="center"/>
        <w:outlineLvl w:val="2"/>
        <w:rPr>
          <w:rFonts w:ascii="宋体" w:hAnsi="宋体"/>
          <w:color w:val="auto"/>
          <w:sz w:val="28"/>
          <w:szCs w:val="27"/>
          <w:highlight w:val="none"/>
        </w:rPr>
      </w:pPr>
      <w:r>
        <w:rPr>
          <w:rFonts w:hint="eastAsia" w:ascii="宋体" w:hAnsi="宋体"/>
          <w:color w:val="auto"/>
          <w:sz w:val="28"/>
          <w:szCs w:val="27"/>
          <w:highlight w:val="none"/>
        </w:rPr>
        <w:t>五</w:t>
      </w:r>
      <w:r>
        <w:rPr>
          <w:rFonts w:ascii="宋体" w:hAnsi="宋体"/>
          <w:color w:val="auto"/>
          <w:sz w:val="28"/>
          <w:szCs w:val="27"/>
          <w:highlight w:val="none"/>
        </w:rPr>
        <w:t>、</w:t>
      </w:r>
      <w:r>
        <w:rPr>
          <w:rFonts w:hint="eastAsia" w:ascii="宋体" w:hAnsi="宋体"/>
          <w:color w:val="auto"/>
          <w:sz w:val="28"/>
          <w:szCs w:val="27"/>
          <w:highlight w:val="none"/>
        </w:rPr>
        <w:t>已标价工程量清单</w:t>
      </w:r>
    </w:p>
    <w:p>
      <w:pPr>
        <w:spacing w:line="360" w:lineRule="auto"/>
        <w:jc w:val="center"/>
        <w:rPr>
          <w:rFonts w:ascii="宋体" w:hAnsi="宋体"/>
          <w:color w:val="auto"/>
          <w:sz w:val="28"/>
          <w:szCs w:val="27"/>
          <w:highlight w:val="none"/>
        </w:rPr>
      </w:pPr>
      <w:r>
        <w:rPr>
          <w:rFonts w:hint="eastAsia" w:ascii="宋体" w:hAnsi="宋体"/>
          <w:color w:val="auto"/>
          <w:sz w:val="28"/>
          <w:szCs w:val="27"/>
          <w:highlight w:val="none"/>
        </w:rPr>
        <w:t>（注：按招标人提供的工程量清单填报）</w:t>
      </w:r>
    </w:p>
    <w:p>
      <w:pPr>
        <w:pStyle w:val="129"/>
        <w:rPr>
          <w:color w:val="auto"/>
          <w:highlight w:val="none"/>
        </w:rPr>
      </w:pPr>
      <w:bookmarkStart w:id="272" w:name="_Toc259524421"/>
      <w:bookmarkStart w:id="273" w:name="_Toc222029567"/>
      <w:bookmarkStart w:id="274" w:name="_Toc222032736"/>
      <w:bookmarkStart w:id="275" w:name="_Toc222033918"/>
      <w:bookmarkStart w:id="276" w:name="_Toc229305427"/>
      <w:bookmarkStart w:id="277" w:name="_Toc168475930"/>
      <w:bookmarkStart w:id="278" w:name="_Toc144974871"/>
      <w:bookmarkStart w:id="279" w:name="_Toc222031069"/>
      <w:bookmarkStart w:id="280" w:name="_Toc168476333"/>
      <w:bookmarkStart w:id="281" w:name="_Toc221952115"/>
    </w:p>
    <w:p>
      <w:pPr>
        <w:pStyle w:val="2"/>
        <w:rPr>
          <w:rFonts w:ascii="宋体" w:hAnsi="宋体" w:cs="宋体"/>
          <w:color w:val="auto"/>
          <w:kern w:val="0"/>
          <w:sz w:val="24"/>
          <w:szCs w:val="24"/>
          <w:highlight w:val="none"/>
        </w:rPr>
      </w:pPr>
      <w:r>
        <w:rPr>
          <w:color w:val="auto"/>
          <w:highlight w:val="none"/>
        </w:rPr>
        <w:br w:type="page"/>
      </w:r>
    </w:p>
    <w:p>
      <w:pPr>
        <w:spacing w:line="360" w:lineRule="auto"/>
        <w:jc w:val="center"/>
        <w:outlineLvl w:val="2"/>
        <w:rPr>
          <w:rFonts w:ascii="宋体" w:hAnsi="宋体"/>
          <w:color w:val="auto"/>
          <w:sz w:val="28"/>
          <w:szCs w:val="27"/>
          <w:highlight w:val="none"/>
        </w:rPr>
      </w:pPr>
      <w:bookmarkStart w:id="282" w:name="_Toc21787767"/>
      <w:r>
        <w:rPr>
          <w:rFonts w:hint="eastAsia" w:ascii="宋体" w:hAnsi="宋体"/>
          <w:color w:val="auto"/>
          <w:sz w:val="28"/>
          <w:szCs w:val="27"/>
          <w:highlight w:val="none"/>
        </w:rPr>
        <w:t>六</w:t>
      </w:r>
      <w:r>
        <w:rPr>
          <w:rFonts w:ascii="宋体" w:hAnsi="宋体"/>
          <w:color w:val="auto"/>
          <w:sz w:val="28"/>
          <w:szCs w:val="27"/>
          <w:highlight w:val="none"/>
        </w:rPr>
        <w:t>、项目管理机构</w:t>
      </w:r>
      <w:bookmarkEnd w:id="282"/>
    </w:p>
    <w:bookmarkEnd w:id="272"/>
    <w:bookmarkEnd w:id="273"/>
    <w:bookmarkEnd w:id="274"/>
    <w:bookmarkEnd w:id="275"/>
    <w:bookmarkEnd w:id="276"/>
    <w:bookmarkEnd w:id="277"/>
    <w:bookmarkEnd w:id="278"/>
    <w:bookmarkEnd w:id="279"/>
    <w:bookmarkEnd w:id="280"/>
    <w:bookmarkEnd w:id="281"/>
    <w:p>
      <w:pPr>
        <w:spacing w:line="400" w:lineRule="exact"/>
        <w:jc w:val="center"/>
        <w:rPr>
          <w:rFonts w:ascii="宋体" w:hAnsi="宋体"/>
          <w:b/>
          <w:color w:val="auto"/>
          <w:sz w:val="24"/>
          <w:szCs w:val="24"/>
          <w:highlight w:val="none"/>
        </w:rPr>
      </w:pPr>
      <w:r>
        <w:rPr>
          <w:rFonts w:ascii="宋体" w:hAnsi="宋体"/>
          <w:b/>
          <w:color w:val="auto"/>
          <w:sz w:val="24"/>
          <w:szCs w:val="24"/>
          <w:highlight w:val="none"/>
        </w:rPr>
        <w:t xml:space="preserve"> </w:t>
      </w:r>
      <w:r>
        <w:rPr>
          <w:rFonts w:hint="eastAsia" w:ascii="宋体" w:hAnsi="宋体"/>
          <w:b/>
          <w:color w:val="auto"/>
          <w:sz w:val="24"/>
          <w:szCs w:val="24"/>
          <w:highlight w:val="none"/>
        </w:rPr>
        <w:t>项目管理架构人员最低配置承诺书</w:t>
      </w:r>
    </w:p>
    <w:p>
      <w:pPr>
        <w:spacing w:before="120" w:line="520" w:lineRule="exact"/>
        <w:ind w:left="960" w:hanging="960"/>
        <w:rPr>
          <w:rFonts w:ascii="宋体" w:hAnsi="宋体"/>
          <w:color w:val="auto"/>
          <w:szCs w:val="32"/>
          <w:highlight w:val="none"/>
        </w:rPr>
      </w:pPr>
      <w:r>
        <w:rPr>
          <w:rFonts w:ascii="宋体" w:hAnsi="宋体"/>
          <w:color w:val="auto"/>
          <w:szCs w:val="32"/>
          <w:highlight w:val="none"/>
        </w:rPr>
        <w:t>致（招标人）：</w:t>
      </w:r>
    </w:p>
    <w:p>
      <w:pPr>
        <w:spacing w:before="120" w:line="520" w:lineRule="exact"/>
        <w:ind w:left="6" w:leftChars="3" w:firstLine="420" w:firstLineChars="200"/>
        <w:rPr>
          <w:rFonts w:ascii="宋体" w:hAnsi="宋体"/>
          <w:b/>
          <w:bCs/>
          <w:color w:val="auto"/>
          <w:szCs w:val="32"/>
          <w:highlight w:val="none"/>
        </w:rPr>
      </w:pPr>
      <w:r>
        <w:rPr>
          <w:rFonts w:ascii="宋体" w:hAnsi="宋体"/>
          <w:color w:val="auto"/>
          <w:szCs w:val="32"/>
          <w:highlight w:val="none"/>
        </w:rPr>
        <w:t>我公司参与</w:t>
      </w:r>
      <w:r>
        <w:rPr>
          <w:rFonts w:ascii="宋体" w:hAnsi="宋体"/>
          <w:color w:val="auto"/>
          <w:szCs w:val="32"/>
          <w:highlight w:val="none"/>
          <w:u w:val="single"/>
        </w:rPr>
        <w:t>（项目）</w:t>
      </w:r>
      <w:r>
        <w:rPr>
          <w:rFonts w:ascii="宋体" w:hAnsi="宋体"/>
          <w:color w:val="auto"/>
          <w:szCs w:val="32"/>
          <w:highlight w:val="none"/>
        </w:rPr>
        <w:t>投标，郑重承诺如下(具体要求请招标人根据项目特点确定)：</w:t>
      </w:r>
    </w:p>
    <w:tbl>
      <w:tblPr>
        <w:tblStyle w:val="40"/>
        <w:tblW w:w="8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642"/>
        <w:gridCol w:w="2333"/>
        <w:gridCol w:w="1185"/>
        <w:gridCol w:w="2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90" w:type="dxa"/>
            <w:tcBorders>
              <w:top w:val="single" w:color="auto" w:sz="4" w:space="0"/>
              <w:left w:val="single" w:color="auto" w:sz="4" w:space="0"/>
              <w:bottom w:val="single" w:color="auto" w:sz="4" w:space="0"/>
              <w:right w:val="single" w:color="auto" w:sz="4" w:space="0"/>
            </w:tcBorders>
            <w:vAlign w:val="center"/>
          </w:tcPr>
          <w:p>
            <w:pPr>
              <w:spacing w:before="120" w:line="400" w:lineRule="exact"/>
              <w:ind w:left="840" w:hanging="840"/>
              <w:jc w:val="center"/>
              <w:rPr>
                <w:rFonts w:ascii="宋体" w:hAnsi="宋体"/>
                <w:color w:val="auto"/>
                <w:szCs w:val="21"/>
                <w:highlight w:val="none"/>
              </w:rPr>
            </w:pPr>
            <w:r>
              <w:rPr>
                <w:rFonts w:hint="eastAsia" w:ascii="宋体" w:hAnsi="宋体"/>
                <w:color w:val="auto"/>
                <w:szCs w:val="21"/>
                <w:highlight w:val="none"/>
              </w:rPr>
              <w:t>序号</w:t>
            </w:r>
          </w:p>
        </w:tc>
        <w:tc>
          <w:tcPr>
            <w:tcW w:w="1642" w:type="dxa"/>
            <w:tcBorders>
              <w:top w:val="single" w:color="auto" w:sz="4" w:space="0"/>
              <w:left w:val="single" w:color="auto" w:sz="4" w:space="0"/>
              <w:bottom w:val="single" w:color="auto" w:sz="4" w:space="0"/>
              <w:right w:val="single" w:color="auto" w:sz="4" w:space="0"/>
            </w:tcBorders>
            <w:vAlign w:val="center"/>
          </w:tcPr>
          <w:p>
            <w:pPr>
              <w:spacing w:before="120" w:line="400" w:lineRule="exact"/>
              <w:ind w:left="840" w:hanging="840"/>
              <w:jc w:val="center"/>
              <w:rPr>
                <w:rFonts w:ascii="宋体" w:hAnsi="宋体"/>
                <w:color w:val="auto"/>
                <w:szCs w:val="21"/>
                <w:highlight w:val="none"/>
              </w:rPr>
            </w:pPr>
            <w:r>
              <w:rPr>
                <w:rFonts w:hint="eastAsia" w:ascii="宋体" w:hAnsi="宋体"/>
                <w:color w:val="auto"/>
                <w:szCs w:val="21"/>
                <w:highlight w:val="none"/>
              </w:rPr>
              <w:t>岗位</w:t>
            </w:r>
          </w:p>
        </w:tc>
        <w:tc>
          <w:tcPr>
            <w:tcW w:w="2333" w:type="dxa"/>
            <w:tcBorders>
              <w:top w:val="single" w:color="auto" w:sz="4" w:space="0"/>
              <w:left w:val="single" w:color="auto" w:sz="4" w:space="0"/>
              <w:bottom w:val="single" w:color="auto" w:sz="4" w:space="0"/>
              <w:right w:val="single" w:color="auto" w:sz="4" w:space="0"/>
            </w:tcBorders>
            <w:vAlign w:val="center"/>
          </w:tcPr>
          <w:p>
            <w:pPr>
              <w:spacing w:before="120" w:line="400" w:lineRule="exact"/>
              <w:ind w:left="840" w:hanging="840"/>
              <w:jc w:val="center"/>
              <w:rPr>
                <w:rFonts w:ascii="宋体" w:hAnsi="宋体"/>
                <w:color w:val="auto"/>
                <w:szCs w:val="21"/>
                <w:highlight w:val="none"/>
              </w:rPr>
            </w:pPr>
            <w:r>
              <w:rPr>
                <w:rFonts w:hint="eastAsia" w:ascii="宋体" w:hAnsi="宋体"/>
                <w:color w:val="auto"/>
                <w:szCs w:val="21"/>
                <w:highlight w:val="none"/>
              </w:rPr>
              <w:t>资格要求</w:t>
            </w:r>
          </w:p>
        </w:tc>
        <w:tc>
          <w:tcPr>
            <w:tcW w:w="1185" w:type="dxa"/>
            <w:tcBorders>
              <w:top w:val="single" w:color="auto" w:sz="4" w:space="0"/>
              <w:left w:val="single" w:color="auto" w:sz="4" w:space="0"/>
              <w:bottom w:val="single" w:color="auto" w:sz="4" w:space="0"/>
              <w:right w:val="single" w:color="auto" w:sz="4" w:space="0"/>
            </w:tcBorders>
            <w:vAlign w:val="center"/>
          </w:tcPr>
          <w:p>
            <w:pPr>
              <w:spacing w:before="120" w:line="400" w:lineRule="exact"/>
              <w:ind w:left="840" w:hanging="840"/>
              <w:rPr>
                <w:rFonts w:ascii="宋体" w:hAnsi="宋体"/>
                <w:color w:val="auto"/>
                <w:szCs w:val="21"/>
                <w:highlight w:val="none"/>
              </w:rPr>
            </w:pPr>
            <w:r>
              <w:rPr>
                <w:rFonts w:hint="eastAsia" w:ascii="宋体" w:hAnsi="宋体"/>
                <w:color w:val="auto"/>
                <w:szCs w:val="21"/>
                <w:highlight w:val="none"/>
              </w:rPr>
              <w:t>数量</w:t>
            </w:r>
          </w:p>
        </w:tc>
        <w:tc>
          <w:tcPr>
            <w:tcW w:w="2790" w:type="dxa"/>
            <w:tcBorders>
              <w:top w:val="single" w:color="auto" w:sz="4" w:space="0"/>
              <w:left w:val="single" w:color="auto" w:sz="4" w:space="0"/>
              <w:bottom w:val="single" w:color="auto" w:sz="4" w:space="0"/>
              <w:right w:val="single" w:color="auto" w:sz="4" w:space="0"/>
            </w:tcBorders>
            <w:vAlign w:val="center"/>
          </w:tcPr>
          <w:p>
            <w:pPr>
              <w:spacing w:before="120" w:line="400" w:lineRule="exact"/>
              <w:ind w:left="840" w:hanging="840"/>
              <w:rPr>
                <w:rFonts w:ascii="宋体" w:hAnsi="宋体"/>
                <w:color w:val="auto"/>
                <w:szCs w:val="21"/>
                <w:highlight w:val="none"/>
              </w:rPr>
            </w:pPr>
            <w:r>
              <w:rPr>
                <w:rFonts w:hint="eastAsia" w:ascii="宋体" w:hAnsi="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690" w:type="dxa"/>
            <w:tcBorders>
              <w:top w:val="single" w:color="auto" w:sz="4" w:space="0"/>
              <w:left w:val="single" w:color="auto" w:sz="4" w:space="0"/>
              <w:bottom w:val="single" w:color="auto" w:sz="4" w:space="0"/>
              <w:right w:val="single" w:color="auto" w:sz="4" w:space="0"/>
            </w:tcBorders>
          </w:tcPr>
          <w:p>
            <w:pPr>
              <w:spacing w:before="120" w:line="400" w:lineRule="exact"/>
              <w:jc w:val="center"/>
              <w:rPr>
                <w:rFonts w:ascii="宋体" w:hAnsi="宋体"/>
                <w:color w:val="auto"/>
                <w:sz w:val="24"/>
                <w:szCs w:val="24"/>
                <w:highlight w:val="none"/>
              </w:rPr>
            </w:pPr>
            <w:r>
              <w:rPr>
                <w:rFonts w:ascii="宋体" w:hAnsi="宋体"/>
                <w:color w:val="auto"/>
                <w:sz w:val="24"/>
                <w:highlight w:val="none"/>
              </w:rPr>
              <w:t>1</w:t>
            </w:r>
          </w:p>
        </w:tc>
        <w:tc>
          <w:tcPr>
            <w:tcW w:w="1642" w:type="dxa"/>
            <w:tcBorders>
              <w:top w:val="single" w:color="auto" w:sz="4" w:space="0"/>
              <w:left w:val="single" w:color="auto" w:sz="4" w:space="0"/>
              <w:bottom w:val="single" w:color="auto" w:sz="4" w:space="0"/>
              <w:right w:val="single" w:color="auto" w:sz="4" w:space="0"/>
            </w:tcBorders>
          </w:tcPr>
          <w:p>
            <w:pPr>
              <w:spacing w:before="120" w:line="400" w:lineRule="exact"/>
              <w:ind w:left="720" w:hanging="720"/>
              <w:rPr>
                <w:rFonts w:ascii="宋体" w:hAnsi="宋体"/>
                <w:color w:val="auto"/>
                <w:sz w:val="24"/>
                <w:szCs w:val="24"/>
                <w:highlight w:val="none"/>
              </w:rPr>
            </w:pPr>
            <w:r>
              <w:rPr>
                <w:rFonts w:ascii="宋体" w:hAnsi="宋体"/>
                <w:color w:val="auto"/>
                <w:sz w:val="24"/>
                <w:highlight w:val="none"/>
              </w:rPr>
              <w:t>项目负责人</w:t>
            </w:r>
          </w:p>
        </w:tc>
        <w:tc>
          <w:tcPr>
            <w:tcW w:w="2333" w:type="dxa"/>
            <w:tcBorders>
              <w:top w:val="single" w:color="auto" w:sz="4" w:space="0"/>
              <w:left w:val="single" w:color="auto" w:sz="4" w:space="0"/>
              <w:bottom w:val="single" w:color="auto" w:sz="4" w:space="0"/>
              <w:right w:val="single" w:color="auto" w:sz="4" w:space="0"/>
            </w:tcBorders>
          </w:tcPr>
          <w:p>
            <w:pPr>
              <w:spacing w:before="120" w:line="400" w:lineRule="exact"/>
              <w:ind w:left="720" w:hanging="720"/>
              <w:rPr>
                <w:rFonts w:ascii="宋体" w:hAnsi="宋体"/>
                <w:color w:val="auto"/>
                <w:sz w:val="24"/>
                <w:szCs w:val="24"/>
                <w:highlight w:val="none"/>
              </w:rPr>
            </w:pPr>
            <w:r>
              <w:rPr>
                <w:rFonts w:ascii="宋体" w:hAnsi="宋体"/>
                <w:color w:val="auto"/>
                <w:sz w:val="24"/>
                <w:highlight w:val="none"/>
              </w:rPr>
              <w:t>与招标公告要求一致</w:t>
            </w:r>
          </w:p>
        </w:tc>
        <w:tc>
          <w:tcPr>
            <w:tcW w:w="1185" w:type="dxa"/>
            <w:tcBorders>
              <w:top w:val="single" w:color="auto" w:sz="4" w:space="0"/>
              <w:left w:val="single" w:color="auto" w:sz="4" w:space="0"/>
              <w:bottom w:val="single" w:color="auto" w:sz="4" w:space="0"/>
              <w:right w:val="single" w:color="auto" w:sz="4" w:space="0"/>
            </w:tcBorders>
          </w:tcPr>
          <w:p>
            <w:pPr>
              <w:spacing w:before="120" w:line="400" w:lineRule="exact"/>
              <w:ind w:left="720" w:hanging="720"/>
              <w:jc w:val="center"/>
              <w:rPr>
                <w:rFonts w:ascii="宋体" w:hAnsi="宋体"/>
                <w:color w:val="auto"/>
                <w:sz w:val="24"/>
                <w:szCs w:val="24"/>
                <w:highlight w:val="none"/>
              </w:rPr>
            </w:pPr>
          </w:p>
        </w:tc>
        <w:tc>
          <w:tcPr>
            <w:tcW w:w="2790" w:type="dxa"/>
            <w:tcBorders>
              <w:top w:val="single" w:color="auto" w:sz="4" w:space="0"/>
              <w:left w:val="single" w:color="auto" w:sz="4" w:space="0"/>
              <w:bottom w:val="single" w:color="auto" w:sz="4" w:space="0"/>
              <w:right w:val="single" w:color="auto" w:sz="4" w:space="0"/>
            </w:tcBorders>
          </w:tcPr>
          <w:p>
            <w:pPr>
              <w:spacing w:before="120" w:line="400" w:lineRule="exact"/>
              <w:ind w:left="33"/>
              <w:rPr>
                <w:rFonts w:ascii="宋体" w:hAnsi="宋体"/>
                <w:color w:val="auto"/>
                <w:sz w:val="24"/>
                <w:szCs w:val="24"/>
                <w:highlight w:val="none"/>
              </w:rPr>
            </w:pPr>
            <w:r>
              <w:rPr>
                <w:rFonts w:ascii="宋体" w:hAnsi="宋体"/>
                <w:color w:val="auto"/>
                <w:sz w:val="24"/>
                <w:highlight w:val="none"/>
              </w:rPr>
              <w:t>填报人员与资格审查提供的人员一致。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690" w:type="dxa"/>
            <w:tcBorders>
              <w:top w:val="single" w:color="auto" w:sz="4" w:space="0"/>
              <w:left w:val="single" w:color="auto" w:sz="4" w:space="0"/>
              <w:bottom w:val="single" w:color="auto" w:sz="4" w:space="0"/>
              <w:right w:val="single" w:color="auto" w:sz="4" w:space="0"/>
            </w:tcBorders>
          </w:tcPr>
          <w:p>
            <w:pPr>
              <w:spacing w:before="120" w:line="400" w:lineRule="exact"/>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2</w:t>
            </w:r>
          </w:p>
        </w:tc>
        <w:tc>
          <w:tcPr>
            <w:tcW w:w="1642" w:type="dxa"/>
            <w:tcBorders>
              <w:top w:val="single" w:color="auto" w:sz="4" w:space="0"/>
              <w:left w:val="single" w:color="auto" w:sz="4" w:space="0"/>
              <w:bottom w:val="single" w:color="auto" w:sz="4" w:space="0"/>
              <w:right w:val="single" w:color="auto" w:sz="4" w:space="0"/>
            </w:tcBorders>
          </w:tcPr>
          <w:p>
            <w:pPr>
              <w:spacing w:before="120" w:line="400" w:lineRule="exact"/>
              <w:ind w:left="720" w:hanging="720"/>
              <w:rPr>
                <w:rFonts w:ascii="宋体" w:hAnsi="宋体"/>
                <w:color w:val="auto"/>
                <w:sz w:val="24"/>
                <w:highlight w:val="none"/>
              </w:rPr>
            </w:pPr>
            <w:r>
              <w:rPr>
                <w:rFonts w:hint="eastAsia" w:ascii="宋体" w:hAnsi="宋体"/>
                <w:color w:val="auto"/>
                <w:sz w:val="24"/>
                <w:highlight w:val="none"/>
              </w:rPr>
              <w:t>技术负责人</w:t>
            </w:r>
          </w:p>
        </w:tc>
        <w:tc>
          <w:tcPr>
            <w:tcW w:w="233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before="120" w:line="400" w:lineRule="exact"/>
              <w:ind w:left="0" w:firstLine="0"/>
              <w:jc w:val="left"/>
              <w:textAlignment w:val="auto"/>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水利工程类中级或以上工程师</w:t>
            </w:r>
          </w:p>
        </w:tc>
        <w:tc>
          <w:tcPr>
            <w:tcW w:w="1185" w:type="dxa"/>
            <w:tcBorders>
              <w:top w:val="single" w:color="auto" w:sz="4" w:space="0"/>
              <w:left w:val="single" w:color="auto" w:sz="4" w:space="0"/>
              <w:bottom w:val="single" w:color="auto" w:sz="4" w:space="0"/>
              <w:right w:val="single" w:color="auto" w:sz="4" w:space="0"/>
            </w:tcBorders>
          </w:tcPr>
          <w:p>
            <w:pPr>
              <w:spacing w:before="120" w:line="400" w:lineRule="exact"/>
              <w:ind w:left="720" w:hanging="720"/>
              <w:jc w:val="center"/>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1</w:t>
            </w:r>
          </w:p>
        </w:tc>
        <w:tc>
          <w:tcPr>
            <w:tcW w:w="2790" w:type="dxa"/>
            <w:tcBorders>
              <w:top w:val="single" w:color="auto" w:sz="4" w:space="0"/>
              <w:left w:val="single" w:color="auto" w:sz="4" w:space="0"/>
              <w:bottom w:val="single" w:color="auto" w:sz="4" w:space="0"/>
              <w:right w:val="single" w:color="auto" w:sz="4" w:space="0"/>
            </w:tcBorders>
          </w:tcPr>
          <w:p>
            <w:pPr>
              <w:spacing w:before="120" w:line="400" w:lineRule="exact"/>
              <w:ind w:left="33"/>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不得由项目负责人或专职安全员兼职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690" w:type="dxa"/>
            <w:tcBorders>
              <w:top w:val="single" w:color="auto" w:sz="4" w:space="0"/>
              <w:left w:val="single" w:color="auto" w:sz="4" w:space="0"/>
              <w:bottom w:val="single" w:color="auto" w:sz="4" w:space="0"/>
              <w:right w:val="single" w:color="auto" w:sz="4" w:space="0"/>
            </w:tcBorders>
          </w:tcPr>
          <w:p>
            <w:pPr>
              <w:spacing w:before="120" w:line="400" w:lineRule="exact"/>
              <w:ind w:left="720" w:hanging="720"/>
              <w:jc w:val="center"/>
              <w:rPr>
                <w:rFonts w:hint="eastAsia" w:ascii="宋体" w:hAnsi="宋体" w:eastAsia="宋体"/>
                <w:color w:val="auto"/>
                <w:sz w:val="24"/>
                <w:szCs w:val="24"/>
                <w:highlight w:val="none"/>
                <w:lang w:eastAsia="zh-CN"/>
              </w:rPr>
            </w:pPr>
            <w:r>
              <w:rPr>
                <w:rFonts w:hint="eastAsia" w:ascii="宋体" w:hAnsi="宋体"/>
                <w:color w:val="auto"/>
                <w:sz w:val="24"/>
                <w:highlight w:val="none"/>
                <w:lang w:val="en-US" w:eastAsia="zh-CN"/>
              </w:rPr>
              <w:t>3</w:t>
            </w:r>
          </w:p>
        </w:tc>
        <w:tc>
          <w:tcPr>
            <w:tcW w:w="1642" w:type="dxa"/>
            <w:tcBorders>
              <w:top w:val="single" w:color="auto" w:sz="4" w:space="0"/>
              <w:left w:val="single" w:color="auto" w:sz="4" w:space="0"/>
              <w:bottom w:val="single" w:color="auto" w:sz="4" w:space="0"/>
              <w:right w:val="single" w:color="auto" w:sz="4" w:space="0"/>
            </w:tcBorders>
          </w:tcPr>
          <w:p>
            <w:pPr>
              <w:spacing w:before="120" w:line="400" w:lineRule="exact"/>
              <w:ind w:left="720" w:hanging="720"/>
              <w:rPr>
                <w:rFonts w:ascii="宋体" w:hAnsi="宋体"/>
                <w:color w:val="auto"/>
                <w:sz w:val="24"/>
                <w:szCs w:val="24"/>
                <w:highlight w:val="none"/>
              </w:rPr>
            </w:pPr>
            <w:r>
              <w:rPr>
                <w:rFonts w:ascii="宋体" w:hAnsi="宋体"/>
                <w:color w:val="auto"/>
                <w:sz w:val="24"/>
                <w:highlight w:val="none"/>
              </w:rPr>
              <w:t>专职安全员</w:t>
            </w:r>
          </w:p>
        </w:tc>
        <w:tc>
          <w:tcPr>
            <w:tcW w:w="2333" w:type="dxa"/>
            <w:tcBorders>
              <w:top w:val="single" w:color="auto" w:sz="4" w:space="0"/>
              <w:left w:val="single" w:color="auto" w:sz="4" w:space="0"/>
              <w:bottom w:val="single" w:color="auto" w:sz="4" w:space="0"/>
              <w:right w:val="single" w:color="auto" w:sz="4" w:space="0"/>
            </w:tcBorders>
          </w:tcPr>
          <w:p>
            <w:pPr>
              <w:spacing w:before="120" w:line="400" w:lineRule="exact"/>
              <w:ind w:left="720" w:hanging="720"/>
              <w:rPr>
                <w:rFonts w:ascii="宋体" w:hAnsi="宋体"/>
                <w:color w:val="auto"/>
                <w:sz w:val="24"/>
                <w:szCs w:val="24"/>
                <w:highlight w:val="none"/>
              </w:rPr>
            </w:pPr>
            <w:r>
              <w:rPr>
                <w:rFonts w:ascii="宋体" w:hAnsi="宋体"/>
                <w:color w:val="auto"/>
                <w:sz w:val="24"/>
                <w:highlight w:val="none"/>
              </w:rPr>
              <w:t>与招标公告要求一致</w:t>
            </w:r>
          </w:p>
        </w:tc>
        <w:tc>
          <w:tcPr>
            <w:tcW w:w="1185" w:type="dxa"/>
            <w:tcBorders>
              <w:top w:val="single" w:color="auto" w:sz="4" w:space="0"/>
              <w:left w:val="single" w:color="auto" w:sz="4" w:space="0"/>
              <w:bottom w:val="single" w:color="auto" w:sz="4" w:space="0"/>
              <w:right w:val="single" w:color="auto" w:sz="4" w:space="0"/>
            </w:tcBorders>
          </w:tcPr>
          <w:p>
            <w:pPr>
              <w:spacing w:before="120" w:line="400" w:lineRule="exact"/>
              <w:ind w:left="720" w:hanging="720"/>
              <w:jc w:val="center"/>
              <w:rPr>
                <w:rFonts w:ascii="宋体" w:hAnsi="宋体"/>
                <w:color w:val="auto"/>
                <w:sz w:val="24"/>
                <w:szCs w:val="24"/>
                <w:highlight w:val="none"/>
              </w:rPr>
            </w:pPr>
          </w:p>
        </w:tc>
        <w:tc>
          <w:tcPr>
            <w:tcW w:w="2790" w:type="dxa"/>
            <w:tcBorders>
              <w:top w:val="single" w:color="auto" w:sz="4" w:space="0"/>
              <w:left w:val="single" w:color="auto" w:sz="4" w:space="0"/>
              <w:bottom w:val="single" w:color="auto" w:sz="4" w:space="0"/>
              <w:right w:val="single" w:color="auto" w:sz="4" w:space="0"/>
            </w:tcBorders>
          </w:tcPr>
          <w:p>
            <w:pPr>
              <w:spacing w:before="120" w:line="400" w:lineRule="exact"/>
              <w:ind w:left="33"/>
              <w:rPr>
                <w:rFonts w:ascii="宋体" w:hAnsi="宋体"/>
                <w:color w:val="auto"/>
                <w:sz w:val="24"/>
                <w:szCs w:val="24"/>
                <w:highlight w:val="none"/>
              </w:rPr>
            </w:pPr>
            <w:r>
              <w:rPr>
                <w:rFonts w:ascii="宋体" w:hAnsi="宋体"/>
                <w:color w:val="auto"/>
                <w:sz w:val="24"/>
                <w:highlight w:val="none"/>
              </w:rPr>
              <w:t>填报人员与资格审查提供的人员一致。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690" w:type="dxa"/>
            <w:tcBorders>
              <w:top w:val="single" w:color="auto" w:sz="4" w:space="0"/>
              <w:left w:val="single" w:color="auto" w:sz="4" w:space="0"/>
              <w:bottom w:val="single" w:color="auto" w:sz="4" w:space="0"/>
              <w:right w:val="single" w:color="auto" w:sz="4" w:space="0"/>
            </w:tcBorders>
          </w:tcPr>
          <w:p>
            <w:pPr>
              <w:spacing w:before="120" w:line="400" w:lineRule="exact"/>
              <w:ind w:left="720" w:hanging="720"/>
              <w:jc w:val="center"/>
              <w:rPr>
                <w:rFonts w:ascii="宋体" w:hAnsi="宋体"/>
                <w:color w:val="auto"/>
                <w:sz w:val="24"/>
                <w:szCs w:val="24"/>
                <w:highlight w:val="none"/>
              </w:rPr>
            </w:pPr>
            <w:r>
              <w:rPr>
                <w:rFonts w:ascii="宋体" w:hAnsi="宋体"/>
                <w:color w:val="auto"/>
                <w:sz w:val="24"/>
                <w:highlight w:val="none"/>
              </w:rPr>
              <w:t>4</w:t>
            </w:r>
          </w:p>
        </w:tc>
        <w:tc>
          <w:tcPr>
            <w:tcW w:w="1642" w:type="dxa"/>
            <w:tcBorders>
              <w:top w:val="single" w:color="auto" w:sz="4" w:space="0"/>
              <w:left w:val="single" w:color="auto" w:sz="4" w:space="0"/>
              <w:bottom w:val="single" w:color="auto" w:sz="4" w:space="0"/>
              <w:right w:val="single" w:color="auto" w:sz="4" w:space="0"/>
            </w:tcBorders>
          </w:tcPr>
          <w:p>
            <w:pPr>
              <w:spacing w:before="120" w:line="400" w:lineRule="exact"/>
              <w:ind w:left="720" w:hanging="720"/>
              <w:rPr>
                <w:rFonts w:ascii="宋体" w:hAnsi="宋体"/>
                <w:color w:val="auto"/>
                <w:sz w:val="24"/>
                <w:szCs w:val="24"/>
                <w:highlight w:val="none"/>
              </w:rPr>
            </w:pPr>
            <w:r>
              <w:rPr>
                <w:rFonts w:ascii="宋体" w:hAnsi="宋体"/>
                <w:color w:val="auto"/>
                <w:sz w:val="24"/>
                <w:highlight w:val="none"/>
              </w:rPr>
              <w:t>预结算员</w:t>
            </w:r>
          </w:p>
        </w:tc>
        <w:tc>
          <w:tcPr>
            <w:tcW w:w="2333" w:type="dxa"/>
            <w:tcBorders>
              <w:top w:val="single" w:color="auto" w:sz="4" w:space="0"/>
              <w:left w:val="single" w:color="auto" w:sz="4" w:space="0"/>
              <w:bottom w:val="single" w:color="auto" w:sz="4" w:space="0"/>
              <w:right w:val="single" w:color="auto" w:sz="4" w:space="0"/>
            </w:tcBorders>
          </w:tcPr>
          <w:p>
            <w:pPr>
              <w:spacing w:before="120" w:line="400" w:lineRule="exact"/>
              <w:ind w:left="720" w:hanging="720"/>
              <w:rPr>
                <w:rFonts w:ascii="宋体" w:hAnsi="宋体"/>
                <w:color w:val="auto"/>
                <w:sz w:val="24"/>
                <w:szCs w:val="24"/>
                <w:highlight w:val="none"/>
              </w:rPr>
            </w:pPr>
            <w:r>
              <w:rPr>
                <w:rFonts w:ascii="宋体" w:hAnsi="宋体"/>
                <w:color w:val="auto"/>
                <w:sz w:val="24"/>
                <w:highlight w:val="none"/>
              </w:rPr>
              <w:t>具备预结算从业资格</w:t>
            </w:r>
          </w:p>
        </w:tc>
        <w:tc>
          <w:tcPr>
            <w:tcW w:w="1185" w:type="dxa"/>
            <w:tcBorders>
              <w:top w:val="single" w:color="auto" w:sz="4" w:space="0"/>
              <w:left w:val="single" w:color="auto" w:sz="4" w:space="0"/>
              <w:bottom w:val="single" w:color="auto" w:sz="4" w:space="0"/>
              <w:right w:val="single" w:color="auto" w:sz="4" w:space="0"/>
            </w:tcBorders>
          </w:tcPr>
          <w:p>
            <w:pPr>
              <w:spacing w:before="120" w:line="400" w:lineRule="exact"/>
              <w:ind w:left="720" w:hanging="720"/>
              <w:jc w:val="center"/>
              <w:rPr>
                <w:rFonts w:ascii="宋体" w:hAnsi="宋体"/>
                <w:color w:val="auto"/>
                <w:sz w:val="24"/>
                <w:szCs w:val="24"/>
                <w:highlight w:val="none"/>
              </w:rPr>
            </w:pPr>
            <w:r>
              <w:rPr>
                <w:rFonts w:ascii="宋体" w:hAnsi="宋体"/>
                <w:color w:val="auto"/>
                <w:sz w:val="24"/>
                <w:highlight w:val="none"/>
              </w:rPr>
              <w:t>1</w:t>
            </w:r>
          </w:p>
        </w:tc>
        <w:tc>
          <w:tcPr>
            <w:tcW w:w="2790" w:type="dxa"/>
            <w:tcBorders>
              <w:top w:val="single" w:color="auto" w:sz="4" w:space="0"/>
              <w:left w:val="single" w:color="auto" w:sz="4" w:space="0"/>
              <w:bottom w:val="single" w:color="auto" w:sz="4" w:space="0"/>
              <w:right w:val="single" w:color="auto" w:sz="4" w:space="0"/>
            </w:tcBorders>
          </w:tcPr>
          <w:p>
            <w:pPr>
              <w:spacing w:before="120" w:line="400" w:lineRule="exact"/>
              <w:ind w:left="720" w:hanging="720"/>
              <w:rPr>
                <w:rFonts w:ascii="宋体" w:hAnsi="宋体"/>
                <w:color w:val="auto"/>
                <w:sz w:val="24"/>
                <w:szCs w:val="24"/>
                <w:highlight w:val="none"/>
              </w:rPr>
            </w:pPr>
            <w:r>
              <w:rPr>
                <w:rFonts w:ascii="宋体" w:hAnsi="宋体"/>
                <w:color w:val="auto"/>
                <w:sz w:val="24"/>
                <w:highlight w:val="none"/>
              </w:rPr>
              <w:t>根据项目规模确定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690" w:type="dxa"/>
            <w:tcBorders>
              <w:top w:val="single" w:color="auto" w:sz="4" w:space="0"/>
              <w:left w:val="single" w:color="auto" w:sz="4" w:space="0"/>
              <w:bottom w:val="single" w:color="auto" w:sz="4" w:space="0"/>
              <w:right w:val="single" w:color="auto" w:sz="4" w:space="0"/>
            </w:tcBorders>
          </w:tcPr>
          <w:p>
            <w:pPr>
              <w:spacing w:before="120" w:line="400" w:lineRule="exact"/>
              <w:ind w:left="720" w:hanging="720"/>
              <w:jc w:val="center"/>
              <w:rPr>
                <w:rFonts w:ascii="宋体" w:hAnsi="宋体"/>
                <w:color w:val="auto"/>
                <w:sz w:val="24"/>
                <w:szCs w:val="24"/>
                <w:highlight w:val="none"/>
              </w:rPr>
            </w:pPr>
            <w:r>
              <w:rPr>
                <w:rFonts w:ascii="宋体" w:hAnsi="宋体"/>
                <w:color w:val="auto"/>
                <w:sz w:val="24"/>
                <w:highlight w:val="none"/>
              </w:rPr>
              <w:t>5</w:t>
            </w:r>
          </w:p>
        </w:tc>
        <w:tc>
          <w:tcPr>
            <w:tcW w:w="1642" w:type="dxa"/>
            <w:tcBorders>
              <w:top w:val="single" w:color="auto" w:sz="4" w:space="0"/>
              <w:left w:val="single" w:color="auto" w:sz="4" w:space="0"/>
              <w:bottom w:val="single" w:color="auto" w:sz="4" w:space="0"/>
              <w:right w:val="single" w:color="auto" w:sz="4" w:space="0"/>
            </w:tcBorders>
          </w:tcPr>
          <w:p>
            <w:pPr>
              <w:spacing w:before="120" w:line="400" w:lineRule="exact"/>
              <w:ind w:left="720" w:hanging="720"/>
              <w:rPr>
                <w:rFonts w:ascii="宋体" w:hAnsi="宋体"/>
                <w:color w:val="auto"/>
                <w:sz w:val="24"/>
                <w:szCs w:val="24"/>
                <w:highlight w:val="none"/>
              </w:rPr>
            </w:pPr>
            <w:r>
              <w:rPr>
                <w:rFonts w:ascii="宋体" w:hAnsi="宋体"/>
                <w:color w:val="auto"/>
                <w:sz w:val="24"/>
                <w:highlight w:val="none"/>
              </w:rPr>
              <w:t>资料员</w:t>
            </w:r>
          </w:p>
        </w:tc>
        <w:tc>
          <w:tcPr>
            <w:tcW w:w="2333" w:type="dxa"/>
            <w:tcBorders>
              <w:top w:val="single" w:color="auto" w:sz="4" w:space="0"/>
              <w:left w:val="single" w:color="auto" w:sz="4" w:space="0"/>
              <w:bottom w:val="single" w:color="auto" w:sz="4" w:space="0"/>
              <w:right w:val="single" w:color="auto" w:sz="4" w:space="0"/>
            </w:tcBorders>
          </w:tcPr>
          <w:p>
            <w:pPr>
              <w:spacing w:before="120" w:line="400" w:lineRule="exact"/>
              <w:ind w:left="720" w:hanging="720"/>
              <w:rPr>
                <w:rFonts w:ascii="宋体" w:hAnsi="宋体"/>
                <w:color w:val="auto"/>
                <w:sz w:val="24"/>
                <w:szCs w:val="24"/>
                <w:highlight w:val="none"/>
              </w:rPr>
            </w:pPr>
          </w:p>
        </w:tc>
        <w:tc>
          <w:tcPr>
            <w:tcW w:w="1185" w:type="dxa"/>
            <w:tcBorders>
              <w:top w:val="single" w:color="auto" w:sz="4" w:space="0"/>
              <w:left w:val="single" w:color="auto" w:sz="4" w:space="0"/>
              <w:bottom w:val="single" w:color="auto" w:sz="4" w:space="0"/>
              <w:right w:val="single" w:color="auto" w:sz="4" w:space="0"/>
            </w:tcBorders>
          </w:tcPr>
          <w:p>
            <w:pPr>
              <w:spacing w:before="120" w:line="400" w:lineRule="exact"/>
              <w:ind w:left="720" w:hanging="720"/>
              <w:jc w:val="center"/>
              <w:rPr>
                <w:rFonts w:ascii="宋体" w:hAnsi="宋体"/>
                <w:color w:val="auto"/>
                <w:sz w:val="24"/>
                <w:szCs w:val="24"/>
                <w:highlight w:val="none"/>
              </w:rPr>
            </w:pPr>
            <w:r>
              <w:rPr>
                <w:rFonts w:ascii="宋体" w:hAnsi="宋体"/>
                <w:color w:val="auto"/>
                <w:sz w:val="24"/>
                <w:highlight w:val="none"/>
              </w:rPr>
              <w:t>1</w:t>
            </w:r>
          </w:p>
        </w:tc>
        <w:tc>
          <w:tcPr>
            <w:tcW w:w="2790" w:type="dxa"/>
            <w:tcBorders>
              <w:top w:val="single" w:color="auto" w:sz="4" w:space="0"/>
              <w:left w:val="single" w:color="auto" w:sz="4" w:space="0"/>
              <w:bottom w:val="single" w:color="auto" w:sz="4" w:space="0"/>
              <w:right w:val="single" w:color="auto" w:sz="4" w:space="0"/>
            </w:tcBorders>
          </w:tcPr>
          <w:p>
            <w:pPr>
              <w:spacing w:before="120" w:line="400" w:lineRule="exact"/>
              <w:ind w:left="720" w:hanging="720"/>
              <w:rPr>
                <w:rFonts w:ascii="宋体" w:hAnsi="宋体"/>
                <w:color w:val="auto"/>
                <w:sz w:val="24"/>
                <w:szCs w:val="24"/>
                <w:highlight w:val="none"/>
              </w:rPr>
            </w:pPr>
            <w:r>
              <w:rPr>
                <w:rFonts w:ascii="宋体" w:hAnsi="宋体"/>
                <w:color w:val="auto"/>
                <w:sz w:val="24"/>
                <w:highlight w:val="none"/>
              </w:rPr>
              <w:t>根据项目规模确定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tcBorders>
              <w:top w:val="single" w:color="auto" w:sz="4" w:space="0"/>
              <w:left w:val="single" w:color="auto" w:sz="4" w:space="0"/>
              <w:bottom w:val="single" w:color="auto" w:sz="4" w:space="0"/>
              <w:right w:val="single" w:color="auto" w:sz="4" w:space="0"/>
            </w:tcBorders>
          </w:tcPr>
          <w:p>
            <w:pPr>
              <w:spacing w:before="120" w:line="400" w:lineRule="exact"/>
              <w:ind w:left="720" w:hanging="720"/>
              <w:jc w:val="center"/>
              <w:rPr>
                <w:rFonts w:ascii="宋体" w:hAnsi="宋体"/>
                <w:color w:val="auto"/>
                <w:sz w:val="24"/>
                <w:szCs w:val="24"/>
                <w:highlight w:val="none"/>
              </w:rPr>
            </w:pPr>
            <w:r>
              <w:rPr>
                <w:rFonts w:ascii="宋体" w:hAnsi="宋体"/>
                <w:color w:val="auto"/>
                <w:sz w:val="24"/>
                <w:highlight w:val="none"/>
              </w:rPr>
              <w:t>6</w:t>
            </w:r>
          </w:p>
        </w:tc>
        <w:tc>
          <w:tcPr>
            <w:tcW w:w="1642" w:type="dxa"/>
            <w:tcBorders>
              <w:top w:val="single" w:color="auto" w:sz="4" w:space="0"/>
              <w:left w:val="single" w:color="auto" w:sz="4" w:space="0"/>
              <w:bottom w:val="single" w:color="auto" w:sz="4" w:space="0"/>
              <w:right w:val="single" w:color="auto" w:sz="4" w:space="0"/>
            </w:tcBorders>
          </w:tcPr>
          <w:p>
            <w:pPr>
              <w:spacing w:before="120" w:line="400" w:lineRule="exact"/>
              <w:ind w:left="720" w:hanging="720"/>
              <w:rPr>
                <w:rFonts w:ascii="宋体" w:hAnsi="宋体"/>
                <w:color w:val="auto"/>
                <w:sz w:val="24"/>
                <w:szCs w:val="24"/>
                <w:highlight w:val="none"/>
              </w:rPr>
            </w:pPr>
            <w:r>
              <w:rPr>
                <w:rFonts w:ascii="宋体" w:hAnsi="宋体"/>
                <w:color w:val="auto"/>
                <w:sz w:val="24"/>
                <w:highlight w:val="none"/>
              </w:rPr>
              <w:t>施工员</w:t>
            </w:r>
          </w:p>
        </w:tc>
        <w:tc>
          <w:tcPr>
            <w:tcW w:w="2333" w:type="dxa"/>
            <w:tcBorders>
              <w:top w:val="single" w:color="auto" w:sz="4" w:space="0"/>
              <w:left w:val="single" w:color="auto" w:sz="4" w:space="0"/>
              <w:bottom w:val="single" w:color="auto" w:sz="4" w:space="0"/>
              <w:right w:val="single" w:color="auto" w:sz="4" w:space="0"/>
            </w:tcBorders>
          </w:tcPr>
          <w:p>
            <w:pPr>
              <w:spacing w:before="120" w:line="400" w:lineRule="exact"/>
              <w:ind w:left="720" w:hanging="720"/>
              <w:rPr>
                <w:rFonts w:ascii="宋体" w:hAnsi="宋体"/>
                <w:color w:val="auto"/>
                <w:sz w:val="24"/>
                <w:szCs w:val="24"/>
                <w:highlight w:val="none"/>
              </w:rPr>
            </w:pPr>
          </w:p>
        </w:tc>
        <w:tc>
          <w:tcPr>
            <w:tcW w:w="1185" w:type="dxa"/>
            <w:tcBorders>
              <w:top w:val="single" w:color="auto" w:sz="4" w:space="0"/>
              <w:left w:val="single" w:color="auto" w:sz="4" w:space="0"/>
              <w:bottom w:val="single" w:color="auto" w:sz="4" w:space="0"/>
              <w:right w:val="single" w:color="auto" w:sz="4" w:space="0"/>
            </w:tcBorders>
          </w:tcPr>
          <w:p>
            <w:pPr>
              <w:spacing w:before="120" w:line="400" w:lineRule="exact"/>
              <w:ind w:left="720" w:hanging="720"/>
              <w:rPr>
                <w:rFonts w:ascii="宋体" w:hAnsi="宋体"/>
                <w:color w:val="auto"/>
                <w:sz w:val="24"/>
                <w:szCs w:val="24"/>
                <w:highlight w:val="none"/>
              </w:rPr>
            </w:pPr>
            <w:r>
              <w:rPr>
                <w:rFonts w:ascii="宋体" w:hAnsi="宋体"/>
                <w:color w:val="auto"/>
                <w:sz w:val="24"/>
                <w:highlight w:val="none"/>
              </w:rPr>
              <w:t>1个以上</w:t>
            </w:r>
          </w:p>
        </w:tc>
        <w:tc>
          <w:tcPr>
            <w:tcW w:w="2790" w:type="dxa"/>
            <w:tcBorders>
              <w:top w:val="single" w:color="auto" w:sz="4" w:space="0"/>
              <w:left w:val="single" w:color="auto" w:sz="4" w:space="0"/>
              <w:bottom w:val="single" w:color="auto" w:sz="4" w:space="0"/>
              <w:right w:val="single" w:color="auto" w:sz="4" w:space="0"/>
            </w:tcBorders>
          </w:tcPr>
          <w:p>
            <w:pPr>
              <w:spacing w:before="120" w:line="400" w:lineRule="exact"/>
              <w:ind w:left="720" w:hanging="720"/>
              <w:rPr>
                <w:rFonts w:ascii="宋体" w:hAnsi="宋体"/>
                <w:color w:val="auto"/>
                <w:sz w:val="24"/>
                <w:szCs w:val="24"/>
                <w:highlight w:val="none"/>
              </w:rPr>
            </w:pPr>
            <w:r>
              <w:rPr>
                <w:rFonts w:ascii="宋体" w:hAnsi="宋体"/>
                <w:color w:val="auto"/>
                <w:sz w:val="24"/>
                <w:highlight w:val="none"/>
              </w:rPr>
              <w:t>根据项目规模确定</w:t>
            </w:r>
          </w:p>
        </w:tc>
      </w:tr>
    </w:tbl>
    <w:p>
      <w:pPr>
        <w:spacing w:before="120" w:line="400" w:lineRule="exact"/>
        <w:ind w:right="42" w:rightChars="20" w:firstLine="480" w:firstLineChars="200"/>
        <w:rPr>
          <w:rFonts w:ascii="宋体" w:hAnsi="宋体"/>
          <w:color w:val="auto"/>
          <w:sz w:val="24"/>
          <w:szCs w:val="24"/>
          <w:highlight w:val="none"/>
        </w:rPr>
      </w:pPr>
      <w:r>
        <w:rPr>
          <w:rFonts w:ascii="宋体" w:hAnsi="宋体"/>
          <w:color w:val="auto"/>
          <w:sz w:val="24"/>
          <w:highlight w:val="none"/>
        </w:rPr>
        <w:t>我公司承诺，若我公司中标，将在合同签订前按照工程需要配备管理和施工技术人员并向业主递交《项目管理架构组成表》，其内容是准确、真实的，且不低于上表所列最低要求，同时提供所投入人员资格证书原件予业主核实。</w:t>
      </w:r>
    </w:p>
    <w:p>
      <w:pPr>
        <w:spacing w:before="120" w:line="400" w:lineRule="exact"/>
        <w:ind w:right="42" w:rightChars="20" w:firstLine="480" w:firstLineChars="200"/>
        <w:rPr>
          <w:rFonts w:ascii="宋体" w:hAnsi="宋体"/>
          <w:color w:val="auto"/>
          <w:sz w:val="24"/>
          <w:highlight w:val="none"/>
        </w:rPr>
      </w:pPr>
      <w:r>
        <w:rPr>
          <w:rFonts w:ascii="宋体" w:hAnsi="宋体"/>
          <w:color w:val="auto"/>
          <w:sz w:val="24"/>
          <w:highlight w:val="none"/>
        </w:rPr>
        <w:t>如我公司违反上述承诺，我公司自愿放弃本项目中标资格。</w:t>
      </w:r>
    </w:p>
    <w:p>
      <w:pPr>
        <w:spacing w:before="120" w:line="400" w:lineRule="exact"/>
        <w:ind w:right="42" w:rightChars="20" w:firstLine="480" w:firstLineChars="200"/>
        <w:rPr>
          <w:rFonts w:ascii="宋体" w:hAnsi="宋体"/>
          <w:color w:val="auto"/>
          <w:sz w:val="24"/>
          <w:highlight w:val="none"/>
        </w:rPr>
      </w:pPr>
      <w:r>
        <w:rPr>
          <w:rFonts w:ascii="宋体" w:hAnsi="宋体"/>
          <w:color w:val="auto"/>
          <w:sz w:val="24"/>
          <w:highlight w:val="none"/>
        </w:rPr>
        <w:t>若因人员不足或人员素质不能满足工程实际需要时，我方将无条件按照业主和监理工程师的要求更换或增加相关人员。</w:t>
      </w:r>
    </w:p>
    <w:p>
      <w:pPr>
        <w:spacing w:before="120" w:line="400" w:lineRule="exact"/>
        <w:ind w:left="720" w:hanging="720"/>
        <w:jc w:val="right"/>
        <w:rPr>
          <w:rFonts w:ascii="宋体" w:hAnsi="宋体"/>
          <w:color w:val="auto"/>
          <w:sz w:val="24"/>
          <w:highlight w:val="none"/>
        </w:rPr>
      </w:pPr>
    </w:p>
    <w:p>
      <w:pPr>
        <w:pStyle w:val="111"/>
        <w:rPr>
          <w:rFonts w:ascii="宋体" w:hAnsi="宋体"/>
          <w:color w:val="auto"/>
          <w:sz w:val="24"/>
          <w:highlight w:val="none"/>
        </w:rPr>
      </w:pPr>
    </w:p>
    <w:p>
      <w:pPr>
        <w:pStyle w:val="111"/>
        <w:rPr>
          <w:rFonts w:ascii="宋体" w:hAnsi="宋体"/>
          <w:color w:val="auto"/>
          <w:sz w:val="24"/>
          <w:highlight w:val="none"/>
        </w:rPr>
      </w:pPr>
    </w:p>
    <w:p>
      <w:pPr>
        <w:spacing w:line="400" w:lineRule="exact"/>
        <w:jc w:val="right"/>
        <w:rPr>
          <w:rFonts w:ascii="宋体" w:hAnsi="宋体"/>
          <w:color w:val="auto"/>
          <w:sz w:val="24"/>
          <w:highlight w:val="none"/>
        </w:rPr>
      </w:pPr>
      <w:r>
        <w:rPr>
          <w:rFonts w:ascii="宋体" w:hAnsi="宋体"/>
          <w:color w:val="auto"/>
          <w:sz w:val="24"/>
          <w:highlight w:val="none"/>
        </w:rPr>
        <w:t>单位名称：</w:t>
      </w:r>
      <w:r>
        <w:rPr>
          <w:rFonts w:hint="eastAsia" w:ascii="宋体" w:hAnsi="宋体"/>
          <w:color w:val="auto"/>
          <w:sz w:val="24"/>
          <w:highlight w:val="none"/>
        </w:rPr>
        <w:t xml:space="preserve">              </w:t>
      </w:r>
      <w:r>
        <w:rPr>
          <w:rFonts w:ascii="宋体" w:hAnsi="宋体"/>
          <w:color w:val="auto"/>
          <w:sz w:val="24"/>
          <w:highlight w:val="none"/>
        </w:rPr>
        <w:t>（盖公章）</w:t>
      </w:r>
    </w:p>
    <w:p>
      <w:pPr>
        <w:spacing w:before="120" w:line="400" w:lineRule="exact"/>
        <w:ind w:left="720" w:hanging="720"/>
        <w:jc w:val="right"/>
        <w:rPr>
          <w:rFonts w:ascii="宋体" w:hAnsi="宋体"/>
          <w:color w:val="auto"/>
          <w:sz w:val="24"/>
          <w:highlight w:val="none"/>
        </w:rPr>
      </w:pPr>
      <w:r>
        <w:rPr>
          <w:rFonts w:ascii="宋体" w:hAnsi="宋体"/>
          <w:color w:val="auto"/>
          <w:sz w:val="24"/>
          <w:highlight w:val="none"/>
        </w:rPr>
        <w:t>法定代表人或其委托代理人：</w:t>
      </w:r>
      <w:r>
        <w:rPr>
          <w:rFonts w:hint="eastAsia" w:ascii="宋体" w:hAnsi="宋体"/>
          <w:color w:val="auto"/>
          <w:sz w:val="24"/>
          <w:highlight w:val="none"/>
        </w:rPr>
        <w:t xml:space="preserve">          </w:t>
      </w:r>
      <w:r>
        <w:rPr>
          <w:rFonts w:ascii="宋体" w:hAnsi="宋体"/>
          <w:color w:val="auto"/>
          <w:sz w:val="24"/>
          <w:highlight w:val="none"/>
        </w:rPr>
        <w:t>（签名或盖章）</w:t>
      </w:r>
    </w:p>
    <w:p>
      <w:pPr>
        <w:topLinePunct/>
        <w:spacing w:line="400" w:lineRule="exact"/>
        <w:rPr>
          <w:rFonts w:ascii="宋体" w:hAnsi="宋体"/>
          <w:color w:val="auto"/>
          <w:sz w:val="19"/>
          <w:szCs w:val="19"/>
          <w:highlight w:val="none"/>
        </w:rPr>
      </w:pPr>
    </w:p>
    <w:p>
      <w:pPr>
        <w:topLinePunct/>
        <w:spacing w:line="400" w:lineRule="exact"/>
        <w:jc w:val="center"/>
        <w:rPr>
          <w:rFonts w:ascii="宋体" w:hAnsi="宋体"/>
          <w:color w:val="auto"/>
          <w:sz w:val="20"/>
          <w:szCs w:val="20"/>
          <w:highlight w:val="none"/>
        </w:rPr>
      </w:pPr>
      <w:r>
        <w:rPr>
          <w:rFonts w:ascii="宋体" w:hAnsi="宋体"/>
          <w:b/>
          <w:color w:val="auto"/>
          <w:sz w:val="24"/>
          <w:szCs w:val="31"/>
          <w:highlight w:val="none"/>
        </w:rPr>
        <w:br w:type="page"/>
      </w:r>
    </w:p>
    <w:p>
      <w:pPr>
        <w:spacing w:line="360" w:lineRule="auto"/>
        <w:jc w:val="center"/>
        <w:outlineLvl w:val="2"/>
        <w:rPr>
          <w:rFonts w:ascii="宋体" w:hAnsi="宋体"/>
          <w:color w:val="auto"/>
          <w:sz w:val="28"/>
          <w:szCs w:val="27"/>
          <w:highlight w:val="none"/>
        </w:rPr>
      </w:pPr>
      <w:r>
        <w:rPr>
          <w:rFonts w:hint="eastAsia" w:ascii="宋体" w:hAnsi="宋体"/>
          <w:color w:val="auto"/>
          <w:sz w:val="28"/>
          <w:szCs w:val="27"/>
          <w:highlight w:val="none"/>
        </w:rPr>
        <w:t>七</w:t>
      </w:r>
      <w:r>
        <w:rPr>
          <w:rFonts w:ascii="宋体" w:hAnsi="宋体"/>
          <w:color w:val="auto"/>
          <w:sz w:val="28"/>
          <w:szCs w:val="27"/>
          <w:highlight w:val="none"/>
        </w:rPr>
        <w:t>、</w:t>
      </w:r>
      <w:r>
        <w:rPr>
          <w:rFonts w:hint="eastAsia" w:ascii="宋体" w:hAnsi="宋体"/>
          <w:color w:val="auto"/>
          <w:sz w:val="28"/>
          <w:szCs w:val="27"/>
          <w:highlight w:val="none"/>
        </w:rPr>
        <w:t>拟分包项目情况表</w:t>
      </w:r>
    </w:p>
    <w:p>
      <w:pPr>
        <w:pStyle w:val="109"/>
        <w:rPr>
          <w:color w:val="auto"/>
          <w:sz w:val="20"/>
          <w:szCs w:val="20"/>
          <w:highlight w:val="none"/>
        </w:rPr>
      </w:pPr>
      <w:r>
        <w:rPr>
          <w:rFonts w:hint="eastAsia"/>
          <w:color w:val="auto"/>
          <w:highlight w:val="none"/>
        </w:rPr>
        <w:t>（格式自定）</w:t>
      </w:r>
    </w:p>
    <w:p>
      <w:pPr>
        <w:pStyle w:val="2"/>
        <w:rPr>
          <w:color w:val="auto"/>
          <w:sz w:val="30"/>
          <w:szCs w:val="30"/>
          <w:highlight w:val="none"/>
        </w:rPr>
      </w:pPr>
      <w:r>
        <w:rPr>
          <w:color w:val="auto"/>
          <w:highlight w:val="none"/>
        </w:rPr>
        <w:br w:type="page"/>
      </w:r>
    </w:p>
    <w:p>
      <w:pPr>
        <w:spacing w:line="360" w:lineRule="auto"/>
        <w:jc w:val="center"/>
        <w:outlineLvl w:val="2"/>
        <w:rPr>
          <w:rFonts w:ascii="宋体" w:hAnsi="宋体"/>
          <w:color w:val="auto"/>
          <w:sz w:val="28"/>
          <w:szCs w:val="27"/>
          <w:highlight w:val="none"/>
        </w:rPr>
      </w:pPr>
      <w:bookmarkStart w:id="283" w:name="_Toc21787768"/>
      <w:r>
        <w:rPr>
          <w:rFonts w:hint="eastAsia" w:ascii="宋体" w:hAnsi="宋体"/>
          <w:color w:val="auto"/>
          <w:sz w:val="28"/>
          <w:szCs w:val="27"/>
          <w:highlight w:val="none"/>
        </w:rPr>
        <w:t>八、资格审查资料</w:t>
      </w:r>
      <w:bookmarkEnd w:id="283"/>
    </w:p>
    <w:p>
      <w:pPr>
        <w:spacing w:line="400" w:lineRule="exact"/>
        <w:jc w:val="left"/>
        <w:outlineLvl w:val="3"/>
        <w:rPr>
          <w:rFonts w:ascii="宋体" w:hAnsi="宋体"/>
          <w:b/>
          <w:color w:val="auto"/>
          <w:sz w:val="24"/>
          <w:szCs w:val="31"/>
          <w:highlight w:val="none"/>
        </w:rPr>
      </w:pPr>
      <w:r>
        <w:rPr>
          <w:rFonts w:hint="eastAsia" w:ascii="宋体" w:hAnsi="宋体"/>
          <w:b/>
          <w:color w:val="auto"/>
          <w:sz w:val="24"/>
          <w:szCs w:val="31"/>
          <w:highlight w:val="none"/>
        </w:rPr>
        <w:t>（一）投标人基本情况表</w:t>
      </w:r>
    </w:p>
    <w:tbl>
      <w:tblPr>
        <w:tblStyle w:val="40"/>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17"/>
        <w:gridCol w:w="893"/>
        <w:gridCol w:w="946"/>
        <w:gridCol w:w="835"/>
        <w:gridCol w:w="418"/>
        <w:gridCol w:w="138"/>
        <w:gridCol w:w="1244"/>
        <w:gridCol w:w="182"/>
        <w:gridCol w:w="1162"/>
        <w:gridCol w:w="98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717"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olor w:val="auto"/>
                <w:szCs w:val="20"/>
                <w:highlight w:val="none"/>
              </w:rPr>
            </w:pPr>
            <w:r>
              <w:rPr>
                <w:rFonts w:hint="eastAsia" w:ascii="宋体" w:hAnsi="宋体"/>
                <w:color w:val="auto"/>
                <w:szCs w:val="20"/>
                <w:highlight w:val="none"/>
              </w:rPr>
              <w:t>投标人</w:t>
            </w:r>
            <w:r>
              <w:rPr>
                <w:rFonts w:ascii="宋体" w:hAnsi="宋体"/>
                <w:color w:val="auto"/>
                <w:szCs w:val="20"/>
                <w:highlight w:val="none"/>
              </w:rPr>
              <w:t>名称</w:t>
            </w:r>
          </w:p>
        </w:tc>
        <w:tc>
          <w:tcPr>
            <w:tcW w:w="6805" w:type="dxa"/>
            <w:gridSpan w:val="9"/>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17"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olor w:val="auto"/>
                <w:szCs w:val="20"/>
                <w:highlight w:val="none"/>
              </w:rPr>
            </w:pPr>
            <w:r>
              <w:rPr>
                <w:rFonts w:ascii="宋体" w:hAnsi="宋体"/>
                <w:color w:val="auto"/>
                <w:szCs w:val="20"/>
                <w:highlight w:val="none"/>
              </w:rPr>
              <w:t>注册地址</w:t>
            </w:r>
          </w:p>
        </w:tc>
        <w:tc>
          <w:tcPr>
            <w:tcW w:w="3230" w:type="dxa"/>
            <w:gridSpan w:val="5"/>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olor w:val="auto"/>
                <w:szCs w:val="20"/>
                <w:highlight w:val="none"/>
              </w:rPr>
            </w:pPr>
          </w:p>
        </w:tc>
        <w:tc>
          <w:tcPr>
            <w:tcW w:w="1244"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olor w:val="auto"/>
                <w:szCs w:val="20"/>
                <w:highlight w:val="none"/>
              </w:rPr>
            </w:pPr>
            <w:r>
              <w:rPr>
                <w:rFonts w:ascii="宋体" w:hAnsi="宋体"/>
                <w:color w:val="auto"/>
                <w:szCs w:val="20"/>
                <w:highlight w:val="none"/>
              </w:rPr>
              <w:t>邮政编码</w:t>
            </w:r>
          </w:p>
        </w:tc>
        <w:tc>
          <w:tcPr>
            <w:tcW w:w="2331" w:type="dxa"/>
            <w:gridSpan w:val="3"/>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17"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olor w:val="auto"/>
                <w:szCs w:val="20"/>
                <w:highlight w:val="none"/>
              </w:rPr>
            </w:pPr>
            <w:r>
              <w:rPr>
                <w:rFonts w:ascii="宋体" w:hAnsi="宋体"/>
                <w:color w:val="auto"/>
                <w:szCs w:val="20"/>
                <w:highlight w:val="none"/>
              </w:rPr>
              <w:t>联系方式</w:t>
            </w:r>
          </w:p>
        </w:tc>
        <w:tc>
          <w:tcPr>
            <w:tcW w:w="893"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olor w:val="auto"/>
                <w:szCs w:val="20"/>
                <w:highlight w:val="none"/>
              </w:rPr>
            </w:pPr>
            <w:r>
              <w:rPr>
                <w:rFonts w:ascii="宋体" w:hAnsi="宋体"/>
                <w:color w:val="auto"/>
                <w:szCs w:val="20"/>
                <w:highlight w:val="none"/>
              </w:rPr>
              <w:t>联系人</w:t>
            </w:r>
          </w:p>
        </w:tc>
        <w:tc>
          <w:tcPr>
            <w:tcW w:w="2337" w:type="dxa"/>
            <w:gridSpan w:val="4"/>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olor w:val="auto"/>
                <w:szCs w:val="20"/>
                <w:highlight w:val="none"/>
              </w:rPr>
            </w:pPr>
          </w:p>
        </w:tc>
        <w:tc>
          <w:tcPr>
            <w:tcW w:w="1244"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olor w:val="auto"/>
                <w:szCs w:val="20"/>
                <w:highlight w:val="none"/>
              </w:rPr>
            </w:pPr>
            <w:r>
              <w:rPr>
                <w:rFonts w:ascii="宋体" w:hAnsi="宋体"/>
                <w:color w:val="auto"/>
                <w:szCs w:val="20"/>
                <w:highlight w:val="none"/>
              </w:rPr>
              <w:t>电 话</w:t>
            </w:r>
          </w:p>
        </w:tc>
        <w:tc>
          <w:tcPr>
            <w:tcW w:w="2331" w:type="dxa"/>
            <w:gridSpan w:val="3"/>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717"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olor w:val="auto"/>
                <w:szCs w:val="20"/>
                <w:highlight w:val="none"/>
              </w:rPr>
            </w:pPr>
          </w:p>
        </w:tc>
        <w:tc>
          <w:tcPr>
            <w:tcW w:w="893"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olor w:val="auto"/>
                <w:szCs w:val="20"/>
                <w:highlight w:val="none"/>
              </w:rPr>
            </w:pPr>
            <w:r>
              <w:rPr>
                <w:rFonts w:ascii="宋体" w:hAnsi="宋体"/>
                <w:color w:val="auto"/>
                <w:szCs w:val="20"/>
                <w:highlight w:val="none"/>
              </w:rPr>
              <w:t>传  真</w:t>
            </w:r>
          </w:p>
        </w:tc>
        <w:tc>
          <w:tcPr>
            <w:tcW w:w="2337" w:type="dxa"/>
            <w:gridSpan w:val="4"/>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olor w:val="auto"/>
                <w:szCs w:val="20"/>
                <w:highlight w:val="none"/>
              </w:rPr>
            </w:pPr>
          </w:p>
        </w:tc>
        <w:tc>
          <w:tcPr>
            <w:tcW w:w="1244"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olor w:val="auto"/>
                <w:szCs w:val="20"/>
                <w:highlight w:val="none"/>
              </w:rPr>
            </w:pPr>
            <w:r>
              <w:rPr>
                <w:rFonts w:ascii="宋体" w:hAnsi="宋体"/>
                <w:color w:val="auto"/>
                <w:szCs w:val="20"/>
                <w:highlight w:val="none"/>
              </w:rPr>
              <w:t>网 址</w:t>
            </w:r>
          </w:p>
        </w:tc>
        <w:tc>
          <w:tcPr>
            <w:tcW w:w="2331" w:type="dxa"/>
            <w:gridSpan w:val="3"/>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717"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olor w:val="auto"/>
                <w:szCs w:val="20"/>
                <w:highlight w:val="none"/>
              </w:rPr>
            </w:pPr>
            <w:r>
              <w:rPr>
                <w:rFonts w:ascii="宋体" w:hAnsi="宋体"/>
                <w:color w:val="auto"/>
                <w:szCs w:val="20"/>
                <w:highlight w:val="none"/>
              </w:rPr>
              <w:t>组织结构</w:t>
            </w:r>
          </w:p>
        </w:tc>
        <w:tc>
          <w:tcPr>
            <w:tcW w:w="6805" w:type="dxa"/>
            <w:gridSpan w:val="9"/>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17"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olor w:val="auto"/>
                <w:szCs w:val="20"/>
                <w:highlight w:val="none"/>
              </w:rPr>
            </w:pPr>
            <w:r>
              <w:rPr>
                <w:rFonts w:ascii="宋体" w:hAnsi="宋体"/>
                <w:color w:val="auto"/>
                <w:szCs w:val="20"/>
                <w:highlight w:val="none"/>
              </w:rPr>
              <w:t>法定代表人</w:t>
            </w:r>
          </w:p>
        </w:tc>
        <w:tc>
          <w:tcPr>
            <w:tcW w:w="893"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olor w:val="auto"/>
                <w:szCs w:val="20"/>
                <w:highlight w:val="none"/>
              </w:rPr>
            </w:pPr>
            <w:r>
              <w:rPr>
                <w:rFonts w:ascii="宋体" w:hAnsi="宋体"/>
                <w:color w:val="auto"/>
                <w:szCs w:val="20"/>
                <w:highlight w:val="none"/>
              </w:rPr>
              <w:t>姓名</w:t>
            </w:r>
          </w:p>
        </w:tc>
        <w:tc>
          <w:tcPr>
            <w:tcW w:w="946"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olor w:val="auto"/>
                <w:szCs w:val="20"/>
                <w:highlight w:val="none"/>
              </w:rPr>
            </w:pPr>
          </w:p>
        </w:tc>
        <w:tc>
          <w:tcPr>
            <w:tcW w:w="1253"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olor w:val="auto"/>
                <w:szCs w:val="20"/>
                <w:highlight w:val="none"/>
              </w:rPr>
            </w:pPr>
            <w:r>
              <w:rPr>
                <w:rFonts w:ascii="宋体" w:hAnsi="宋体"/>
                <w:color w:val="auto"/>
                <w:szCs w:val="20"/>
                <w:highlight w:val="none"/>
              </w:rPr>
              <w:t>技术职称</w:t>
            </w:r>
          </w:p>
        </w:tc>
        <w:tc>
          <w:tcPr>
            <w:tcW w:w="1564" w:type="dxa"/>
            <w:gridSpan w:val="3"/>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olor w:val="auto"/>
                <w:szCs w:val="20"/>
                <w:highlight w:val="none"/>
              </w:rPr>
            </w:pPr>
          </w:p>
        </w:tc>
        <w:tc>
          <w:tcPr>
            <w:tcW w:w="1162"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olor w:val="auto"/>
                <w:szCs w:val="20"/>
                <w:highlight w:val="none"/>
              </w:rPr>
            </w:pPr>
            <w:r>
              <w:rPr>
                <w:rFonts w:ascii="宋体" w:hAnsi="宋体"/>
                <w:color w:val="auto"/>
                <w:szCs w:val="20"/>
                <w:highlight w:val="none"/>
              </w:rPr>
              <w:t>电话</w:t>
            </w:r>
          </w:p>
        </w:tc>
        <w:tc>
          <w:tcPr>
            <w:tcW w:w="987"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717"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olor w:val="auto"/>
                <w:szCs w:val="20"/>
                <w:highlight w:val="none"/>
              </w:rPr>
            </w:pPr>
            <w:r>
              <w:rPr>
                <w:rFonts w:ascii="宋体" w:hAnsi="宋体"/>
                <w:color w:val="auto"/>
                <w:szCs w:val="20"/>
                <w:highlight w:val="none"/>
              </w:rPr>
              <w:t>技术负责人</w:t>
            </w:r>
          </w:p>
        </w:tc>
        <w:tc>
          <w:tcPr>
            <w:tcW w:w="893"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olor w:val="auto"/>
                <w:szCs w:val="20"/>
                <w:highlight w:val="none"/>
              </w:rPr>
            </w:pPr>
            <w:r>
              <w:rPr>
                <w:rFonts w:ascii="宋体" w:hAnsi="宋体"/>
                <w:color w:val="auto"/>
                <w:szCs w:val="20"/>
                <w:highlight w:val="none"/>
              </w:rPr>
              <w:t>姓名</w:t>
            </w:r>
          </w:p>
        </w:tc>
        <w:tc>
          <w:tcPr>
            <w:tcW w:w="946"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olor w:val="auto"/>
                <w:szCs w:val="20"/>
                <w:highlight w:val="none"/>
              </w:rPr>
            </w:pPr>
          </w:p>
        </w:tc>
        <w:tc>
          <w:tcPr>
            <w:tcW w:w="1253"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olor w:val="auto"/>
                <w:szCs w:val="20"/>
                <w:highlight w:val="none"/>
              </w:rPr>
            </w:pPr>
            <w:r>
              <w:rPr>
                <w:rFonts w:ascii="宋体" w:hAnsi="宋体"/>
                <w:color w:val="auto"/>
                <w:szCs w:val="20"/>
                <w:highlight w:val="none"/>
              </w:rPr>
              <w:t>技术职称</w:t>
            </w:r>
          </w:p>
        </w:tc>
        <w:tc>
          <w:tcPr>
            <w:tcW w:w="1564" w:type="dxa"/>
            <w:gridSpan w:val="3"/>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olor w:val="auto"/>
                <w:szCs w:val="20"/>
                <w:highlight w:val="none"/>
              </w:rPr>
            </w:pPr>
          </w:p>
        </w:tc>
        <w:tc>
          <w:tcPr>
            <w:tcW w:w="1162"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olor w:val="auto"/>
                <w:szCs w:val="20"/>
                <w:highlight w:val="none"/>
              </w:rPr>
            </w:pPr>
            <w:r>
              <w:rPr>
                <w:rFonts w:ascii="宋体" w:hAnsi="宋体"/>
                <w:color w:val="auto"/>
                <w:szCs w:val="20"/>
                <w:highlight w:val="none"/>
              </w:rPr>
              <w:t>电话</w:t>
            </w:r>
          </w:p>
        </w:tc>
        <w:tc>
          <w:tcPr>
            <w:tcW w:w="987"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17"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olor w:val="auto"/>
                <w:szCs w:val="20"/>
                <w:highlight w:val="none"/>
              </w:rPr>
            </w:pPr>
            <w:r>
              <w:rPr>
                <w:rFonts w:ascii="宋体" w:hAnsi="宋体"/>
                <w:color w:val="auto"/>
                <w:szCs w:val="20"/>
                <w:highlight w:val="none"/>
              </w:rPr>
              <w:t>成立时间</w:t>
            </w:r>
          </w:p>
        </w:tc>
        <w:tc>
          <w:tcPr>
            <w:tcW w:w="1839"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olor w:val="auto"/>
                <w:szCs w:val="20"/>
                <w:highlight w:val="none"/>
              </w:rPr>
            </w:pPr>
          </w:p>
        </w:tc>
        <w:tc>
          <w:tcPr>
            <w:tcW w:w="2817" w:type="dxa"/>
            <w:gridSpan w:val="5"/>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olor w:val="auto"/>
                <w:szCs w:val="20"/>
                <w:highlight w:val="none"/>
              </w:rPr>
            </w:pPr>
            <w:r>
              <w:rPr>
                <w:rFonts w:ascii="宋体" w:hAnsi="宋体"/>
                <w:color w:val="auto"/>
                <w:szCs w:val="20"/>
                <w:highlight w:val="none"/>
              </w:rPr>
              <w:t>员工总人数：</w:t>
            </w:r>
          </w:p>
        </w:tc>
        <w:tc>
          <w:tcPr>
            <w:tcW w:w="2149"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exact"/>
              <w:ind w:firstLine="1050" w:firstLineChars="500"/>
              <w:rPr>
                <w:rFonts w:ascii="宋体" w:hAnsi="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717"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olor w:val="auto"/>
                <w:szCs w:val="20"/>
                <w:highlight w:val="none"/>
              </w:rPr>
            </w:pPr>
            <w:r>
              <w:rPr>
                <w:rFonts w:ascii="宋体" w:hAnsi="宋体"/>
                <w:color w:val="auto"/>
                <w:szCs w:val="20"/>
                <w:highlight w:val="none"/>
              </w:rPr>
              <w:t>企业资质等级</w:t>
            </w:r>
          </w:p>
        </w:tc>
        <w:tc>
          <w:tcPr>
            <w:tcW w:w="1839"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olor w:val="auto"/>
                <w:szCs w:val="20"/>
                <w:highlight w:val="none"/>
              </w:rPr>
            </w:pPr>
          </w:p>
        </w:tc>
        <w:tc>
          <w:tcPr>
            <w:tcW w:w="835"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olor w:val="auto"/>
                <w:szCs w:val="20"/>
                <w:highlight w:val="none"/>
              </w:rPr>
            </w:pPr>
            <w:r>
              <w:rPr>
                <w:rFonts w:ascii="宋体" w:hAnsi="宋体"/>
                <w:color w:val="auto"/>
                <w:szCs w:val="20"/>
                <w:highlight w:val="none"/>
              </w:rPr>
              <w:t>其中</w:t>
            </w:r>
          </w:p>
        </w:tc>
        <w:tc>
          <w:tcPr>
            <w:tcW w:w="1982" w:type="dxa"/>
            <w:gridSpan w:val="4"/>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olor w:val="auto"/>
                <w:szCs w:val="20"/>
                <w:highlight w:val="none"/>
              </w:rPr>
            </w:pPr>
            <w:r>
              <w:rPr>
                <w:rFonts w:ascii="宋体" w:hAnsi="宋体"/>
                <w:color w:val="auto"/>
                <w:szCs w:val="20"/>
                <w:highlight w:val="none"/>
              </w:rPr>
              <w:t>项目负责人</w:t>
            </w:r>
          </w:p>
        </w:tc>
        <w:tc>
          <w:tcPr>
            <w:tcW w:w="2149"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17"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olor w:val="auto"/>
                <w:szCs w:val="20"/>
                <w:highlight w:val="none"/>
              </w:rPr>
            </w:pPr>
            <w:r>
              <w:rPr>
                <w:rFonts w:ascii="宋体" w:hAnsi="宋体"/>
                <w:color w:val="auto"/>
                <w:szCs w:val="20"/>
                <w:highlight w:val="none"/>
              </w:rPr>
              <w:t>营业执照号</w:t>
            </w:r>
          </w:p>
        </w:tc>
        <w:tc>
          <w:tcPr>
            <w:tcW w:w="1839"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olor w:val="auto"/>
                <w:szCs w:val="20"/>
                <w:highlight w:val="none"/>
              </w:rPr>
            </w:pPr>
          </w:p>
        </w:tc>
        <w:tc>
          <w:tcPr>
            <w:tcW w:w="835"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olor w:val="auto"/>
                <w:szCs w:val="20"/>
                <w:highlight w:val="none"/>
              </w:rPr>
            </w:pPr>
          </w:p>
        </w:tc>
        <w:tc>
          <w:tcPr>
            <w:tcW w:w="1982" w:type="dxa"/>
            <w:gridSpan w:val="4"/>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olor w:val="auto"/>
                <w:szCs w:val="20"/>
                <w:highlight w:val="none"/>
              </w:rPr>
            </w:pPr>
            <w:r>
              <w:rPr>
                <w:rFonts w:ascii="宋体" w:hAnsi="宋体"/>
                <w:color w:val="auto"/>
                <w:szCs w:val="20"/>
                <w:highlight w:val="none"/>
              </w:rPr>
              <w:t>高级职称人员</w:t>
            </w:r>
          </w:p>
        </w:tc>
        <w:tc>
          <w:tcPr>
            <w:tcW w:w="2149"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717"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olor w:val="auto"/>
                <w:szCs w:val="20"/>
                <w:highlight w:val="none"/>
              </w:rPr>
            </w:pPr>
            <w:r>
              <w:rPr>
                <w:rFonts w:ascii="宋体" w:hAnsi="宋体"/>
                <w:color w:val="auto"/>
                <w:szCs w:val="20"/>
                <w:highlight w:val="none"/>
              </w:rPr>
              <w:t>注册资金</w:t>
            </w:r>
          </w:p>
        </w:tc>
        <w:tc>
          <w:tcPr>
            <w:tcW w:w="1839"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olor w:val="auto"/>
                <w:szCs w:val="20"/>
                <w:highlight w:val="none"/>
              </w:rPr>
            </w:pPr>
          </w:p>
        </w:tc>
        <w:tc>
          <w:tcPr>
            <w:tcW w:w="835"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olor w:val="auto"/>
                <w:szCs w:val="20"/>
                <w:highlight w:val="none"/>
              </w:rPr>
            </w:pPr>
          </w:p>
        </w:tc>
        <w:tc>
          <w:tcPr>
            <w:tcW w:w="1982" w:type="dxa"/>
            <w:gridSpan w:val="4"/>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olor w:val="auto"/>
                <w:szCs w:val="20"/>
                <w:highlight w:val="none"/>
              </w:rPr>
            </w:pPr>
            <w:r>
              <w:rPr>
                <w:rFonts w:ascii="宋体" w:hAnsi="宋体"/>
                <w:color w:val="auto"/>
                <w:szCs w:val="20"/>
                <w:highlight w:val="none"/>
              </w:rPr>
              <w:t>中级职称人员</w:t>
            </w:r>
          </w:p>
        </w:tc>
        <w:tc>
          <w:tcPr>
            <w:tcW w:w="2149"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717"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olor w:val="auto"/>
                <w:szCs w:val="20"/>
                <w:highlight w:val="none"/>
              </w:rPr>
            </w:pPr>
            <w:r>
              <w:rPr>
                <w:rFonts w:ascii="宋体" w:hAnsi="宋体"/>
                <w:color w:val="auto"/>
                <w:szCs w:val="20"/>
                <w:highlight w:val="none"/>
              </w:rPr>
              <w:t>开户银行</w:t>
            </w:r>
          </w:p>
        </w:tc>
        <w:tc>
          <w:tcPr>
            <w:tcW w:w="1839"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olor w:val="auto"/>
                <w:szCs w:val="20"/>
                <w:highlight w:val="none"/>
              </w:rPr>
            </w:pPr>
          </w:p>
        </w:tc>
        <w:tc>
          <w:tcPr>
            <w:tcW w:w="835"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olor w:val="auto"/>
                <w:szCs w:val="20"/>
                <w:highlight w:val="none"/>
              </w:rPr>
            </w:pPr>
          </w:p>
        </w:tc>
        <w:tc>
          <w:tcPr>
            <w:tcW w:w="1982" w:type="dxa"/>
            <w:gridSpan w:val="4"/>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olor w:val="auto"/>
                <w:szCs w:val="20"/>
                <w:highlight w:val="none"/>
              </w:rPr>
            </w:pPr>
            <w:r>
              <w:rPr>
                <w:rFonts w:ascii="宋体" w:hAnsi="宋体"/>
                <w:color w:val="auto"/>
                <w:szCs w:val="20"/>
                <w:highlight w:val="none"/>
              </w:rPr>
              <w:t>初级职称人员</w:t>
            </w:r>
          </w:p>
        </w:tc>
        <w:tc>
          <w:tcPr>
            <w:tcW w:w="2149"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717"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olor w:val="auto"/>
                <w:szCs w:val="20"/>
                <w:highlight w:val="none"/>
              </w:rPr>
            </w:pPr>
            <w:r>
              <w:rPr>
                <w:rFonts w:ascii="宋体" w:hAnsi="宋体"/>
                <w:color w:val="auto"/>
                <w:szCs w:val="20"/>
                <w:highlight w:val="none"/>
              </w:rPr>
              <w:t>账号</w:t>
            </w:r>
          </w:p>
        </w:tc>
        <w:tc>
          <w:tcPr>
            <w:tcW w:w="1839"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olor w:val="auto"/>
                <w:szCs w:val="20"/>
                <w:highlight w:val="none"/>
              </w:rPr>
            </w:pPr>
          </w:p>
        </w:tc>
        <w:tc>
          <w:tcPr>
            <w:tcW w:w="835"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olor w:val="auto"/>
                <w:szCs w:val="20"/>
                <w:highlight w:val="none"/>
              </w:rPr>
            </w:pPr>
          </w:p>
        </w:tc>
        <w:tc>
          <w:tcPr>
            <w:tcW w:w="1982"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auto"/>
                <w:szCs w:val="20"/>
                <w:highlight w:val="none"/>
              </w:rPr>
            </w:pPr>
            <w:r>
              <w:rPr>
                <w:rFonts w:ascii="宋体" w:hAnsi="宋体"/>
                <w:color w:val="auto"/>
                <w:szCs w:val="20"/>
                <w:highlight w:val="none"/>
              </w:rPr>
              <w:t>技工</w:t>
            </w:r>
          </w:p>
        </w:tc>
        <w:tc>
          <w:tcPr>
            <w:tcW w:w="2149"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08" w:hRule="atLeast"/>
        </w:trPr>
        <w:tc>
          <w:tcPr>
            <w:tcW w:w="1717" w:type="dxa"/>
            <w:tcBorders>
              <w:top w:val="single" w:color="auto" w:sz="4" w:space="0"/>
              <w:left w:val="single" w:color="auto" w:sz="4" w:space="0"/>
              <w:right w:val="single" w:color="auto" w:sz="4" w:space="0"/>
            </w:tcBorders>
            <w:vAlign w:val="center"/>
          </w:tcPr>
          <w:p>
            <w:pPr>
              <w:topLinePunct/>
              <w:spacing w:line="400" w:lineRule="exact"/>
              <w:ind w:firstLine="210" w:firstLineChars="100"/>
              <w:jc w:val="center"/>
              <w:rPr>
                <w:rFonts w:ascii="宋体" w:hAnsi="宋体"/>
                <w:color w:val="auto"/>
                <w:szCs w:val="20"/>
                <w:highlight w:val="none"/>
              </w:rPr>
            </w:pPr>
            <w:r>
              <w:rPr>
                <w:rFonts w:ascii="宋体" w:hAnsi="宋体"/>
                <w:color w:val="auto"/>
                <w:szCs w:val="20"/>
                <w:highlight w:val="none"/>
              </w:rPr>
              <w:t>经营范围</w:t>
            </w:r>
          </w:p>
        </w:tc>
        <w:tc>
          <w:tcPr>
            <w:tcW w:w="6805" w:type="dxa"/>
            <w:gridSpan w:val="9"/>
            <w:tcBorders>
              <w:top w:val="single" w:color="auto" w:sz="4" w:space="0"/>
              <w:left w:val="single" w:color="auto" w:sz="4" w:space="0"/>
              <w:right w:val="single" w:color="auto" w:sz="4" w:space="0"/>
            </w:tcBorders>
            <w:vAlign w:val="center"/>
          </w:tcPr>
          <w:p>
            <w:pPr>
              <w:topLinePunct/>
              <w:spacing w:line="400" w:lineRule="exact"/>
              <w:rPr>
                <w:rFonts w:ascii="宋体" w:hAnsi="宋体"/>
                <w:color w:val="auto"/>
                <w:szCs w:val="20"/>
                <w:highlight w:val="none"/>
              </w:rPr>
            </w:pPr>
          </w:p>
          <w:p>
            <w:pPr>
              <w:topLinePunct/>
              <w:spacing w:line="400" w:lineRule="exact"/>
              <w:jc w:val="center"/>
              <w:rPr>
                <w:rFonts w:ascii="宋体" w:hAnsi="宋体"/>
                <w:color w:val="auto"/>
                <w:szCs w:val="20"/>
                <w:highlight w:val="none"/>
              </w:rPr>
            </w:pPr>
          </w:p>
          <w:p>
            <w:pPr>
              <w:topLinePunct/>
              <w:spacing w:line="400" w:lineRule="exact"/>
              <w:jc w:val="center"/>
              <w:rPr>
                <w:rFonts w:ascii="宋体" w:hAnsi="宋体"/>
                <w:color w:val="auto"/>
                <w:szCs w:val="20"/>
                <w:highlight w:val="none"/>
              </w:rPr>
            </w:pPr>
          </w:p>
          <w:p>
            <w:pPr>
              <w:topLinePunct/>
              <w:spacing w:line="400" w:lineRule="exact"/>
              <w:jc w:val="center"/>
              <w:rPr>
                <w:rFonts w:ascii="宋体" w:hAnsi="宋体"/>
                <w:color w:val="auto"/>
                <w:szCs w:val="20"/>
                <w:highlight w:val="none"/>
              </w:rPr>
            </w:pPr>
          </w:p>
          <w:p>
            <w:pPr>
              <w:topLinePunct/>
              <w:spacing w:line="400" w:lineRule="exact"/>
              <w:jc w:val="center"/>
              <w:rPr>
                <w:rFonts w:ascii="宋体" w:hAnsi="宋体"/>
                <w:color w:val="auto"/>
                <w:szCs w:val="20"/>
                <w:highlight w:val="none"/>
              </w:rPr>
            </w:pPr>
          </w:p>
          <w:p>
            <w:pPr>
              <w:topLinePunct/>
              <w:spacing w:line="400" w:lineRule="exact"/>
              <w:jc w:val="center"/>
              <w:rPr>
                <w:rFonts w:ascii="宋体" w:hAnsi="宋体"/>
                <w:color w:val="auto"/>
                <w:szCs w:val="20"/>
                <w:highlight w:val="none"/>
              </w:rPr>
            </w:pPr>
          </w:p>
          <w:p>
            <w:pPr>
              <w:topLinePunct/>
              <w:spacing w:line="400" w:lineRule="exact"/>
              <w:jc w:val="center"/>
              <w:rPr>
                <w:rFonts w:ascii="宋体" w:hAnsi="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17"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olor w:val="auto"/>
                <w:szCs w:val="20"/>
                <w:highlight w:val="none"/>
              </w:rPr>
            </w:pPr>
            <w:r>
              <w:rPr>
                <w:rFonts w:ascii="宋体" w:hAnsi="宋体"/>
                <w:color w:val="auto"/>
                <w:szCs w:val="20"/>
                <w:highlight w:val="none"/>
              </w:rPr>
              <w:t>备注</w:t>
            </w:r>
          </w:p>
        </w:tc>
        <w:tc>
          <w:tcPr>
            <w:tcW w:w="6805" w:type="dxa"/>
            <w:gridSpan w:val="9"/>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olor w:val="auto"/>
                <w:szCs w:val="20"/>
                <w:highlight w:val="none"/>
              </w:rPr>
            </w:pPr>
          </w:p>
        </w:tc>
      </w:tr>
    </w:tbl>
    <w:p>
      <w:pPr>
        <w:spacing w:line="400" w:lineRule="exact"/>
        <w:rPr>
          <w:rFonts w:ascii="宋体" w:hAnsi="宋体"/>
          <w:color w:val="auto"/>
          <w:highlight w:val="none"/>
        </w:rPr>
      </w:pPr>
      <w:r>
        <w:rPr>
          <w:rFonts w:hint="eastAsia" w:ascii="宋体" w:hAnsi="宋体"/>
          <w:color w:val="auto"/>
          <w:highlight w:val="none"/>
        </w:rPr>
        <w:t>注相关材料复印件在“十</w:t>
      </w:r>
      <w:bookmarkStart w:id="284" w:name="_Toc359263289"/>
      <w:bookmarkStart w:id="285" w:name="_Toc222033920"/>
      <w:bookmarkStart w:id="286" w:name="_Toc221952153"/>
      <w:bookmarkStart w:id="287" w:name="_Toc222032738"/>
      <w:bookmarkStart w:id="288" w:name="_Toc221948389"/>
      <w:bookmarkStart w:id="289" w:name="_Toc229305429"/>
      <w:bookmarkStart w:id="290" w:name="_Toc259524423"/>
      <w:bookmarkStart w:id="291" w:name="_Toc222029569"/>
      <w:bookmarkStart w:id="292" w:name="_Toc222031071"/>
      <w:r>
        <w:rPr>
          <w:rFonts w:hint="eastAsia" w:ascii="宋体" w:hAnsi="宋体"/>
          <w:color w:val="auto"/>
          <w:highlight w:val="none"/>
        </w:rPr>
        <w:t>、原件的复印件”</w:t>
      </w:r>
      <w:bookmarkEnd w:id="284"/>
      <w:bookmarkEnd w:id="285"/>
      <w:bookmarkEnd w:id="286"/>
      <w:bookmarkEnd w:id="287"/>
      <w:bookmarkEnd w:id="288"/>
      <w:bookmarkEnd w:id="289"/>
      <w:bookmarkEnd w:id="290"/>
      <w:bookmarkEnd w:id="291"/>
      <w:bookmarkEnd w:id="292"/>
      <w:r>
        <w:rPr>
          <w:rFonts w:hint="eastAsia" w:ascii="宋体" w:hAnsi="宋体"/>
          <w:color w:val="auto"/>
          <w:highlight w:val="none"/>
        </w:rPr>
        <w:t>中</w:t>
      </w:r>
      <w:bookmarkStart w:id="293" w:name="_Toc221952154"/>
      <w:bookmarkStart w:id="294" w:name="_Toc259524424"/>
      <w:bookmarkStart w:id="295" w:name="_Toc179715759"/>
      <w:bookmarkStart w:id="296" w:name="_Toc152047266"/>
      <w:r>
        <w:rPr>
          <w:rFonts w:hint="eastAsia" w:ascii="宋体" w:hAnsi="宋体"/>
          <w:color w:val="auto"/>
          <w:highlight w:val="none"/>
        </w:rPr>
        <w:t>提供。</w:t>
      </w:r>
      <w:r>
        <w:rPr>
          <w:rFonts w:ascii="宋体" w:hAnsi="宋体"/>
          <w:color w:val="auto"/>
          <w:highlight w:val="none"/>
        </w:rPr>
        <w:br w:type="page"/>
      </w:r>
    </w:p>
    <w:p>
      <w:pPr>
        <w:spacing w:line="400" w:lineRule="exact"/>
        <w:jc w:val="left"/>
        <w:outlineLvl w:val="3"/>
        <w:rPr>
          <w:rFonts w:ascii="宋体" w:hAnsi="宋体"/>
          <w:b/>
          <w:color w:val="auto"/>
          <w:sz w:val="24"/>
          <w:szCs w:val="31"/>
          <w:highlight w:val="none"/>
        </w:rPr>
      </w:pPr>
      <w:r>
        <w:rPr>
          <w:rFonts w:ascii="宋体" w:hAnsi="宋体"/>
          <w:b/>
          <w:color w:val="auto"/>
          <w:sz w:val="24"/>
          <w:szCs w:val="31"/>
          <w:highlight w:val="none"/>
        </w:rPr>
        <w:t>（二）</w:t>
      </w:r>
      <w:bookmarkEnd w:id="293"/>
      <w:bookmarkEnd w:id="294"/>
      <w:bookmarkEnd w:id="295"/>
      <w:bookmarkEnd w:id="296"/>
      <w:bookmarkStart w:id="297" w:name="_Toc221952155"/>
      <w:r>
        <w:rPr>
          <w:rFonts w:hint="eastAsia" w:ascii="宋体" w:hAnsi="宋体"/>
          <w:b/>
          <w:color w:val="auto"/>
          <w:sz w:val="24"/>
          <w:szCs w:val="31"/>
          <w:highlight w:val="none"/>
        </w:rPr>
        <w:t>项目负责人</w:t>
      </w:r>
      <w:r>
        <w:rPr>
          <w:rFonts w:ascii="宋体" w:hAnsi="宋体"/>
          <w:b/>
          <w:color w:val="auto"/>
          <w:sz w:val="24"/>
          <w:szCs w:val="31"/>
          <w:highlight w:val="none"/>
        </w:rPr>
        <w:t>简历表</w:t>
      </w:r>
    </w:p>
    <w:bookmarkEnd w:id="297"/>
    <w:p>
      <w:pPr>
        <w:spacing w:before="260" w:after="260" w:line="415" w:lineRule="auto"/>
        <w:jc w:val="center"/>
        <w:rPr>
          <w:rFonts w:ascii="宋体" w:hAnsi="宋体"/>
          <w:b/>
          <w:color w:val="auto"/>
          <w:sz w:val="32"/>
          <w:szCs w:val="32"/>
          <w:highlight w:val="none"/>
        </w:rPr>
      </w:pPr>
      <w:r>
        <w:rPr>
          <w:rFonts w:hint="eastAsia" w:ascii="宋体" w:hAnsi="宋体"/>
          <w:b/>
          <w:color w:val="auto"/>
          <w:sz w:val="32"/>
          <w:szCs w:val="32"/>
          <w:highlight w:val="none"/>
        </w:rPr>
        <w:t>项目负</w:t>
      </w:r>
      <w:bookmarkStart w:id="298" w:name="_Toc221952156"/>
      <w:r>
        <w:rPr>
          <w:rFonts w:hint="eastAsia" w:ascii="宋体" w:hAnsi="宋体"/>
          <w:b/>
          <w:color w:val="auto"/>
          <w:sz w:val="32"/>
          <w:szCs w:val="32"/>
          <w:highlight w:val="none"/>
        </w:rPr>
        <w:t>责人</w:t>
      </w:r>
      <w:r>
        <w:rPr>
          <w:rFonts w:ascii="宋体" w:hAnsi="宋体"/>
          <w:b/>
          <w:color w:val="auto"/>
          <w:sz w:val="32"/>
          <w:szCs w:val="32"/>
          <w:highlight w:val="none"/>
        </w:rPr>
        <w:t>简历</w:t>
      </w:r>
      <w:bookmarkEnd w:id="298"/>
      <w:r>
        <w:rPr>
          <w:rFonts w:ascii="宋体" w:hAnsi="宋体"/>
          <w:b/>
          <w:color w:val="auto"/>
          <w:sz w:val="32"/>
          <w:szCs w:val="32"/>
          <w:highlight w:val="none"/>
        </w:rPr>
        <w:t>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356"/>
        <w:gridCol w:w="723"/>
        <w:gridCol w:w="927"/>
        <w:gridCol w:w="1065"/>
        <w:gridCol w:w="706"/>
        <w:gridCol w:w="1261"/>
        <w:gridCol w:w="164"/>
        <w:gridCol w:w="2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440" w:lineRule="exact"/>
              <w:jc w:val="center"/>
              <w:rPr>
                <w:rFonts w:ascii="宋体" w:hAnsi="宋体"/>
                <w:color w:val="auto"/>
                <w:szCs w:val="21"/>
                <w:highlight w:val="none"/>
              </w:rPr>
            </w:pPr>
            <w:bookmarkStart w:id="299" w:name="_Toc221952164"/>
            <w:r>
              <w:rPr>
                <w:rFonts w:ascii="宋体" w:hAnsi="宋体"/>
                <w:color w:val="auto"/>
                <w:szCs w:val="21"/>
                <w:highlight w:val="none"/>
              </w:rPr>
              <w:t>姓  名</w:t>
            </w:r>
            <w:bookmarkEnd w:id="299"/>
          </w:p>
        </w:tc>
        <w:tc>
          <w:tcPr>
            <w:tcW w:w="1079" w:type="dxa"/>
            <w:gridSpan w:val="2"/>
            <w:vAlign w:val="center"/>
          </w:tcPr>
          <w:p>
            <w:pPr>
              <w:spacing w:line="440" w:lineRule="exact"/>
              <w:jc w:val="center"/>
              <w:rPr>
                <w:rFonts w:ascii="宋体" w:hAnsi="宋体"/>
                <w:color w:val="auto"/>
                <w:szCs w:val="21"/>
                <w:highlight w:val="none"/>
              </w:rPr>
            </w:pPr>
            <w:bookmarkStart w:id="300" w:name="_Toc221952165"/>
          </w:p>
        </w:tc>
        <w:tc>
          <w:tcPr>
            <w:tcW w:w="927" w:type="dxa"/>
            <w:vAlign w:val="center"/>
          </w:tcPr>
          <w:p>
            <w:pPr>
              <w:spacing w:line="440" w:lineRule="exact"/>
              <w:jc w:val="center"/>
              <w:rPr>
                <w:rFonts w:ascii="宋体" w:hAnsi="宋体"/>
                <w:color w:val="auto"/>
                <w:szCs w:val="21"/>
                <w:highlight w:val="none"/>
              </w:rPr>
            </w:pPr>
            <w:r>
              <w:rPr>
                <w:rFonts w:ascii="宋体" w:hAnsi="宋体"/>
                <w:color w:val="auto"/>
                <w:szCs w:val="21"/>
                <w:highlight w:val="none"/>
              </w:rPr>
              <w:t>年</w:t>
            </w:r>
            <w:bookmarkEnd w:id="300"/>
            <w:r>
              <w:rPr>
                <w:rFonts w:ascii="宋体" w:hAnsi="宋体"/>
                <w:color w:val="auto"/>
                <w:szCs w:val="21"/>
                <w:highlight w:val="none"/>
              </w:rPr>
              <w:t xml:space="preserve"> 龄</w:t>
            </w:r>
            <w:bookmarkStart w:id="301" w:name="_Toc221952166"/>
          </w:p>
        </w:tc>
        <w:tc>
          <w:tcPr>
            <w:tcW w:w="1065" w:type="dxa"/>
            <w:vAlign w:val="center"/>
          </w:tcPr>
          <w:p>
            <w:pPr>
              <w:spacing w:line="440" w:lineRule="exact"/>
              <w:jc w:val="center"/>
              <w:rPr>
                <w:rFonts w:ascii="宋体" w:hAnsi="宋体"/>
                <w:color w:val="auto"/>
                <w:szCs w:val="21"/>
                <w:highlight w:val="none"/>
              </w:rPr>
            </w:pPr>
          </w:p>
        </w:tc>
        <w:tc>
          <w:tcPr>
            <w:tcW w:w="2131" w:type="dxa"/>
            <w:gridSpan w:val="3"/>
            <w:vAlign w:val="center"/>
          </w:tcPr>
          <w:p>
            <w:pPr>
              <w:spacing w:line="440" w:lineRule="exact"/>
              <w:jc w:val="center"/>
              <w:rPr>
                <w:rFonts w:ascii="宋体" w:hAnsi="宋体"/>
                <w:color w:val="auto"/>
                <w:szCs w:val="21"/>
                <w:highlight w:val="none"/>
              </w:rPr>
            </w:pPr>
            <w:r>
              <w:rPr>
                <w:rFonts w:ascii="宋体" w:hAnsi="宋体"/>
                <w:color w:val="auto"/>
                <w:szCs w:val="21"/>
                <w:highlight w:val="none"/>
              </w:rPr>
              <w:t>学历</w:t>
            </w:r>
            <w:bookmarkEnd w:id="301"/>
          </w:p>
        </w:tc>
        <w:tc>
          <w:tcPr>
            <w:tcW w:w="2132" w:type="dxa"/>
            <w:vAlign w:val="center"/>
          </w:tcPr>
          <w:p>
            <w:pPr>
              <w:spacing w:line="440" w:lineRule="exact"/>
              <w:rPr>
                <w:rFonts w:ascii="宋体" w:hAnsi="宋体"/>
                <w:color w:val="auto"/>
                <w:szCs w:val="21"/>
                <w:highlight w:val="none"/>
              </w:rPr>
            </w:pPr>
          </w:p>
        </w:tc>
        <w:bookmarkStart w:id="302" w:name="_Toc221952167"/>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440" w:lineRule="exact"/>
              <w:jc w:val="center"/>
              <w:rPr>
                <w:rFonts w:ascii="宋体" w:hAnsi="宋体"/>
                <w:color w:val="auto"/>
                <w:szCs w:val="21"/>
                <w:highlight w:val="none"/>
              </w:rPr>
            </w:pPr>
            <w:r>
              <w:rPr>
                <w:rFonts w:ascii="宋体" w:hAnsi="宋体"/>
                <w:color w:val="auto"/>
                <w:szCs w:val="21"/>
                <w:highlight w:val="none"/>
              </w:rPr>
              <w:t>职</w:t>
            </w:r>
            <w:bookmarkEnd w:id="302"/>
            <w:r>
              <w:rPr>
                <w:rFonts w:ascii="宋体" w:hAnsi="宋体"/>
                <w:color w:val="auto"/>
                <w:szCs w:val="21"/>
                <w:highlight w:val="none"/>
              </w:rPr>
              <w:t xml:space="preserve">  称</w:t>
            </w:r>
            <w:bookmarkStart w:id="303" w:name="_Toc221952168"/>
          </w:p>
        </w:tc>
        <w:tc>
          <w:tcPr>
            <w:tcW w:w="1079" w:type="dxa"/>
            <w:gridSpan w:val="2"/>
            <w:vAlign w:val="center"/>
          </w:tcPr>
          <w:p>
            <w:pPr>
              <w:spacing w:line="440" w:lineRule="exact"/>
              <w:jc w:val="center"/>
              <w:rPr>
                <w:rFonts w:ascii="宋体" w:hAnsi="宋体"/>
                <w:color w:val="auto"/>
                <w:szCs w:val="21"/>
                <w:highlight w:val="none"/>
              </w:rPr>
            </w:pPr>
          </w:p>
        </w:tc>
        <w:tc>
          <w:tcPr>
            <w:tcW w:w="927" w:type="dxa"/>
            <w:vAlign w:val="center"/>
          </w:tcPr>
          <w:p>
            <w:pPr>
              <w:spacing w:line="440" w:lineRule="exact"/>
              <w:jc w:val="center"/>
              <w:rPr>
                <w:rFonts w:ascii="宋体" w:hAnsi="宋体"/>
                <w:color w:val="auto"/>
                <w:szCs w:val="21"/>
                <w:highlight w:val="none"/>
              </w:rPr>
            </w:pPr>
            <w:r>
              <w:rPr>
                <w:rFonts w:ascii="宋体" w:hAnsi="宋体"/>
                <w:color w:val="auto"/>
                <w:szCs w:val="21"/>
                <w:highlight w:val="none"/>
              </w:rPr>
              <w:t>职 务</w:t>
            </w:r>
            <w:bookmarkEnd w:id="303"/>
          </w:p>
        </w:tc>
        <w:tc>
          <w:tcPr>
            <w:tcW w:w="1065" w:type="dxa"/>
            <w:vAlign w:val="center"/>
          </w:tcPr>
          <w:p>
            <w:pPr>
              <w:spacing w:line="440" w:lineRule="exact"/>
              <w:jc w:val="center"/>
              <w:rPr>
                <w:rFonts w:ascii="宋体" w:hAnsi="宋体"/>
                <w:color w:val="auto"/>
                <w:szCs w:val="21"/>
                <w:highlight w:val="none"/>
              </w:rPr>
            </w:pPr>
            <w:bookmarkStart w:id="304" w:name="_Toc221952169"/>
          </w:p>
        </w:tc>
        <w:tc>
          <w:tcPr>
            <w:tcW w:w="2131" w:type="dxa"/>
            <w:gridSpan w:val="3"/>
            <w:vAlign w:val="center"/>
          </w:tcPr>
          <w:p>
            <w:pPr>
              <w:spacing w:line="440" w:lineRule="exact"/>
              <w:jc w:val="center"/>
              <w:rPr>
                <w:rFonts w:ascii="宋体" w:hAnsi="宋体"/>
                <w:color w:val="auto"/>
                <w:szCs w:val="21"/>
                <w:highlight w:val="none"/>
              </w:rPr>
            </w:pPr>
            <w:r>
              <w:rPr>
                <w:rFonts w:ascii="宋体" w:hAnsi="宋体"/>
                <w:color w:val="auto"/>
                <w:szCs w:val="21"/>
                <w:highlight w:val="none"/>
              </w:rPr>
              <w:t>拟</w:t>
            </w:r>
            <w:bookmarkEnd w:id="304"/>
            <w:r>
              <w:rPr>
                <w:rFonts w:ascii="宋体" w:hAnsi="宋体"/>
                <w:color w:val="auto"/>
                <w:szCs w:val="21"/>
                <w:highlight w:val="none"/>
              </w:rPr>
              <w:t>在本</w:t>
            </w:r>
            <w:bookmarkStart w:id="305" w:name="_Toc221952170"/>
            <w:r>
              <w:rPr>
                <w:rFonts w:ascii="宋体" w:hAnsi="宋体"/>
                <w:color w:val="auto"/>
                <w:szCs w:val="21"/>
                <w:highlight w:val="none"/>
              </w:rPr>
              <w:t>合同任职</w:t>
            </w:r>
            <w:bookmarkEnd w:id="305"/>
          </w:p>
        </w:tc>
        <w:tc>
          <w:tcPr>
            <w:tcW w:w="2132" w:type="dxa"/>
            <w:vAlign w:val="center"/>
          </w:tcPr>
          <w:p>
            <w:pPr>
              <w:spacing w:line="440" w:lineRule="exact"/>
              <w:rPr>
                <w:rFonts w:ascii="宋体" w:hAnsi="宋体"/>
                <w:color w:val="auto"/>
                <w:szCs w:val="21"/>
                <w:highlight w:val="none"/>
              </w:rPr>
            </w:pPr>
          </w:p>
        </w:tc>
        <w:bookmarkStart w:id="306" w:name="_Toc221952171"/>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440" w:lineRule="exact"/>
              <w:rPr>
                <w:rFonts w:ascii="宋体" w:hAnsi="宋体"/>
                <w:color w:val="auto"/>
                <w:szCs w:val="21"/>
                <w:highlight w:val="none"/>
              </w:rPr>
            </w:pPr>
            <w:r>
              <w:rPr>
                <w:rFonts w:ascii="宋体" w:hAnsi="宋体"/>
                <w:color w:val="auto"/>
                <w:szCs w:val="21"/>
                <w:highlight w:val="none"/>
              </w:rPr>
              <w:t>毕</w:t>
            </w:r>
            <w:bookmarkEnd w:id="306"/>
            <w:r>
              <w:rPr>
                <w:rFonts w:ascii="宋体" w:hAnsi="宋体"/>
                <w:color w:val="auto"/>
                <w:szCs w:val="21"/>
                <w:highlight w:val="none"/>
              </w:rPr>
              <w:t>业学校</w:t>
            </w:r>
            <w:bookmarkStart w:id="307" w:name="_Toc221952172"/>
          </w:p>
          <w:bookmarkEnd w:id="307"/>
        </w:tc>
        <w:tc>
          <w:tcPr>
            <w:tcW w:w="7334" w:type="dxa"/>
            <w:gridSpan w:val="8"/>
          </w:tcPr>
          <w:p>
            <w:pPr>
              <w:spacing w:line="440" w:lineRule="exact"/>
              <w:rPr>
                <w:rFonts w:ascii="宋体" w:hAnsi="宋体"/>
                <w:color w:val="auto"/>
                <w:szCs w:val="21"/>
                <w:highlight w:val="none"/>
              </w:rPr>
            </w:pPr>
            <w:bookmarkStart w:id="308" w:name="_Toc221952173"/>
            <w:r>
              <w:rPr>
                <w:rFonts w:ascii="宋体" w:hAnsi="宋体"/>
                <w:color w:val="auto"/>
                <w:szCs w:val="21"/>
                <w:highlight w:val="none"/>
              </w:rPr>
              <w:t xml:space="preserve"> 年毕业于 </w:t>
            </w:r>
            <w:bookmarkEnd w:id="308"/>
            <w:bookmarkStart w:id="309" w:name="_Toc221952174"/>
            <w:bookmarkEnd w:id="309"/>
            <w:bookmarkStart w:id="310" w:name="_Toc221952175"/>
            <w:r>
              <w:rPr>
                <w:rFonts w:ascii="宋体" w:hAnsi="宋体"/>
                <w:color w:val="auto"/>
                <w:szCs w:val="21"/>
                <w:highlight w:val="none"/>
              </w:rPr>
              <w:t>学校</w:t>
            </w:r>
            <w:bookmarkEnd w:id="310"/>
            <w:r>
              <w:rPr>
                <w:rFonts w:ascii="宋体" w:hAnsi="宋体"/>
                <w:color w:val="auto"/>
                <w:szCs w:val="21"/>
                <w:highlight w:val="none"/>
              </w:rPr>
              <w:t xml:space="preserve">        专</w:t>
            </w:r>
            <w:bookmarkStart w:id="311" w:name="_Toc221952177"/>
            <w:r>
              <w:rPr>
                <w:rFonts w:ascii="宋体" w:hAnsi="宋体"/>
                <w:color w:val="auto"/>
                <w:szCs w:val="21"/>
                <w:highlight w:val="none"/>
              </w:rPr>
              <w:t>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9"/>
            <w:vAlign w:val="center"/>
          </w:tcPr>
          <w:p>
            <w:pPr>
              <w:spacing w:line="440" w:lineRule="exact"/>
              <w:jc w:val="center"/>
              <w:rPr>
                <w:rFonts w:ascii="宋体" w:hAnsi="宋体"/>
                <w:color w:val="auto"/>
                <w:szCs w:val="21"/>
                <w:highlight w:val="none"/>
              </w:rPr>
            </w:pPr>
            <w:r>
              <w:rPr>
                <w:rFonts w:ascii="宋体" w:hAnsi="宋体"/>
                <w:color w:val="auto"/>
                <w:szCs w:val="21"/>
                <w:highlight w:val="none"/>
              </w:rPr>
              <w:t>主要</w:t>
            </w:r>
            <w:bookmarkEnd w:id="311"/>
            <w:r>
              <w:rPr>
                <w:rFonts w:ascii="宋体" w:hAnsi="宋体"/>
                <w:color w:val="auto"/>
                <w:szCs w:val="21"/>
                <w:highlight w:val="none"/>
              </w:rPr>
              <w:t>工作经</w:t>
            </w:r>
            <w:bookmarkStart w:id="312" w:name="_Toc221952178"/>
            <w:r>
              <w:rPr>
                <w:rFonts w:ascii="宋体" w:hAnsi="宋体"/>
                <w:color w:val="auto"/>
                <w:szCs w:val="21"/>
                <w:highlight w:val="none"/>
              </w:rPr>
              <w:t>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4" w:type="dxa"/>
            <w:gridSpan w:val="2"/>
            <w:vAlign w:val="center"/>
          </w:tcPr>
          <w:p>
            <w:pPr>
              <w:spacing w:line="440" w:lineRule="exact"/>
              <w:rPr>
                <w:rFonts w:ascii="宋体" w:hAnsi="宋体"/>
                <w:color w:val="auto"/>
                <w:szCs w:val="21"/>
                <w:highlight w:val="none"/>
              </w:rPr>
            </w:pPr>
            <w:r>
              <w:rPr>
                <w:rFonts w:ascii="宋体" w:hAnsi="宋体"/>
                <w:color w:val="auto"/>
                <w:szCs w:val="21"/>
                <w:highlight w:val="none"/>
              </w:rPr>
              <w:t xml:space="preserve">时  </w:t>
            </w:r>
            <w:bookmarkEnd w:id="312"/>
            <w:r>
              <w:rPr>
                <w:rFonts w:ascii="宋体" w:hAnsi="宋体"/>
                <w:color w:val="auto"/>
                <w:szCs w:val="21"/>
                <w:highlight w:val="none"/>
              </w:rPr>
              <w:t>间</w:t>
            </w:r>
          </w:p>
        </w:tc>
        <w:tc>
          <w:tcPr>
            <w:tcW w:w="3421" w:type="dxa"/>
            <w:gridSpan w:val="4"/>
            <w:vAlign w:val="center"/>
          </w:tcPr>
          <w:p>
            <w:pPr>
              <w:spacing w:line="440" w:lineRule="exact"/>
              <w:rPr>
                <w:rFonts w:ascii="宋体" w:hAnsi="宋体"/>
                <w:color w:val="auto"/>
                <w:szCs w:val="21"/>
                <w:highlight w:val="none"/>
              </w:rPr>
            </w:pPr>
            <w:r>
              <w:rPr>
                <w:rFonts w:ascii="宋体" w:hAnsi="宋体"/>
                <w:color w:val="auto"/>
                <w:szCs w:val="21"/>
                <w:highlight w:val="none"/>
              </w:rPr>
              <w:t>参</w:t>
            </w:r>
            <w:bookmarkStart w:id="313" w:name="_Toc221952179"/>
            <w:r>
              <w:rPr>
                <w:rFonts w:ascii="宋体" w:hAnsi="宋体"/>
                <w:color w:val="auto"/>
                <w:szCs w:val="21"/>
                <w:highlight w:val="none"/>
              </w:rPr>
              <w:t>加过的类</w:t>
            </w:r>
            <w:bookmarkEnd w:id="313"/>
            <w:r>
              <w:rPr>
                <w:rFonts w:ascii="宋体" w:hAnsi="宋体"/>
                <w:color w:val="auto"/>
                <w:szCs w:val="21"/>
                <w:highlight w:val="none"/>
              </w:rPr>
              <w:t>似项目</w:t>
            </w:r>
            <w:bookmarkStart w:id="314" w:name="_Toc221952180"/>
          </w:p>
        </w:tc>
        <w:tc>
          <w:tcPr>
            <w:tcW w:w="1261" w:type="dxa"/>
            <w:vAlign w:val="center"/>
          </w:tcPr>
          <w:p>
            <w:pPr>
              <w:spacing w:line="440" w:lineRule="exact"/>
              <w:rPr>
                <w:rFonts w:ascii="宋体" w:hAnsi="宋体"/>
                <w:color w:val="auto"/>
                <w:szCs w:val="21"/>
                <w:highlight w:val="none"/>
              </w:rPr>
            </w:pPr>
            <w:r>
              <w:rPr>
                <w:rFonts w:ascii="宋体" w:hAnsi="宋体"/>
                <w:color w:val="auto"/>
                <w:szCs w:val="21"/>
                <w:highlight w:val="none"/>
              </w:rPr>
              <w:t>担任职务</w:t>
            </w:r>
          </w:p>
          <w:bookmarkEnd w:id="314"/>
        </w:tc>
        <w:tc>
          <w:tcPr>
            <w:tcW w:w="2296" w:type="dxa"/>
            <w:gridSpan w:val="2"/>
            <w:vAlign w:val="center"/>
          </w:tcPr>
          <w:p>
            <w:pPr>
              <w:spacing w:line="440" w:lineRule="exact"/>
              <w:rPr>
                <w:rFonts w:ascii="宋体" w:hAnsi="宋体"/>
                <w:color w:val="auto"/>
                <w:szCs w:val="21"/>
                <w:highlight w:val="none"/>
              </w:rPr>
            </w:pPr>
            <w:r>
              <w:rPr>
                <w:rFonts w:ascii="宋体" w:hAnsi="宋体"/>
                <w:color w:val="auto"/>
                <w:szCs w:val="21"/>
                <w:highlight w:val="none"/>
              </w:rPr>
              <w:t>发包人</w:t>
            </w:r>
            <w:bookmarkStart w:id="315" w:name="_Toc221952181"/>
            <w:r>
              <w:rPr>
                <w:rFonts w:ascii="宋体" w:hAnsi="宋体"/>
                <w:color w:val="auto"/>
                <w:szCs w:val="21"/>
                <w:highlight w:val="none"/>
              </w:rPr>
              <w:t>及联系电</w:t>
            </w:r>
            <w:bookmarkEnd w:id="315"/>
            <w:r>
              <w:rPr>
                <w:rFonts w:ascii="宋体" w:hAnsi="宋体"/>
                <w:color w:val="auto"/>
                <w:szCs w:val="21"/>
                <w:highlight w:val="none"/>
              </w:rPr>
              <w:t>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pPr>
              <w:spacing w:line="440" w:lineRule="exact"/>
              <w:rPr>
                <w:rFonts w:ascii="宋体" w:hAnsi="宋体"/>
                <w:color w:val="auto"/>
                <w:szCs w:val="21"/>
                <w:highlight w:val="none"/>
              </w:rPr>
            </w:pPr>
            <w:bookmarkStart w:id="316" w:name="_Toc221952182"/>
          </w:p>
        </w:tc>
        <w:tc>
          <w:tcPr>
            <w:tcW w:w="3421" w:type="dxa"/>
            <w:gridSpan w:val="4"/>
          </w:tcPr>
          <w:p>
            <w:pPr>
              <w:spacing w:line="440" w:lineRule="exact"/>
              <w:rPr>
                <w:rFonts w:ascii="宋体" w:hAnsi="宋体"/>
                <w:color w:val="auto"/>
                <w:szCs w:val="21"/>
                <w:highlight w:val="none"/>
              </w:rPr>
            </w:pPr>
          </w:p>
        </w:tc>
        <w:tc>
          <w:tcPr>
            <w:tcW w:w="1261" w:type="dxa"/>
          </w:tcPr>
          <w:p>
            <w:pPr>
              <w:spacing w:line="440" w:lineRule="exact"/>
              <w:rPr>
                <w:rFonts w:ascii="宋体" w:hAnsi="宋体"/>
                <w:color w:val="auto"/>
                <w:szCs w:val="21"/>
                <w:highlight w:val="none"/>
              </w:rPr>
            </w:pPr>
          </w:p>
        </w:tc>
        <w:tc>
          <w:tcPr>
            <w:tcW w:w="2296" w:type="dxa"/>
            <w:gridSpan w:val="2"/>
          </w:tcPr>
          <w:p>
            <w:pPr>
              <w:spacing w:line="44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pPr>
              <w:spacing w:line="440" w:lineRule="exact"/>
              <w:rPr>
                <w:rFonts w:ascii="宋体" w:hAnsi="宋体"/>
                <w:color w:val="auto"/>
                <w:szCs w:val="21"/>
                <w:highlight w:val="none"/>
              </w:rPr>
            </w:pPr>
          </w:p>
          <w:bookmarkEnd w:id="316"/>
        </w:tc>
        <w:tc>
          <w:tcPr>
            <w:tcW w:w="3421" w:type="dxa"/>
            <w:gridSpan w:val="4"/>
          </w:tcPr>
          <w:p>
            <w:pPr>
              <w:spacing w:line="440" w:lineRule="exact"/>
              <w:rPr>
                <w:rFonts w:ascii="宋体" w:hAnsi="宋体"/>
                <w:color w:val="auto"/>
                <w:szCs w:val="21"/>
                <w:highlight w:val="none"/>
              </w:rPr>
            </w:pPr>
          </w:p>
        </w:tc>
        <w:tc>
          <w:tcPr>
            <w:tcW w:w="1261" w:type="dxa"/>
          </w:tcPr>
          <w:p>
            <w:pPr>
              <w:spacing w:line="440" w:lineRule="exact"/>
              <w:rPr>
                <w:rFonts w:ascii="宋体" w:hAnsi="宋体"/>
                <w:color w:val="auto"/>
                <w:szCs w:val="21"/>
                <w:highlight w:val="none"/>
              </w:rPr>
            </w:pPr>
          </w:p>
        </w:tc>
        <w:tc>
          <w:tcPr>
            <w:tcW w:w="2296" w:type="dxa"/>
            <w:gridSpan w:val="2"/>
          </w:tcPr>
          <w:p>
            <w:pPr>
              <w:spacing w:line="440" w:lineRule="exact"/>
              <w:rPr>
                <w:rFonts w:ascii="宋体" w:hAnsi="宋体"/>
                <w:color w:val="auto"/>
                <w:szCs w:val="21"/>
                <w:highlight w:val="none"/>
              </w:rPr>
            </w:pPr>
          </w:p>
        </w:tc>
        <w:bookmarkStart w:id="317" w:name="_Toc221952183"/>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pPr>
              <w:spacing w:line="440" w:lineRule="exact"/>
              <w:rPr>
                <w:rFonts w:ascii="宋体" w:hAnsi="宋体"/>
                <w:color w:val="auto"/>
                <w:szCs w:val="21"/>
                <w:highlight w:val="none"/>
              </w:rPr>
            </w:pPr>
          </w:p>
          <w:bookmarkEnd w:id="317"/>
        </w:tc>
        <w:tc>
          <w:tcPr>
            <w:tcW w:w="3421" w:type="dxa"/>
            <w:gridSpan w:val="4"/>
          </w:tcPr>
          <w:p>
            <w:pPr>
              <w:spacing w:line="440" w:lineRule="exact"/>
              <w:rPr>
                <w:rFonts w:ascii="宋体" w:hAnsi="宋体"/>
                <w:color w:val="auto"/>
                <w:szCs w:val="21"/>
                <w:highlight w:val="none"/>
              </w:rPr>
            </w:pPr>
          </w:p>
        </w:tc>
        <w:tc>
          <w:tcPr>
            <w:tcW w:w="1261" w:type="dxa"/>
          </w:tcPr>
          <w:p>
            <w:pPr>
              <w:spacing w:line="440" w:lineRule="exact"/>
              <w:rPr>
                <w:rFonts w:ascii="宋体" w:hAnsi="宋体"/>
                <w:color w:val="auto"/>
                <w:szCs w:val="21"/>
                <w:highlight w:val="none"/>
              </w:rPr>
            </w:pPr>
          </w:p>
        </w:tc>
        <w:tc>
          <w:tcPr>
            <w:tcW w:w="2296" w:type="dxa"/>
            <w:gridSpan w:val="2"/>
          </w:tcPr>
          <w:p>
            <w:pPr>
              <w:spacing w:line="440" w:lineRule="exact"/>
              <w:rPr>
                <w:rFonts w:ascii="宋体" w:hAnsi="宋体"/>
                <w:color w:val="auto"/>
                <w:szCs w:val="21"/>
                <w:highlight w:val="none"/>
              </w:rPr>
            </w:pPr>
          </w:p>
        </w:tc>
        <w:bookmarkStart w:id="318" w:name="_Toc221952184"/>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pPr>
              <w:spacing w:line="440" w:lineRule="exact"/>
              <w:rPr>
                <w:rFonts w:ascii="宋体" w:hAnsi="宋体"/>
                <w:color w:val="auto"/>
                <w:szCs w:val="21"/>
                <w:highlight w:val="none"/>
              </w:rPr>
            </w:pPr>
          </w:p>
        </w:tc>
        <w:tc>
          <w:tcPr>
            <w:tcW w:w="3421" w:type="dxa"/>
            <w:gridSpan w:val="4"/>
          </w:tcPr>
          <w:p>
            <w:pPr>
              <w:spacing w:line="440" w:lineRule="exact"/>
              <w:rPr>
                <w:rFonts w:ascii="宋体" w:hAnsi="宋体"/>
                <w:color w:val="auto"/>
                <w:szCs w:val="21"/>
                <w:highlight w:val="none"/>
              </w:rPr>
            </w:pPr>
          </w:p>
        </w:tc>
        <w:tc>
          <w:tcPr>
            <w:tcW w:w="1261" w:type="dxa"/>
          </w:tcPr>
          <w:p>
            <w:pPr>
              <w:spacing w:line="440" w:lineRule="exact"/>
              <w:rPr>
                <w:rFonts w:ascii="宋体" w:hAnsi="宋体"/>
                <w:color w:val="auto"/>
                <w:szCs w:val="21"/>
                <w:highlight w:val="none"/>
              </w:rPr>
            </w:pPr>
          </w:p>
          <w:bookmarkEnd w:id="318"/>
        </w:tc>
        <w:tc>
          <w:tcPr>
            <w:tcW w:w="2296" w:type="dxa"/>
            <w:gridSpan w:val="2"/>
          </w:tcPr>
          <w:p>
            <w:pPr>
              <w:spacing w:line="44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pPr>
              <w:spacing w:line="440" w:lineRule="exact"/>
              <w:rPr>
                <w:rFonts w:ascii="宋体" w:hAnsi="宋体"/>
                <w:color w:val="auto"/>
                <w:szCs w:val="21"/>
                <w:highlight w:val="none"/>
              </w:rPr>
            </w:pPr>
          </w:p>
        </w:tc>
        <w:tc>
          <w:tcPr>
            <w:tcW w:w="3421" w:type="dxa"/>
            <w:gridSpan w:val="4"/>
          </w:tcPr>
          <w:p>
            <w:pPr>
              <w:spacing w:line="440" w:lineRule="exact"/>
              <w:rPr>
                <w:rFonts w:ascii="宋体" w:hAnsi="宋体"/>
                <w:color w:val="auto"/>
                <w:szCs w:val="21"/>
                <w:highlight w:val="none"/>
              </w:rPr>
            </w:pPr>
            <w:bookmarkStart w:id="319" w:name="_Toc221952185"/>
          </w:p>
        </w:tc>
        <w:tc>
          <w:tcPr>
            <w:tcW w:w="1261" w:type="dxa"/>
          </w:tcPr>
          <w:p>
            <w:pPr>
              <w:spacing w:line="440" w:lineRule="exact"/>
              <w:rPr>
                <w:rFonts w:ascii="宋体" w:hAnsi="宋体"/>
                <w:color w:val="auto"/>
                <w:szCs w:val="21"/>
                <w:highlight w:val="none"/>
              </w:rPr>
            </w:pPr>
          </w:p>
        </w:tc>
        <w:tc>
          <w:tcPr>
            <w:tcW w:w="2296" w:type="dxa"/>
            <w:gridSpan w:val="2"/>
          </w:tcPr>
          <w:p>
            <w:pPr>
              <w:spacing w:line="440" w:lineRule="exact"/>
              <w:rPr>
                <w:rFonts w:ascii="宋体" w:hAnsi="宋体"/>
                <w:color w:val="auto"/>
                <w:szCs w:val="21"/>
                <w:highlight w:val="none"/>
              </w:rPr>
            </w:pPr>
          </w:p>
        </w:tc>
      </w:tr>
      <w:bookmarkEnd w:id="31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pPr>
              <w:spacing w:line="440" w:lineRule="exact"/>
              <w:rPr>
                <w:rFonts w:ascii="宋体" w:hAnsi="宋体"/>
                <w:color w:val="auto"/>
                <w:szCs w:val="21"/>
                <w:highlight w:val="none"/>
              </w:rPr>
            </w:pPr>
          </w:p>
        </w:tc>
        <w:tc>
          <w:tcPr>
            <w:tcW w:w="3421" w:type="dxa"/>
            <w:gridSpan w:val="4"/>
          </w:tcPr>
          <w:p>
            <w:pPr>
              <w:spacing w:line="440" w:lineRule="exact"/>
              <w:rPr>
                <w:rFonts w:ascii="宋体" w:hAnsi="宋体"/>
                <w:color w:val="auto"/>
                <w:szCs w:val="21"/>
                <w:highlight w:val="none"/>
              </w:rPr>
            </w:pPr>
          </w:p>
        </w:tc>
        <w:tc>
          <w:tcPr>
            <w:tcW w:w="1261" w:type="dxa"/>
          </w:tcPr>
          <w:p>
            <w:pPr>
              <w:spacing w:line="440" w:lineRule="exact"/>
              <w:rPr>
                <w:rFonts w:ascii="宋体" w:hAnsi="宋体"/>
                <w:color w:val="auto"/>
                <w:szCs w:val="21"/>
                <w:highlight w:val="none"/>
              </w:rPr>
            </w:pPr>
          </w:p>
        </w:tc>
        <w:tc>
          <w:tcPr>
            <w:tcW w:w="2296" w:type="dxa"/>
            <w:gridSpan w:val="2"/>
          </w:tcPr>
          <w:p>
            <w:pPr>
              <w:spacing w:line="44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pPr>
              <w:spacing w:line="440" w:lineRule="exact"/>
              <w:rPr>
                <w:rFonts w:ascii="宋体" w:hAnsi="宋体"/>
                <w:color w:val="auto"/>
                <w:szCs w:val="21"/>
                <w:highlight w:val="none"/>
              </w:rPr>
            </w:pPr>
          </w:p>
        </w:tc>
        <w:tc>
          <w:tcPr>
            <w:tcW w:w="3421" w:type="dxa"/>
            <w:gridSpan w:val="4"/>
          </w:tcPr>
          <w:p>
            <w:pPr>
              <w:spacing w:line="440" w:lineRule="exact"/>
              <w:rPr>
                <w:rFonts w:ascii="宋体" w:hAnsi="宋体"/>
                <w:color w:val="auto"/>
                <w:szCs w:val="21"/>
                <w:highlight w:val="none"/>
              </w:rPr>
            </w:pPr>
          </w:p>
        </w:tc>
        <w:tc>
          <w:tcPr>
            <w:tcW w:w="1261" w:type="dxa"/>
          </w:tcPr>
          <w:p>
            <w:pPr>
              <w:spacing w:line="440" w:lineRule="exact"/>
              <w:rPr>
                <w:rFonts w:ascii="宋体" w:hAnsi="宋体"/>
                <w:color w:val="auto"/>
                <w:szCs w:val="21"/>
                <w:highlight w:val="none"/>
              </w:rPr>
            </w:pPr>
          </w:p>
        </w:tc>
        <w:tc>
          <w:tcPr>
            <w:tcW w:w="2296" w:type="dxa"/>
            <w:gridSpan w:val="2"/>
          </w:tcPr>
          <w:p>
            <w:pPr>
              <w:spacing w:line="440" w:lineRule="exact"/>
              <w:rPr>
                <w:rFonts w:ascii="宋体" w:hAnsi="宋体"/>
                <w:color w:val="auto"/>
                <w:szCs w:val="21"/>
                <w:highlight w:val="none"/>
              </w:rPr>
            </w:pPr>
          </w:p>
        </w:tc>
        <w:bookmarkStart w:id="320" w:name="_Toc221952186"/>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pPr>
              <w:spacing w:line="440" w:lineRule="exact"/>
              <w:rPr>
                <w:rFonts w:ascii="宋体" w:hAnsi="宋体"/>
                <w:color w:val="auto"/>
                <w:szCs w:val="21"/>
                <w:highlight w:val="none"/>
              </w:rPr>
            </w:pPr>
          </w:p>
          <w:bookmarkEnd w:id="320"/>
        </w:tc>
        <w:tc>
          <w:tcPr>
            <w:tcW w:w="3421" w:type="dxa"/>
            <w:gridSpan w:val="4"/>
          </w:tcPr>
          <w:p>
            <w:pPr>
              <w:spacing w:line="440" w:lineRule="exact"/>
              <w:rPr>
                <w:rFonts w:ascii="宋体" w:hAnsi="宋体"/>
                <w:color w:val="auto"/>
                <w:szCs w:val="21"/>
                <w:highlight w:val="none"/>
              </w:rPr>
            </w:pPr>
          </w:p>
        </w:tc>
        <w:tc>
          <w:tcPr>
            <w:tcW w:w="1261" w:type="dxa"/>
          </w:tcPr>
          <w:p>
            <w:pPr>
              <w:spacing w:line="440" w:lineRule="exact"/>
              <w:rPr>
                <w:rFonts w:ascii="宋体" w:hAnsi="宋体"/>
                <w:color w:val="auto"/>
                <w:szCs w:val="21"/>
                <w:highlight w:val="none"/>
              </w:rPr>
            </w:pPr>
          </w:p>
        </w:tc>
        <w:tc>
          <w:tcPr>
            <w:tcW w:w="2296" w:type="dxa"/>
            <w:gridSpan w:val="2"/>
          </w:tcPr>
          <w:p>
            <w:pPr>
              <w:spacing w:line="44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pPr>
              <w:spacing w:line="440" w:lineRule="exact"/>
              <w:rPr>
                <w:rFonts w:ascii="宋体" w:hAnsi="宋体"/>
                <w:color w:val="auto"/>
                <w:szCs w:val="21"/>
                <w:highlight w:val="none"/>
              </w:rPr>
            </w:pPr>
          </w:p>
        </w:tc>
        <w:tc>
          <w:tcPr>
            <w:tcW w:w="3421" w:type="dxa"/>
            <w:gridSpan w:val="4"/>
          </w:tcPr>
          <w:p>
            <w:pPr>
              <w:spacing w:line="440" w:lineRule="exact"/>
              <w:rPr>
                <w:rFonts w:ascii="宋体" w:hAnsi="宋体"/>
                <w:color w:val="auto"/>
                <w:szCs w:val="21"/>
                <w:highlight w:val="none"/>
              </w:rPr>
            </w:pPr>
          </w:p>
        </w:tc>
        <w:tc>
          <w:tcPr>
            <w:tcW w:w="1261" w:type="dxa"/>
          </w:tcPr>
          <w:p>
            <w:pPr>
              <w:spacing w:line="440" w:lineRule="exact"/>
              <w:rPr>
                <w:rFonts w:ascii="宋体" w:hAnsi="宋体"/>
                <w:color w:val="auto"/>
                <w:szCs w:val="21"/>
                <w:highlight w:val="none"/>
              </w:rPr>
            </w:pPr>
          </w:p>
        </w:tc>
        <w:tc>
          <w:tcPr>
            <w:tcW w:w="2296" w:type="dxa"/>
            <w:gridSpan w:val="2"/>
          </w:tcPr>
          <w:p>
            <w:pPr>
              <w:spacing w:line="44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pPr>
              <w:spacing w:line="440" w:lineRule="exact"/>
              <w:rPr>
                <w:rFonts w:ascii="宋体" w:hAnsi="宋体"/>
                <w:color w:val="auto"/>
                <w:szCs w:val="21"/>
                <w:highlight w:val="none"/>
              </w:rPr>
            </w:pPr>
          </w:p>
        </w:tc>
        <w:tc>
          <w:tcPr>
            <w:tcW w:w="3421" w:type="dxa"/>
            <w:gridSpan w:val="4"/>
          </w:tcPr>
          <w:p>
            <w:pPr>
              <w:spacing w:line="440" w:lineRule="exact"/>
              <w:rPr>
                <w:rFonts w:ascii="宋体" w:hAnsi="宋体"/>
                <w:color w:val="auto"/>
                <w:szCs w:val="21"/>
                <w:highlight w:val="none"/>
              </w:rPr>
            </w:pPr>
          </w:p>
        </w:tc>
        <w:tc>
          <w:tcPr>
            <w:tcW w:w="1261" w:type="dxa"/>
          </w:tcPr>
          <w:p>
            <w:pPr>
              <w:spacing w:line="440" w:lineRule="exact"/>
              <w:rPr>
                <w:rFonts w:ascii="宋体" w:hAnsi="宋体"/>
                <w:color w:val="auto"/>
                <w:szCs w:val="21"/>
                <w:highlight w:val="none"/>
              </w:rPr>
            </w:pPr>
          </w:p>
        </w:tc>
        <w:tc>
          <w:tcPr>
            <w:tcW w:w="2296" w:type="dxa"/>
            <w:gridSpan w:val="2"/>
          </w:tcPr>
          <w:p>
            <w:pPr>
              <w:spacing w:line="44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pPr>
              <w:spacing w:line="440" w:lineRule="exact"/>
              <w:rPr>
                <w:rFonts w:ascii="宋体" w:hAnsi="宋体"/>
                <w:color w:val="auto"/>
                <w:szCs w:val="21"/>
                <w:highlight w:val="none"/>
              </w:rPr>
            </w:pPr>
          </w:p>
        </w:tc>
        <w:tc>
          <w:tcPr>
            <w:tcW w:w="3421" w:type="dxa"/>
            <w:gridSpan w:val="4"/>
          </w:tcPr>
          <w:p>
            <w:pPr>
              <w:spacing w:line="440" w:lineRule="exact"/>
              <w:rPr>
                <w:rFonts w:ascii="宋体" w:hAnsi="宋体"/>
                <w:color w:val="auto"/>
                <w:szCs w:val="21"/>
                <w:highlight w:val="none"/>
              </w:rPr>
            </w:pPr>
          </w:p>
        </w:tc>
        <w:tc>
          <w:tcPr>
            <w:tcW w:w="1261" w:type="dxa"/>
          </w:tcPr>
          <w:p>
            <w:pPr>
              <w:spacing w:line="440" w:lineRule="exact"/>
              <w:rPr>
                <w:rFonts w:ascii="宋体" w:hAnsi="宋体"/>
                <w:color w:val="auto"/>
                <w:szCs w:val="21"/>
                <w:highlight w:val="none"/>
              </w:rPr>
            </w:pPr>
          </w:p>
        </w:tc>
        <w:tc>
          <w:tcPr>
            <w:tcW w:w="2296" w:type="dxa"/>
            <w:gridSpan w:val="2"/>
          </w:tcPr>
          <w:p>
            <w:pPr>
              <w:spacing w:line="440" w:lineRule="exact"/>
              <w:rPr>
                <w:rFonts w:ascii="宋体" w:hAnsi="宋体"/>
                <w:color w:val="auto"/>
                <w:szCs w:val="21"/>
                <w:highlight w:val="none"/>
              </w:rPr>
            </w:pPr>
          </w:p>
        </w:tc>
      </w:tr>
    </w:tbl>
    <w:p>
      <w:pPr>
        <w:spacing w:line="400" w:lineRule="exact"/>
        <w:ind w:firstLine="420"/>
        <w:rPr>
          <w:rFonts w:ascii="宋体" w:hAnsi="宋体"/>
          <w:color w:val="auto"/>
          <w:highlight w:val="none"/>
        </w:rPr>
      </w:pPr>
      <w:bookmarkStart w:id="321" w:name="_Toc222031072"/>
      <w:bookmarkStart w:id="322" w:name="_Toc222029570"/>
      <w:bookmarkStart w:id="323" w:name="_Toc259524425"/>
      <w:bookmarkStart w:id="324" w:name="_Toc221952187"/>
      <w:bookmarkStart w:id="325" w:name="_Toc179715760"/>
      <w:bookmarkStart w:id="326" w:name="_Toc152047267"/>
      <w:bookmarkStart w:id="327" w:name="_Toc222032739"/>
      <w:bookmarkStart w:id="328" w:name="_Toc222033921"/>
      <w:bookmarkStart w:id="329" w:name="_Toc229305430"/>
      <w:r>
        <w:rPr>
          <w:rFonts w:hint="eastAsia" w:ascii="宋体" w:hAnsi="宋体"/>
          <w:color w:val="auto"/>
          <w:highlight w:val="none"/>
        </w:rPr>
        <w:t>应附注册建造师执业资</w:t>
      </w:r>
      <w:bookmarkStart w:id="330" w:name="_Toc247514301"/>
      <w:bookmarkStart w:id="331" w:name="_Toc247527849"/>
      <w:bookmarkStart w:id="332" w:name="_Toc332641444"/>
      <w:bookmarkStart w:id="333" w:name="_Toc144974877"/>
      <w:bookmarkStart w:id="334" w:name="_Toc265953295"/>
      <w:bookmarkStart w:id="335" w:name="_Toc152042598"/>
      <w:bookmarkStart w:id="336" w:name="_Toc152045809"/>
      <w:r>
        <w:rPr>
          <w:rFonts w:hint="eastAsia" w:ascii="宋体" w:hAnsi="宋体"/>
          <w:color w:val="auto"/>
          <w:highlight w:val="none"/>
        </w:rPr>
        <w:t>格证书</w:t>
      </w:r>
      <w:bookmarkEnd w:id="330"/>
      <w:bookmarkEnd w:id="331"/>
      <w:bookmarkEnd w:id="332"/>
      <w:bookmarkEnd w:id="333"/>
      <w:bookmarkEnd w:id="334"/>
      <w:bookmarkEnd w:id="335"/>
      <w:bookmarkEnd w:id="336"/>
      <w:r>
        <w:rPr>
          <w:rFonts w:hint="eastAsia" w:ascii="宋体" w:hAnsi="宋体"/>
          <w:color w:val="auto"/>
          <w:highlight w:val="none"/>
        </w:rPr>
        <w:t>证明材料、社保证明材料复印件、安全生产考核合格证（B证）复印件。</w:t>
      </w:r>
    </w:p>
    <w:p>
      <w:pPr>
        <w:spacing w:line="400" w:lineRule="exact"/>
        <w:ind w:firstLine="420"/>
        <w:rPr>
          <w:rFonts w:ascii="宋体" w:hAnsi="宋体"/>
          <w:color w:val="auto"/>
          <w:highlight w:val="none"/>
        </w:rPr>
      </w:pPr>
    </w:p>
    <w:p>
      <w:pPr>
        <w:widowControl/>
        <w:jc w:val="left"/>
        <w:rPr>
          <w:rFonts w:ascii="宋体" w:hAnsi="宋体"/>
          <w:b/>
          <w:color w:val="auto"/>
          <w:sz w:val="24"/>
          <w:szCs w:val="31"/>
          <w:highlight w:val="none"/>
        </w:rPr>
      </w:pPr>
      <w:r>
        <w:rPr>
          <w:rFonts w:ascii="宋体" w:hAnsi="宋体"/>
          <w:b/>
          <w:color w:val="auto"/>
          <w:sz w:val="24"/>
          <w:szCs w:val="31"/>
          <w:highlight w:val="none"/>
        </w:rPr>
        <w:br w:type="page"/>
      </w:r>
    </w:p>
    <w:p>
      <w:pPr>
        <w:spacing w:line="400" w:lineRule="exact"/>
        <w:jc w:val="left"/>
        <w:outlineLvl w:val="3"/>
        <w:rPr>
          <w:rFonts w:ascii="宋体" w:hAnsi="宋体"/>
          <w:b/>
          <w:color w:val="auto"/>
          <w:sz w:val="24"/>
          <w:szCs w:val="31"/>
          <w:highlight w:val="none"/>
        </w:rPr>
      </w:pPr>
      <w:r>
        <w:rPr>
          <w:rFonts w:ascii="宋体" w:hAnsi="宋体"/>
          <w:b/>
          <w:color w:val="auto"/>
          <w:sz w:val="24"/>
          <w:szCs w:val="31"/>
          <w:highlight w:val="none"/>
        </w:rPr>
        <w:t>（</w:t>
      </w:r>
      <w:r>
        <w:rPr>
          <w:rFonts w:hint="eastAsia" w:ascii="宋体" w:hAnsi="宋体"/>
          <w:b/>
          <w:color w:val="auto"/>
          <w:sz w:val="24"/>
          <w:szCs w:val="31"/>
          <w:highlight w:val="none"/>
        </w:rPr>
        <w:t>三</w:t>
      </w:r>
      <w:r>
        <w:rPr>
          <w:rFonts w:ascii="宋体" w:hAnsi="宋体"/>
          <w:b/>
          <w:color w:val="auto"/>
          <w:sz w:val="24"/>
          <w:szCs w:val="31"/>
          <w:highlight w:val="none"/>
        </w:rPr>
        <w:t>）</w:t>
      </w:r>
      <w:r>
        <w:rPr>
          <w:rFonts w:hint="eastAsia" w:ascii="宋体" w:hAnsi="宋体"/>
          <w:b/>
          <w:color w:val="auto"/>
          <w:sz w:val="24"/>
          <w:szCs w:val="31"/>
          <w:highlight w:val="none"/>
        </w:rPr>
        <w:t>技术负责人</w:t>
      </w:r>
      <w:r>
        <w:rPr>
          <w:rFonts w:ascii="宋体" w:hAnsi="宋体"/>
          <w:b/>
          <w:color w:val="auto"/>
          <w:sz w:val="24"/>
          <w:szCs w:val="31"/>
          <w:highlight w:val="none"/>
        </w:rPr>
        <w:t>简历表</w:t>
      </w:r>
    </w:p>
    <w:p>
      <w:pPr>
        <w:spacing w:before="260" w:after="260" w:line="415" w:lineRule="auto"/>
        <w:jc w:val="center"/>
        <w:rPr>
          <w:rFonts w:ascii="宋体" w:hAnsi="宋体"/>
          <w:b/>
          <w:color w:val="auto"/>
          <w:sz w:val="32"/>
          <w:szCs w:val="32"/>
          <w:highlight w:val="none"/>
        </w:rPr>
      </w:pPr>
      <w:r>
        <w:rPr>
          <w:rFonts w:hint="eastAsia" w:ascii="宋体" w:hAnsi="宋体"/>
          <w:b/>
          <w:color w:val="auto"/>
          <w:sz w:val="32"/>
          <w:szCs w:val="32"/>
          <w:highlight w:val="none"/>
        </w:rPr>
        <w:t>技术负责人</w:t>
      </w:r>
      <w:r>
        <w:rPr>
          <w:rFonts w:ascii="宋体" w:hAnsi="宋体"/>
          <w:b/>
          <w:color w:val="auto"/>
          <w:sz w:val="32"/>
          <w:szCs w:val="32"/>
          <w:highlight w:val="none"/>
        </w:rPr>
        <w:t>简历表</w:t>
      </w:r>
    </w:p>
    <w:tbl>
      <w:tblPr>
        <w:tblStyle w:val="40"/>
        <w:tblpPr w:leftFromText="180" w:rightFromText="180" w:vertAnchor="text" w:horzAnchor="margin" w:tblpY="9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356"/>
        <w:gridCol w:w="723"/>
        <w:gridCol w:w="927"/>
        <w:gridCol w:w="1065"/>
        <w:gridCol w:w="706"/>
        <w:gridCol w:w="1261"/>
        <w:gridCol w:w="164"/>
        <w:gridCol w:w="2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440" w:lineRule="exact"/>
              <w:jc w:val="center"/>
              <w:rPr>
                <w:rFonts w:ascii="宋体" w:hAnsi="宋体"/>
                <w:color w:val="auto"/>
                <w:szCs w:val="21"/>
                <w:highlight w:val="none"/>
              </w:rPr>
            </w:pPr>
            <w:r>
              <w:rPr>
                <w:rFonts w:ascii="宋体" w:hAnsi="宋体"/>
                <w:color w:val="auto"/>
                <w:szCs w:val="21"/>
                <w:highlight w:val="none"/>
              </w:rPr>
              <w:t>姓  名</w:t>
            </w:r>
          </w:p>
        </w:tc>
        <w:tc>
          <w:tcPr>
            <w:tcW w:w="1079" w:type="dxa"/>
            <w:gridSpan w:val="2"/>
            <w:vAlign w:val="center"/>
          </w:tcPr>
          <w:p>
            <w:pPr>
              <w:spacing w:line="440" w:lineRule="exact"/>
              <w:jc w:val="center"/>
              <w:rPr>
                <w:rFonts w:ascii="宋体" w:hAnsi="宋体"/>
                <w:color w:val="auto"/>
                <w:szCs w:val="21"/>
                <w:highlight w:val="none"/>
              </w:rPr>
            </w:pPr>
          </w:p>
        </w:tc>
        <w:tc>
          <w:tcPr>
            <w:tcW w:w="927" w:type="dxa"/>
            <w:vAlign w:val="center"/>
          </w:tcPr>
          <w:p>
            <w:pPr>
              <w:spacing w:line="440" w:lineRule="exact"/>
              <w:jc w:val="center"/>
              <w:rPr>
                <w:rFonts w:ascii="宋体" w:hAnsi="宋体"/>
                <w:color w:val="auto"/>
                <w:szCs w:val="21"/>
                <w:highlight w:val="none"/>
              </w:rPr>
            </w:pPr>
            <w:r>
              <w:rPr>
                <w:rFonts w:ascii="宋体" w:hAnsi="宋体"/>
                <w:color w:val="auto"/>
                <w:szCs w:val="21"/>
                <w:highlight w:val="none"/>
              </w:rPr>
              <w:t>年 龄</w:t>
            </w:r>
          </w:p>
        </w:tc>
        <w:tc>
          <w:tcPr>
            <w:tcW w:w="1065" w:type="dxa"/>
            <w:vAlign w:val="center"/>
          </w:tcPr>
          <w:p>
            <w:pPr>
              <w:spacing w:line="440" w:lineRule="exact"/>
              <w:jc w:val="center"/>
              <w:rPr>
                <w:rFonts w:ascii="宋体" w:hAnsi="宋体"/>
                <w:color w:val="auto"/>
                <w:szCs w:val="21"/>
                <w:highlight w:val="none"/>
              </w:rPr>
            </w:pPr>
          </w:p>
        </w:tc>
        <w:tc>
          <w:tcPr>
            <w:tcW w:w="2131" w:type="dxa"/>
            <w:gridSpan w:val="3"/>
            <w:vAlign w:val="center"/>
          </w:tcPr>
          <w:p>
            <w:pPr>
              <w:spacing w:line="440" w:lineRule="exact"/>
              <w:jc w:val="center"/>
              <w:rPr>
                <w:rFonts w:ascii="宋体" w:hAnsi="宋体"/>
                <w:color w:val="auto"/>
                <w:szCs w:val="21"/>
                <w:highlight w:val="none"/>
              </w:rPr>
            </w:pPr>
            <w:r>
              <w:rPr>
                <w:rFonts w:ascii="宋体" w:hAnsi="宋体"/>
                <w:color w:val="auto"/>
                <w:szCs w:val="21"/>
                <w:highlight w:val="none"/>
              </w:rPr>
              <w:t>学历</w:t>
            </w:r>
          </w:p>
        </w:tc>
        <w:tc>
          <w:tcPr>
            <w:tcW w:w="2132" w:type="dxa"/>
            <w:vAlign w:val="center"/>
          </w:tcPr>
          <w:p>
            <w:pPr>
              <w:spacing w:line="44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440" w:lineRule="exact"/>
              <w:jc w:val="center"/>
              <w:rPr>
                <w:rFonts w:ascii="宋体" w:hAnsi="宋体"/>
                <w:color w:val="auto"/>
                <w:szCs w:val="21"/>
                <w:highlight w:val="none"/>
              </w:rPr>
            </w:pPr>
            <w:r>
              <w:rPr>
                <w:rFonts w:ascii="宋体" w:hAnsi="宋体"/>
                <w:color w:val="auto"/>
                <w:szCs w:val="21"/>
                <w:highlight w:val="none"/>
              </w:rPr>
              <w:t>职  称</w:t>
            </w:r>
          </w:p>
        </w:tc>
        <w:tc>
          <w:tcPr>
            <w:tcW w:w="1079" w:type="dxa"/>
            <w:gridSpan w:val="2"/>
            <w:vAlign w:val="center"/>
          </w:tcPr>
          <w:p>
            <w:pPr>
              <w:spacing w:line="440" w:lineRule="exact"/>
              <w:jc w:val="center"/>
              <w:rPr>
                <w:rFonts w:ascii="宋体" w:hAnsi="宋体"/>
                <w:color w:val="auto"/>
                <w:szCs w:val="21"/>
                <w:highlight w:val="none"/>
              </w:rPr>
            </w:pPr>
          </w:p>
        </w:tc>
        <w:tc>
          <w:tcPr>
            <w:tcW w:w="927" w:type="dxa"/>
            <w:vAlign w:val="center"/>
          </w:tcPr>
          <w:p>
            <w:pPr>
              <w:spacing w:line="440" w:lineRule="exact"/>
              <w:jc w:val="center"/>
              <w:rPr>
                <w:rFonts w:ascii="宋体" w:hAnsi="宋体"/>
                <w:color w:val="auto"/>
                <w:szCs w:val="21"/>
                <w:highlight w:val="none"/>
              </w:rPr>
            </w:pPr>
            <w:r>
              <w:rPr>
                <w:rFonts w:ascii="宋体" w:hAnsi="宋体"/>
                <w:color w:val="auto"/>
                <w:szCs w:val="21"/>
                <w:highlight w:val="none"/>
              </w:rPr>
              <w:t>职 务</w:t>
            </w:r>
          </w:p>
        </w:tc>
        <w:tc>
          <w:tcPr>
            <w:tcW w:w="1065" w:type="dxa"/>
            <w:vAlign w:val="center"/>
          </w:tcPr>
          <w:p>
            <w:pPr>
              <w:spacing w:line="440" w:lineRule="exact"/>
              <w:jc w:val="center"/>
              <w:rPr>
                <w:rFonts w:ascii="宋体" w:hAnsi="宋体"/>
                <w:color w:val="auto"/>
                <w:szCs w:val="21"/>
                <w:highlight w:val="none"/>
              </w:rPr>
            </w:pPr>
          </w:p>
        </w:tc>
        <w:tc>
          <w:tcPr>
            <w:tcW w:w="2131" w:type="dxa"/>
            <w:gridSpan w:val="3"/>
            <w:vAlign w:val="center"/>
          </w:tcPr>
          <w:p>
            <w:pPr>
              <w:spacing w:line="440" w:lineRule="exact"/>
              <w:jc w:val="center"/>
              <w:rPr>
                <w:rFonts w:ascii="宋体" w:hAnsi="宋体"/>
                <w:color w:val="auto"/>
                <w:szCs w:val="21"/>
                <w:highlight w:val="none"/>
              </w:rPr>
            </w:pPr>
            <w:r>
              <w:rPr>
                <w:rFonts w:ascii="宋体" w:hAnsi="宋体"/>
                <w:color w:val="auto"/>
                <w:szCs w:val="21"/>
                <w:highlight w:val="none"/>
              </w:rPr>
              <w:t>拟在本合同任职</w:t>
            </w:r>
          </w:p>
        </w:tc>
        <w:tc>
          <w:tcPr>
            <w:tcW w:w="2132" w:type="dxa"/>
            <w:vAlign w:val="center"/>
          </w:tcPr>
          <w:p>
            <w:pPr>
              <w:spacing w:line="44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440" w:lineRule="exact"/>
              <w:rPr>
                <w:rFonts w:ascii="宋体" w:hAnsi="宋体"/>
                <w:color w:val="auto"/>
                <w:szCs w:val="21"/>
                <w:highlight w:val="none"/>
              </w:rPr>
            </w:pPr>
            <w:r>
              <w:rPr>
                <w:rFonts w:ascii="宋体" w:hAnsi="宋体"/>
                <w:color w:val="auto"/>
                <w:szCs w:val="21"/>
                <w:highlight w:val="none"/>
              </w:rPr>
              <w:t>毕业学校</w:t>
            </w:r>
          </w:p>
        </w:tc>
        <w:tc>
          <w:tcPr>
            <w:tcW w:w="7334" w:type="dxa"/>
            <w:gridSpan w:val="8"/>
          </w:tcPr>
          <w:p>
            <w:pPr>
              <w:spacing w:line="440" w:lineRule="exact"/>
              <w:rPr>
                <w:rFonts w:ascii="宋体" w:hAnsi="宋体"/>
                <w:color w:val="auto"/>
                <w:szCs w:val="21"/>
                <w:highlight w:val="none"/>
              </w:rPr>
            </w:pPr>
            <w:r>
              <w:rPr>
                <w:rFonts w:ascii="宋体" w:hAnsi="宋体"/>
                <w:color w:val="auto"/>
                <w:szCs w:val="21"/>
                <w:highlight w:val="none"/>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9"/>
            <w:vAlign w:val="center"/>
          </w:tcPr>
          <w:p>
            <w:pPr>
              <w:spacing w:line="440" w:lineRule="exact"/>
              <w:jc w:val="center"/>
              <w:rPr>
                <w:rFonts w:ascii="宋体" w:hAnsi="宋体"/>
                <w:color w:val="auto"/>
                <w:szCs w:val="21"/>
                <w:highlight w:val="none"/>
              </w:rPr>
            </w:pPr>
            <w:r>
              <w:rPr>
                <w:rFonts w:ascii="宋体" w:hAnsi="宋体"/>
                <w:color w:val="auto"/>
                <w:szCs w:val="21"/>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44" w:type="dxa"/>
            <w:gridSpan w:val="2"/>
            <w:vAlign w:val="center"/>
          </w:tcPr>
          <w:p>
            <w:pPr>
              <w:spacing w:line="440" w:lineRule="exact"/>
              <w:rPr>
                <w:rFonts w:ascii="宋体" w:hAnsi="宋体"/>
                <w:color w:val="auto"/>
                <w:szCs w:val="21"/>
                <w:highlight w:val="none"/>
              </w:rPr>
            </w:pPr>
            <w:r>
              <w:rPr>
                <w:rFonts w:ascii="宋体" w:hAnsi="宋体"/>
                <w:color w:val="auto"/>
                <w:szCs w:val="21"/>
                <w:highlight w:val="none"/>
              </w:rPr>
              <w:t>时  间</w:t>
            </w:r>
          </w:p>
        </w:tc>
        <w:tc>
          <w:tcPr>
            <w:tcW w:w="3421" w:type="dxa"/>
            <w:gridSpan w:val="4"/>
            <w:vAlign w:val="center"/>
          </w:tcPr>
          <w:p>
            <w:pPr>
              <w:spacing w:line="440" w:lineRule="exact"/>
              <w:rPr>
                <w:rFonts w:ascii="宋体" w:hAnsi="宋体"/>
                <w:color w:val="auto"/>
                <w:szCs w:val="21"/>
                <w:highlight w:val="none"/>
              </w:rPr>
            </w:pPr>
            <w:r>
              <w:rPr>
                <w:rFonts w:ascii="宋体" w:hAnsi="宋体"/>
                <w:color w:val="auto"/>
                <w:szCs w:val="21"/>
                <w:highlight w:val="none"/>
              </w:rPr>
              <w:t>参加过的类似项目</w:t>
            </w:r>
          </w:p>
        </w:tc>
        <w:tc>
          <w:tcPr>
            <w:tcW w:w="1261" w:type="dxa"/>
            <w:vAlign w:val="center"/>
          </w:tcPr>
          <w:p>
            <w:pPr>
              <w:spacing w:line="440" w:lineRule="exact"/>
              <w:rPr>
                <w:rFonts w:ascii="宋体" w:hAnsi="宋体"/>
                <w:color w:val="auto"/>
                <w:szCs w:val="21"/>
                <w:highlight w:val="none"/>
              </w:rPr>
            </w:pPr>
            <w:r>
              <w:rPr>
                <w:rFonts w:ascii="宋体" w:hAnsi="宋体"/>
                <w:color w:val="auto"/>
                <w:szCs w:val="21"/>
                <w:highlight w:val="none"/>
              </w:rPr>
              <w:t>担任职务</w:t>
            </w:r>
          </w:p>
        </w:tc>
        <w:tc>
          <w:tcPr>
            <w:tcW w:w="2296" w:type="dxa"/>
            <w:gridSpan w:val="2"/>
            <w:vAlign w:val="center"/>
          </w:tcPr>
          <w:p>
            <w:pPr>
              <w:spacing w:line="440" w:lineRule="exact"/>
              <w:rPr>
                <w:rFonts w:ascii="宋体" w:hAnsi="宋体"/>
                <w:color w:val="auto"/>
                <w:szCs w:val="21"/>
                <w:highlight w:val="none"/>
              </w:rPr>
            </w:pPr>
            <w:r>
              <w:rPr>
                <w:rFonts w:ascii="宋体" w:hAnsi="宋体"/>
                <w:color w:val="auto"/>
                <w:szCs w:val="21"/>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4" w:type="dxa"/>
            <w:gridSpan w:val="2"/>
          </w:tcPr>
          <w:p>
            <w:pPr>
              <w:spacing w:line="440" w:lineRule="exact"/>
              <w:rPr>
                <w:rFonts w:ascii="宋体" w:hAnsi="宋体"/>
                <w:color w:val="auto"/>
                <w:szCs w:val="21"/>
                <w:highlight w:val="none"/>
              </w:rPr>
            </w:pPr>
          </w:p>
        </w:tc>
        <w:tc>
          <w:tcPr>
            <w:tcW w:w="3421" w:type="dxa"/>
            <w:gridSpan w:val="4"/>
          </w:tcPr>
          <w:p>
            <w:pPr>
              <w:spacing w:line="440" w:lineRule="exact"/>
              <w:rPr>
                <w:rFonts w:ascii="宋体" w:hAnsi="宋体"/>
                <w:color w:val="auto"/>
                <w:szCs w:val="21"/>
                <w:highlight w:val="none"/>
              </w:rPr>
            </w:pPr>
          </w:p>
        </w:tc>
        <w:tc>
          <w:tcPr>
            <w:tcW w:w="1261" w:type="dxa"/>
          </w:tcPr>
          <w:p>
            <w:pPr>
              <w:spacing w:line="440" w:lineRule="exact"/>
              <w:rPr>
                <w:rFonts w:ascii="宋体" w:hAnsi="宋体"/>
                <w:color w:val="auto"/>
                <w:szCs w:val="21"/>
                <w:highlight w:val="none"/>
              </w:rPr>
            </w:pPr>
          </w:p>
        </w:tc>
        <w:tc>
          <w:tcPr>
            <w:tcW w:w="2296" w:type="dxa"/>
            <w:gridSpan w:val="2"/>
          </w:tcPr>
          <w:p>
            <w:pPr>
              <w:spacing w:line="44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4" w:type="dxa"/>
            <w:gridSpan w:val="2"/>
          </w:tcPr>
          <w:p>
            <w:pPr>
              <w:spacing w:line="440" w:lineRule="exact"/>
              <w:rPr>
                <w:rFonts w:ascii="宋体" w:hAnsi="宋体"/>
                <w:color w:val="auto"/>
                <w:szCs w:val="21"/>
                <w:highlight w:val="none"/>
              </w:rPr>
            </w:pPr>
          </w:p>
        </w:tc>
        <w:tc>
          <w:tcPr>
            <w:tcW w:w="3421" w:type="dxa"/>
            <w:gridSpan w:val="4"/>
          </w:tcPr>
          <w:p>
            <w:pPr>
              <w:spacing w:line="440" w:lineRule="exact"/>
              <w:rPr>
                <w:rFonts w:ascii="宋体" w:hAnsi="宋体"/>
                <w:color w:val="auto"/>
                <w:szCs w:val="21"/>
                <w:highlight w:val="none"/>
              </w:rPr>
            </w:pPr>
          </w:p>
        </w:tc>
        <w:tc>
          <w:tcPr>
            <w:tcW w:w="1261" w:type="dxa"/>
          </w:tcPr>
          <w:p>
            <w:pPr>
              <w:spacing w:line="440" w:lineRule="exact"/>
              <w:rPr>
                <w:rFonts w:ascii="宋体" w:hAnsi="宋体"/>
                <w:color w:val="auto"/>
                <w:szCs w:val="21"/>
                <w:highlight w:val="none"/>
              </w:rPr>
            </w:pPr>
          </w:p>
        </w:tc>
        <w:tc>
          <w:tcPr>
            <w:tcW w:w="2296" w:type="dxa"/>
            <w:gridSpan w:val="2"/>
          </w:tcPr>
          <w:p>
            <w:pPr>
              <w:spacing w:line="44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4" w:type="dxa"/>
            <w:gridSpan w:val="2"/>
          </w:tcPr>
          <w:p>
            <w:pPr>
              <w:spacing w:line="440" w:lineRule="exact"/>
              <w:rPr>
                <w:rFonts w:ascii="宋体" w:hAnsi="宋体"/>
                <w:color w:val="auto"/>
                <w:szCs w:val="21"/>
                <w:highlight w:val="none"/>
              </w:rPr>
            </w:pPr>
          </w:p>
        </w:tc>
        <w:tc>
          <w:tcPr>
            <w:tcW w:w="3421" w:type="dxa"/>
            <w:gridSpan w:val="4"/>
          </w:tcPr>
          <w:p>
            <w:pPr>
              <w:spacing w:line="440" w:lineRule="exact"/>
              <w:rPr>
                <w:rFonts w:ascii="宋体" w:hAnsi="宋体"/>
                <w:color w:val="auto"/>
                <w:szCs w:val="21"/>
                <w:highlight w:val="none"/>
              </w:rPr>
            </w:pPr>
          </w:p>
        </w:tc>
        <w:tc>
          <w:tcPr>
            <w:tcW w:w="1261" w:type="dxa"/>
          </w:tcPr>
          <w:p>
            <w:pPr>
              <w:spacing w:line="440" w:lineRule="exact"/>
              <w:rPr>
                <w:rFonts w:ascii="宋体" w:hAnsi="宋体"/>
                <w:color w:val="auto"/>
                <w:szCs w:val="21"/>
                <w:highlight w:val="none"/>
              </w:rPr>
            </w:pPr>
          </w:p>
        </w:tc>
        <w:tc>
          <w:tcPr>
            <w:tcW w:w="2296" w:type="dxa"/>
            <w:gridSpan w:val="2"/>
          </w:tcPr>
          <w:p>
            <w:pPr>
              <w:spacing w:line="44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4" w:type="dxa"/>
            <w:gridSpan w:val="2"/>
          </w:tcPr>
          <w:p>
            <w:pPr>
              <w:spacing w:line="440" w:lineRule="exact"/>
              <w:rPr>
                <w:rFonts w:ascii="宋体" w:hAnsi="宋体"/>
                <w:color w:val="auto"/>
                <w:szCs w:val="21"/>
                <w:highlight w:val="none"/>
              </w:rPr>
            </w:pPr>
          </w:p>
        </w:tc>
        <w:tc>
          <w:tcPr>
            <w:tcW w:w="3421" w:type="dxa"/>
            <w:gridSpan w:val="4"/>
          </w:tcPr>
          <w:p>
            <w:pPr>
              <w:spacing w:line="440" w:lineRule="exact"/>
              <w:rPr>
                <w:rFonts w:ascii="宋体" w:hAnsi="宋体"/>
                <w:color w:val="auto"/>
                <w:szCs w:val="21"/>
                <w:highlight w:val="none"/>
              </w:rPr>
            </w:pPr>
          </w:p>
        </w:tc>
        <w:tc>
          <w:tcPr>
            <w:tcW w:w="1261" w:type="dxa"/>
          </w:tcPr>
          <w:p>
            <w:pPr>
              <w:spacing w:line="440" w:lineRule="exact"/>
              <w:rPr>
                <w:rFonts w:ascii="宋体" w:hAnsi="宋体"/>
                <w:color w:val="auto"/>
                <w:szCs w:val="21"/>
                <w:highlight w:val="none"/>
              </w:rPr>
            </w:pPr>
          </w:p>
        </w:tc>
        <w:tc>
          <w:tcPr>
            <w:tcW w:w="2296" w:type="dxa"/>
            <w:gridSpan w:val="2"/>
          </w:tcPr>
          <w:p>
            <w:pPr>
              <w:spacing w:line="44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4" w:type="dxa"/>
            <w:gridSpan w:val="2"/>
          </w:tcPr>
          <w:p>
            <w:pPr>
              <w:spacing w:line="440" w:lineRule="exact"/>
              <w:rPr>
                <w:rFonts w:ascii="宋体" w:hAnsi="宋体"/>
                <w:color w:val="auto"/>
                <w:szCs w:val="21"/>
                <w:highlight w:val="none"/>
              </w:rPr>
            </w:pPr>
          </w:p>
        </w:tc>
        <w:tc>
          <w:tcPr>
            <w:tcW w:w="3421" w:type="dxa"/>
            <w:gridSpan w:val="4"/>
          </w:tcPr>
          <w:p>
            <w:pPr>
              <w:spacing w:line="440" w:lineRule="exact"/>
              <w:rPr>
                <w:rFonts w:ascii="宋体" w:hAnsi="宋体"/>
                <w:color w:val="auto"/>
                <w:szCs w:val="21"/>
                <w:highlight w:val="none"/>
              </w:rPr>
            </w:pPr>
          </w:p>
        </w:tc>
        <w:tc>
          <w:tcPr>
            <w:tcW w:w="1261" w:type="dxa"/>
          </w:tcPr>
          <w:p>
            <w:pPr>
              <w:spacing w:line="440" w:lineRule="exact"/>
              <w:rPr>
                <w:rFonts w:ascii="宋体" w:hAnsi="宋体"/>
                <w:color w:val="auto"/>
                <w:szCs w:val="21"/>
                <w:highlight w:val="none"/>
              </w:rPr>
            </w:pPr>
          </w:p>
        </w:tc>
        <w:tc>
          <w:tcPr>
            <w:tcW w:w="2296" w:type="dxa"/>
            <w:gridSpan w:val="2"/>
          </w:tcPr>
          <w:p>
            <w:pPr>
              <w:spacing w:line="44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4" w:type="dxa"/>
            <w:gridSpan w:val="2"/>
          </w:tcPr>
          <w:p>
            <w:pPr>
              <w:spacing w:line="440" w:lineRule="exact"/>
              <w:rPr>
                <w:rFonts w:ascii="宋体" w:hAnsi="宋体"/>
                <w:color w:val="auto"/>
                <w:szCs w:val="21"/>
                <w:highlight w:val="none"/>
              </w:rPr>
            </w:pPr>
          </w:p>
        </w:tc>
        <w:tc>
          <w:tcPr>
            <w:tcW w:w="3421" w:type="dxa"/>
            <w:gridSpan w:val="4"/>
          </w:tcPr>
          <w:p>
            <w:pPr>
              <w:spacing w:line="440" w:lineRule="exact"/>
              <w:rPr>
                <w:rFonts w:ascii="宋体" w:hAnsi="宋体"/>
                <w:color w:val="auto"/>
                <w:szCs w:val="21"/>
                <w:highlight w:val="none"/>
              </w:rPr>
            </w:pPr>
          </w:p>
        </w:tc>
        <w:tc>
          <w:tcPr>
            <w:tcW w:w="1261" w:type="dxa"/>
          </w:tcPr>
          <w:p>
            <w:pPr>
              <w:spacing w:line="440" w:lineRule="exact"/>
              <w:rPr>
                <w:rFonts w:ascii="宋体" w:hAnsi="宋体"/>
                <w:color w:val="auto"/>
                <w:szCs w:val="21"/>
                <w:highlight w:val="none"/>
              </w:rPr>
            </w:pPr>
          </w:p>
        </w:tc>
        <w:tc>
          <w:tcPr>
            <w:tcW w:w="2296" w:type="dxa"/>
            <w:gridSpan w:val="2"/>
          </w:tcPr>
          <w:p>
            <w:pPr>
              <w:spacing w:line="44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4" w:type="dxa"/>
            <w:gridSpan w:val="2"/>
          </w:tcPr>
          <w:p>
            <w:pPr>
              <w:spacing w:line="440" w:lineRule="exact"/>
              <w:rPr>
                <w:rFonts w:ascii="宋体" w:hAnsi="宋体"/>
                <w:color w:val="auto"/>
                <w:szCs w:val="21"/>
                <w:highlight w:val="none"/>
              </w:rPr>
            </w:pPr>
          </w:p>
        </w:tc>
        <w:tc>
          <w:tcPr>
            <w:tcW w:w="3421" w:type="dxa"/>
            <w:gridSpan w:val="4"/>
          </w:tcPr>
          <w:p>
            <w:pPr>
              <w:spacing w:line="440" w:lineRule="exact"/>
              <w:rPr>
                <w:rFonts w:ascii="宋体" w:hAnsi="宋体"/>
                <w:color w:val="auto"/>
                <w:szCs w:val="21"/>
                <w:highlight w:val="none"/>
              </w:rPr>
            </w:pPr>
          </w:p>
        </w:tc>
        <w:tc>
          <w:tcPr>
            <w:tcW w:w="1261" w:type="dxa"/>
          </w:tcPr>
          <w:p>
            <w:pPr>
              <w:spacing w:line="440" w:lineRule="exact"/>
              <w:rPr>
                <w:rFonts w:ascii="宋体" w:hAnsi="宋体"/>
                <w:color w:val="auto"/>
                <w:szCs w:val="21"/>
                <w:highlight w:val="none"/>
              </w:rPr>
            </w:pPr>
          </w:p>
        </w:tc>
        <w:tc>
          <w:tcPr>
            <w:tcW w:w="2296" w:type="dxa"/>
            <w:gridSpan w:val="2"/>
          </w:tcPr>
          <w:p>
            <w:pPr>
              <w:spacing w:line="44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4" w:type="dxa"/>
            <w:gridSpan w:val="2"/>
          </w:tcPr>
          <w:p>
            <w:pPr>
              <w:spacing w:line="440" w:lineRule="exact"/>
              <w:rPr>
                <w:rFonts w:ascii="宋体" w:hAnsi="宋体"/>
                <w:color w:val="auto"/>
                <w:szCs w:val="21"/>
                <w:highlight w:val="none"/>
              </w:rPr>
            </w:pPr>
          </w:p>
        </w:tc>
        <w:tc>
          <w:tcPr>
            <w:tcW w:w="3421" w:type="dxa"/>
            <w:gridSpan w:val="4"/>
          </w:tcPr>
          <w:p>
            <w:pPr>
              <w:spacing w:line="440" w:lineRule="exact"/>
              <w:rPr>
                <w:rFonts w:ascii="宋体" w:hAnsi="宋体"/>
                <w:color w:val="auto"/>
                <w:szCs w:val="21"/>
                <w:highlight w:val="none"/>
              </w:rPr>
            </w:pPr>
          </w:p>
        </w:tc>
        <w:tc>
          <w:tcPr>
            <w:tcW w:w="1261" w:type="dxa"/>
          </w:tcPr>
          <w:p>
            <w:pPr>
              <w:spacing w:line="440" w:lineRule="exact"/>
              <w:rPr>
                <w:rFonts w:ascii="宋体" w:hAnsi="宋体"/>
                <w:color w:val="auto"/>
                <w:szCs w:val="21"/>
                <w:highlight w:val="none"/>
              </w:rPr>
            </w:pPr>
          </w:p>
        </w:tc>
        <w:tc>
          <w:tcPr>
            <w:tcW w:w="2296" w:type="dxa"/>
            <w:gridSpan w:val="2"/>
          </w:tcPr>
          <w:p>
            <w:pPr>
              <w:spacing w:line="44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4" w:type="dxa"/>
            <w:gridSpan w:val="2"/>
          </w:tcPr>
          <w:p>
            <w:pPr>
              <w:spacing w:line="440" w:lineRule="exact"/>
              <w:rPr>
                <w:rFonts w:ascii="宋体" w:hAnsi="宋体"/>
                <w:color w:val="auto"/>
                <w:szCs w:val="21"/>
                <w:highlight w:val="none"/>
              </w:rPr>
            </w:pPr>
          </w:p>
        </w:tc>
        <w:tc>
          <w:tcPr>
            <w:tcW w:w="3421" w:type="dxa"/>
            <w:gridSpan w:val="4"/>
          </w:tcPr>
          <w:p>
            <w:pPr>
              <w:spacing w:line="440" w:lineRule="exact"/>
              <w:rPr>
                <w:rFonts w:ascii="宋体" w:hAnsi="宋体"/>
                <w:color w:val="auto"/>
                <w:szCs w:val="21"/>
                <w:highlight w:val="none"/>
              </w:rPr>
            </w:pPr>
          </w:p>
        </w:tc>
        <w:tc>
          <w:tcPr>
            <w:tcW w:w="1261" w:type="dxa"/>
          </w:tcPr>
          <w:p>
            <w:pPr>
              <w:spacing w:line="440" w:lineRule="exact"/>
              <w:rPr>
                <w:rFonts w:ascii="宋体" w:hAnsi="宋体"/>
                <w:color w:val="auto"/>
                <w:szCs w:val="21"/>
                <w:highlight w:val="none"/>
              </w:rPr>
            </w:pPr>
          </w:p>
        </w:tc>
        <w:tc>
          <w:tcPr>
            <w:tcW w:w="2296" w:type="dxa"/>
            <w:gridSpan w:val="2"/>
          </w:tcPr>
          <w:p>
            <w:pPr>
              <w:spacing w:line="44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4" w:type="dxa"/>
            <w:gridSpan w:val="2"/>
          </w:tcPr>
          <w:p>
            <w:pPr>
              <w:spacing w:line="440" w:lineRule="exact"/>
              <w:rPr>
                <w:rFonts w:ascii="宋体" w:hAnsi="宋体"/>
                <w:color w:val="auto"/>
                <w:szCs w:val="21"/>
                <w:highlight w:val="none"/>
              </w:rPr>
            </w:pPr>
          </w:p>
        </w:tc>
        <w:tc>
          <w:tcPr>
            <w:tcW w:w="3421" w:type="dxa"/>
            <w:gridSpan w:val="4"/>
          </w:tcPr>
          <w:p>
            <w:pPr>
              <w:spacing w:line="440" w:lineRule="exact"/>
              <w:rPr>
                <w:rFonts w:ascii="宋体" w:hAnsi="宋体"/>
                <w:color w:val="auto"/>
                <w:szCs w:val="21"/>
                <w:highlight w:val="none"/>
              </w:rPr>
            </w:pPr>
          </w:p>
        </w:tc>
        <w:tc>
          <w:tcPr>
            <w:tcW w:w="1261" w:type="dxa"/>
          </w:tcPr>
          <w:p>
            <w:pPr>
              <w:spacing w:line="440" w:lineRule="exact"/>
              <w:rPr>
                <w:rFonts w:ascii="宋体" w:hAnsi="宋体"/>
                <w:color w:val="auto"/>
                <w:szCs w:val="21"/>
                <w:highlight w:val="none"/>
              </w:rPr>
            </w:pPr>
          </w:p>
        </w:tc>
        <w:tc>
          <w:tcPr>
            <w:tcW w:w="2296" w:type="dxa"/>
            <w:gridSpan w:val="2"/>
          </w:tcPr>
          <w:p>
            <w:pPr>
              <w:spacing w:line="44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4" w:type="dxa"/>
            <w:gridSpan w:val="2"/>
          </w:tcPr>
          <w:p>
            <w:pPr>
              <w:spacing w:line="440" w:lineRule="exact"/>
              <w:rPr>
                <w:rFonts w:ascii="宋体" w:hAnsi="宋体"/>
                <w:color w:val="auto"/>
                <w:szCs w:val="21"/>
                <w:highlight w:val="none"/>
              </w:rPr>
            </w:pPr>
          </w:p>
        </w:tc>
        <w:tc>
          <w:tcPr>
            <w:tcW w:w="3421" w:type="dxa"/>
            <w:gridSpan w:val="4"/>
          </w:tcPr>
          <w:p>
            <w:pPr>
              <w:spacing w:line="440" w:lineRule="exact"/>
              <w:rPr>
                <w:rFonts w:ascii="宋体" w:hAnsi="宋体"/>
                <w:color w:val="auto"/>
                <w:szCs w:val="21"/>
                <w:highlight w:val="none"/>
              </w:rPr>
            </w:pPr>
          </w:p>
        </w:tc>
        <w:tc>
          <w:tcPr>
            <w:tcW w:w="1261" w:type="dxa"/>
          </w:tcPr>
          <w:p>
            <w:pPr>
              <w:spacing w:line="440" w:lineRule="exact"/>
              <w:rPr>
                <w:rFonts w:ascii="宋体" w:hAnsi="宋体"/>
                <w:color w:val="auto"/>
                <w:szCs w:val="21"/>
                <w:highlight w:val="none"/>
              </w:rPr>
            </w:pPr>
          </w:p>
        </w:tc>
        <w:tc>
          <w:tcPr>
            <w:tcW w:w="2296" w:type="dxa"/>
            <w:gridSpan w:val="2"/>
          </w:tcPr>
          <w:p>
            <w:pPr>
              <w:spacing w:line="44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4" w:type="dxa"/>
            <w:gridSpan w:val="2"/>
          </w:tcPr>
          <w:p>
            <w:pPr>
              <w:spacing w:line="440" w:lineRule="exact"/>
              <w:rPr>
                <w:rFonts w:ascii="宋体" w:hAnsi="宋体"/>
                <w:color w:val="auto"/>
                <w:szCs w:val="21"/>
                <w:highlight w:val="none"/>
              </w:rPr>
            </w:pPr>
          </w:p>
        </w:tc>
        <w:tc>
          <w:tcPr>
            <w:tcW w:w="3421" w:type="dxa"/>
            <w:gridSpan w:val="4"/>
          </w:tcPr>
          <w:p>
            <w:pPr>
              <w:spacing w:line="440" w:lineRule="exact"/>
              <w:rPr>
                <w:rFonts w:ascii="宋体" w:hAnsi="宋体"/>
                <w:color w:val="auto"/>
                <w:szCs w:val="21"/>
                <w:highlight w:val="none"/>
              </w:rPr>
            </w:pPr>
          </w:p>
        </w:tc>
        <w:tc>
          <w:tcPr>
            <w:tcW w:w="1261" w:type="dxa"/>
          </w:tcPr>
          <w:p>
            <w:pPr>
              <w:spacing w:line="440" w:lineRule="exact"/>
              <w:rPr>
                <w:rFonts w:ascii="宋体" w:hAnsi="宋体"/>
                <w:color w:val="auto"/>
                <w:szCs w:val="21"/>
                <w:highlight w:val="none"/>
              </w:rPr>
            </w:pPr>
          </w:p>
        </w:tc>
        <w:tc>
          <w:tcPr>
            <w:tcW w:w="2296" w:type="dxa"/>
            <w:gridSpan w:val="2"/>
          </w:tcPr>
          <w:p>
            <w:pPr>
              <w:spacing w:line="440" w:lineRule="exact"/>
              <w:rPr>
                <w:rFonts w:ascii="宋体" w:hAnsi="宋体"/>
                <w:color w:val="auto"/>
                <w:szCs w:val="21"/>
                <w:highlight w:val="none"/>
              </w:rPr>
            </w:pPr>
          </w:p>
        </w:tc>
      </w:tr>
    </w:tbl>
    <w:p>
      <w:pPr>
        <w:spacing w:before="260" w:after="260" w:line="415" w:lineRule="auto"/>
        <w:jc w:val="left"/>
        <w:rPr>
          <w:rFonts w:ascii="宋体" w:hAnsi="宋体"/>
          <w:color w:val="auto"/>
          <w:szCs w:val="21"/>
          <w:highlight w:val="none"/>
        </w:rPr>
      </w:pPr>
      <w:r>
        <w:rPr>
          <w:rFonts w:hint="eastAsia" w:ascii="宋体" w:hAnsi="宋体"/>
          <w:color w:val="auto"/>
          <w:szCs w:val="21"/>
          <w:highlight w:val="none"/>
        </w:rPr>
        <w:t>应附相关证书复印件、</w:t>
      </w:r>
      <w:r>
        <w:rPr>
          <w:rFonts w:hint="eastAsia" w:ascii="宋体" w:hAnsi="宋体"/>
          <w:color w:val="auto"/>
          <w:highlight w:val="none"/>
        </w:rPr>
        <w:t>社保证明材料复印件</w:t>
      </w:r>
      <w:r>
        <w:rPr>
          <w:rFonts w:hint="eastAsia" w:ascii="宋体" w:hAnsi="宋体"/>
          <w:color w:val="auto"/>
          <w:szCs w:val="21"/>
          <w:highlight w:val="none"/>
        </w:rPr>
        <w:t>。</w:t>
      </w:r>
    </w:p>
    <w:p>
      <w:pPr>
        <w:spacing w:before="260" w:after="260" w:line="415" w:lineRule="auto"/>
        <w:jc w:val="left"/>
        <w:rPr>
          <w:rFonts w:ascii="宋体" w:hAnsi="宋体"/>
          <w:color w:val="auto"/>
          <w:szCs w:val="21"/>
          <w:highlight w:val="none"/>
        </w:rPr>
      </w:pPr>
    </w:p>
    <w:p>
      <w:pPr>
        <w:spacing w:line="400" w:lineRule="exact"/>
        <w:jc w:val="left"/>
        <w:outlineLvl w:val="3"/>
        <w:rPr>
          <w:rFonts w:ascii="宋体" w:hAnsi="宋体"/>
          <w:b/>
          <w:color w:val="auto"/>
          <w:sz w:val="24"/>
          <w:szCs w:val="31"/>
          <w:highlight w:val="none"/>
        </w:rPr>
      </w:pPr>
      <w:r>
        <w:rPr>
          <w:rFonts w:hint="eastAsia" w:ascii="宋体" w:hAnsi="宋体"/>
          <w:b/>
          <w:color w:val="auto"/>
          <w:sz w:val="24"/>
          <w:szCs w:val="31"/>
          <w:highlight w:val="none"/>
        </w:rPr>
        <w:t>（四）专职安全员简历表</w:t>
      </w:r>
    </w:p>
    <w:p>
      <w:pPr>
        <w:spacing w:before="260" w:after="260" w:line="415" w:lineRule="auto"/>
        <w:jc w:val="center"/>
        <w:rPr>
          <w:rFonts w:ascii="宋体" w:hAnsi="宋体"/>
          <w:b/>
          <w:color w:val="auto"/>
          <w:sz w:val="32"/>
          <w:szCs w:val="32"/>
          <w:highlight w:val="none"/>
        </w:rPr>
      </w:pPr>
      <w:r>
        <w:rPr>
          <w:rFonts w:hint="eastAsia" w:ascii="宋体" w:hAnsi="宋体"/>
          <w:b/>
          <w:color w:val="auto"/>
          <w:sz w:val="32"/>
          <w:szCs w:val="32"/>
          <w:highlight w:val="none"/>
        </w:rPr>
        <w:t>专职安全员简历表</w:t>
      </w:r>
    </w:p>
    <w:tbl>
      <w:tblPr>
        <w:tblStyle w:val="4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27"/>
        <w:gridCol w:w="1916"/>
        <w:gridCol w:w="1328"/>
        <w:gridCol w:w="1311"/>
        <w:gridCol w:w="1263"/>
        <w:gridCol w:w="137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27" w:type="dxa"/>
            <w:vAlign w:val="center"/>
          </w:tcPr>
          <w:p>
            <w:pPr>
              <w:pStyle w:val="127"/>
              <w:adjustRightInd w:val="0"/>
              <w:snapToGrid w:val="0"/>
              <w:spacing w:before="0" w:after="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姓名</w:t>
            </w:r>
          </w:p>
        </w:tc>
        <w:tc>
          <w:tcPr>
            <w:tcW w:w="1916" w:type="dxa"/>
            <w:vAlign w:val="center"/>
          </w:tcPr>
          <w:p>
            <w:pPr>
              <w:pStyle w:val="127"/>
              <w:adjustRightInd w:val="0"/>
              <w:snapToGrid w:val="0"/>
              <w:spacing w:before="0" w:after="0"/>
              <w:jc w:val="center"/>
              <w:rPr>
                <w:rFonts w:ascii="宋体" w:hAnsi="宋体" w:eastAsia="宋体"/>
                <w:color w:val="auto"/>
                <w:sz w:val="21"/>
                <w:szCs w:val="21"/>
                <w:highlight w:val="none"/>
              </w:rPr>
            </w:pPr>
          </w:p>
        </w:tc>
        <w:tc>
          <w:tcPr>
            <w:tcW w:w="1328" w:type="dxa"/>
            <w:vAlign w:val="center"/>
          </w:tcPr>
          <w:p>
            <w:pPr>
              <w:pStyle w:val="127"/>
              <w:adjustRightInd w:val="0"/>
              <w:snapToGrid w:val="0"/>
              <w:spacing w:before="0" w:after="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年龄</w:t>
            </w:r>
          </w:p>
        </w:tc>
        <w:tc>
          <w:tcPr>
            <w:tcW w:w="1311" w:type="dxa"/>
            <w:vAlign w:val="center"/>
          </w:tcPr>
          <w:p>
            <w:pPr>
              <w:pStyle w:val="127"/>
              <w:adjustRightInd w:val="0"/>
              <w:snapToGrid w:val="0"/>
              <w:spacing w:before="0" w:after="0"/>
              <w:jc w:val="center"/>
              <w:rPr>
                <w:rFonts w:ascii="宋体" w:hAnsi="宋体" w:eastAsia="宋体"/>
                <w:color w:val="auto"/>
                <w:sz w:val="21"/>
                <w:szCs w:val="21"/>
                <w:highlight w:val="none"/>
              </w:rPr>
            </w:pPr>
          </w:p>
        </w:tc>
        <w:tc>
          <w:tcPr>
            <w:tcW w:w="1263" w:type="dxa"/>
            <w:vAlign w:val="center"/>
          </w:tcPr>
          <w:p>
            <w:pPr>
              <w:pStyle w:val="127"/>
              <w:adjustRightInd w:val="0"/>
              <w:snapToGrid w:val="0"/>
              <w:spacing w:before="0" w:after="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职称</w:t>
            </w:r>
          </w:p>
        </w:tc>
        <w:tc>
          <w:tcPr>
            <w:tcW w:w="1377" w:type="dxa"/>
            <w:vAlign w:val="center"/>
          </w:tcPr>
          <w:p>
            <w:pPr>
              <w:pStyle w:val="127"/>
              <w:adjustRightInd w:val="0"/>
              <w:snapToGrid w:val="0"/>
              <w:spacing w:before="0" w:after="0"/>
              <w:jc w:val="center"/>
              <w:rPr>
                <w:rFonts w:ascii="宋体" w:hAnsi="宋体" w:eastAsia="宋体"/>
                <w:color w:val="auto"/>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327" w:type="dxa"/>
            <w:vAlign w:val="center"/>
          </w:tcPr>
          <w:p>
            <w:pPr>
              <w:pStyle w:val="127"/>
              <w:adjustRightInd w:val="0"/>
              <w:snapToGrid w:val="0"/>
              <w:spacing w:before="0" w:after="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从事本工作时间</w:t>
            </w:r>
          </w:p>
        </w:tc>
        <w:tc>
          <w:tcPr>
            <w:tcW w:w="1916" w:type="dxa"/>
            <w:vAlign w:val="center"/>
          </w:tcPr>
          <w:p>
            <w:pPr>
              <w:pStyle w:val="127"/>
              <w:adjustRightInd w:val="0"/>
              <w:snapToGrid w:val="0"/>
              <w:spacing w:before="0" w:after="0"/>
              <w:jc w:val="center"/>
              <w:rPr>
                <w:rFonts w:ascii="宋体" w:hAnsi="宋体" w:eastAsia="宋体"/>
                <w:color w:val="auto"/>
                <w:sz w:val="21"/>
                <w:szCs w:val="21"/>
                <w:highlight w:val="none"/>
              </w:rPr>
            </w:pPr>
          </w:p>
        </w:tc>
        <w:tc>
          <w:tcPr>
            <w:tcW w:w="1328" w:type="dxa"/>
            <w:vAlign w:val="center"/>
          </w:tcPr>
          <w:p>
            <w:pPr>
              <w:pStyle w:val="127"/>
              <w:adjustRightInd w:val="0"/>
              <w:snapToGrid w:val="0"/>
              <w:spacing w:before="0" w:after="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学历</w:t>
            </w:r>
          </w:p>
        </w:tc>
        <w:tc>
          <w:tcPr>
            <w:tcW w:w="1311" w:type="dxa"/>
            <w:vAlign w:val="center"/>
          </w:tcPr>
          <w:p>
            <w:pPr>
              <w:pStyle w:val="127"/>
              <w:adjustRightInd w:val="0"/>
              <w:snapToGrid w:val="0"/>
              <w:spacing w:before="0" w:after="0"/>
              <w:jc w:val="center"/>
              <w:rPr>
                <w:rFonts w:ascii="宋体" w:hAnsi="宋体" w:eastAsia="宋体"/>
                <w:color w:val="auto"/>
                <w:sz w:val="21"/>
                <w:szCs w:val="21"/>
                <w:highlight w:val="none"/>
              </w:rPr>
            </w:pPr>
          </w:p>
        </w:tc>
        <w:tc>
          <w:tcPr>
            <w:tcW w:w="1263" w:type="dxa"/>
            <w:vAlign w:val="center"/>
          </w:tcPr>
          <w:p>
            <w:pPr>
              <w:pStyle w:val="127"/>
              <w:adjustRightInd w:val="0"/>
              <w:snapToGrid w:val="0"/>
              <w:spacing w:before="0" w:after="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专业</w:t>
            </w:r>
          </w:p>
        </w:tc>
        <w:tc>
          <w:tcPr>
            <w:tcW w:w="1377" w:type="dxa"/>
            <w:vAlign w:val="center"/>
          </w:tcPr>
          <w:p>
            <w:pPr>
              <w:pStyle w:val="127"/>
              <w:adjustRightInd w:val="0"/>
              <w:snapToGrid w:val="0"/>
              <w:spacing w:before="0" w:after="0"/>
              <w:jc w:val="center"/>
              <w:rPr>
                <w:rFonts w:ascii="宋体" w:hAnsi="宋体" w:eastAsia="宋体"/>
                <w:color w:val="auto"/>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327" w:type="dxa"/>
            <w:vAlign w:val="center"/>
          </w:tcPr>
          <w:p>
            <w:pPr>
              <w:pStyle w:val="127"/>
              <w:adjustRightInd w:val="0"/>
              <w:snapToGrid w:val="0"/>
              <w:spacing w:before="0" w:after="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毕业院校</w:t>
            </w:r>
          </w:p>
        </w:tc>
        <w:tc>
          <w:tcPr>
            <w:tcW w:w="4555" w:type="dxa"/>
            <w:gridSpan w:val="3"/>
            <w:vAlign w:val="center"/>
          </w:tcPr>
          <w:p>
            <w:pPr>
              <w:pStyle w:val="127"/>
              <w:adjustRightInd w:val="0"/>
              <w:snapToGrid w:val="0"/>
              <w:spacing w:before="0" w:after="0"/>
              <w:jc w:val="center"/>
              <w:rPr>
                <w:rFonts w:ascii="宋体" w:hAnsi="宋体" w:eastAsia="宋体"/>
                <w:color w:val="auto"/>
                <w:sz w:val="21"/>
                <w:szCs w:val="21"/>
                <w:highlight w:val="none"/>
              </w:rPr>
            </w:pPr>
          </w:p>
        </w:tc>
        <w:tc>
          <w:tcPr>
            <w:tcW w:w="1263" w:type="dxa"/>
            <w:vAlign w:val="center"/>
          </w:tcPr>
          <w:p>
            <w:pPr>
              <w:pStyle w:val="127"/>
              <w:adjustRightInd w:val="0"/>
              <w:snapToGrid w:val="0"/>
              <w:spacing w:before="0" w:after="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毕业时间</w:t>
            </w:r>
          </w:p>
        </w:tc>
        <w:tc>
          <w:tcPr>
            <w:tcW w:w="1377" w:type="dxa"/>
            <w:vAlign w:val="center"/>
          </w:tcPr>
          <w:p>
            <w:pPr>
              <w:pStyle w:val="127"/>
              <w:adjustRightInd w:val="0"/>
              <w:snapToGrid w:val="0"/>
              <w:spacing w:before="0" w:after="0"/>
              <w:jc w:val="center"/>
              <w:rPr>
                <w:rFonts w:ascii="宋体" w:hAnsi="宋体" w:eastAsia="宋体"/>
                <w:color w:val="auto"/>
                <w:sz w:val="21"/>
                <w:szCs w:val="21"/>
                <w:highlight w:val="none"/>
              </w:rPr>
            </w:pPr>
          </w:p>
        </w:tc>
      </w:tr>
    </w:tbl>
    <w:p>
      <w:pPr>
        <w:spacing w:line="400" w:lineRule="exact"/>
        <w:jc w:val="center"/>
        <w:rPr>
          <w:rFonts w:ascii="宋体" w:hAnsi="宋体"/>
          <w:b/>
          <w:color w:val="auto"/>
          <w:sz w:val="24"/>
          <w:szCs w:val="31"/>
          <w:highlight w:val="none"/>
        </w:rPr>
      </w:pPr>
      <w:r>
        <w:rPr>
          <w:rFonts w:hint="eastAsia" w:ascii="宋体" w:hAnsi="宋体"/>
          <w:color w:val="auto"/>
          <w:highlight w:val="none"/>
        </w:rPr>
        <w:t>注：应附安全生产考核合格证（C证）复印件、社保证明材料复印件。</w:t>
      </w:r>
      <w:r>
        <w:rPr>
          <w:rFonts w:ascii="宋体" w:hAnsi="宋体"/>
          <w:b/>
          <w:color w:val="auto"/>
          <w:sz w:val="24"/>
          <w:szCs w:val="31"/>
          <w:highlight w:val="none"/>
        </w:rPr>
        <w:br w:type="page"/>
      </w:r>
    </w:p>
    <w:p>
      <w:pPr>
        <w:spacing w:line="360" w:lineRule="auto"/>
        <w:jc w:val="center"/>
        <w:outlineLvl w:val="2"/>
        <w:rPr>
          <w:rFonts w:ascii="宋体" w:hAnsi="宋体"/>
          <w:color w:val="auto"/>
          <w:sz w:val="28"/>
          <w:szCs w:val="27"/>
          <w:highlight w:val="none"/>
        </w:rPr>
      </w:pPr>
      <w:r>
        <w:rPr>
          <w:rFonts w:hint="eastAsia" w:ascii="宋体" w:hAnsi="宋体"/>
          <w:color w:val="auto"/>
          <w:sz w:val="28"/>
          <w:szCs w:val="27"/>
          <w:highlight w:val="none"/>
        </w:rPr>
        <w:t>九、投标人须知前附表规定的其他材料</w:t>
      </w:r>
    </w:p>
    <w:p>
      <w:pPr>
        <w:pStyle w:val="5"/>
        <w:numPr>
          <w:ilvl w:val="0"/>
          <w:numId w:val="0"/>
        </w:numPr>
        <w:rPr>
          <w:rFonts w:ascii="宋体" w:hAnsi="宋体"/>
          <w:color w:val="auto"/>
          <w:sz w:val="27"/>
          <w:szCs w:val="27"/>
          <w:highlight w:val="none"/>
        </w:rPr>
      </w:pPr>
      <w:r>
        <w:rPr>
          <w:rFonts w:hint="eastAsia" w:ascii="宋体" w:hAnsi="宋体"/>
          <w:color w:val="auto"/>
          <w:sz w:val="27"/>
          <w:szCs w:val="27"/>
          <w:highlight w:val="none"/>
        </w:rPr>
        <w:t>1、</w:t>
      </w:r>
      <w:r>
        <w:rPr>
          <w:rFonts w:ascii="宋体" w:hAnsi="宋体"/>
          <w:color w:val="auto"/>
          <w:sz w:val="27"/>
          <w:szCs w:val="27"/>
          <w:highlight w:val="none"/>
        </w:rPr>
        <w:t>评标要素索引表</w:t>
      </w:r>
    </w:p>
    <w:p>
      <w:pPr>
        <w:adjustRightInd w:val="0"/>
        <w:snapToGrid w:val="0"/>
        <w:spacing w:after="156" w:afterLines="50" w:line="400" w:lineRule="exact"/>
        <w:jc w:val="center"/>
        <w:rPr>
          <w:rFonts w:ascii="宋体" w:hAnsi="宋体"/>
          <w:b/>
          <w:color w:val="auto"/>
          <w:szCs w:val="21"/>
          <w:highlight w:val="none"/>
        </w:rPr>
      </w:pPr>
      <w:r>
        <w:rPr>
          <w:rFonts w:ascii="宋体" w:hAnsi="宋体"/>
          <w:b/>
          <w:color w:val="auto"/>
          <w:szCs w:val="21"/>
          <w:highlight w:val="none"/>
        </w:rPr>
        <w:t>评标要素索引表</w:t>
      </w:r>
    </w:p>
    <w:tbl>
      <w:tblPr>
        <w:tblStyle w:val="40"/>
        <w:tblW w:w="8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5533"/>
        <w:gridCol w:w="2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2" w:hRule="atLeast"/>
          <w:jc w:val="center"/>
        </w:trPr>
        <w:tc>
          <w:tcPr>
            <w:tcW w:w="808" w:type="dxa"/>
            <w:vAlign w:val="center"/>
          </w:tcPr>
          <w:p>
            <w:pPr>
              <w:adjustRightInd w:val="0"/>
              <w:snapToGrid w:val="0"/>
              <w:spacing w:line="400" w:lineRule="exact"/>
              <w:jc w:val="center"/>
              <w:rPr>
                <w:rFonts w:ascii="宋体" w:hAnsi="宋体"/>
                <w:b/>
                <w:color w:val="auto"/>
                <w:szCs w:val="21"/>
                <w:highlight w:val="none"/>
              </w:rPr>
            </w:pPr>
            <w:r>
              <w:rPr>
                <w:rFonts w:ascii="宋体" w:hAnsi="宋体"/>
                <w:b/>
                <w:color w:val="auto"/>
                <w:szCs w:val="21"/>
                <w:highlight w:val="none"/>
              </w:rPr>
              <w:t>序号</w:t>
            </w:r>
          </w:p>
        </w:tc>
        <w:tc>
          <w:tcPr>
            <w:tcW w:w="5533" w:type="dxa"/>
            <w:vAlign w:val="center"/>
          </w:tcPr>
          <w:p>
            <w:pPr>
              <w:adjustRightInd w:val="0"/>
              <w:snapToGrid w:val="0"/>
              <w:spacing w:line="400" w:lineRule="exact"/>
              <w:jc w:val="center"/>
              <w:rPr>
                <w:rFonts w:ascii="宋体" w:hAnsi="宋体"/>
                <w:b/>
                <w:color w:val="auto"/>
                <w:szCs w:val="21"/>
                <w:highlight w:val="none"/>
              </w:rPr>
            </w:pPr>
            <w:r>
              <w:rPr>
                <w:rFonts w:ascii="宋体" w:hAnsi="宋体"/>
                <w:b/>
                <w:color w:val="auto"/>
                <w:szCs w:val="21"/>
                <w:highlight w:val="none"/>
              </w:rPr>
              <w:t>评审内容</w:t>
            </w:r>
          </w:p>
        </w:tc>
        <w:tc>
          <w:tcPr>
            <w:tcW w:w="2098" w:type="dxa"/>
            <w:vAlign w:val="center"/>
          </w:tcPr>
          <w:p>
            <w:pPr>
              <w:adjustRightInd w:val="0"/>
              <w:snapToGrid w:val="0"/>
              <w:spacing w:line="400" w:lineRule="exact"/>
              <w:jc w:val="center"/>
              <w:rPr>
                <w:rFonts w:ascii="宋体" w:hAnsi="宋体"/>
                <w:b/>
                <w:color w:val="auto"/>
                <w:szCs w:val="21"/>
                <w:highlight w:val="none"/>
              </w:rPr>
            </w:pPr>
            <w:r>
              <w:rPr>
                <w:rFonts w:ascii="宋体" w:hAnsi="宋体"/>
                <w:b/>
                <w:color w:val="auto"/>
                <w:szCs w:val="21"/>
                <w:highlight w:val="none"/>
              </w:rPr>
              <w:t>投标文件页码范围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808" w:type="dxa"/>
            <w:vAlign w:val="center"/>
          </w:tcPr>
          <w:p>
            <w:pPr>
              <w:adjustRightInd w:val="0"/>
              <w:snapToGrid w:val="0"/>
              <w:spacing w:line="400" w:lineRule="exact"/>
              <w:jc w:val="center"/>
              <w:rPr>
                <w:rFonts w:ascii="宋体" w:hAnsi="宋体"/>
                <w:color w:val="auto"/>
                <w:highlight w:val="none"/>
              </w:rPr>
            </w:pPr>
            <w:r>
              <w:rPr>
                <w:rFonts w:hint="eastAsia" w:ascii="宋体" w:hAnsi="宋体"/>
                <w:color w:val="auto"/>
                <w:highlight w:val="none"/>
              </w:rPr>
              <w:t>一</w:t>
            </w:r>
          </w:p>
        </w:tc>
        <w:tc>
          <w:tcPr>
            <w:tcW w:w="7631" w:type="dxa"/>
            <w:gridSpan w:val="2"/>
            <w:vAlign w:val="center"/>
          </w:tcPr>
          <w:p>
            <w:pPr>
              <w:adjustRightInd w:val="0"/>
              <w:snapToGrid w:val="0"/>
              <w:spacing w:line="400" w:lineRule="exact"/>
              <w:rPr>
                <w:rFonts w:ascii="宋体" w:hAnsi="宋体"/>
                <w:bCs/>
                <w:color w:val="auto"/>
                <w:szCs w:val="21"/>
                <w:highlight w:val="none"/>
              </w:rPr>
            </w:pPr>
            <w:r>
              <w:rPr>
                <w:rFonts w:hint="eastAsia" w:ascii="宋体" w:hAnsi="宋体"/>
                <w:bCs/>
                <w:color w:val="auto"/>
                <w:szCs w:val="21"/>
                <w:highlight w:val="none"/>
              </w:rPr>
              <w:t>技术部分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808" w:type="dxa"/>
            <w:vAlign w:val="center"/>
          </w:tcPr>
          <w:p>
            <w:pPr>
              <w:numPr>
                <w:ilvl w:val="1"/>
                <w:numId w:val="23"/>
              </w:numPr>
              <w:adjustRightInd w:val="0"/>
              <w:snapToGrid w:val="0"/>
              <w:spacing w:line="400" w:lineRule="exact"/>
              <w:rPr>
                <w:rFonts w:ascii="宋体" w:hAnsi="宋体"/>
                <w:color w:val="auto"/>
                <w:highlight w:val="none"/>
              </w:rPr>
            </w:pPr>
          </w:p>
        </w:tc>
        <w:tc>
          <w:tcPr>
            <w:tcW w:w="5533" w:type="dxa"/>
            <w:vAlign w:val="center"/>
          </w:tcPr>
          <w:p>
            <w:pPr>
              <w:jc w:val="center"/>
              <w:rPr>
                <w:rFonts w:ascii="宋体" w:hAnsi="宋体"/>
                <w:color w:val="auto"/>
                <w:szCs w:val="21"/>
                <w:highlight w:val="none"/>
              </w:rPr>
            </w:pPr>
            <w:r>
              <w:rPr>
                <w:rFonts w:hint="eastAsia" w:ascii="宋体" w:hAnsi="宋体"/>
                <w:color w:val="auto"/>
                <w:szCs w:val="21"/>
                <w:highlight w:val="none"/>
              </w:rPr>
              <w:t>施工组织设计内容完整性和编制水平</w:t>
            </w:r>
          </w:p>
        </w:tc>
        <w:tc>
          <w:tcPr>
            <w:tcW w:w="2098" w:type="dxa"/>
            <w:vAlign w:val="center"/>
          </w:tcPr>
          <w:p>
            <w:pPr>
              <w:adjustRightInd w:val="0"/>
              <w:snapToGrid w:val="0"/>
              <w:spacing w:line="400" w:lineRule="exact"/>
              <w:jc w:val="center"/>
              <w:rPr>
                <w:rFonts w:ascii="宋体" w:hAnsi="宋体"/>
                <w:bCs/>
                <w:color w:val="auto"/>
                <w:szCs w:val="21"/>
                <w:highlight w:val="none"/>
              </w:rPr>
            </w:pPr>
            <w:r>
              <w:rPr>
                <w:rFonts w:ascii="宋体" w:hAnsi="宋体"/>
                <w:bCs/>
                <w:color w:val="auto"/>
                <w:szCs w:val="21"/>
                <w:highlight w:val="none"/>
              </w:rPr>
              <w:t>P  - 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808" w:type="dxa"/>
            <w:vAlign w:val="center"/>
          </w:tcPr>
          <w:p>
            <w:pPr>
              <w:numPr>
                <w:ilvl w:val="1"/>
                <w:numId w:val="23"/>
              </w:numPr>
              <w:adjustRightInd w:val="0"/>
              <w:snapToGrid w:val="0"/>
              <w:spacing w:line="400" w:lineRule="exact"/>
              <w:rPr>
                <w:rFonts w:ascii="宋体" w:hAnsi="宋体"/>
                <w:color w:val="auto"/>
                <w:highlight w:val="none"/>
              </w:rPr>
            </w:pPr>
          </w:p>
        </w:tc>
        <w:tc>
          <w:tcPr>
            <w:tcW w:w="5533" w:type="dxa"/>
            <w:vAlign w:val="center"/>
          </w:tcPr>
          <w:p>
            <w:pPr>
              <w:jc w:val="center"/>
              <w:rPr>
                <w:rFonts w:ascii="宋体" w:hAnsi="宋体"/>
                <w:color w:val="auto"/>
                <w:szCs w:val="21"/>
                <w:highlight w:val="none"/>
              </w:rPr>
            </w:pPr>
            <w:r>
              <w:rPr>
                <w:rFonts w:hint="eastAsia" w:ascii="宋体" w:hAnsi="宋体"/>
                <w:color w:val="auto"/>
                <w:szCs w:val="21"/>
                <w:highlight w:val="none"/>
              </w:rPr>
              <w:t>施工方案与技术措施的合理性、科学性与可行性</w:t>
            </w:r>
          </w:p>
        </w:tc>
        <w:tc>
          <w:tcPr>
            <w:tcW w:w="2098" w:type="dxa"/>
          </w:tcPr>
          <w:p>
            <w:pPr>
              <w:adjustRightInd w:val="0"/>
              <w:snapToGrid w:val="0"/>
              <w:spacing w:line="400" w:lineRule="exact"/>
              <w:jc w:val="center"/>
              <w:rPr>
                <w:rFonts w:ascii="宋体" w:hAnsi="宋体"/>
                <w:bCs/>
                <w:color w:val="auto"/>
                <w:szCs w:val="21"/>
                <w:highlight w:val="none"/>
              </w:rPr>
            </w:pPr>
            <w:r>
              <w:rPr>
                <w:rFonts w:ascii="宋体" w:hAnsi="宋体"/>
                <w:bCs/>
                <w:color w:val="auto"/>
                <w:szCs w:val="21"/>
                <w:highlight w:val="none"/>
              </w:rPr>
              <w:t>P  - 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808" w:type="dxa"/>
            <w:vAlign w:val="center"/>
          </w:tcPr>
          <w:p>
            <w:pPr>
              <w:numPr>
                <w:ilvl w:val="1"/>
                <w:numId w:val="23"/>
              </w:numPr>
              <w:adjustRightInd w:val="0"/>
              <w:snapToGrid w:val="0"/>
              <w:spacing w:line="400" w:lineRule="exact"/>
              <w:rPr>
                <w:rFonts w:ascii="宋体" w:hAnsi="宋体"/>
                <w:color w:val="auto"/>
                <w:highlight w:val="none"/>
              </w:rPr>
            </w:pPr>
          </w:p>
        </w:tc>
        <w:tc>
          <w:tcPr>
            <w:tcW w:w="5533" w:type="dxa"/>
            <w:vAlign w:val="center"/>
          </w:tcPr>
          <w:p>
            <w:pPr>
              <w:jc w:val="center"/>
              <w:rPr>
                <w:rFonts w:ascii="宋体" w:hAnsi="宋体"/>
                <w:color w:val="auto"/>
                <w:szCs w:val="21"/>
                <w:highlight w:val="none"/>
              </w:rPr>
            </w:pPr>
            <w:r>
              <w:rPr>
                <w:rFonts w:hint="eastAsia" w:ascii="宋体" w:hAnsi="宋体"/>
                <w:color w:val="auto"/>
                <w:szCs w:val="21"/>
                <w:highlight w:val="none"/>
              </w:rPr>
              <w:t>质量管理体系与措施</w:t>
            </w:r>
          </w:p>
        </w:tc>
        <w:tc>
          <w:tcPr>
            <w:tcW w:w="2098" w:type="dxa"/>
          </w:tcPr>
          <w:p>
            <w:pPr>
              <w:adjustRightInd w:val="0"/>
              <w:snapToGrid w:val="0"/>
              <w:spacing w:line="400" w:lineRule="exact"/>
              <w:jc w:val="center"/>
              <w:rPr>
                <w:rFonts w:ascii="宋体" w:hAnsi="宋体"/>
                <w:bCs/>
                <w:color w:val="auto"/>
                <w:szCs w:val="21"/>
                <w:highlight w:val="none"/>
              </w:rPr>
            </w:pPr>
            <w:r>
              <w:rPr>
                <w:rFonts w:ascii="宋体" w:hAnsi="宋体"/>
                <w:bCs/>
                <w:color w:val="auto"/>
                <w:szCs w:val="21"/>
                <w:highlight w:val="none"/>
              </w:rPr>
              <w:t>P  - 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808" w:type="dxa"/>
            <w:vAlign w:val="center"/>
          </w:tcPr>
          <w:p>
            <w:pPr>
              <w:numPr>
                <w:ilvl w:val="1"/>
                <w:numId w:val="23"/>
              </w:numPr>
              <w:adjustRightInd w:val="0"/>
              <w:snapToGrid w:val="0"/>
              <w:spacing w:line="400" w:lineRule="exact"/>
              <w:rPr>
                <w:rFonts w:ascii="宋体" w:hAnsi="宋体"/>
                <w:color w:val="auto"/>
                <w:highlight w:val="none"/>
              </w:rPr>
            </w:pPr>
          </w:p>
        </w:tc>
        <w:tc>
          <w:tcPr>
            <w:tcW w:w="5533" w:type="dxa"/>
            <w:vAlign w:val="center"/>
          </w:tcPr>
          <w:p>
            <w:pPr>
              <w:jc w:val="center"/>
              <w:rPr>
                <w:rFonts w:ascii="宋体" w:hAnsi="宋体"/>
                <w:color w:val="auto"/>
                <w:szCs w:val="21"/>
                <w:highlight w:val="none"/>
              </w:rPr>
            </w:pPr>
            <w:r>
              <w:rPr>
                <w:rFonts w:hint="eastAsia" w:ascii="宋体" w:hAnsi="宋体"/>
                <w:color w:val="auto"/>
                <w:szCs w:val="21"/>
                <w:highlight w:val="none"/>
              </w:rPr>
              <w:t>安全管理体系与措施</w:t>
            </w:r>
          </w:p>
        </w:tc>
        <w:tc>
          <w:tcPr>
            <w:tcW w:w="2098" w:type="dxa"/>
          </w:tcPr>
          <w:p>
            <w:pPr>
              <w:adjustRightInd w:val="0"/>
              <w:snapToGrid w:val="0"/>
              <w:spacing w:line="400" w:lineRule="exact"/>
              <w:jc w:val="center"/>
              <w:rPr>
                <w:rFonts w:ascii="宋体" w:hAnsi="宋体"/>
                <w:bCs/>
                <w:color w:val="auto"/>
                <w:szCs w:val="21"/>
                <w:highlight w:val="none"/>
              </w:rPr>
            </w:pPr>
            <w:r>
              <w:rPr>
                <w:rFonts w:ascii="宋体" w:hAnsi="宋体"/>
                <w:bCs/>
                <w:color w:val="auto"/>
                <w:szCs w:val="21"/>
                <w:highlight w:val="none"/>
              </w:rPr>
              <w:t>P  - 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808" w:type="dxa"/>
            <w:vAlign w:val="center"/>
          </w:tcPr>
          <w:p>
            <w:pPr>
              <w:numPr>
                <w:ilvl w:val="1"/>
                <w:numId w:val="23"/>
              </w:numPr>
              <w:adjustRightInd w:val="0"/>
              <w:snapToGrid w:val="0"/>
              <w:spacing w:line="400" w:lineRule="exact"/>
              <w:rPr>
                <w:rFonts w:ascii="宋体" w:hAnsi="宋体"/>
                <w:color w:val="auto"/>
                <w:highlight w:val="none"/>
              </w:rPr>
            </w:pPr>
          </w:p>
        </w:tc>
        <w:tc>
          <w:tcPr>
            <w:tcW w:w="5533" w:type="dxa"/>
            <w:vAlign w:val="center"/>
          </w:tcPr>
          <w:p>
            <w:pPr>
              <w:jc w:val="center"/>
              <w:rPr>
                <w:rFonts w:ascii="宋体" w:hAnsi="宋体"/>
                <w:color w:val="auto"/>
                <w:szCs w:val="21"/>
                <w:highlight w:val="none"/>
              </w:rPr>
            </w:pPr>
            <w:r>
              <w:rPr>
                <w:rFonts w:hint="eastAsia" w:ascii="宋体" w:hAnsi="宋体"/>
                <w:color w:val="auto"/>
                <w:szCs w:val="21"/>
                <w:highlight w:val="none"/>
              </w:rPr>
              <w:t>环境保护管理体系与措施</w:t>
            </w:r>
          </w:p>
        </w:tc>
        <w:tc>
          <w:tcPr>
            <w:tcW w:w="2098" w:type="dxa"/>
          </w:tcPr>
          <w:p>
            <w:pPr>
              <w:adjustRightInd w:val="0"/>
              <w:snapToGrid w:val="0"/>
              <w:spacing w:line="400" w:lineRule="exact"/>
              <w:jc w:val="center"/>
              <w:rPr>
                <w:rFonts w:ascii="宋体" w:hAnsi="宋体"/>
                <w:bCs/>
                <w:color w:val="auto"/>
                <w:szCs w:val="21"/>
                <w:highlight w:val="none"/>
              </w:rPr>
            </w:pPr>
            <w:r>
              <w:rPr>
                <w:rFonts w:ascii="宋体" w:hAnsi="宋体"/>
                <w:bCs/>
                <w:color w:val="auto"/>
                <w:szCs w:val="21"/>
                <w:highlight w:val="none"/>
              </w:rPr>
              <w:t>P  - 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808" w:type="dxa"/>
            <w:vAlign w:val="center"/>
          </w:tcPr>
          <w:p>
            <w:pPr>
              <w:numPr>
                <w:ilvl w:val="1"/>
                <w:numId w:val="23"/>
              </w:numPr>
              <w:adjustRightInd w:val="0"/>
              <w:snapToGrid w:val="0"/>
              <w:spacing w:line="400" w:lineRule="exact"/>
              <w:rPr>
                <w:rFonts w:ascii="宋体" w:hAnsi="宋体"/>
                <w:color w:val="auto"/>
                <w:highlight w:val="none"/>
              </w:rPr>
            </w:pPr>
          </w:p>
        </w:tc>
        <w:tc>
          <w:tcPr>
            <w:tcW w:w="5533" w:type="dxa"/>
            <w:vAlign w:val="center"/>
          </w:tcPr>
          <w:p>
            <w:pPr>
              <w:jc w:val="center"/>
              <w:rPr>
                <w:rFonts w:ascii="宋体" w:hAnsi="宋体"/>
                <w:color w:val="auto"/>
                <w:szCs w:val="21"/>
                <w:highlight w:val="none"/>
              </w:rPr>
            </w:pPr>
            <w:r>
              <w:rPr>
                <w:rFonts w:hint="eastAsia" w:ascii="宋体" w:hAnsi="宋体"/>
                <w:color w:val="auto"/>
                <w:szCs w:val="21"/>
                <w:highlight w:val="none"/>
              </w:rPr>
              <w:t>工程建设进度计划与措施</w:t>
            </w:r>
          </w:p>
        </w:tc>
        <w:tc>
          <w:tcPr>
            <w:tcW w:w="2098" w:type="dxa"/>
          </w:tcPr>
          <w:p>
            <w:pPr>
              <w:adjustRightInd w:val="0"/>
              <w:snapToGrid w:val="0"/>
              <w:spacing w:line="400" w:lineRule="exact"/>
              <w:jc w:val="center"/>
              <w:rPr>
                <w:rFonts w:ascii="宋体" w:hAnsi="宋体"/>
                <w:bCs/>
                <w:color w:val="auto"/>
                <w:szCs w:val="21"/>
                <w:highlight w:val="none"/>
              </w:rPr>
            </w:pPr>
            <w:r>
              <w:rPr>
                <w:rFonts w:ascii="宋体" w:hAnsi="宋体"/>
                <w:bCs/>
                <w:color w:val="auto"/>
                <w:szCs w:val="21"/>
                <w:highlight w:val="none"/>
              </w:rPr>
              <w:t>P  - 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808" w:type="dxa"/>
            <w:vAlign w:val="center"/>
          </w:tcPr>
          <w:p>
            <w:pPr>
              <w:numPr>
                <w:ilvl w:val="1"/>
                <w:numId w:val="23"/>
              </w:numPr>
              <w:adjustRightInd w:val="0"/>
              <w:snapToGrid w:val="0"/>
              <w:spacing w:line="400" w:lineRule="exact"/>
              <w:rPr>
                <w:rFonts w:ascii="宋体" w:hAnsi="宋体"/>
                <w:color w:val="auto"/>
                <w:highlight w:val="none"/>
              </w:rPr>
            </w:pPr>
          </w:p>
        </w:tc>
        <w:tc>
          <w:tcPr>
            <w:tcW w:w="5533" w:type="dxa"/>
            <w:vAlign w:val="center"/>
          </w:tcPr>
          <w:p>
            <w:pPr>
              <w:jc w:val="center"/>
              <w:rPr>
                <w:rFonts w:ascii="宋体" w:hAnsi="宋体"/>
                <w:color w:val="auto"/>
                <w:szCs w:val="21"/>
                <w:highlight w:val="none"/>
              </w:rPr>
            </w:pPr>
            <w:r>
              <w:rPr>
                <w:rFonts w:hint="eastAsia" w:ascii="宋体" w:hAnsi="宋体"/>
                <w:color w:val="auto"/>
                <w:szCs w:val="21"/>
                <w:highlight w:val="none"/>
              </w:rPr>
              <w:t>资源配备计划</w:t>
            </w:r>
          </w:p>
        </w:tc>
        <w:tc>
          <w:tcPr>
            <w:tcW w:w="2098" w:type="dxa"/>
          </w:tcPr>
          <w:p>
            <w:pPr>
              <w:adjustRightInd w:val="0"/>
              <w:snapToGrid w:val="0"/>
              <w:spacing w:line="400" w:lineRule="exact"/>
              <w:jc w:val="center"/>
              <w:rPr>
                <w:rFonts w:ascii="宋体" w:hAnsi="宋体"/>
                <w:bCs/>
                <w:color w:val="auto"/>
                <w:szCs w:val="21"/>
                <w:highlight w:val="none"/>
              </w:rPr>
            </w:pPr>
            <w:r>
              <w:rPr>
                <w:rFonts w:ascii="宋体" w:hAnsi="宋体"/>
                <w:bCs/>
                <w:color w:val="auto"/>
                <w:szCs w:val="21"/>
                <w:highlight w:val="none"/>
              </w:rPr>
              <w:t>P  - P</w:t>
            </w:r>
          </w:p>
        </w:tc>
      </w:tr>
    </w:tbl>
    <w:p>
      <w:pPr>
        <w:pStyle w:val="2"/>
        <w:rPr>
          <w:color w:val="auto"/>
          <w:highlight w:val="none"/>
        </w:rPr>
      </w:pPr>
      <w:r>
        <w:rPr>
          <w:color w:val="auto"/>
          <w:highlight w:val="none"/>
        </w:rPr>
        <w:br w:type="page"/>
      </w:r>
    </w:p>
    <w:p>
      <w:pPr>
        <w:pStyle w:val="5"/>
        <w:numPr>
          <w:ilvl w:val="0"/>
          <w:numId w:val="0"/>
        </w:numPr>
        <w:rPr>
          <w:rFonts w:ascii="宋体" w:hAnsi="宋体"/>
          <w:color w:val="auto"/>
          <w:sz w:val="27"/>
          <w:szCs w:val="27"/>
          <w:highlight w:val="none"/>
        </w:rPr>
      </w:pPr>
      <w:r>
        <w:rPr>
          <w:rFonts w:ascii="宋体" w:hAnsi="宋体"/>
          <w:color w:val="auto"/>
          <w:sz w:val="27"/>
          <w:szCs w:val="27"/>
          <w:highlight w:val="none"/>
        </w:rPr>
        <w:t>2</w:t>
      </w:r>
      <w:r>
        <w:rPr>
          <w:rFonts w:hint="eastAsia" w:ascii="宋体" w:hAnsi="宋体"/>
          <w:color w:val="auto"/>
          <w:sz w:val="27"/>
          <w:szCs w:val="27"/>
          <w:highlight w:val="none"/>
        </w:rPr>
        <w:t>、其他资料</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附件一  投标人声明</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附件二 </w:t>
      </w:r>
      <w:r>
        <w:rPr>
          <w:rFonts w:ascii="宋体" w:hAnsi="宋体"/>
          <w:color w:val="auto"/>
          <w:szCs w:val="21"/>
          <w:highlight w:val="none"/>
        </w:rPr>
        <w:t xml:space="preserve"> </w:t>
      </w:r>
      <w:r>
        <w:rPr>
          <w:rFonts w:hint="eastAsia" w:ascii="宋体" w:hAnsi="宋体"/>
          <w:color w:val="auto"/>
          <w:szCs w:val="21"/>
          <w:highlight w:val="none"/>
        </w:rPr>
        <w:t>投标人廉政承诺书</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附件三  投标文件编制人员名单</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附件四  对投标文件编制的承诺</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附件五  投标文件编制情况</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附件六  如投标报价低于警示价的，提供投标报价不低于成本价的证明材料</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附件七  标函承诺书</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附件八  项目负责人驻场承诺书</w:t>
      </w:r>
    </w:p>
    <w:bookmarkEnd w:id="321"/>
    <w:bookmarkEnd w:id="322"/>
    <w:bookmarkEnd w:id="323"/>
    <w:bookmarkEnd w:id="324"/>
    <w:bookmarkEnd w:id="325"/>
    <w:bookmarkEnd w:id="326"/>
    <w:bookmarkEnd w:id="327"/>
    <w:bookmarkEnd w:id="328"/>
    <w:bookmarkEnd w:id="329"/>
    <w:p>
      <w:pPr>
        <w:spacing w:line="360" w:lineRule="auto"/>
        <w:rPr>
          <w:rFonts w:ascii="宋体" w:hAnsi="宋体"/>
          <w:color w:val="auto"/>
          <w:sz w:val="24"/>
          <w:szCs w:val="24"/>
          <w:highlight w:val="none"/>
        </w:rPr>
      </w:pPr>
      <w:bookmarkStart w:id="337" w:name="_Toc222029460"/>
      <w:bookmarkStart w:id="338" w:name="_Toc179715764"/>
      <w:bookmarkStart w:id="339" w:name="_Toc221949894"/>
      <w:bookmarkStart w:id="340" w:name="_Toc227133887"/>
      <w:bookmarkStart w:id="341" w:name="_Toc152047271"/>
    </w:p>
    <w:p>
      <w:pPr>
        <w:pStyle w:val="2"/>
        <w:rPr>
          <w:color w:val="auto"/>
          <w:highlight w:val="none"/>
        </w:rPr>
      </w:pPr>
      <w:r>
        <w:rPr>
          <w:color w:val="auto"/>
          <w:highlight w:val="none"/>
        </w:rPr>
        <w:br w:type="page"/>
      </w:r>
    </w:p>
    <w:p>
      <w:pPr>
        <w:pStyle w:val="6"/>
        <w:numPr>
          <w:ilvl w:val="0"/>
          <w:numId w:val="0"/>
        </w:numPr>
        <w:rPr>
          <w:b/>
          <w:color w:val="auto"/>
          <w:highlight w:val="none"/>
        </w:rPr>
      </w:pPr>
      <w:r>
        <w:rPr>
          <w:rFonts w:hint="eastAsia"/>
          <w:color w:val="auto"/>
          <w:highlight w:val="none"/>
        </w:rPr>
        <w:t>附件一：</w:t>
      </w:r>
    </w:p>
    <w:p>
      <w:pPr>
        <w:spacing w:line="600" w:lineRule="exact"/>
        <w:ind w:firstLine="643" w:firstLineChars="200"/>
        <w:jc w:val="center"/>
        <w:rPr>
          <w:rFonts w:ascii="宋体" w:hAnsi="宋体"/>
          <w:b/>
          <w:bCs/>
          <w:color w:val="auto"/>
          <w:kern w:val="0"/>
          <w:sz w:val="32"/>
          <w:szCs w:val="32"/>
          <w:highlight w:val="none"/>
        </w:rPr>
      </w:pPr>
      <w:r>
        <w:rPr>
          <w:rFonts w:hint="eastAsia" w:ascii="宋体" w:hAnsi="宋体"/>
          <w:b/>
          <w:bCs/>
          <w:color w:val="auto"/>
          <w:kern w:val="0"/>
          <w:sz w:val="32"/>
          <w:szCs w:val="32"/>
          <w:highlight w:val="none"/>
        </w:rPr>
        <w:t>投标人声明</w:t>
      </w:r>
    </w:p>
    <w:p>
      <w:pPr>
        <w:spacing w:line="600" w:lineRule="exact"/>
        <w:ind w:firstLine="480" w:firstLineChars="200"/>
        <w:jc w:val="center"/>
        <w:rPr>
          <w:rFonts w:ascii="宋体" w:hAnsi="宋体"/>
          <w:color w:val="auto"/>
          <w:kern w:val="0"/>
          <w:sz w:val="24"/>
          <w:szCs w:val="24"/>
          <w:highlight w:val="none"/>
        </w:rPr>
      </w:pPr>
      <w:r>
        <w:rPr>
          <w:rFonts w:hint="eastAsia" w:ascii="宋体" w:hAnsi="宋体"/>
          <w:color w:val="auto"/>
          <w:kern w:val="0"/>
          <w:sz w:val="24"/>
          <w:szCs w:val="24"/>
          <w:highlight w:val="none"/>
        </w:rPr>
        <w:t>（以招标公告附件为准）</w:t>
      </w:r>
    </w:p>
    <w:p>
      <w:pPr>
        <w:pStyle w:val="6"/>
        <w:numPr>
          <w:ilvl w:val="0"/>
          <w:numId w:val="0"/>
        </w:numPr>
        <w:rPr>
          <w:b/>
          <w:color w:val="auto"/>
          <w:highlight w:val="none"/>
        </w:rPr>
      </w:pPr>
      <w:r>
        <w:rPr>
          <w:color w:val="auto"/>
          <w:kern w:val="0"/>
          <w:highlight w:val="none"/>
        </w:rPr>
        <w:br w:type="page"/>
      </w:r>
      <w:r>
        <w:rPr>
          <w:rFonts w:hint="eastAsia"/>
          <w:color w:val="auto"/>
          <w:highlight w:val="none"/>
        </w:rPr>
        <w:t>附件二：</w:t>
      </w:r>
    </w:p>
    <w:p>
      <w:pPr>
        <w:spacing w:line="600" w:lineRule="exact"/>
        <w:ind w:firstLine="643" w:firstLineChars="200"/>
        <w:jc w:val="center"/>
        <w:rPr>
          <w:rFonts w:ascii="宋体" w:hAnsi="宋体"/>
          <w:b/>
          <w:bCs/>
          <w:color w:val="auto"/>
          <w:kern w:val="0"/>
          <w:sz w:val="32"/>
          <w:szCs w:val="32"/>
          <w:highlight w:val="none"/>
        </w:rPr>
      </w:pPr>
      <w:r>
        <w:rPr>
          <w:rFonts w:hint="eastAsia" w:ascii="宋体" w:hAnsi="宋体"/>
          <w:b/>
          <w:bCs/>
          <w:color w:val="auto"/>
          <w:kern w:val="0"/>
          <w:sz w:val="32"/>
          <w:szCs w:val="32"/>
          <w:highlight w:val="none"/>
        </w:rPr>
        <w:t>投标人廉洁承诺书</w:t>
      </w:r>
    </w:p>
    <w:p>
      <w:pPr>
        <w:spacing w:line="360" w:lineRule="auto"/>
        <w:ind w:firstLine="480" w:firstLineChars="200"/>
        <w:rPr>
          <w:rFonts w:ascii="宋体" w:hAnsi="宋体"/>
          <w:color w:val="auto"/>
          <w:sz w:val="24"/>
          <w:highlight w:val="none"/>
        </w:rPr>
      </w:pPr>
    </w:p>
    <w:p>
      <w:pPr>
        <w:spacing w:line="360" w:lineRule="auto"/>
        <w:rPr>
          <w:rFonts w:ascii="宋体" w:hAnsi="宋体"/>
          <w:color w:val="auto"/>
          <w:sz w:val="24"/>
          <w:highlight w:val="none"/>
        </w:rPr>
      </w:pPr>
      <w:r>
        <w:rPr>
          <w:rFonts w:hint="eastAsia" w:ascii="宋体" w:hAnsi="宋体"/>
          <w:color w:val="auto"/>
          <w:sz w:val="24"/>
          <w:highlight w:val="none"/>
        </w:rPr>
        <w:t>本招标项目招标人及招标监管机构：</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本公司参加了</w:t>
      </w:r>
      <w:r>
        <w:rPr>
          <w:rFonts w:hint="eastAsia" w:ascii="宋体" w:hAnsi="宋体"/>
          <w:color w:val="auto"/>
          <w:sz w:val="24"/>
          <w:highlight w:val="none"/>
          <w:u w:val="single"/>
        </w:rPr>
        <w:t xml:space="preserve">   （项目名称/标段名称）    </w:t>
      </w:r>
      <w:r>
        <w:rPr>
          <w:rFonts w:hint="eastAsia" w:ascii="宋体" w:hAnsi="宋体"/>
          <w:color w:val="auto"/>
          <w:sz w:val="24"/>
          <w:highlight w:val="none"/>
        </w:rPr>
        <w:t>投标， 为确保招标工作的公平、公正、公开、有序进行，我们保证遵守《中华人民共和国招标投标法》、《中华人民共和国招标投标法实施条例》、《广东省实施&lt;中华人民共和国招标投标法&gt;办法》等法律法规，特承诺如下事项：</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一、自觉遵守国家有关法律法规及廉洁规定。</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二、不与招标单位工作人员串通投标，损害国家利益、企业利益以及他人的合法利益；</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三、不与其他单位围标、串标，不出让投标资格，不向招标人或评标委员会成员行贿。</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四、不以任何名义向参与招标、评标工作的有关人员提供高消费宴请及娱乐活动和赠送回扣、红包、礼金、购物卡、有价证券、贵重物品和好处费、感谢费等； </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五、不以任何名义为参与招标、评标工作的有关人员装修住房、婚丧嫁取、配偶子女的工作安排以及境内外旅游等提供方便；</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六、不以谋取非正当利益为目的，擅自与参与招标、评标工作的有关人员就业务问题进行私下商谈或者达成利益默契；</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本公司违反上述承诺，或本承诺陈述与事实不符，经查实，本公司愿意接受公开通报，承担由此带来的法律后果，并自愿停止参加广州市行政辖区内的招标投标活动三个月。</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特此承诺。</w:t>
      </w:r>
    </w:p>
    <w:p>
      <w:pPr>
        <w:spacing w:line="360" w:lineRule="auto"/>
        <w:ind w:right="480" w:firstLine="3960" w:firstLineChars="1650"/>
        <w:rPr>
          <w:rFonts w:ascii="宋体" w:hAnsi="宋体"/>
          <w:color w:val="auto"/>
          <w:sz w:val="24"/>
          <w:highlight w:val="none"/>
        </w:rPr>
      </w:pPr>
    </w:p>
    <w:p>
      <w:pPr>
        <w:spacing w:line="360" w:lineRule="auto"/>
        <w:ind w:right="480" w:firstLine="3960" w:firstLineChars="1650"/>
        <w:rPr>
          <w:rFonts w:ascii="宋体" w:hAnsi="宋体"/>
          <w:color w:val="auto"/>
          <w:sz w:val="24"/>
          <w:highlight w:val="none"/>
        </w:rPr>
      </w:pPr>
      <w:r>
        <w:rPr>
          <w:rFonts w:hint="eastAsia" w:ascii="宋体" w:hAnsi="宋体"/>
          <w:color w:val="auto"/>
          <w:sz w:val="24"/>
          <w:highlight w:val="none"/>
        </w:rPr>
        <w:t xml:space="preserve">承诺企业：      </w:t>
      </w:r>
    </w:p>
    <w:p>
      <w:pPr>
        <w:spacing w:line="360" w:lineRule="auto"/>
        <w:ind w:firstLine="480" w:firstLineChars="200"/>
        <w:jc w:val="right"/>
        <w:rPr>
          <w:rFonts w:ascii="宋体" w:hAnsi="宋体"/>
          <w:color w:val="auto"/>
          <w:sz w:val="24"/>
          <w:highlight w:val="none"/>
        </w:rPr>
      </w:pPr>
      <w:r>
        <w:rPr>
          <w:rFonts w:hint="eastAsia" w:ascii="宋体" w:hAnsi="宋体"/>
          <w:color w:val="auto"/>
          <w:sz w:val="24"/>
          <w:highlight w:val="none"/>
        </w:rPr>
        <w:t xml:space="preserve"> 年   月   日</w:t>
      </w:r>
    </w:p>
    <w:p>
      <w:pPr>
        <w:wordWrap w:val="0"/>
        <w:spacing w:line="360" w:lineRule="auto"/>
        <w:ind w:firstLine="480" w:firstLineChars="200"/>
        <w:jc w:val="right"/>
        <w:rPr>
          <w:rFonts w:ascii="宋体" w:hAnsi="宋体"/>
          <w:color w:val="auto"/>
          <w:sz w:val="24"/>
          <w:highlight w:val="none"/>
        </w:rPr>
      </w:pPr>
      <w:r>
        <w:rPr>
          <w:rFonts w:hint="eastAsia" w:ascii="宋体" w:hAnsi="宋体"/>
          <w:color w:val="auto"/>
          <w:sz w:val="24"/>
          <w:highlight w:val="none"/>
        </w:rPr>
        <w:t xml:space="preserve">       法定代表人签字：                    </w:t>
      </w:r>
    </w:p>
    <w:p>
      <w:pPr>
        <w:spacing w:line="360" w:lineRule="auto"/>
        <w:ind w:right="480" w:firstLine="480" w:firstLineChars="200"/>
        <w:jc w:val="center"/>
        <w:rPr>
          <w:rFonts w:ascii="宋体" w:hAnsi="宋体"/>
          <w:color w:val="auto"/>
          <w:sz w:val="24"/>
          <w:highlight w:val="none"/>
        </w:rPr>
      </w:pPr>
      <w:r>
        <w:rPr>
          <w:rFonts w:hint="eastAsia" w:ascii="宋体" w:hAnsi="宋体"/>
          <w:color w:val="auto"/>
          <w:sz w:val="24"/>
          <w:highlight w:val="none"/>
        </w:rPr>
        <w:t xml:space="preserve">      (企业公章)   </w:t>
      </w:r>
    </w:p>
    <w:p>
      <w:pPr>
        <w:pStyle w:val="6"/>
        <w:numPr>
          <w:ilvl w:val="0"/>
          <w:numId w:val="0"/>
        </w:numPr>
        <w:rPr>
          <w:color w:val="auto"/>
          <w:szCs w:val="21"/>
          <w:highlight w:val="none"/>
        </w:rPr>
      </w:pPr>
      <w:r>
        <w:rPr>
          <w:color w:val="auto"/>
          <w:szCs w:val="21"/>
          <w:highlight w:val="none"/>
        </w:rPr>
        <w:br w:type="page"/>
      </w:r>
      <w:r>
        <w:rPr>
          <w:rFonts w:hint="eastAsia"/>
          <w:color w:val="auto"/>
          <w:highlight w:val="none"/>
        </w:rPr>
        <w:t>附件三：</w:t>
      </w:r>
    </w:p>
    <w:p>
      <w:pPr>
        <w:spacing w:line="600" w:lineRule="exact"/>
        <w:ind w:firstLine="643" w:firstLineChars="200"/>
        <w:jc w:val="center"/>
        <w:rPr>
          <w:rFonts w:ascii="宋体" w:hAnsi="宋体"/>
          <w:b/>
          <w:bCs/>
          <w:color w:val="auto"/>
          <w:kern w:val="0"/>
          <w:sz w:val="32"/>
          <w:szCs w:val="32"/>
          <w:highlight w:val="none"/>
        </w:rPr>
      </w:pPr>
      <w:r>
        <w:rPr>
          <w:rFonts w:hint="eastAsia" w:ascii="宋体" w:hAnsi="宋体"/>
          <w:b/>
          <w:bCs/>
          <w:color w:val="auto"/>
          <w:kern w:val="0"/>
          <w:sz w:val="32"/>
          <w:szCs w:val="32"/>
          <w:highlight w:val="none"/>
        </w:rPr>
        <w:t>投标文件编制人员名单</w:t>
      </w:r>
    </w:p>
    <w:p>
      <w:pPr>
        <w:tabs>
          <w:tab w:val="left" w:pos="720"/>
        </w:tabs>
        <w:snapToGrid w:val="0"/>
        <w:spacing w:line="360" w:lineRule="auto"/>
        <w:rPr>
          <w:rFonts w:ascii="宋体" w:hAnsi="宋体"/>
          <w:color w:val="auto"/>
          <w:sz w:val="24"/>
          <w:szCs w:val="24"/>
          <w:highlight w:val="none"/>
        </w:rPr>
      </w:pP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1381"/>
        <w:gridCol w:w="2342"/>
        <w:gridCol w:w="2246"/>
        <w:gridCol w:w="1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522"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rPr>
                <w:rFonts w:ascii="宋体" w:hAnsi="宋体"/>
                <w:color w:val="auto"/>
                <w:szCs w:val="21"/>
                <w:highlight w:val="none"/>
              </w:rPr>
            </w:pPr>
            <w:r>
              <w:rPr>
                <w:rFonts w:hint="eastAsia" w:ascii="宋体" w:hAnsi="宋体"/>
                <w:color w:val="auto"/>
                <w:szCs w:val="21"/>
                <w:highlight w:val="none"/>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姓名</w:t>
            </w: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职务</w:t>
            </w: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所承担工作</w:t>
            </w: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身份证号码</w:t>
            </w: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bl>
    <w:p>
      <w:pPr>
        <w:tabs>
          <w:tab w:val="left" w:pos="720"/>
        </w:tabs>
        <w:snapToGrid w:val="0"/>
        <w:spacing w:line="360" w:lineRule="auto"/>
        <w:rPr>
          <w:rFonts w:ascii="宋体" w:hAnsi="宋体"/>
          <w:color w:val="auto"/>
          <w:sz w:val="24"/>
          <w:szCs w:val="24"/>
          <w:highlight w:val="none"/>
        </w:rPr>
      </w:pPr>
    </w:p>
    <w:p>
      <w:pPr>
        <w:pStyle w:val="39"/>
        <w:spacing w:after="0" w:line="360" w:lineRule="auto"/>
        <w:ind w:left="-2" w:leftChars="-1" w:firstLine="350" w:firstLineChars="175"/>
        <w:jc w:val="left"/>
        <w:rPr>
          <w:rFonts w:ascii="宋体" w:hAnsi="宋体" w:eastAsia="宋体"/>
          <w:color w:val="auto"/>
          <w:szCs w:val="21"/>
          <w:highlight w:val="none"/>
        </w:rPr>
      </w:pPr>
      <w:r>
        <w:rPr>
          <w:rFonts w:hint="eastAsia" w:ascii="宋体" w:hAnsi="宋体" w:eastAsia="宋体"/>
          <w:color w:val="auto"/>
          <w:szCs w:val="21"/>
          <w:highlight w:val="none"/>
        </w:rPr>
        <w:t>注：参与编制投标文件所有人员名单应包括如编制技术投标方案、编制各种专业工程量清单投标报价、负责清样校对、负责打印及复印等所有人员在内的人员名单。</w:t>
      </w:r>
    </w:p>
    <w:p>
      <w:pPr>
        <w:pStyle w:val="39"/>
        <w:spacing w:after="0" w:line="360" w:lineRule="auto"/>
        <w:ind w:left="-2" w:leftChars="-1" w:firstLineChars="175"/>
        <w:jc w:val="center"/>
        <w:rPr>
          <w:rFonts w:ascii="宋体" w:hAnsi="宋体" w:eastAsia="宋体"/>
          <w:color w:val="auto"/>
          <w:sz w:val="24"/>
          <w:szCs w:val="24"/>
          <w:highlight w:val="none"/>
        </w:rPr>
      </w:pPr>
    </w:p>
    <w:p>
      <w:pPr>
        <w:pStyle w:val="6"/>
        <w:numPr>
          <w:ilvl w:val="0"/>
          <w:numId w:val="0"/>
        </w:numPr>
        <w:rPr>
          <w:color w:val="auto"/>
          <w:highlight w:val="none"/>
        </w:rPr>
      </w:pPr>
      <w:r>
        <w:rPr>
          <w:color w:val="auto"/>
          <w:szCs w:val="24"/>
          <w:highlight w:val="none"/>
        </w:rPr>
        <w:br w:type="page"/>
      </w:r>
      <w:r>
        <w:rPr>
          <w:rFonts w:hint="eastAsia"/>
          <w:color w:val="auto"/>
          <w:highlight w:val="none"/>
        </w:rPr>
        <w:t>附件四：</w:t>
      </w:r>
    </w:p>
    <w:p>
      <w:pPr>
        <w:spacing w:line="600" w:lineRule="exact"/>
        <w:ind w:firstLine="643" w:firstLineChars="200"/>
        <w:jc w:val="center"/>
        <w:rPr>
          <w:rFonts w:ascii="宋体" w:hAnsi="宋体"/>
          <w:b/>
          <w:bCs/>
          <w:color w:val="auto"/>
          <w:kern w:val="0"/>
          <w:sz w:val="32"/>
          <w:szCs w:val="32"/>
          <w:highlight w:val="none"/>
        </w:rPr>
      </w:pPr>
      <w:r>
        <w:rPr>
          <w:rFonts w:hint="eastAsia" w:ascii="宋体" w:hAnsi="宋体"/>
          <w:b/>
          <w:bCs/>
          <w:color w:val="auto"/>
          <w:kern w:val="0"/>
          <w:sz w:val="32"/>
          <w:szCs w:val="32"/>
          <w:highlight w:val="none"/>
        </w:rPr>
        <w:t>对投标文件编制的承诺</w:t>
      </w:r>
    </w:p>
    <w:p>
      <w:pPr>
        <w:spacing w:line="600" w:lineRule="exact"/>
        <w:ind w:firstLine="643" w:firstLineChars="200"/>
        <w:jc w:val="center"/>
        <w:rPr>
          <w:rFonts w:ascii="宋体" w:hAnsi="宋体"/>
          <w:b/>
          <w:bCs/>
          <w:color w:val="auto"/>
          <w:kern w:val="0"/>
          <w:sz w:val="32"/>
          <w:szCs w:val="32"/>
          <w:highlight w:val="none"/>
        </w:rPr>
      </w:pPr>
    </w:p>
    <w:p>
      <w:pPr>
        <w:pStyle w:val="39"/>
        <w:spacing w:after="0" w:line="360" w:lineRule="auto"/>
        <w:ind w:left="-2" w:leftChars="-1" w:firstLine="540" w:firstLineChars="225"/>
        <w:rPr>
          <w:rFonts w:ascii="宋体" w:hAnsi="宋体" w:eastAsia="宋体"/>
          <w:color w:val="auto"/>
          <w:sz w:val="24"/>
          <w:szCs w:val="24"/>
          <w:highlight w:val="none"/>
        </w:rPr>
      </w:pPr>
      <w:r>
        <w:rPr>
          <w:rFonts w:hint="eastAsia" w:ascii="宋体" w:hAnsi="宋体" w:eastAsia="宋体"/>
          <w:color w:val="auto"/>
          <w:sz w:val="24"/>
          <w:szCs w:val="24"/>
          <w:highlight w:val="none"/>
        </w:rPr>
        <w:t>本公司授权</w:t>
      </w:r>
      <w:r>
        <w:rPr>
          <w:rFonts w:hint="eastAsia" w:ascii="宋体" w:hAnsi="宋体" w:eastAsia="宋体"/>
          <w:color w:val="auto"/>
          <w:sz w:val="24"/>
          <w:szCs w:val="24"/>
          <w:highlight w:val="none"/>
          <w:u w:val="single"/>
        </w:rPr>
        <w:t>（身份证号：）</w:t>
      </w:r>
      <w:r>
        <w:rPr>
          <w:rFonts w:hint="eastAsia" w:ascii="宋体" w:hAnsi="宋体" w:eastAsia="宋体"/>
          <w:color w:val="auto"/>
          <w:sz w:val="24"/>
          <w:szCs w:val="24"/>
          <w:highlight w:val="none"/>
        </w:rPr>
        <w:t>负责对投标文件的编制及内容进行解释、说明，并承诺以下事项：</w:t>
      </w:r>
    </w:p>
    <w:p>
      <w:pPr>
        <w:pStyle w:val="39"/>
        <w:spacing w:after="0" w:line="360" w:lineRule="auto"/>
        <w:ind w:left="-2" w:leftChars="-1" w:firstLine="540" w:firstLineChars="225"/>
        <w:rPr>
          <w:rFonts w:ascii="宋体" w:hAnsi="宋体" w:eastAsia="宋体"/>
          <w:color w:val="auto"/>
          <w:sz w:val="24"/>
          <w:szCs w:val="24"/>
          <w:highlight w:val="none"/>
        </w:rPr>
      </w:pPr>
      <w:r>
        <w:rPr>
          <w:rFonts w:hint="eastAsia" w:ascii="宋体" w:hAnsi="宋体" w:eastAsia="宋体"/>
          <w:color w:val="auto"/>
          <w:sz w:val="24"/>
          <w:szCs w:val="24"/>
          <w:highlight w:val="none"/>
        </w:rPr>
        <w:t>1.被授权人清楚投标文件编制的具体情况，包括技术方案文件、工程量清单、以及投标文件的加密打包的理解；</w:t>
      </w:r>
    </w:p>
    <w:p>
      <w:pPr>
        <w:pStyle w:val="39"/>
        <w:spacing w:after="0" w:line="360" w:lineRule="auto"/>
        <w:ind w:left="-2" w:leftChars="-1" w:firstLine="540" w:firstLineChars="225"/>
        <w:rPr>
          <w:rFonts w:ascii="宋体" w:hAnsi="宋体" w:eastAsia="宋体"/>
          <w:color w:val="auto"/>
          <w:sz w:val="24"/>
          <w:szCs w:val="24"/>
          <w:highlight w:val="none"/>
        </w:rPr>
      </w:pPr>
      <w:r>
        <w:rPr>
          <w:rFonts w:hint="eastAsia" w:ascii="宋体" w:hAnsi="宋体" w:eastAsia="宋体"/>
          <w:color w:val="auto"/>
          <w:sz w:val="24"/>
          <w:szCs w:val="24"/>
          <w:highlight w:val="none"/>
        </w:rPr>
        <w:t>2.在本项目开标至评标结束前，努力确保被授权人在项目评标所在地附近；</w:t>
      </w:r>
    </w:p>
    <w:p>
      <w:pPr>
        <w:pStyle w:val="39"/>
        <w:spacing w:after="0" w:line="360" w:lineRule="auto"/>
        <w:ind w:left="-2" w:leftChars="-1" w:firstLine="540" w:firstLineChars="225"/>
        <w:rPr>
          <w:rFonts w:ascii="宋体" w:hAnsi="宋体" w:eastAsia="宋体"/>
          <w:color w:val="auto"/>
          <w:sz w:val="24"/>
          <w:szCs w:val="24"/>
          <w:highlight w:val="none"/>
        </w:rPr>
      </w:pPr>
      <w:r>
        <w:rPr>
          <w:rFonts w:hint="eastAsia" w:ascii="宋体" w:hAnsi="宋体" w:eastAsia="宋体"/>
          <w:color w:val="auto"/>
          <w:sz w:val="24"/>
          <w:szCs w:val="24"/>
          <w:highlight w:val="none"/>
        </w:rPr>
        <w:t>3.从评标委员会要求澄清起二小时内，被授权人应如实地书面澄清。</w:t>
      </w:r>
    </w:p>
    <w:p>
      <w:pPr>
        <w:pStyle w:val="39"/>
        <w:spacing w:after="0" w:line="360" w:lineRule="auto"/>
        <w:ind w:left="-2" w:leftChars="-1" w:firstLine="540" w:firstLineChars="225"/>
        <w:rPr>
          <w:rFonts w:ascii="宋体" w:hAnsi="宋体" w:eastAsia="宋体"/>
          <w:color w:val="auto"/>
          <w:sz w:val="24"/>
          <w:szCs w:val="24"/>
          <w:highlight w:val="none"/>
        </w:rPr>
      </w:pPr>
      <w:r>
        <w:rPr>
          <w:rFonts w:hint="eastAsia" w:ascii="宋体" w:hAnsi="宋体" w:eastAsia="宋体"/>
          <w:color w:val="auto"/>
          <w:sz w:val="24"/>
          <w:szCs w:val="24"/>
          <w:highlight w:val="none"/>
        </w:rPr>
        <w:t>如由于未遵守上述承诺内容之一导致无法进行澄清的，我公司认可和接受评标委员会作出的评审结论。</w:t>
      </w:r>
    </w:p>
    <w:p>
      <w:pPr>
        <w:pStyle w:val="39"/>
        <w:spacing w:after="0" w:line="360" w:lineRule="auto"/>
        <w:ind w:firstLine="360" w:firstLineChars="150"/>
        <w:rPr>
          <w:rFonts w:ascii="宋体" w:hAnsi="宋体" w:eastAsia="宋体"/>
          <w:color w:val="auto"/>
          <w:sz w:val="24"/>
          <w:szCs w:val="24"/>
          <w:highlight w:val="none"/>
        </w:rPr>
      </w:pPr>
    </w:p>
    <w:p>
      <w:pPr>
        <w:pStyle w:val="39"/>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附件：《投标文件编制情况》</w:t>
      </w:r>
    </w:p>
    <w:p>
      <w:pPr>
        <w:spacing w:line="360" w:lineRule="auto"/>
        <w:ind w:right="90" w:firstLine="3240" w:firstLineChars="1350"/>
        <w:rPr>
          <w:rFonts w:ascii="宋体" w:hAnsi="宋体"/>
          <w:color w:val="auto"/>
          <w:sz w:val="24"/>
          <w:szCs w:val="24"/>
          <w:highlight w:val="none"/>
          <w:u w:val="single"/>
        </w:rPr>
      </w:pPr>
      <w:r>
        <w:rPr>
          <w:rFonts w:hint="eastAsia" w:ascii="宋体" w:hAnsi="宋体"/>
          <w:color w:val="auto"/>
          <w:sz w:val="24"/>
          <w:szCs w:val="24"/>
          <w:highlight w:val="none"/>
        </w:rPr>
        <w:t xml:space="preserve"> 投标人名称（盖法人公章）：</w:t>
      </w:r>
    </w:p>
    <w:p>
      <w:pPr>
        <w:spacing w:line="360" w:lineRule="auto"/>
        <w:ind w:firstLine="2160" w:firstLineChars="900"/>
        <w:rPr>
          <w:rFonts w:ascii="宋体" w:hAnsi="宋体"/>
          <w:color w:val="auto"/>
          <w:sz w:val="24"/>
          <w:szCs w:val="24"/>
          <w:highlight w:val="none"/>
          <w:u w:val="single"/>
        </w:rPr>
      </w:pPr>
      <w:r>
        <w:rPr>
          <w:rFonts w:hint="eastAsia" w:ascii="宋体" w:hAnsi="宋体"/>
          <w:color w:val="auto"/>
          <w:sz w:val="24"/>
          <w:szCs w:val="24"/>
          <w:highlight w:val="none"/>
        </w:rPr>
        <w:t>法定代表人或被授权人（签字或盖章）：</w:t>
      </w:r>
    </w:p>
    <w:p>
      <w:pPr>
        <w:spacing w:line="360" w:lineRule="auto"/>
        <w:ind w:firstLine="4440" w:firstLineChars="1850"/>
        <w:jc w:val="center"/>
        <w:rPr>
          <w:rFonts w:ascii="宋体" w:hAnsi="宋体"/>
          <w:color w:val="auto"/>
          <w:sz w:val="24"/>
          <w:szCs w:val="24"/>
          <w:highlight w:val="none"/>
        </w:rPr>
      </w:pPr>
      <w:r>
        <w:rPr>
          <w:rFonts w:hint="eastAsia" w:ascii="宋体" w:hAnsi="宋体"/>
          <w:color w:val="auto"/>
          <w:sz w:val="24"/>
          <w:szCs w:val="24"/>
          <w:highlight w:val="none"/>
        </w:rPr>
        <w:t>日期：年月日</w:t>
      </w:r>
    </w:p>
    <w:p>
      <w:pPr>
        <w:pStyle w:val="6"/>
        <w:numPr>
          <w:ilvl w:val="0"/>
          <w:numId w:val="0"/>
        </w:numPr>
        <w:rPr>
          <w:color w:val="auto"/>
          <w:highlight w:val="none"/>
        </w:rPr>
      </w:pPr>
      <w:r>
        <w:rPr>
          <w:color w:val="auto"/>
          <w:szCs w:val="24"/>
          <w:highlight w:val="none"/>
        </w:rPr>
        <w:br w:type="page"/>
      </w:r>
      <w:r>
        <w:rPr>
          <w:rFonts w:hint="eastAsia"/>
          <w:color w:val="auto"/>
          <w:highlight w:val="none"/>
        </w:rPr>
        <w:t>附件五：</w:t>
      </w:r>
    </w:p>
    <w:p>
      <w:pPr>
        <w:spacing w:line="600" w:lineRule="exact"/>
        <w:ind w:firstLine="643" w:firstLineChars="200"/>
        <w:jc w:val="center"/>
        <w:rPr>
          <w:rFonts w:ascii="宋体" w:hAnsi="宋体"/>
          <w:b/>
          <w:bCs/>
          <w:color w:val="auto"/>
          <w:kern w:val="0"/>
          <w:sz w:val="32"/>
          <w:szCs w:val="32"/>
          <w:highlight w:val="none"/>
        </w:rPr>
      </w:pPr>
      <w:r>
        <w:rPr>
          <w:rFonts w:hint="eastAsia" w:ascii="宋体" w:hAnsi="宋体"/>
          <w:b/>
          <w:bCs/>
          <w:color w:val="auto"/>
          <w:kern w:val="0"/>
          <w:sz w:val="32"/>
          <w:szCs w:val="32"/>
          <w:highlight w:val="none"/>
        </w:rPr>
        <w:t>投标文件编制情况</w:t>
      </w:r>
    </w:p>
    <w:p>
      <w:pPr>
        <w:spacing w:line="600" w:lineRule="exact"/>
        <w:ind w:firstLine="643" w:firstLineChars="200"/>
        <w:jc w:val="center"/>
        <w:rPr>
          <w:rFonts w:ascii="宋体" w:hAnsi="宋体"/>
          <w:b/>
          <w:bCs/>
          <w:color w:val="auto"/>
          <w:kern w:val="0"/>
          <w:sz w:val="32"/>
          <w:szCs w:val="32"/>
          <w:highlight w:val="none"/>
        </w:rPr>
      </w:pPr>
    </w:p>
    <w:p>
      <w:pPr>
        <w:pStyle w:val="39"/>
        <w:spacing w:after="0" w:line="360" w:lineRule="auto"/>
        <w:ind w:firstLine="480" w:firstLineChars="2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1.投标文件报价编制方式: □自行编制的，编制的负责人：</w:t>
      </w:r>
      <w:r>
        <w:rPr>
          <w:rFonts w:hint="eastAsia" w:ascii="宋体" w:hAnsi="宋体" w:eastAsia="宋体"/>
          <w:color w:val="auto"/>
          <w:sz w:val="24"/>
          <w:szCs w:val="24"/>
          <w:highlight w:val="none"/>
          <w:u w:val="single"/>
        </w:rPr>
        <w:t>（盖造价工程师执业专用章，执业单位应与投标人一致）</w:t>
      </w:r>
      <w:r>
        <w:rPr>
          <w:rFonts w:hint="eastAsia" w:ascii="宋体" w:hAnsi="宋体" w:eastAsia="宋体"/>
          <w:color w:val="auto"/>
          <w:sz w:val="24"/>
          <w:szCs w:val="24"/>
          <w:highlight w:val="none"/>
        </w:rPr>
        <w:t>。□委托编制的，受委托单位，编制的负责人：</w:t>
      </w:r>
      <w:r>
        <w:rPr>
          <w:rFonts w:hint="eastAsia" w:ascii="宋体" w:hAnsi="宋体" w:eastAsia="宋体"/>
          <w:color w:val="auto"/>
          <w:sz w:val="24"/>
          <w:szCs w:val="24"/>
          <w:highlight w:val="none"/>
          <w:u w:val="single"/>
        </w:rPr>
        <w:t>（盖造价工程师执业专用章，执业单位应与受委托单位一致）</w:t>
      </w:r>
      <w:r>
        <w:rPr>
          <w:rFonts w:hint="eastAsia" w:ascii="宋体" w:hAnsi="宋体" w:eastAsia="宋体"/>
          <w:color w:val="auto"/>
          <w:sz w:val="24"/>
          <w:szCs w:val="24"/>
          <w:highlight w:val="none"/>
        </w:rPr>
        <w:t>。</w:t>
      </w:r>
    </w:p>
    <w:p>
      <w:pPr>
        <w:pStyle w:val="39"/>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2.投标文件加密打包的电脑情况</w:t>
      </w:r>
    </w:p>
    <w:tbl>
      <w:tblPr>
        <w:tblStyle w:val="40"/>
        <w:tblW w:w="0" w:type="auto"/>
        <w:tblInd w:w="0" w:type="dxa"/>
        <w:tblLayout w:type="fixed"/>
        <w:tblCellMar>
          <w:top w:w="0" w:type="dxa"/>
          <w:left w:w="108" w:type="dxa"/>
          <w:bottom w:w="0" w:type="dxa"/>
          <w:right w:w="108" w:type="dxa"/>
        </w:tblCellMar>
      </w:tblPr>
      <w:tblGrid>
        <w:gridCol w:w="8522"/>
      </w:tblGrid>
      <w:tr>
        <w:tblPrEx>
          <w:tblCellMar>
            <w:top w:w="0" w:type="dxa"/>
            <w:left w:w="108" w:type="dxa"/>
            <w:bottom w:w="0" w:type="dxa"/>
            <w:right w:w="108" w:type="dxa"/>
          </w:tblCellMar>
        </w:tblPrEx>
        <w:trPr>
          <w:trHeight w:val="2819" w:hRule="atLeast"/>
        </w:trPr>
        <w:tc>
          <w:tcPr>
            <w:tcW w:w="8522" w:type="dxa"/>
          </w:tcPr>
          <w:p>
            <w:pPr>
              <w:pStyle w:val="39"/>
              <w:spacing w:after="0" w:line="360" w:lineRule="auto"/>
              <w:ind w:firstLine="0"/>
              <w:rPr>
                <w:rFonts w:ascii="宋体" w:hAnsi="宋体" w:eastAsia="宋体"/>
                <w:color w:val="auto"/>
                <w:sz w:val="24"/>
                <w:szCs w:val="24"/>
                <w:highlight w:val="none"/>
              </w:rPr>
            </w:pPr>
            <w:r>
              <w:rPr>
                <w:rFonts w:hint="eastAsia" w:ascii="宋体" w:hAnsi="宋体" w:eastAsia="宋体"/>
                <w:color w:val="auto"/>
                <w:sz w:val="24"/>
                <w:szCs w:val="24"/>
                <w:highlight w:val="none"/>
              </w:rPr>
              <w:t>投标文件加密打包的电脑自有□外包□其他□</w:t>
            </w:r>
          </w:p>
          <w:p>
            <w:pPr>
              <w:pStyle w:val="39"/>
              <w:spacing w:after="0" w:line="360" w:lineRule="auto"/>
              <w:ind w:firstLine="0"/>
              <w:rPr>
                <w:rFonts w:ascii="宋体" w:hAnsi="宋体" w:eastAsia="宋体"/>
                <w:color w:val="auto"/>
                <w:sz w:val="24"/>
                <w:szCs w:val="24"/>
                <w:highlight w:val="none"/>
              </w:rPr>
            </w:pPr>
            <w:r>
              <w:rPr>
                <w:rFonts w:hint="eastAsia" w:ascii="宋体" w:hAnsi="宋体" w:eastAsia="宋体"/>
                <w:color w:val="auto"/>
                <w:sz w:val="24"/>
                <w:szCs w:val="24"/>
                <w:highlight w:val="none"/>
              </w:rPr>
              <w:t>电脑类型</w:t>
            </w:r>
          </w:p>
          <w:p>
            <w:pPr>
              <w:pStyle w:val="39"/>
              <w:spacing w:after="0" w:line="360" w:lineRule="auto"/>
              <w:ind w:firstLine="0"/>
              <w:rPr>
                <w:rFonts w:ascii="宋体" w:hAnsi="宋体" w:eastAsia="宋体"/>
                <w:color w:val="auto"/>
                <w:sz w:val="24"/>
                <w:szCs w:val="24"/>
                <w:highlight w:val="none"/>
              </w:rPr>
            </w:pPr>
            <w:r>
              <w:rPr>
                <w:rFonts w:hint="eastAsia" w:ascii="宋体" w:hAnsi="宋体" w:eastAsia="宋体"/>
                <w:color w:val="auto"/>
                <w:sz w:val="24"/>
                <w:szCs w:val="24"/>
                <w:highlight w:val="none"/>
              </w:rPr>
              <w:t>电脑所属单位</w:t>
            </w:r>
          </w:p>
          <w:p>
            <w:pPr>
              <w:pStyle w:val="39"/>
              <w:spacing w:after="0" w:line="360" w:lineRule="auto"/>
              <w:ind w:firstLine="0"/>
              <w:rPr>
                <w:rFonts w:ascii="宋体" w:hAnsi="宋体" w:eastAsia="宋体"/>
                <w:color w:val="auto"/>
                <w:sz w:val="24"/>
                <w:szCs w:val="24"/>
                <w:highlight w:val="none"/>
              </w:rPr>
            </w:pPr>
            <w:r>
              <w:rPr>
                <w:rFonts w:hint="eastAsia" w:ascii="宋体" w:hAnsi="宋体" w:eastAsia="宋体"/>
                <w:color w:val="auto"/>
                <w:sz w:val="24"/>
                <w:szCs w:val="24"/>
                <w:highlight w:val="none"/>
              </w:rPr>
              <w:t>电脑所在地址（如××市××区(县) ××街（路）××号××大厦××房）</w:t>
            </w:r>
          </w:p>
        </w:tc>
      </w:tr>
    </w:tbl>
    <w:p>
      <w:pPr>
        <w:autoSpaceDE w:val="0"/>
        <w:autoSpaceDN w:val="0"/>
        <w:adjustRightInd w:val="0"/>
        <w:rPr>
          <w:rFonts w:ascii="宋体" w:hAnsi="宋体"/>
          <w:color w:val="auto"/>
          <w:szCs w:val="21"/>
          <w:highlight w:val="none"/>
        </w:rPr>
      </w:pPr>
    </w:p>
    <w:p>
      <w:pPr>
        <w:pStyle w:val="6"/>
        <w:numPr>
          <w:ilvl w:val="0"/>
          <w:numId w:val="0"/>
        </w:numPr>
        <w:rPr>
          <w:color w:val="auto"/>
          <w:highlight w:val="none"/>
        </w:rPr>
      </w:pPr>
      <w:r>
        <w:rPr>
          <w:color w:val="auto"/>
          <w:highlight w:val="none"/>
        </w:rPr>
        <w:br w:type="page"/>
      </w:r>
      <w:r>
        <w:rPr>
          <w:rFonts w:hint="eastAsia"/>
          <w:color w:val="auto"/>
          <w:highlight w:val="none"/>
        </w:rPr>
        <w:t>附件六：</w:t>
      </w:r>
    </w:p>
    <w:p>
      <w:pPr>
        <w:autoSpaceDE w:val="0"/>
        <w:autoSpaceDN w:val="0"/>
        <w:adjustRightInd w:val="0"/>
        <w:ind w:firstLine="420"/>
        <w:rPr>
          <w:rFonts w:ascii="宋体" w:hAnsi="宋体"/>
          <w:color w:val="auto"/>
          <w:szCs w:val="21"/>
          <w:highlight w:val="none"/>
        </w:rPr>
      </w:pPr>
    </w:p>
    <w:p>
      <w:pPr>
        <w:spacing w:line="600" w:lineRule="exact"/>
        <w:ind w:firstLine="643" w:firstLineChars="200"/>
        <w:jc w:val="center"/>
        <w:rPr>
          <w:rFonts w:ascii="宋体" w:hAnsi="宋体"/>
          <w:b/>
          <w:bCs/>
          <w:color w:val="auto"/>
          <w:kern w:val="0"/>
          <w:sz w:val="32"/>
          <w:szCs w:val="32"/>
          <w:highlight w:val="none"/>
        </w:rPr>
      </w:pPr>
      <w:r>
        <w:rPr>
          <w:rFonts w:hint="eastAsia" w:ascii="宋体" w:hAnsi="宋体"/>
          <w:b/>
          <w:bCs/>
          <w:color w:val="auto"/>
          <w:kern w:val="0"/>
          <w:sz w:val="32"/>
          <w:szCs w:val="32"/>
          <w:highlight w:val="none"/>
        </w:rPr>
        <w:t>如投标报价低于警示价的，提供投标报价不低于成本价的证明材料</w:t>
      </w:r>
    </w:p>
    <w:p>
      <w:pPr>
        <w:spacing w:line="360" w:lineRule="auto"/>
        <w:ind w:right="480"/>
        <w:rPr>
          <w:rFonts w:ascii="宋体" w:hAnsi="宋体"/>
          <w:color w:val="auto"/>
          <w:sz w:val="24"/>
          <w:highlight w:val="none"/>
        </w:rPr>
      </w:pPr>
    </w:p>
    <w:p>
      <w:pPr>
        <w:pStyle w:val="6"/>
        <w:numPr>
          <w:ilvl w:val="0"/>
          <w:numId w:val="0"/>
        </w:numPr>
        <w:rPr>
          <w:color w:val="auto"/>
          <w:highlight w:val="none"/>
        </w:rPr>
      </w:pPr>
      <w:r>
        <w:rPr>
          <w:rFonts w:hint="eastAsia"/>
          <w:color w:val="auto"/>
          <w:highlight w:val="none"/>
        </w:rPr>
        <w:br w:type="page"/>
      </w:r>
      <w:r>
        <w:rPr>
          <w:rFonts w:hint="eastAsia"/>
          <w:color w:val="auto"/>
          <w:highlight w:val="none"/>
        </w:rPr>
        <w:t>附件七：</w:t>
      </w:r>
    </w:p>
    <w:p>
      <w:pPr>
        <w:tabs>
          <w:tab w:val="left" w:pos="720"/>
        </w:tabs>
        <w:snapToGrid w:val="0"/>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标函承诺书</w:t>
      </w:r>
    </w:p>
    <w:bookmarkEnd w:id="337"/>
    <w:bookmarkEnd w:id="338"/>
    <w:bookmarkEnd w:id="339"/>
    <w:bookmarkEnd w:id="340"/>
    <w:bookmarkEnd w:id="341"/>
    <w:p>
      <w:pPr>
        <w:pStyle w:val="155"/>
        <w:spacing w:line="360" w:lineRule="auto"/>
        <w:ind w:left="339" w:leftChars="101" w:hanging="127" w:hangingChars="53"/>
        <w:jc w:val="left"/>
        <w:rPr>
          <w:rFonts w:hint="eastAsia" w:ascii="宋体" w:hAnsi="宋体" w:eastAsia="宋体" w:cs="宋体"/>
          <w:color w:val="auto"/>
          <w:sz w:val="24"/>
          <w:szCs w:val="24"/>
          <w:highlight w:val="none"/>
          <w:u w:val="single"/>
        </w:rPr>
      </w:pPr>
      <w:bookmarkStart w:id="342" w:name="_Toc21787770"/>
    </w:p>
    <w:p>
      <w:pPr>
        <w:pStyle w:val="155"/>
        <w:spacing w:line="360" w:lineRule="auto"/>
        <w:ind w:left="339" w:leftChars="101" w:hanging="127" w:hangingChars="53"/>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致：广州开发区财政投资建设项目管理中心</w:t>
      </w:r>
    </w:p>
    <w:p>
      <w:pPr>
        <w:pStyle w:val="155"/>
        <w:spacing w:line="360" w:lineRule="auto"/>
        <w:ind w:left="359" w:leftChars="171"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如果在本招标工程中我司中标，我司将积极响应贵单位提出的合同条件及招标文件的要求，并做出如下承诺：</w:t>
      </w:r>
    </w:p>
    <w:p>
      <w:pPr>
        <w:pStyle w:val="155"/>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1、若我公司中标，我公司承诺按时交纳履约保证金。</w:t>
      </w:r>
    </w:p>
    <w:p>
      <w:pPr>
        <w:pStyle w:val="155"/>
        <w:spacing w:after="156" w:afterLines="50"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2、在本工程施工期间，拟投入的人力不少于下表中的人数</w:t>
      </w:r>
    </w:p>
    <w:tbl>
      <w:tblPr>
        <w:tblStyle w:val="40"/>
        <w:tblW w:w="0" w:type="auto"/>
        <w:tblInd w:w="13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0"/>
        <w:gridCol w:w="3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360" w:type="dxa"/>
            <w:tcBorders>
              <w:top w:val="single" w:color="auto" w:sz="4" w:space="0"/>
              <w:left w:val="single" w:color="auto" w:sz="4" w:space="0"/>
              <w:bottom w:val="single" w:color="auto" w:sz="4" w:space="0"/>
              <w:right w:val="single" w:color="auto" w:sz="4" w:space="0"/>
            </w:tcBorders>
            <w:noWrap w:val="0"/>
            <w:vAlign w:val="center"/>
          </w:tcPr>
          <w:p>
            <w:pPr>
              <w:pStyle w:val="143"/>
              <w:spacing w:line="240" w:lineRule="auto"/>
              <w:ind w:firstLine="420" w:firstLineChars="200"/>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rPr>
              <w:t>工种</w:t>
            </w:r>
          </w:p>
        </w:tc>
        <w:tc>
          <w:tcPr>
            <w:tcW w:w="3783" w:type="dxa"/>
            <w:tcBorders>
              <w:top w:val="single" w:color="auto" w:sz="4" w:space="0"/>
              <w:left w:val="single" w:color="auto" w:sz="4" w:space="0"/>
              <w:bottom w:val="single" w:color="auto" w:sz="4" w:space="0"/>
              <w:right w:val="single" w:color="auto" w:sz="4" w:space="0"/>
            </w:tcBorders>
            <w:noWrap w:val="0"/>
            <w:vAlign w:val="center"/>
          </w:tcPr>
          <w:p>
            <w:pPr>
              <w:ind w:firstLine="420" w:firstLineChars="200"/>
              <w:jc w:val="center"/>
              <w:rPr>
                <w:rFonts w:hint="eastAsia" w:ascii="宋体" w:hAnsi="宋体" w:cs="宋体"/>
                <w:color w:val="auto"/>
                <w:kern w:val="0"/>
                <w:szCs w:val="21"/>
                <w:highlight w:val="none"/>
                <w:u w:val="single"/>
              </w:rPr>
            </w:pPr>
            <w:r>
              <w:rPr>
                <w:rFonts w:hint="eastAsia" w:ascii="宋体" w:hAnsi="宋体" w:cs="宋体"/>
                <w:color w:val="auto"/>
                <w:szCs w:val="21"/>
                <w:highlight w:val="none"/>
                <w:u w:val="single"/>
              </w:rPr>
              <w:t>施工低峰期数量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360" w:type="dxa"/>
            <w:tcBorders>
              <w:top w:val="single" w:color="auto" w:sz="4" w:space="0"/>
              <w:left w:val="single" w:color="auto" w:sz="4" w:space="0"/>
              <w:bottom w:val="single" w:color="auto" w:sz="4" w:space="0"/>
              <w:right w:val="single" w:color="auto" w:sz="4" w:space="0"/>
            </w:tcBorders>
            <w:noWrap w:val="0"/>
            <w:vAlign w:val="center"/>
          </w:tcPr>
          <w:p>
            <w:pPr>
              <w:ind w:left="-422" w:leftChars="-201" w:firstLine="420" w:firstLineChars="200"/>
              <w:jc w:val="center"/>
              <w:rPr>
                <w:rFonts w:hint="eastAsia" w:ascii="宋体" w:hAnsi="宋体" w:cs="宋体"/>
                <w:color w:val="auto"/>
                <w:kern w:val="0"/>
                <w:szCs w:val="21"/>
                <w:highlight w:val="none"/>
                <w:u w:val="single"/>
              </w:rPr>
            </w:pPr>
          </w:p>
        </w:tc>
        <w:tc>
          <w:tcPr>
            <w:tcW w:w="3783" w:type="dxa"/>
            <w:tcBorders>
              <w:top w:val="single" w:color="auto" w:sz="4" w:space="0"/>
              <w:left w:val="single" w:color="auto" w:sz="4" w:space="0"/>
              <w:bottom w:val="single" w:color="auto" w:sz="4" w:space="0"/>
              <w:right w:val="single" w:color="auto" w:sz="4" w:space="0"/>
            </w:tcBorders>
            <w:noWrap w:val="0"/>
            <w:vAlign w:val="center"/>
          </w:tcPr>
          <w:p>
            <w:pPr>
              <w:ind w:firstLine="420" w:firstLineChars="200"/>
              <w:jc w:val="center"/>
              <w:rPr>
                <w:rFonts w:hint="eastAsia" w:ascii="宋体" w:hAnsi="宋体" w:cs="宋体"/>
                <w:color w:val="auto"/>
                <w:kern w:val="0"/>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360" w:type="dxa"/>
            <w:tcBorders>
              <w:top w:val="single" w:color="auto" w:sz="4" w:space="0"/>
              <w:left w:val="single" w:color="auto" w:sz="4" w:space="0"/>
              <w:bottom w:val="single" w:color="auto" w:sz="4" w:space="0"/>
              <w:right w:val="single" w:color="auto" w:sz="4" w:space="0"/>
            </w:tcBorders>
            <w:noWrap w:val="0"/>
            <w:vAlign w:val="center"/>
          </w:tcPr>
          <w:p>
            <w:pPr>
              <w:ind w:firstLine="420" w:firstLineChars="200"/>
              <w:jc w:val="center"/>
              <w:rPr>
                <w:rFonts w:hint="eastAsia" w:ascii="宋体" w:hAnsi="宋体" w:cs="宋体"/>
                <w:color w:val="auto"/>
                <w:kern w:val="0"/>
                <w:szCs w:val="21"/>
                <w:highlight w:val="none"/>
                <w:u w:val="single"/>
              </w:rPr>
            </w:pPr>
          </w:p>
        </w:tc>
        <w:tc>
          <w:tcPr>
            <w:tcW w:w="3783" w:type="dxa"/>
            <w:tcBorders>
              <w:top w:val="single" w:color="auto" w:sz="4" w:space="0"/>
              <w:left w:val="single" w:color="auto" w:sz="4" w:space="0"/>
              <w:bottom w:val="single" w:color="auto" w:sz="4" w:space="0"/>
              <w:right w:val="single" w:color="auto" w:sz="4" w:space="0"/>
            </w:tcBorders>
            <w:noWrap w:val="0"/>
            <w:vAlign w:val="center"/>
          </w:tcPr>
          <w:p>
            <w:pPr>
              <w:ind w:firstLine="420" w:firstLineChars="200"/>
              <w:jc w:val="center"/>
              <w:rPr>
                <w:rFonts w:hint="eastAsia" w:ascii="宋体" w:hAnsi="宋体" w:cs="宋体"/>
                <w:color w:val="auto"/>
                <w:kern w:val="0"/>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360" w:type="dxa"/>
            <w:tcBorders>
              <w:top w:val="single" w:color="auto" w:sz="4" w:space="0"/>
              <w:left w:val="single" w:color="auto" w:sz="4" w:space="0"/>
              <w:bottom w:val="single" w:color="auto" w:sz="4" w:space="0"/>
              <w:right w:val="single" w:color="auto" w:sz="4" w:space="0"/>
            </w:tcBorders>
            <w:noWrap w:val="0"/>
            <w:vAlign w:val="center"/>
          </w:tcPr>
          <w:p>
            <w:pPr>
              <w:ind w:firstLine="420" w:firstLineChars="200"/>
              <w:jc w:val="center"/>
              <w:rPr>
                <w:rFonts w:hint="eastAsia" w:ascii="宋体" w:hAnsi="宋体" w:cs="宋体"/>
                <w:color w:val="auto"/>
                <w:kern w:val="0"/>
                <w:szCs w:val="21"/>
                <w:highlight w:val="none"/>
                <w:u w:val="single"/>
              </w:rPr>
            </w:pPr>
          </w:p>
        </w:tc>
        <w:tc>
          <w:tcPr>
            <w:tcW w:w="3783" w:type="dxa"/>
            <w:tcBorders>
              <w:top w:val="single" w:color="auto" w:sz="4" w:space="0"/>
              <w:left w:val="single" w:color="auto" w:sz="4" w:space="0"/>
              <w:bottom w:val="single" w:color="auto" w:sz="4" w:space="0"/>
              <w:right w:val="single" w:color="auto" w:sz="4" w:space="0"/>
            </w:tcBorders>
            <w:noWrap w:val="0"/>
            <w:vAlign w:val="center"/>
          </w:tcPr>
          <w:p>
            <w:pPr>
              <w:ind w:firstLine="420" w:firstLineChars="200"/>
              <w:jc w:val="center"/>
              <w:rPr>
                <w:rFonts w:hint="eastAsia" w:ascii="宋体" w:hAnsi="宋体" w:cs="宋体"/>
                <w:color w:val="auto"/>
                <w:kern w:val="0"/>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360" w:type="dxa"/>
            <w:tcBorders>
              <w:top w:val="single" w:color="auto" w:sz="4" w:space="0"/>
              <w:left w:val="single" w:color="auto" w:sz="4" w:space="0"/>
              <w:bottom w:val="single" w:color="auto" w:sz="4" w:space="0"/>
              <w:right w:val="single" w:color="auto" w:sz="4" w:space="0"/>
            </w:tcBorders>
            <w:noWrap w:val="0"/>
            <w:vAlign w:val="center"/>
          </w:tcPr>
          <w:p>
            <w:pPr>
              <w:ind w:firstLine="420" w:firstLineChars="200"/>
              <w:jc w:val="center"/>
              <w:rPr>
                <w:rFonts w:hint="eastAsia" w:ascii="宋体" w:hAnsi="宋体" w:cs="宋体"/>
                <w:color w:val="auto"/>
                <w:kern w:val="0"/>
                <w:szCs w:val="21"/>
                <w:highlight w:val="none"/>
                <w:u w:val="single"/>
              </w:rPr>
            </w:pPr>
          </w:p>
        </w:tc>
        <w:tc>
          <w:tcPr>
            <w:tcW w:w="3783" w:type="dxa"/>
            <w:tcBorders>
              <w:top w:val="single" w:color="auto" w:sz="4" w:space="0"/>
              <w:left w:val="single" w:color="auto" w:sz="4" w:space="0"/>
              <w:bottom w:val="single" w:color="auto" w:sz="4" w:space="0"/>
              <w:right w:val="single" w:color="auto" w:sz="4" w:space="0"/>
            </w:tcBorders>
            <w:noWrap w:val="0"/>
            <w:vAlign w:val="center"/>
          </w:tcPr>
          <w:p>
            <w:pPr>
              <w:ind w:firstLine="420" w:firstLineChars="200"/>
              <w:jc w:val="center"/>
              <w:rPr>
                <w:rFonts w:hint="eastAsia" w:ascii="宋体" w:hAnsi="宋体" w:cs="宋体"/>
                <w:color w:val="auto"/>
                <w:kern w:val="0"/>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360" w:type="dxa"/>
            <w:tcBorders>
              <w:top w:val="single" w:color="auto" w:sz="4" w:space="0"/>
              <w:left w:val="single" w:color="auto" w:sz="4" w:space="0"/>
              <w:bottom w:val="single" w:color="auto" w:sz="4" w:space="0"/>
              <w:right w:val="single" w:color="auto" w:sz="4" w:space="0"/>
            </w:tcBorders>
            <w:noWrap w:val="0"/>
            <w:vAlign w:val="center"/>
          </w:tcPr>
          <w:p>
            <w:pPr>
              <w:ind w:firstLine="420" w:firstLineChars="200"/>
              <w:jc w:val="center"/>
              <w:rPr>
                <w:rFonts w:hint="eastAsia" w:ascii="宋体" w:hAnsi="宋体" w:cs="宋体"/>
                <w:color w:val="auto"/>
                <w:kern w:val="0"/>
                <w:szCs w:val="21"/>
                <w:highlight w:val="none"/>
                <w:u w:val="single"/>
              </w:rPr>
            </w:pPr>
          </w:p>
        </w:tc>
        <w:tc>
          <w:tcPr>
            <w:tcW w:w="3783" w:type="dxa"/>
            <w:tcBorders>
              <w:top w:val="single" w:color="auto" w:sz="4" w:space="0"/>
              <w:left w:val="single" w:color="auto" w:sz="4" w:space="0"/>
              <w:bottom w:val="single" w:color="auto" w:sz="4" w:space="0"/>
              <w:right w:val="single" w:color="auto" w:sz="4" w:space="0"/>
            </w:tcBorders>
            <w:noWrap w:val="0"/>
            <w:vAlign w:val="center"/>
          </w:tcPr>
          <w:p>
            <w:pPr>
              <w:ind w:firstLine="420" w:firstLineChars="200"/>
              <w:jc w:val="center"/>
              <w:rPr>
                <w:rFonts w:hint="eastAsia" w:ascii="宋体" w:hAnsi="宋体" w:cs="宋体"/>
                <w:color w:val="auto"/>
                <w:kern w:val="0"/>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360" w:type="dxa"/>
            <w:tcBorders>
              <w:top w:val="single" w:color="auto" w:sz="4" w:space="0"/>
              <w:left w:val="single" w:color="auto" w:sz="4" w:space="0"/>
              <w:bottom w:val="single" w:color="auto" w:sz="4" w:space="0"/>
              <w:right w:val="single" w:color="auto" w:sz="4" w:space="0"/>
            </w:tcBorders>
            <w:noWrap w:val="0"/>
            <w:vAlign w:val="center"/>
          </w:tcPr>
          <w:p>
            <w:pPr>
              <w:ind w:firstLine="420" w:firstLineChars="200"/>
              <w:jc w:val="center"/>
              <w:rPr>
                <w:rFonts w:hint="eastAsia" w:ascii="宋体" w:hAnsi="宋体" w:cs="宋体"/>
                <w:color w:val="auto"/>
                <w:kern w:val="0"/>
                <w:szCs w:val="21"/>
                <w:highlight w:val="none"/>
                <w:u w:val="single"/>
              </w:rPr>
            </w:pPr>
          </w:p>
        </w:tc>
        <w:tc>
          <w:tcPr>
            <w:tcW w:w="3783" w:type="dxa"/>
            <w:tcBorders>
              <w:top w:val="single" w:color="auto" w:sz="4" w:space="0"/>
              <w:left w:val="single" w:color="auto" w:sz="4" w:space="0"/>
              <w:bottom w:val="single" w:color="auto" w:sz="4" w:space="0"/>
              <w:right w:val="single" w:color="auto" w:sz="4" w:space="0"/>
            </w:tcBorders>
            <w:noWrap w:val="0"/>
            <w:vAlign w:val="center"/>
          </w:tcPr>
          <w:p>
            <w:pPr>
              <w:ind w:firstLine="420" w:firstLineChars="200"/>
              <w:jc w:val="center"/>
              <w:rPr>
                <w:rFonts w:hint="eastAsia" w:ascii="宋体" w:hAnsi="宋体" w:cs="宋体"/>
                <w:color w:val="auto"/>
                <w:kern w:val="0"/>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360" w:type="dxa"/>
            <w:tcBorders>
              <w:top w:val="single" w:color="auto" w:sz="4" w:space="0"/>
              <w:left w:val="single" w:color="auto" w:sz="4" w:space="0"/>
              <w:bottom w:val="single" w:color="auto" w:sz="4" w:space="0"/>
              <w:right w:val="single" w:color="auto" w:sz="4" w:space="0"/>
            </w:tcBorders>
            <w:noWrap w:val="0"/>
            <w:vAlign w:val="center"/>
          </w:tcPr>
          <w:p>
            <w:pPr>
              <w:ind w:firstLine="420" w:firstLineChars="200"/>
              <w:jc w:val="center"/>
              <w:rPr>
                <w:rFonts w:hint="eastAsia" w:ascii="宋体" w:hAnsi="宋体" w:cs="宋体"/>
                <w:color w:val="auto"/>
                <w:kern w:val="0"/>
                <w:szCs w:val="21"/>
                <w:highlight w:val="none"/>
                <w:u w:val="single"/>
              </w:rPr>
            </w:pPr>
          </w:p>
        </w:tc>
        <w:tc>
          <w:tcPr>
            <w:tcW w:w="3783" w:type="dxa"/>
            <w:tcBorders>
              <w:top w:val="single" w:color="auto" w:sz="4" w:space="0"/>
              <w:left w:val="single" w:color="auto" w:sz="4" w:space="0"/>
              <w:bottom w:val="single" w:color="auto" w:sz="4" w:space="0"/>
              <w:right w:val="single" w:color="auto" w:sz="4" w:space="0"/>
            </w:tcBorders>
            <w:noWrap w:val="0"/>
            <w:vAlign w:val="center"/>
          </w:tcPr>
          <w:p>
            <w:pPr>
              <w:ind w:firstLine="420" w:firstLineChars="200"/>
              <w:jc w:val="center"/>
              <w:rPr>
                <w:rFonts w:hint="eastAsia" w:ascii="宋体" w:hAnsi="宋体" w:cs="宋体"/>
                <w:color w:val="auto"/>
                <w:kern w:val="0"/>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360" w:type="dxa"/>
            <w:tcBorders>
              <w:top w:val="single" w:color="auto" w:sz="4" w:space="0"/>
              <w:left w:val="single" w:color="auto" w:sz="4" w:space="0"/>
              <w:bottom w:val="single" w:color="auto" w:sz="4" w:space="0"/>
              <w:right w:val="single" w:color="auto" w:sz="4" w:space="0"/>
            </w:tcBorders>
            <w:noWrap w:val="0"/>
            <w:vAlign w:val="center"/>
          </w:tcPr>
          <w:p>
            <w:pPr>
              <w:ind w:firstLine="420" w:firstLineChars="200"/>
              <w:jc w:val="center"/>
              <w:rPr>
                <w:rFonts w:hint="eastAsia" w:ascii="宋体" w:hAnsi="宋体" w:cs="宋体"/>
                <w:color w:val="auto"/>
                <w:szCs w:val="21"/>
                <w:highlight w:val="none"/>
                <w:u w:val="single"/>
              </w:rPr>
            </w:pPr>
          </w:p>
        </w:tc>
        <w:tc>
          <w:tcPr>
            <w:tcW w:w="3783" w:type="dxa"/>
            <w:tcBorders>
              <w:top w:val="single" w:color="auto" w:sz="4" w:space="0"/>
              <w:left w:val="single" w:color="auto" w:sz="4" w:space="0"/>
              <w:bottom w:val="single" w:color="auto" w:sz="4" w:space="0"/>
              <w:right w:val="single" w:color="auto" w:sz="4" w:space="0"/>
            </w:tcBorders>
            <w:noWrap w:val="0"/>
            <w:vAlign w:val="center"/>
          </w:tcPr>
          <w:p>
            <w:pPr>
              <w:ind w:firstLine="420" w:firstLineChars="200"/>
              <w:jc w:val="center"/>
              <w:rPr>
                <w:rFonts w:hint="eastAsia" w:ascii="宋体" w:hAnsi="宋体" w:cs="宋体"/>
                <w:color w:val="auto"/>
                <w:kern w:val="0"/>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360" w:type="dxa"/>
            <w:tcBorders>
              <w:top w:val="single" w:color="auto" w:sz="4" w:space="0"/>
              <w:left w:val="single" w:color="auto" w:sz="4" w:space="0"/>
              <w:bottom w:val="single" w:color="auto" w:sz="4" w:space="0"/>
              <w:right w:val="single" w:color="auto" w:sz="4" w:space="0"/>
            </w:tcBorders>
            <w:noWrap w:val="0"/>
            <w:vAlign w:val="center"/>
          </w:tcPr>
          <w:p>
            <w:pPr>
              <w:ind w:firstLine="420" w:firstLineChars="200"/>
              <w:jc w:val="center"/>
              <w:rPr>
                <w:rFonts w:hint="eastAsia" w:ascii="宋体" w:hAnsi="宋体" w:cs="宋体"/>
                <w:color w:val="auto"/>
                <w:szCs w:val="21"/>
                <w:highlight w:val="none"/>
                <w:u w:val="single"/>
              </w:rPr>
            </w:pPr>
          </w:p>
        </w:tc>
        <w:tc>
          <w:tcPr>
            <w:tcW w:w="3783" w:type="dxa"/>
            <w:tcBorders>
              <w:top w:val="single" w:color="auto" w:sz="4" w:space="0"/>
              <w:left w:val="single" w:color="auto" w:sz="4" w:space="0"/>
              <w:bottom w:val="single" w:color="auto" w:sz="4" w:space="0"/>
              <w:right w:val="single" w:color="auto" w:sz="4" w:space="0"/>
            </w:tcBorders>
            <w:noWrap w:val="0"/>
            <w:vAlign w:val="center"/>
          </w:tcPr>
          <w:p>
            <w:pPr>
              <w:ind w:firstLine="420" w:firstLineChars="200"/>
              <w:jc w:val="center"/>
              <w:rPr>
                <w:rFonts w:hint="eastAsia" w:ascii="宋体" w:hAnsi="宋体" w:cs="宋体"/>
                <w:color w:val="auto"/>
                <w:kern w:val="0"/>
                <w:szCs w:val="21"/>
                <w:highlight w:val="none"/>
                <w:u w:val="single"/>
              </w:rPr>
            </w:pPr>
          </w:p>
        </w:tc>
      </w:tr>
    </w:tbl>
    <w:p>
      <w:pPr>
        <w:pStyle w:val="155"/>
        <w:spacing w:before="156" w:beforeLines="50" w:after="156" w:afterLines="50"/>
        <w:ind w:left="441" w:leftChars="210"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3、在工程施工期间，拟投入的主要机械设备不少于下表中数量：</w:t>
      </w:r>
    </w:p>
    <w:tbl>
      <w:tblPr>
        <w:tblStyle w:val="40"/>
        <w:tblW w:w="0" w:type="auto"/>
        <w:tblInd w:w="13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75"/>
        <w:gridCol w:w="3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675" w:type="dxa"/>
            <w:tcBorders>
              <w:top w:val="single" w:color="auto" w:sz="4" w:space="0"/>
              <w:left w:val="single" w:color="auto" w:sz="4" w:space="0"/>
              <w:bottom w:val="single" w:color="auto" w:sz="4" w:space="0"/>
              <w:right w:val="single" w:color="auto" w:sz="4" w:space="0"/>
            </w:tcBorders>
            <w:noWrap w:val="0"/>
            <w:vAlign w:val="center"/>
          </w:tcPr>
          <w:p>
            <w:pPr>
              <w:ind w:firstLine="420" w:firstLineChars="200"/>
              <w:jc w:val="center"/>
              <w:rPr>
                <w:rFonts w:hint="eastAsia" w:ascii="宋体" w:hAnsi="宋体" w:cs="宋体"/>
                <w:bCs/>
                <w:color w:val="auto"/>
                <w:kern w:val="0"/>
                <w:szCs w:val="21"/>
                <w:highlight w:val="none"/>
                <w:u w:val="single"/>
              </w:rPr>
            </w:pPr>
            <w:r>
              <w:rPr>
                <w:rFonts w:hint="eastAsia" w:ascii="宋体" w:hAnsi="宋体" w:cs="宋体"/>
                <w:bCs/>
                <w:color w:val="auto"/>
                <w:kern w:val="0"/>
                <w:szCs w:val="21"/>
                <w:highlight w:val="none"/>
                <w:u w:val="single"/>
              </w:rPr>
              <w:t>主要机械名称</w:t>
            </w:r>
          </w:p>
        </w:tc>
        <w:tc>
          <w:tcPr>
            <w:tcW w:w="3465" w:type="dxa"/>
            <w:tcBorders>
              <w:top w:val="single" w:color="auto" w:sz="4" w:space="0"/>
              <w:left w:val="single" w:color="auto" w:sz="4" w:space="0"/>
              <w:bottom w:val="single" w:color="auto" w:sz="4" w:space="0"/>
              <w:right w:val="single" w:color="auto" w:sz="4" w:space="0"/>
            </w:tcBorders>
            <w:noWrap w:val="0"/>
            <w:vAlign w:val="center"/>
          </w:tcPr>
          <w:p>
            <w:pPr>
              <w:ind w:firstLine="420" w:firstLineChars="200"/>
              <w:jc w:val="center"/>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正常施工情况下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675" w:type="dxa"/>
            <w:tcBorders>
              <w:top w:val="single" w:color="auto" w:sz="4" w:space="0"/>
              <w:left w:val="single" w:color="auto" w:sz="4" w:space="0"/>
              <w:bottom w:val="single" w:color="auto" w:sz="4" w:space="0"/>
              <w:right w:val="single" w:color="auto" w:sz="4" w:space="0"/>
            </w:tcBorders>
            <w:noWrap w:val="0"/>
            <w:vAlign w:val="center"/>
          </w:tcPr>
          <w:p>
            <w:pPr>
              <w:ind w:firstLine="420" w:firstLineChars="200"/>
              <w:jc w:val="center"/>
              <w:rPr>
                <w:rFonts w:hint="eastAsia" w:ascii="宋体" w:hAnsi="宋体" w:cs="宋体"/>
                <w:color w:val="auto"/>
                <w:kern w:val="0"/>
                <w:szCs w:val="21"/>
                <w:highlight w:val="none"/>
                <w:u w:val="single"/>
              </w:rPr>
            </w:pPr>
          </w:p>
        </w:tc>
        <w:tc>
          <w:tcPr>
            <w:tcW w:w="3465" w:type="dxa"/>
            <w:tcBorders>
              <w:top w:val="single" w:color="auto" w:sz="4" w:space="0"/>
              <w:left w:val="single" w:color="auto" w:sz="4" w:space="0"/>
              <w:bottom w:val="single" w:color="auto" w:sz="4" w:space="0"/>
              <w:right w:val="single" w:color="auto" w:sz="4" w:space="0"/>
            </w:tcBorders>
            <w:noWrap w:val="0"/>
            <w:vAlign w:val="center"/>
          </w:tcPr>
          <w:p>
            <w:pPr>
              <w:ind w:firstLine="420" w:firstLineChars="200"/>
              <w:jc w:val="center"/>
              <w:rPr>
                <w:rFonts w:hint="eastAsia" w:ascii="宋体" w:hAnsi="宋体" w:cs="宋体"/>
                <w:color w:val="auto"/>
                <w:kern w:val="0"/>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675" w:type="dxa"/>
            <w:tcBorders>
              <w:top w:val="single" w:color="auto" w:sz="4" w:space="0"/>
              <w:left w:val="single" w:color="auto" w:sz="4" w:space="0"/>
              <w:bottom w:val="single" w:color="auto" w:sz="4" w:space="0"/>
              <w:right w:val="single" w:color="auto" w:sz="4" w:space="0"/>
            </w:tcBorders>
            <w:noWrap w:val="0"/>
            <w:vAlign w:val="center"/>
          </w:tcPr>
          <w:p>
            <w:pPr>
              <w:ind w:firstLine="420" w:firstLineChars="200"/>
              <w:jc w:val="center"/>
              <w:rPr>
                <w:rFonts w:hint="eastAsia" w:ascii="宋体" w:hAnsi="宋体" w:cs="宋体"/>
                <w:color w:val="auto"/>
                <w:kern w:val="0"/>
                <w:szCs w:val="21"/>
                <w:highlight w:val="none"/>
                <w:u w:val="single"/>
              </w:rPr>
            </w:pPr>
          </w:p>
        </w:tc>
        <w:tc>
          <w:tcPr>
            <w:tcW w:w="3465" w:type="dxa"/>
            <w:tcBorders>
              <w:top w:val="single" w:color="auto" w:sz="4" w:space="0"/>
              <w:left w:val="single" w:color="auto" w:sz="4" w:space="0"/>
              <w:bottom w:val="single" w:color="auto" w:sz="4" w:space="0"/>
              <w:right w:val="single" w:color="auto" w:sz="4" w:space="0"/>
            </w:tcBorders>
            <w:noWrap w:val="0"/>
            <w:vAlign w:val="center"/>
          </w:tcPr>
          <w:p>
            <w:pPr>
              <w:ind w:firstLine="420" w:firstLineChars="200"/>
              <w:jc w:val="center"/>
              <w:rPr>
                <w:rFonts w:hint="eastAsia" w:ascii="宋体" w:hAnsi="宋体" w:cs="宋体"/>
                <w:color w:val="auto"/>
                <w:kern w:val="0"/>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675" w:type="dxa"/>
            <w:tcBorders>
              <w:top w:val="single" w:color="auto" w:sz="4" w:space="0"/>
              <w:left w:val="single" w:color="auto" w:sz="4" w:space="0"/>
              <w:bottom w:val="single" w:color="auto" w:sz="4" w:space="0"/>
              <w:right w:val="single" w:color="auto" w:sz="4" w:space="0"/>
            </w:tcBorders>
            <w:noWrap w:val="0"/>
            <w:vAlign w:val="center"/>
          </w:tcPr>
          <w:p>
            <w:pPr>
              <w:ind w:firstLine="420" w:firstLineChars="200"/>
              <w:jc w:val="center"/>
              <w:rPr>
                <w:rFonts w:hint="eastAsia" w:ascii="宋体" w:hAnsi="宋体" w:cs="宋体"/>
                <w:color w:val="auto"/>
                <w:kern w:val="0"/>
                <w:szCs w:val="21"/>
                <w:highlight w:val="none"/>
                <w:u w:val="single"/>
              </w:rPr>
            </w:pPr>
          </w:p>
        </w:tc>
        <w:tc>
          <w:tcPr>
            <w:tcW w:w="3465" w:type="dxa"/>
            <w:tcBorders>
              <w:top w:val="single" w:color="auto" w:sz="4" w:space="0"/>
              <w:left w:val="single" w:color="auto" w:sz="4" w:space="0"/>
              <w:bottom w:val="single" w:color="auto" w:sz="4" w:space="0"/>
              <w:right w:val="single" w:color="auto" w:sz="4" w:space="0"/>
            </w:tcBorders>
            <w:noWrap w:val="0"/>
            <w:vAlign w:val="center"/>
          </w:tcPr>
          <w:p>
            <w:pPr>
              <w:ind w:firstLine="420" w:firstLineChars="200"/>
              <w:jc w:val="center"/>
              <w:rPr>
                <w:rFonts w:hint="eastAsia" w:ascii="宋体" w:hAnsi="宋体" w:cs="宋体"/>
                <w:color w:val="auto"/>
                <w:kern w:val="0"/>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675" w:type="dxa"/>
            <w:tcBorders>
              <w:top w:val="single" w:color="auto" w:sz="4" w:space="0"/>
              <w:left w:val="single" w:color="auto" w:sz="4" w:space="0"/>
              <w:bottom w:val="single" w:color="auto" w:sz="4" w:space="0"/>
              <w:right w:val="single" w:color="auto" w:sz="4" w:space="0"/>
            </w:tcBorders>
            <w:noWrap w:val="0"/>
            <w:vAlign w:val="center"/>
          </w:tcPr>
          <w:p>
            <w:pPr>
              <w:ind w:firstLine="420" w:firstLineChars="200"/>
              <w:jc w:val="center"/>
              <w:rPr>
                <w:rFonts w:hint="eastAsia" w:ascii="宋体" w:hAnsi="宋体" w:cs="宋体"/>
                <w:color w:val="auto"/>
                <w:kern w:val="0"/>
                <w:szCs w:val="21"/>
                <w:highlight w:val="none"/>
                <w:u w:val="single"/>
              </w:rPr>
            </w:pPr>
          </w:p>
        </w:tc>
        <w:tc>
          <w:tcPr>
            <w:tcW w:w="3465" w:type="dxa"/>
            <w:tcBorders>
              <w:top w:val="single" w:color="auto" w:sz="4" w:space="0"/>
              <w:left w:val="single" w:color="auto" w:sz="4" w:space="0"/>
              <w:bottom w:val="single" w:color="auto" w:sz="4" w:space="0"/>
              <w:right w:val="single" w:color="auto" w:sz="4" w:space="0"/>
            </w:tcBorders>
            <w:noWrap w:val="0"/>
            <w:vAlign w:val="center"/>
          </w:tcPr>
          <w:p>
            <w:pPr>
              <w:ind w:firstLine="420" w:firstLineChars="200"/>
              <w:jc w:val="center"/>
              <w:rPr>
                <w:rFonts w:hint="eastAsia" w:ascii="宋体" w:hAnsi="宋体" w:cs="宋体"/>
                <w:color w:val="auto"/>
                <w:kern w:val="0"/>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675" w:type="dxa"/>
            <w:tcBorders>
              <w:top w:val="single" w:color="auto" w:sz="4" w:space="0"/>
              <w:left w:val="single" w:color="auto" w:sz="4" w:space="0"/>
              <w:bottom w:val="single" w:color="auto" w:sz="4" w:space="0"/>
              <w:right w:val="single" w:color="auto" w:sz="4" w:space="0"/>
            </w:tcBorders>
            <w:noWrap w:val="0"/>
            <w:vAlign w:val="center"/>
          </w:tcPr>
          <w:p>
            <w:pPr>
              <w:ind w:firstLine="420" w:firstLineChars="200"/>
              <w:jc w:val="center"/>
              <w:rPr>
                <w:rFonts w:hint="eastAsia" w:ascii="宋体" w:hAnsi="宋体" w:cs="宋体"/>
                <w:color w:val="auto"/>
                <w:kern w:val="0"/>
                <w:szCs w:val="21"/>
                <w:highlight w:val="none"/>
                <w:u w:val="single"/>
              </w:rPr>
            </w:pPr>
          </w:p>
        </w:tc>
        <w:tc>
          <w:tcPr>
            <w:tcW w:w="3465" w:type="dxa"/>
            <w:tcBorders>
              <w:top w:val="single" w:color="auto" w:sz="4" w:space="0"/>
              <w:left w:val="single" w:color="auto" w:sz="4" w:space="0"/>
              <w:bottom w:val="single" w:color="auto" w:sz="4" w:space="0"/>
              <w:right w:val="single" w:color="auto" w:sz="4" w:space="0"/>
            </w:tcBorders>
            <w:noWrap w:val="0"/>
            <w:vAlign w:val="center"/>
          </w:tcPr>
          <w:p>
            <w:pPr>
              <w:ind w:firstLine="420" w:firstLineChars="200"/>
              <w:jc w:val="center"/>
              <w:rPr>
                <w:rFonts w:hint="eastAsia" w:ascii="宋体" w:hAnsi="宋体" w:cs="宋体"/>
                <w:color w:val="auto"/>
                <w:kern w:val="0"/>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675" w:type="dxa"/>
            <w:tcBorders>
              <w:top w:val="single" w:color="auto" w:sz="4" w:space="0"/>
              <w:left w:val="single" w:color="auto" w:sz="4" w:space="0"/>
              <w:bottom w:val="single" w:color="auto" w:sz="4" w:space="0"/>
              <w:right w:val="single" w:color="auto" w:sz="4" w:space="0"/>
            </w:tcBorders>
            <w:noWrap w:val="0"/>
            <w:vAlign w:val="center"/>
          </w:tcPr>
          <w:p>
            <w:pPr>
              <w:ind w:firstLine="420" w:firstLineChars="200"/>
              <w:jc w:val="center"/>
              <w:rPr>
                <w:rFonts w:hint="eastAsia" w:ascii="宋体" w:hAnsi="宋体" w:cs="宋体"/>
                <w:color w:val="auto"/>
                <w:kern w:val="0"/>
                <w:szCs w:val="21"/>
                <w:highlight w:val="none"/>
                <w:u w:val="single"/>
              </w:rPr>
            </w:pPr>
          </w:p>
        </w:tc>
        <w:tc>
          <w:tcPr>
            <w:tcW w:w="3465" w:type="dxa"/>
            <w:tcBorders>
              <w:top w:val="single" w:color="auto" w:sz="4" w:space="0"/>
              <w:left w:val="single" w:color="auto" w:sz="4" w:space="0"/>
              <w:bottom w:val="single" w:color="auto" w:sz="4" w:space="0"/>
              <w:right w:val="single" w:color="auto" w:sz="4" w:space="0"/>
            </w:tcBorders>
            <w:noWrap w:val="0"/>
            <w:vAlign w:val="center"/>
          </w:tcPr>
          <w:p>
            <w:pPr>
              <w:ind w:firstLine="420" w:firstLineChars="200"/>
              <w:jc w:val="center"/>
              <w:rPr>
                <w:rFonts w:hint="eastAsia" w:ascii="宋体" w:hAnsi="宋体" w:cs="宋体"/>
                <w:color w:val="auto"/>
                <w:kern w:val="0"/>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675" w:type="dxa"/>
            <w:tcBorders>
              <w:top w:val="single" w:color="auto" w:sz="4" w:space="0"/>
              <w:left w:val="single" w:color="auto" w:sz="4" w:space="0"/>
              <w:bottom w:val="single" w:color="auto" w:sz="4" w:space="0"/>
              <w:right w:val="single" w:color="auto" w:sz="4" w:space="0"/>
            </w:tcBorders>
            <w:noWrap w:val="0"/>
            <w:vAlign w:val="center"/>
          </w:tcPr>
          <w:p>
            <w:pPr>
              <w:ind w:firstLine="420" w:firstLineChars="200"/>
              <w:jc w:val="center"/>
              <w:rPr>
                <w:rFonts w:hint="eastAsia" w:ascii="宋体" w:hAnsi="宋体" w:cs="宋体"/>
                <w:color w:val="auto"/>
                <w:kern w:val="0"/>
                <w:szCs w:val="21"/>
                <w:highlight w:val="none"/>
                <w:u w:val="single"/>
              </w:rPr>
            </w:pPr>
          </w:p>
        </w:tc>
        <w:tc>
          <w:tcPr>
            <w:tcW w:w="3465" w:type="dxa"/>
            <w:tcBorders>
              <w:top w:val="single" w:color="auto" w:sz="4" w:space="0"/>
              <w:left w:val="single" w:color="auto" w:sz="4" w:space="0"/>
              <w:bottom w:val="single" w:color="auto" w:sz="4" w:space="0"/>
              <w:right w:val="single" w:color="auto" w:sz="4" w:space="0"/>
            </w:tcBorders>
            <w:noWrap w:val="0"/>
            <w:vAlign w:val="center"/>
          </w:tcPr>
          <w:p>
            <w:pPr>
              <w:ind w:firstLine="420" w:firstLineChars="200"/>
              <w:jc w:val="center"/>
              <w:rPr>
                <w:rFonts w:hint="eastAsia" w:ascii="宋体" w:hAnsi="宋体" w:cs="宋体"/>
                <w:color w:val="auto"/>
                <w:kern w:val="0"/>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675" w:type="dxa"/>
            <w:tcBorders>
              <w:top w:val="single" w:color="auto" w:sz="4" w:space="0"/>
              <w:left w:val="single" w:color="auto" w:sz="4" w:space="0"/>
              <w:bottom w:val="single" w:color="auto" w:sz="4" w:space="0"/>
              <w:right w:val="single" w:color="auto" w:sz="4" w:space="0"/>
            </w:tcBorders>
            <w:noWrap w:val="0"/>
            <w:vAlign w:val="center"/>
          </w:tcPr>
          <w:p>
            <w:pPr>
              <w:ind w:firstLine="420" w:firstLineChars="200"/>
              <w:jc w:val="center"/>
              <w:rPr>
                <w:rFonts w:hint="eastAsia" w:ascii="宋体" w:hAnsi="宋体" w:cs="宋体"/>
                <w:color w:val="auto"/>
                <w:kern w:val="0"/>
                <w:szCs w:val="21"/>
                <w:highlight w:val="none"/>
                <w:u w:val="single"/>
              </w:rPr>
            </w:pPr>
          </w:p>
        </w:tc>
        <w:tc>
          <w:tcPr>
            <w:tcW w:w="3465" w:type="dxa"/>
            <w:tcBorders>
              <w:top w:val="single" w:color="auto" w:sz="4" w:space="0"/>
              <w:left w:val="single" w:color="auto" w:sz="4" w:space="0"/>
              <w:bottom w:val="single" w:color="auto" w:sz="4" w:space="0"/>
              <w:right w:val="single" w:color="auto" w:sz="4" w:space="0"/>
            </w:tcBorders>
            <w:noWrap w:val="0"/>
            <w:vAlign w:val="center"/>
          </w:tcPr>
          <w:p>
            <w:pPr>
              <w:ind w:firstLine="420" w:firstLineChars="200"/>
              <w:jc w:val="center"/>
              <w:rPr>
                <w:rFonts w:hint="eastAsia" w:ascii="宋体" w:hAnsi="宋体" w:cs="宋体"/>
                <w:color w:val="auto"/>
                <w:kern w:val="0"/>
                <w:szCs w:val="21"/>
                <w:highlight w:val="none"/>
                <w:u w:val="single"/>
              </w:rPr>
            </w:pPr>
          </w:p>
        </w:tc>
      </w:tr>
    </w:tbl>
    <w:p>
      <w:pPr>
        <w:pStyle w:val="155"/>
        <w:ind w:left="359" w:leftChars="171" w:firstLine="420" w:firstLineChars="200"/>
        <w:jc w:val="left"/>
        <w:rPr>
          <w:rFonts w:hint="eastAsia" w:ascii="宋体" w:hAnsi="宋体" w:eastAsia="宋体" w:cs="宋体"/>
          <w:color w:val="auto"/>
          <w:szCs w:val="21"/>
          <w:highlight w:val="none"/>
          <w:u w:val="single"/>
        </w:rPr>
      </w:pPr>
    </w:p>
    <w:p>
      <w:pPr>
        <w:pStyle w:val="155"/>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4、所选用的主要材料品牌符合招标文件的要求。</w:t>
      </w:r>
    </w:p>
    <w:p>
      <w:pPr>
        <w:pStyle w:val="155"/>
        <w:ind w:firstLine="42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Cs w:val="21"/>
          <w:highlight w:val="none"/>
          <w:u w:val="single"/>
        </w:rPr>
        <w:br w:type="page"/>
      </w:r>
      <w:r>
        <w:rPr>
          <w:rFonts w:hint="eastAsia" w:ascii="宋体" w:hAnsi="宋体" w:eastAsia="宋体" w:cs="宋体"/>
          <w:color w:val="auto"/>
          <w:sz w:val="24"/>
          <w:szCs w:val="24"/>
          <w:highlight w:val="none"/>
          <w:u w:val="single"/>
        </w:rPr>
        <w:t>5、拟投入到本工程的主要技术人员、经济和管理人员如表：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768"/>
        <w:gridCol w:w="554"/>
        <w:gridCol w:w="500"/>
        <w:gridCol w:w="499"/>
        <w:gridCol w:w="499"/>
        <w:gridCol w:w="499"/>
        <w:gridCol w:w="499"/>
        <w:gridCol w:w="499"/>
        <w:gridCol w:w="499"/>
        <w:gridCol w:w="499"/>
        <w:gridCol w:w="499"/>
        <w:gridCol w:w="499"/>
        <w:gridCol w:w="499"/>
        <w:gridCol w:w="499"/>
        <w:gridCol w:w="499"/>
        <w:gridCol w:w="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55" w:hRule="atLeast"/>
          <w:jc w:val="center"/>
        </w:trPr>
        <w:tc>
          <w:tcPr>
            <w:tcW w:w="914" w:type="dxa"/>
            <w:vMerge w:val="restart"/>
            <w:tcBorders>
              <w:top w:val="single" w:color="auto" w:sz="18" w:space="0"/>
              <w:left w:val="single" w:color="auto" w:sz="18" w:space="0"/>
              <w:bottom w:val="single" w:color="auto" w:sz="18" w:space="0"/>
              <w:right w:val="single" w:color="auto" w:sz="4" w:space="0"/>
            </w:tcBorders>
            <w:noWrap w:val="0"/>
            <w:textDirection w:val="btLr"/>
            <w:vAlign w:val="center"/>
          </w:tcPr>
          <w:p>
            <w:pPr>
              <w:ind w:left="113" w:right="113"/>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投标人拟投入本工程的主要技术、经济和管理人员一览表</w:t>
            </w:r>
          </w:p>
        </w:tc>
        <w:tc>
          <w:tcPr>
            <w:tcW w:w="768" w:type="dxa"/>
            <w:tcBorders>
              <w:top w:val="single" w:color="auto" w:sz="18"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从事工程建设工作简历及年限</w:t>
            </w:r>
          </w:p>
        </w:tc>
        <w:tc>
          <w:tcPr>
            <w:tcW w:w="554" w:type="dxa"/>
            <w:tcBorders>
              <w:top w:val="single" w:color="auto" w:sz="18"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cs="宋体"/>
                <w:color w:val="auto"/>
                <w:szCs w:val="21"/>
                <w:highlight w:val="none"/>
                <w:u w:val="single"/>
              </w:rPr>
            </w:pPr>
          </w:p>
        </w:tc>
        <w:tc>
          <w:tcPr>
            <w:tcW w:w="500" w:type="dxa"/>
            <w:tcBorders>
              <w:top w:val="single" w:color="auto" w:sz="18"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cs="宋体"/>
                <w:color w:val="auto"/>
                <w:szCs w:val="21"/>
                <w:highlight w:val="none"/>
                <w:u w:val="single"/>
              </w:rPr>
            </w:pPr>
          </w:p>
        </w:tc>
        <w:tc>
          <w:tcPr>
            <w:tcW w:w="499" w:type="dxa"/>
            <w:tcBorders>
              <w:top w:val="single" w:color="auto" w:sz="18"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cs="宋体"/>
                <w:color w:val="auto"/>
                <w:szCs w:val="21"/>
                <w:highlight w:val="none"/>
                <w:u w:val="single"/>
              </w:rPr>
            </w:pPr>
          </w:p>
        </w:tc>
        <w:tc>
          <w:tcPr>
            <w:tcW w:w="499" w:type="dxa"/>
            <w:tcBorders>
              <w:top w:val="single" w:color="auto" w:sz="18"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cs="宋体"/>
                <w:color w:val="auto"/>
                <w:szCs w:val="21"/>
                <w:highlight w:val="none"/>
                <w:u w:val="single"/>
              </w:rPr>
            </w:pPr>
          </w:p>
        </w:tc>
        <w:tc>
          <w:tcPr>
            <w:tcW w:w="499" w:type="dxa"/>
            <w:tcBorders>
              <w:top w:val="single" w:color="auto" w:sz="18"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cs="宋体"/>
                <w:color w:val="auto"/>
                <w:szCs w:val="21"/>
                <w:highlight w:val="none"/>
                <w:u w:val="single"/>
              </w:rPr>
            </w:pPr>
          </w:p>
        </w:tc>
        <w:tc>
          <w:tcPr>
            <w:tcW w:w="499" w:type="dxa"/>
            <w:tcBorders>
              <w:top w:val="single" w:color="auto" w:sz="18"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cs="宋体"/>
                <w:color w:val="auto"/>
                <w:szCs w:val="21"/>
                <w:highlight w:val="none"/>
                <w:u w:val="single"/>
              </w:rPr>
            </w:pPr>
          </w:p>
        </w:tc>
        <w:tc>
          <w:tcPr>
            <w:tcW w:w="499" w:type="dxa"/>
            <w:tcBorders>
              <w:top w:val="single" w:color="auto" w:sz="18"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cs="宋体"/>
                <w:color w:val="auto"/>
                <w:szCs w:val="21"/>
                <w:highlight w:val="none"/>
                <w:u w:val="single"/>
              </w:rPr>
            </w:pPr>
          </w:p>
        </w:tc>
        <w:tc>
          <w:tcPr>
            <w:tcW w:w="499" w:type="dxa"/>
            <w:tcBorders>
              <w:top w:val="single" w:color="auto" w:sz="18"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cs="宋体"/>
                <w:color w:val="auto"/>
                <w:szCs w:val="21"/>
                <w:highlight w:val="none"/>
                <w:u w:val="single"/>
              </w:rPr>
            </w:pPr>
          </w:p>
        </w:tc>
        <w:tc>
          <w:tcPr>
            <w:tcW w:w="499" w:type="dxa"/>
            <w:tcBorders>
              <w:top w:val="single" w:color="auto" w:sz="18"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cs="宋体"/>
                <w:color w:val="auto"/>
                <w:szCs w:val="21"/>
                <w:highlight w:val="none"/>
                <w:u w:val="single"/>
              </w:rPr>
            </w:pPr>
          </w:p>
        </w:tc>
        <w:tc>
          <w:tcPr>
            <w:tcW w:w="499" w:type="dxa"/>
            <w:tcBorders>
              <w:top w:val="single" w:color="auto" w:sz="18"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cs="宋体"/>
                <w:color w:val="auto"/>
                <w:szCs w:val="21"/>
                <w:highlight w:val="none"/>
                <w:u w:val="single"/>
              </w:rPr>
            </w:pPr>
          </w:p>
        </w:tc>
        <w:tc>
          <w:tcPr>
            <w:tcW w:w="499" w:type="dxa"/>
            <w:tcBorders>
              <w:top w:val="single" w:color="auto" w:sz="18"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cs="宋体"/>
                <w:color w:val="auto"/>
                <w:szCs w:val="21"/>
                <w:highlight w:val="none"/>
                <w:u w:val="single"/>
              </w:rPr>
            </w:pPr>
          </w:p>
        </w:tc>
        <w:tc>
          <w:tcPr>
            <w:tcW w:w="499" w:type="dxa"/>
            <w:tcBorders>
              <w:top w:val="single" w:color="auto" w:sz="18"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cs="宋体"/>
                <w:color w:val="auto"/>
                <w:szCs w:val="21"/>
                <w:highlight w:val="none"/>
                <w:u w:val="single"/>
              </w:rPr>
            </w:pPr>
          </w:p>
        </w:tc>
        <w:tc>
          <w:tcPr>
            <w:tcW w:w="499" w:type="dxa"/>
            <w:tcBorders>
              <w:top w:val="single" w:color="auto" w:sz="18"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cs="宋体"/>
                <w:color w:val="auto"/>
                <w:szCs w:val="21"/>
                <w:highlight w:val="none"/>
                <w:u w:val="single"/>
              </w:rPr>
            </w:pPr>
          </w:p>
        </w:tc>
        <w:tc>
          <w:tcPr>
            <w:tcW w:w="499" w:type="dxa"/>
            <w:tcBorders>
              <w:top w:val="single" w:color="auto" w:sz="18"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cs="宋体"/>
                <w:color w:val="auto"/>
                <w:szCs w:val="21"/>
                <w:highlight w:val="none"/>
                <w:u w:val="single"/>
              </w:rPr>
            </w:pPr>
          </w:p>
        </w:tc>
        <w:tc>
          <w:tcPr>
            <w:tcW w:w="499" w:type="dxa"/>
            <w:tcBorders>
              <w:top w:val="single" w:color="auto" w:sz="18" w:space="0"/>
              <w:left w:val="single" w:color="auto" w:sz="4" w:space="0"/>
              <w:bottom w:val="single" w:color="auto" w:sz="4" w:space="0"/>
              <w:right w:val="single" w:color="auto" w:sz="18" w:space="0"/>
            </w:tcBorders>
            <w:noWrap w:val="0"/>
            <w:textDirection w:val="btLr"/>
            <w:vAlign w:val="center"/>
          </w:tcPr>
          <w:p>
            <w:pPr>
              <w:ind w:left="113" w:right="113"/>
              <w:jc w:val="center"/>
              <w:rPr>
                <w:rFonts w:hint="eastAsia" w:ascii="宋体" w:hAnsi="宋体" w:cs="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5" w:hRule="atLeast"/>
          <w:jc w:val="center"/>
        </w:trPr>
        <w:tc>
          <w:tcPr>
            <w:tcW w:w="914" w:type="dxa"/>
            <w:vMerge w:val="continue"/>
            <w:tcBorders>
              <w:top w:val="single" w:color="auto" w:sz="18" w:space="0"/>
              <w:left w:val="single" w:color="auto" w:sz="18" w:space="0"/>
              <w:bottom w:val="single" w:color="auto" w:sz="18" w:space="0"/>
              <w:right w:val="single" w:color="auto" w:sz="4" w:space="0"/>
            </w:tcBorders>
            <w:noWrap w:val="0"/>
            <w:vAlign w:val="center"/>
          </w:tcPr>
          <w:p>
            <w:pPr>
              <w:widowControl/>
              <w:jc w:val="left"/>
              <w:rPr>
                <w:rFonts w:hint="eastAsia" w:ascii="宋体" w:hAnsi="宋体" w:cs="宋体"/>
                <w:b/>
                <w:bCs/>
                <w:color w:val="auto"/>
                <w:szCs w:val="21"/>
                <w:highlight w:val="none"/>
                <w:u w:val="single"/>
              </w:rPr>
            </w:pPr>
          </w:p>
        </w:tc>
        <w:tc>
          <w:tcPr>
            <w:tcW w:w="768"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职称证号</w:t>
            </w:r>
          </w:p>
        </w:tc>
        <w:tc>
          <w:tcPr>
            <w:tcW w:w="554"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cs="宋体"/>
                <w:color w:val="auto"/>
                <w:szCs w:val="21"/>
                <w:highlight w:val="none"/>
                <w:u w:val="single"/>
              </w:rPr>
            </w:pPr>
          </w:p>
        </w:tc>
        <w:tc>
          <w:tcPr>
            <w:tcW w:w="500"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cs="宋体"/>
                <w:color w:val="auto"/>
                <w:szCs w:val="21"/>
                <w:highlight w:val="none"/>
                <w:u w:val="single"/>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cs="宋体"/>
                <w:color w:val="auto"/>
                <w:szCs w:val="21"/>
                <w:highlight w:val="none"/>
                <w:u w:val="single"/>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cs="宋体"/>
                <w:color w:val="auto"/>
                <w:szCs w:val="21"/>
                <w:highlight w:val="none"/>
                <w:u w:val="single"/>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cs="宋体"/>
                <w:color w:val="auto"/>
                <w:szCs w:val="21"/>
                <w:highlight w:val="none"/>
                <w:u w:val="single"/>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cs="宋体"/>
                <w:color w:val="auto"/>
                <w:szCs w:val="21"/>
                <w:highlight w:val="none"/>
                <w:u w:val="single"/>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cs="宋体"/>
                <w:color w:val="auto"/>
                <w:szCs w:val="21"/>
                <w:highlight w:val="none"/>
                <w:u w:val="single"/>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cs="宋体"/>
                <w:color w:val="auto"/>
                <w:szCs w:val="21"/>
                <w:highlight w:val="none"/>
                <w:u w:val="single"/>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cs="宋体"/>
                <w:color w:val="auto"/>
                <w:szCs w:val="21"/>
                <w:highlight w:val="none"/>
                <w:u w:val="single"/>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cs="宋体"/>
                <w:color w:val="auto"/>
                <w:szCs w:val="21"/>
                <w:highlight w:val="none"/>
                <w:u w:val="single"/>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cs="宋体"/>
                <w:color w:val="auto"/>
                <w:szCs w:val="21"/>
                <w:highlight w:val="none"/>
                <w:u w:val="single"/>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cs="宋体"/>
                <w:color w:val="auto"/>
                <w:szCs w:val="21"/>
                <w:highlight w:val="none"/>
                <w:u w:val="single"/>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cs="宋体"/>
                <w:color w:val="auto"/>
                <w:szCs w:val="21"/>
                <w:highlight w:val="none"/>
                <w:u w:val="single"/>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cs="宋体"/>
                <w:color w:val="auto"/>
                <w:szCs w:val="21"/>
                <w:highlight w:val="none"/>
                <w:u w:val="single"/>
              </w:rPr>
            </w:pPr>
          </w:p>
        </w:tc>
        <w:tc>
          <w:tcPr>
            <w:tcW w:w="499" w:type="dxa"/>
            <w:tcBorders>
              <w:top w:val="single" w:color="auto" w:sz="4" w:space="0"/>
              <w:left w:val="single" w:color="auto" w:sz="4" w:space="0"/>
              <w:bottom w:val="single" w:color="auto" w:sz="4" w:space="0"/>
              <w:right w:val="single" w:color="auto" w:sz="18" w:space="0"/>
            </w:tcBorders>
            <w:noWrap w:val="0"/>
            <w:textDirection w:val="btLr"/>
            <w:vAlign w:val="center"/>
          </w:tcPr>
          <w:p>
            <w:pPr>
              <w:ind w:left="113" w:right="113"/>
              <w:jc w:val="center"/>
              <w:rPr>
                <w:rFonts w:hint="eastAsia" w:ascii="宋体" w:hAnsi="宋体" w:cs="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2" w:hRule="atLeast"/>
          <w:jc w:val="center"/>
        </w:trPr>
        <w:tc>
          <w:tcPr>
            <w:tcW w:w="914" w:type="dxa"/>
            <w:vMerge w:val="continue"/>
            <w:tcBorders>
              <w:top w:val="single" w:color="auto" w:sz="18" w:space="0"/>
              <w:left w:val="single" w:color="auto" w:sz="18" w:space="0"/>
              <w:bottom w:val="single" w:color="auto" w:sz="18" w:space="0"/>
              <w:right w:val="single" w:color="auto" w:sz="4" w:space="0"/>
            </w:tcBorders>
            <w:noWrap w:val="0"/>
            <w:vAlign w:val="center"/>
          </w:tcPr>
          <w:p>
            <w:pPr>
              <w:widowControl/>
              <w:jc w:val="left"/>
              <w:rPr>
                <w:rFonts w:hint="eastAsia" w:ascii="宋体" w:hAnsi="宋体" w:cs="宋体"/>
                <w:b/>
                <w:bCs/>
                <w:color w:val="auto"/>
                <w:szCs w:val="21"/>
                <w:highlight w:val="none"/>
                <w:u w:val="single"/>
              </w:rPr>
            </w:pPr>
          </w:p>
        </w:tc>
        <w:tc>
          <w:tcPr>
            <w:tcW w:w="768"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专业资格职称</w:t>
            </w:r>
          </w:p>
        </w:tc>
        <w:tc>
          <w:tcPr>
            <w:tcW w:w="554"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cs="宋体"/>
                <w:color w:val="auto"/>
                <w:szCs w:val="21"/>
                <w:highlight w:val="none"/>
                <w:u w:val="single"/>
              </w:rPr>
            </w:pPr>
          </w:p>
        </w:tc>
        <w:tc>
          <w:tcPr>
            <w:tcW w:w="500"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cs="宋体"/>
                <w:color w:val="auto"/>
                <w:szCs w:val="21"/>
                <w:highlight w:val="none"/>
                <w:u w:val="single"/>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cs="宋体"/>
                <w:color w:val="auto"/>
                <w:szCs w:val="21"/>
                <w:highlight w:val="none"/>
                <w:u w:val="single"/>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cs="宋体"/>
                <w:color w:val="auto"/>
                <w:szCs w:val="21"/>
                <w:highlight w:val="none"/>
                <w:u w:val="single"/>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cs="宋体"/>
                <w:color w:val="auto"/>
                <w:szCs w:val="21"/>
                <w:highlight w:val="none"/>
                <w:u w:val="single"/>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cs="宋体"/>
                <w:color w:val="auto"/>
                <w:szCs w:val="21"/>
                <w:highlight w:val="none"/>
                <w:u w:val="single"/>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cs="宋体"/>
                <w:color w:val="auto"/>
                <w:szCs w:val="21"/>
                <w:highlight w:val="none"/>
                <w:u w:val="single"/>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cs="宋体"/>
                <w:color w:val="auto"/>
                <w:szCs w:val="21"/>
                <w:highlight w:val="none"/>
                <w:u w:val="single"/>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cs="宋体"/>
                <w:color w:val="auto"/>
                <w:szCs w:val="21"/>
                <w:highlight w:val="none"/>
                <w:u w:val="single"/>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cs="宋体"/>
                <w:color w:val="auto"/>
                <w:szCs w:val="21"/>
                <w:highlight w:val="none"/>
                <w:u w:val="single"/>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cs="宋体"/>
                <w:color w:val="auto"/>
                <w:szCs w:val="21"/>
                <w:highlight w:val="none"/>
                <w:u w:val="single"/>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cs="宋体"/>
                <w:color w:val="auto"/>
                <w:szCs w:val="21"/>
                <w:highlight w:val="none"/>
                <w:u w:val="single"/>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cs="宋体"/>
                <w:color w:val="auto"/>
                <w:szCs w:val="21"/>
                <w:highlight w:val="none"/>
                <w:u w:val="single"/>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cs="宋体"/>
                <w:color w:val="auto"/>
                <w:szCs w:val="21"/>
                <w:highlight w:val="none"/>
                <w:u w:val="single"/>
              </w:rPr>
            </w:pPr>
          </w:p>
        </w:tc>
        <w:tc>
          <w:tcPr>
            <w:tcW w:w="499" w:type="dxa"/>
            <w:tcBorders>
              <w:top w:val="single" w:color="auto" w:sz="4" w:space="0"/>
              <w:left w:val="single" w:color="auto" w:sz="4" w:space="0"/>
              <w:bottom w:val="single" w:color="auto" w:sz="4" w:space="0"/>
              <w:right w:val="single" w:color="auto" w:sz="18" w:space="0"/>
            </w:tcBorders>
            <w:noWrap w:val="0"/>
            <w:textDirection w:val="btLr"/>
            <w:vAlign w:val="center"/>
          </w:tcPr>
          <w:p>
            <w:pPr>
              <w:ind w:left="113" w:right="113"/>
              <w:jc w:val="center"/>
              <w:rPr>
                <w:rFonts w:hint="eastAsia" w:ascii="宋体" w:hAnsi="宋体" w:cs="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914" w:type="dxa"/>
            <w:vMerge w:val="continue"/>
            <w:tcBorders>
              <w:top w:val="single" w:color="auto" w:sz="18" w:space="0"/>
              <w:left w:val="single" w:color="auto" w:sz="18" w:space="0"/>
              <w:bottom w:val="single" w:color="auto" w:sz="18" w:space="0"/>
              <w:right w:val="single" w:color="auto" w:sz="4" w:space="0"/>
            </w:tcBorders>
            <w:noWrap w:val="0"/>
            <w:vAlign w:val="center"/>
          </w:tcPr>
          <w:p>
            <w:pPr>
              <w:widowControl/>
              <w:jc w:val="left"/>
              <w:rPr>
                <w:rFonts w:hint="eastAsia" w:ascii="宋体" w:hAnsi="宋体" w:cs="宋体"/>
                <w:b/>
                <w:bCs/>
                <w:color w:val="auto"/>
                <w:szCs w:val="21"/>
                <w:highlight w:val="none"/>
                <w:u w:val="single"/>
              </w:rPr>
            </w:pPr>
          </w:p>
        </w:tc>
        <w:tc>
          <w:tcPr>
            <w:tcW w:w="768"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职务</w:t>
            </w:r>
          </w:p>
        </w:tc>
        <w:tc>
          <w:tcPr>
            <w:tcW w:w="554"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cs="宋体"/>
                <w:color w:val="auto"/>
                <w:szCs w:val="21"/>
                <w:highlight w:val="none"/>
                <w:u w:val="single"/>
              </w:rPr>
            </w:pPr>
          </w:p>
        </w:tc>
        <w:tc>
          <w:tcPr>
            <w:tcW w:w="500"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cs="宋体"/>
                <w:color w:val="auto"/>
                <w:szCs w:val="21"/>
                <w:highlight w:val="none"/>
                <w:u w:val="single"/>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cs="宋体"/>
                <w:color w:val="auto"/>
                <w:szCs w:val="21"/>
                <w:highlight w:val="none"/>
                <w:u w:val="single"/>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cs="宋体"/>
                <w:color w:val="auto"/>
                <w:szCs w:val="21"/>
                <w:highlight w:val="none"/>
                <w:u w:val="single"/>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cs="宋体"/>
                <w:color w:val="auto"/>
                <w:szCs w:val="21"/>
                <w:highlight w:val="none"/>
                <w:u w:val="single"/>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cs="宋体"/>
                <w:color w:val="auto"/>
                <w:szCs w:val="21"/>
                <w:highlight w:val="none"/>
                <w:u w:val="single"/>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cs="宋体"/>
                <w:color w:val="auto"/>
                <w:szCs w:val="21"/>
                <w:highlight w:val="none"/>
                <w:u w:val="single"/>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cs="宋体"/>
                <w:color w:val="auto"/>
                <w:szCs w:val="21"/>
                <w:highlight w:val="none"/>
                <w:u w:val="single"/>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cs="宋体"/>
                <w:color w:val="auto"/>
                <w:szCs w:val="21"/>
                <w:highlight w:val="none"/>
                <w:u w:val="single"/>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cs="宋体"/>
                <w:color w:val="auto"/>
                <w:szCs w:val="21"/>
                <w:highlight w:val="none"/>
                <w:u w:val="single"/>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cs="宋体"/>
                <w:color w:val="auto"/>
                <w:szCs w:val="21"/>
                <w:highlight w:val="none"/>
                <w:u w:val="single"/>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cs="宋体"/>
                <w:color w:val="auto"/>
                <w:szCs w:val="21"/>
                <w:highlight w:val="none"/>
                <w:u w:val="single"/>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cs="宋体"/>
                <w:color w:val="auto"/>
                <w:szCs w:val="21"/>
                <w:highlight w:val="none"/>
                <w:u w:val="single"/>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cs="宋体"/>
                <w:color w:val="auto"/>
                <w:szCs w:val="21"/>
                <w:highlight w:val="none"/>
                <w:u w:val="single"/>
              </w:rPr>
            </w:pPr>
          </w:p>
        </w:tc>
        <w:tc>
          <w:tcPr>
            <w:tcW w:w="499" w:type="dxa"/>
            <w:tcBorders>
              <w:top w:val="single" w:color="auto" w:sz="4" w:space="0"/>
              <w:left w:val="single" w:color="auto" w:sz="4" w:space="0"/>
              <w:bottom w:val="single" w:color="auto" w:sz="4" w:space="0"/>
              <w:right w:val="single" w:color="auto" w:sz="18" w:space="0"/>
            </w:tcBorders>
            <w:noWrap w:val="0"/>
            <w:textDirection w:val="btLr"/>
            <w:vAlign w:val="center"/>
          </w:tcPr>
          <w:p>
            <w:pPr>
              <w:ind w:left="113" w:right="113"/>
              <w:jc w:val="center"/>
              <w:rPr>
                <w:rFonts w:hint="eastAsia" w:ascii="宋体" w:hAnsi="宋体" w:cs="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6" w:hRule="atLeast"/>
          <w:jc w:val="center"/>
        </w:trPr>
        <w:tc>
          <w:tcPr>
            <w:tcW w:w="914" w:type="dxa"/>
            <w:vMerge w:val="continue"/>
            <w:tcBorders>
              <w:top w:val="single" w:color="auto" w:sz="18" w:space="0"/>
              <w:left w:val="single" w:color="auto" w:sz="18" w:space="0"/>
              <w:bottom w:val="single" w:color="auto" w:sz="18" w:space="0"/>
              <w:right w:val="single" w:color="auto" w:sz="4" w:space="0"/>
            </w:tcBorders>
            <w:noWrap w:val="0"/>
            <w:vAlign w:val="center"/>
          </w:tcPr>
          <w:p>
            <w:pPr>
              <w:widowControl/>
              <w:jc w:val="left"/>
              <w:rPr>
                <w:rFonts w:hint="eastAsia" w:ascii="宋体" w:hAnsi="宋体" w:cs="宋体"/>
                <w:b/>
                <w:bCs/>
                <w:color w:val="auto"/>
                <w:szCs w:val="21"/>
                <w:highlight w:val="none"/>
                <w:u w:val="single"/>
              </w:rPr>
            </w:pPr>
          </w:p>
        </w:tc>
        <w:tc>
          <w:tcPr>
            <w:tcW w:w="768"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身份证号</w:t>
            </w:r>
          </w:p>
        </w:tc>
        <w:tc>
          <w:tcPr>
            <w:tcW w:w="554"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cs="宋体"/>
                <w:color w:val="auto"/>
                <w:szCs w:val="21"/>
                <w:highlight w:val="none"/>
                <w:u w:val="single"/>
              </w:rPr>
            </w:pPr>
          </w:p>
        </w:tc>
        <w:tc>
          <w:tcPr>
            <w:tcW w:w="500"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cs="宋体"/>
                <w:color w:val="auto"/>
                <w:szCs w:val="21"/>
                <w:highlight w:val="none"/>
                <w:u w:val="single"/>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cs="宋体"/>
                <w:color w:val="auto"/>
                <w:szCs w:val="21"/>
                <w:highlight w:val="none"/>
                <w:u w:val="single"/>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cs="宋体"/>
                <w:color w:val="auto"/>
                <w:szCs w:val="21"/>
                <w:highlight w:val="none"/>
                <w:u w:val="single"/>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cs="宋体"/>
                <w:color w:val="auto"/>
                <w:szCs w:val="21"/>
                <w:highlight w:val="none"/>
                <w:u w:val="single"/>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cs="宋体"/>
                <w:color w:val="auto"/>
                <w:szCs w:val="21"/>
                <w:highlight w:val="none"/>
                <w:u w:val="single"/>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cs="宋体"/>
                <w:color w:val="auto"/>
                <w:szCs w:val="21"/>
                <w:highlight w:val="none"/>
                <w:u w:val="single"/>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cs="宋体"/>
                <w:color w:val="auto"/>
                <w:szCs w:val="21"/>
                <w:highlight w:val="none"/>
                <w:u w:val="single"/>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cs="宋体"/>
                <w:color w:val="auto"/>
                <w:szCs w:val="21"/>
                <w:highlight w:val="none"/>
                <w:u w:val="single"/>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cs="宋体"/>
                <w:color w:val="auto"/>
                <w:szCs w:val="21"/>
                <w:highlight w:val="none"/>
                <w:u w:val="single"/>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cs="宋体"/>
                <w:color w:val="auto"/>
                <w:szCs w:val="21"/>
                <w:highlight w:val="none"/>
                <w:u w:val="single"/>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cs="宋体"/>
                <w:color w:val="auto"/>
                <w:szCs w:val="21"/>
                <w:highlight w:val="none"/>
                <w:u w:val="single"/>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cs="宋体"/>
                <w:color w:val="auto"/>
                <w:szCs w:val="21"/>
                <w:highlight w:val="none"/>
                <w:u w:val="single"/>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cs="宋体"/>
                <w:color w:val="auto"/>
                <w:szCs w:val="21"/>
                <w:highlight w:val="none"/>
                <w:u w:val="single"/>
              </w:rPr>
            </w:pPr>
          </w:p>
        </w:tc>
        <w:tc>
          <w:tcPr>
            <w:tcW w:w="499" w:type="dxa"/>
            <w:tcBorders>
              <w:top w:val="single" w:color="auto" w:sz="4" w:space="0"/>
              <w:left w:val="single" w:color="auto" w:sz="4" w:space="0"/>
              <w:bottom w:val="single" w:color="auto" w:sz="4" w:space="0"/>
              <w:right w:val="single" w:color="auto" w:sz="18" w:space="0"/>
            </w:tcBorders>
            <w:noWrap w:val="0"/>
            <w:textDirection w:val="btLr"/>
            <w:vAlign w:val="center"/>
          </w:tcPr>
          <w:p>
            <w:pPr>
              <w:ind w:left="113" w:right="113"/>
              <w:jc w:val="center"/>
              <w:rPr>
                <w:rFonts w:hint="eastAsia" w:ascii="宋体" w:hAnsi="宋体" w:cs="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8" w:hRule="atLeast"/>
          <w:jc w:val="center"/>
        </w:trPr>
        <w:tc>
          <w:tcPr>
            <w:tcW w:w="914" w:type="dxa"/>
            <w:vMerge w:val="continue"/>
            <w:tcBorders>
              <w:top w:val="single" w:color="auto" w:sz="18" w:space="0"/>
              <w:left w:val="single" w:color="auto" w:sz="18" w:space="0"/>
              <w:bottom w:val="single" w:color="auto" w:sz="18" w:space="0"/>
              <w:right w:val="single" w:color="auto" w:sz="4" w:space="0"/>
            </w:tcBorders>
            <w:noWrap w:val="0"/>
            <w:vAlign w:val="center"/>
          </w:tcPr>
          <w:p>
            <w:pPr>
              <w:widowControl/>
              <w:jc w:val="left"/>
              <w:rPr>
                <w:rFonts w:hint="eastAsia" w:ascii="宋体" w:hAnsi="宋体" w:cs="宋体"/>
                <w:b/>
                <w:bCs/>
                <w:color w:val="auto"/>
                <w:szCs w:val="21"/>
                <w:highlight w:val="none"/>
                <w:u w:val="single"/>
              </w:rPr>
            </w:pPr>
          </w:p>
        </w:tc>
        <w:tc>
          <w:tcPr>
            <w:tcW w:w="768"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姓名</w:t>
            </w:r>
          </w:p>
        </w:tc>
        <w:tc>
          <w:tcPr>
            <w:tcW w:w="554"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cs="宋体"/>
                <w:color w:val="auto"/>
                <w:szCs w:val="21"/>
                <w:highlight w:val="none"/>
                <w:u w:val="single"/>
              </w:rPr>
            </w:pPr>
          </w:p>
        </w:tc>
        <w:tc>
          <w:tcPr>
            <w:tcW w:w="500"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cs="宋体"/>
                <w:color w:val="auto"/>
                <w:szCs w:val="21"/>
                <w:highlight w:val="none"/>
                <w:u w:val="single"/>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cs="宋体"/>
                <w:color w:val="auto"/>
                <w:szCs w:val="21"/>
                <w:highlight w:val="none"/>
                <w:u w:val="single"/>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cs="宋体"/>
                <w:color w:val="auto"/>
                <w:szCs w:val="21"/>
                <w:highlight w:val="none"/>
                <w:u w:val="single"/>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cs="宋体"/>
                <w:color w:val="auto"/>
                <w:szCs w:val="21"/>
                <w:highlight w:val="none"/>
                <w:u w:val="single"/>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cs="宋体"/>
                <w:color w:val="auto"/>
                <w:szCs w:val="21"/>
                <w:highlight w:val="none"/>
                <w:u w:val="single"/>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cs="宋体"/>
                <w:color w:val="auto"/>
                <w:szCs w:val="21"/>
                <w:highlight w:val="none"/>
                <w:u w:val="single"/>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cs="宋体"/>
                <w:color w:val="auto"/>
                <w:szCs w:val="21"/>
                <w:highlight w:val="none"/>
                <w:u w:val="single"/>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cs="宋体"/>
                <w:color w:val="auto"/>
                <w:szCs w:val="21"/>
                <w:highlight w:val="none"/>
                <w:u w:val="single"/>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cs="宋体"/>
                <w:color w:val="auto"/>
                <w:szCs w:val="21"/>
                <w:highlight w:val="none"/>
                <w:u w:val="single"/>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cs="宋体"/>
                <w:color w:val="auto"/>
                <w:szCs w:val="21"/>
                <w:highlight w:val="none"/>
                <w:u w:val="single"/>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cs="宋体"/>
                <w:color w:val="auto"/>
                <w:szCs w:val="21"/>
                <w:highlight w:val="none"/>
                <w:u w:val="single"/>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cs="宋体"/>
                <w:color w:val="auto"/>
                <w:szCs w:val="21"/>
                <w:highlight w:val="none"/>
                <w:u w:val="single"/>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cs="宋体"/>
                <w:color w:val="auto"/>
                <w:szCs w:val="21"/>
                <w:highlight w:val="none"/>
                <w:u w:val="single"/>
              </w:rPr>
            </w:pPr>
          </w:p>
        </w:tc>
        <w:tc>
          <w:tcPr>
            <w:tcW w:w="499" w:type="dxa"/>
            <w:tcBorders>
              <w:top w:val="single" w:color="auto" w:sz="4" w:space="0"/>
              <w:left w:val="single" w:color="auto" w:sz="4" w:space="0"/>
              <w:bottom w:val="single" w:color="auto" w:sz="4" w:space="0"/>
              <w:right w:val="single" w:color="auto" w:sz="18" w:space="0"/>
            </w:tcBorders>
            <w:noWrap w:val="0"/>
            <w:textDirection w:val="btLr"/>
            <w:vAlign w:val="center"/>
          </w:tcPr>
          <w:p>
            <w:pPr>
              <w:ind w:left="113" w:right="113"/>
              <w:jc w:val="center"/>
              <w:rPr>
                <w:rFonts w:hint="eastAsia" w:ascii="宋体" w:hAnsi="宋体" w:cs="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4" w:hRule="atLeast"/>
          <w:jc w:val="center"/>
        </w:trPr>
        <w:tc>
          <w:tcPr>
            <w:tcW w:w="914" w:type="dxa"/>
            <w:vMerge w:val="continue"/>
            <w:tcBorders>
              <w:top w:val="single" w:color="auto" w:sz="18" w:space="0"/>
              <w:left w:val="single" w:color="auto" w:sz="18" w:space="0"/>
              <w:bottom w:val="single" w:color="auto" w:sz="18" w:space="0"/>
              <w:right w:val="single" w:color="auto" w:sz="4" w:space="0"/>
            </w:tcBorders>
            <w:noWrap w:val="0"/>
            <w:vAlign w:val="center"/>
          </w:tcPr>
          <w:p>
            <w:pPr>
              <w:widowControl/>
              <w:jc w:val="left"/>
              <w:rPr>
                <w:rFonts w:hint="eastAsia" w:ascii="宋体" w:hAnsi="宋体" w:cs="宋体"/>
                <w:b/>
                <w:bCs/>
                <w:color w:val="auto"/>
                <w:szCs w:val="21"/>
                <w:highlight w:val="none"/>
                <w:u w:val="single"/>
              </w:rPr>
            </w:pPr>
          </w:p>
        </w:tc>
        <w:tc>
          <w:tcPr>
            <w:tcW w:w="768" w:type="dxa"/>
            <w:tcBorders>
              <w:top w:val="single" w:color="auto" w:sz="4" w:space="0"/>
              <w:left w:val="single" w:color="auto" w:sz="4" w:space="0"/>
              <w:bottom w:val="single" w:color="auto" w:sz="18" w:space="0"/>
              <w:right w:val="single" w:color="auto" w:sz="4" w:space="0"/>
            </w:tcBorders>
            <w:noWrap w:val="0"/>
            <w:textDirection w:val="btLr"/>
            <w:vAlign w:val="center"/>
          </w:tcPr>
          <w:p>
            <w:pPr>
              <w:ind w:left="113" w:right="113"/>
              <w:jc w:val="center"/>
              <w:rPr>
                <w:rFonts w:hint="eastAsia" w:ascii="宋体" w:hAnsi="宋体" w:cs="宋体"/>
                <w:b/>
                <w:color w:val="auto"/>
                <w:szCs w:val="21"/>
                <w:highlight w:val="none"/>
                <w:u w:val="single"/>
              </w:rPr>
            </w:pPr>
            <w:r>
              <w:rPr>
                <w:rFonts w:hint="eastAsia" w:ascii="宋体" w:hAnsi="宋体" w:cs="宋体"/>
                <w:b/>
                <w:color w:val="auto"/>
                <w:szCs w:val="21"/>
                <w:highlight w:val="none"/>
                <w:u w:val="single"/>
              </w:rPr>
              <w:t>序号</w:t>
            </w:r>
          </w:p>
        </w:tc>
        <w:tc>
          <w:tcPr>
            <w:tcW w:w="554" w:type="dxa"/>
            <w:tcBorders>
              <w:top w:val="single" w:color="auto" w:sz="4" w:space="0"/>
              <w:left w:val="single" w:color="auto" w:sz="4" w:space="0"/>
              <w:bottom w:val="single" w:color="auto" w:sz="18" w:space="0"/>
              <w:right w:val="single" w:color="auto" w:sz="4" w:space="0"/>
            </w:tcBorders>
            <w:noWrap w:val="0"/>
            <w:textDirection w:val="btLr"/>
            <w:vAlign w:val="center"/>
          </w:tcPr>
          <w:p>
            <w:pPr>
              <w:ind w:left="113" w:right="113"/>
              <w:jc w:val="center"/>
              <w:rPr>
                <w:rFonts w:hint="eastAsia" w:ascii="宋体" w:hAnsi="宋体" w:cs="宋体"/>
                <w:color w:val="auto"/>
                <w:szCs w:val="21"/>
                <w:highlight w:val="none"/>
                <w:u w:val="single"/>
              </w:rPr>
            </w:pPr>
            <w:r>
              <w:rPr>
                <w:rFonts w:hint="eastAsia" w:ascii="宋体" w:hAnsi="宋体" w:cs="宋体"/>
                <w:color w:val="auto"/>
                <w:szCs w:val="21"/>
                <w:highlight w:val="none"/>
                <w:u w:val="single"/>
              </w:rPr>
              <w:t>1</w:t>
            </w:r>
          </w:p>
        </w:tc>
        <w:tc>
          <w:tcPr>
            <w:tcW w:w="500" w:type="dxa"/>
            <w:tcBorders>
              <w:top w:val="single" w:color="auto" w:sz="4" w:space="0"/>
              <w:left w:val="single" w:color="auto" w:sz="4" w:space="0"/>
              <w:bottom w:val="single" w:color="auto" w:sz="18" w:space="0"/>
              <w:right w:val="single" w:color="auto" w:sz="4" w:space="0"/>
            </w:tcBorders>
            <w:noWrap w:val="0"/>
            <w:textDirection w:val="btLr"/>
            <w:vAlign w:val="center"/>
          </w:tcPr>
          <w:p>
            <w:pPr>
              <w:ind w:left="113" w:right="113"/>
              <w:jc w:val="center"/>
              <w:rPr>
                <w:rFonts w:hint="eastAsia" w:ascii="宋体" w:hAnsi="宋体" w:cs="宋体"/>
                <w:color w:val="auto"/>
                <w:szCs w:val="21"/>
                <w:highlight w:val="none"/>
                <w:u w:val="single"/>
              </w:rPr>
            </w:pPr>
            <w:r>
              <w:rPr>
                <w:rFonts w:hint="eastAsia" w:ascii="宋体" w:hAnsi="宋体" w:cs="宋体"/>
                <w:color w:val="auto"/>
                <w:szCs w:val="21"/>
                <w:highlight w:val="none"/>
                <w:u w:val="single"/>
              </w:rPr>
              <w:t>2</w:t>
            </w:r>
          </w:p>
        </w:tc>
        <w:tc>
          <w:tcPr>
            <w:tcW w:w="499" w:type="dxa"/>
            <w:tcBorders>
              <w:top w:val="single" w:color="auto" w:sz="4" w:space="0"/>
              <w:left w:val="single" w:color="auto" w:sz="4" w:space="0"/>
              <w:bottom w:val="single" w:color="auto" w:sz="18" w:space="0"/>
              <w:right w:val="single" w:color="auto" w:sz="4" w:space="0"/>
            </w:tcBorders>
            <w:noWrap w:val="0"/>
            <w:textDirection w:val="btLr"/>
            <w:vAlign w:val="center"/>
          </w:tcPr>
          <w:p>
            <w:pPr>
              <w:ind w:left="113" w:right="113"/>
              <w:jc w:val="center"/>
              <w:rPr>
                <w:rFonts w:hint="eastAsia" w:ascii="宋体" w:hAnsi="宋体" w:cs="宋体"/>
                <w:color w:val="auto"/>
                <w:szCs w:val="21"/>
                <w:highlight w:val="none"/>
                <w:u w:val="single"/>
              </w:rPr>
            </w:pPr>
            <w:r>
              <w:rPr>
                <w:rFonts w:hint="eastAsia" w:ascii="宋体" w:hAnsi="宋体" w:cs="宋体"/>
                <w:color w:val="auto"/>
                <w:szCs w:val="21"/>
                <w:highlight w:val="none"/>
                <w:u w:val="single"/>
              </w:rPr>
              <w:t>3</w:t>
            </w:r>
          </w:p>
        </w:tc>
        <w:tc>
          <w:tcPr>
            <w:tcW w:w="499" w:type="dxa"/>
            <w:tcBorders>
              <w:top w:val="single" w:color="auto" w:sz="4" w:space="0"/>
              <w:left w:val="single" w:color="auto" w:sz="4" w:space="0"/>
              <w:bottom w:val="single" w:color="auto" w:sz="18" w:space="0"/>
              <w:right w:val="single" w:color="auto" w:sz="4" w:space="0"/>
            </w:tcBorders>
            <w:noWrap w:val="0"/>
            <w:textDirection w:val="btLr"/>
            <w:vAlign w:val="center"/>
          </w:tcPr>
          <w:p>
            <w:pPr>
              <w:ind w:left="113" w:right="113"/>
              <w:jc w:val="center"/>
              <w:rPr>
                <w:rFonts w:hint="eastAsia" w:ascii="宋体" w:hAnsi="宋体" w:cs="宋体"/>
                <w:color w:val="auto"/>
                <w:szCs w:val="21"/>
                <w:highlight w:val="none"/>
                <w:u w:val="single"/>
              </w:rPr>
            </w:pPr>
            <w:r>
              <w:rPr>
                <w:rFonts w:hint="eastAsia" w:ascii="宋体" w:hAnsi="宋体" w:cs="宋体"/>
                <w:color w:val="auto"/>
                <w:szCs w:val="21"/>
                <w:highlight w:val="none"/>
                <w:u w:val="single"/>
              </w:rPr>
              <w:t>4</w:t>
            </w:r>
          </w:p>
        </w:tc>
        <w:tc>
          <w:tcPr>
            <w:tcW w:w="499" w:type="dxa"/>
            <w:tcBorders>
              <w:top w:val="single" w:color="auto" w:sz="4" w:space="0"/>
              <w:left w:val="single" w:color="auto" w:sz="4" w:space="0"/>
              <w:bottom w:val="single" w:color="auto" w:sz="18" w:space="0"/>
              <w:right w:val="single" w:color="auto" w:sz="4" w:space="0"/>
            </w:tcBorders>
            <w:noWrap w:val="0"/>
            <w:textDirection w:val="btLr"/>
            <w:vAlign w:val="center"/>
          </w:tcPr>
          <w:p>
            <w:pPr>
              <w:ind w:left="113" w:right="113"/>
              <w:jc w:val="center"/>
              <w:rPr>
                <w:rFonts w:hint="eastAsia" w:ascii="宋体" w:hAnsi="宋体" w:cs="宋体"/>
                <w:color w:val="auto"/>
                <w:szCs w:val="21"/>
                <w:highlight w:val="none"/>
                <w:u w:val="single"/>
              </w:rPr>
            </w:pPr>
            <w:r>
              <w:rPr>
                <w:rFonts w:hint="eastAsia" w:ascii="宋体" w:hAnsi="宋体" w:cs="宋体"/>
                <w:color w:val="auto"/>
                <w:szCs w:val="21"/>
                <w:highlight w:val="none"/>
                <w:u w:val="single"/>
              </w:rPr>
              <w:t>5</w:t>
            </w:r>
          </w:p>
        </w:tc>
        <w:tc>
          <w:tcPr>
            <w:tcW w:w="499" w:type="dxa"/>
            <w:tcBorders>
              <w:top w:val="single" w:color="auto" w:sz="4" w:space="0"/>
              <w:left w:val="single" w:color="auto" w:sz="4" w:space="0"/>
              <w:bottom w:val="single" w:color="auto" w:sz="18" w:space="0"/>
              <w:right w:val="single" w:color="auto" w:sz="4" w:space="0"/>
            </w:tcBorders>
            <w:noWrap w:val="0"/>
            <w:textDirection w:val="btLr"/>
            <w:vAlign w:val="center"/>
          </w:tcPr>
          <w:p>
            <w:pPr>
              <w:ind w:left="113" w:right="113"/>
              <w:jc w:val="center"/>
              <w:rPr>
                <w:rFonts w:hint="eastAsia" w:ascii="宋体" w:hAnsi="宋体" w:cs="宋体"/>
                <w:color w:val="auto"/>
                <w:szCs w:val="21"/>
                <w:highlight w:val="none"/>
                <w:u w:val="single"/>
              </w:rPr>
            </w:pPr>
            <w:r>
              <w:rPr>
                <w:rFonts w:hint="eastAsia" w:ascii="宋体" w:hAnsi="宋体" w:cs="宋体"/>
                <w:color w:val="auto"/>
                <w:szCs w:val="21"/>
                <w:highlight w:val="none"/>
                <w:u w:val="single"/>
              </w:rPr>
              <w:t>6</w:t>
            </w:r>
          </w:p>
        </w:tc>
        <w:tc>
          <w:tcPr>
            <w:tcW w:w="499" w:type="dxa"/>
            <w:tcBorders>
              <w:top w:val="single" w:color="auto" w:sz="4" w:space="0"/>
              <w:left w:val="single" w:color="auto" w:sz="4" w:space="0"/>
              <w:bottom w:val="single" w:color="auto" w:sz="18" w:space="0"/>
              <w:right w:val="single" w:color="auto" w:sz="4" w:space="0"/>
            </w:tcBorders>
            <w:noWrap w:val="0"/>
            <w:textDirection w:val="btLr"/>
            <w:vAlign w:val="center"/>
          </w:tcPr>
          <w:p>
            <w:pPr>
              <w:ind w:left="113" w:right="113"/>
              <w:jc w:val="center"/>
              <w:rPr>
                <w:rFonts w:hint="eastAsia" w:ascii="宋体" w:hAnsi="宋体" w:cs="宋体"/>
                <w:color w:val="auto"/>
                <w:szCs w:val="21"/>
                <w:highlight w:val="none"/>
                <w:u w:val="single"/>
              </w:rPr>
            </w:pPr>
            <w:r>
              <w:rPr>
                <w:rFonts w:hint="eastAsia" w:ascii="宋体" w:hAnsi="宋体" w:cs="宋体"/>
                <w:color w:val="auto"/>
                <w:szCs w:val="21"/>
                <w:highlight w:val="none"/>
                <w:u w:val="single"/>
              </w:rPr>
              <w:t>7</w:t>
            </w:r>
          </w:p>
        </w:tc>
        <w:tc>
          <w:tcPr>
            <w:tcW w:w="499" w:type="dxa"/>
            <w:tcBorders>
              <w:top w:val="single" w:color="auto" w:sz="4" w:space="0"/>
              <w:left w:val="single" w:color="auto" w:sz="4" w:space="0"/>
              <w:bottom w:val="single" w:color="auto" w:sz="18" w:space="0"/>
              <w:right w:val="single" w:color="auto" w:sz="4" w:space="0"/>
            </w:tcBorders>
            <w:noWrap w:val="0"/>
            <w:textDirection w:val="btLr"/>
            <w:vAlign w:val="center"/>
          </w:tcPr>
          <w:p>
            <w:pPr>
              <w:ind w:left="113" w:right="113"/>
              <w:jc w:val="center"/>
              <w:rPr>
                <w:rFonts w:hint="eastAsia" w:ascii="宋体" w:hAnsi="宋体" w:cs="宋体"/>
                <w:color w:val="auto"/>
                <w:szCs w:val="21"/>
                <w:highlight w:val="none"/>
                <w:u w:val="single"/>
              </w:rPr>
            </w:pPr>
            <w:r>
              <w:rPr>
                <w:rFonts w:hint="eastAsia" w:ascii="宋体" w:hAnsi="宋体" w:cs="宋体"/>
                <w:color w:val="auto"/>
                <w:szCs w:val="21"/>
                <w:highlight w:val="none"/>
                <w:u w:val="single"/>
              </w:rPr>
              <w:t>8</w:t>
            </w:r>
          </w:p>
        </w:tc>
        <w:tc>
          <w:tcPr>
            <w:tcW w:w="499" w:type="dxa"/>
            <w:tcBorders>
              <w:top w:val="single" w:color="auto" w:sz="4" w:space="0"/>
              <w:left w:val="single" w:color="auto" w:sz="4" w:space="0"/>
              <w:bottom w:val="single" w:color="auto" w:sz="18" w:space="0"/>
              <w:right w:val="single" w:color="auto" w:sz="4" w:space="0"/>
            </w:tcBorders>
            <w:noWrap w:val="0"/>
            <w:textDirection w:val="btLr"/>
            <w:vAlign w:val="center"/>
          </w:tcPr>
          <w:p>
            <w:pPr>
              <w:ind w:left="113" w:right="113"/>
              <w:jc w:val="center"/>
              <w:rPr>
                <w:rFonts w:hint="eastAsia" w:ascii="宋体" w:hAnsi="宋体" w:cs="宋体"/>
                <w:color w:val="auto"/>
                <w:szCs w:val="21"/>
                <w:highlight w:val="none"/>
                <w:u w:val="single"/>
              </w:rPr>
            </w:pPr>
            <w:r>
              <w:rPr>
                <w:rFonts w:hint="eastAsia" w:ascii="宋体" w:hAnsi="宋体" w:cs="宋体"/>
                <w:color w:val="auto"/>
                <w:szCs w:val="21"/>
                <w:highlight w:val="none"/>
                <w:u w:val="single"/>
              </w:rPr>
              <w:t>9</w:t>
            </w:r>
          </w:p>
        </w:tc>
        <w:tc>
          <w:tcPr>
            <w:tcW w:w="499" w:type="dxa"/>
            <w:tcBorders>
              <w:top w:val="single" w:color="auto" w:sz="4" w:space="0"/>
              <w:left w:val="single" w:color="auto" w:sz="4" w:space="0"/>
              <w:bottom w:val="single" w:color="auto" w:sz="18" w:space="0"/>
              <w:right w:val="single" w:color="auto" w:sz="4" w:space="0"/>
            </w:tcBorders>
            <w:noWrap w:val="0"/>
            <w:textDirection w:val="btLr"/>
            <w:vAlign w:val="center"/>
          </w:tcPr>
          <w:p>
            <w:pPr>
              <w:ind w:left="113" w:right="113"/>
              <w:jc w:val="center"/>
              <w:rPr>
                <w:rFonts w:hint="eastAsia" w:ascii="宋体" w:hAnsi="宋体" w:cs="宋体"/>
                <w:color w:val="auto"/>
                <w:szCs w:val="21"/>
                <w:highlight w:val="none"/>
                <w:u w:val="single"/>
              </w:rPr>
            </w:pPr>
            <w:r>
              <w:rPr>
                <w:rFonts w:hint="eastAsia" w:ascii="宋体" w:hAnsi="宋体" w:cs="宋体"/>
                <w:color w:val="auto"/>
                <w:szCs w:val="21"/>
                <w:highlight w:val="none"/>
                <w:u w:val="single"/>
              </w:rPr>
              <w:t>10</w:t>
            </w:r>
          </w:p>
        </w:tc>
        <w:tc>
          <w:tcPr>
            <w:tcW w:w="499" w:type="dxa"/>
            <w:tcBorders>
              <w:top w:val="single" w:color="auto" w:sz="4" w:space="0"/>
              <w:left w:val="single" w:color="auto" w:sz="4" w:space="0"/>
              <w:bottom w:val="single" w:color="auto" w:sz="18" w:space="0"/>
              <w:right w:val="single" w:color="auto" w:sz="4" w:space="0"/>
            </w:tcBorders>
            <w:noWrap w:val="0"/>
            <w:textDirection w:val="btLr"/>
            <w:vAlign w:val="center"/>
          </w:tcPr>
          <w:p>
            <w:pPr>
              <w:ind w:left="113" w:right="113"/>
              <w:jc w:val="center"/>
              <w:rPr>
                <w:rFonts w:hint="eastAsia" w:ascii="宋体" w:hAnsi="宋体" w:cs="宋体"/>
                <w:color w:val="auto"/>
                <w:szCs w:val="21"/>
                <w:highlight w:val="none"/>
                <w:u w:val="single"/>
              </w:rPr>
            </w:pPr>
            <w:r>
              <w:rPr>
                <w:rFonts w:hint="eastAsia" w:ascii="宋体" w:hAnsi="宋体" w:cs="宋体"/>
                <w:color w:val="auto"/>
                <w:szCs w:val="21"/>
                <w:highlight w:val="none"/>
                <w:u w:val="single"/>
              </w:rPr>
              <w:t>11</w:t>
            </w:r>
          </w:p>
        </w:tc>
        <w:tc>
          <w:tcPr>
            <w:tcW w:w="499" w:type="dxa"/>
            <w:tcBorders>
              <w:top w:val="single" w:color="auto" w:sz="4" w:space="0"/>
              <w:left w:val="single" w:color="auto" w:sz="4" w:space="0"/>
              <w:bottom w:val="single" w:color="auto" w:sz="18" w:space="0"/>
              <w:right w:val="single" w:color="auto" w:sz="4" w:space="0"/>
            </w:tcBorders>
            <w:noWrap w:val="0"/>
            <w:textDirection w:val="btLr"/>
            <w:vAlign w:val="center"/>
          </w:tcPr>
          <w:p>
            <w:pPr>
              <w:ind w:left="113" w:right="113"/>
              <w:jc w:val="center"/>
              <w:rPr>
                <w:rFonts w:hint="eastAsia" w:ascii="宋体" w:hAnsi="宋体" w:cs="宋体"/>
                <w:color w:val="auto"/>
                <w:szCs w:val="21"/>
                <w:highlight w:val="none"/>
                <w:u w:val="single"/>
              </w:rPr>
            </w:pPr>
            <w:r>
              <w:rPr>
                <w:rFonts w:hint="eastAsia" w:ascii="宋体" w:hAnsi="宋体" w:cs="宋体"/>
                <w:color w:val="auto"/>
                <w:szCs w:val="21"/>
                <w:highlight w:val="none"/>
                <w:u w:val="single"/>
              </w:rPr>
              <w:t>12</w:t>
            </w:r>
          </w:p>
        </w:tc>
        <w:tc>
          <w:tcPr>
            <w:tcW w:w="499" w:type="dxa"/>
            <w:tcBorders>
              <w:top w:val="single" w:color="auto" w:sz="4" w:space="0"/>
              <w:left w:val="single" w:color="auto" w:sz="4" w:space="0"/>
              <w:bottom w:val="single" w:color="auto" w:sz="18" w:space="0"/>
              <w:right w:val="single" w:color="auto" w:sz="4" w:space="0"/>
            </w:tcBorders>
            <w:noWrap w:val="0"/>
            <w:textDirection w:val="btLr"/>
            <w:vAlign w:val="center"/>
          </w:tcPr>
          <w:p>
            <w:pPr>
              <w:ind w:left="113" w:right="113"/>
              <w:jc w:val="center"/>
              <w:rPr>
                <w:rFonts w:hint="eastAsia" w:ascii="宋体" w:hAnsi="宋体" w:cs="宋体"/>
                <w:color w:val="auto"/>
                <w:szCs w:val="21"/>
                <w:highlight w:val="none"/>
                <w:u w:val="single"/>
              </w:rPr>
            </w:pPr>
            <w:r>
              <w:rPr>
                <w:rFonts w:hint="eastAsia" w:ascii="宋体" w:hAnsi="宋体" w:cs="宋体"/>
                <w:color w:val="auto"/>
                <w:szCs w:val="21"/>
                <w:highlight w:val="none"/>
                <w:u w:val="single"/>
              </w:rPr>
              <w:t>13</w:t>
            </w:r>
          </w:p>
        </w:tc>
        <w:tc>
          <w:tcPr>
            <w:tcW w:w="499" w:type="dxa"/>
            <w:tcBorders>
              <w:top w:val="single" w:color="auto" w:sz="4" w:space="0"/>
              <w:left w:val="single" w:color="auto" w:sz="4" w:space="0"/>
              <w:bottom w:val="single" w:color="auto" w:sz="18" w:space="0"/>
              <w:right w:val="single" w:color="auto" w:sz="4" w:space="0"/>
            </w:tcBorders>
            <w:noWrap w:val="0"/>
            <w:textDirection w:val="btLr"/>
            <w:vAlign w:val="center"/>
          </w:tcPr>
          <w:p>
            <w:pPr>
              <w:ind w:left="113" w:right="113"/>
              <w:jc w:val="center"/>
              <w:rPr>
                <w:rFonts w:hint="eastAsia" w:ascii="宋体" w:hAnsi="宋体" w:cs="宋体"/>
                <w:color w:val="auto"/>
                <w:szCs w:val="21"/>
                <w:highlight w:val="none"/>
                <w:u w:val="single"/>
              </w:rPr>
            </w:pPr>
            <w:r>
              <w:rPr>
                <w:rFonts w:hint="eastAsia" w:ascii="宋体" w:hAnsi="宋体" w:cs="宋体"/>
                <w:color w:val="auto"/>
                <w:szCs w:val="21"/>
                <w:highlight w:val="none"/>
                <w:u w:val="single"/>
              </w:rPr>
              <w:t>14</w:t>
            </w:r>
          </w:p>
        </w:tc>
        <w:tc>
          <w:tcPr>
            <w:tcW w:w="499" w:type="dxa"/>
            <w:tcBorders>
              <w:top w:val="single" w:color="auto" w:sz="4" w:space="0"/>
              <w:left w:val="single" w:color="auto" w:sz="4" w:space="0"/>
              <w:bottom w:val="single" w:color="auto" w:sz="18" w:space="0"/>
              <w:right w:val="single" w:color="auto" w:sz="18" w:space="0"/>
            </w:tcBorders>
            <w:noWrap w:val="0"/>
            <w:textDirection w:val="btLr"/>
            <w:vAlign w:val="center"/>
          </w:tcPr>
          <w:p>
            <w:pPr>
              <w:ind w:left="113" w:right="113"/>
              <w:jc w:val="center"/>
              <w:rPr>
                <w:rFonts w:hint="eastAsia" w:ascii="宋体" w:hAnsi="宋体" w:cs="宋体"/>
                <w:color w:val="auto"/>
                <w:szCs w:val="21"/>
                <w:highlight w:val="none"/>
                <w:u w:val="single"/>
              </w:rPr>
            </w:pPr>
            <w:r>
              <w:rPr>
                <w:rFonts w:hint="eastAsia" w:ascii="宋体" w:hAnsi="宋体" w:cs="宋体"/>
                <w:color w:val="auto"/>
                <w:szCs w:val="21"/>
                <w:highlight w:val="none"/>
                <w:u w:val="single"/>
              </w:rPr>
              <w:t>15</w:t>
            </w:r>
          </w:p>
        </w:tc>
      </w:tr>
    </w:tbl>
    <w:p>
      <w:pPr>
        <w:pStyle w:val="155"/>
        <w:spacing w:line="360" w:lineRule="auto"/>
        <w:ind w:left="315" w:leftChars="15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br w:type="page"/>
      </w:r>
      <w:r>
        <w:rPr>
          <w:rFonts w:hint="eastAsia" w:ascii="宋体" w:hAnsi="宋体" w:eastAsia="宋体" w:cs="宋体"/>
          <w:color w:val="auto"/>
          <w:sz w:val="24"/>
          <w:szCs w:val="24"/>
          <w:highlight w:val="none"/>
          <w:u w:val="single"/>
        </w:rPr>
        <w:t>6、我公司保证拟派项目经理将严格按照招标文件要求，自签订合同之日起至工程竣工验收将常驻现场，严格按照有关工程项目管理的要求进行项目管理，如果不能够按照此要求实施，我方自愿接受贵中心的制裁措施。</w:t>
      </w:r>
    </w:p>
    <w:p>
      <w:pPr>
        <w:pStyle w:val="155"/>
        <w:spacing w:line="360" w:lineRule="auto"/>
        <w:ind w:left="315" w:leftChars="15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7、本工程施工过程中，我司将严格按照国家、省、市有关施工及验收规范、标准进行施工，确保本工程质量达到 合格 等级。</w:t>
      </w:r>
    </w:p>
    <w:p>
      <w:pPr>
        <w:pStyle w:val="155"/>
        <w:spacing w:line="360" w:lineRule="auto"/>
        <w:ind w:left="315" w:leftChars="15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8、在确保工程质量的前提下，我司严格控制工程工期，确保工程在      天内完成。</w:t>
      </w:r>
    </w:p>
    <w:p>
      <w:pPr>
        <w:pStyle w:val="155"/>
        <w:spacing w:line="360" w:lineRule="auto"/>
        <w:ind w:left="315" w:leftChars="15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9、严格按照国家、省、市有关安全生产、文明施工要求，积极制定安全生产、文明施工措施，并严格执行，确保施工中符合安全生产、文明施工要求。在施工过程中,若发生重大伤亡事故，我方自愿接受贵中心的经济处罚：如发生死亡事故，死亡1人，支付20万元违约金；死亡2人，支付40万元违约金；死亡3人或以上，支付80万元违约金；如发生重伤事故，重伤1人，支付10万元违约金；重伤2人，支付20万元违约金；重伤3人或以上，支付40万元违约金。以上款项从工程款中扣除，扣除的款项均上缴国库。</w:t>
      </w:r>
    </w:p>
    <w:p>
      <w:pPr>
        <w:pStyle w:val="155"/>
        <w:spacing w:line="360" w:lineRule="auto"/>
        <w:ind w:left="315" w:leftChars="15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10、按照发包人、监理工程师的要求及时为专业工程（电信、电力管线、电力走廊、煤气、道路绿化、路灯、交通设施等）提供工作面，并为专业工程穿插施工所需各项配合工作给予方便。</w:t>
      </w:r>
    </w:p>
    <w:p>
      <w:pPr>
        <w:spacing w:line="360" w:lineRule="auto"/>
        <w:ind w:left="315" w:leftChars="15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11、将按照招标过程中确定的范围，除了下表所列专业工程外，其余全部工程由我司自行施工。对工程分包，我司承诺按照招标文件的要求和有关规定履行总包单位的职责，在中标后提供分包单位的资质证明材料（如有必须分包的专业工程，请填入下表）。</w:t>
      </w:r>
    </w:p>
    <w:tbl>
      <w:tblPr>
        <w:tblStyle w:val="40"/>
        <w:tblW w:w="0" w:type="auto"/>
        <w:tblInd w:w="4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7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857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u w:val="single"/>
              </w:rPr>
            </w:pPr>
            <w:r>
              <w:rPr>
                <w:rFonts w:hint="eastAsia" w:ascii="宋体" w:hAnsi="宋体" w:cs="宋体"/>
                <w:color w:val="auto"/>
                <w:szCs w:val="21"/>
                <w:highlight w:val="none"/>
                <w:u w:val="single"/>
              </w:rPr>
              <w:t>必须分包的专业工程内容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50" w:type="dxa"/>
            <w:tcBorders>
              <w:top w:val="single" w:color="auto" w:sz="4" w:space="0"/>
              <w:left w:val="single" w:color="auto" w:sz="4" w:space="0"/>
              <w:bottom w:val="single" w:color="auto" w:sz="4" w:space="0"/>
              <w:right w:val="single" w:color="auto" w:sz="4" w:space="0"/>
            </w:tcBorders>
            <w:noWrap w:val="0"/>
            <w:vAlign w:val="center"/>
          </w:tcPr>
          <w:p>
            <w:pPr>
              <w:ind w:left="-105" w:leftChars="-50" w:firstLine="90" w:firstLineChars="43"/>
              <w:jc w:val="center"/>
              <w:rPr>
                <w:rFonts w:hint="eastAsia" w:ascii="宋体" w:hAnsi="宋体" w:cs="宋体"/>
                <w:color w:val="auto"/>
                <w:szCs w:val="21"/>
                <w:highlight w:val="none"/>
                <w:u w:val="single"/>
              </w:rPr>
            </w:pPr>
            <w:r>
              <w:rPr>
                <w:rFonts w:hint="eastAsia" w:ascii="宋体" w:hAnsi="宋体" w:cs="宋体"/>
                <w:color w:val="auto"/>
                <w:szCs w:val="21"/>
                <w:highlight w:val="none"/>
                <w:u w:val="single"/>
              </w:rPr>
              <w:t>序号</w:t>
            </w:r>
          </w:p>
        </w:tc>
        <w:tc>
          <w:tcPr>
            <w:tcW w:w="75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u w:val="single"/>
              </w:rPr>
            </w:pPr>
            <w:r>
              <w:rPr>
                <w:rFonts w:hint="eastAsia" w:ascii="宋体" w:hAnsi="宋体" w:cs="宋体"/>
                <w:color w:val="auto"/>
                <w:szCs w:val="21"/>
                <w:highlight w:val="none"/>
                <w:u w:val="single"/>
              </w:rPr>
              <w:t>工程内容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u w:val="single"/>
              </w:rPr>
            </w:pPr>
          </w:p>
        </w:tc>
        <w:tc>
          <w:tcPr>
            <w:tcW w:w="752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u w:val="single"/>
              </w:rPr>
            </w:pPr>
          </w:p>
        </w:tc>
        <w:tc>
          <w:tcPr>
            <w:tcW w:w="752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u w:val="single"/>
              </w:rPr>
            </w:pPr>
          </w:p>
        </w:tc>
        <w:tc>
          <w:tcPr>
            <w:tcW w:w="752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u w:val="single"/>
              </w:rPr>
            </w:pPr>
          </w:p>
        </w:tc>
      </w:tr>
    </w:tbl>
    <w:p>
      <w:pPr>
        <w:tabs>
          <w:tab w:val="left" w:pos="645"/>
        </w:tabs>
        <w:spacing w:line="360" w:lineRule="auto"/>
        <w:rPr>
          <w:rFonts w:hint="eastAsia" w:ascii="宋体" w:hAnsi="宋体" w:cs="宋体"/>
          <w:bCs/>
          <w:color w:val="auto"/>
          <w:sz w:val="24"/>
          <w:szCs w:val="24"/>
          <w:highlight w:val="none"/>
          <w:u w:val="single"/>
        </w:rPr>
      </w:pPr>
    </w:p>
    <w:p>
      <w:pPr>
        <w:tabs>
          <w:tab w:val="left" w:pos="645"/>
        </w:tabs>
        <w:spacing w:line="360" w:lineRule="auto"/>
        <w:rPr>
          <w:rFonts w:hint="eastAsia" w:ascii="宋体" w:hAnsi="宋体" w:cs="宋体"/>
          <w:bCs/>
          <w:color w:val="auto"/>
          <w:sz w:val="24"/>
          <w:szCs w:val="24"/>
          <w:highlight w:val="none"/>
          <w:u w:val="single"/>
        </w:rPr>
      </w:pPr>
      <w:r>
        <w:rPr>
          <w:rFonts w:hint="eastAsia" w:ascii="宋体" w:hAnsi="宋体" w:cs="宋体"/>
          <w:color w:val="auto"/>
          <w:sz w:val="24"/>
          <w:szCs w:val="24"/>
          <w:highlight w:val="none"/>
          <w:u w:val="single"/>
        </w:rPr>
        <w:t>12、我司承诺</w:t>
      </w:r>
      <w:r>
        <w:rPr>
          <w:rFonts w:hint="eastAsia" w:ascii="宋体" w:hAnsi="宋体" w:cs="宋体"/>
          <w:bCs/>
          <w:color w:val="auto"/>
          <w:sz w:val="24"/>
          <w:szCs w:val="24"/>
          <w:highlight w:val="none"/>
          <w:u w:val="single"/>
        </w:rPr>
        <w:t>在整个施工过程中，由我司签订用工合同，建立工资支付制度，每月按时发放聘用工工资，自觉接受业主和主管部门的监督，不论何种原因不拖欠或者克扣聘用工工资。否则，可由员工代表知会有关部门，或拨打投诉电话。我司同时承诺严格执行</w:t>
      </w:r>
      <w:r>
        <w:rPr>
          <w:rFonts w:hint="eastAsia" w:ascii="宋体" w:hAnsi="宋体"/>
          <w:color w:val="auto"/>
          <w:sz w:val="24"/>
          <w:szCs w:val="24"/>
          <w:highlight w:val="none"/>
          <w:u w:val="single"/>
        </w:rPr>
        <w:t>《住房城乡建设部 人力资源社会保障部关于印发建筑工人实名管理办法（试行）的通知》（建市〔2019〕18号）、《广东省建设工程领域工人工资支付专用账户管理办法》（粤人社规〔2018〕14号）、</w:t>
      </w:r>
      <w:r>
        <w:rPr>
          <w:rFonts w:hint="eastAsia" w:ascii="宋体" w:hAnsi="宋体" w:cs="宋体"/>
          <w:color w:val="auto"/>
          <w:sz w:val="24"/>
          <w:highlight w:val="none"/>
          <w:u w:val="single"/>
        </w:rPr>
        <w:t>《广州市建筑施工实名制管理办法》（穗建规字〔2020〕18号）、《广州市建设领域工人工资支付分账管理实施细则》（穗建规字〔2020〕37号）</w:t>
      </w:r>
      <w:r>
        <w:rPr>
          <w:rFonts w:hint="eastAsia" w:ascii="宋体" w:hAnsi="宋体"/>
          <w:color w:val="auto"/>
          <w:sz w:val="24"/>
          <w:szCs w:val="24"/>
          <w:highlight w:val="none"/>
          <w:u w:val="single"/>
        </w:rPr>
        <w:t>、《关于印发广州市房屋建筑及市政工程实名制和工资支付分账平台化管理工作方案的通知》（穗建筑〔2017〕183号）、《广州市住房和城乡建设委员会关于转发&lt;广东省住房和城乡建设厅关于房屋建筑和市政基础设施工程用工实名管理暂行办法&gt;的通知》（穗建筑〔2018〕981号）等关于用工实名制和工人工资支付分账管理的各项规定。根据</w:t>
      </w:r>
      <w:r>
        <w:rPr>
          <w:rFonts w:hint="eastAsia" w:ascii="宋体" w:hAnsi="宋体" w:cs="宋体"/>
          <w:bCs/>
          <w:color w:val="auto"/>
          <w:sz w:val="24"/>
          <w:szCs w:val="24"/>
          <w:highlight w:val="none"/>
          <w:u w:val="single"/>
        </w:rPr>
        <w:t>广州市萝岗区人民政府办公室《关于贯彻实施国家劳动部、建设部&lt;建设领域农民工工资支付管理暂行办法&gt;的若干意见》（穗萝府办[2005]21号）等有关规定执行（包括但不限于）：必须向区劳动保障部门申报用工人数、工资支付制度、工程规模等情况；必须定期参加区劳动保障部门在区建设领域建立和推行的劳动管理培训等。</w:t>
      </w:r>
    </w:p>
    <w:p>
      <w:pPr>
        <w:tabs>
          <w:tab w:val="left" w:pos="315"/>
        </w:tabs>
        <w:spacing w:line="360"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u w:val="single"/>
        </w:rPr>
        <w:t>13、我司保证在中标后，根据工程特点，编制本工程详细的施工组织设计和施工方案，并报监理和发包人审核批准，并严格按审批的意见和要求组织施工。</w:t>
      </w:r>
    </w:p>
    <w:p>
      <w:pPr>
        <w:spacing w:line="360"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u w:val="single"/>
        </w:rPr>
        <w:t>14、我司承诺积极响应并接受招标文件中合同专用专款关于合同价款的调整办法。</w:t>
      </w:r>
    </w:p>
    <w:p>
      <w:pPr>
        <w:pStyle w:val="139"/>
        <w:spacing w:line="360" w:lineRule="auto"/>
        <w:ind w:firstLine="240" w:firstLineChars="100"/>
        <w:rPr>
          <w:rFonts w:hint="eastAsia" w:ascii="宋体" w:hAnsi="宋体"/>
          <w:color w:val="auto"/>
          <w:sz w:val="24"/>
          <w:szCs w:val="24"/>
          <w:highlight w:val="none"/>
          <w:u w:val="single"/>
        </w:rPr>
      </w:pPr>
      <w:r>
        <w:rPr>
          <w:rFonts w:hint="eastAsia" w:ascii="宋体" w:hAnsi="宋体"/>
          <w:color w:val="auto"/>
          <w:sz w:val="24"/>
          <w:szCs w:val="24"/>
          <w:highlight w:val="none"/>
          <w:u w:val="single"/>
        </w:rPr>
        <w:t>15、我司保证在中标后，施工现场严格按照《广州市建设工程文明施工管理规定》（广州市人民政府令第62号）、《广州市建设工程现场文明施工管理办法》（穗建质〔2008〕937号）、《关于进一步加强我区建设工地文明施工管理的通知》（穗开规建〔2006〕74号）、《广州市住房和城乡建设委员会关于印发建设工程扬尘防治“6个100%”管理标准细化措施的通知》（穗建质〔2018〕1394号）及其他相关规定实施，施工围蔽严格按照、《关于进一步加强规范建设施工现场围蔽的通知》（穗建质〔2018〕1008号）、《广州市建设工程绿色施工围蔽指导图集（V2.0版）》(穗建质〔2020〕1号）、《关于进一步落实我区市政建设项目施工围蔽提升工作的通知》（穗埔建[2019]123号）及《黄埔区住房和城乡建设局 广州开发区建设和交通局关于进一步规范全区建设工程施工围蔽标准的通知》（穗埔建﹝2020﹞183号）</w:t>
      </w:r>
      <w:r>
        <w:rPr>
          <w:rFonts w:ascii="宋体" w:hAnsi="宋体"/>
          <w:color w:val="auto"/>
          <w:sz w:val="24"/>
          <w:szCs w:val="24"/>
          <w:highlight w:val="none"/>
          <w:u w:val="single"/>
        </w:rPr>
        <w:t>实施。</w:t>
      </w:r>
      <w:r>
        <w:rPr>
          <w:rFonts w:hint="eastAsia" w:ascii="宋体" w:hAnsi="宋体"/>
          <w:color w:val="auto"/>
          <w:sz w:val="24"/>
          <w:szCs w:val="24"/>
          <w:highlight w:val="none"/>
          <w:u w:val="single"/>
        </w:rPr>
        <w:t>我司随时接受监理、业主、安监机构等相关部门监督和检查，对在检查中发现不符合绿色施工、安全文明施工要求的，无条件进行整改。如不及时按要求整改，发包人有权不支付绿色施工安全防护措施费，或另行委托单位实施，所发生的费用在本工程绿色施工安全防护措施费中扣除，如不足抵扣可在本工程承包工程款中扣除，同时我司接受发包人根据实际情况对我司作出的其他处罚措施。发包人可将情况上报</w:t>
      </w:r>
      <w:r>
        <w:rPr>
          <w:rFonts w:hint="eastAsia" w:ascii="宋体" w:hAnsi="宋体"/>
          <w:color w:val="auto"/>
          <w:sz w:val="24"/>
          <w:szCs w:val="24"/>
          <w:highlight w:val="none"/>
          <w:u w:val="single"/>
          <w:lang w:eastAsia="zh-CN"/>
        </w:rPr>
        <w:t>行业</w:t>
      </w:r>
      <w:r>
        <w:rPr>
          <w:rFonts w:hint="eastAsia" w:ascii="宋体" w:hAnsi="宋体"/>
          <w:color w:val="auto"/>
          <w:sz w:val="24"/>
          <w:szCs w:val="24"/>
          <w:highlight w:val="none"/>
          <w:u w:val="single"/>
        </w:rPr>
        <w:t>主管部门，视情况追究我司有关责任，可对我司或项目责任人作不良行为记录。</w:t>
      </w:r>
    </w:p>
    <w:p>
      <w:pPr>
        <w:spacing w:line="360" w:lineRule="auto"/>
        <w:ind w:left="318"/>
        <w:rPr>
          <w:rFonts w:hint="eastAsia" w:ascii="宋体" w:hAnsi="宋体" w:cs="宋体"/>
          <w:color w:val="auto"/>
          <w:sz w:val="24"/>
          <w:szCs w:val="24"/>
          <w:highlight w:val="none"/>
          <w:u w:val="single"/>
        </w:rPr>
      </w:pPr>
    </w:p>
    <w:p>
      <w:pPr>
        <w:spacing w:line="360" w:lineRule="auto"/>
        <w:ind w:left="315"/>
        <w:rPr>
          <w:rFonts w:hint="eastAsia" w:ascii="宋体" w:hAnsi="宋体" w:cs="宋体"/>
          <w:color w:val="auto"/>
          <w:sz w:val="24"/>
          <w:szCs w:val="24"/>
          <w:highlight w:val="none"/>
          <w:u w:val="single"/>
        </w:rPr>
      </w:pPr>
    </w:p>
    <w:p>
      <w:pPr>
        <w:pStyle w:val="155"/>
        <w:spacing w:line="360" w:lineRule="auto"/>
        <w:ind w:firstLine="5040" w:firstLineChars="21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投标单位：（公章）</w:t>
      </w:r>
    </w:p>
    <w:p>
      <w:pPr>
        <w:pStyle w:val="155"/>
        <w:spacing w:line="360" w:lineRule="auto"/>
        <w:ind w:firstLine="5040" w:firstLineChars="21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法人代表：（签名或盖章）</w:t>
      </w:r>
    </w:p>
    <w:p>
      <w:pPr>
        <w:pStyle w:val="155"/>
        <w:spacing w:line="360" w:lineRule="auto"/>
        <w:ind w:right="560" w:firstLine="5040" w:firstLineChars="2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二Ο二  年  月  日</w:t>
      </w:r>
    </w:p>
    <w:p>
      <w:pPr>
        <w:pStyle w:val="155"/>
        <w:spacing w:line="360" w:lineRule="auto"/>
        <w:jc w:val="left"/>
        <w:rPr>
          <w:rFonts w:hint="eastAsia" w:ascii="宋体" w:hAnsi="宋体" w:eastAsia="宋体" w:cs="宋体"/>
          <w:color w:val="auto"/>
          <w:sz w:val="24"/>
          <w:szCs w:val="24"/>
          <w:highlight w:val="none"/>
          <w:u w:val="single"/>
        </w:rPr>
      </w:pPr>
    </w:p>
    <w:p>
      <w:pPr>
        <w:tabs>
          <w:tab w:val="left" w:pos="720"/>
        </w:tabs>
        <w:snapToGrid w:val="0"/>
        <w:spacing w:line="360"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注：标函承诺书作为投标文件的“实质性响应”文件，投标人应如实填写，中标后必须按填报内容如期实施，否则按“弄虚作假骗取中标”处理。中标后，工程的监理单位将经常核验投标人是否按填报内容实施，行政管理机构也将随时抽查。</w:t>
      </w:r>
    </w:p>
    <w:p>
      <w:pPr>
        <w:tabs>
          <w:tab w:val="left" w:pos="720"/>
        </w:tabs>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r>
        <w:rPr>
          <w:rFonts w:hint="eastAsia" w:ascii="宋体" w:hAnsi="宋体" w:cs="宋体"/>
          <w:color w:val="auto"/>
          <w:sz w:val="24"/>
          <w:szCs w:val="24"/>
          <w:highlight w:val="none"/>
        </w:rPr>
        <w:t>附件八</w:t>
      </w:r>
    </w:p>
    <w:p>
      <w:pPr>
        <w:tabs>
          <w:tab w:val="left" w:pos="720"/>
        </w:tabs>
        <w:snapToGrid w:val="0"/>
        <w:spacing w:line="360" w:lineRule="auto"/>
        <w:rPr>
          <w:rFonts w:hint="eastAsia" w:ascii="宋体" w:hAnsi="宋体" w:cs="宋体"/>
          <w:color w:val="auto"/>
          <w:sz w:val="24"/>
          <w:szCs w:val="24"/>
          <w:highlight w:val="none"/>
        </w:rPr>
      </w:pPr>
    </w:p>
    <w:p>
      <w:pPr>
        <w:pStyle w:val="39"/>
        <w:spacing w:after="0" w:line="336" w:lineRule="auto"/>
        <w:ind w:firstLine="0"/>
        <w:rPr>
          <w:rFonts w:hint="eastAsia" w:ascii="宋体" w:hAnsi="宋体" w:cs="宋体"/>
          <w:b/>
          <w:color w:val="auto"/>
          <w:sz w:val="24"/>
          <w:szCs w:val="24"/>
          <w:highlight w:val="none"/>
        </w:rPr>
      </w:pPr>
      <w:r>
        <w:rPr>
          <w:rFonts w:hint="eastAsia" w:hAnsi="宋体" w:cs="宋体"/>
          <w:b/>
          <w:color w:val="auto"/>
          <w:sz w:val="24"/>
          <w:szCs w:val="24"/>
          <w:highlight w:val="none"/>
          <w:lang w:val="en-US" w:eastAsia="zh-CN"/>
        </w:rPr>
        <w:t xml:space="preserve">                          </w:t>
      </w:r>
      <w:r>
        <w:rPr>
          <w:rFonts w:hint="eastAsia" w:ascii="宋体" w:hAnsi="宋体" w:cs="宋体"/>
          <w:b/>
          <w:color w:val="auto"/>
          <w:sz w:val="24"/>
          <w:szCs w:val="24"/>
          <w:highlight w:val="none"/>
        </w:rPr>
        <w:t>项目负责人驻场承诺书</w:t>
      </w:r>
    </w:p>
    <w:p>
      <w:pPr>
        <w:pStyle w:val="39"/>
        <w:spacing w:after="0" w:line="336" w:lineRule="auto"/>
        <w:ind w:left="-2" w:leftChars="-1" w:firstLineChars="175"/>
        <w:jc w:val="center"/>
        <w:rPr>
          <w:rFonts w:hint="eastAsia" w:ascii="宋体" w:hAnsi="宋体" w:cs="宋体"/>
          <w:color w:val="auto"/>
          <w:sz w:val="24"/>
          <w:szCs w:val="24"/>
          <w:highlight w:val="none"/>
          <w:u w:val="single"/>
        </w:rPr>
      </w:pPr>
    </w:p>
    <w:p>
      <w:pPr>
        <w:spacing w:line="336"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致（业主/监理）                                           ：</w:t>
      </w:r>
    </w:p>
    <w:p>
      <w:pPr>
        <w:spacing w:line="336" w:lineRule="auto"/>
        <w:rPr>
          <w:rFonts w:hint="eastAsia" w:ascii="宋体" w:hAnsi="宋体" w:cs="宋体"/>
          <w:color w:val="auto"/>
          <w:sz w:val="24"/>
          <w:szCs w:val="24"/>
          <w:highlight w:val="none"/>
          <w:u w:val="single"/>
        </w:rPr>
      </w:pPr>
    </w:p>
    <w:p>
      <w:pPr>
        <w:spacing w:line="336" w:lineRule="auto"/>
        <w:ind w:firstLine="523" w:firstLineChars="218"/>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 xml:space="preserve">本人（姓名）              ，项目负责人证书注册编号：                       </w:t>
      </w:r>
    </w:p>
    <w:p>
      <w:pPr>
        <w:spacing w:line="336" w:lineRule="auto"/>
        <w:ind w:left="1"/>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受（投标人）                                                              委派，拟在（项目名称）                                                   担任项目负责人一职。为加强本工程项目管理，保证我公司在中标后严格履行与业主签定的工程建设承包合同，圆满的完成本项工程，我愿就此做出以下承诺；</w:t>
      </w:r>
    </w:p>
    <w:p>
      <w:pPr>
        <w:spacing w:line="336"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1．本人作为公司选派的本项目的项目负责人，我保证自即日起至项目竣工并通过验收之日止，自始至终全过程常驻工地现场，代表我公司全面负责本工程现场组织，指挥，管理，协调等工作。并承诺在本项目完成后的合同责任保修期内，根据项目实际保修工作需要也能随时到场负责指挥，安排应做的保修工作。</w:t>
      </w:r>
    </w:p>
    <w:p>
      <w:pPr>
        <w:spacing w:line="336"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2．如果本招标工程我公司中标，我本人保证在工程签订合同之日起至工程竣工验收完成期间只担任此工程的项目经理，不参加其他任何工程的登记和任何工作，不在其他任何工程担任职务。</w:t>
      </w:r>
    </w:p>
    <w:p>
      <w:pPr>
        <w:spacing w:line="336"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3．除非征得业主的书面批准，否则如果违背以上承诺，不能常驻施工现场，我自愿接受业主给予我本人的批评和处罚，并同意业主就此作为我个人的不良纪录进一步上报区行业主管部门，项目负责人证书注册、备案、审批机构等有关部门并接受上述部门给予的通报和相关职能部门给予的扣证等处罚。</w:t>
      </w:r>
    </w:p>
    <w:p>
      <w:pPr>
        <w:spacing w:line="336"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4．项目负责人本人身份证复印件和两寸相片：</w:t>
      </w:r>
    </w:p>
    <w:p>
      <w:pPr>
        <w:spacing w:line="336" w:lineRule="auto"/>
        <w:rPr>
          <w:rFonts w:hint="eastAsia" w:ascii="宋体" w:hAnsi="宋体" w:cs="宋体"/>
          <w:color w:val="auto"/>
          <w:sz w:val="24"/>
          <w:szCs w:val="24"/>
          <w:highlight w:val="none"/>
          <w:u w:val="single"/>
        </w:rPr>
      </w:pPr>
    </w:p>
    <w:tbl>
      <w:tblPr>
        <w:tblStyle w:val="40"/>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3"/>
        <w:gridCol w:w="2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trPr>
        <w:tc>
          <w:tcPr>
            <w:tcW w:w="6043" w:type="dxa"/>
            <w:tcBorders>
              <w:top w:val="single" w:color="auto" w:sz="4" w:space="0"/>
              <w:left w:val="single" w:color="auto" w:sz="4" w:space="0"/>
              <w:bottom w:val="single" w:color="auto" w:sz="4" w:space="0"/>
              <w:right w:val="single" w:color="auto" w:sz="4" w:space="0"/>
            </w:tcBorders>
            <w:noWrap w:val="0"/>
            <w:vAlign w:val="top"/>
          </w:tcPr>
          <w:p>
            <w:pPr>
              <w:spacing w:line="336" w:lineRule="auto"/>
              <w:jc w:val="center"/>
              <w:rPr>
                <w:rFonts w:hint="eastAsia" w:ascii="宋体" w:hAnsi="宋体" w:cs="宋体"/>
                <w:color w:val="auto"/>
                <w:szCs w:val="21"/>
                <w:highlight w:val="none"/>
                <w:u w:val="single"/>
              </w:rPr>
            </w:pPr>
          </w:p>
          <w:p>
            <w:pPr>
              <w:spacing w:line="336" w:lineRule="auto"/>
              <w:jc w:val="center"/>
              <w:rPr>
                <w:rFonts w:hint="eastAsia" w:ascii="宋体" w:hAnsi="宋体" w:cs="宋体"/>
                <w:color w:val="auto"/>
                <w:szCs w:val="21"/>
                <w:highlight w:val="none"/>
                <w:u w:val="single"/>
              </w:rPr>
            </w:pPr>
          </w:p>
          <w:p>
            <w:pPr>
              <w:spacing w:line="336" w:lineRule="auto"/>
              <w:jc w:val="center"/>
              <w:rPr>
                <w:rFonts w:hint="eastAsia" w:ascii="宋体" w:hAnsi="宋体" w:cs="宋体"/>
                <w:color w:val="auto"/>
                <w:szCs w:val="21"/>
                <w:highlight w:val="none"/>
                <w:u w:val="single"/>
              </w:rPr>
            </w:pPr>
          </w:p>
          <w:p>
            <w:pPr>
              <w:spacing w:line="336" w:lineRule="auto"/>
              <w:jc w:val="center"/>
              <w:rPr>
                <w:rFonts w:hint="eastAsia" w:ascii="宋体" w:hAnsi="宋体" w:cs="宋体"/>
                <w:color w:val="auto"/>
                <w:szCs w:val="21"/>
                <w:highlight w:val="none"/>
                <w:u w:val="single"/>
              </w:rPr>
            </w:pPr>
            <w:r>
              <w:rPr>
                <w:rFonts w:hint="eastAsia" w:ascii="宋体" w:hAnsi="宋体" w:cs="宋体"/>
                <w:color w:val="auto"/>
                <w:szCs w:val="21"/>
                <w:highlight w:val="none"/>
                <w:u w:val="single"/>
              </w:rPr>
              <w:t>身份证复印件</w:t>
            </w:r>
          </w:p>
        </w:tc>
        <w:tc>
          <w:tcPr>
            <w:tcW w:w="2492" w:type="dxa"/>
            <w:tcBorders>
              <w:top w:val="single" w:color="auto" w:sz="4" w:space="0"/>
              <w:left w:val="single" w:color="auto" w:sz="4" w:space="0"/>
              <w:bottom w:val="single" w:color="auto" w:sz="4" w:space="0"/>
              <w:right w:val="single" w:color="auto" w:sz="4" w:space="0"/>
            </w:tcBorders>
            <w:noWrap w:val="0"/>
            <w:vAlign w:val="top"/>
          </w:tcPr>
          <w:p>
            <w:pPr>
              <w:spacing w:line="336" w:lineRule="auto"/>
              <w:jc w:val="center"/>
              <w:rPr>
                <w:rFonts w:hint="eastAsia" w:ascii="宋体" w:hAnsi="宋体" w:cs="宋体"/>
                <w:color w:val="auto"/>
                <w:szCs w:val="21"/>
                <w:highlight w:val="none"/>
                <w:u w:val="single"/>
              </w:rPr>
            </w:pPr>
          </w:p>
          <w:p>
            <w:pPr>
              <w:spacing w:line="336" w:lineRule="auto"/>
              <w:jc w:val="center"/>
              <w:rPr>
                <w:rFonts w:hint="eastAsia" w:ascii="宋体" w:hAnsi="宋体" w:cs="宋体"/>
                <w:color w:val="auto"/>
                <w:szCs w:val="21"/>
                <w:highlight w:val="none"/>
                <w:u w:val="single"/>
              </w:rPr>
            </w:pPr>
          </w:p>
          <w:p>
            <w:pPr>
              <w:spacing w:line="336" w:lineRule="auto"/>
              <w:jc w:val="center"/>
              <w:rPr>
                <w:rFonts w:hint="eastAsia" w:ascii="宋体" w:hAnsi="宋体" w:cs="宋体"/>
                <w:color w:val="auto"/>
                <w:szCs w:val="21"/>
                <w:highlight w:val="none"/>
                <w:u w:val="single"/>
              </w:rPr>
            </w:pPr>
          </w:p>
          <w:p>
            <w:pPr>
              <w:spacing w:line="336" w:lineRule="auto"/>
              <w:jc w:val="center"/>
              <w:rPr>
                <w:rFonts w:hint="eastAsia" w:ascii="宋体" w:hAnsi="宋体" w:cs="宋体"/>
                <w:color w:val="auto"/>
                <w:szCs w:val="21"/>
                <w:highlight w:val="none"/>
                <w:u w:val="single"/>
              </w:rPr>
            </w:pPr>
            <w:r>
              <w:rPr>
                <w:rFonts w:hint="eastAsia" w:ascii="宋体" w:hAnsi="宋体" w:cs="宋体"/>
                <w:color w:val="auto"/>
                <w:szCs w:val="21"/>
                <w:highlight w:val="none"/>
                <w:u w:val="single"/>
              </w:rPr>
              <w:t>相片</w:t>
            </w:r>
          </w:p>
        </w:tc>
      </w:tr>
    </w:tbl>
    <w:p>
      <w:pPr>
        <w:spacing w:line="336" w:lineRule="auto"/>
        <w:rPr>
          <w:rFonts w:hint="eastAsia" w:ascii="宋体" w:hAnsi="宋体" w:cs="宋体"/>
          <w:color w:val="auto"/>
          <w:sz w:val="24"/>
          <w:szCs w:val="24"/>
          <w:highlight w:val="none"/>
          <w:u w:val="single"/>
        </w:rPr>
      </w:pPr>
    </w:p>
    <w:p>
      <w:pPr>
        <w:spacing w:line="336" w:lineRule="auto"/>
        <w:ind w:firstLine="3840" w:firstLineChars="16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投标人：（盖章）</w:t>
      </w:r>
    </w:p>
    <w:p>
      <w:pPr>
        <w:spacing w:line="336" w:lineRule="auto"/>
        <w:ind w:firstLine="3840" w:firstLineChars="16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 xml:space="preserve">项目负责人签名：                 </w:t>
      </w:r>
    </w:p>
    <w:p>
      <w:pPr>
        <w:tabs>
          <w:tab w:val="left" w:pos="720"/>
        </w:tabs>
        <w:snapToGrid w:val="0"/>
        <w:spacing w:line="336" w:lineRule="auto"/>
        <w:jc w:val="right"/>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 xml:space="preserve">     年   月    日</w:t>
      </w:r>
    </w:p>
    <w:p>
      <w:pPr>
        <w:pStyle w:val="2"/>
        <w:jc w:val="center"/>
        <w:rPr>
          <w:rFonts w:ascii="宋体" w:hAnsi="宋体"/>
          <w:color w:val="auto"/>
          <w:sz w:val="24"/>
          <w:highlight w:val="none"/>
        </w:rPr>
      </w:pPr>
      <w:r>
        <w:rPr>
          <w:rFonts w:hint="eastAsia" w:ascii="宋体" w:hAnsi="宋体"/>
          <w:color w:val="auto"/>
          <w:highlight w:val="none"/>
        </w:rPr>
        <w:t>第九章否决性条款汇总</w:t>
      </w:r>
      <w:bookmarkEnd w:id="342"/>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招标文件的其他条款与该单列的否决性条款不一致的，以单列的否决性条款为准。</w:t>
      </w:r>
    </w:p>
    <w:p>
      <w:pPr>
        <w:snapToGrid w:val="0"/>
        <w:spacing w:line="400" w:lineRule="exact"/>
        <w:ind w:firstLine="482" w:firstLineChars="200"/>
        <w:rPr>
          <w:rFonts w:ascii="宋体" w:hAnsi="宋体"/>
          <w:b/>
          <w:color w:val="auto"/>
          <w:sz w:val="24"/>
          <w:highlight w:val="none"/>
        </w:rPr>
      </w:pPr>
      <w:r>
        <w:rPr>
          <w:rFonts w:hint="eastAsia" w:ascii="宋体" w:hAnsi="宋体"/>
          <w:b/>
          <w:color w:val="auto"/>
          <w:sz w:val="24"/>
          <w:highlight w:val="none"/>
        </w:rPr>
        <w:t>（一）拒绝受理投标文件的情形</w:t>
      </w:r>
    </w:p>
    <w:p>
      <w:pPr>
        <w:snapToGrid w:val="0"/>
        <w:spacing w:line="400" w:lineRule="exact"/>
        <w:ind w:firstLine="480" w:firstLineChars="200"/>
        <w:rPr>
          <w:rFonts w:ascii="宋体" w:hAnsi="宋体"/>
          <w:color w:val="auto"/>
          <w:sz w:val="24"/>
          <w:highlight w:val="none"/>
        </w:rPr>
      </w:pPr>
      <w:r>
        <w:rPr>
          <w:rFonts w:hint="eastAsia" w:ascii="宋体" w:hAnsi="宋体"/>
          <w:color w:val="auto"/>
          <w:sz w:val="24"/>
          <w:highlight w:val="none"/>
        </w:rPr>
        <w:t xml:space="preserve">1. </w:t>
      </w:r>
      <w:r>
        <w:rPr>
          <w:rFonts w:hint="eastAsia" w:ascii="宋体" w:hAnsi="宋体"/>
          <w:color w:val="auto"/>
          <w:sz w:val="24"/>
          <w:szCs w:val="21"/>
          <w:highlight w:val="none"/>
        </w:rPr>
        <w:t>未按要求加密的投标文件，</w:t>
      </w:r>
      <w:r>
        <w:rPr>
          <w:rFonts w:hint="eastAsia" w:ascii="宋体" w:hAnsi="宋体"/>
          <w:color w:val="auto"/>
          <w:sz w:val="24"/>
          <w:szCs w:val="24"/>
          <w:highlight w:val="none"/>
          <w:u w:val="single"/>
        </w:rPr>
        <w:t>广州公共资源</w:t>
      </w:r>
      <w:r>
        <w:rPr>
          <w:rFonts w:hint="eastAsia" w:ascii="宋体" w:hAnsi="宋体"/>
          <w:color w:val="auto"/>
          <w:sz w:val="24"/>
          <w:szCs w:val="21"/>
          <w:highlight w:val="none"/>
        </w:rPr>
        <w:t>交易平台将予以拒收。</w:t>
      </w:r>
    </w:p>
    <w:p>
      <w:pPr>
        <w:snapToGrid w:val="0"/>
        <w:spacing w:line="400" w:lineRule="exact"/>
        <w:ind w:firstLine="480" w:firstLineChars="200"/>
        <w:rPr>
          <w:rFonts w:ascii="宋体" w:hAnsi="宋体"/>
          <w:color w:val="auto"/>
          <w:kern w:val="0"/>
          <w:sz w:val="24"/>
          <w:szCs w:val="24"/>
          <w:highlight w:val="none"/>
          <w:u w:val="single"/>
        </w:rPr>
      </w:pPr>
      <w:r>
        <w:rPr>
          <w:rFonts w:hint="eastAsia" w:ascii="宋体" w:hAnsi="宋体"/>
          <w:color w:val="auto"/>
          <w:sz w:val="24"/>
          <w:szCs w:val="24"/>
          <w:highlight w:val="none"/>
          <w:u w:val="single"/>
        </w:rPr>
        <w:t>2. 逾期送达的电子投标文件，广州公共资源交易平台将予以拒收。</w:t>
      </w:r>
    </w:p>
    <w:p>
      <w:pPr>
        <w:snapToGrid w:val="0"/>
        <w:spacing w:line="400" w:lineRule="exact"/>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3.</w:t>
      </w:r>
      <w:r>
        <w:rPr>
          <w:rFonts w:hint="eastAsia" w:ascii="宋体" w:hAnsi="宋体" w:cs="仿宋_GB2312"/>
          <w:color w:val="auto"/>
          <w:sz w:val="24"/>
          <w:szCs w:val="24"/>
          <w:highlight w:val="none"/>
          <w:u w:val="single"/>
        </w:rPr>
        <w:t xml:space="preserve"> 因投标人原因造成投标文件未解密或未在规定的时间内解密的，视为撤销其投标文件。</w:t>
      </w:r>
    </w:p>
    <w:p>
      <w:pPr>
        <w:snapToGrid w:val="0"/>
        <w:spacing w:line="400" w:lineRule="exact"/>
        <w:ind w:firstLine="482" w:firstLineChars="200"/>
        <w:rPr>
          <w:rFonts w:ascii="宋体" w:hAnsi="宋体"/>
          <w:b/>
          <w:color w:val="auto"/>
          <w:sz w:val="24"/>
          <w:highlight w:val="none"/>
        </w:rPr>
      </w:pPr>
      <w:r>
        <w:rPr>
          <w:rFonts w:hint="eastAsia" w:ascii="宋体" w:hAnsi="宋体"/>
          <w:b/>
          <w:color w:val="auto"/>
          <w:sz w:val="24"/>
          <w:highlight w:val="none"/>
        </w:rPr>
        <w:t>（二）作无效投标的情形</w:t>
      </w:r>
    </w:p>
    <w:p>
      <w:pPr>
        <w:snapToGrid w:val="0"/>
        <w:spacing w:line="400" w:lineRule="exact"/>
        <w:ind w:firstLine="480" w:firstLineChars="200"/>
        <w:rPr>
          <w:rFonts w:ascii="宋体" w:hAnsi="宋体"/>
          <w:color w:val="auto"/>
          <w:sz w:val="24"/>
          <w:highlight w:val="none"/>
        </w:rPr>
      </w:pPr>
      <w:r>
        <w:rPr>
          <w:rFonts w:hint="eastAsia" w:ascii="宋体" w:hAnsi="宋体"/>
          <w:color w:val="auto"/>
          <w:sz w:val="24"/>
          <w:highlight w:val="none"/>
        </w:rPr>
        <w:t>1. 投标文件不符合招标文件评标办法中形式评审标准、资格评审标准、响应性评审标准的要求。</w:t>
      </w:r>
    </w:p>
    <w:p>
      <w:pPr>
        <w:snapToGrid w:val="0"/>
        <w:spacing w:line="400" w:lineRule="exact"/>
        <w:ind w:firstLine="482" w:firstLineChars="200"/>
        <w:rPr>
          <w:rFonts w:ascii="宋体" w:hAnsi="宋体"/>
          <w:b/>
          <w:color w:val="auto"/>
          <w:sz w:val="24"/>
          <w:highlight w:val="none"/>
        </w:rPr>
      </w:pPr>
      <w:r>
        <w:rPr>
          <w:rFonts w:hint="eastAsia" w:ascii="宋体" w:hAnsi="宋体"/>
          <w:b/>
          <w:color w:val="auto"/>
          <w:sz w:val="24"/>
          <w:highlight w:val="none"/>
        </w:rPr>
        <w:t>（三）作不合格标处理的情形</w:t>
      </w:r>
    </w:p>
    <w:p>
      <w:pPr>
        <w:snapToGrid w:val="0"/>
        <w:spacing w:line="400" w:lineRule="exact"/>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1. 投标人有以下情形之一的，评标委员会应当否决其投标：</w:t>
      </w:r>
    </w:p>
    <w:p>
      <w:pPr>
        <w:snapToGrid w:val="0"/>
        <w:spacing w:line="400" w:lineRule="exact"/>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（1）第二章“投标人须知”第1.4.3项规定的任何一种情形的；</w:t>
      </w:r>
    </w:p>
    <w:p>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（2）串通投标或弄虚作假或有其他违法行为的；</w:t>
      </w:r>
    </w:p>
    <w:p>
      <w:pPr>
        <w:snapToGrid w:val="0"/>
        <w:spacing w:line="400" w:lineRule="exact"/>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w:t>
      </w:r>
      <w:r>
        <w:rPr>
          <w:rFonts w:ascii="宋体" w:hAnsi="宋体"/>
          <w:color w:val="auto"/>
          <w:sz w:val="24"/>
          <w:szCs w:val="24"/>
          <w:highlight w:val="none"/>
          <w:u w:val="single"/>
        </w:rPr>
        <w:t>3</w:t>
      </w:r>
      <w:r>
        <w:rPr>
          <w:rFonts w:hint="eastAsia" w:ascii="宋体" w:hAnsi="宋体"/>
          <w:color w:val="auto"/>
          <w:sz w:val="24"/>
          <w:szCs w:val="24"/>
          <w:highlight w:val="none"/>
          <w:u w:val="single"/>
        </w:rPr>
        <w:t>）不按评标委员会要求澄清、说明或补正的。</w:t>
      </w:r>
    </w:p>
    <w:p>
      <w:pPr>
        <w:snapToGrid w:val="0"/>
        <w:spacing w:line="400" w:lineRule="exact"/>
        <w:ind w:firstLine="480" w:firstLineChars="200"/>
        <w:rPr>
          <w:rFonts w:hint="eastAsia" w:ascii="宋体" w:hAnsi="宋体" w:eastAsia="宋体"/>
          <w:color w:val="auto"/>
          <w:sz w:val="24"/>
          <w:szCs w:val="24"/>
          <w:highlight w:val="none"/>
          <w:u w:val="single"/>
          <w:lang w:eastAsia="zh-CN"/>
        </w:rPr>
      </w:pPr>
      <w:r>
        <w:rPr>
          <w:rFonts w:hint="eastAsia" w:ascii="宋体" w:hAnsi="宋体"/>
          <w:color w:val="auto"/>
          <w:sz w:val="24"/>
          <w:szCs w:val="24"/>
          <w:highlight w:val="none"/>
          <w:u w:val="single"/>
          <w:lang w:eastAsia="zh-CN"/>
        </w:rPr>
        <w:t>（</w:t>
      </w:r>
      <w:r>
        <w:rPr>
          <w:rFonts w:hint="eastAsia" w:ascii="宋体" w:hAnsi="宋体"/>
          <w:color w:val="auto"/>
          <w:sz w:val="24"/>
          <w:szCs w:val="24"/>
          <w:highlight w:val="none"/>
          <w:u w:val="single"/>
          <w:lang w:val="en-US" w:eastAsia="zh-CN"/>
        </w:rPr>
        <w:t>4</w:t>
      </w:r>
      <w:r>
        <w:rPr>
          <w:rFonts w:hint="eastAsia" w:ascii="宋体" w:hAnsi="宋体"/>
          <w:color w:val="auto"/>
          <w:sz w:val="24"/>
          <w:szCs w:val="24"/>
          <w:highlight w:val="none"/>
          <w:u w:val="single"/>
          <w:lang w:eastAsia="zh-CN"/>
        </w:rPr>
        <w:t>）两个（含两个）以上投标人加密打包投标文件工程量清单编制机器硬件信息一致。</w:t>
      </w:r>
    </w:p>
    <w:p>
      <w:pPr>
        <w:snapToGrid w:val="0"/>
        <w:spacing w:line="400" w:lineRule="exact"/>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2. 投标人不接受修正价格的，其投标作废标处理。</w:t>
      </w:r>
    </w:p>
    <w:p>
      <w:pPr>
        <w:snapToGrid w:val="0"/>
        <w:spacing w:line="400" w:lineRule="exact"/>
        <w:ind w:firstLine="480" w:firstLineChars="200"/>
        <w:rPr>
          <w:rFonts w:ascii="宋体" w:hAnsi="宋体"/>
          <w:color w:val="auto"/>
          <w:kern w:val="0"/>
          <w:sz w:val="24"/>
          <w:szCs w:val="20"/>
          <w:highlight w:val="none"/>
          <w:u w:val="single"/>
        </w:rPr>
      </w:pPr>
      <w:r>
        <w:rPr>
          <w:rFonts w:hint="eastAsia" w:ascii="宋体" w:hAnsi="宋体"/>
          <w:color w:val="auto"/>
          <w:kern w:val="0"/>
          <w:sz w:val="24"/>
          <w:szCs w:val="20"/>
          <w:highlight w:val="none"/>
          <w:u w:val="single"/>
        </w:rPr>
        <w:t>3</w:t>
      </w:r>
      <w:r>
        <w:rPr>
          <w:rFonts w:ascii="宋体" w:hAnsi="宋体"/>
          <w:color w:val="auto"/>
          <w:kern w:val="0"/>
          <w:sz w:val="24"/>
          <w:szCs w:val="20"/>
          <w:highlight w:val="none"/>
          <w:u w:val="single"/>
        </w:rPr>
        <w:t xml:space="preserve">. </w:t>
      </w:r>
      <w:r>
        <w:rPr>
          <w:rFonts w:hint="eastAsia" w:ascii="宋体" w:hAnsi="宋体"/>
          <w:color w:val="auto"/>
          <w:kern w:val="0"/>
          <w:sz w:val="24"/>
          <w:szCs w:val="20"/>
          <w:highlight w:val="none"/>
          <w:u w:val="single"/>
        </w:rPr>
        <w:t>在评标过程中，评标委员会发现投标人的报价明显低于其他投标报价或者低于成本警戒价，应当要求该投标人作出书面说明并提供相关证明材料。投标人不能合理说明或者不能提供相关证明材料的，由评标委员会认定该投标人以低于成本报价竞标，应当否决其投标。</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 xml:space="preserve">. </w:t>
      </w:r>
      <w:r>
        <w:rPr>
          <w:rFonts w:hint="eastAsia" w:ascii="宋体" w:hAnsi="宋体"/>
          <w:color w:val="auto"/>
          <w:sz w:val="24"/>
          <w:highlight w:val="none"/>
        </w:rPr>
        <w:t>非竞争性费用需与招标人发布的金额一致，不一致的投标报价无效。投标报价不得低于成本价，否则投标报价为无效投标报价。</w:t>
      </w:r>
    </w:p>
    <w:p>
      <w:pPr>
        <w:snapToGrid w:val="0"/>
        <w:spacing w:line="400" w:lineRule="exact"/>
        <w:ind w:firstLine="482" w:firstLineChars="200"/>
        <w:rPr>
          <w:rFonts w:ascii="宋体" w:hAnsi="宋体"/>
          <w:b/>
          <w:color w:val="auto"/>
          <w:sz w:val="24"/>
          <w:highlight w:val="none"/>
        </w:rPr>
      </w:pPr>
      <w:r>
        <w:rPr>
          <w:rFonts w:hint="eastAsia" w:ascii="宋体" w:hAnsi="宋体"/>
          <w:b/>
          <w:color w:val="auto"/>
          <w:sz w:val="24"/>
          <w:highlight w:val="none"/>
        </w:rPr>
        <w:t>（四）其他否定投标文件效力情形</w:t>
      </w:r>
    </w:p>
    <w:p>
      <w:pPr>
        <w:snapToGrid w:val="0"/>
        <w:spacing w:line="400" w:lineRule="exact"/>
        <w:ind w:firstLine="480" w:firstLineChars="200"/>
        <w:rPr>
          <w:rFonts w:ascii="宋体" w:hAnsi="宋体"/>
          <w:color w:val="auto"/>
          <w:sz w:val="24"/>
          <w:highlight w:val="none"/>
          <w:u w:val="single"/>
        </w:rPr>
      </w:pPr>
      <w:r>
        <w:rPr>
          <w:rFonts w:ascii="宋体" w:hAnsi="宋体"/>
          <w:color w:val="auto"/>
          <w:sz w:val="24"/>
          <w:highlight w:val="none"/>
          <w:u w:val="single"/>
        </w:rPr>
        <w:t>1.</w:t>
      </w:r>
      <w:r>
        <w:rPr>
          <w:rFonts w:hint="eastAsia" w:ascii="宋体" w:hAnsi="宋体"/>
          <w:color w:val="auto"/>
          <w:sz w:val="24"/>
          <w:highlight w:val="none"/>
          <w:u w:val="single"/>
        </w:rPr>
        <w:t>开标时，出现下列情形之一的，投标文件由招标人作否决投标处理，不参与评标：</w:t>
      </w:r>
    </w:p>
    <w:p>
      <w:pPr>
        <w:snapToGrid w:val="0"/>
        <w:spacing w:line="400" w:lineRule="exact"/>
        <w:ind w:firstLine="480" w:firstLineChars="200"/>
        <w:rPr>
          <w:rFonts w:ascii="宋体" w:hAnsi="宋体"/>
          <w:color w:val="auto"/>
          <w:sz w:val="24"/>
          <w:highlight w:val="none"/>
          <w:u w:val="single"/>
        </w:rPr>
      </w:pPr>
      <w:r>
        <w:rPr>
          <w:rFonts w:hint="eastAsia" w:ascii="宋体" w:hAnsi="宋体"/>
          <w:color w:val="auto"/>
          <w:sz w:val="24"/>
          <w:highlight w:val="none"/>
          <w:u w:val="single"/>
        </w:rPr>
        <w:t>（1）未成功递交投标文件的；</w:t>
      </w:r>
    </w:p>
    <w:p>
      <w:pPr>
        <w:snapToGrid w:val="0"/>
        <w:spacing w:line="400" w:lineRule="exact"/>
        <w:ind w:firstLine="480" w:firstLineChars="200"/>
        <w:rPr>
          <w:rFonts w:ascii="宋体" w:hAnsi="宋体"/>
          <w:color w:val="auto"/>
          <w:sz w:val="24"/>
          <w:highlight w:val="none"/>
          <w:u w:val="single"/>
        </w:rPr>
      </w:pPr>
      <w:r>
        <w:rPr>
          <w:rFonts w:hint="eastAsia" w:ascii="宋体" w:hAnsi="宋体"/>
          <w:color w:val="auto"/>
          <w:sz w:val="24"/>
          <w:highlight w:val="none"/>
          <w:u w:val="single"/>
        </w:rPr>
        <w:t>（2）因投标人原因造成投标文件未解密的；</w:t>
      </w:r>
    </w:p>
    <w:p>
      <w:pPr>
        <w:snapToGrid w:val="0"/>
        <w:spacing w:line="400" w:lineRule="exact"/>
        <w:ind w:firstLine="480" w:firstLineChars="200"/>
        <w:rPr>
          <w:rFonts w:ascii="宋体" w:hAnsi="宋体"/>
          <w:color w:val="auto"/>
          <w:sz w:val="24"/>
          <w:highlight w:val="none"/>
          <w:u w:val="single"/>
        </w:rPr>
      </w:pPr>
      <w:r>
        <w:rPr>
          <w:rFonts w:hint="eastAsia" w:ascii="宋体" w:hAnsi="宋体"/>
          <w:color w:val="auto"/>
          <w:sz w:val="24"/>
          <w:highlight w:val="none"/>
          <w:u w:val="single"/>
        </w:rPr>
        <w:t>（3）未按规定时间对投标文件进行解密的；</w:t>
      </w:r>
    </w:p>
    <w:p>
      <w:pPr>
        <w:snapToGrid w:val="0"/>
        <w:spacing w:line="400" w:lineRule="exact"/>
        <w:ind w:firstLine="480" w:firstLineChars="200"/>
        <w:rPr>
          <w:rFonts w:ascii="宋体" w:hAnsi="宋体"/>
          <w:color w:val="auto"/>
          <w:sz w:val="24"/>
          <w:highlight w:val="none"/>
          <w:u w:val="single"/>
        </w:rPr>
      </w:pPr>
      <w:r>
        <w:rPr>
          <w:rFonts w:hint="eastAsia" w:ascii="宋体" w:hAnsi="宋体"/>
          <w:color w:val="auto"/>
          <w:sz w:val="24"/>
          <w:highlight w:val="none"/>
          <w:u w:val="single"/>
        </w:rPr>
        <w:t>（</w:t>
      </w:r>
      <w:r>
        <w:rPr>
          <w:rFonts w:hint="eastAsia" w:ascii="宋体" w:hAnsi="宋体"/>
          <w:color w:val="auto"/>
          <w:sz w:val="24"/>
          <w:highlight w:val="none"/>
          <w:u w:val="single"/>
          <w:lang w:val="en-US" w:eastAsia="zh-CN"/>
        </w:rPr>
        <w:t>4</w:t>
      </w:r>
      <w:r>
        <w:rPr>
          <w:rFonts w:hint="eastAsia" w:ascii="宋体" w:hAnsi="宋体"/>
          <w:color w:val="auto"/>
          <w:sz w:val="24"/>
          <w:highlight w:val="none"/>
          <w:u w:val="single"/>
        </w:rPr>
        <w:t>）两个（含两个）以上的投标人加密打包投标文件电脑机器码一致的；</w:t>
      </w:r>
    </w:p>
    <w:p>
      <w:pPr>
        <w:snapToGrid w:val="0"/>
        <w:spacing w:line="400" w:lineRule="exact"/>
        <w:ind w:firstLine="480" w:firstLineChars="200"/>
        <w:rPr>
          <w:rFonts w:ascii="宋体" w:hAnsi="宋体"/>
          <w:color w:val="auto"/>
          <w:sz w:val="24"/>
          <w:highlight w:val="none"/>
          <w:u w:val="single"/>
        </w:rPr>
      </w:pPr>
      <w:r>
        <w:rPr>
          <w:rFonts w:hint="eastAsia" w:ascii="宋体" w:hAnsi="宋体"/>
          <w:color w:val="auto"/>
          <w:sz w:val="24"/>
          <w:highlight w:val="none"/>
          <w:u w:val="single"/>
        </w:rPr>
        <w:t>（</w:t>
      </w:r>
      <w:r>
        <w:rPr>
          <w:rFonts w:hint="eastAsia" w:ascii="宋体" w:hAnsi="宋体"/>
          <w:color w:val="auto"/>
          <w:sz w:val="24"/>
          <w:highlight w:val="none"/>
          <w:u w:val="single"/>
          <w:lang w:val="en-US" w:eastAsia="zh-CN"/>
        </w:rPr>
        <w:t>5</w:t>
      </w:r>
      <w:r>
        <w:rPr>
          <w:rFonts w:hint="eastAsia" w:ascii="宋体" w:hAnsi="宋体"/>
          <w:color w:val="auto"/>
          <w:sz w:val="24"/>
          <w:highlight w:val="none"/>
          <w:u w:val="single"/>
        </w:rPr>
        <w:t>）项目负责人和安全员为同一人的；</w:t>
      </w:r>
    </w:p>
    <w:p>
      <w:pPr>
        <w:snapToGrid w:val="0"/>
        <w:spacing w:line="400" w:lineRule="exact"/>
        <w:ind w:firstLine="480" w:firstLineChars="200"/>
        <w:rPr>
          <w:rFonts w:ascii="宋体" w:hAnsi="宋体"/>
          <w:color w:val="auto"/>
          <w:sz w:val="24"/>
          <w:highlight w:val="none"/>
          <w:u w:val="single"/>
        </w:rPr>
      </w:pPr>
      <w:r>
        <w:rPr>
          <w:rFonts w:hint="eastAsia" w:ascii="宋体" w:hAnsi="宋体"/>
          <w:color w:val="auto"/>
          <w:sz w:val="24"/>
          <w:highlight w:val="none"/>
          <w:u w:val="single"/>
        </w:rPr>
        <w:t>（</w:t>
      </w:r>
      <w:r>
        <w:rPr>
          <w:rFonts w:hint="eastAsia" w:ascii="宋体" w:hAnsi="宋体"/>
          <w:color w:val="auto"/>
          <w:sz w:val="24"/>
          <w:highlight w:val="none"/>
          <w:u w:val="single"/>
          <w:lang w:val="en-US" w:eastAsia="zh-CN"/>
        </w:rPr>
        <w:t>6</w:t>
      </w:r>
      <w:r>
        <w:rPr>
          <w:rFonts w:hint="eastAsia" w:ascii="宋体" w:hAnsi="宋体"/>
          <w:color w:val="auto"/>
          <w:sz w:val="24"/>
          <w:highlight w:val="none"/>
          <w:u w:val="single"/>
        </w:rPr>
        <w:t>）投标文件中的投标人企业名称、项目负责人、专职安全员与投标登记时的信息不一致的。</w:t>
      </w:r>
    </w:p>
    <w:p>
      <w:pPr>
        <w:pStyle w:val="2"/>
        <w:jc w:val="center"/>
        <w:rPr>
          <w:rFonts w:ascii="宋体" w:hAnsi="宋体"/>
          <w:color w:val="auto"/>
          <w:sz w:val="24"/>
          <w:highlight w:val="none"/>
        </w:rPr>
      </w:pPr>
      <w:r>
        <w:rPr>
          <w:rFonts w:ascii="宋体" w:hAnsi="宋体"/>
          <w:color w:val="auto"/>
          <w:sz w:val="24"/>
          <w:highlight w:val="none"/>
        </w:rPr>
        <w:br w:type="page"/>
      </w:r>
      <w:bookmarkStart w:id="343" w:name="_Toc21787771"/>
      <w:r>
        <w:rPr>
          <w:rFonts w:hint="eastAsia" w:ascii="宋体" w:hAnsi="宋体"/>
          <w:color w:val="auto"/>
          <w:highlight w:val="none"/>
        </w:rPr>
        <w:t>第十章最高投标限价（招标控制价）</w:t>
      </w:r>
      <w:bookmarkEnd w:id="343"/>
    </w:p>
    <w:p>
      <w:pPr>
        <w:spacing w:line="360" w:lineRule="auto"/>
        <w:ind w:firstLine="480" w:firstLineChars="200"/>
        <w:jc w:val="center"/>
        <w:rPr>
          <w:rFonts w:ascii="宋体" w:hAnsi="宋体"/>
          <w:color w:val="auto"/>
          <w:sz w:val="24"/>
          <w:highlight w:val="none"/>
        </w:rPr>
      </w:pPr>
      <w:r>
        <w:rPr>
          <w:rFonts w:hint="eastAsia" w:ascii="宋体" w:hAnsi="宋体"/>
          <w:color w:val="auto"/>
          <w:sz w:val="24"/>
          <w:highlight w:val="none"/>
        </w:rPr>
        <w:t>(另册）</w:t>
      </w:r>
    </w:p>
    <w:p>
      <w:pPr>
        <w:rPr>
          <w:rFonts w:ascii="宋体" w:hAnsi="宋体"/>
          <w:color w:val="auto"/>
          <w:highlight w:val="none"/>
        </w:rPr>
      </w:pPr>
    </w:p>
    <w:sectPr>
      <w:headerReference r:id="rId10" w:type="default"/>
      <w:footerReference r:id="rId11"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Calisto MT">
    <w:panose1 w:val="02040603050505030304"/>
    <w:charset w:val="00"/>
    <w:family w:val="roman"/>
    <w:pitch w:val="default"/>
    <w:sig w:usb0="00000003" w:usb1="00000000" w:usb2="00000000" w:usb3="00000000" w:csb0="20000001" w:csb1="00000000"/>
  </w:font>
  <w:font w:name="华文细黑">
    <w:panose1 w:val="02010600040101010101"/>
    <w:charset w:val="86"/>
    <w:family w:val="auto"/>
    <w:pitch w:val="default"/>
    <w:sig w:usb0="00000287" w:usb1="080F0000" w:usb2="00000000" w:usb3="00000000" w:csb0="0004009F" w:csb1="DFD70000"/>
  </w:font>
  <w:font w:name="Arial Unicode MS">
    <w:altName w:val="宋体"/>
    <w:panose1 w:val="020B0604020202020204"/>
    <w:charset w:val="86"/>
    <w:family w:val="swiss"/>
    <w:pitch w:val="default"/>
    <w:sig w:usb0="00000000" w:usb1="00000000" w:usb2="0000003F" w:usb3="00000000" w:csb0="003F01FF" w:csb1="00000000"/>
  </w:font>
  <w:font w:name="Segoe UI Symbol">
    <w:panose1 w:val="020B0502040204020203"/>
    <w:charset w:val="00"/>
    <w:family w:val="swiss"/>
    <w:pitch w:val="default"/>
    <w:sig w:usb0="800001E3" w:usb1="1200FFEF" w:usb2="00040000" w:usb3="04000000" w:csb0="00000001" w:csb1="40000000"/>
  </w:font>
  <w:font w:name="Wingdings 2">
    <w:panose1 w:val="05020102010507070707"/>
    <w:charset w:val="02"/>
    <w:family w:val="roman"/>
    <w:pitch w:val="default"/>
    <w:sig w:usb0="00000000" w:usb1="00000000" w:usb2="00000000" w:usb3="00000000" w:csb0="80000000" w:csb1="00000000"/>
  </w:font>
  <w:font w:name="方正大标宋简体">
    <w:altName w:val="微软雅黑"/>
    <w:panose1 w:val="02010601030101010101"/>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fldChar w:fldCharType="begin"/>
    </w:r>
    <w:r>
      <w:instrText xml:space="preserve">PAGE   \* MERGEFORMAT</w:instrText>
    </w:r>
    <w:r>
      <w:fldChar w:fldCharType="separate"/>
    </w:r>
    <w:r>
      <w:rPr>
        <w:lang w:val="zh-CN"/>
      </w:rPr>
      <w:t>22</w:t>
    </w:r>
    <w:r>
      <w:rPr>
        <w:lang w:val="zh-CN"/>
      </w:rPr>
      <w:fldChar w:fldCharType="end"/>
    </w:r>
  </w:p>
  <w:p>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Times New Roman" w:hAnsi="Times New Roman" w:eastAsia="宋体" w:cs="Times New Roman"/>
        <w:kern w:val="2"/>
        <w:sz w:val="18"/>
        <w:szCs w:val="22"/>
        <w:lang w:val="en-US" w:eastAsia="zh-CN" w:bidi="ar-SA"/>
      </w:rPr>
    </w:pPr>
    <w:r>
      <w:rPr>
        <w:rFonts w:ascii="Times New Roman" w:hAnsi="Times New Roman" w:eastAsia="宋体" w:cs="Times New Roman"/>
        <w:kern w:val="2"/>
        <w:sz w:val="18"/>
        <w:szCs w:val="22"/>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ascii="Times New Roman" w:hAnsi="Times New Roman" w:cs="Times New Roman"/>
                              <w:sz w:val="18"/>
                            </w:rPr>
                          </w:pPr>
                          <w:r>
                            <w:rPr>
                              <w:rFonts w:hint="eastAsia" w:ascii="Times New Roman" w:hAnsi="Times New Roman" w:cs="Times New Roman"/>
                              <w:sz w:val="18"/>
                            </w:rPr>
                            <w:fldChar w:fldCharType="begin"/>
                          </w:r>
                          <w:r>
                            <w:rPr>
                              <w:rFonts w:hint="eastAsia" w:ascii="Times New Roman" w:hAnsi="Times New Roman" w:cs="Times New Roman"/>
                              <w:sz w:val="18"/>
                            </w:rPr>
                            <w:instrText xml:space="preserve"> PAGE  \* MERGEFORMAT </w:instrText>
                          </w:r>
                          <w:r>
                            <w:rPr>
                              <w:rFonts w:hint="eastAsia" w:ascii="Times New Roman" w:hAnsi="Times New Roman" w:cs="Times New Roman"/>
                              <w:sz w:val="18"/>
                            </w:rPr>
                            <w:fldChar w:fldCharType="separate"/>
                          </w:r>
                          <w:r>
                            <w:rPr>
                              <w:rFonts w:ascii="Times New Roman" w:hAnsi="Times New Roman" w:cs="Times New Roman"/>
                              <w:sz w:val="18"/>
                            </w:rPr>
                            <w:t>18</w:t>
                          </w:r>
                          <w:r>
                            <w:rPr>
                              <w:rFonts w:hint="eastAsia" w:ascii="Times New Roman" w:hAnsi="Times New Roman" w:cs="Times New Roman"/>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4AZccoBAACb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dvKXHc4sTPP3+cf/05//5O&#10;0IcC9QFqzLsNmJmG937AtZn9gM7Me1DR5i8yIhhHeU8XeeWQiMiPVsvVqsKQwNh8QXx2/zxESB+k&#10;tyQbDY04vyIrP36CNKbOKbma8zfamDJD4/5zIGb2sNz72GO20rAbJkI7356QT4+jb6jDTafEfHSo&#10;bN6S2YizsZuNQ4h635U1yvUgvDskbKL0liuMsFNhnFlhN+1XXop/7yXr/p/a/A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F4AZccoBAACbAwAADgAAAAAAAAABACAAAAAeAQAAZHJzL2Uyb0Rv&#10;Yy54bWxQSwUGAAAAAAYABgBZAQAAWgUAAAAA&#10;">
              <v:fill on="f" focussize="0,0"/>
              <v:stroke on="f"/>
              <v:imagedata o:title=""/>
              <o:lock v:ext="edit" aspectratio="f"/>
              <v:textbox inset="0mm,0mm,0mm,0mm" style="mso-fit-shape-to-text:t;">
                <w:txbxContent>
                  <w:p>
                    <w:pPr>
                      <w:snapToGrid w:val="0"/>
                      <w:rPr>
                        <w:rFonts w:hint="eastAsia" w:ascii="Times New Roman" w:hAnsi="Times New Roman" w:cs="Times New Roman"/>
                        <w:sz w:val="18"/>
                      </w:rPr>
                    </w:pPr>
                    <w:r>
                      <w:rPr>
                        <w:rFonts w:hint="eastAsia" w:ascii="Times New Roman" w:hAnsi="Times New Roman" w:cs="Times New Roman"/>
                        <w:sz w:val="18"/>
                      </w:rPr>
                      <w:fldChar w:fldCharType="begin"/>
                    </w:r>
                    <w:r>
                      <w:rPr>
                        <w:rFonts w:hint="eastAsia" w:ascii="Times New Roman" w:hAnsi="Times New Roman" w:cs="Times New Roman"/>
                        <w:sz w:val="18"/>
                      </w:rPr>
                      <w:instrText xml:space="preserve"> PAGE  \* MERGEFORMAT </w:instrText>
                    </w:r>
                    <w:r>
                      <w:rPr>
                        <w:rFonts w:hint="eastAsia" w:ascii="Times New Roman" w:hAnsi="Times New Roman" w:cs="Times New Roman"/>
                        <w:sz w:val="18"/>
                      </w:rPr>
                      <w:fldChar w:fldCharType="separate"/>
                    </w:r>
                    <w:r>
                      <w:rPr>
                        <w:rFonts w:ascii="Times New Roman" w:hAnsi="Times New Roman" w:cs="Times New Roman"/>
                        <w:sz w:val="18"/>
                      </w:rPr>
                      <w:t>18</w:t>
                    </w:r>
                    <w:r>
                      <w:rPr>
                        <w:rFonts w:hint="eastAsia" w:ascii="Times New Roman" w:hAnsi="Times New Roman" w:cs="Times New Roman"/>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Times New Roman" w:hAnsi="Times New Roman" w:eastAsia="宋体" w:cs="Times New Roman"/>
        <w:kern w:val="2"/>
        <w:sz w:val="18"/>
        <w:szCs w:val="22"/>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Times New Roman" w:hAnsi="Times New Roman" w:eastAsia="宋体" w:cs="Times New Roman"/>
        <w:kern w:val="2"/>
        <w:sz w:val="18"/>
        <w:szCs w:val="22"/>
        <w:lang w:val="en-US" w:eastAsia="zh-CN" w:bidi="ar-S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154</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BfNbwUCAAAEBAAADgAAAGRycy9lMm9Eb2MueG1srVNLbtswEN0X6B0I&#10;7mvZXjSGYDlIYrgokH6AtAegKMoiKnKIIW3JPUB7g6666b7n8jkypCwnTTdZZEMMh8M37z0Ol5e9&#10;adleoddgCz6bTDlTVkKl7bbgX79s3iw480HYSrRgVcEPyvPL1etXy87lag4NtJVCRiDW550reBOC&#10;y7PMy0YZ4SfglKXDGtCIQFvcZhWKjtBNm82n07dZB1g5BKm8p+x6OOQnRHwOINS1lmoNcmeUDQMq&#10;qlYEkuQb7TxfJbZ1rWT4VNdeBdYWnJSGtFITisu4ZqulyLcoXKPliYJ4DoUnmozQlpqeodYiCLZD&#10;/R+U0RLBQx0mEkw2CEmOkIrZ9Ik3d41wKmkhq707m+5fDlZ+3H9GpquCX3BmhaEHP/76efz99/jn&#10;B7uI9nTO51R156gu9NfQ09Akqd7dgvzmmYWbRtitukKErlGiInqzeDN7dHXA8RGk7D5ARX3ELkAC&#10;6ms00TtygxE6Pc3h/DSqD0zGlov5YjGlI0ln4yb2EPl43aEP7xQYFoOCI719ghf7Wx+G0rEkdrOw&#10;0W1LeZG39p8EYcZMoh8ZD9xDX/ZUHTWVUB1ICMIwTvSZKGgAv3PW0SgV3NLP4ax9b8mKOHVjgGNQ&#10;joGwki4WPHA2hDdhmM6dQ71tCHc0+4rs2ugk5IHDiSUNR7LiNMhx+h7vU9XD513d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6pebnPAAAABQEAAA8AAAAAAAAAAQAgAAAAIgAAAGRycy9kb3ducmV2&#10;LnhtbFBLAQIUABQAAAAIAIdO4kAAF81vBQIAAAQEAAAOAAAAAAAAAAEAIAAAAB4BAABkcnMvZTJv&#10;RG9jLnhtbFBLBQYAAAAABgAGAFkBAACV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154</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1"/>
        <w:left w:val="none" w:color="auto" w:sz="0" w:space="4"/>
        <w:bottom w:val="none" w:color="auto" w:sz="0" w:space="0"/>
        <w:right w:val="none" w:color="auto" w:sz="0" w:space="4"/>
      </w:pBdr>
      <w:snapToGrid w:val="0"/>
      <w:spacing w:line="240" w:lineRule="auto"/>
      <w:jc w:val="both"/>
      <w:outlineLvl w:val="9"/>
      <w:rPr>
        <w:rFonts w:ascii="Times New Roman" w:hAnsi="Times New Roman" w:eastAsia="宋体" w:cs="Times New Roman"/>
        <w:kern w:val="2"/>
        <w:sz w:val="18"/>
        <w:szCs w:val="22"/>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1"/>
        <w:left w:val="none" w:color="auto" w:sz="0" w:space="4"/>
        <w:bottom w:val="none" w:color="auto" w:sz="0" w:space="1"/>
        <w:right w:val="none" w:color="auto" w:sz="0" w:space="4"/>
      </w:pBdr>
      <w:snapToGrid w:val="0"/>
      <w:spacing w:line="240" w:lineRule="auto"/>
      <w:jc w:val="both"/>
      <w:outlineLvl w:val="9"/>
      <w:rPr>
        <w:rFonts w:ascii="Times New Roman" w:hAnsi="Times New Roman" w:eastAsia="宋体" w:cs="Times New Roman"/>
        <w:kern w:val="2"/>
        <w:sz w:val="18"/>
        <w:szCs w:val="22"/>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1"/>
        <w:left w:val="none" w:color="auto" w:sz="0" w:space="4"/>
        <w:bottom w:val="none" w:color="auto" w:sz="0" w:space="1"/>
        <w:right w:val="none" w:color="auto" w:sz="0" w:space="4"/>
      </w:pBdr>
      <w:snapToGrid w:val="0"/>
      <w:spacing w:line="240" w:lineRule="auto"/>
      <w:jc w:val="both"/>
      <w:outlineLvl w:val="9"/>
      <w:rPr>
        <w:rFonts w:ascii="Times New Roman" w:hAnsi="Times New Roman" w:eastAsia="宋体" w:cs="Times New Roman"/>
        <w:kern w:val="2"/>
        <w:sz w:val="18"/>
        <w:szCs w:val="22"/>
        <w:lang w:val="en-US" w:eastAsia="zh-CN" w:bidi="ar-S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singleLevel"/>
    <w:tmpl w:val="00000004"/>
    <w:lvl w:ilvl="0" w:tentative="0">
      <w:start w:val="1"/>
      <w:numFmt w:val="decimal"/>
      <w:suff w:val="nothing"/>
      <w:lvlText w:val="（%1）"/>
      <w:lvlJc w:val="left"/>
      <w:pPr>
        <w:ind w:left="0" w:firstLine="0"/>
      </w:pPr>
    </w:lvl>
  </w:abstractNum>
  <w:abstractNum w:abstractNumId="1">
    <w:nsid w:val="0000000A"/>
    <w:multiLevelType w:val="multilevel"/>
    <w:tmpl w:val="0000000A"/>
    <w:lvl w:ilvl="0" w:tentative="0">
      <w:start w:val="8"/>
      <w:numFmt w:val="japaneseCounting"/>
      <w:lvlText w:val="第%1章"/>
      <w:lvlJc w:val="left"/>
      <w:pPr>
        <w:tabs>
          <w:tab w:val="left" w:pos="1200"/>
        </w:tabs>
        <w:ind w:left="1200" w:hanging="120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B"/>
    <w:multiLevelType w:val="singleLevel"/>
    <w:tmpl w:val="0000000B"/>
    <w:lvl w:ilvl="0" w:tentative="0">
      <w:start w:val="1"/>
      <w:numFmt w:val="decimal"/>
      <w:suff w:val="nothing"/>
      <w:lvlText w:val="（%1）"/>
      <w:lvlJc w:val="left"/>
      <w:pPr>
        <w:ind w:left="0" w:firstLine="0"/>
      </w:pPr>
    </w:lvl>
  </w:abstractNum>
  <w:abstractNum w:abstractNumId="3">
    <w:nsid w:val="04585C45"/>
    <w:multiLevelType w:val="multilevel"/>
    <w:tmpl w:val="04585C45"/>
    <w:lvl w:ilvl="0" w:tentative="0">
      <w:start w:val="1"/>
      <w:numFmt w:val="decimal"/>
      <w:pStyle w:val="6"/>
      <w:lvlText w:val="1.1.%1"/>
      <w:lvlJc w:val="left"/>
      <w:pPr>
        <w:ind w:left="420" w:hanging="420"/>
      </w:pPr>
      <w:rPr>
        <w:rFonts w:hint="eastAsia" w:ascii="Times New Roman" w:hAnsi="Times New Roman" w:eastAsia="宋体"/>
        <w:b w:val="0"/>
        <w:i w:val="0"/>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1F02FD1"/>
    <w:multiLevelType w:val="multilevel"/>
    <w:tmpl w:val="21F02FD1"/>
    <w:lvl w:ilvl="0" w:tentative="0">
      <w:start w:val="1"/>
      <w:numFmt w:val="decimal"/>
      <w:lvlText w:val="2.%1"/>
      <w:lvlJc w:val="left"/>
      <w:pPr>
        <w:ind w:left="900" w:hanging="420"/>
      </w:pPr>
      <w:rPr>
        <w:rFonts w:hint="eastAsia"/>
      </w:rPr>
    </w:lvl>
    <w:lvl w:ilvl="1" w:tentative="0">
      <w:start w:val="1"/>
      <w:numFmt w:val="decimal"/>
      <w:lvlText w:val="2.%2"/>
      <w:lvlJc w:val="left"/>
      <w:pPr>
        <w:ind w:left="1320" w:hanging="420"/>
      </w:pPr>
      <w:rPr>
        <w:rFonts w:hint="eastAsia"/>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22566F53"/>
    <w:multiLevelType w:val="multilevel"/>
    <w:tmpl w:val="22566F53"/>
    <w:lvl w:ilvl="0" w:tentative="0">
      <w:start w:val="1"/>
      <w:numFmt w:val="decimal"/>
      <w:lvlText w:val="1.1.%1"/>
      <w:lvlJc w:val="left"/>
      <w:pPr>
        <w:ind w:left="420" w:hanging="420"/>
      </w:pPr>
      <w:rPr>
        <w:rFonts w:hint="eastAsia" w:eastAsia="宋体"/>
        <w:b w:val="0"/>
        <w:i w:val="0"/>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50B600E"/>
    <w:multiLevelType w:val="multilevel"/>
    <w:tmpl w:val="250B600E"/>
    <w:lvl w:ilvl="0" w:tentative="0">
      <w:start w:val="1"/>
      <w:numFmt w:val="decimal"/>
      <w:lvlText w:val="3.%1"/>
      <w:lvlJc w:val="left"/>
      <w:pPr>
        <w:ind w:left="9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95448C5"/>
    <w:multiLevelType w:val="multilevel"/>
    <w:tmpl w:val="295448C5"/>
    <w:lvl w:ilvl="0" w:tentative="0">
      <w:start w:val="1"/>
      <w:numFmt w:val="decimal"/>
      <w:lvlText w:val="6.%1"/>
      <w:lvlJc w:val="left"/>
      <w:pPr>
        <w:ind w:left="900" w:hanging="420"/>
      </w:pPr>
      <w:rPr>
        <w:rFonts w:hint="eastAsia"/>
      </w:rPr>
    </w:lvl>
    <w:lvl w:ilvl="1" w:tentative="0">
      <w:start w:val="1"/>
      <w:numFmt w:val="decimal"/>
      <w:lvlText w:val="6.%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7934594"/>
    <w:multiLevelType w:val="multilevel"/>
    <w:tmpl w:val="37934594"/>
    <w:lvl w:ilvl="0" w:tentative="0">
      <w:start w:val="1"/>
      <w:numFmt w:val="bullet"/>
      <w:pStyle w:val="119"/>
      <w:lvlText w:val=""/>
      <w:lvlJc w:val="left"/>
      <w:pPr>
        <w:tabs>
          <w:tab w:val="left" w:pos="1500"/>
        </w:tabs>
        <w:ind w:left="1500" w:hanging="420"/>
      </w:pPr>
      <w:rPr>
        <w:rFonts w:hint="default" w:ascii="Wingdings" w:hAnsi="Wingdings"/>
      </w:rPr>
    </w:lvl>
    <w:lvl w:ilvl="1" w:tentative="0">
      <w:start w:val="1"/>
      <w:numFmt w:val="bullet"/>
      <w:lvlText w:val=""/>
      <w:lvlJc w:val="left"/>
      <w:pPr>
        <w:tabs>
          <w:tab w:val="left" w:pos="480"/>
        </w:tabs>
        <w:ind w:left="480" w:hanging="420"/>
      </w:pPr>
      <w:rPr>
        <w:rFonts w:hint="default" w:ascii="Wingdings" w:hAnsi="Wingdings"/>
      </w:rPr>
    </w:lvl>
    <w:lvl w:ilvl="2" w:tentative="0">
      <w:start w:val="1"/>
      <w:numFmt w:val="bullet"/>
      <w:lvlText w:val=""/>
      <w:lvlJc w:val="left"/>
      <w:pPr>
        <w:tabs>
          <w:tab w:val="left" w:pos="900"/>
        </w:tabs>
        <w:ind w:left="900" w:hanging="420"/>
      </w:pPr>
      <w:rPr>
        <w:rFonts w:hint="default" w:ascii="Wingdings" w:hAnsi="Wingdings"/>
      </w:rPr>
    </w:lvl>
    <w:lvl w:ilvl="3" w:tentative="0">
      <w:start w:val="1"/>
      <w:numFmt w:val="bullet"/>
      <w:lvlText w:val=""/>
      <w:lvlJc w:val="left"/>
      <w:pPr>
        <w:tabs>
          <w:tab w:val="left" w:pos="1320"/>
        </w:tabs>
        <w:ind w:left="1320" w:hanging="420"/>
      </w:pPr>
      <w:rPr>
        <w:rFonts w:hint="default" w:ascii="Wingdings" w:hAnsi="Wingdings"/>
      </w:rPr>
    </w:lvl>
    <w:lvl w:ilvl="4" w:tentative="0">
      <w:start w:val="1"/>
      <w:numFmt w:val="bullet"/>
      <w:lvlText w:val=""/>
      <w:lvlJc w:val="left"/>
      <w:pPr>
        <w:tabs>
          <w:tab w:val="left" w:pos="1740"/>
        </w:tabs>
        <w:ind w:left="1740" w:hanging="420"/>
      </w:pPr>
      <w:rPr>
        <w:rFonts w:hint="default" w:ascii="Wingdings" w:hAnsi="Wingdings"/>
      </w:rPr>
    </w:lvl>
    <w:lvl w:ilvl="5" w:tentative="0">
      <w:start w:val="1"/>
      <w:numFmt w:val="bullet"/>
      <w:lvlText w:val=""/>
      <w:lvlJc w:val="left"/>
      <w:pPr>
        <w:tabs>
          <w:tab w:val="left" w:pos="2160"/>
        </w:tabs>
        <w:ind w:left="2160" w:hanging="420"/>
      </w:pPr>
      <w:rPr>
        <w:rFonts w:hint="default" w:ascii="Wingdings" w:hAnsi="Wingdings"/>
      </w:rPr>
    </w:lvl>
    <w:lvl w:ilvl="6" w:tentative="0">
      <w:start w:val="1"/>
      <w:numFmt w:val="bullet"/>
      <w:lvlText w:val=""/>
      <w:lvlJc w:val="left"/>
      <w:pPr>
        <w:tabs>
          <w:tab w:val="left" w:pos="2580"/>
        </w:tabs>
        <w:ind w:left="2580" w:hanging="420"/>
      </w:pPr>
      <w:rPr>
        <w:rFonts w:hint="default" w:ascii="Wingdings" w:hAnsi="Wingdings"/>
      </w:rPr>
    </w:lvl>
    <w:lvl w:ilvl="7" w:tentative="0">
      <w:start w:val="1"/>
      <w:numFmt w:val="bullet"/>
      <w:lvlText w:val=""/>
      <w:lvlJc w:val="left"/>
      <w:pPr>
        <w:tabs>
          <w:tab w:val="left" w:pos="3000"/>
        </w:tabs>
        <w:ind w:left="3000" w:hanging="420"/>
      </w:pPr>
      <w:rPr>
        <w:rFonts w:hint="default" w:ascii="Wingdings" w:hAnsi="Wingdings"/>
      </w:rPr>
    </w:lvl>
    <w:lvl w:ilvl="8" w:tentative="0">
      <w:start w:val="1"/>
      <w:numFmt w:val="bullet"/>
      <w:lvlText w:val=""/>
      <w:lvlJc w:val="left"/>
      <w:pPr>
        <w:tabs>
          <w:tab w:val="left" w:pos="3420"/>
        </w:tabs>
        <w:ind w:left="3420" w:hanging="420"/>
      </w:pPr>
      <w:rPr>
        <w:rFonts w:hint="default" w:ascii="Wingdings" w:hAnsi="Wingdings"/>
      </w:rPr>
    </w:lvl>
  </w:abstractNum>
  <w:abstractNum w:abstractNumId="9">
    <w:nsid w:val="3FB01419"/>
    <w:multiLevelType w:val="multilevel"/>
    <w:tmpl w:val="3FB01419"/>
    <w:lvl w:ilvl="0" w:tentative="0">
      <w:start w:val="1"/>
      <w:numFmt w:val="decimal"/>
      <w:lvlText w:val="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47D578B5"/>
    <w:multiLevelType w:val="multilevel"/>
    <w:tmpl w:val="47D578B5"/>
    <w:lvl w:ilvl="0" w:tentative="0">
      <w:start w:val="1"/>
      <w:numFmt w:val="lowerLetter"/>
      <w:lvlText w:val="%1)"/>
      <w:lvlJc w:val="left"/>
      <w:pPr>
        <w:ind w:left="840" w:hanging="420"/>
      </w:pPr>
      <w:rPr>
        <w:rFonts w:hint="eastAsia"/>
      </w:rPr>
    </w:lvl>
    <w:lvl w:ilvl="1" w:tentative="0">
      <w:start w:val="1"/>
      <w:numFmt w:val="decimal"/>
      <w:lvlText w:val="5.%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4E943A2E"/>
    <w:multiLevelType w:val="multilevel"/>
    <w:tmpl w:val="4E943A2E"/>
    <w:lvl w:ilvl="0" w:tentative="0">
      <w:start w:val="1"/>
      <w:numFmt w:val="decimal"/>
      <w:lvlText w:val="%1"/>
      <w:lvlJc w:val="left"/>
      <w:pPr>
        <w:ind w:left="840" w:hanging="420"/>
      </w:pPr>
      <w:rPr>
        <w:rFonts w:hint="eastAsia"/>
      </w:rPr>
    </w:lvl>
    <w:lvl w:ilvl="1" w:tentative="0">
      <w:start w:val="1"/>
      <w:numFmt w:val="decimal"/>
      <w:lvlText w:val="%2"/>
      <w:lvlJc w:val="left"/>
      <w:pPr>
        <w:ind w:left="704"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5A0B24CB"/>
    <w:multiLevelType w:val="multilevel"/>
    <w:tmpl w:val="5A0B24CB"/>
    <w:lvl w:ilvl="0" w:tentative="0">
      <w:start w:val="1"/>
      <w:numFmt w:val="decimal"/>
      <w:pStyle w:val="5"/>
      <w:lvlText w:val="1.%1"/>
      <w:lvlJc w:val="left"/>
      <w:pPr>
        <w:ind w:left="0" w:firstLine="0"/>
      </w:pPr>
      <w:rPr>
        <w:rFonts w:hint="eastAsia"/>
      </w:rPr>
    </w:lvl>
    <w:lvl w:ilvl="1" w:tentative="0">
      <w:start w:val="1"/>
      <w:numFmt w:val="lowerLetter"/>
      <w:lvlText w:val="%2)"/>
      <w:lvlJc w:val="left"/>
      <w:pPr>
        <w:ind w:left="1660" w:hanging="420"/>
      </w:pPr>
    </w:lvl>
    <w:lvl w:ilvl="2" w:tentative="0">
      <w:start w:val="1"/>
      <w:numFmt w:val="lowerRoman"/>
      <w:lvlText w:val="%3."/>
      <w:lvlJc w:val="right"/>
      <w:pPr>
        <w:ind w:left="2080" w:hanging="420"/>
      </w:pPr>
    </w:lvl>
    <w:lvl w:ilvl="3" w:tentative="0">
      <w:start w:val="1"/>
      <w:numFmt w:val="decimal"/>
      <w:lvlText w:val="%4."/>
      <w:lvlJc w:val="left"/>
      <w:pPr>
        <w:ind w:left="2500" w:hanging="420"/>
      </w:pPr>
    </w:lvl>
    <w:lvl w:ilvl="4" w:tentative="0">
      <w:start w:val="1"/>
      <w:numFmt w:val="lowerLetter"/>
      <w:lvlText w:val="%5)"/>
      <w:lvlJc w:val="left"/>
      <w:pPr>
        <w:ind w:left="2920" w:hanging="420"/>
      </w:pPr>
    </w:lvl>
    <w:lvl w:ilvl="5" w:tentative="0">
      <w:start w:val="1"/>
      <w:numFmt w:val="lowerRoman"/>
      <w:lvlText w:val="%6."/>
      <w:lvlJc w:val="right"/>
      <w:pPr>
        <w:ind w:left="3340" w:hanging="420"/>
      </w:pPr>
    </w:lvl>
    <w:lvl w:ilvl="6" w:tentative="0">
      <w:start w:val="1"/>
      <w:numFmt w:val="decimal"/>
      <w:lvlText w:val="%7."/>
      <w:lvlJc w:val="left"/>
      <w:pPr>
        <w:ind w:left="3760" w:hanging="420"/>
      </w:pPr>
    </w:lvl>
    <w:lvl w:ilvl="7" w:tentative="0">
      <w:start w:val="1"/>
      <w:numFmt w:val="lowerLetter"/>
      <w:lvlText w:val="%8)"/>
      <w:lvlJc w:val="left"/>
      <w:pPr>
        <w:ind w:left="4180" w:hanging="420"/>
      </w:pPr>
    </w:lvl>
    <w:lvl w:ilvl="8" w:tentative="0">
      <w:start w:val="1"/>
      <w:numFmt w:val="lowerRoman"/>
      <w:lvlText w:val="%9."/>
      <w:lvlJc w:val="right"/>
      <w:pPr>
        <w:ind w:left="4600" w:hanging="420"/>
      </w:pPr>
    </w:lvl>
  </w:abstractNum>
  <w:abstractNum w:abstractNumId="13">
    <w:nsid w:val="61222004"/>
    <w:multiLevelType w:val="multilevel"/>
    <w:tmpl w:val="61222004"/>
    <w:lvl w:ilvl="0" w:tentative="0">
      <w:start w:val="1"/>
      <w:numFmt w:val="decimal"/>
      <w:lvlText w:val="8.%1"/>
      <w:lvlJc w:val="left"/>
      <w:pPr>
        <w:ind w:left="1320" w:hanging="420"/>
      </w:pPr>
      <w:rPr>
        <w:rFonts w:hint="eastAsia"/>
      </w:rPr>
    </w:lvl>
    <w:lvl w:ilvl="1" w:tentative="0">
      <w:start w:val="1"/>
      <w:numFmt w:val="decimal"/>
      <w:lvlText w:val="8.%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682F1995"/>
    <w:multiLevelType w:val="multilevel"/>
    <w:tmpl w:val="682F1995"/>
    <w:lvl w:ilvl="0" w:tentative="0">
      <w:start w:val="1"/>
      <w:numFmt w:val="decimal"/>
      <w:lvlText w:val="3.%1"/>
      <w:lvlJc w:val="left"/>
      <w:pPr>
        <w:ind w:left="1320" w:hanging="420"/>
      </w:pPr>
      <w:rPr>
        <w:rFonts w:hint="eastAsia"/>
      </w:rPr>
    </w:lvl>
    <w:lvl w:ilvl="1" w:tentative="0">
      <w:start w:val="1"/>
      <w:numFmt w:val="decimal"/>
      <w:lvlText w:val="3.%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6CC91E1C"/>
    <w:multiLevelType w:val="multilevel"/>
    <w:tmpl w:val="6CC91E1C"/>
    <w:lvl w:ilvl="0" w:tentative="0">
      <w:start w:val="1"/>
      <w:numFmt w:val="decimal"/>
      <w:suff w:val="space"/>
      <w:lvlText w:val="%1、"/>
      <w:lvlJc w:val="left"/>
      <w:pPr>
        <w:ind w:left="350" w:hanging="360"/>
      </w:pPr>
      <w:rPr>
        <w:rFonts w:hint="default"/>
      </w:rPr>
    </w:lvl>
    <w:lvl w:ilvl="1" w:tentative="0">
      <w:start w:val="1"/>
      <w:numFmt w:val="lowerLetter"/>
      <w:lvlText w:val="%2)"/>
      <w:lvlJc w:val="left"/>
      <w:pPr>
        <w:ind w:left="830" w:hanging="420"/>
      </w:pPr>
    </w:lvl>
    <w:lvl w:ilvl="2" w:tentative="0">
      <w:start w:val="1"/>
      <w:numFmt w:val="lowerRoman"/>
      <w:lvlText w:val="%3."/>
      <w:lvlJc w:val="right"/>
      <w:pPr>
        <w:ind w:left="1250" w:hanging="420"/>
      </w:pPr>
    </w:lvl>
    <w:lvl w:ilvl="3" w:tentative="0">
      <w:start w:val="1"/>
      <w:numFmt w:val="decimal"/>
      <w:lvlText w:val="%4."/>
      <w:lvlJc w:val="left"/>
      <w:pPr>
        <w:ind w:left="1670" w:hanging="420"/>
      </w:pPr>
    </w:lvl>
    <w:lvl w:ilvl="4" w:tentative="0">
      <w:start w:val="1"/>
      <w:numFmt w:val="lowerLetter"/>
      <w:lvlText w:val="%5)"/>
      <w:lvlJc w:val="left"/>
      <w:pPr>
        <w:ind w:left="2090" w:hanging="420"/>
      </w:pPr>
    </w:lvl>
    <w:lvl w:ilvl="5" w:tentative="0">
      <w:start w:val="1"/>
      <w:numFmt w:val="lowerRoman"/>
      <w:lvlText w:val="%6."/>
      <w:lvlJc w:val="right"/>
      <w:pPr>
        <w:ind w:left="2510" w:hanging="420"/>
      </w:pPr>
    </w:lvl>
    <w:lvl w:ilvl="6" w:tentative="0">
      <w:start w:val="1"/>
      <w:numFmt w:val="decimal"/>
      <w:lvlText w:val="%7."/>
      <w:lvlJc w:val="left"/>
      <w:pPr>
        <w:ind w:left="2930" w:hanging="420"/>
      </w:pPr>
    </w:lvl>
    <w:lvl w:ilvl="7" w:tentative="0">
      <w:start w:val="1"/>
      <w:numFmt w:val="lowerLetter"/>
      <w:lvlText w:val="%8)"/>
      <w:lvlJc w:val="left"/>
      <w:pPr>
        <w:ind w:left="3350" w:hanging="420"/>
      </w:pPr>
    </w:lvl>
    <w:lvl w:ilvl="8" w:tentative="0">
      <w:start w:val="1"/>
      <w:numFmt w:val="lowerRoman"/>
      <w:lvlText w:val="%9."/>
      <w:lvlJc w:val="right"/>
      <w:pPr>
        <w:ind w:left="3770" w:hanging="420"/>
      </w:pPr>
    </w:lvl>
  </w:abstractNum>
  <w:abstractNum w:abstractNumId="16">
    <w:nsid w:val="6EE34801"/>
    <w:multiLevelType w:val="multilevel"/>
    <w:tmpl w:val="6EE34801"/>
    <w:lvl w:ilvl="0" w:tentative="0">
      <w:start w:val="1"/>
      <w:numFmt w:val="decimal"/>
      <w:lvlText w:val="1.3.%1"/>
      <w:lvlJc w:val="left"/>
      <w:pPr>
        <w:ind w:left="900" w:hanging="420"/>
      </w:pPr>
      <w:rPr>
        <w:rFonts w:hint="eastAsia" w:ascii="Times New Roman" w:hAnsi="Times New Roman" w:eastAsia="宋体"/>
        <w:b w:val="0"/>
        <w:i w:val="0"/>
        <w:sz w:val="24"/>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7">
    <w:nsid w:val="720F72D6"/>
    <w:multiLevelType w:val="multilevel"/>
    <w:tmpl w:val="720F72D6"/>
    <w:lvl w:ilvl="0" w:tentative="0">
      <w:start w:val="1"/>
      <w:numFmt w:val="decimal"/>
      <w:lvlText w:val="1.2.%1"/>
      <w:lvlJc w:val="left"/>
      <w:pPr>
        <w:ind w:left="900" w:hanging="420"/>
      </w:pPr>
      <w:rPr>
        <w:rFonts w:hint="eastAsia" w:ascii="Times New Roman" w:hAnsi="Times New Roman" w:eastAsia="宋体"/>
        <w:b w:val="0"/>
        <w:i w:val="0"/>
        <w:sz w:val="24"/>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8">
    <w:nsid w:val="74AB13E1"/>
    <w:multiLevelType w:val="multilevel"/>
    <w:tmpl w:val="74AB13E1"/>
    <w:lvl w:ilvl="0" w:tentative="0">
      <w:start w:val="1"/>
      <w:numFmt w:val="decimal"/>
      <w:pStyle w:val="3"/>
      <w:lvlText w:val="%1."/>
      <w:lvlJc w:val="left"/>
      <w:pPr>
        <w:ind w:left="420" w:hanging="420"/>
      </w:pPr>
      <w:rPr>
        <w:rFonts w:hint="eastAsia"/>
        <w:sz w:val="30"/>
        <w:szCs w:val="30"/>
      </w:rPr>
    </w:lvl>
    <w:lvl w:ilvl="1" w:tentative="0">
      <w:start w:val="1"/>
      <w:numFmt w:val="decimal"/>
      <w:isLgl/>
      <w:lvlText w:val="%1.%2"/>
      <w:lvlJc w:val="left"/>
      <w:pPr>
        <w:ind w:left="567" w:hanging="567"/>
      </w:pPr>
      <w:rPr>
        <w:rFonts w:hint="default"/>
      </w:rPr>
    </w:lvl>
    <w:lvl w:ilvl="2" w:tentative="0">
      <w:start w:val="1"/>
      <w:numFmt w:val="decimal"/>
      <w:isLgl/>
      <w:lvlText w:val="%1.%2.%3"/>
      <w:lvlJc w:val="left"/>
      <w:pPr>
        <w:ind w:left="567" w:hanging="567"/>
      </w:pPr>
      <w:rPr>
        <w:rFonts w:hint="eastAsia" w:eastAsia="黑体"/>
        <w:b w:val="0"/>
        <w:i w:val="0"/>
      </w:rPr>
    </w:lvl>
    <w:lvl w:ilvl="3" w:tentative="0">
      <w:start w:val="1"/>
      <w:numFmt w:val="decimal"/>
      <w:isLgl/>
      <w:lvlText w:val="%1.%2.%3.%4"/>
      <w:lvlJc w:val="left"/>
      <w:pPr>
        <w:ind w:left="2526" w:hanging="1080"/>
      </w:pPr>
      <w:rPr>
        <w:rFonts w:hint="default"/>
      </w:rPr>
    </w:lvl>
    <w:lvl w:ilvl="4" w:tentative="0">
      <w:start w:val="1"/>
      <w:numFmt w:val="decimal"/>
      <w:isLgl/>
      <w:lvlText w:val="%1.%2.%3.%4.%5"/>
      <w:lvlJc w:val="left"/>
      <w:pPr>
        <w:ind w:left="3368" w:hanging="1440"/>
      </w:pPr>
      <w:rPr>
        <w:rFonts w:hint="default"/>
      </w:rPr>
    </w:lvl>
    <w:lvl w:ilvl="5" w:tentative="0">
      <w:start w:val="1"/>
      <w:numFmt w:val="decimal"/>
      <w:isLgl/>
      <w:lvlText w:val="%1.%2.%3.%4.%5.%6"/>
      <w:lvlJc w:val="left"/>
      <w:pPr>
        <w:ind w:left="3850" w:hanging="1440"/>
      </w:pPr>
      <w:rPr>
        <w:rFonts w:hint="default"/>
      </w:rPr>
    </w:lvl>
    <w:lvl w:ilvl="6" w:tentative="0">
      <w:start w:val="1"/>
      <w:numFmt w:val="decimal"/>
      <w:isLgl/>
      <w:lvlText w:val="%1.%2.%3.%4.%5.%6.%7"/>
      <w:lvlJc w:val="left"/>
      <w:pPr>
        <w:ind w:left="4692" w:hanging="1800"/>
      </w:pPr>
      <w:rPr>
        <w:rFonts w:hint="default"/>
      </w:rPr>
    </w:lvl>
    <w:lvl w:ilvl="7" w:tentative="0">
      <w:start w:val="1"/>
      <w:numFmt w:val="decimal"/>
      <w:isLgl/>
      <w:lvlText w:val="%1.%2.%3.%4.%5.%6.%7.%8"/>
      <w:lvlJc w:val="left"/>
      <w:pPr>
        <w:ind w:left="5534" w:hanging="2160"/>
      </w:pPr>
      <w:rPr>
        <w:rFonts w:hint="default"/>
      </w:rPr>
    </w:lvl>
    <w:lvl w:ilvl="8" w:tentative="0">
      <w:start w:val="1"/>
      <w:numFmt w:val="decimal"/>
      <w:isLgl/>
      <w:lvlText w:val="%1.%2.%3.%4.%5.%6.%7.%8.%9"/>
      <w:lvlJc w:val="left"/>
      <w:pPr>
        <w:ind w:left="6016" w:hanging="2160"/>
      </w:pPr>
      <w:rPr>
        <w:rFonts w:hint="default"/>
      </w:rPr>
    </w:lvl>
  </w:abstractNum>
  <w:abstractNum w:abstractNumId="19">
    <w:nsid w:val="78A4110E"/>
    <w:multiLevelType w:val="multilevel"/>
    <w:tmpl w:val="78A4110E"/>
    <w:lvl w:ilvl="0" w:tentative="0">
      <w:start w:val="1"/>
      <w:numFmt w:val="decimal"/>
      <w:lvlText w:val="7.%1"/>
      <w:lvlJc w:val="left"/>
      <w:pPr>
        <w:ind w:left="900" w:hanging="420"/>
      </w:pPr>
      <w:rPr>
        <w:rFonts w:hint="eastAsia"/>
      </w:rPr>
    </w:lvl>
    <w:lvl w:ilvl="1" w:tentative="0">
      <w:start w:val="1"/>
      <w:numFmt w:val="decimal"/>
      <w:lvlText w:val="7.%2"/>
      <w:lvlJc w:val="left"/>
      <w:pPr>
        <w:ind w:left="1320" w:hanging="420"/>
      </w:pPr>
      <w:rPr>
        <w:rFonts w:hint="eastAsia"/>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8"/>
  </w:num>
  <w:num w:numId="2">
    <w:abstractNumId w:val="12"/>
  </w:num>
  <w:num w:numId="3">
    <w:abstractNumId w:val="3"/>
  </w:num>
  <w:num w:numId="4">
    <w:abstractNumId w:val="8"/>
  </w:num>
  <w:num w:numId="5">
    <w:abstractNumId w:val="15"/>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7"/>
  </w:num>
  <w:num w:numId="9">
    <w:abstractNumId w:val="16"/>
  </w:num>
  <w:num w:numId="10">
    <w:abstractNumId w:val="9"/>
  </w:num>
  <w:num w:numId="11">
    <w:abstractNumId w:val="6"/>
  </w:num>
  <w:num w:numId="12">
    <w:abstractNumId w:val="10"/>
  </w:num>
  <w:num w:numId="13">
    <w:abstractNumId w:val="7"/>
  </w:num>
  <w:num w:numId="14">
    <w:abstractNumId w:val="19"/>
  </w:num>
  <w:num w:numId="15">
    <w:abstractNumId w:val="13"/>
  </w:num>
  <w:num w:numId="16">
    <w:abstractNumId w:val="4"/>
  </w:num>
  <w:num w:numId="17">
    <w:abstractNumId w:val="14"/>
  </w:num>
  <w:num w:numId="18">
    <w:abstractNumId w:val="0"/>
    <w:lvlOverride w:ilvl="0">
      <w:startOverride w:val="1"/>
    </w:lvlOverride>
  </w:num>
  <w:num w:numId="19">
    <w:abstractNumId w:val="2"/>
    <w:lvlOverride w:ilvl="0">
      <w:startOverride w:val="1"/>
    </w:lvlOverride>
  </w:num>
  <w:num w:numId="20">
    <w:abstractNumId w:val="2"/>
  </w:num>
  <w:num w:numId="21">
    <w:abstractNumId w:val="1"/>
    <w:lvlOverride w:ilvl="0">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E1ZjJlNWM3NDg3N2M1MWJjMDhkY2FlMDIyZjE4ZjIifQ=="/>
  </w:docVars>
  <w:rsids>
    <w:rsidRoot w:val="00017C37"/>
    <w:rsid w:val="0001603A"/>
    <w:rsid w:val="00017C37"/>
    <w:rsid w:val="00035AA3"/>
    <w:rsid w:val="000771F1"/>
    <w:rsid w:val="00085CCB"/>
    <w:rsid w:val="00091ADB"/>
    <w:rsid w:val="00095546"/>
    <w:rsid w:val="000A7483"/>
    <w:rsid w:val="000D7F7F"/>
    <w:rsid w:val="0010433D"/>
    <w:rsid w:val="00173B5A"/>
    <w:rsid w:val="001A0FB1"/>
    <w:rsid w:val="001B1478"/>
    <w:rsid w:val="001B4358"/>
    <w:rsid w:val="001D5ED8"/>
    <w:rsid w:val="001D74E2"/>
    <w:rsid w:val="00210071"/>
    <w:rsid w:val="00217A50"/>
    <w:rsid w:val="00230D30"/>
    <w:rsid w:val="002A12FC"/>
    <w:rsid w:val="002C6729"/>
    <w:rsid w:val="002C6765"/>
    <w:rsid w:val="00311BC7"/>
    <w:rsid w:val="00376D10"/>
    <w:rsid w:val="003802E2"/>
    <w:rsid w:val="0038288F"/>
    <w:rsid w:val="003A2D17"/>
    <w:rsid w:val="00400353"/>
    <w:rsid w:val="00400D3D"/>
    <w:rsid w:val="004120EF"/>
    <w:rsid w:val="00414B1C"/>
    <w:rsid w:val="004253A9"/>
    <w:rsid w:val="00446761"/>
    <w:rsid w:val="00462F5A"/>
    <w:rsid w:val="004642DA"/>
    <w:rsid w:val="004743D5"/>
    <w:rsid w:val="00495C9B"/>
    <w:rsid w:val="004E673C"/>
    <w:rsid w:val="004F52F4"/>
    <w:rsid w:val="00513981"/>
    <w:rsid w:val="00547698"/>
    <w:rsid w:val="00552BE7"/>
    <w:rsid w:val="0056656C"/>
    <w:rsid w:val="00590773"/>
    <w:rsid w:val="00592C1D"/>
    <w:rsid w:val="005948A7"/>
    <w:rsid w:val="005B222E"/>
    <w:rsid w:val="005C2E3E"/>
    <w:rsid w:val="005C695D"/>
    <w:rsid w:val="005D3D68"/>
    <w:rsid w:val="005D77DC"/>
    <w:rsid w:val="005E386B"/>
    <w:rsid w:val="005F411B"/>
    <w:rsid w:val="006022DB"/>
    <w:rsid w:val="00606FB0"/>
    <w:rsid w:val="006453BC"/>
    <w:rsid w:val="00646E4D"/>
    <w:rsid w:val="00663713"/>
    <w:rsid w:val="0069682C"/>
    <w:rsid w:val="006D5347"/>
    <w:rsid w:val="006F4B98"/>
    <w:rsid w:val="0070316D"/>
    <w:rsid w:val="00724774"/>
    <w:rsid w:val="00756913"/>
    <w:rsid w:val="007738DC"/>
    <w:rsid w:val="007B4F4F"/>
    <w:rsid w:val="007D6793"/>
    <w:rsid w:val="007D6B63"/>
    <w:rsid w:val="00807B9A"/>
    <w:rsid w:val="00810F1E"/>
    <w:rsid w:val="00825612"/>
    <w:rsid w:val="00832609"/>
    <w:rsid w:val="00837875"/>
    <w:rsid w:val="0085393B"/>
    <w:rsid w:val="00872080"/>
    <w:rsid w:val="00877C3E"/>
    <w:rsid w:val="008A4E4B"/>
    <w:rsid w:val="008B75A5"/>
    <w:rsid w:val="008D701E"/>
    <w:rsid w:val="008F38D2"/>
    <w:rsid w:val="00904537"/>
    <w:rsid w:val="00905039"/>
    <w:rsid w:val="009563BC"/>
    <w:rsid w:val="00964332"/>
    <w:rsid w:val="00966382"/>
    <w:rsid w:val="00966A75"/>
    <w:rsid w:val="009D05E5"/>
    <w:rsid w:val="009E1B32"/>
    <w:rsid w:val="009E7F32"/>
    <w:rsid w:val="009F280E"/>
    <w:rsid w:val="00A238CC"/>
    <w:rsid w:val="00A347B1"/>
    <w:rsid w:val="00A8774C"/>
    <w:rsid w:val="00AA78B9"/>
    <w:rsid w:val="00B07AC4"/>
    <w:rsid w:val="00B3383F"/>
    <w:rsid w:val="00B94CD6"/>
    <w:rsid w:val="00BE6966"/>
    <w:rsid w:val="00BF1733"/>
    <w:rsid w:val="00BF236E"/>
    <w:rsid w:val="00C37A4F"/>
    <w:rsid w:val="00C51E3B"/>
    <w:rsid w:val="00C545DB"/>
    <w:rsid w:val="00C72283"/>
    <w:rsid w:val="00CA10F6"/>
    <w:rsid w:val="00CB46B2"/>
    <w:rsid w:val="00CD66D0"/>
    <w:rsid w:val="00CE5436"/>
    <w:rsid w:val="00D116D2"/>
    <w:rsid w:val="00D61AAF"/>
    <w:rsid w:val="00D73D77"/>
    <w:rsid w:val="00D82CB3"/>
    <w:rsid w:val="00DA3317"/>
    <w:rsid w:val="00DB0663"/>
    <w:rsid w:val="00DC4903"/>
    <w:rsid w:val="00DE75E0"/>
    <w:rsid w:val="00DF6129"/>
    <w:rsid w:val="00DF73C3"/>
    <w:rsid w:val="00E12C19"/>
    <w:rsid w:val="00E40CC0"/>
    <w:rsid w:val="00E729E2"/>
    <w:rsid w:val="00E8472E"/>
    <w:rsid w:val="00E868D5"/>
    <w:rsid w:val="00EB7CB0"/>
    <w:rsid w:val="00EF39C3"/>
    <w:rsid w:val="00EF4FE5"/>
    <w:rsid w:val="00F12344"/>
    <w:rsid w:val="00F338E4"/>
    <w:rsid w:val="00F5528D"/>
    <w:rsid w:val="00F971B9"/>
    <w:rsid w:val="00FD7453"/>
    <w:rsid w:val="00FE7C96"/>
    <w:rsid w:val="00FF260C"/>
    <w:rsid w:val="00FF2995"/>
    <w:rsid w:val="0487692A"/>
    <w:rsid w:val="05681952"/>
    <w:rsid w:val="058B0CE8"/>
    <w:rsid w:val="05DC7F1B"/>
    <w:rsid w:val="0CBD4F0D"/>
    <w:rsid w:val="13836269"/>
    <w:rsid w:val="15613322"/>
    <w:rsid w:val="157E536F"/>
    <w:rsid w:val="1B2D7B9D"/>
    <w:rsid w:val="1FF00B97"/>
    <w:rsid w:val="218E0668"/>
    <w:rsid w:val="23A45CC8"/>
    <w:rsid w:val="28A95482"/>
    <w:rsid w:val="33522129"/>
    <w:rsid w:val="3A635CE2"/>
    <w:rsid w:val="3B37375B"/>
    <w:rsid w:val="3CB10A73"/>
    <w:rsid w:val="42BF52E8"/>
    <w:rsid w:val="453849E8"/>
    <w:rsid w:val="4C3B51A0"/>
    <w:rsid w:val="4F8D67DA"/>
    <w:rsid w:val="53873B69"/>
    <w:rsid w:val="5400114A"/>
    <w:rsid w:val="5527777F"/>
    <w:rsid w:val="58EE0CEF"/>
    <w:rsid w:val="5A405C9C"/>
    <w:rsid w:val="5D8654BB"/>
    <w:rsid w:val="6020061E"/>
    <w:rsid w:val="61BF1B9C"/>
    <w:rsid w:val="631A3502"/>
    <w:rsid w:val="63457F0B"/>
    <w:rsid w:val="687A681D"/>
    <w:rsid w:val="708B29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qFormat="1" w:unhideWhenUsed="0" w:uiPriority="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qFormat="1" w:unhideWhenUsed="0" w:uiPriority="0" w:semiHidden="0" w:name="Body Text First Indent"/>
    <w:lsdException w:uiPriority="99" w:name="Body Text First Indent 2"/>
    <w:lsdException w:uiPriority="99" w:name="Note Heading"/>
    <w:lsdException w:qFormat="1" w:uiPriority="0" w:semiHidden="0"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5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5"/>
    <w:qFormat/>
    <w:uiPriority w:val="0"/>
    <w:pPr>
      <w:numPr>
        <w:ilvl w:val="0"/>
        <w:numId w:val="1"/>
      </w:numPr>
      <w:spacing w:before="260" w:after="260" w:line="415" w:lineRule="auto"/>
      <w:outlineLvl w:val="1"/>
    </w:pPr>
    <w:rPr>
      <w:rFonts w:ascii="黑体" w:hAnsi="黑体"/>
      <w:sz w:val="30"/>
      <w:szCs w:val="30"/>
    </w:rPr>
  </w:style>
  <w:style w:type="paragraph" w:styleId="4">
    <w:name w:val="heading 3"/>
    <w:basedOn w:val="1"/>
    <w:next w:val="1"/>
    <w:link w:val="56"/>
    <w:qFormat/>
    <w:uiPriority w:val="9"/>
    <w:pPr>
      <w:keepNext/>
      <w:keepLines/>
      <w:spacing w:before="260" w:after="260" w:line="416" w:lineRule="auto"/>
      <w:outlineLvl w:val="2"/>
    </w:pPr>
    <w:rPr>
      <w:b/>
      <w:bCs/>
      <w:kern w:val="0"/>
      <w:sz w:val="32"/>
      <w:szCs w:val="32"/>
    </w:rPr>
  </w:style>
  <w:style w:type="paragraph" w:styleId="5">
    <w:name w:val="heading 4"/>
    <w:basedOn w:val="1"/>
    <w:next w:val="1"/>
    <w:link w:val="57"/>
    <w:qFormat/>
    <w:uiPriority w:val="0"/>
    <w:pPr>
      <w:numPr>
        <w:ilvl w:val="0"/>
        <w:numId w:val="2"/>
      </w:numPr>
      <w:outlineLvl w:val="3"/>
    </w:pPr>
    <w:rPr>
      <w:sz w:val="28"/>
    </w:rPr>
  </w:style>
  <w:style w:type="paragraph" w:styleId="6">
    <w:name w:val="heading 5"/>
    <w:basedOn w:val="5"/>
    <w:next w:val="7"/>
    <w:link w:val="58"/>
    <w:qFormat/>
    <w:uiPriority w:val="0"/>
    <w:pPr>
      <w:numPr>
        <w:numId w:val="3"/>
      </w:numPr>
      <w:spacing w:line="360" w:lineRule="auto"/>
      <w:outlineLvl w:val="4"/>
    </w:pPr>
    <w:rPr>
      <w:sz w:val="24"/>
    </w:rPr>
  </w:style>
  <w:style w:type="paragraph" w:styleId="8">
    <w:name w:val="heading 6"/>
    <w:basedOn w:val="1"/>
    <w:next w:val="1"/>
    <w:link w:val="59"/>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szCs w:val="24"/>
    </w:rPr>
  </w:style>
  <w:style w:type="paragraph" w:styleId="9">
    <w:name w:val="heading 7"/>
    <w:basedOn w:val="1"/>
    <w:next w:val="7"/>
    <w:link w:val="60"/>
    <w:qFormat/>
    <w:uiPriority w:val="0"/>
    <w:pPr>
      <w:keepNext/>
      <w:keepLines/>
      <w:spacing w:before="240" w:after="64" w:line="320" w:lineRule="auto"/>
      <w:outlineLvl w:val="6"/>
    </w:pPr>
    <w:rPr>
      <w:rFonts w:ascii="Times New Roman" w:hAnsi="Times New Roman"/>
      <w:b/>
      <w:kern w:val="0"/>
      <w:sz w:val="24"/>
      <w:szCs w:val="20"/>
    </w:rPr>
  </w:style>
  <w:style w:type="paragraph" w:styleId="10">
    <w:name w:val="heading 8"/>
    <w:basedOn w:val="1"/>
    <w:next w:val="7"/>
    <w:link w:val="61"/>
    <w:qFormat/>
    <w:uiPriority w:val="0"/>
    <w:pPr>
      <w:keepNext/>
      <w:keepLines/>
      <w:spacing w:before="240" w:after="64" w:line="320" w:lineRule="auto"/>
      <w:outlineLvl w:val="7"/>
    </w:pPr>
    <w:rPr>
      <w:rFonts w:ascii="Arial" w:hAnsi="Arial" w:eastAsia="黑体"/>
      <w:kern w:val="0"/>
      <w:sz w:val="24"/>
      <w:szCs w:val="20"/>
    </w:rPr>
  </w:style>
  <w:style w:type="paragraph" w:styleId="11">
    <w:name w:val="heading 9"/>
    <w:basedOn w:val="1"/>
    <w:next w:val="7"/>
    <w:link w:val="62"/>
    <w:qFormat/>
    <w:uiPriority w:val="0"/>
    <w:pPr>
      <w:keepNext/>
      <w:keepLines/>
      <w:spacing w:before="240" w:after="64" w:line="320" w:lineRule="auto"/>
      <w:outlineLvl w:val="8"/>
    </w:pPr>
    <w:rPr>
      <w:rFonts w:ascii="Arial" w:hAnsi="Arial" w:eastAsia="黑体"/>
      <w:kern w:val="0"/>
      <w:sz w:val="20"/>
      <w:szCs w:val="20"/>
    </w:rPr>
  </w:style>
  <w:style w:type="character" w:default="1" w:styleId="44">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63"/>
    <w:unhideWhenUsed/>
    <w:qFormat/>
    <w:uiPriority w:val="0"/>
    <w:pPr>
      <w:ind w:firstLine="420" w:firstLineChars="200"/>
    </w:pPr>
  </w:style>
  <w:style w:type="paragraph" w:styleId="12">
    <w:name w:val="toc 7"/>
    <w:basedOn w:val="1"/>
    <w:next w:val="1"/>
    <w:unhideWhenUsed/>
    <w:qFormat/>
    <w:uiPriority w:val="39"/>
    <w:pPr>
      <w:ind w:left="2520" w:leftChars="1200"/>
    </w:pPr>
  </w:style>
  <w:style w:type="paragraph" w:styleId="13">
    <w:name w:val="Document Map"/>
    <w:basedOn w:val="1"/>
    <w:link w:val="64"/>
    <w:semiHidden/>
    <w:qFormat/>
    <w:uiPriority w:val="0"/>
    <w:pPr>
      <w:shd w:val="clear" w:color="auto" w:fill="000080"/>
    </w:pPr>
    <w:rPr>
      <w:rFonts w:ascii="Times New Roman" w:hAnsi="Times New Roman"/>
      <w:kern w:val="0"/>
      <w:sz w:val="20"/>
      <w:szCs w:val="24"/>
    </w:rPr>
  </w:style>
  <w:style w:type="paragraph" w:styleId="14">
    <w:name w:val="annotation text"/>
    <w:basedOn w:val="1"/>
    <w:link w:val="65"/>
    <w:unhideWhenUsed/>
    <w:qFormat/>
    <w:uiPriority w:val="99"/>
    <w:pPr>
      <w:jc w:val="left"/>
    </w:pPr>
  </w:style>
  <w:style w:type="paragraph" w:styleId="15">
    <w:name w:val="Body Text 3"/>
    <w:basedOn w:val="1"/>
    <w:link w:val="66"/>
    <w:unhideWhenUsed/>
    <w:qFormat/>
    <w:uiPriority w:val="99"/>
    <w:pPr>
      <w:spacing w:after="120"/>
    </w:pPr>
    <w:rPr>
      <w:sz w:val="16"/>
      <w:szCs w:val="16"/>
    </w:rPr>
  </w:style>
  <w:style w:type="paragraph" w:styleId="16">
    <w:name w:val="Body Text"/>
    <w:basedOn w:val="1"/>
    <w:next w:val="1"/>
    <w:link w:val="67"/>
    <w:unhideWhenUsed/>
    <w:qFormat/>
    <w:uiPriority w:val="99"/>
    <w:pPr>
      <w:spacing w:after="120"/>
    </w:pPr>
    <w:rPr>
      <w:kern w:val="0"/>
      <w:sz w:val="20"/>
      <w:szCs w:val="20"/>
    </w:rPr>
  </w:style>
  <w:style w:type="paragraph" w:styleId="17">
    <w:name w:val="Body Text Indent"/>
    <w:basedOn w:val="1"/>
    <w:link w:val="68"/>
    <w:qFormat/>
    <w:uiPriority w:val="0"/>
    <w:pPr>
      <w:spacing w:after="120"/>
      <w:ind w:left="420" w:leftChars="200"/>
    </w:pPr>
    <w:rPr>
      <w:rFonts w:ascii="Times New Roman" w:hAnsi="Times New Roman"/>
      <w:kern w:val="0"/>
      <w:sz w:val="20"/>
      <w:szCs w:val="24"/>
    </w:rPr>
  </w:style>
  <w:style w:type="paragraph" w:styleId="18">
    <w:name w:val="toc 5"/>
    <w:basedOn w:val="1"/>
    <w:next w:val="1"/>
    <w:unhideWhenUsed/>
    <w:qFormat/>
    <w:uiPriority w:val="39"/>
    <w:pPr>
      <w:ind w:left="1680" w:leftChars="800"/>
    </w:pPr>
  </w:style>
  <w:style w:type="paragraph" w:styleId="19">
    <w:name w:val="toc 3"/>
    <w:basedOn w:val="1"/>
    <w:next w:val="1"/>
    <w:unhideWhenUsed/>
    <w:qFormat/>
    <w:uiPriority w:val="39"/>
    <w:pPr>
      <w:widowControl/>
      <w:spacing w:after="100" w:line="276" w:lineRule="auto"/>
      <w:ind w:left="440"/>
      <w:jc w:val="left"/>
    </w:pPr>
    <w:rPr>
      <w:kern w:val="0"/>
      <w:sz w:val="22"/>
    </w:rPr>
  </w:style>
  <w:style w:type="paragraph" w:styleId="20">
    <w:name w:val="Plain Text"/>
    <w:basedOn w:val="1"/>
    <w:link w:val="69"/>
    <w:qFormat/>
    <w:uiPriority w:val="0"/>
    <w:rPr>
      <w:rFonts w:ascii="宋体" w:hAnsi="Courier New" w:eastAsia="楷体_GB2312"/>
      <w:kern w:val="0"/>
      <w:sz w:val="20"/>
      <w:szCs w:val="24"/>
    </w:rPr>
  </w:style>
  <w:style w:type="paragraph" w:styleId="21">
    <w:name w:val="toc 8"/>
    <w:basedOn w:val="1"/>
    <w:next w:val="1"/>
    <w:unhideWhenUsed/>
    <w:qFormat/>
    <w:uiPriority w:val="39"/>
    <w:pPr>
      <w:ind w:left="2940" w:leftChars="1400"/>
    </w:pPr>
  </w:style>
  <w:style w:type="paragraph" w:styleId="22">
    <w:name w:val="Date"/>
    <w:basedOn w:val="1"/>
    <w:next w:val="1"/>
    <w:link w:val="70"/>
    <w:unhideWhenUsed/>
    <w:qFormat/>
    <w:uiPriority w:val="0"/>
    <w:pPr>
      <w:ind w:left="100" w:leftChars="2500"/>
    </w:pPr>
  </w:style>
  <w:style w:type="paragraph" w:styleId="23">
    <w:name w:val="Body Text Indent 2"/>
    <w:basedOn w:val="1"/>
    <w:link w:val="71"/>
    <w:qFormat/>
    <w:uiPriority w:val="0"/>
    <w:pPr>
      <w:spacing w:after="120" w:line="480" w:lineRule="auto"/>
      <w:ind w:left="420" w:leftChars="200"/>
    </w:pPr>
    <w:rPr>
      <w:rFonts w:ascii="Times New Roman" w:hAnsi="Times New Roman"/>
      <w:kern w:val="0"/>
      <w:sz w:val="20"/>
      <w:szCs w:val="24"/>
    </w:rPr>
  </w:style>
  <w:style w:type="paragraph" w:styleId="24">
    <w:name w:val="endnote text"/>
    <w:basedOn w:val="1"/>
    <w:link w:val="72"/>
    <w:unhideWhenUsed/>
    <w:qFormat/>
    <w:uiPriority w:val="99"/>
    <w:pPr>
      <w:snapToGrid w:val="0"/>
      <w:jc w:val="left"/>
    </w:pPr>
  </w:style>
  <w:style w:type="paragraph" w:styleId="25">
    <w:name w:val="Balloon Text"/>
    <w:basedOn w:val="1"/>
    <w:link w:val="73"/>
    <w:unhideWhenUsed/>
    <w:qFormat/>
    <w:uiPriority w:val="99"/>
    <w:rPr>
      <w:kern w:val="0"/>
      <w:sz w:val="18"/>
      <w:szCs w:val="18"/>
    </w:rPr>
  </w:style>
  <w:style w:type="paragraph" w:styleId="26">
    <w:name w:val="footer"/>
    <w:basedOn w:val="1"/>
    <w:link w:val="53"/>
    <w:unhideWhenUsed/>
    <w:qFormat/>
    <w:uiPriority w:val="99"/>
    <w:pPr>
      <w:tabs>
        <w:tab w:val="center" w:pos="4153"/>
        <w:tab w:val="right" w:pos="8306"/>
      </w:tabs>
      <w:snapToGrid w:val="0"/>
      <w:jc w:val="left"/>
    </w:pPr>
    <w:rPr>
      <w:sz w:val="18"/>
      <w:szCs w:val="18"/>
    </w:rPr>
  </w:style>
  <w:style w:type="paragraph" w:styleId="27">
    <w:name w:val="header"/>
    <w:basedOn w:val="1"/>
    <w:link w:val="52"/>
    <w:unhideWhenUsed/>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unhideWhenUsed/>
    <w:qFormat/>
    <w:uiPriority w:val="39"/>
    <w:pPr>
      <w:widowControl/>
      <w:spacing w:after="100" w:line="276" w:lineRule="auto"/>
      <w:jc w:val="left"/>
    </w:pPr>
    <w:rPr>
      <w:kern w:val="0"/>
      <w:sz w:val="22"/>
    </w:rPr>
  </w:style>
  <w:style w:type="paragraph" w:styleId="29">
    <w:name w:val="toc 4"/>
    <w:basedOn w:val="1"/>
    <w:next w:val="1"/>
    <w:unhideWhenUsed/>
    <w:qFormat/>
    <w:uiPriority w:val="39"/>
    <w:pPr>
      <w:ind w:left="1260" w:leftChars="600"/>
    </w:pPr>
  </w:style>
  <w:style w:type="paragraph" w:styleId="30">
    <w:name w:val="toc 6"/>
    <w:basedOn w:val="1"/>
    <w:next w:val="1"/>
    <w:unhideWhenUsed/>
    <w:qFormat/>
    <w:uiPriority w:val="39"/>
    <w:pPr>
      <w:ind w:left="2100" w:leftChars="1000"/>
    </w:pPr>
  </w:style>
  <w:style w:type="paragraph" w:styleId="31">
    <w:name w:val="Body Text Indent 3"/>
    <w:basedOn w:val="1"/>
    <w:link w:val="74"/>
    <w:qFormat/>
    <w:uiPriority w:val="0"/>
    <w:pPr>
      <w:spacing w:after="120"/>
      <w:ind w:left="420" w:leftChars="200"/>
    </w:pPr>
    <w:rPr>
      <w:rFonts w:ascii="Times New Roman" w:hAnsi="Times New Roman"/>
      <w:kern w:val="0"/>
      <w:sz w:val="16"/>
      <w:szCs w:val="16"/>
    </w:rPr>
  </w:style>
  <w:style w:type="paragraph" w:styleId="32">
    <w:name w:val="toc 2"/>
    <w:basedOn w:val="1"/>
    <w:next w:val="1"/>
    <w:unhideWhenUsed/>
    <w:qFormat/>
    <w:uiPriority w:val="39"/>
    <w:pPr>
      <w:widowControl/>
      <w:spacing w:after="100" w:line="276" w:lineRule="auto"/>
      <w:ind w:left="220"/>
      <w:jc w:val="left"/>
    </w:pPr>
    <w:rPr>
      <w:kern w:val="0"/>
      <w:sz w:val="22"/>
    </w:rPr>
  </w:style>
  <w:style w:type="paragraph" w:styleId="33">
    <w:name w:val="toc 9"/>
    <w:basedOn w:val="1"/>
    <w:next w:val="1"/>
    <w:unhideWhenUsed/>
    <w:qFormat/>
    <w:uiPriority w:val="39"/>
    <w:pPr>
      <w:ind w:left="3360" w:leftChars="1600"/>
    </w:pPr>
  </w:style>
  <w:style w:type="paragraph" w:styleId="34">
    <w:name w:val="Body Text 2"/>
    <w:basedOn w:val="1"/>
    <w:link w:val="75"/>
    <w:unhideWhenUsed/>
    <w:qFormat/>
    <w:uiPriority w:val="0"/>
    <w:rPr>
      <w:rFonts w:ascii="宋体" w:hAnsi="宋体" w:eastAsia="楷体_GB2312"/>
      <w:kern w:val="0"/>
      <w:sz w:val="20"/>
      <w:szCs w:val="24"/>
      <w:u w:val="single"/>
    </w:rPr>
  </w:style>
  <w:style w:type="paragraph" w:styleId="35">
    <w:name w:val="Normal (Web)"/>
    <w:basedOn w:val="1"/>
    <w:qFormat/>
    <w:uiPriority w:val="99"/>
    <w:pPr>
      <w:widowControl/>
      <w:spacing w:before="100" w:beforeAutospacing="1" w:after="100" w:afterAutospacing="1"/>
      <w:jc w:val="left"/>
    </w:pPr>
    <w:rPr>
      <w:rFonts w:ascii="Times New Roman" w:hAnsi="Times New Roman"/>
      <w:kern w:val="0"/>
      <w:sz w:val="24"/>
      <w:szCs w:val="24"/>
    </w:rPr>
  </w:style>
  <w:style w:type="paragraph" w:styleId="36">
    <w:name w:val="index 1"/>
    <w:basedOn w:val="1"/>
    <w:next w:val="1"/>
    <w:semiHidden/>
    <w:qFormat/>
    <w:uiPriority w:val="0"/>
    <w:pPr>
      <w:spacing w:line="220" w:lineRule="exact"/>
      <w:jc w:val="center"/>
    </w:pPr>
    <w:rPr>
      <w:rFonts w:ascii="仿宋_GB2312" w:hAnsi="Times New Roman" w:eastAsia="仿宋_GB2312"/>
      <w:szCs w:val="21"/>
    </w:rPr>
  </w:style>
  <w:style w:type="paragraph" w:styleId="37">
    <w:name w:val="Title"/>
    <w:basedOn w:val="1"/>
    <w:link w:val="76"/>
    <w:qFormat/>
    <w:uiPriority w:val="0"/>
    <w:pPr>
      <w:spacing w:before="120" w:after="60"/>
      <w:jc w:val="center"/>
    </w:pPr>
    <w:rPr>
      <w:rFonts w:ascii="Arial" w:hAnsi="Arial" w:eastAsia="楷体_GB2312"/>
      <w:b/>
      <w:kern w:val="0"/>
      <w:sz w:val="44"/>
      <w:szCs w:val="20"/>
    </w:rPr>
  </w:style>
  <w:style w:type="paragraph" w:styleId="38">
    <w:name w:val="annotation subject"/>
    <w:basedOn w:val="14"/>
    <w:next w:val="14"/>
    <w:link w:val="77"/>
    <w:unhideWhenUsed/>
    <w:qFormat/>
    <w:uiPriority w:val="99"/>
    <w:rPr>
      <w:b/>
      <w:bCs/>
    </w:rPr>
  </w:style>
  <w:style w:type="paragraph" w:styleId="39">
    <w:name w:val="Body Text First Indent"/>
    <w:basedOn w:val="16"/>
    <w:link w:val="78"/>
    <w:qFormat/>
    <w:uiPriority w:val="0"/>
    <w:pPr>
      <w:ind w:firstLine="420"/>
    </w:pPr>
    <w:rPr>
      <w:rFonts w:ascii="Times New Roman" w:hAnsi="Times New Roman" w:eastAsia="楷体_GB2312"/>
    </w:rPr>
  </w:style>
  <w:style w:type="table" w:styleId="41">
    <w:name w:val="Table Grid"/>
    <w:basedOn w:val="40"/>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2">
    <w:name w:val="Table Theme"/>
    <w:basedOn w:val="40"/>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3">
    <w:name w:val="Table Professional"/>
    <w:basedOn w:val="40"/>
    <w:qFormat/>
    <w:uiPriority w:val="0"/>
    <w:pPr>
      <w:widowControl w:val="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45">
    <w:name w:val="Strong"/>
    <w:qFormat/>
    <w:uiPriority w:val="0"/>
    <w:rPr>
      <w:rFonts w:eastAsia="宋体"/>
      <w:b/>
      <w:bCs/>
      <w:kern w:val="2"/>
      <w:sz w:val="24"/>
      <w:szCs w:val="24"/>
      <w:lang w:val="en-US" w:eastAsia="zh-CN" w:bidi="ar-SA"/>
    </w:rPr>
  </w:style>
  <w:style w:type="character" w:styleId="46">
    <w:name w:val="endnote reference"/>
    <w:semiHidden/>
    <w:qFormat/>
    <w:uiPriority w:val="0"/>
    <w:rPr>
      <w:rFonts w:eastAsia="宋体"/>
      <w:kern w:val="2"/>
      <w:sz w:val="24"/>
      <w:szCs w:val="24"/>
      <w:vertAlign w:val="superscript"/>
      <w:lang w:val="en-US" w:eastAsia="zh-CN" w:bidi="ar-SA"/>
    </w:rPr>
  </w:style>
  <w:style w:type="character" w:styleId="47">
    <w:name w:val="page number"/>
    <w:qFormat/>
    <w:uiPriority w:val="0"/>
    <w:rPr>
      <w:rFonts w:ascii="Arial" w:hAnsi="Arial" w:eastAsia="黑体"/>
      <w:kern w:val="2"/>
      <w:sz w:val="21"/>
      <w:szCs w:val="21"/>
      <w:lang w:val="en-US" w:eastAsia="zh-CN" w:bidi="ar-SA"/>
    </w:rPr>
  </w:style>
  <w:style w:type="character" w:styleId="48">
    <w:name w:val="FollowedHyperlink"/>
    <w:qFormat/>
    <w:uiPriority w:val="0"/>
    <w:rPr>
      <w:rFonts w:ascii="Arial" w:hAnsi="Arial" w:eastAsia="黑体"/>
      <w:color w:val="800080"/>
      <w:kern w:val="2"/>
      <w:sz w:val="21"/>
      <w:szCs w:val="21"/>
      <w:u w:val="single"/>
      <w:lang w:val="en-US" w:eastAsia="zh-CN" w:bidi="ar-SA"/>
    </w:rPr>
  </w:style>
  <w:style w:type="character" w:styleId="49">
    <w:name w:val="Emphasis"/>
    <w:qFormat/>
    <w:uiPriority w:val="20"/>
    <w:rPr>
      <w:i/>
      <w:iCs/>
    </w:rPr>
  </w:style>
  <w:style w:type="character" w:styleId="50">
    <w:name w:val="Hyperlink"/>
    <w:qFormat/>
    <w:uiPriority w:val="99"/>
    <w:rPr>
      <w:rFonts w:ascii="Arial" w:hAnsi="Arial" w:eastAsia="黑体"/>
      <w:color w:val="0000FF"/>
      <w:kern w:val="2"/>
      <w:sz w:val="21"/>
      <w:szCs w:val="21"/>
      <w:u w:val="single"/>
      <w:lang w:val="en-US" w:eastAsia="zh-CN" w:bidi="ar-SA"/>
    </w:rPr>
  </w:style>
  <w:style w:type="character" w:styleId="51">
    <w:name w:val="annotation reference"/>
    <w:unhideWhenUsed/>
    <w:qFormat/>
    <w:uiPriority w:val="99"/>
    <w:rPr>
      <w:sz w:val="21"/>
      <w:szCs w:val="21"/>
    </w:rPr>
  </w:style>
  <w:style w:type="character" w:customStyle="1" w:styleId="52">
    <w:name w:val="页眉 字符"/>
    <w:basedOn w:val="44"/>
    <w:link w:val="27"/>
    <w:qFormat/>
    <w:uiPriority w:val="99"/>
    <w:rPr>
      <w:sz w:val="18"/>
      <w:szCs w:val="18"/>
    </w:rPr>
  </w:style>
  <w:style w:type="character" w:customStyle="1" w:styleId="53">
    <w:name w:val="页脚 字符"/>
    <w:basedOn w:val="44"/>
    <w:link w:val="26"/>
    <w:qFormat/>
    <w:uiPriority w:val="99"/>
    <w:rPr>
      <w:sz w:val="18"/>
      <w:szCs w:val="18"/>
    </w:rPr>
  </w:style>
  <w:style w:type="character" w:customStyle="1" w:styleId="54">
    <w:name w:val="标题 1 字符"/>
    <w:basedOn w:val="44"/>
    <w:link w:val="2"/>
    <w:qFormat/>
    <w:uiPriority w:val="0"/>
    <w:rPr>
      <w:rFonts w:ascii="Calibri" w:hAnsi="Calibri" w:eastAsia="宋体" w:cs="Times New Roman"/>
      <w:b/>
      <w:bCs/>
      <w:kern w:val="44"/>
      <w:sz w:val="44"/>
      <w:szCs w:val="44"/>
    </w:rPr>
  </w:style>
  <w:style w:type="character" w:customStyle="1" w:styleId="55">
    <w:name w:val="标题 2 字符"/>
    <w:basedOn w:val="44"/>
    <w:link w:val="3"/>
    <w:qFormat/>
    <w:uiPriority w:val="0"/>
    <w:rPr>
      <w:rFonts w:ascii="黑体" w:hAnsi="黑体" w:eastAsia="宋体" w:cs="Times New Roman"/>
      <w:sz w:val="30"/>
      <w:szCs w:val="30"/>
    </w:rPr>
  </w:style>
  <w:style w:type="character" w:customStyle="1" w:styleId="56">
    <w:name w:val="标题 3 字符"/>
    <w:basedOn w:val="44"/>
    <w:link w:val="4"/>
    <w:qFormat/>
    <w:uiPriority w:val="9"/>
    <w:rPr>
      <w:rFonts w:ascii="Calibri" w:hAnsi="Calibri" w:eastAsia="宋体" w:cs="Times New Roman"/>
      <w:b/>
      <w:bCs/>
      <w:kern w:val="0"/>
      <w:sz w:val="32"/>
      <w:szCs w:val="32"/>
    </w:rPr>
  </w:style>
  <w:style w:type="character" w:customStyle="1" w:styleId="57">
    <w:name w:val="标题 4 字符"/>
    <w:basedOn w:val="44"/>
    <w:link w:val="5"/>
    <w:qFormat/>
    <w:uiPriority w:val="0"/>
    <w:rPr>
      <w:rFonts w:ascii="Calibri" w:hAnsi="Calibri" w:eastAsia="宋体" w:cs="Times New Roman"/>
      <w:sz w:val="28"/>
    </w:rPr>
  </w:style>
  <w:style w:type="character" w:customStyle="1" w:styleId="58">
    <w:name w:val="标题 5 字符"/>
    <w:basedOn w:val="44"/>
    <w:link w:val="6"/>
    <w:qFormat/>
    <w:uiPriority w:val="0"/>
    <w:rPr>
      <w:rFonts w:ascii="Calibri" w:hAnsi="Calibri" w:eastAsia="宋体" w:cs="Times New Roman"/>
      <w:sz w:val="24"/>
    </w:rPr>
  </w:style>
  <w:style w:type="character" w:customStyle="1" w:styleId="59">
    <w:name w:val="标题 6 字符"/>
    <w:basedOn w:val="44"/>
    <w:link w:val="8"/>
    <w:qFormat/>
    <w:uiPriority w:val="0"/>
    <w:rPr>
      <w:rFonts w:ascii="Arial" w:hAnsi="Arial" w:eastAsia="黑体" w:cs="Times New Roman"/>
      <w:b/>
      <w:bCs/>
      <w:kern w:val="0"/>
      <w:sz w:val="24"/>
      <w:szCs w:val="24"/>
    </w:rPr>
  </w:style>
  <w:style w:type="character" w:customStyle="1" w:styleId="60">
    <w:name w:val="标题 7 字符"/>
    <w:basedOn w:val="44"/>
    <w:link w:val="9"/>
    <w:qFormat/>
    <w:uiPriority w:val="0"/>
    <w:rPr>
      <w:rFonts w:ascii="Times New Roman" w:hAnsi="Times New Roman" w:eastAsia="宋体" w:cs="Times New Roman"/>
      <w:b/>
      <w:kern w:val="0"/>
      <w:sz w:val="24"/>
      <w:szCs w:val="20"/>
    </w:rPr>
  </w:style>
  <w:style w:type="character" w:customStyle="1" w:styleId="61">
    <w:name w:val="标题 8 字符"/>
    <w:basedOn w:val="44"/>
    <w:link w:val="10"/>
    <w:qFormat/>
    <w:uiPriority w:val="0"/>
    <w:rPr>
      <w:rFonts w:ascii="Arial" w:hAnsi="Arial" w:eastAsia="黑体" w:cs="Times New Roman"/>
      <w:kern w:val="0"/>
      <w:sz w:val="24"/>
      <w:szCs w:val="20"/>
    </w:rPr>
  </w:style>
  <w:style w:type="character" w:customStyle="1" w:styleId="62">
    <w:name w:val="标题 9 字符"/>
    <w:basedOn w:val="44"/>
    <w:link w:val="11"/>
    <w:qFormat/>
    <w:uiPriority w:val="0"/>
    <w:rPr>
      <w:rFonts w:ascii="Arial" w:hAnsi="Arial" w:eastAsia="黑体" w:cs="Times New Roman"/>
      <w:kern w:val="0"/>
      <w:sz w:val="20"/>
      <w:szCs w:val="20"/>
    </w:rPr>
  </w:style>
  <w:style w:type="character" w:customStyle="1" w:styleId="63">
    <w:name w:val="正文缩进 字符"/>
    <w:link w:val="7"/>
    <w:qFormat/>
    <w:uiPriority w:val="0"/>
    <w:rPr>
      <w:rFonts w:ascii="Calibri" w:hAnsi="Calibri" w:eastAsia="宋体" w:cs="Times New Roman"/>
    </w:rPr>
  </w:style>
  <w:style w:type="character" w:customStyle="1" w:styleId="64">
    <w:name w:val="文档结构图 字符"/>
    <w:basedOn w:val="44"/>
    <w:link w:val="13"/>
    <w:semiHidden/>
    <w:qFormat/>
    <w:uiPriority w:val="0"/>
    <w:rPr>
      <w:rFonts w:ascii="Times New Roman" w:hAnsi="Times New Roman" w:eastAsia="宋体" w:cs="Times New Roman"/>
      <w:kern w:val="0"/>
      <w:sz w:val="20"/>
      <w:szCs w:val="24"/>
      <w:shd w:val="clear" w:color="auto" w:fill="000080"/>
    </w:rPr>
  </w:style>
  <w:style w:type="character" w:customStyle="1" w:styleId="65">
    <w:name w:val="批注文字 字符"/>
    <w:basedOn w:val="44"/>
    <w:link w:val="14"/>
    <w:qFormat/>
    <w:uiPriority w:val="99"/>
    <w:rPr>
      <w:rFonts w:ascii="Calibri" w:hAnsi="Calibri" w:eastAsia="宋体" w:cs="Times New Roman"/>
    </w:rPr>
  </w:style>
  <w:style w:type="character" w:customStyle="1" w:styleId="66">
    <w:name w:val="正文文本 3 字符"/>
    <w:basedOn w:val="44"/>
    <w:link w:val="15"/>
    <w:qFormat/>
    <w:uiPriority w:val="99"/>
    <w:rPr>
      <w:rFonts w:ascii="Calibri" w:hAnsi="Calibri" w:eastAsia="宋体" w:cs="Times New Roman"/>
      <w:sz w:val="16"/>
      <w:szCs w:val="16"/>
    </w:rPr>
  </w:style>
  <w:style w:type="character" w:customStyle="1" w:styleId="67">
    <w:name w:val="正文文本 字符"/>
    <w:basedOn w:val="44"/>
    <w:link w:val="16"/>
    <w:qFormat/>
    <w:uiPriority w:val="99"/>
    <w:rPr>
      <w:rFonts w:ascii="Calibri" w:hAnsi="Calibri" w:eastAsia="宋体" w:cs="Times New Roman"/>
      <w:kern w:val="0"/>
      <w:sz w:val="20"/>
      <w:szCs w:val="20"/>
    </w:rPr>
  </w:style>
  <w:style w:type="character" w:customStyle="1" w:styleId="68">
    <w:name w:val="正文文本缩进 字符"/>
    <w:basedOn w:val="44"/>
    <w:link w:val="17"/>
    <w:qFormat/>
    <w:uiPriority w:val="0"/>
    <w:rPr>
      <w:rFonts w:ascii="Times New Roman" w:hAnsi="Times New Roman" w:eastAsia="宋体" w:cs="Times New Roman"/>
      <w:kern w:val="0"/>
      <w:sz w:val="20"/>
      <w:szCs w:val="24"/>
    </w:rPr>
  </w:style>
  <w:style w:type="character" w:customStyle="1" w:styleId="69">
    <w:name w:val="纯文本 字符"/>
    <w:basedOn w:val="44"/>
    <w:link w:val="20"/>
    <w:qFormat/>
    <w:uiPriority w:val="0"/>
    <w:rPr>
      <w:rFonts w:ascii="宋体" w:hAnsi="Courier New" w:eastAsia="楷体_GB2312" w:cs="Times New Roman"/>
      <w:kern w:val="0"/>
      <w:sz w:val="20"/>
      <w:szCs w:val="24"/>
    </w:rPr>
  </w:style>
  <w:style w:type="character" w:customStyle="1" w:styleId="70">
    <w:name w:val="日期 字符"/>
    <w:basedOn w:val="44"/>
    <w:link w:val="22"/>
    <w:qFormat/>
    <w:uiPriority w:val="0"/>
    <w:rPr>
      <w:rFonts w:ascii="Calibri" w:hAnsi="Calibri" w:eastAsia="宋体" w:cs="Times New Roman"/>
    </w:rPr>
  </w:style>
  <w:style w:type="character" w:customStyle="1" w:styleId="71">
    <w:name w:val="正文文本缩进 2 字符"/>
    <w:basedOn w:val="44"/>
    <w:link w:val="23"/>
    <w:qFormat/>
    <w:uiPriority w:val="0"/>
    <w:rPr>
      <w:rFonts w:ascii="Times New Roman" w:hAnsi="Times New Roman" w:eastAsia="宋体" w:cs="Times New Roman"/>
      <w:kern w:val="0"/>
      <w:sz w:val="20"/>
      <w:szCs w:val="24"/>
    </w:rPr>
  </w:style>
  <w:style w:type="character" w:customStyle="1" w:styleId="72">
    <w:name w:val="尾注文本 字符"/>
    <w:basedOn w:val="44"/>
    <w:link w:val="24"/>
    <w:qFormat/>
    <w:uiPriority w:val="99"/>
    <w:rPr>
      <w:rFonts w:ascii="Calibri" w:hAnsi="Calibri" w:eastAsia="宋体" w:cs="Times New Roman"/>
    </w:rPr>
  </w:style>
  <w:style w:type="character" w:customStyle="1" w:styleId="73">
    <w:name w:val="批注框文本 字符"/>
    <w:basedOn w:val="44"/>
    <w:link w:val="25"/>
    <w:qFormat/>
    <w:uiPriority w:val="99"/>
    <w:rPr>
      <w:rFonts w:ascii="Calibri" w:hAnsi="Calibri" w:eastAsia="宋体" w:cs="Times New Roman"/>
      <w:kern w:val="0"/>
      <w:sz w:val="18"/>
      <w:szCs w:val="18"/>
    </w:rPr>
  </w:style>
  <w:style w:type="character" w:customStyle="1" w:styleId="74">
    <w:name w:val="正文文本缩进 3 字符"/>
    <w:basedOn w:val="44"/>
    <w:link w:val="31"/>
    <w:qFormat/>
    <w:uiPriority w:val="0"/>
    <w:rPr>
      <w:rFonts w:ascii="Times New Roman" w:hAnsi="Times New Roman" w:eastAsia="宋体" w:cs="Times New Roman"/>
      <w:kern w:val="0"/>
      <w:sz w:val="16"/>
      <w:szCs w:val="16"/>
    </w:rPr>
  </w:style>
  <w:style w:type="character" w:customStyle="1" w:styleId="75">
    <w:name w:val="正文文本 2 字符"/>
    <w:basedOn w:val="44"/>
    <w:link w:val="34"/>
    <w:qFormat/>
    <w:uiPriority w:val="0"/>
    <w:rPr>
      <w:rFonts w:ascii="宋体" w:hAnsi="宋体" w:eastAsia="楷体_GB2312" w:cs="Times New Roman"/>
      <w:kern w:val="0"/>
      <w:sz w:val="20"/>
      <w:szCs w:val="24"/>
      <w:u w:val="single"/>
    </w:rPr>
  </w:style>
  <w:style w:type="character" w:customStyle="1" w:styleId="76">
    <w:name w:val="标题 字符"/>
    <w:basedOn w:val="44"/>
    <w:link w:val="37"/>
    <w:qFormat/>
    <w:uiPriority w:val="0"/>
    <w:rPr>
      <w:rFonts w:ascii="Arial" w:hAnsi="Arial" w:eastAsia="楷体_GB2312" w:cs="Times New Roman"/>
      <w:b/>
      <w:kern w:val="0"/>
      <w:sz w:val="44"/>
      <w:szCs w:val="20"/>
    </w:rPr>
  </w:style>
  <w:style w:type="character" w:customStyle="1" w:styleId="77">
    <w:name w:val="批注主题 字符"/>
    <w:basedOn w:val="65"/>
    <w:link w:val="38"/>
    <w:qFormat/>
    <w:uiPriority w:val="99"/>
    <w:rPr>
      <w:rFonts w:ascii="Calibri" w:hAnsi="Calibri" w:eastAsia="宋体" w:cs="Times New Roman"/>
      <w:b/>
      <w:bCs/>
    </w:rPr>
  </w:style>
  <w:style w:type="character" w:customStyle="1" w:styleId="78">
    <w:name w:val="正文首行缩进 字符"/>
    <w:basedOn w:val="67"/>
    <w:link w:val="39"/>
    <w:qFormat/>
    <w:uiPriority w:val="0"/>
    <w:rPr>
      <w:rFonts w:ascii="Times New Roman" w:hAnsi="Times New Roman" w:eastAsia="楷体_GB2312" w:cs="Times New Roman"/>
      <w:kern w:val="0"/>
      <w:sz w:val="20"/>
      <w:szCs w:val="20"/>
    </w:rPr>
  </w:style>
  <w:style w:type="paragraph" w:customStyle="1" w:styleId="79">
    <w:name w:val="BodyText"/>
    <w:basedOn w:val="1"/>
    <w:qFormat/>
    <w:uiPriority w:val="0"/>
    <w:pPr>
      <w:spacing w:after="120"/>
    </w:pPr>
    <w:rPr>
      <w:rFonts w:ascii="Times New Roman" w:hAnsi="Times New Roman"/>
      <w:kern w:val="0"/>
      <w:sz w:val="20"/>
      <w:szCs w:val="20"/>
    </w:rPr>
  </w:style>
  <w:style w:type="character" w:customStyle="1" w:styleId="80">
    <w:name w:val="尾注文本 Char1"/>
    <w:semiHidden/>
    <w:qFormat/>
    <w:uiPriority w:val="99"/>
    <w:rPr>
      <w:rFonts w:ascii="Calibri" w:hAnsi="Calibri" w:eastAsia="宋体" w:cs="Times New Roman"/>
    </w:rPr>
  </w:style>
  <w:style w:type="character" w:customStyle="1" w:styleId="81">
    <w:name w:val="日期 Char1"/>
    <w:semiHidden/>
    <w:qFormat/>
    <w:uiPriority w:val="99"/>
    <w:rPr>
      <w:rFonts w:ascii="Calibri" w:hAnsi="Calibri" w:eastAsia="宋体" w:cs="Times New Roman"/>
    </w:rPr>
  </w:style>
  <w:style w:type="character" w:customStyle="1" w:styleId="82">
    <w:name w:val="页眉 Char1"/>
    <w:semiHidden/>
    <w:qFormat/>
    <w:uiPriority w:val="99"/>
    <w:rPr>
      <w:rFonts w:ascii="Calibri" w:hAnsi="Calibri" w:eastAsia="宋体" w:cs="Times New Roman"/>
      <w:sz w:val="18"/>
      <w:szCs w:val="18"/>
    </w:rPr>
  </w:style>
  <w:style w:type="character" w:customStyle="1" w:styleId="83">
    <w:name w:val="正文文本缩进 2 Char1"/>
    <w:semiHidden/>
    <w:qFormat/>
    <w:uiPriority w:val="99"/>
    <w:rPr>
      <w:rFonts w:ascii="Calibri" w:hAnsi="Calibri" w:eastAsia="宋体" w:cs="Times New Roman"/>
    </w:rPr>
  </w:style>
  <w:style w:type="character" w:customStyle="1" w:styleId="84">
    <w:name w:val="批注文字 Char1"/>
    <w:semiHidden/>
    <w:qFormat/>
    <w:uiPriority w:val="99"/>
    <w:rPr>
      <w:rFonts w:ascii="Calibri" w:hAnsi="Calibri" w:eastAsia="宋体" w:cs="Times New Roman"/>
    </w:rPr>
  </w:style>
  <w:style w:type="character" w:customStyle="1" w:styleId="85">
    <w:name w:val="正文文本缩进 3 Char1"/>
    <w:semiHidden/>
    <w:qFormat/>
    <w:uiPriority w:val="99"/>
    <w:rPr>
      <w:rFonts w:ascii="Calibri" w:hAnsi="Calibri" w:eastAsia="宋体" w:cs="Times New Roman"/>
      <w:sz w:val="16"/>
      <w:szCs w:val="16"/>
    </w:rPr>
  </w:style>
  <w:style w:type="character" w:customStyle="1" w:styleId="86">
    <w:name w:val="正文文本 2 Char1"/>
    <w:semiHidden/>
    <w:qFormat/>
    <w:uiPriority w:val="99"/>
    <w:rPr>
      <w:rFonts w:ascii="Calibri" w:hAnsi="Calibri" w:eastAsia="宋体" w:cs="Times New Roman"/>
    </w:rPr>
  </w:style>
  <w:style w:type="character" w:customStyle="1" w:styleId="87">
    <w:name w:val="纯文本 Char1"/>
    <w:qFormat/>
    <w:uiPriority w:val="99"/>
    <w:rPr>
      <w:rFonts w:ascii="宋体" w:hAnsi="Courier New" w:cs="Courier New"/>
      <w:kern w:val="2"/>
      <w:sz w:val="21"/>
      <w:szCs w:val="21"/>
    </w:rPr>
  </w:style>
  <w:style w:type="character" w:customStyle="1" w:styleId="88">
    <w:name w:val="正文文本 Char1"/>
    <w:semiHidden/>
    <w:qFormat/>
    <w:uiPriority w:val="99"/>
    <w:rPr>
      <w:rFonts w:ascii="Calibri" w:hAnsi="Calibri" w:eastAsia="宋体" w:cs="Times New Roman"/>
    </w:rPr>
  </w:style>
  <w:style w:type="character" w:customStyle="1" w:styleId="89">
    <w:name w:val="正文首行缩进 Char1"/>
    <w:semiHidden/>
    <w:qFormat/>
    <w:uiPriority w:val="99"/>
  </w:style>
  <w:style w:type="character" w:customStyle="1" w:styleId="90">
    <w:name w:val="页脚 Char1"/>
    <w:semiHidden/>
    <w:qFormat/>
    <w:uiPriority w:val="99"/>
    <w:rPr>
      <w:rFonts w:ascii="Calibri" w:hAnsi="Calibri" w:eastAsia="宋体" w:cs="Times New Roman"/>
      <w:sz w:val="18"/>
      <w:szCs w:val="18"/>
    </w:rPr>
  </w:style>
  <w:style w:type="character" w:customStyle="1" w:styleId="91">
    <w:name w:val="标题 Char1"/>
    <w:qFormat/>
    <w:uiPriority w:val="10"/>
    <w:rPr>
      <w:rFonts w:ascii="Cambria" w:hAnsi="Cambria" w:eastAsia="宋体" w:cs="Times New Roman"/>
      <w:b/>
      <w:bCs/>
      <w:sz w:val="32"/>
      <w:szCs w:val="32"/>
    </w:rPr>
  </w:style>
  <w:style w:type="character" w:customStyle="1" w:styleId="92">
    <w:name w:val="font5 Char"/>
    <w:link w:val="93"/>
    <w:qFormat/>
    <w:uiPriority w:val="0"/>
    <w:rPr>
      <w:rFonts w:ascii="宋体" w:hAnsi="宋体"/>
      <w:sz w:val="24"/>
      <w:szCs w:val="24"/>
    </w:rPr>
  </w:style>
  <w:style w:type="paragraph" w:customStyle="1" w:styleId="93">
    <w:name w:val="font5"/>
    <w:basedOn w:val="1"/>
    <w:link w:val="92"/>
    <w:qFormat/>
    <w:uiPriority w:val="0"/>
    <w:pPr>
      <w:widowControl/>
      <w:spacing w:before="100" w:beforeAutospacing="1" w:after="100" w:afterAutospacing="1"/>
      <w:jc w:val="left"/>
    </w:pPr>
    <w:rPr>
      <w:rFonts w:ascii="宋体" w:hAnsi="宋体" w:eastAsiaTheme="minorEastAsia" w:cstheme="minorBidi"/>
      <w:sz w:val="24"/>
      <w:szCs w:val="24"/>
    </w:rPr>
  </w:style>
  <w:style w:type="character" w:customStyle="1" w:styleId="94">
    <w:name w:val="正文文本缩进 Char1"/>
    <w:semiHidden/>
    <w:qFormat/>
    <w:uiPriority w:val="99"/>
    <w:rPr>
      <w:rFonts w:ascii="Calibri" w:hAnsi="Calibri" w:eastAsia="宋体" w:cs="Times New Roman"/>
    </w:rPr>
  </w:style>
  <w:style w:type="character" w:customStyle="1" w:styleId="95">
    <w:name w:val="font161"/>
    <w:qFormat/>
    <w:uiPriority w:val="0"/>
    <w:rPr>
      <w:rFonts w:ascii="Arial" w:hAnsi="Arial" w:eastAsia="黑体"/>
      <w:b/>
      <w:bCs/>
      <w:kern w:val="2"/>
      <w:sz w:val="32"/>
      <w:szCs w:val="32"/>
      <w:lang w:val="en-US" w:eastAsia="zh-CN" w:bidi="ar-SA"/>
    </w:rPr>
  </w:style>
  <w:style w:type="character" w:customStyle="1" w:styleId="96">
    <w:name w:val="文档结构图 Char1"/>
    <w:semiHidden/>
    <w:qFormat/>
    <w:uiPriority w:val="99"/>
    <w:rPr>
      <w:rFonts w:ascii="宋体" w:hAnsi="Calibri" w:eastAsia="宋体" w:cs="Times New Roman"/>
      <w:sz w:val="18"/>
      <w:szCs w:val="18"/>
    </w:rPr>
  </w:style>
  <w:style w:type="character" w:customStyle="1" w:styleId="97">
    <w:name w:val="纯文本 Char2"/>
    <w:semiHidden/>
    <w:qFormat/>
    <w:uiPriority w:val="99"/>
    <w:rPr>
      <w:rFonts w:ascii="宋体" w:hAnsi="Courier New" w:eastAsia="宋体" w:cs="Courier New"/>
      <w:szCs w:val="21"/>
    </w:rPr>
  </w:style>
  <w:style w:type="character" w:customStyle="1" w:styleId="98">
    <w:name w:val="批注主题 Char1"/>
    <w:semiHidden/>
    <w:qFormat/>
    <w:uiPriority w:val="99"/>
    <w:rPr>
      <w:rFonts w:ascii="Calibri" w:hAnsi="Calibri" w:eastAsia="宋体" w:cs="Times New Roman"/>
      <w:b/>
      <w:bCs/>
    </w:rPr>
  </w:style>
  <w:style w:type="character" w:customStyle="1" w:styleId="99">
    <w:name w:val="批注框文本 Char1"/>
    <w:semiHidden/>
    <w:qFormat/>
    <w:uiPriority w:val="99"/>
    <w:rPr>
      <w:rFonts w:ascii="Calibri" w:hAnsi="Calibri" w:eastAsia="宋体" w:cs="Times New Roman"/>
      <w:sz w:val="18"/>
      <w:szCs w:val="18"/>
    </w:rPr>
  </w:style>
  <w:style w:type="character" w:customStyle="1" w:styleId="100">
    <w:name w:val="正文文本 3 Char1"/>
    <w:semiHidden/>
    <w:qFormat/>
    <w:uiPriority w:val="99"/>
    <w:rPr>
      <w:rFonts w:ascii="Calibri" w:hAnsi="Calibri" w:eastAsia="宋体" w:cs="Times New Roman"/>
      <w:sz w:val="16"/>
      <w:szCs w:val="16"/>
    </w:rPr>
  </w:style>
  <w:style w:type="paragraph" w:customStyle="1" w:styleId="101">
    <w:name w:val="正文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102">
    <w:name w:val="xl47"/>
    <w:basedOn w:val="1"/>
    <w:qFormat/>
    <w:uiPriority w:val="0"/>
    <w:pPr>
      <w:widowControl/>
      <w:spacing w:before="100" w:beforeAutospacing="1" w:after="100" w:afterAutospacing="1"/>
      <w:jc w:val="center"/>
    </w:pPr>
    <w:rPr>
      <w:rFonts w:ascii="宋体" w:hAnsi="宋体"/>
      <w:kern w:val="0"/>
      <w:sz w:val="28"/>
      <w:szCs w:val="28"/>
    </w:rPr>
  </w:style>
  <w:style w:type="paragraph" w:customStyle="1" w:styleId="103">
    <w:name w:val="TOC 标题1"/>
    <w:basedOn w:val="2"/>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04">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5">
    <w:name w:val="1"/>
    <w:basedOn w:val="1"/>
    <w:qFormat/>
    <w:uiPriority w:val="0"/>
    <w:rPr>
      <w:rFonts w:ascii="Times New Roman" w:hAnsi="Times New Roman"/>
      <w:szCs w:val="24"/>
    </w:rPr>
  </w:style>
  <w:style w:type="paragraph" w:styleId="106">
    <w:name w:val="List Paragraph"/>
    <w:basedOn w:val="1"/>
    <w:qFormat/>
    <w:uiPriority w:val="34"/>
    <w:pPr>
      <w:ind w:firstLine="420" w:firstLineChars="200"/>
    </w:pPr>
  </w:style>
  <w:style w:type="paragraph" w:customStyle="1" w:styleId="107">
    <w:name w:val="正文 New New New New New New New New New New New New New New New New New New New"/>
    <w:qFormat/>
    <w:uiPriority w:val="0"/>
    <w:pPr>
      <w:widowControl w:val="0"/>
      <w:snapToGrid w:val="0"/>
      <w:jc w:val="both"/>
    </w:pPr>
    <w:rPr>
      <w:rFonts w:ascii="仿宋_GB2312" w:hAnsi="仿宋_GB2312" w:eastAsia="宋体" w:cs="宋体"/>
      <w:kern w:val="0"/>
      <w:sz w:val="21"/>
      <w:szCs w:val="32"/>
      <w:lang w:val="en-US" w:eastAsia="zh-CN" w:bidi="ar-SA"/>
    </w:rPr>
  </w:style>
  <w:style w:type="paragraph" w:customStyle="1" w:styleId="108">
    <w:name w:val="正文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109">
    <w:name w:val="xl31"/>
    <w:basedOn w:val="1"/>
    <w:qFormat/>
    <w:uiPriority w:val="0"/>
    <w:pPr>
      <w:widowControl/>
      <w:spacing w:before="100" w:beforeAutospacing="1" w:after="100" w:afterAutospacing="1"/>
      <w:jc w:val="center"/>
    </w:pPr>
    <w:rPr>
      <w:rFonts w:ascii="宋体" w:hAnsi="宋体"/>
      <w:kern w:val="0"/>
      <w:sz w:val="24"/>
      <w:szCs w:val="24"/>
    </w:rPr>
  </w:style>
  <w:style w:type="paragraph" w:customStyle="1" w:styleId="110">
    <w:name w:val="p0"/>
    <w:basedOn w:val="1"/>
    <w:qFormat/>
    <w:uiPriority w:val="0"/>
    <w:pPr>
      <w:widowControl/>
      <w:spacing w:before="75" w:after="75"/>
      <w:jc w:val="left"/>
    </w:pPr>
    <w:rPr>
      <w:rFonts w:ascii="宋体" w:hAnsi="宋体" w:cs="宋体"/>
      <w:kern w:val="0"/>
      <w:sz w:val="24"/>
      <w:szCs w:val="24"/>
    </w:rPr>
  </w:style>
  <w:style w:type="paragraph" w:customStyle="1" w:styleId="111">
    <w:name w:val="表格文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112">
    <w:name w:val="font7"/>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113">
    <w:name w:val="xl27"/>
    <w:basedOn w:val="1"/>
    <w:qFormat/>
    <w:uiPriority w:val="0"/>
    <w:pPr>
      <w:widowControl/>
      <w:pBdr>
        <w:bottom w:val="single" w:color="auto" w:sz="4" w:space="0"/>
        <w:right w:val="single" w:color="auto" w:sz="4" w:space="0"/>
      </w:pBdr>
      <w:spacing w:before="100" w:beforeAutospacing="1" w:after="100" w:afterAutospacing="1"/>
      <w:jc w:val="center"/>
    </w:pPr>
    <w:rPr>
      <w:rFonts w:ascii="Times New Roman" w:hAnsi="Times New Roman"/>
      <w:kern w:val="0"/>
      <w:sz w:val="24"/>
      <w:szCs w:val="24"/>
    </w:rPr>
  </w:style>
  <w:style w:type="paragraph" w:customStyle="1" w:styleId="114">
    <w:name w:val="正文文本缩进1"/>
    <w:basedOn w:val="1"/>
    <w:qFormat/>
    <w:uiPriority w:val="0"/>
    <w:pPr>
      <w:ind w:firstLine="480"/>
    </w:pPr>
    <w:rPr>
      <w:rFonts w:ascii="Times New Roman" w:hAnsi="Times New Roman"/>
      <w:sz w:val="24"/>
    </w:rPr>
  </w:style>
  <w:style w:type="paragraph" w:customStyle="1" w:styleId="115">
    <w:name w:val="标题2"/>
    <w:basedOn w:val="3"/>
    <w:next w:val="1"/>
    <w:qFormat/>
    <w:uiPriority w:val="0"/>
    <w:pPr>
      <w:numPr>
        <w:numId w:val="0"/>
      </w:numPr>
      <w:tabs>
        <w:tab w:val="left" w:pos="840"/>
      </w:tabs>
      <w:snapToGrid w:val="0"/>
      <w:spacing w:before="120" w:line="240" w:lineRule="auto"/>
      <w:ind w:left="840" w:hanging="420"/>
      <w:jc w:val="left"/>
    </w:pPr>
    <w:rPr>
      <w:rFonts w:ascii="Arial" w:hAnsi="Arial"/>
      <w:sz w:val="21"/>
      <w:szCs w:val="21"/>
    </w:rPr>
  </w:style>
  <w:style w:type="paragraph" w:customStyle="1" w:styleId="116">
    <w:name w:val="正文缩进 New"/>
    <w:basedOn w:val="107"/>
    <w:qFormat/>
    <w:uiPriority w:val="0"/>
    <w:pPr>
      <w:snapToGrid/>
      <w:ind w:firstLine="420"/>
    </w:pPr>
    <w:rPr>
      <w:rFonts w:ascii="Times New Roman" w:hAnsi="Times New Roman" w:cs="Times New Roman"/>
      <w:kern w:val="2"/>
      <w:szCs w:val="20"/>
    </w:rPr>
  </w:style>
  <w:style w:type="paragraph" w:customStyle="1" w:styleId="117">
    <w:name w:val="公文正文"/>
    <w:qFormat/>
    <w:uiPriority w:val="0"/>
    <w:pPr>
      <w:widowControl w:val="0"/>
      <w:spacing w:line="360" w:lineRule="auto"/>
      <w:ind w:firstLine="629"/>
      <w:jc w:val="both"/>
    </w:pPr>
    <w:rPr>
      <w:rFonts w:ascii="仿宋_GB2312" w:hAnsi="Calisto MT" w:eastAsia="仿宋_GB2312" w:cs="Times New Roman"/>
      <w:color w:val="000000"/>
      <w:kern w:val="0"/>
      <w:sz w:val="32"/>
      <w:szCs w:val="20"/>
      <w:lang w:val="en-US" w:eastAsia="zh-CN" w:bidi="ar-SA"/>
    </w:rPr>
  </w:style>
  <w:style w:type="paragraph" w:customStyle="1" w:styleId="118">
    <w:name w:val="样式 标题 3 + (中文) 黑体 小四 非加粗 段前: 7.8 磅 段后: 0 磅 行距: 固定值 20 磅"/>
    <w:basedOn w:val="4"/>
    <w:qFormat/>
    <w:uiPriority w:val="0"/>
    <w:pPr>
      <w:spacing w:before="0" w:after="0" w:line="400" w:lineRule="exact"/>
      <w:jc w:val="left"/>
    </w:pPr>
    <w:rPr>
      <w:rFonts w:ascii="宋体" w:hAnsi="宋体" w:eastAsia="黑体" w:cs="宋体"/>
      <w:b w:val="0"/>
      <w:bCs w:val="0"/>
      <w:sz w:val="24"/>
      <w:szCs w:val="20"/>
    </w:rPr>
  </w:style>
  <w:style w:type="paragraph" w:customStyle="1" w:styleId="119">
    <w:name w:val="Char"/>
    <w:basedOn w:val="1"/>
    <w:qFormat/>
    <w:uiPriority w:val="0"/>
    <w:pPr>
      <w:numPr>
        <w:ilvl w:val="0"/>
        <w:numId w:val="4"/>
      </w:numPr>
    </w:pPr>
    <w:rPr>
      <w:rFonts w:ascii="Times New Roman" w:hAnsi="Times New Roman"/>
      <w:sz w:val="24"/>
      <w:szCs w:val="24"/>
    </w:rPr>
  </w:style>
  <w:style w:type="paragraph" w:customStyle="1" w:styleId="120">
    <w:name w:val="正文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1">
    <w:name w:val="样式 标题 2 + Times New Roman 四号 非加粗 段前: 5 磅 段后: 0 磅 行距: 固定值 20..."/>
    <w:basedOn w:val="3"/>
    <w:qFormat/>
    <w:uiPriority w:val="0"/>
    <w:pPr>
      <w:numPr>
        <w:numId w:val="0"/>
      </w:numPr>
      <w:spacing w:before="100" w:after="0"/>
      <w:ind w:left="420" w:hanging="420"/>
    </w:pPr>
    <w:rPr>
      <w:rFonts w:ascii="Times New Roman" w:hAnsi="Times New Roman"/>
      <w:sz w:val="28"/>
      <w:szCs w:val="20"/>
    </w:rPr>
  </w:style>
  <w:style w:type="paragraph" w:customStyle="1" w:styleId="122">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23">
    <w:name w:val="6'"/>
    <w:basedOn w:val="1"/>
    <w:qFormat/>
    <w:uiPriority w:val="0"/>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124">
    <w:name w:val="正文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125">
    <w:name w:val="表格"/>
    <w:basedOn w:val="1"/>
    <w:qFormat/>
    <w:uiPriority w:val="0"/>
    <w:pPr>
      <w:jc w:val="center"/>
      <w:textAlignment w:val="center"/>
    </w:pPr>
    <w:rPr>
      <w:rFonts w:ascii="华文细黑" w:hAnsi="华文细黑"/>
      <w:kern w:val="0"/>
      <w:szCs w:val="20"/>
    </w:rPr>
  </w:style>
  <w:style w:type="paragraph" w:customStyle="1" w:styleId="126">
    <w:name w:val="表格2"/>
    <w:basedOn w:val="1"/>
    <w:qFormat/>
    <w:uiPriority w:val="0"/>
    <w:pPr>
      <w:adjustRightInd w:val="0"/>
      <w:spacing w:before="60" w:after="60"/>
      <w:jc w:val="center"/>
    </w:pPr>
    <w:rPr>
      <w:rFonts w:ascii="宋体" w:hAnsi="Times New Roman"/>
      <w:color w:val="000000"/>
      <w:kern w:val="0"/>
      <w:sz w:val="24"/>
      <w:szCs w:val="20"/>
    </w:rPr>
  </w:style>
  <w:style w:type="paragraph" w:customStyle="1" w:styleId="127">
    <w:name w:val="普通 (Web)"/>
    <w:basedOn w:val="1"/>
    <w:qFormat/>
    <w:uiPriority w:val="0"/>
    <w:pPr>
      <w:widowControl/>
      <w:spacing w:before="100" w:after="100"/>
      <w:jc w:val="left"/>
    </w:pPr>
    <w:rPr>
      <w:rFonts w:ascii="Arial Unicode MS" w:hAnsi="Arial Unicode MS" w:eastAsia="Arial Unicode MS"/>
      <w:kern w:val="0"/>
      <w:sz w:val="24"/>
      <w:szCs w:val="20"/>
    </w:rPr>
  </w:style>
  <w:style w:type="paragraph" w:customStyle="1" w:styleId="128">
    <w:name w:val="正文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9">
    <w:name w:val="text"/>
    <w:basedOn w:val="1"/>
    <w:qFormat/>
    <w:uiPriority w:val="0"/>
    <w:pPr>
      <w:widowControl/>
      <w:spacing w:after="120" w:line="360" w:lineRule="atLeast"/>
      <w:ind w:firstLine="300"/>
      <w:jc w:val="left"/>
    </w:pPr>
    <w:rPr>
      <w:rFonts w:ascii="宋体" w:hAnsi="宋体" w:cs="宋体"/>
      <w:kern w:val="0"/>
      <w:sz w:val="24"/>
      <w:szCs w:val="24"/>
    </w:rPr>
  </w:style>
  <w:style w:type="paragraph" w:customStyle="1" w:styleId="130">
    <w:name w:val="正文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131">
    <w:name w:val="Char Char Char Char"/>
    <w:basedOn w:val="1"/>
    <w:qFormat/>
    <w:uiPriority w:val="0"/>
    <w:rPr>
      <w:rFonts w:ascii="Times New Roman" w:hAnsi="Times New Roman"/>
      <w:sz w:val="30"/>
      <w:szCs w:val="24"/>
    </w:rPr>
  </w:style>
  <w:style w:type="paragraph" w:customStyle="1" w:styleId="132">
    <w:name w:val="正文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133">
    <w:name w:val="修订1"/>
    <w:semiHidden/>
    <w:qFormat/>
    <w:uiPriority w:val="99"/>
    <w:rPr>
      <w:rFonts w:ascii="Calibri" w:hAnsi="Calibri" w:eastAsia="宋体" w:cs="Times New Roman"/>
      <w:kern w:val="2"/>
      <w:sz w:val="21"/>
      <w:szCs w:val="22"/>
      <w:lang w:val="en-US" w:eastAsia="zh-CN" w:bidi="ar-SA"/>
    </w:rPr>
  </w:style>
  <w:style w:type="paragraph" w:customStyle="1" w:styleId="134">
    <w:name w:val="发文落款"/>
    <w:basedOn w:val="117"/>
    <w:qFormat/>
    <w:uiPriority w:val="0"/>
    <w:pPr>
      <w:ind w:left="4094" w:right="607" w:firstLine="0"/>
      <w:jc w:val="center"/>
    </w:pPr>
  </w:style>
  <w:style w:type="paragraph" w:customStyle="1" w:styleId="135">
    <w:name w:val="正文首行缩进1"/>
    <w:basedOn w:val="16"/>
    <w:qFormat/>
    <w:uiPriority w:val="0"/>
    <w:pPr>
      <w:spacing w:before="100" w:beforeAutospacing="1"/>
      <w:ind w:firstLine="420"/>
    </w:pPr>
    <w:rPr>
      <w:rFonts w:ascii="Times New Roman" w:hAnsi="Times New Roman" w:eastAsia="楷体_GB2312"/>
    </w:rPr>
  </w:style>
  <w:style w:type="paragraph" w:customStyle="1" w:styleId="136">
    <w:name w:val="正文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137">
    <w:name w:val="正文1"/>
    <w:qFormat/>
    <w:uiPriority w:val="0"/>
    <w:pPr>
      <w:jc w:val="both"/>
    </w:pPr>
    <w:rPr>
      <w:rFonts w:ascii="宋体" w:hAnsi="宋体" w:eastAsia="宋体" w:cs="宋体"/>
      <w:kern w:val="2"/>
      <w:sz w:val="21"/>
      <w:szCs w:val="21"/>
      <w:lang w:val="en-US" w:eastAsia="zh-CN" w:bidi="ar-SA"/>
    </w:rPr>
  </w:style>
  <w:style w:type="paragraph" w:customStyle="1" w:styleId="138">
    <w:name w:val="正文文本缩进 31"/>
    <w:basedOn w:val="1"/>
    <w:qFormat/>
    <w:uiPriority w:val="0"/>
    <w:pPr>
      <w:snapToGrid w:val="0"/>
      <w:spacing w:line="360" w:lineRule="auto"/>
      <w:ind w:left="20" w:firstLine="529" w:firstLineChars="189"/>
    </w:pPr>
    <w:rPr>
      <w:rFonts w:ascii="仿宋_GB2312" w:hAnsi="Times New Roman" w:eastAsia="仿宋_GB2312"/>
      <w:sz w:val="28"/>
      <w:szCs w:val="24"/>
    </w:rPr>
  </w:style>
  <w:style w:type="paragraph" w:customStyle="1" w:styleId="139">
    <w:name w:val="正文 New New New New New New New New New New New New New"/>
    <w:qFormat/>
    <w:uiPriority w:val="0"/>
    <w:pPr>
      <w:widowControl w:val="0"/>
      <w:snapToGrid w:val="0"/>
      <w:jc w:val="both"/>
    </w:pPr>
    <w:rPr>
      <w:rFonts w:ascii="仿宋_GB2312" w:hAnsi="仿宋_GB2312" w:eastAsia="宋体" w:cs="宋体"/>
      <w:kern w:val="0"/>
      <w:sz w:val="21"/>
      <w:szCs w:val="32"/>
      <w:lang w:val="en-US" w:eastAsia="zh-CN" w:bidi="ar-SA"/>
    </w:rPr>
  </w:style>
  <w:style w:type="paragraph" w:customStyle="1" w:styleId="140">
    <w:name w:val="正文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141">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142">
    <w:name w:val="正文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143">
    <w:name w:val="表头"/>
    <w:basedOn w:val="1"/>
    <w:qFormat/>
    <w:uiPriority w:val="0"/>
    <w:pPr>
      <w:spacing w:line="360" w:lineRule="auto"/>
      <w:jc w:val="center"/>
    </w:pPr>
    <w:rPr>
      <w:rFonts w:ascii="黑体" w:hAnsi="Times New Roman" w:eastAsia="黑体"/>
      <w:kern w:val="0"/>
      <w:sz w:val="24"/>
      <w:szCs w:val="20"/>
    </w:rPr>
  </w:style>
  <w:style w:type="paragraph" w:customStyle="1" w:styleId="144">
    <w:name w:val="正文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145">
    <w:name w:val="正文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6">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7">
    <w:name w:val="正文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8">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149">
    <w:name w:val="正文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0">
    <w:name w:val="正文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151">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2">
    <w:name w:val="正文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153">
    <w:name w:val="正文 New New New New New"/>
    <w:qFormat/>
    <w:uiPriority w:val="0"/>
    <w:pPr>
      <w:widowControl w:val="0"/>
      <w:jc w:val="both"/>
    </w:pPr>
    <w:rPr>
      <w:rFonts w:ascii="Times New Roman" w:hAnsi="Times New Roman" w:eastAsia="楷体_GB2312" w:cs="Times New Roman"/>
      <w:kern w:val="2"/>
      <w:sz w:val="21"/>
      <w:szCs w:val="22"/>
      <w:lang w:val="en-US" w:eastAsia="zh-CN" w:bidi="ar-SA"/>
    </w:rPr>
  </w:style>
  <w:style w:type="paragraph" w:customStyle="1" w:styleId="154">
    <w:name w:val="正文 New New New New New New New New New New New New"/>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155">
    <w:name w:val="正文文本缩进 New New"/>
    <w:basedOn w:val="1"/>
    <w:qFormat/>
    <w:uiPriority w:val="0"/>
    <w:pPr>
      <w:spacing w:after="120"/>
      <w:ind w:left="420" w:leftChars="200"/>
    </w:pPr>
    <w:rPr>
      <w:rFonts w:ascii="Times New Roman" w:eastAsia="楷体_GB2312"/>
      <w:szCs w:val="20"/>
    </w:rPr>
  </w:style>
  <w:style w:type="paragraph" w:customStyle="1" w:styleId="156">
    <w:name w:val="样式 宋体 行距: 1.5 倍行距"/>
    <w:basedOn w:val="1"/>
    <w:qFormat/>
    <w:uiPriority w:val="0"/>
    <w:pPr>
      <w:jc w:val="center"/>
    </w:pPr>
    <w:rPr>
      <w:rFonts w:ascii="Times New Roman" w:hAnsi="Times New Roman"/>
      <w:b/>
    </w:rPr>
  </w:style>
  <w:style w:type="paragraph" w:customStyle="1" w:styleId="157">
    <w:name w:val="Revision"/>
    <w:hidden/>
    <w:unhideWhenUsed/>
    <w:qFormat/>
    <w:uiPriority w:val="99"/>
    <w:rPr>
      <w:rFonts w:ascii="Calibri" w:hAnsi="Calibri" w:eastAsia="宋体" w:cs="Times New Roman"/>
      <w:kern w:val="2"/>
      <w:sz w:val="21"/>
      <w:szCs w:val="22"/>
      <w:lang w:val="en-US" w:eastAsia="zh-CN" w:bidi="ar-SA"/>
    </w:rPr>
  </w:style>
  <w:style w:type="paragraph" w:customStyle="1" w:styleId="158">
    <w:name w:val="Body Text Indent"/>
    <w:basedOn w:val="1"/>
    <w:qFormat/>
    <w:uiPriority w:val="0"/>
    <w:pPr>
      <w:ind w:firstLine="480"/>
    </w:pPr>
    <w:rPr>
      <w:rFonts w:eastAsia="宋体"/>
      <w:sz w:val="24"/>
    </w:rPr>
  </w:style>
  <w:style w:type="paragraph" w:customStyle="1" w:styleId="159">
    <w:name w:val="Body Text Indent 3"/>
    <w:basedOn w:val="1"/>
    <w:qFormat/>
    <w:uiPriority w:val="0"/>
    <w:pPr>
      <w:snapToGrid w:val="0"/>
      <w:spacing w:line="360" w:lineRule="auto"/>
      <w:ind w:left="20" w:firstLine="529" w:firstLineChars="189"/>
    </w:pPr>
    <w:rPr>
      <w:rFonts w:ascii="仿宋_GB2312" w:eastAsia="仿宋_GB2312"/>
      <w:sz w:val="28"/>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5.emf"/><Relationship Id="rId16" Type="http://schemas.openxmlformats.org/officeDocument/2006/relationships/image" Target="media/image4.emf"/><Relationship Id="rId15" Type="http://schemas.openxmlformats.org/officeDocument/2006/relationships/image" Target="media/image3.png"/><Relationship Id="rId14" Type="http://schemas.openxmlformats.org/officeDocument/2006/relationships/image" Target="media/image2.emf"/><Relationship Id="rId13" Type="http://schemas.openxmlformats.org/officeDocument/2006/relationships/image" Target="media/image1.emf"/><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156</Pages>
  <Words>83222</Words>
  <Characters>87480</Characters>
  <Lines>676</Lines>
  <Paragraphs>190</Paragraphs>
  <TotalTime>8</TotalTime>
  <ScaleCrop>false</ScaleCrop>
  <LinksUpToDate>false</LinksUpToDate>
  <CharactersWithSpaces>90687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2022-01-06T04:39:00Z</dcterms:created>
  <dc:creator>25878</dc:creator>
  <cp:lastModifiedBy>CLH</cp:lastModifiedBy>
  <cp:lastPrinted>2023-09-27T06:09:00Z</cp:lastPrinted>
  <dcterms:modified xsi:type="dcterms:W3CDTF">2023-09-27T06:22:28Z</dcterms:modified>
  <cp:revision>130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75761FF0A4234EAB8B2D1C1020F7983E_12</vt:lpwstr>
  </property>
</Properties>
</file>