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Style w:val="37"/>
          <w:rFonts w:hint="default" w:ascii="宋体" w:hAnsi="宋体" w:eastAsia="宋体"/>
          <w:color w:val="auto"/>
          <w:sz w:val="30"/>
          <w:szCs w:val="30"/>
          <w:highlight w:val="none"/>
          <w:lang w:val="en-US" w:eastAsia="zh-CN"/>
        </w:rPr>
      </w:pPr>
      <w:r>
        <w:rPr>
          <w:rStyle w:val="37"/>
          <w:rFonts w:hint="eastAsia" w:ascii="宋体" w:hAnsi="宋体"/>
          <w:color w:val="auto"/>
          <w:sz w:val="30"/>
          <w:szCs w:val="30"/>
          <w:highlight w:val="none"/>
        </w:rPr>
        <w:t>项目编码：</w:t>
      </w:r>
      <w:r>
        <w:rPr>
          <w:rStyle w:val="37"/>
          <w:rFonts w:hint="eastAsia" w:ascii="宋体" w:hAnsi="宋体"/>
          <w:color w:val="auto"/>
          <w:sz w:val="30"/>
          <w:szCs w:val="30"/>
          <w:highlight w:val="none"/>
          <w:lang w:val="en-US" w:eastAsia="zh-CN"/>
        </w:rPr>
        <w:t>2204-440106-04-01-640316</w:t>
      </w:r>
    </w:p>
    <w:p>
      <w:pPr>
        <w:jc w:val="left"/>
        <w:rPr>
          <w:rStyle w:val="37"/>
          <w:rFonts w:ascii="宋体" w:hAnsi="宋体"/>
          <w:color w:val="auto"/>
          <w:sz w:val="30"/>
          <w:szCs w:val="30"/>
          <w:highlight w:val="none"/>
        </w:rPr>
      </w:pPr>
      <w:r>
        <w:rPr>
          <w:rStyle w:val="37"/>
          <w:rFonts w:hint="eastAsia" w:ascii="宋体" w:hAnsi="宋体"/>
          <w:color w:val="auto"/>
          <w:sz w:val="30"/>
          <w:szCs w:val="30"/>
          <w:highlight w:val="none"/>
        </w:rPr>
        <w:t>工程编码：</w:t>
      </w:r>
    </w:p>
    <w:p>
      <w:pPr>
        <w:jc w:val="left"/>
        <w:rPr>
          <w:rStyle w:val="37"/>
          <w:rFonts w:ascii="宋体" w:hAnsi="宋体"/>
          <w:color w:val="auto"/>
          <w:sz w:val="30"/>
          <w:szCs w:val="30"/>
          <w:highlight w:val="none"/>
          <w:u w:val="single"/>
        </w:rPr>
      </w:pPr>
      <w:r>
        <w:rPr>
          <w:rStyle w:val="37"/>
          <w:rFonts w:ascii="宋体" w:hAnsi="宋体"/>
          <w:color w:val="auto"/>
          <w:sz w:val="30"/>
          <w:szCs w:val="30"/>
          <w:highlight w:val="none"/>
        </w:rPr>
        <w:t>合同编号：</w:t>
      </w:r>
    </w:p>
    <w:p>
      <w:pPr>
        <w:spacing w:line="260" w:lineRule="exact"/>
        <w:rPr>
          <w:rStyle w:val="37"/>
          <w:rFonts w:ascii="宋体" w:hAnsi="宋体"/>
          <w:color w:val="auto"/>
          <w:sz w:val="26"/>
          <w:szCs w:val="26"/>
          <w:highlight w:val="none"/>
        </w:rPr>
      </w:pPr>
    </w:p>
    <w:p>
      <w:pPr>
        <w:spacing w:line="360" w:lineRule="auto"/>
        <w:jc w:val="center"/>
        <w:rPr>
          <w:rStyle w:val="37"/>
          <w:rFonts w:ascii="宋体" w:hAnsi="宋体" w:cs="宋体"/>
          <w:b/>
          <w:bCs/>
          <w:color w:val="auto"/>
          <w:spacing w:val="-40"/>
          <w:sz w:val="52"/>
          <w:szCs w:val="52"/>
          <w:highlight w:val="none"/>
        </w:rPr>
      </w:pPr>
    </w:p>
    <w:p>
      <w:pPr>
        <w:spacing w:line="360" w:lineRule="auto"/>
        <w:jc w:val="center"/>
        <w:rPr>
          <w:rStyle w:val="37"/>
          <w:rFonts w:ascii="宋体" w:hAnsi="宋体" w:cs="Times New Roman"/>
          <w:b/>
          <w:bCs/>
          <w:color w:val="auto"/>
          <w:spacing w:val="-40"/>
          <w:sz w:val="52"/>
          <w:szCs w:val="52"/>
          <w:highlight w:val="none"/>
        </w:rPr>
      </w:pPr>
      <w:r>
        <w:rPr>
          <w:rStyle w:val="37"/>
          <w:rFonts w:ascii="宋体" w:hAnsi="宋体" w:cs="宋体"/>
          <w:b/>
          <w:bCs/>
          <w:color w:val="auto"/>
          <w:spacing w:val="-40"/>
          <w:sz w:val="52"/>
          <w:szCs w:val="52"/>
          <w:highlight w:val="none"/>
        </w:rPr>
        <w:t>广 州 市 建 设 工 程 施 工合 同</w:t>
      </w:r>
    </w:p>
    <w:p>
      <w:pPr>
        <w:jc w:val="center"/>
        <w:rPr>
          <w:rStyle w:val="37"/>
          <w:rFonts w:ascii="宋体" w:hAnsi="宋体" w:cs="Times New Roman"/>
          <w:b/>
          <w:bCs/>
          <w:color w:val="auto"/>
          <w:sz w:val="28"/>
          <w:szCs w:val="28"/>
          <w:highlight w:val="none"/>
        </w:rPr>
      </w:pPr>
    </w:p>
    <w:p>
      <w:pPr>
        <w:jc w:val="center"/>
        <w:rPr>
          <w:rStyle w:val="37"/>
          <w:rFonts w:ascii="宋体" w:hAnsi="宋体" w:cs="Times New Roman"/>
          <w:b/>
          <w:bCs/>
          <w:color w:val="auto"/>
          <w:sz w:val="28"/>
          <w:szCs w:val="28"/>
          <w:highlight w:val="none"/>
        </w:rPr>
      </w:pPr>
    </w:p>
    <w:p>
      <w:pPr>
        <w:widowControl w:val="0"/>
        <w:spacing w:before="240" w:beforeLines="100" w:after="120" w:afterLines="50" w:line="360" w:lineRule="auto"/>
        <w:ind w:left="2158" w:leftChars="856" w:hanging="360" w:hangingChars="100"/>
        <w:textAlignment w:val="auto"/>
        <w:outlineLvl w:val="0"/>
        <w:rPr>
          <w:rFonts w:hint="eastAsia" w:ascii="宋体" w:hAnsi="宋体" w:eastAsia="宋体" w:cs="宋体"/>
          <w:color w:val="auto"/>
          <w:sz w:val="32"/>
          <w:szCs w:val="32"/>
          <w:highlight w:val="none"/>
          <w:lang w:eastAsia="zh-CN"/>
        </w:rPr>
      </w:pPr>
      <w:bookmarkStart w:id="0" w:name="_Toc4387"/>
      <w:bookmarkStart w:id="1" w:name="_Toc19480"/>
      <w:bookmarkStart w:id="2" w:name="_Toc29789"/>
      <w:bookmarkStart w:id="3" w:name="_Toc32480"/>
      <w:r>
        <w:rPr>
          <w:rFonts w:hint="eastAsia" w:ascii="宋体" w:hAnsi="宋体" w:cs="宋体"/>
          <w:color w:val="auto"/>
          <w:sz w:val="36"/>
          <w:szCs w:val="36"/>
          <w:highlight w:val="none"/>
        </w:rPr>
        <w:t>工程名称：</w:t>
      </w:r>
      <w:bookmarkEnd w:id="0"/>
      <w:bookmarkEnd w:id="1"/>
      <w:bookmarkStart w:id="4" w:name="_Toc1680"/>
      <w:bookmarkStart w:id="5" w:name="_Toc3890"/>
      <w:r>
        <w:rPr>
          <w:rFonts w:hint="eastAsia" w:ascii="宋体" w:hAnsi="宋体" w:cs="宋体"/>
          <w:color w:val="auto"/>
          <w:sz w:val="32"/>
          <w:szCs w:val="32"/>
          <w:highlight w:val="none"/>
          <w:lang w:eastAsia="zh-CN"/>
        </w:rPr>
        <w:t>广州市天河外国语学校智慧城校区建设工程（建筑工程）施工总承包</w:t>
      </w:r>
      <w:bookmarkEnd w:id="2"/>
      <w:bookmarkEnd w:id="3"/>
    </w:p>
    <w:p>
      <w:pPr>
        <w:widowControl w:val="0"/>
        <w:spacing w:before="240" w:beforeLines="100" w:after="120" w:afterLines="50" w:line="360" w:lineRule="auto"/>
        <w:ind w:left="2158" w:leftChars="856" w:hanging="360" w:hangingChars="100"/>
        <w:textAlignment w:val="auto"/>
        <w:outlineLvl w:val="0"/>
        <w:rPr>
          <w:rFonts w:hint="eastAsia" w:ascii="宋体" w:hAnsi="宋体" w:cs="宋体"/>
          <w:color w:val="auto"/>
          <w:sz w:val="32"/>
          <w:szCs w:val="32"/>
          <w:highlight w:val="none"/>
        </w:rPr>
      </w:pPr>
      <w:bookmarkStart w:id="6" w:name="_Toc31890"/>
      <w:bookmarkStart w:id="7" w:name="_Toc27960"/>
      <w:r>
        <w:rPr>
          <w:rFonts w:hint="eastAsia" w:ascii="宋体" w:hAnsi="宋体" w:cs="宋体"/>
          <w:color w:val="auto"/>
          <w:sz w:val="36"/>
          <w:szCs w:val="36"/>
          <w:highlight w:val="none"/>
        </w:rPr>
        <w:t>工程地点：</w:t>
      </w:r>
      <w:bookmarkEnd w:id="4"/>
      <w:bookmarkEnd w:id="5"/>
      <w:r>
        <w:rPr>
          <w:rFonts w:hint="eastAsia" w:ascii="宋体" w:hAnsi="宋体" w:cs="宋体"/>
          <w:color w:val="auto"/>
          <w:sz w:val="36"/>
          <w:szCs w:val="36"/>
          <w:highlight w:val="none"/>
        </w:rPr>
        <w:t>项目位于天河区华南快速路以西、长兴路以北，地块西侧紧邻中国科学院化学研究所、北侧为华南植物园、东侧紧靠华南快速干线，与天河智慧城核心区隔路相望</w:t>
      </w:r>
      <w:bookmarkEnd w:id="6"/>
      <w:bookmarkEnd w:id="7"/>
    </w:p>
    <w:p>
      <w:pPr>
        <w:widowControl w:val="0"/>
        <w:spacing w:before="240" w:beforeLines="100" w:after="120" w:afterLines="50" w:line="360" w:lineRule="auto"/>
        <w:ind w:left="2158" w:leftChars="856" w:hanging="360" w:hangingChars="100"/>
        <w:textAlignment w:val="auto"/>
        <w:outlineLvl w:val="0"/>
        <w:rPr>
          <w:rFonts w:ascii="宋体" w:hAnsi="宋体" w:cs="宋体"/>
          <w:color w:val="auto"/>
          <w:sz w:val="36"/>
          <w:szCs w:val="36"/>
          <w:highlight w:val="none"/>
        </w:rPr>
      </w:pPr>
      <w:bookmarkStart w:id="8" w:name="_Toc445"/>
      <w:bookmarkStart w:id="9" w:name="_Toc13020"/>
      <w:bookmarkStart w:id="10" w:name="_Toc27595"/>
      <w:bookmarkStart w:id="11" w:name="_Toc7350"/>
      <w:r>
        <w:rPr>
          <w:rFonts w:hint="eastAsia" w:ascii="宋体" w:hAnsi="宋体" w:cs="宋体"/>
          <w:color w:val="auto"/>
          <w:sz w:val="36"/>
          <w:szCs w:val="36"/>
          <w:highlight w:val="none"/>
        </w:rPr>
        <w:t>发 包 人：</w:t>
      </w:r>
      <w:r>
        <w:rPr>
          <w:rFonts w:hint="eastAsia" w:ascii="宋体" w:hAnsi="宋体" w:cs="宋体"/>
          <w:color w:val="auto"/>
          <w:sz w:val="32"/>
          <w:szCs w:val="32"/>
          <w:highlight w:val="none"/>
        </w:rPr>
        <w:t>广州市天河区建设工程项目代建局</w:t>
      </w:r>
      <w:bookmarkEnd w:id="8"/>
      <w:bookmarkEnd w:id="9"/>
      <w:bookmarkEnd w:id="10"/>
      <w:bookmarkEnd w:id="11"/>
    </w:p>
    <w:p>
      <w:pPr>
        <w:widowControl w:val="0"/>
        <w:spacing w:before="240" w:beforeLines="100" w:after="120" w:afterLines="50" w:line="360" w:lineRule="auto"/>
        <w:ind w:left="2158" w:leftChars="856" w:hanging="360" w:hangingChars="100"/>
        <w:textAlignment w:val="auto"/>
        <w:outlineLvl w:val="0"/>
        <w:rPr>
          <w:rFonts w:hint="eastAsia" w:ascii="宋体" w:hAnsi="宋体" w:eastAsia="宋体" w:cs="宋体"/>
          <w:color w:val="auto"/>
          <w:sz w:val="32"/>
          <w:szCs w:val="32"/>
          <w:highlight w:val="none"/>
          <w:lang w:eastAsia="zh-CN"/>
        </w:rPr>
      </w:pPr>
      <w:bookmarkStart w:id="12" w:name="_Toc13851"/>
      <w:bookmarkStart w:id="13" w:name="_Toc25696"/>
      <w:bookmarkStart w:id="14" w:name="_Toc28072"/>
      <w:bookmarkStart w:id="15" w:name="_Toc31409"/>
      <w:r>
        <w:rPr>
          <w:rFonts w:hint="eastAsia" w:ascii="宋体" w:hAnsi="宋体" w:cs="宋体"/>
          <w:color w:val="auto"/>
          <w:sz w:val="36"/>
          <w:szCs w:val="36"/>
          <w:highlight w:val="none"/>
        </w:rPr>
        <w:t>承 包 人：</w:t>
      </w:r>
      <w:bookmarkEnd w:id="12"/>
      <w:bookmarkEnd w:id="13"/>
      <w:bookmarkEnd w:id="14"/>
      <w:bookmarkEnd w:id="15"/>
    </w:p>
    <w:p>
      <w:pPr>
        <w:pStyle w:val="13"/>
        <w:rPr>
          <w:rStyle w:val="37"/>
          <w:rFonts w:ascii="宋体" w:hAnsi="宋体"/>
          <w:color w:val="auto"/>
          <w:highlight w:val="none"/>
        </w:rPr>
      </w:pPr>
    </w:p>
    <w:p>
      <w:pPr>
        <w:rPr>
          <w:color w:val="auto"/>
          <w:highlight w:val="none"/>
        </w:rPr>
      </w:pPr>
    </w:p>
    <w:p>
      <w:pPr>
        <w:spacing w:line="240" w:lineRule="atLeast"/>
        <w:rPr>
          <w:rFonts w:ascii="宋体" w:hAnsi="宋体" w:cs="宋体"/>
          <w:b/>
          <w:bCs/>
          <w:color w:val="auto"/>
          <w:spacing w:val="50"/>
          <w:sz w:val="32"/>
          <w:szCs w:val="32"/>
          <w:highlight w:val="none"/>
        </w:rPr>
      </w:pPr>
      <w:r>
        <w:rPr>
          <w:rFonts w:hint="eastAsia" w:ascii="宋体" w:hAnsi="宋体" w:cs="宋体"/>
          <w:b/>
          <w:bCs/>
          <w:color w:val="auto"/>
          <w:spacing w:val="50"/>
          <w:sz w:val="32"/>
          <w:szCs w:val="32"/>
          <w:highlight w:val="none"/>
        </w:rPr>
        <w:t xml:space="preserve">       </w:t>
      </w:r>
    </w:p>
    <w:p>
      <w:pPr>
        <w:spacing w:line="240" w:lineRule="atLeast"/>
        <w:ind w:firstLine="1685" w:firstLineChars="400"/>
        <w:jc w:val="center"/>
        <w:rPr>
          <w:rFonts w:ascii="宋体"/>
          <w:b/>
          <w:bCs/>
          <w:color w:val="auto"/>
          <w:spacing w:val="50"/>
          <w:sz w:val="32"/>
          <w:szCs w:val="32"/>
          <w:highlight w:val="none"/>
        </w:rPr>
      </w:pPr>
      <w:r>
        <w:rPr>
          <w:rFonts w:hint="eastAsia" w:ascii="宋体" w:hAnsi="宋体" w:cs="宋体"/>
          <w:b/>
          <w:bCs/>
          <w:color w:val="auto"/>
          <w:spacing w:val="50"/>
          <w:sz w:val="32"/>
          <w:szCs w:val="32"/>
          <w:highlight w:val="none"/>
        </w:rPr>
        <w:t>广州市住房和城乡建设局</w:t>
      </w:r>
    </w:p>
    <w:p>
      <w:pPr>
        <w:spacing w:line="240" w:lineRule="atLeast"/>
        <w:ind w:firstLine="7225" w:firstLineChars="2000"/>
        <w:jc w:val="center"/>
        <w:rPr>
          <w:rStyle w:val="37"/>
          <w:rFonts w:ascii="宋体" w:hAnsi="宋体" w:cs="宋体"/>
          <w:b/>
          <w:bCs/>
          <w:color w:val="auto"/>
          <w:spacing w:val="20"/>
          <w:sz w:val="32"/>
          <w:szCs w:val="32"/>
          <w:highlight w:val="none"/>
        </w:rPr>
      </w:pPr>
      <w:r>
        <w:rPr>
          <w:rStyle w:val="37"/>
          <w:rFonts w:ascii="宋体" w:hAnsi="宋体" w:cs="宋体"/>
          <w:b/>
          <w:bCs/>
          <w:color w:val="auto"/>
          <w:spacing w:val="20"/>
          <w:sz w:val="32"/>
          <w:szCs w:val="32"/>
          <w:highlight w:val="none"/>
        </w:rPr>
        <w:t>制定</w:t>
      </w:r>
    </w:p>
    <w:p>
      <w:pPr>
        <w:pStyle w:val="39"/>
        <w:spacing w:after="0" w:line="480" w:lineRule="auto"/>
        <w:ind w:firstLine="2336" w:firstLineChars="500"/>
        <w:jc w:val="center"/>
        <w:rPr>
          <w:rFonts w:hint="eastAsia" w:ascii="宋体" w:hAnsi="宋体" w:cs="宋体"/>
          <w:b/>
          <w:bCs/>
          <w:color w:val="auto"/>
          <w:spacing w:val="73"/>
          <w:sz w:val="32"/>
          <w:szCs w:val="32"/>
          <w:highlight w:val="none"/>
        </w:rPr>
      </w:pPr>
      <w:r>
        <w:rPr>
          <w:rFonts w:hint="eastAsia" w:ascii="宋体" w:hAnsi="宋体" w:cs="宋体"/>
          <w:b/>
          <w:bCs/>
          <w:color w:val="auto"/>
          <w:spacing w:val="73"/>
          <w:sz w:val="32"/>
          <w:szCs w:val="32"/>
          <w:highlight w:val="none"/>
        </w:rPr>
        <w:t>广州市市场监督管理局</w:t>
      </w:r>
    </w:p>
    <w:p>
      <w:pPr>
        <w:pStyle w:val="39"/>
        <w:spacing w:after="0" w:line="480" w:lineRule="auto"/>
        <w:ind w:firstLine="361"/>
        <w:jc w:val="center"/>
        <w:rPr>
          <w:rStyle w:val="37"/>
          <w:rFonts w:ascii="宋体" w:hAnsi="宋体" w:cs="宋体"/>
          <w:b/>
          <w:bCs/>
          <w:color w:val="auto"/>
          <w:spacing w:val="20"/>
          <w:sz w:val="32"/>
          <w:szCs w:val="32"/>
          <w:highlight w:val="none"/>
        </w:rPr>
      </w:pPr>
      <w:r>
        <w:rPr>
          <w:rStyle w:val="37"/>
          <w:rFonts w:ascii="宋体" w:hAnsi="宋体" w:cs="宋体"/>
          <w:b/>
          <w:bCs/>
          <w:color w:val="auto"/>
          <w:spacing w:val="20"/>
          <w:sz w:val="32"/>
          <w:szCs w:val="32"/>
          <w:highlight w:val="none"/>
        </w:rPr>
        <w:t>二〇</w:t>
      </w:r>
      <w:r>
        <w:rPr>
          <w:rStyle w:val="37"/>
          <w:rFonts w:hint="eastAsia" w:ascii="宋体" w:hAnsi="宋体" w:cs="宋体"/>
          <w:b/>
          <w:bCs/>
          <w:color w:val="auto"/>
          <w:spacing w:val="20"/>
          <w:sz w:val="32"/>
          <w:szCs w:val="32"/>
          <w:highlight w:val="none"/>
          <w:lang w:eastAsia="zh-CN"/>
        </w:rPr>
        <w:t>二三</w:t>
      </w:r>
      <w:r>
        <w:rPr>
          <w:rStyle w:val="37"/>
          <w:rFonts w:hint="eastAsia" w:ascii="宋体" w:hAnsi="宋体" w:cs="宋体"/>
          <w:b/>
          <w:bCs/>
          <w:color w:val="auto"/>
          <w:spacing w:val="20"/>
          <w:sz w:val="32"/>
          <w:szCs w:val="32"/>
          <w:highlight w:val="none"/>
        </w:rPr>
        <w:t xml:space="preserve"> </w:t>
      </w:r>
      <w:r>
        <w:rPr>
          <w:rStyle w:val="37"/>
          <w:rFonts w:ascii="宋体" w:hAnsi="宋体" w:cs="宋体"/>
          <w:b/>
          <w:bCs/>
          <w:color w:val="auto"/>
          <w:spacing w:val="20"/>
          <w:sz w:val="32"/>
          <w:szCs w:val="32"/>
          <w:highlight w:val="none"/>
        </w:rPr>
        <w:t>年</w:t>
      </w:r>
      <w:r>
        <w:rPr>
          <w:rStyle w:val="37"/>
          <w:rFonts w:hint="eastAsia" w:ascii="宋体" w:hAnsi="宋体" w:cs="宋体"/>
          <w:b/>
          <w:bCs/>
          <w:color w:val="auto"/>
          <w:spacing w:val="20"/>
          <w:sz w:val="32"/>
          <w:szCs w:val="32"/>
          <w:highlight w:val="none"/>
        </w:rPr>
        <w:t xml:space="preserve"> </w:t>
      </w:r>
      <w:r>
        <w:rPr>
          <w:rStyle w:val="37"/>
          <w:rFonts w:hint="eastAsia" w:ascii="宋体" w:hAnsi="宋体" w:cs="宋体"/>
          <w:b/>
          <w:bCs/>
          <w:color w:val="auto"/>
          <w:spacing w:val="20"/>
          <w:sz w:val="32"/>
          <w:szCs w:val="32"/>
          <w:highlight w:val="none"/>
          <w:lang w:val="en-US" w:eastAsia="zh-CN"/>
        </w:rPr>
        <w:t xml:space="preserve"> </w:t>
      </w:r>
      <w:r>
        <w:rPr>
          <w:rStyle w:val="37"/>
          <w:rFonts w:hint="eastAsia" w:ascii="宋体" w:hAnsi="宋体" w:cs="宋体"/>
          <w:b/>
          <w:bCs/>
          <w:color w:val="auto"/>
          <w:spacing w:val="20"/>
          <w:sz w:val="32"/>
          <w:szCs w:val="32"/>
          <w:highlight w:val="none"/>
        </w:rPr>
        <w:t xml:space="preserve"> </w:t>
      </w:r>
      <w:r>
        <w:rPr>
          <w:rStyle w:val="37"/>
          <w:rFonts w:ascii="宋体" w:hAnsi="宋体" w:cs="宋体"/>
          <w:b/>
          <w:bCs/>
          <w:color w:val="auto"/>
          <w:spacing w:val="20"/>
          <w:sz w:val="32"/>
          <w:szCs w:val="32"/>
          <w:highlight w:val="none"/>
        </w:rPr>
        <w:t>月</w:t>
      </w:r>
    </w:p>
    <w:p>
      <w:pPr>
        <w:pStyle w:val="39"/>
        <w:spacing w:after="0" w:line="480" w:lineRule="auto"/>
        <w:ind w:firstLine="0"/>
        <w:rPr>
          <w:rStyle w:val="37"/>
          <w:rFonts w:ascii="宋体" w:hAnsi="宋体" w:cs="宋体"/>
          <w:b/>
          <w:bCs/>
          <w:color w:val="auto"/>
          <w:spacing w:val="20"/>
          <w:sz w:val="32"/>
          <w:szCs w:val="32"/>
          <w:highlight w:val="none"/>
        </w:rPr>
      </w:pPr>
      <w:r>
        <w:rPr>
          <w:rStyle w:val="37"/>
          <w:rFonts w:hint="eastAsia" w:ascii="宋体" w:hAnsi="宋体" w:cs="宋体"/>
          <w:b/>
          <w:bCs/>
          <w:color w:val="auto"/>
          <w:spacing w:val="20"/>
          <w:sz w:val="32"/>
          <w:szCs w:val="32"/>
          <w:highlight w:val="none"/>
        </w:rPr>
        <w:t>合同版本：Djj202304</w:t>
      </w:r>
      <w:r>
        <w:rPr>
          <w:rStyle w:val="37"/>
          <w:rFonts w:ascii="宋体" w:hAnsi="宋体" w:cs="宋体"/>
          <w:b/>
          <w:bCs/>
          <w:color w:val="auto"/>
          <w:spacing w:val="20"/>
          <w:sz w:val="32"/>
          <w:szCs w:val="32"/>
          <w:highlight w:val="none"/>
        </w:rPr>
        <w:br w:type="page"/>
      </w:r>
    </w:p>
    <w:p>
      <w:pPr>
        <w:pStyle w:val="19"/>
        <w:jc w:val="center"/>
        <w:rPr>
          <w:rFonts w:cs="Times New Roman"/>
          <w:color w:val="auto"/>
          <w:sz w:val="36"/>
          <w:szCs w:val="36"/>
          <w:highlight w:val="none"/>
        </w:rPr>
      </w:pPr>
      <w:bookmarkStart w:id="16" w:name="_Toc19231"/>
      <w:bookmarkStart w:id="17" w:name="_Toc4401"/>
      <w:r>
        <w:rPr>
          <w:rFonts w:hint="eastAsia" w:cs="宋体"/>
          <w:color w:val="auto"/>
          <w:sz w:val="36"/>
          <w:szCs w:val="36"/>
          <w:highlight w:val="none"/>
        </w:rPr>
        <w:t>目</w:t>
      </w:r>
      <w:r>
        <w:rPr>
          <w:color w:val="auto"/>
          <w:sz w:val="36"/>
          <w:szCs w:val="36"/>
          <w:highlight w:val="none"/>
        </w:rPr>
        <w:t xml:space="preserve">   </w:t>
      </w:r>
      <w:r>
        <w:rPr>
          <w:rFonts w:hint="eastAsia" w:cs="宋体"/>
          <w:color w:val="auto"/>
          <w:sz w:val="36"/>
          <w:szCs w:val="36"/>
          <w:highlight w:val="none"/>
        </w:rPr>
        <w:t>录</w:t>
      </w:r>
    </w:p>
    <w:p>
      <w:pPr>
        <w:pStyle w:val="19"/>
        <w:tabs>
          <w:tab w:val="right" w:leader="dot" w:pos="10204"/>
          <w:tab w:val="clear" w:pos="8493"/>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TOC \o "1-3" \h \z \u </w:instrText>
      </w:r>
      <w:r>
        <w:rPr>
          <w:rFonts w:ascii="Times New Roman" w:hAnsi="Times New Roman" w:cs="Times New Roman"/>
          <w:color w:val="auto"/>
          <w:highlight w:val="none"/>
        </w:rPr>
        <w:fldChar w:fldCharType="separate"/>
      </w: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_Toc23880 </w:instrText>
      </w:r>
      <w:r>
        <w:rPr>
          <w:rFonts w:ascii="Times New Roman" w:hAnsi="Times New Roman" w:cs="Times New Roman"/>
          <w:color w:val="auto"/>
          <w:highlight w:val="none"/>
        </w:rPr>
        <w:fldChar w:fldCharType="separate"/>
      </w:r>
      <w:r>
        <w:rPr>
          <w:rFonts w:hint="eastAsia" w:ascii="黑体" w:hAnsi="黑体" w:eastAsia="黑体" w:cs="黑体"/>
          <w:color w:val="auto"/>
          <w:szCs w:val="36"/>
          <w:highlight w:val="none"/>
        </w:rPr>
        <w:t>第一部分  协  议  书</w:t>
      </w:r>
      <w:r>
        <w:rPr>
          <w:color w:val="auto"/>
          <w:highlight w:val="none"/>
        </w:rPr>
        <w:tab/>
      </w:r>
      <w:r>
        <w:rPr>
          <w:color w:val="auto"/>
          <w:highlight w:val="none"/>
        </w:rPr>
        <w:fldChar w:fldCharType="begin"/>
      </w:r>
      <w:r>
        <w:rPr>
          <w:color w:val="auto"/>
          <w:highlight w:val="none"/>
        </w:rPr>
        <w:instrText xml:space="preserve"> PAGEREF _Toc23880 \h </w:instrText>
      </w:r>
      <w:r>
        <w:rPr>
          <w:color w:val="auto"/>
          <w:highlight w:val="none"/>
        </w:rPr>
        <w:fldChar w:fldCharType="separate"/>
      </w:r>
      <w:r>
        <w:rPr>
          <w:color w:val="auto"/>
          <w:highlight w:val="none"/>
        </w:rPr>
        <w:t>8</w:t>
      </w:r>
      <w:r>
        <w:rPr>
          <w:color w:val="auto"/>
          <w:highlight w:val="none"/>
        </w:rPr>
        <w:fldChar w:fldCharType="end"/>
      </w:r>
      <w:r>
        <w:rPr>
          <w:rFonts w:ascii="Times New Roman" w:hAnsi="Times New Roman" w:cs="Times New Roman"/>
          <w:color w:val="auto"/>
          <w:highlight w:val="none"/>
        </w:rPr>
        <w:fldChar w:fldCharType="end"/>
      </w:r>
    </w:p>
    <w:p>
      <w:pPr>
        <w:pStyle w:val="19"/>
        <w:tabs>
          <w:tab w:val="right" w:leader="dot" w:pos="10204"/>
          <w:tab w:val="clear" w:pos="8493"/>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_Toc3250 </w:instrText>
      </w:r>
      <w:r>
        <w:rPr>
          <w:rFonts w:ascii="Times New Roman" w:hAnsi="Times New Roman" w:cs="Times New Roman"/>
          <w:color w:val="auto"/>
          <w:highlight w:val="none"/>
        </w:rPr>
        <w:fldChar w:fldCharType="separate"/>
      </w:r>
      <w:r>
        <w:rPr>
          <w:rFonts w:hint="eastAsia" w:ascii="黑体" w:hAnsi="黑体" w:eastAsia="黑体" w:cs="黑体"/>
          <w:bCs/>
          <w:color w:val="auto"/>
          <w:szCs w:val="36"/>
          <w:highlight w:val="none"/>
        </w:rPr>
        <w:t>第二部分  通用条款</w:t>
      </w:r>
      <w:r>
        <w:rPr>
          <w:color w:val="auto"/>
          <w:highlight w:val="none"/>
        </w:rPr>
        <w:tab/>
      </w:r>
      <w:r>
        <w:rPr>
          <w:color w:val="auto"/>
          <w:highlight w:val="none"/>
        </w:rPr>
        <w:fldChar w:fldCharType="begin"/>
      </w:r>
      <w:r>
        <w:rPr>
          <w:color w:val="auto"/>
          <w:highlight w:val="none"/>
        </w:rPr>
        <w:instrText xml:space="preserve"> PAGEREF _Toc3250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cs="Times New Roman"/>
          <w:color w:val="auto"/>
          <w:highlight w:val="none"/>
        </w:rPr>
        <w:fldChar w:fldCharType="end"/>
      </w:r>
    </w:p>
    <w:p>
      <w:pPr>
        <w:pStyle w:val="2"/>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_Toc10384 </w:instrText>
      </w:r>
      <w:r>
        <w:rPr>
          <w:rFonts w:ascii="Times New Roman" w:hAnsi="Times New Roman" w:cs="Times New Roman"/>
          <w:color w:val="auto"/>
          <w:highlight w:val="none"/>
        </w:rPr>
        <w:fldChar w:fldCharType="separate"/>
      </w:r>
      <w:r>
        <w:rPr>
          <w:rFonts w:hint="eastAsia" w:hAnsi="宋体"/>
          <w:bCs/>
          <w:color w:val="auto"/>
          <w:szCs w:val="32"/>
          <w:highlight w:val="none"/>
        </w:rPr>
        <w:t>一、总</w:t>
      </w:r>
      <w:r>
        <w:rPr>
          <w:rFonts w:hAnsi="宋体"/>
          <w:bCs/>
          <w:color w:val="auto"/>
          <w:szCs w:val="32"/>
          <w:highlight w:val="none"/>
        </w:rPr>
        <w:t xml:space="preserve">  </w:t>
      </w:r>
      <w:r>
        <w:rPr>
          <w:rFonts w:hint="eastAsia" w:hAnsi="宋体"/>
          <w:bCs/>
          <w:color w:val="auto"/>
          <w:szCs w:val="32"/>
          <w:highlight w:val="none"/>
        </w:rPr>
        <w:t>则</w:t>
      </w:r>
      <w:r>
        <w:rPr>
          <w:color w:val="auto"/>
          <w:highlight w:val="none"/>
        </w:rPr>
        <w:tab/>
      </w:r>
      <w:r>
        <w:rPr>
          <w:color w:val="auto"/>
          <w:highlight w:val="none"/>
        </w:rPr>
        <w:fldChar w:fldCharType="begin"/>
      </w:r>
      <w:r>
        <w:rPr>
          <w:color w:val="auto"/>
          <w:highlight w:val="none"/>
        </w:rPr>
        <w:instrText xml:space="preserve"> PAGEREF _Toc10384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_Toc19411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  </w:t>
      </w:r>
      <w:r>
        <w:rPr>
          <w:rFonts w:hint="eastAsia" w:ascii="仿宋" w:hAnsi="仿宋" w:eastAsia="仿宋" w:cs="仿宋"/>
          <w:bCs/>
          <w:color w:val="auto"/>
          <w:szCs w:val="24"/>
          <w:highlight w:val="none"/>
        </w:rPr>
        <w:t>定义</w:t>
      </w:r>
      <w:r>
        <w:rPr>
          <w:color w:val="auto"/>
          <w:highlight w:val="none"/>
        </w:rPr>
        <w:tab/>
      </w:r>
      <w:r>
        <w:rPr>
          <w:color w:val="auto"/>
          <w:highlight w:val="none"/>
        </w:rPr>
        <w:fldChar w:fldCharType="begin"/>
      </w:r>
      <w:r>
        <w:rPr>
          <w:color w:val="auto"/>
          <w:highlight w:val="none"/>
        </w:rPr>
        <w:instrText xml:space="preserve"> PAGEREF _Toc19411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_Toc21216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2  </w:t>
      </w:r>
      <w:r>
        <w:rPr>
          <w:rFonts w:hint="eastAsia" w:ascii="仿宋" w:hAnsi="仿宋" w:eastAsia="仿宋" w:cs="仿宋"/>
          <w:bCs w:val="0"/>
          <w:color w:val="auto"/>
          <w:szCs w:val="24"/>
          <w:highlight w:val="none"/>
        </w:rPr>
        <w:t>合同文件及解释</w:t>
      </w:r>
      <w:r>
        <w:rPr>
          <w:color w:val="auto"/>
          <w:highlight w:val="none"/>
        </w:rPr>
        <w:tab/>
      </w:r>
      <w:r>
        <w:rPr>
          <w:color w:val="auto"/>
          <w:highlight w:val="none"/>
        </w:rPr>
        <w:fldChar w:fldCharType="begin"/>
      </w:r>
      <w:r>
        <w:rPr>
          <w:color w:val="auto"/>
          <w:highlight w:val="none"/>
        </w:rPr>
        <w:instrText xml:space="preserve"> PAGEREF _Toc21216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_Toc22107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3  </w:t>
      </w:r>
      <w:r>
        <w:rPr>
          <w:rFonts w:hint="eastAsia" w:ascii="仿宋" w:hAnsi="仿宋" w:eastAsia="仿宋" w:cs="仿宋"/>
          <w:bCs w:val="0"/>
          <w:color w:val="auto"/>
          <w:szCs w:val="24"/>
          <w:highlight w:val="none"/>
        </w:rPr>
        <w:t>阅读、理解与接受</w:t>
      </w:r>
      <w:r>
        <w:rPr>
          <w:color w:val="auto"/>
          <w:highlight w:val="none"/>
        </w:rPr>
        <w:tab/>
      </w:r>
      <w:r>
        <w:rPr>
          <w:color w:val="auto"/>
          <w:highlight w:val="none"/>
        </w:rPr>
        <w:fldChar w:fldCharType="begin"/>
      </w:r>
      <w:r>
        <w:rPr>
          <w:color w:val="auto"/>
          <w:highlight w:val="none"/>
        </w:rPr>
        <w:instrText xml:space="preserve"> PAGEREF _Toc22107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_Toc14516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4  </w:t>
      </w:r>
      <w:r>
        <w:rPr>
          <w:rFonts w:hint="eastAsia" w:ascii="仿宋" w:hAnsi="仿宋" w:eastAsia="仿宋" w:cs="仿宋"/>
          <w:bCs w:val="0"/>
          <w:color w:val="auto"/>
          <w:szCs w:val="24"/>
          <w:highlight w:val="none"/>
        </w:rPr>
        <w:t>语言及适用的法律、标准与规范</w:t>
      </w:r>
      <w:r>
        <w:rPr>
          <w:color w:val="auto"/>
          <w:highlight w:val="none"/>
        </w:rPr>
        <w:tab/>
      </w:r>
      <w:r>
        <w:rPr>
          <w:color w:val="auto"/>
          <w:highlight w:val="none"/>
        </w:rPr>
        <w:fldChar w:fldCharType="begin"/>
      </w:r>
      <w:r>
        <w:rPr>
          <w:color w:val="auto"/>
          <w:highlight w:val="none"/>
        </w:rPr>
        <w:instrText xml:space="preserve"> PAGEREF _Toc14516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_Toc20155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5  </w:t>
      </w:r>
      <w:r>
        <w:rPr>
          <w:rFonts w:hint="eastAsia" w:ascii="仿宋" w:hAnsi="仿宋" w:eastAsia="仿宋" w:cs="仿宋"/>
          <w:bCs w:val="0"/>
          <w:color w:val="auto"/>
          <w:szCs w:val="24"/>
          <w:highlight w:val="none"/>
        </w:rPr>
        <w:t>施工设计图纸</w:t>
      </w:r>
      <w:r>
        <w:rPr>
          <w:color w:val="auto"/>
          <w:highlight w:val="none"/>
        </w:rPr>
        <w:tab/>
      </w:r>
      <w:r>
        <w:rPr>
          <w:color w:val="auto"/>
          <w:highlight w:val="none"/>
        </w:rPr>
        <w:fldChar w:fldCharType="begin"/>
      </w:r>
      <w:r>
        <w:rPr>
          <w:color w:val="auto"/>
          <w:highlight w:val="none"/>
        </w:rPr>
        <w:instrText xml:space="preserve"> PAGEREF _Toc20155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_Toc2849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6  </w:t>
      </w:r>
      <w:r>
        <w:rPr>
          <w:rFonts w:hint="eastAsia" w:ascii="仿宋" w:hAnsi="仿宋" w:eastAsia="仿宋" w:cs="仿宋"/>
          <w:color w:val="auto"/>
          <w:szCs w:val="24"/>
          <w:highlight w:val="none"/>
        </w:rPr>
        <w:t>通讯联络</w:t>
      </w:r>
      <w:r>
        <w:rPr>
          <w:color w:val="auto"/>
          <w:highlight w:val="none"/>
        </w:rPr>
        <w:tab/>
      </w:r>
      <w:r>
        <w:rPr>
          <w:color w:val="auto"/>
          <w:highlight w:val="none"/>
        </w:rPr>
        <w:fldChar w:fldCharType="begin"/>
      </w:r>
      <w:r>
        <w:rPr>
          <w:color w:val="auto"/>
          <w:highlight w:val="none"/>
        </w:rPr>
        <w:instrText xml:space="preserve"> PAGEREF _Toc2849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_Toc31086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7  </w:t>
      </w:r>
      <w:r>
        <w:rPr>
          <w:rFonts w:hint="eastAsia" w:ascii="仿宋" w:hAnsi="仿宋" w:eastAsia="仿宋" w:cs="仿宋"/>
          <w:color w:val="auto"/>
          <w:szCs w:val="24"/>
          <w:highlight w:val="none"/>
        </w:rPr>
        <w:t>工程分包</w:t>
      </w:r>
      <w:r>
        <w:rPr>
          <w:color w:val="auto"/>
          <w:highlight w:val="none"/>
        </w:rPr>
        <w:tab/>
      </w:r>
      <w:r>
        <w:rPr>
          <w:color w:val="auto"/>
          <w:highlight w:val="none"/>
        </w:rPr>
        <w:fldChar w:fldCharType="begin"/>
      </w:r>
      <w:r>
        <w:rPr>
          <w:color w:val="auto"/>
          <w:highlight w:val="none"/>
        </w:rPr>
        <w:instrText xml:space="preserve"> PAGEREF _Toc31086 \h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_Toc10041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8  </w:t>
      </w:r>
      <w:r>
        <w:rPr>
          <w:rFonts w:hint="eastAsia" w:ascii="仿宋" w:hAnsi="仿宋" w:eastAsia="仿宋" w:cs="仿宋"/>
          <w:color w:val="auto"/>
          <w:szCs w:val="24"/>
          <w:highlight w:val="none"/>
        </w:rPr>
        <w:t>现场查勘</w:t>
      </w:r>
      <w:r>
        <w:rPr>
          <w:color w:val="auto"/>
          <w:highlight w:val="none"/>
        </w:rPr>
        <w:tab/>
      </w:r>
      <w:r>
        <w:rPr>
          <w:color w:val="auto"/>
          <w:highlight w:val="none"/>
        </w:rPr>
        <w:fldChar w:fldCharType="begin"/>
      </w:r>
      <w:r>
        <w:rPr>
          <w:color w:val="auto"/>
          <w:highlight w:val="none"/>
        </w:rPr>
        <w:instrText xml:space="preserve"> PAGEREF _Toc10041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_Toc18993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8.1</w:t>
      </w:r>
      <w:r>
        <w:rPr>
          <w:color w:val="auto"/>
          <w:highlight w:val="none"/>
        </w:rPr>
        <w:tab/>
      </w:r>
      <w:r>
        <w:rPr>
          <w:color w:val="auto"/>
          <w:highlight w:val="none"/>
        </w:rPr>
        <w:fldChar w:fldCharType="begin"/>
      </w:r>
      <w:r>
        <w:rPr>
          <w:color w:val="auto"/>
          <w:highlight w:val="none"/>
        </w:rPr>
        <w:instrText xml:space="preserve"> PAGEREF _Toc18993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_Toc22771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9  </w:t>
      </w:r>
      <w:r>
        <w:rPr>
          <w:rFonts w:hint="eastAsia" w:ascii="仿宋" w:hAnsi="仿宋" w:eastAsia="仿宋" w:cs="仿宋"/>
          <w:color w:val="auto"/>
          <w:szCs w:val="24"/>
          <w:highlight w:val="none"/>
        </w:rPr>
        <w:t>招标错失的修正</w:t>
      </w:r>
      <w:r>
        <w:rPr>
          <w:color w:val="auto"/>
          <w:highlight w:val="none"/>
        </w:rPr>
        <w:tab/>
      </w:r>
      <w:r>
        <w:rPr>
          <w:color w:val="auto"/>
          <w:highlight w:val="none"/>
        </w:rPr>
        <w:fldChar w:fldCharType="begin"/>
      </w:r>
      <w:r>
        <w:rPr>
          <w:color w:val="auto"/>
          <w:highlight w:val="none"/>
        </w:rPr>
        <w:instrText xml:space="preserve"> PAGEREF _Toc22771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_Toc4000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10  </w:t>
      </w:r>
      <w:r>
        <w:rPr>
          <w:rFonts w:hint="eastAsia" w:ascii="仿宋" w:hAnsi="仿宋" w:eastAsia="仿宋" w:cs="仿宋"/>
          <w:color w:val="auto"/>
          <w:szCs w:val="24"/>
          <w:highlight w:val="none"/>
        </w:rPr>
        <w:t>投标文件的完备性</w:t>
      </w:r>
      <w:r>
        <w:rPr>
          <w:color w:val="auto"/>
          <w:highlight w:val="none"/>
        </w:rPr>
        <w:tab/>
      </w:r>
      <w:r>
        <w:rPr>
          <w:color w:val="auto"/>
          <w:highlight w:val="none"/>
        </w:rPr>
        <w:fldChar w:fldCharType="begin"/>
      </w:r>
      <w:r>
        <w:rPr>
          <w:color w:val="auto"/>
          <w:highlight w:val="none"/>
        </w:rPr>
        <w:instrText xml:space="preserve"> PAGEREF _Toc4000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_Toc9454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11  </w:t>
      </w:r>
      <w:r>
        <w:rPr>
          <w:rFonts w:hint="eastAsia" w:ascii="仿宋" w:hAnsi="仿宋" w:eastAsia="仿宋" w:cs="仿宋"/>
          <w:bCs/>
          <w:color w:val="auto"/>
          <w:szCs w:val="24"/>
          <w:highlight w:val="none"/>
        </w:rPr>
        <w:t>文物和地下障碍物</w:t>
      </w:r>
      <w:r>
        <w:rPr>
          <w:color w:val="auto"/>
          <w:highlight w:val="none"/>
        </w:rPr>
        <w:tab/>
      </w:r>
      <w:r>
        <w:rPr>
          <w:color w:val="auto"/>
          <w:highlight w:val="none"/>
        </w:rPr>
        <w:fldChar w:fldCharType="begin"/>
      </w:r>
      <w:r>
        <w:rPr>
          <w:color w:val="auto"/>
          <w:highlight w:val="none"/>
        </w:rPr>
        <w:instrText xml:space="preserve"> PAGEREF _Toc9454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_Toc21101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12  </w:t>
      </w:r>
      <w:r>
        <w:rPr>
          <w:rFonts w:hint="eastAsia" w:ascii="仿宋" w:hAnsi="仿宋" w:eastAsia="仿宋" w:cs="仿宋"/>
          <w:bCs/>
          <w:color w:val="auto"/>
          <w:szCs w:val="24"/>
          <w:highlight w:val="none"/>
        </w:rPr>
        <w:t>事故处理</w:t>
      </w:r>
      <w:r>
        <w:rPr>
          <w:color w:val="auto"/>
          <w:highlight w:val="none"/>
        </w:rPr>
        <w:tab/>
      </w:r>
      <w:r>
        <w:rPr>
          <w:color w:val="auto"/>
          <w:highlight w:val="none"/>
        </w:rPr>
        <w:fldChar w:fldCharType="begin"/>
      </w:r>
      <w:r>
        <w:rPr>
          <w:color w:val="auto"/>
          <w:highlight w:val="none"/>
        </w:rPr>
        <w:instrText xml:space="preserve"> PAGEREF _Toc21101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_Toc30053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13  </w:t>
      </w:r>
      <w:r>
        <w:rPr>
          <w:rFonts w:hint="eastAsia" w:ascii="仿宋" w:hAnsi="仿宋" w:eastAsia="仿宋" w:cs="仿宋"/>
          <w:bCs/>
          <w:color w:val="auto"/>
          <w:szCs w:val="24"/>
          <w:highlight w:val="none"/>
        </w:rPr>
        <w:t>交通运输</w:t>
      </w:r>
      <w:r>
        <w:rPr>
          <w:color w:val="auto"/>
          <w:highlight w:val="none"/>
        </w:rPr>
        <w:tab/>
      </w:r>
      <w:r>
        <w:rPr>
          <w:color w:val="auto"/>
          <w:highlight w:val="none"/>
        </w:rPr>
        <w:fldChar w:fldCharType="begin"/>
      </w:r>
      <w:r>
        <w:rPr>
          <w:color w:val="auto"/>
          <w:highlight w:val="none"/>
        </w:rPr>
        <w:instrText xml:space="preserve"> PAGEREF _Toc30053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_Toc28433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14  </w:t>
      </w:r>
      <w:r>
        <w:rPr>
          <w:rFonts w:hint="eastAsia" w:ascii="仿宋" w:hAnsi="仿宋" w:eastAsia="仿宋" w:cs="仿宋"/>
          <w:bCs/>
          <w:color w:val="auto"/>
          <w:szCs w:val="24"/>
          <w:highlight w:val="none"/>
        </w:rPr>
        <w:t>专项批准事件的签认</w:t>
      </w:r>
      <w:r>
        <w:rPr>
          <w:color w:val="auto"/>
          <w:highlight w:val="none"/>
        </w:rPr>
        <w:tab/>
      </w:r>
      <w:r>
        <w:rPr>
          <w:color w:val="auto"/>
          <w:highlight w:val="none"/>
        </w:rPr>
        <w:fldChar w:fldCharType="begin"/>
      </w:r>
      <w:r>
        <w:rPr>
          <w:color w:val="auto"/>
          <w:highlight w:val="none"/>
        </w:rPr>
        <w:instrText xml:space="preserve"> PAGEREF _Toc28433 \h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_Toc27525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15  </w:t>
      </w:r>
      <w:r>
        <w:rPr>
          <w:rFonts w:hint="eastAsia" w:ascii="仿宋" w:hAnsi="仿宋" w:eastAsia="仿宋" w:cs="仿宋"/>
          <w:bCs/>
          <w:color w:val="auto"/>
          <w:szCs w:val="24"/>
          <w:highlight w:val="none"/>
        </w:rPr>
        <w:t>专利技术</w:t>
      </w:r>
      <w:r>
        <w:rPr>
          <w:color w:val="auto"/>
          <w:highlight w:val="none"/>
        </w:rPr>
        <w:tab/>
      </w:r>
      <w:r>
        <w:rPr>
          <w:color w:val="auto"/>
          <w:highlight w:val="none"/>
        </w:rPr>
        <w:fldChar w:fldCharType="begin"/>
      </w:r>
      <w:r>
        <w:rPr>
          <w:color w:val="auto"/>
          <w:highlight w:val="none"/>
        </w:rPr>
        <w:instrText xml:space="preserve"> PAGEREF _Toc27525 \h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_Toc17967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16  </w:t>
      </w:r>
      <w:r>
        <w:rPr>
          <w:rFonts w:hint="eastAsia" w:ascii="仿宋" w:hAnsi="仿宋" w:eastAsia="仿宋" w:cs="仿宋"/>
          <w:bCs/>
          <w:color w:val="auto"/>
          <w:szCs w:val="24"/>
          <w:highlight w:val="none"/>
        </w:rPr>
        <w:t>联合的责任</w:t>
      </w:r>
      <w:r>
        <w:rPr>
          <w:color w:val="auto"/>
          <w:highlight w:val="none"/>
        </w:rPr>
        <w:tab/>
      </w:r>
      <w:r>
        <w:rPr>
          <w:color w:val="auto"/>
          <w:highlight w:val="none"/>
        </w:rPr>
        <w:fldChar w:fldCharType="begin"/>
      </w:r>
      <w:r>
        <w:rPr>
          <w:color w:val="auto"/>
          <w:highlight w:val="none"/>
        </w:rPr>
        <w:instrText xml:space="preserve"> PAGEREF _Toc17967 \h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_Toc24783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17  </w:t>
      </w:r>
      <w:r>
        <w:rPr>
          <w:rFonts w:hint="eastAsia" w:ascii="仿宋" w:hAnsi="仿宋" w:eastAsia="仿宋" w:cs="仿宋"/>
          <w:bCs/>
          <w:color w:val="auto"/>
          <w:szCs w:val="24"/>
          <w:highlight w:val="none"/>
        </w:rPr>
        <w:t>保障</w:t>
      </w:r>
      <w:r>
        <w:rPr>
          <w:color w:val="auto"/>
          <w:highlight w:val="none"/>
        </w:rPr>
        <w:tab/>
      </w:r>
      <w:r>
        <w:rPr>
          <w:color w:val="auto"/>
          <w:highlight w:val="none"/>
        </w:rPr>
        <w:fldChar w:fldCharType="begin"/>
      </w:r>
      <w:r>
        <w:rPr>
          <w:color w:val="auto"/>
          <w:highlight w:val="none"/>
        </w:rPr>
        <w:instrText xml:space="preserve"> PAGEREF _Toc24783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_Toc269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18  </w:t>
      </w:r>
      <w:r>
        <w:rPr>
          <w:rFonts w:hint="eastAsia" w:ascii="仿宋" w:hAnsi="仿宋" w:eastAsia="仿宋" w:cs="仿宋"/>
          <w:bCs/>
          <w:color w:val="auto"/>
          <w:szCs w:val="24"/>
          <w:highlight w:val="none"/>
        </w:rPr>
        <w:t>财产</w:t>
      </w:r>
      <w:r>
        <w:rPr>
          <w:color w:val="auto"/>
          <w:highlight w:val="none"/>
        </w:rPr>
        <w:tab/>
      </w:r>
      <w:r>
        <w:rPr>
          <w:color w:val="auto"/>
          <w:highlight w:val="none"/>
        </w:rPr>
        <w:fldChar w:fldCharType="begin"/>
      </w:r>
      <w:r>
        <w:rPr>
          <w:color w:val="auto"/>
          <w:highlight w:val="none"/>
        </w:rPr>
        <w:instrText xml:space="preserve"> PAGEREF _Toc269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cs="Times New Roman"/>
          <w:color w:val="auto"/>
          <w:highlight w:val="none"/>
        </w:rPr>
        <w:fldChar w:fldCharType="end"/>
      </w:r>
    </w:p>
    <w:p>
      <w:pPr>
        <w:pStyle w:val="2"/>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_Toc16423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二、合同主体</w:t>
      </w:r>
      <w:r>
        <w:rPr>
          <w:color w:val="auto"/>
          <w:highlight w:val="none"/>
        </w:rPr>
        <w:tab/>
      </w:r>
      <w:r>
        <w:rPr>
          <w:color w:val="auto"/>
          <w:highlight w:val="none"/>
        </w:rPr>
        <w:fldChar w:fldCharType="begin"/>
      </w:r>
      <w:r>
        <w:rPr>
          <w:color w:val="auto"/>
          <w:highlight w:val="none"/>
        </w:rPr>
        <w:instrText xml:space="preserve"> PAGEREF _Toc16423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_Toc4809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19  </w:t>
      </w:r>
      <w:r>
        <w:rPr>
          <w:rFonts w:hint="eastAsia" w:ascii="仿宋" w:hAnsi="仿宋" w:eastAsia="仿宋" w:cs="仿宋"/>
          <w:color w:val="auto"/>
          <w:szCs w:val="24"/>
          <w:highlight w:val="none"/>
        </w:rPr>
        <w:t>发包人</w:t>
      </w:r>
      <w:r>
        <w:rPr>
          <w:color w:val="auto"/>
          <w:highlight w:val="none"/>
        </w:rPr>
        <w:tab/>
      </w:r>
      <w:r>
        <w:rPr>
          <w:color w:val="auto"/>
          <w:highlight w:val="none"/>
        </w:rPr>
        <w:fldChar w:fldCharType="begin"/>
      </w:r>
      <w:r>
        <w:rPr>
          <w:color w:val="auto"/>
          <w:highlight w:val="none"/>
        </w:rPr>
        <w:instrText xml:space="preserve"> PAGEREF _Toc4809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_Toc23744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20  </w:t>
      </w:r>
      <w:r>
        <w:rPr>
          <w:rFonts w:hint="eastAsia" w:ascii="仿宋" w:hAnsi="仿宋" w:eastAsia="仿宋" w:cs="仿宋"/>
          <w:color w:val="auto"/>
          <w:szCs w:val="24"/>
          <w:highlight w:val="none"/>
        </w:rPr>
        <w:t>承包人</w:t>
      </w:r>
      <w:r>
        <w:rPr>
          <w:color w:val="auto"/>
          <w:highlight w:val="none"/>
        </w:rPr>
        <w:tab/>
      </w:r>
      <w:r>
        <w:rPr>
          <w:color w:val="auto"/>
          <w:highlight w:val="none"/>
        </w:rPr>
        <w:fldChar w:fldCharType="begin"/>
      </w:r>
      <w:r>
        <w:rPr>
          <w:color w:val="auto"/>
          <w:highlight w:val="none"/>
        </w:rPr>
        <w:instrText xml:space="preserve"> PAGEREF _Toc23744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_Toc9267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21  </w:t>
      </w:r>
      <w:r>
        <w:rPr>
          <w:rFonts w:hint="eastAsia" w:ascii="仿宋" w:hAnsi="仿宋" w:eastAsia="仿宋" w:cs="仿宋"/>
          <w:bCs/>
          <w:color w:val="auto"/>
          <w:szCs w:val="24"/>
          <w:highlight w:val="none"/>
        </w:rPr>
        <w:t>现场管理人员任命和更换</w:t>
      </w:r>
      <w:r>
        <w:rPr>
          <w:color w:val="auto"/>
          <w:highlight w:val="none"/>
        </w:rPr>
        <w:tab/>
      </w:r>
      <w:r>
        <w:rPr>
          <w:color w:val="auto"/>
          <w:highlight w:val="none"/>
        </w:rPr>
        <w:fldChar w:fldCharType="begin"/>
      </w:r>
      <w:r>
        <w:rPr>
          <w:color w:val="auto"/>
          <w:highlight w:val="none"/>
        </w:rPr>
        <w:instrText xml:space="preserve"> PAGEREF _Toc9267 \h </w:instrText>
      </w:r>
      <w:r>
        <w:rPr>
          <w:color w:val="auto"/>
          <w:highlight w:val="none"/>
        </w:rPr>
        <w:fldChar w:fldCharType="separate"/>
      </w:r>
      <w:r>
        <w:rPr>
          <w:color w:val="auto"/>
          <w:highlight w:val="none"/>
        </w:rPr>
        <w:t>37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_Toc23816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22  </w:t>
      </w:r>
      <w:r>
        <w:rPr>
          <w:rFonts w:hint="eastAsia" w:ascii="仿宋" w:hAnsi="仿宋" w:eastAsia="仿宋" w:cs="仿宋"/>
          <w:color w:val="auto"/>
          <w:szCs w:val="24"/>
          <w:highlight w:val="none"/>
        </w:rPr>
        <w:t>发包人代表</w:t>
      </w:r>
      <w:r>
        <w:rPr>
          <w:color w:val="auto"/>
          <w:highlight w:val="none"/>
        </w:rPr>
        <w:tab/>
      </w:r>
      <w:r>
        <w:rPr>
          <w:color w:val="auto"/>
          <w:highlight w:val="none"/>
        </w:rPr>
        <w:fldChar w:fldCharType="begin"/>
      </w:r>
      <w:r>
        <w:rPr>
          <w:color w:val="auto"/>
          <w:highlight w:val="none"/>
        </w:rPr>
        <w:instrText xml:space="preserve"> PAGEREF _Toc23816 \h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_Toc18287 </w:instrText>
      </w:r>
      <w:r>
        <w:rPr>
          <w:rFonts w:ascii="Times New Roman" w:hAnsi="Times New Roman" w:cs="Times New Roman"/>
          <w:color w:val="auto"/>
          <w:highlight w:val="none"/>
        </w:rPr>
        <w:fldChar w:fldCharType="separate"/>
      </w:r>
      <w:r>
        <w:rPr>
          <w:rFonts w:ascii="仿宋" w:hAnsi="仿宋" w:eastAsia="仿宋" w:cs="仿宋"/>
          <w:bCs w:val="0"/>
          <w:color w:val="auto"/>
          <w:szCs w:val="24"/>
          <w:highlight w:val="none"/>
        </w:rPr>
        <w:t xml:space="preserve">23  </w:t>
      </w:r>
      <w:r>
        <w:rPr>
          <w:rFonts w:hint="eastAsia" w:ascii="仿宋" w:hAnsi="仿宋" w:eastAsia="仿宋" w:cs="仿宋"/>
          <w:bCs w:val="0"/>
          <w:color w:val="auto"/>
          <w:szCs w:val="24"/>
          <w:highlight w:val="none"/>
        </w:rPr>
        <w:t>监理工程师</w:t>
      </w:r>
      <w:r>
        <w:rPr>
          <w:color w:val="auto"/>
          <w:highlight w:val="none"/>
        </w:rPr>
        <w:tab/>
      </w:r>
      <w:r>
        <w:rPr>
          <w:color w:val="auto"/>
          <w:highlight w:val="none"/>
        </w:rPr>
        <w:fldChar w:fldCharType="begin"/>
      </w:r>
      <w:r>
        <w:rPr>
          <w:color w:val="auto"/>
          <w:highlight w:val="none"/>
        </w:rPr>
        <w:instrText xml:space="preserve"> PAGEREF _Toc18287 \h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_Toc16952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24  </w:t>
      </w:r>
      <w:r>
        <w:rPr>
          <w:rFonts w:hint="eastAsia" w:ascii="仿宋" w:hAnsi="仿宋" w:eastAsia="仿宋" w:cs="仿宋"/>
          <w:color w:val="auto"/>
          <w:szCs w:val="24"/>
          <w:highlight w:val="none"/>
        </w:rPr>
        <w:t>造价工程师</w:t>
      </w:r>
      <w:r>
        <w:rPr>
          <w:color w:val="auto"/>
          <w:highlight w:val="none"/>
        </w:rPr>
        <w:tab/>
      </w:r>
      <w:r>
        <w:rPr>
          <w:color w:val="auto"/>
          <w:highlight w:val="none"/>
        </w:rPr>
        <w:fldChar w:fldCharType="begin"/>
      </w:r>
      <w:r>
        <w:rPr>
          <w:color w:val="auto"/>
          <w:highlight w:val="none"/>
        </w:rPr>
        <w:instrText xml:space="preserve"> PAGEREF _Toc16952 \h </w:instrText>
      </w:r>
      <w:r>
        <w:rPr>
          <w:color w:val="auto"/>
          <w:highlight w:val="none"/>
        </w:rPr>
        <w:fldChar w:fldCharType="separate"/>
      </w:r>
      <w:r>
        <w:rPr>
          <w:color w:val="auto"/>
          <w:highlight w:val="none"/>
        </w:rPr>
        <w:t>41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_Toc31190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25  </w:t>
      </w:r>
      <w:r>
        <w:rPr>
          <w:rFonts w:hint="eastAsia" w:ascii="仿宋" w:hAnsi="仿宋" w:eastAsia="仿宋" w:cs="仿宋"/>
          <w:color w:val="auto"/>
          <w:szCs w:val="24"/>
          <w:highlight w:val="none"/>
        </w:rPr>
        <w:t>承包人代表</w:t>
      </w:r>
      <w:r>
        <w:rPr>
          <w:color w:val="auto"/>
          <w:highlight w:val="none"/>
        </w:rPr>
        <w:tab/>
      </w:r>
      <w:r>
        <w:rPr>
          <w:color w:val="auto"/>
          <w:highlight w:val="none"/>
        </w:rPr>
        <w:fldChar w:fldCharType="begin"/>
      </w:r>
      <w:r>
        <w:rPr>
          <w:color w:val="auto"/>
          <w:highlight w:val="none"/>
        </w:rPr>
        <w:instrText xml:space="preserve"> PAGEREF _Toc31190 \h </w:instrText>
      </w:r>
      <w:r>
        <w:rPr>
          <w:color w:val="auto"/>
          <w:highlight w:val="none"/>
        </w:rPr>
        <w:fldChar w:fldCharType="separate"/>
      </w:r>
      <w:r>
        <w:rPr>
          <w:color w:val="auto"/>
          <w:highlight w:val="none"/>
        </w:rPr>
        <w:t>43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_Toc6462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26  </w:t>
      </w:r>
      <w:r>
        <w:rPr>
          <w:rFonts w:hint="eastAsia" w:ascii="仿宋" w:hAnsi="仿宋" w:eastAsia="仿宋" w:cs="仿宋"/>
          <w:bCs/>
          <w:color w:val="auto"/>
          <w:szCs w:val="24"/>
          <w:highlight w:val="none"/>
        </w:rPr>
        <w:t>指定分包人</w:t>
      </w:r>
      <w:r>
        <w:rPr>
          <w:color w:val="auto"/>
          <w:highlight w:val="none"/>
        </w:rPr>
        <w:tab/>
      </w:r>
      <w:r>
        <w:rPr>
          <w:color w:val="auto"/>
          <w:highlight w:val="none"/>
        </w:rPr>
        <w:fldChar w:fldCharType="begin"/>
      </w:r>
      <w:r>
        <w:rPr>
          <w:color w:val="auto"/>
          <w:highlight w:val="none"/>
        </w:rPr>
        <w:instrText xml:space="preserve"> PAGEREF _Toc6462 \h </w:instrText>
      </w:r>
      <w:r>
        <w:rPr>
          <w:color w:val="auto"/>
          <w:highlight w:val="none"/>
        </w:rPr>
        <w:fldChar w:fldCharType="separate"/>
      </w:r>
      <w:r>
        <w:rPr>
          <w:color w:val="auto"/>
          <w:highlight w:val="none"/>
        </w:rPr>
        <w:t>44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_Toc28077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27  </w:t>
      </w:r>
      <w:r>
        <w:rPr>
          <w:rFonts w:hint="eastAsia" w:ascii="仿宋" w:hAnsi="仿宋" w:eastAsia="仿宋" w:cs="仿宋"/>
          <w:bCs/>
          <w:color w:val="auto"/>
          <w:szCs w:val="24"/>
          <w:highlight w:val="none"/>
        </w:rPr>
        <w:t>承包人劳务</w:t>
      </w:r>
      <w:r>
        <w:rPr>
          <w:color w:val="auto"/>
          <w:highlight w:val="none"/>
        </w:rPr>
        <w:tab/>
      </w:r>
      <w:r>
        <w:rPr>
          <w:color w:val="auto"/>
          <w:highlight w:val="none"/>
        </w:rPr>
        <w:fldChar w:fldCharType="begin"/>
      </w:r>
      <w:r>
        <w:rPr>
          <w:color w:val="auto"/>
          <w:highlight w:val="none"/>
        </w:rPr>
        <w:instrText xml:space="preserve"> PAGEREF _Toc28077 \h </w:instrText>
      </w:r>
      <w:r>
        <w:rPr>
          <w:color w:val="auto"/>
          <w:highlight w:val="none"/>
        </w:rPr>
        <w:fldChar w:fldCharType="separate"/>
      </w:r>
      <w:r>
        <w:rPr>
          <w:color w:val="auto"/>
          <w:highlight w:val="none"/>
        </w:rPr>
        <w:t>44</w:t>
      </w:r>
      <w:r>
        <w:rPr>
          <w:color w:val="auto"/>
          <w:highlight w:val="none"/>
        </w:rPr>
        <w:fldChar w:fldCharType="end"/>
      </w:r>
      <w:r>
        <w:rPr>
          <w:rFonts w:ascii="Times New Roman" w:hAnsi="Times New Roman" w:cs="Times New Roman"/>
          <w:color w:val="auto"/>
          <w:highlight w:val="none"/>
        </w:rPr>
        <w:fldChar w:fldCharType="end"/>
      </w:r>
    </w:p>
    <w:p>
      <w:pPr>
        <w:pStyle w:val="2"/>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_Toc2071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三、担保、保险与风险</w:t>
      </w:r>
      <w:r>
        <w:rPr>
          <w:color w:val="auto"/>
          <w:highlight w:val="none"/>
        </w:rPr>
        <w:tab/>
      </w:r>
      <w:r>
        <w:rPr>
          <w:color w:val="auto"/>
          <w:highlight w:val="none"/>
        </w:rPr>
        <w:fldChar w:fldCharType="begin"/>
      </w:r>
      <w:r>
        <w:rPr>
          <w:color w:val="auto"/>
          <w:highlight w:val="none"/>
        </w:rPr>
        <w:instrText xml:space="preserve"> PAGEREF _Toc2071 \h </w:instrText>
      </w:r>
      <w:r>
        <w:rPr>
          <w:color w:val="auto"/>
          <w:highlight w:val="none"/>
        </w:rPr>
        <w:fldChar w:fldCharType="separate"/>
      </w:r>
      <w:r>
        <w:rPr>
          <w:color w:val="auto"/>
          <w:highlight w:val="none"/>
        </w:rPr>
        <w:t>46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_Toc8867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28  </w:t>
      </w:r>
      <w:r>
        <w:rPr>
          <w:rFonts w:hint="eastAsia" w:ascii="仿宋" w:hAnsi="仿宋" w:eastAsia="仿宋" w:cs="仿宋"/>
          <w:bCs/>
          <w:color w:val="auto"/>
          <w:szCs w:val="24"/>
          <w:highlight w:val="none"/>
        </w:rPr>
        <w:t>工程担保</w:t>
      </w:r>
      <w:r>
        <w:rPr>
          <w:color w:val="auto"/>
          <w:highlight w:val="none"/>
        </w:rPr>
        <w:tab/>
      </w:r>
      <w:r>
        <w:rPr>
          <w:color w:val="auto"/>
          <w:highlight w:val="none"/>
        </w:rPr>
        <w:fldChar w:fldCharType="begin"/>
      </w:r>
      <w:r>
        <w:rPr>
          <w:color w:val="auto"/>
          <w:highlight w:val="none"/>
        </w:rPr>
        <w:instrText xml:space="preserve"> PAGEREF _Toc8867 \h </w:instrText>
      </w:r>
      <w:r>
        <w:rPr>
          <w:color w:val="auto"/>
          <w:highlight w:val="none"/>
        </w:rPr>
        <w:fldChar w:fldCharType="separate"/>
      </w:r>
      <w:r>
        <w:rPr>
          <w:color w:val="auto"/>
          <w:highlight w:val="none"/>
        </w:rPr>
        <w:t>46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_Toc17107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29  </w:t>
      </w:r>
      <w:r>
        <w:rPr>
          <w:rFonts w:hint="eastAsia" w:ascii="仿宋" w:hAnsi="仿宋" w:eastAsia="仿宋" w:cs="仿宋"/>
          <w:bCs/>
          <w:color w:val="auto"/>
          <w:szCs w:val="24"/>
          <w:highlight w:val="none"/>
        </w:rPr>
        <w:t>发包人风险</w:t>
      </w:r>
      <w:r>
        <w:rPr>
          <w:color w:val="auto"/>
          <w:highlight w:val="none"/>
        </w:rPr>
        <w:tab/>
      </w:r>
      <w:r>
        <w:rPr>
          <w:color w:val="auto"/>
          <w:highlight w:val="none"/>
        </w:rPr>
        <w:fldChar w:fldCharType="begin"/>
      </w:r>
      <w:r>
        <w:rPr>
          <w:color w:val="auto"/>
          <w:highlight w:val="none"/>
        </w:rPr>
        <w:instrText xml:space="preserve"> PAGEREF _Toc17107 \h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_Toc19257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30  </w:t>
      </w:r>
      <w:r>
        <w:rPr>
          <w:rFonts w:hint="eastAsia" w:ascii="仿宋" w:hAnsi="仿宋" w:eastAsia="仿宋" w:cs="仿宋"/>
          <w:bCs/>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_Toc19257 \h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_Toc3542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31  </w:t>
      </w:r>
      <w:r>
        <w:rPr>
          <w:rFonts w:hint="eastAsia" w:ascii="仿宋" w:hAnsi="仿宋" w:eastAsia="仿宋" w:cs="仿宋"/>
          <w:bCs/>
          <w:color w:val="auto"/>
          <w:szCs w:val="24"/>
          <w:highlight w:val="none"/>
        </w:rPr>
        <w:t>不可抗力</w:t>
      </w:r>
      <w:r>
        <w:rPr>
          <w:color w:val="auto"/>
          <w:highlight w:val="none"/>
        </w:rPr>
        <w:tab/>
      </w:r>
      <w:r>
        <w:rPr>
          <w:color w:val="auto"/>
          <w:highlight w:val="none"/>
        </w:rPr>
        <w:fldChar w:fldCharType="begin"/>
      </w:r>
      <w:r>
        <w:rPr>
          <w:color w:val="auto"/>
          <w:highlight w:val="none"/>
        </w:rPr>
        <w:instrText xml:space="preserve"> PAGEREF _Toc3542 \h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_Toc11908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32  </w:t>
      </w:r>
      <w:r>
        <w:rPr>
          <w:rFonts w:hint="eastAsia" w:ascii="仿宋" w:hAnsi="仿宋" w:eastAsia="仿宋" w:cs="仿宋"/>
          <w:bCs/>
          <w:color w:val="auto"/>
          <w:szCs w:val="24"/>
          <w:highlight w:val="none"/>
        </w:rPr>
        <w:t>保险</w:t>
      </w:r>
      <w:r>
        <w:rPr>
          <w:color w:val="auto"/>
          <w:highlight w:val="none"/>
        </w:rPr>
        <w:tab/>
      </w:r>
      <w:r>
        <w:rPr>
          <w:color w:val="auto"/>
          <w:highlight w:val="none"/>
        </w:rPr>
        <w:fldChar w:fldCharType="begin"/>
      </w:r>
      <w:r>
        <w:rPr>
          <w:color w:val="auto"/>
          <w:highlight w:val="none"/>
        </w:rPr>
        <w:instrText xml:space="preserve"> PAGEREF _Toc11908 \h </w:instrText>
      </w:r>
      <w:r>
        <w:rPr>
          <w:color w:val="auto"/>
          <w:highlight w:val="none"/>
        </w:rPr>
        <w:fldChar w:fldCharType="separate"/>
      </w:r>
      <w:r>
        <w:rPr>
          <w:color w:val="auto"/>
          <w:highlight w:val="none"/>
        </w:rPr>
        <w:t>50</w:t>
      </w:r>
      <w:r>
        <w:rPr>
          <w:color w:val="auto"/>
          <w:highlight w:val="none"/>
        </w:rPr>
        <w:fldChar w:fldCharType="end"/>
      </w:r>
      <w:r>
        <w:rPr>
          <w:rFonts w:ascii="Times New Roman" w:hAnsi="Times New Roman" w:cs="Times New Roman"/>
          <w:color w:val="auto"/>
          <w:highlight w:val="none"/>
        </w:rPr>
        <w:fldChar w:fldCharType="end"/>
      </w:r>
    </w:p>
    <w:p>
      <w:pPr>
        <w:pStyle w:val="2"/>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_Toc24345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四、工</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期</w:t>
      </w:r>
      <w:r>
        <w:rPr>
          <w:color w:val="auto"/>
          <w:highlight w:val="none"/>
        </w:rPr>
        <w:tab/>
      </w:r>
      <w:r>
        <w:rPr>
          <w:color w:val="auto"/>
          <w:highlight w:val="none"/>
        </w:rPr>
        <w:fldChar w:fldCharType="begin"/>
      </w:r>
      <w:r>
        <w:rPr>
          <w:color w:val="auto"/>
          <w:highlight w:val="none"/>
        </w:rPr>
        <w:instrText xml:space="preserve"> PAGEREF _Toc24345 \h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_Toc28907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33  </w:t>
      </w:r>
      <w:r>
        <w:rPr>
          <w:rFonts w:hint="eastAsia" w:ascii="仿宋" w:hAnsi="仿宋" w:eastAsia="仿宋" w:cs="仿宋"/>
          <w:bCs/>
          <w:color w:val="auto"/>
          <w:szCs w:val="24"/>
          <w:highlight w:val="none"/>
        </w:rPr>
        <w:t>进度计划和报告</w:t>
      </w:r>
      <w:r>
        <w:rPr>
          <w:color w:val="auto"/>
          <w:highlight w:val="none"/>
        </w:rPr>
        <w:tab/>
      </w:r>
      <w:r>
        <w:rPr>
          <w:color w:val="auto"/>
          <w:highlight w:val="none"/>
        </w:rPr>
        <w:fldChar w:fldCharType="begin"/>
      </w:r>
      <w:r>
        <w:rPr>
          <w:color w:val="auto"/>
          <w:highlight w:val="none"/>
        </w:rPr>
        <w:instrText xml:space="preserve"> PAGEREF _Toc28907 \h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_Toc32373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34  </w:t>
      </w:r>
      <w:r>
        <w:rPr>
          <w:rFonts w:hint="eastAsia" w:ascii="仿宋" w:hAnsi="仿宋" w:eastAsia="仿宋" w:cs="仿宋"/>
          <w:bCs/>
          <w:color w:val="auto"/>
          <w:szCs w:val="24"/>
          <w:highlight w:val="none"/>
        </w:rPr>
        <w:t>开工</w:t>
      </w:r>
      <w:r>
        <w:rPr>
          <w:color w:val="auto"/>
          <w:highlight w:val="none"/>
        </w:rPr>
        <w:tab/>
      </w:r>
      <w:r>
        <w:rPr>
          <w:color w:val="auto"/>
          <w:highlight w:val="none"/>
        </w:rPr>
        <w:fldChar w:fldCharType="begin"/>
      </w:r>
      <w:r>
        <w:rPr>
          <w:color w:val="auto"/>
          <w:highlight w:val="none"/>
        </w:rPr>
        <w:instrText xml:space="preserve"> PAGEREF _Toc32373 \h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_Toc17349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35  </w:t>
      </w:r>
      <w:r>
        <w:rPr>
          <w:rFonts w:hint="eastAsia" w:ascii="仿宋" w:hAnsi="仿宋" w:eastAsia="仿宋" w:cs="仿宋"/>
          <w:bCs/>
          <w:color w:val="auto"/>
          <w:szCs w:val="24"/>
          <w:highlight w:val="none"/>
        </w:rPr>
        <w:t>暂停施工和复工</w:t>
      </w:r>
      <w:r>
        <w:rPr>
          <w:color w:val="auto"/>
          <w:highlight w:val="none"/>
        </w:rPr>
        <w:tab/>
      </w:r>
      <w:r>
        <w:rPr>
          <w:color w:val="auto"/>
          <w:highlight w:val="none"/>
        </w:rPr>
        <w:fldChar w:fldCharType="begin"/>
      </w:r>
      <w:r>
        <w:rPr>
          <w:color w:val="auto"/>
          <w:highlight w:val="none"/>
        </w:rPr>
        <w:instrText xml:space="preserve"> PAGEREF _Toc17349 \h </w:instrText>
      </w:r>
      <w:r>
        <w:rPr>
          <w:color w:val="auto"/>
          <w:highlight w:val="none"/>
        </w:rPr>
        <w:fldChar w:fldCharType="separate"/>
      </w:r>
      <w:r>
        <w:rPr>
          <w:color w:val="auto"/>
          <w:highlight w:val="none"/>
        </w:rPr>
        <w:t>54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_Toc17725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36  </w:t>
      </w:r>
      <w:r>
        <w:rPr>
          <w:rFonts w:hint="eastAsia" w:ascii="仿宋" w:hAnsi="仿宋" w:eastAsia="仿宋" w:cs="仿宋"/>
          <w:bCs/>
          <w:color w:val="auto"/>
          <w:szCs w:val="24"/>
          <w:highlight w:val="none"/>
        </w:rPr>
        <w:t>工期和工期延误</w:t>
      </w:r>
      <w:r>
        <w:rPr>
          <w:color w:val="auto"/>
          <w:highlight w:val="none"/>
        </w:rPr>
        <w:tab/>
      </w:r>
      <w:r>
        <w:rPr>
          <w:color w:val="auto"/>
          <w:highlight w:val="none"/>
        </w:rPr>
        <w:fldChar w:fldCharType="begin"/>
      </w:r>
      <w:r>
        <w:rPr>
          <w:color w:val="auto"/>
          <w:highlight w:val="none"/>
        </w:rPr>
        <w:instrText xml:space="preserve"> PAGEREF _Toc17725 \h </w:instrText>
      </w:r>
      <w:r>
        <w:rPr>
          <w:color w:val="auto"/>
          <w:highlight w:val="none"/>
        </w:rPr>
        <w:fldChar w:fldCharType="separate"/>
      </w:r>
      <w:r>
        <w:rPr>
          <w:color w:val="auto"/>
          <w:highlight w:val="none"/>
        </w:rPr>
        <w:t>56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_Toc15114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37  </w:t>
      </w:r>
      <w:r>
        <w:rPr>
          <w:rFonts w:hint="eastAsia" w:ascii="仿宋" w:hAnsi="仿宋" w:eastAsia="仿宋" w:cs="仿宋"/>
          <w:bCs/>
          <w:color w:val="auto"/>
          <w:szCs w:val="24"/>
          <w:highlight w:val="none"/>
        </w:rPr>
        <w:t>加快进度</w:t>
      </w:r>
      <w:r>
        <w:rPr>
          <w:color w:val="auto"/>
          <w:highlight w:val="none"/>
        </w:rPr>
        <w:tab/>
      </w:r>
      <w:r>
        <w:rPr>
          <w:color w:val="auto"/>
          <w:highlight w:val="none"/>
        </w:rPr>
        <w:fldChar w:fldCharType="begin"/>
      </w:r>
      <w:r>
        <w:rPr>
          <w:color w:val="auto"/>
          <w:highlight w:val="none"/>
        </w:rPr>
        <w:instrText xml:space="preserve"> PAGEREF _Toc15114 \h </w:instrText>
      </w:r>
      <w:r>
        <w:rPr>
          <w:color w:val="auto"/>
          <w:highlight w:val="none"/>
        </w:rPr>
        <w:fldChar w:fldCharType="separate"/>
      </w:r>
      <w:r>
        <w:rPr>
          <w:color w:val="auto"/>
          <w:highlight w:val="none"/>
        </w:rPr>
        <w:t>58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_Toc24500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38  </w:t>
      </w:r>
      <w:r>
        <w:rPr>
          <w:rFonts w:hint="eastAsia" w:ascii="仿宋" w:hAnsi="仿宋" w:eastAsia="仿宋" w:cs="仿宋"/>
          <w:bCs/>
          <w:color w:val="auto"/>
          <w:szCs w:val="24"/>
          <w:highlight w:val="none"/>
        </w:rPr>
        <w:t>竣工日期</w:t>
      </w:r>
      <w:r>
        <w:rPr>
          <w:color w:val="auto"/>
          <w:highlight w:val="none"/>
        </w:rPr>
        <w:tab/>
      </w:r>
      <w:r>
        <w:rPr>
          <w:color w:val="auto"/>
          <w:highlight w:val="none"/>
        </w:rPr>
        <w:fldChar w:fldCharType="begin"/>
      </w:r>
      <w:r>
        <w:rPr>
          <w:color w:val="auto"/>
          <w:highlight w:val="none"/>
        </w:rPr>
        <w:instrText xml:space="preserve"> PAGEREF _Toc24500 \h </w:instrText>
      </w:r>
      <w:r>
        <w:rPr>
          <w:color w:val="auto"/>
          <w:highlight w:val="none"/>
        </w:rPr>
        <w:fldChar w:fldCharType="separate"/>
      </w:r>
      <w:r>
        <w:rPr>
          <w:color w:val="auto"/>
          <w:highlight w:val="none"/>
        </w:rPr>
        <w:t>59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_Toc16758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39  </w:t>
      </w:r>
      <w:r>
        <w:rPr>
          <w:rFonts w:hint="eastAsia" w:ascii="仿宋" w:hAnsi="仿宋" w:eastAsia="仿宋" w:cs="仿宋"/>
          <w:bCs/>
          <w:color w:val="auto"/>
          <w:szCs w:val="24"/>
          <w:highlight w:val="none"/>
        </w:rPr>
        <w:t>提前竣工</w:t>
      </w:r>
      <w:r>
        <w:rPr>
          <w:color w:val="auto"/>
          <w:highlight w:val="none"/>
        </w:rPr>
        <w:tab/>
      </w:r>
      <w:r>
        <w:rPr>
          <w:color w:val="auto"/>
          <w:highlight w:val="none"/>
        </w:rPr>
        <w:fldChar w:fldCharType="begin"/>
      </w:r>
      <w:r>
        <w:rPr>
          <w:color w:val="auto"/>
          <w:highlight w:val="none"/>
        </w:rPr>
        <w:instrText xml:space="preserve"> PAGEREF _Toc16758 \h </w:instrText>
      </w:r>
      <w:r>
        <w:rPr>
          <w:color w:val="auto"/>
          <w:highlight w:val="none"/>
        </w:rPr>
        <w:fldChar w:fldCharType="separate"/>
      </w:r>
      <w:r>
        <w:rPr>
          <w:color w:val="auto"/>
          <w:highlight w:val="none"/>
        </w:rPr>
        <w:t>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_Toc18207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40  </w:t>
      </w:r>
      <w:r>
        <w:rPr>
          <w:rFonts w:hint="eastAsia" w:ascii="仿宋" w:hAnsi="仿宋" w:eastAsia="仿宋" w:cs="仿宋"/>
          <w:bCs/>
          <w:color w:val="auto"/>
          <w:szCs w:val="24"/>
          <w:highlight w:val="none"/>
        </w:rPr>
        <w:t>误期赔偿</w:t>
      </w:r>
      <w:r>
        <w:rPr>
          <w:color w:val="auto"/>
          <w:highlight w:val="none"/>
        </w:rPr>
        <w:tab/>
      </w:r>
      <w:r>
        <w:rPr>
          <w:color w:val="auto"/>
          <w:highlight w:val="none"/>
        </w:rPr>
        <w:fldChar w:fldCharType="begin"/>
      </w:r>
      <w:r>
        <w:rPr>
          <w:color w:val="auto"/>
          <w:highlight w:val="none"/>
        </w:rPr>
        <w:instrText xml:space="preserve"> PAGEREF _Toc18207 \h </w:instrText>
      </w:r>
      <w:r>
        <w:rPr>
          <w:color w:val="auto"/>
          <w:highlight w:val="none"/>
        </w:rPr>
        <w:fldChar w:fldCharType="separate"/>
      </w:r>
      <w:r>
        <w:rPr>
          <w:color w:val="auto"/>
          <w:highlight w:val="none"/>
        </w:rPr>
        <w:t>60</w:t>
      </w:r>
      <w:r>
        <w:rPr>
          <w:color w:val="auto"/>
          <w:highlight w:val="none"/>
        </w:rPr>
        <w:fldChar w:fldCharType="end"/>
      </w:r>
      <w:r>
        <w:rPr>
          <w:rFonts w:ascii="Times New Roman" w:hAnsi="Times New Roman" w:cs="Times New Roman"/>
          <w:color w:val="auto"/>
          <w:highlight w:val="none"/>
        </w:rPr>
        <w:fldChar w:fldCharType="end"/>
      </w:r>
    </w:p>
    <w:p>
      <w:pPr>
        <w:pStyle w:val="2"/>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_Toc9929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五、质量与安全</w:t>
      </w:r>
      <w:r>
        <w:rPr>
          <w:color w:val="auto"/>
          <w:highlight w:val="none"/>
        </w:rPr>
        <w:tab/>
      </w:r>
      <w:r>
        <w:rPr>
          <w:color w:val="auto"/>
          <w:highlight w:val="none"/>
        </w:rPr>
        <w:fldChar w:fldCharType="begin"/>
      </w:r>
      <w:r>
        <w:rPr>
          <w:color w:val="auto"/>
          <w:highlight w:val="none"/>
        </w:rPr>
        <w:instrText xml:space="preserve"> PAGEREF _Toc9929 \h </w:instrText>
      </w:r>
      <w:r>
        <w:rPr>
          <w:color w:val="auto"/>
          <w:highlight w:val="none"/>
        </w:rPr>
        <w:fldChar w:fldCharType="separate"/>
      </w:r>
      <w:r>
        <w:rPr>
          <w:color w:val="auto"/>
          <w:highlight w:val="none"/>
        </w:rPr>
        <w:t>61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_Toc8582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41  </w:t>
      </w:r>
      <w:r>
        <w:rPr>
          <w:rFonts w:hint="eastAsia" w:ascii="仿宋" w:hAnsi="仿宋" w:eastAsia="仿宋" w:cs="仿宋"/>
          <w:bCs/>
          <w:color w:val="auto"/>
          <w:szCs w:val="24"/>
          <w:highlight w:val="none"/>
        </w:rPr>
        <w:t>质量与安全管理</w:t>
      </w:r>
      <w:r>
        <w:rPr>
          <w:color w:val="auto"/>
          <w:highlight w:val="none"/>
        </w:rPr>
        <w:tab/>
      </w:r>
      <w:r>
        <w:rPr>
          <w:color w:val="auto"/>
          <w:highlight w:val="none"/>
        </w:rPr>
        <w:fldChar w:fldCharType="begin"/>
      </w:r>
      <w:r>
        <w:rPr>
          <w:color w:val="auto"/>
          <w:highlight w:val="none"/>
        </w:rPr>
        <w:instrText xml:space="preserve"> PAGEREF _Toc8582 \h </w:instrText>
      </w:r>
      <w:r>
        <w:rPr>
          <w:color w:val="auto"/>
          <w:highlight w:val="none"/>
        </w:rPr>
        <w:fldChar w:fldCharType="separate"/>
      </w:r>
      <w:r>
        <w:rPr>
          <w:color w:val="auto"/>
          <w:highlight w:val="none"/>
        </w:rPr>
        <w:t>61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_Toc24848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42  </w:t>
      </w:r>
      <w:r>
        <w:rPr>
          <w:rFonts w:hint="eastAsia" w:ascii="仿宋" w:hAnsi="仿宋" w:eastAsia="仿宋" w:cs="仿宋"/>
          <w:bCs/>
          <w:color w:val="auto"/>
          <w:szCs w:val="24"/>
          <w:highlight w:val="none"/>
        </w:rPr>
        <w:t>质量标准</w:t>
      </w:r>
      <w:r>
        <w:rPr>
          <w:color w:val="auto"/>
          <w:highlight w:val="none"/>
        </w:rPr>
        <w:tab/>
      </w:r>
      <w:r>
        <w:rPr>
          <w:color w:val="auto"/>
          <w:highlight w:val="none"/>
        </w:rPr>
        <w:fldChar w:fldCharType="begin"/>
      </w:r>
      <w:r>
        <w:rPr>
          <w:color w:val="auto"/>
          <w:highlight w:val="none"/>
        </w:rPr>
        <w:instrText xml:space="preserve"> PAGEREF _Toc24848 \h </w:instrText>
      </w:r>
      <w:r>
        <w:rPr>
          <w:color w:val="auto"/>
          <w:highlight w:val="none"/>
        </w:rPr>
        <w:fldChar w:fldCharType="separate"/>
      </w:r>
      <w:r>
        <w:rPr>
          <w:color w:val="auto"/>
          <w:highlight w:val="none"/>
        </w:rPr>
        <w:t>62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_Toc23649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color w:val="auto"/>
          <w:szCs w:val="24"/>
          <w:highlight w:val="none"/>
        </w:rPr>
        <w:t xml:space="preserve">43  </w:t>
      </w:r>
      <w:r>
        <w:rPr>
          <w:rFonts w:hint="eastAsia" w:ascii="仿宋" w:hAnsi="仿宋" w:eastAsia="仿宋" w:cs="仿宋"/>
          <w:color w:val="auto"/>
          <w:szCs w:val="24"/>
          <w:highlight w:val="none"/>
        </w:rPr>
        <w:t>工程质量创优</w:t>
      </w:r>
      <w:r>
        <w:rPr>
          <w:color w:val="auto"/>
          <w:highlight w:val="none"/>
        </w:rPr>
        <w:tab/>
      </w:r>
      <w:r>
        <w:rPr>
          <w:color w:val="auto"/>
          <w:highlight w:val="none"/>
        </w:rPr>
        <w:fldChar w:fldCharType="begin"/>
      </w:r>
      <w:r>
        <w:rPr>
          <w:color w:val="auto"/>
          <w:highlight w:val="none"/>
        </w:rPr>
        <w:instrText xml:space="preserve"> PAGEREF _Toc23649 \h </w:instrText>
      </w:r>
      <w:r>
        <w:rPr>
          <w:color w:val="auto"/>
          <w:highlight w:val="none"/>
        </w:rPr>
        <w:fldChar w:fldCharType="separate"/>
      </w:r>
      <w:r>
        <w:rPr>
          <w:color w:val="auto"/>
          <w:highlight w:val="none"/>
        </w:rPr>
        <w:t>63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_Toc8465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44  </w:t>
      </w:r>
      <w:r>
        <w:rPr>
          <w:rFonts w:hint="eastAsia" w:ascii="仿宋" w:hAnsi="仿宋" w:eastAsia="仿宋" w:cs="仿宋"/>
          <w:bCs/>
          <w:color w:val="auto"/>
          <w:szCs w:val="24"/>
          <w:highlight w:val="none"/>
        </w:rPr>
        <w:t>工程的照管</w:t>
      </w:r>
      <w:r>
        <w:rPr>
          <w:color w:val="auto"/>
          <w:highlight w:val="none"/>
        </w:rPr>
        <w:tab/>
      </w:r>
      <w:r>
        <w:rPr>
          <w:color w:val="auto"/>
          <w:highlight w:val="none"/>
        </w:rPr>
        <w:fldChar w:fldCharType="begin"/>
      </w:r>
      <w:r>
        <w:rPr>
          <w:color w:val="auto"/>
          <w:highlight w:val="none"/>
        </w:rPr>
        <w:instrText xml:space="preserve"> PAGEREF _Toc8465 \h </w:instrText>
      </w:r>
      <w:r>
        <w:rPr>
          <w:color w:val="auto"/>
          <w:highlight w:val="none"/>
        </w:rPr>
        <w:fldChar w:fldCharType="separate"/>
      </w:r>
      <w:r>
        <w:rPr>
          <w:color w:val="auto"/>
          <w:highlight w:val="none"/>
        </w:rPr>
        <w:t>64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_Toc16835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45  </w:t>
      </w:r>
      <w:r>
        <w:rPr>
          <w:rFonts w:hint="eastAsia" w:ascii="仿宋" w:hAnsi="仿宋" w:eastAsia="仿宋" w:cs="仿宋"/>
          <w:bCs/>
          <w:color w:val="auto"/>
          <w:szCs w:val="24"/>
          <w:highlight w:val="none"/>
        </w:rPr>
        <w:t>绿色施工安全防护</w:t>
      </w:r>
      <w:r>
        <w:rPr>
          <w:color w:val="auto"/>
          <w:highlight w:val="none"/>
        </w:rPr>
        <w:tab/>
      </w:r>
      <w:r>
        <w:rPr>
          <w:color w:val="auto"/>
          <w:highlight w:val="none"/>
        </w:rPr>
        <w:fldChar w:fldCharType="begin"/>
      </w:r>
      <w:r>
        <w:rPr>
          <w:color w:val="auto"/>
          <w:highlight w:val="none"/>
        </w:rPr>
        <w:instrText xml:space="preserve"> PAGEREF _Toc16835 \h </w:instrText>
      </w:r>
      <w:r>
        <w:rPr>
          <w:color w:val="auto"/>
          <w:highlight w:val="none"/>
        </w:rPr>
        <w:fldChar w:fldCharType="separate"/>
      </w:r>
      <w:r>
        <w:rPr>
          <w:color w:val="auto"/>
          <w:highlight w:val="none"/>
        </w:rPr>
        <w:t>64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_Toc7003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46  </w:t>
      </w:r>
      <w:r>
        <w:rPr>
          <w:rFonts w:hint="eastAsia" w:ascii="仿宋" w:hAnsi="仿宋" w:eastAsia="仿宋" w:cs="仿宋"/>
          <w:bCs/>
          <w:color w:val="auto"/>
          <w:szCs w:val="24"/>
          <w:highlight w:val="none"/>
        </w:rPr>
        <w:t>测量放线</w:t>
      </w:r>
      <w:r>
        <w:rPr>
          <w:color w:val="auto"/>
          <w:highlight w:val="none"/>
        </w:rPr>
        <w:tab/>
      </w:r>
      <w:r>
        <w:rPr>
          <w:color w:val="auto"/>
          <w:highlight w:val="none"/>
        </w:rPr>
        <w:fldChar w:fldCharType="begin"/>
      </w:r>
      <w:r>
        <w:rPr>
          <w:color w:val="auto"/>
          <w:highlight w:val="none"/>
        </w:rPr>
        <w:instrText xml:space="preserve"> PAGEREF _Toc7003 \h </w:instrText>
      </w:r>
      <w:r>
        <w:rPr>
          <w:color w:val="auto"/>
          <w:highlight w:val="none"/>
        </w:rPr>
        <w:fldChar w:fldCharType="separate"/>
      </w:r>
      <w:r>
        <w:rPr>
          <w:color w:val="auto"/>
          <w:highlight w:val="none"/>
        </w:rPr>
        <w:t>68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_Toc959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47  </w:t>
      </w:r>
      <w:r>
        <w:rPr>
          <w:rFonts w:hint="eastAsia" w:ascii="仿宋" w:hAnsi="仿宋" w:eastAsia="仿宋" w:cs="仿宋"/>
          <w:bCs/>
          <w:color w:val="auto"/>
          <w:szCs w:val="24"/>
          <w:highlight w:val="none"/>
        </w:rPr>
        <w:t>钻孔与勘探性开挖</w:t>
      </w:r>
      <w:r>
        <w:rPr>
          <w:color w:val="auto"/>
          <w:highlight w:val="none"/>
        </w:rPr>
        <w:tab/>
      </w:r>
      <w:r>
        <w:rPr>
          <w:color w:val="auto"/>
          <w:highlight w:val="none"/>
        </w:rPr>
        <w:fldChar w:fldCharType="begin"/>
      </w:r>
      <w:r>
        <w:rPr>
          <w:color w:val="auto"/>
          <w:highlight w:val="none"/>
        </w:rPr>
        <w:instrText xml:space="preserve"> PAGEREF _Toc959 \h </w:instrText>
      </w:r>
      <w:r>
        <w:rPr>
          <w:color w:val="auto"/>
          <w:highlight w:val="none"/>
        </w:rPr>
        <w:fldChar w:fldCharType="separate"/>
      </w:r>
      <w:r>
        <w:rPr>
          <w:color w:val="auto"/>
          <w:highlight w:val="none"/>
        </w:rPr>
        <w:t>70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_Toc12929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48  </w:t>
      </w:r>
      <w:r>
        <w:rPr>
          <w:rFonts w:hint="eastAsia" w:ascii="仿宋" w:hAnsi="仿宋" w:eastAsia="仿宋" w:cs="仿宋"/>
          <w:bCs/>
          <w:color w:val="auto"/>
          <w:szCs w:val="24"/>
          <w:highlight w:val="none"/>
        </w:rPr>
        <w:t>发包人供应材料和工程设备</w:t>
      </w:r>
      <w:r>
        <w:rPr>
          <w:color w:val="auto"/>
          <w:highlight w:val="none"/>
        </w:rPr>
        <w:tab/>
      </w:r>
      <w:r>
        <w:rPr>
          <w:color w:val="auto"/>
          <w:highlight w:val="none"/>
        </w:rPr>
        <w:fldChar w:fldCharType="begin"/>
      </w:r>
      <w:r>
        <w:rPr>
          <w:color w:val="auto"/>
          <w:highlight w:val="none"/>
        </w:rPr>
        <w:instrText xml:space="preserve"> PAGEREF _Toc12929 \h </w:instrText>
      </w:r>
      <w:r>
        <w:rPr>
          <w:color w:val="auto"/>
          <w:highlight w:val="none"/>
        </w:rPr>
        <w:fldChar w:fldCharType="separate"/>
      </w:r>
      <w:r>
        <w:rPr>
          <w:color w:val="auto"/>
          <w:highlight w:val="none"/>
        </w:rPr>
        <w:t>70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_Toc22557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49  </w:t>
      </w:r>
      <w:r>
        <w:rPr>
          <w:rFonts w:hint="eastAsia" w:ascii="仿宋" w:hAnsi="仿宋" w:eastAsia="仿宋" w:cs="仿宋"/>
          <w:bCs/>
          <w:color w:val="auto"/>
          <w:szCs w:val="24"/>
          <w:highlight w:val="none"/>
        </w:rPr>
        <w:t>承包人采购材料和工程设备</w:t>
      </w:r>
      <w:r>
        <w:rPr>
          <w:color w:val="auto"/>
          <w:highlight w:val="none"/>
        </w:rPr>
        <w:tab/>
      </w:r>
      <w:r>
        <w:rPr>
          <w:color w:val="auto"/>
          <w:highlight w:val="none"/>
        </w:rPr>
        <w:fldChar w:fldCharType="begin"/>
      </w:r>
      <w:r>
        <w:rPr>
          <w:color w:val="auto"/>
          <w:highlight w:val="none"/>
        </w:rPr>
        <w:instrText xml:space="preserve"> PAGEREF _Toc22557 \h </w:instrText>
      </w:r>
      <w:r>
        <w:rPr>
          <w:color w:val="auto"/>
          <w:highlight w:val="none"/>
        </w:rPr>
        <w:fldChar w:fldCharType="separate"/>
      </w:r>
      <w:r>
        <w:rPr>
          <w:color w:val="auto"/>
          <w:highlight w:val="none"/>
        </w:rPr>
        <w:t>72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_Toc21646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50  </w:t>
      </w:r>
      <w:r>
        <w:rPr>
          <w:rFonts w:hint="eastAsia" w:ascii="仿宋" w:hAnsi="仿宋" w:eastAsia="仿宋" w:cs="仿宋"/>
          <w:bCs/>
          <w:color w:val="auto"/>
          <w:szCs w:val="24"/>
          <w:highlight w:val="none"/>
        </w:rPr>
        <w:t>材料和工程设备的检验试验</w:t>
      </w:r>
      <w:r>
        <w:rPr>
          <w:color w:val="auto"/>
          <w:highlight w:val="none"/>
        </w:rPr>
        <w:tab/>
      </w:r>
      <w:r>
        <w:rPr>
          <w:color w:val="auto"/>
          <w:highlight w:val="none"/>
        </w:rPr>
        <w:fldChar w:fldCharType="begin"/>
      </w:r>
      <w:r>
        <w:rPr>
          <w:color w:val="auto"/>
          <w:highlight w:val="none"/>
        </w:rPr>
        <w:instrText xml:space="preserve"> PAGEREF _Toc21646 \h </w:instrText>
      </w:r>
      <w:r>
        <w:rPr>
          <w:color w:val="auto"/>
          <w:highlight w:val="none"/>
        </w:rPr>
        <w:fldChar w:fldCharType="separate"/>
      </w:r>
      <w:r>
        <w:rPr>
          <w:color w:val="auto"/>
          <w:highlight w:val="none"/>
        </w:rPr>
        <w:t>74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_Toc20126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51  </w:t>
      </w:r>
      <w:r>
        <w:rPr>
          <w:rFonts w:hint="eastAsia" w:ascii="仿宋" w:hAnsi="仿宋" w:eastAsia="仿宋" w:cs="仿宋"/>
          <w:bCs/>
          <w:color w:val="auto"/>
          <w:szCs w:val="24"/>
          <w:highlight w:val="none"/>
        </w:rPr>
        <w:t>施工设备和临时设施</w:t>
      </w:r>
      <w:r>
        <w:rPr>
          <w:color w:val="auto"/>
          <w:highlight w:val="none"/>
        </w:rPr>
        <w:tab/>
      </w:r>
      <w:r>
        <w:rPr>
          <w:color w:val="auto"/>
          <w:highlight w:val="none"/>
        </w:rPr>
        <w:fldChar w:fldCharType="begin"/>
      </w:r>
      <w:r>
        <w:rPr>
          <w:color w:val="auto"/>
          <w:highlight w:val="none"/>
        </w:rPr>
        <w:instrText xml:space="preserve"> PAGEREF _Toc20126 \h </w:instrText>
      </w:r>
      <w:r>
        <w:rPr>
          <w:color w:val="auto"/>
          <w:highlight w:val="none"/>
        </w:rPr>
        <w:fldChar w:fldCharType="separate"/>
      </w:r>
      <w:r>
        <w:rPr>
          <w:color w:val="auto"/>
          <w:highlight w:val="none"/>
        </w:rPr>
        <w:t>75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_Toc11444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52  </w:t>
      </w:r>
      <w:r>
        <w:rPr>
          <w:rFonts w:hint="eastAsia" w:ascii="仿宋" w:hAnsi="仿宋" w:eastAsia="仿宋" w:cs="仿宋"/>
          <w:bCs/>
          <w:color w:val="auto"/>
          <w:szCs w:val="24"/>
          <w:highlight w:val="none"/>
        </w:rPr>
        <w:t>工程质量检查</w:t>
      </w:r>
      <w:r>
        <w:rPr>
          <w:color w:val="auto"/>
          <w:highlight w:val="none"/>
        </w:rPr>
        <w:tab/>
      </w:r>
      <w:r>
        <w:rPr>
          <w:color w:val="auto"/>
          <w:highlight w:val="none"/>
        </w:rPr>
        <w:fldChar w:fldCharType="begin"/>
      </w:r>
      <w:r>
        <w:rPr>
          <w:color w:val="auto"/>
          <w:highlight w:val="none"/>
        </w:rPr>
        <w:instrText xml:space="preserve"> PAGEREF _Toc11444 \h </w:instrText>
      </w:r>
      <w:r>
        <w:rPr>
          <w:color w:val="auto"/>
          <w:highlight w:val="none"/>
        </w:rPr>
        <w:fldChar w:fldCharType="separate"/>
      </w:r>
      <w:r>
        <w:rPr>
          <w:color w:val="auto"/>
          <w:highlight w:val="none"/>
        </w:rPr>
        <w:t>76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_Toc7765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53  </w:t>
      </w:r>
      <w:r>
        <w:rPr>
          <w:rFonts w:hint="eastAsia" w:ascii="仿宋" w:hAnsi="仿宋" w:eastAsia="仿宋" w:cs="仿宋"/>
          <w:bCs/>
          <w:color w:val="auto"/>
          <w:szCs w:val="24"/>
          <w:highlight w:val="none"/>
        </w:rPr>
        <w:t>隐蔽工程和中间验收</w:t>
      </w:r>
      <w:r>
        <w:rPr>
          <w:color w:val="auto"/>
          <w:highlight w:val="none"/>
        </w:rPr>
        <w:tab/>
      </w:r>
      <w:r>
        <w:rPr>
          <w:color w:val="auto"/>
          <w:highlight w:val="none"/>
        </w:rPr>
        <w:fldChar w:fldCharType="begin"/>
      </w:r>
      <w:r>
        <w:rPr>
          <w:color w:val="auto"/>
          <w:highlight w:val="none"/>
        </w:rPr>
        <w:instrText xml:space="preserve"> PAGEREF _Toc7765 \h </w:instrText>
      </w:r>
      <w:r>
        <w:rPr>
          <w:color w:val="auto"/>
          <w:highlight w:val="none"/>
        </w:rPr>
        <w:fldChar w:fldCharType="separate"/>
      </w:r>
      <w:r>
        <w:rPr>
          <w:color w:val="auto"/>
          <w:highlight w:val="none"/>
        </w:rPr>
        <w:t>77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_Toc5048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54  </w:t>
      </w:r>
      <w:r>
        <w:rPr>
          <w:rFonts w:hint="eastAsia" w:ascii="仿宋" w:hAnsi="仿宋" w:eastAsia="仿宋" w:cs="仿宋"/>
          <w:bCs/>
          <w:color w:val="auto"/>
          <w:szCs w:val="24"/>
          <w:highlight w:val="none"/>
        </w:rPr>
        <w:t>重新验收和额外检查检验</w:t>
      </w:r>
      <w:r>
        <w:rPr>
          <w:color w:val="auto"/>
          <w:highlight w:val="none"/>
        </w:rPr>
        <w:tab/>
      </w:r>
      <w:r>
        <w:rPr>
          <w:color w:val="auto"/>
          <w:highlight w:val="none"/>
        </w:rPr>
        <w:fldChar w:fldCharType="begin"/>
      </w:r>
      <w:r>
        <w:rPr>
          <w:color w:val="auto"/>
          <w:highlight w:val="none"/>
        </w:rPr>
        <w:instrText xml:space="preserve"> PAGEREF _Toc5048 \h </w:instrText>
      </w:r>
      <w:r>
        <w:rPr>
          <w:color w:val="auto"/>
          <w:highlight w:val="none"/>
        </w:rPr>
        <w:fldChar w:fldCharType="separate"/>
      </w:r>
      <w:r>
        <w:rPr>
          <w:color w:val="auto"/>
          <w:highlight w:val="none"/>
        </w:rPr>
        <w:t>79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_Toc19175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55  </w:t>
      </w:r>
      <w:r>
        <w:rPr>
          <w:rFonts w:hint="eastAsia" w:ascii="仿宋" w:hAnsi="仿宋" w:eastAsia="仿宋" w:cs="仿宋"/>
          <w:bCs/>
          <w:color w:val="auto"/>
          <w:szCs w:val="24"/>
          <w:highlight w:val="none"/>
        </w:rPr>
        <w:t>工程试车</w:t>
      </w:r>
      <w:r>
        <w:rPr>
          <w:color w:val="auto"/>
          <w:highlight w:val="none"/>
        </w:rPr>
        <w:tab/>
      </w:r>
      <w:r>
        <w:rPr>
          <w:color w:val="auto"/>
          <w:highlight w:val="none"/>
        </w:rPr>
        <w:fldChar w:fldCharType="begin"/>
      </w:r>
      <w:r>
        <w:rPr>
          <w:color w:val="auto"/>
          <w:highlight w:val="none"/>
        </w:rPr>
        <w:instrText xml:space="preserve"> PAGEREF _Toc19175 \h </w:instrText>
      </w:r>
      <w:r>
        <w:rPr>
          <w:color w:val="auto"/>
          <w:highlight w:val="none"/>
        </w:rPr>
        <w:fldChar w:fldCharType="separate"/>
      </w:r>
      <w:r>
        <w:rPr>
          <w:color w:val="auto"/>
          <w:highlight w:val="none"/>
        </w:rPr>
        <w:t>79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_Toc15554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56  </w:t>
      </w:r>
      <w:r>
        <w:rPr>
          <w:rFonts w:hint="eastAsia" w:ascii="仿宋" w:hAnsi="仿宋" w:eastAsia="仿宋" w:cs="仿宋"/>
          <w:bCs/>
          <w:color w:val="auto"/>
          <w:szCs w:val="24"/>
          <w:highlight w:val="none"/>
        </w:rPr>
        <w:t>工程变更</w:t>
      </w:r>
      <w:r>
        <w:rPr>
          <w:color w:val="auto"/>
          <w:highlight w:val="none"/>
        </w:rPr>
        <w:tab/>
      </w:r>
      <w:r>
        <w:rPr>
          <w:color w:val="auto"/>
          <w:highlight w:val="none"/>
        </w:rPr>
        <w:fldChar w:fldCharType="begin"/>
      </w:r>
      <w:r>
        <w:rPr>
          <w:color w:val="auto"/>
          <w:highlight w:val="none"/>
        </w:rPr>
        <w:instrText xml:space="preserve"> PAGEREF _Toc15554 \h </w:instrText>
      </w:r>
      <w:r>
        <w:rPr>
          <w:color w:val="auto"/>
          <w:highlight w:val="none"/>
        </w:rPr>
        <w:fldChar w:fldCharType="separate"/>
      </w:r>
      <w:r>
        <w:rPr>
          <w:color w:val="auto"/>
          <w:highlight w:val="none"/>
        </w:rPr>
        <w:t>81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_Toc18607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57  </w:t>
      </w:r>
      <w:r>
        <w:rPr>
          <w:rFonts w:hint="eastAsia" w:ascii="仿宋" w:hAnsi="仿宋" w:eastAsia="仿宋" w:cs="仿宋"/>
          <w:bCs/>
          <w:color w:val="auto"/>
          <w:szCs w:val="24"/>
          <w:highlight w:val="none"/>
        </w:rPr>
        <w:t>竣工验收条件</w:t>
      </w:r>
      <w:r>
        <w:rPr>
          <w:color w:val="auto"/>
          <w:highlight w:val="none"/>
        </w:rPr>
        <w:tab/>
      </w:r>
      <w:r>
        <w:rPr>
          <w:color w:val="auto"/>
          <w:highlight w:val="none"/>
        </w:rPr>
        <w:fldChar w:fldCharType="begin"/>
      </w:r>
      <w:r>
        <w:rPr>
          <w:color w:val="auto"/>
          <w:highlight w:val="none"/>
        </w:rPr>
        <w:instrText xml:space="preserve"> PAGEREF _Toc18607 \h </w:instrText>
      </w:r>
      <w:r>
        <w:rPr>
          <w:color w:val="auto"/>
          <w:highlight w:val="none"/>
        </w:rPr>
        <w:fldChar w:fldCharType="separate"/>
      </w:r>
      <w:r>
        <w:rPr>
          <w:color w:val="auto"/>
          <w:highlight w:val="none"/>
        </w:rPr>
        <w:t>83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_Toc18784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58  </w:t>
      </w:r>
      <w:r>
        <w:rPr>
          <w:rFonts w:hint="eastAsia" w:ascii="仿宋" w:hAnsi="仿宋" w:eastAsia="仿宋" w:cs="仿宋"/>
          <w:bCs/>
          <w:color w:val="auto"/>
          <w:szCs w:val="24"/>
          <w:highlight w:val="none"/>
        </w:rPr>
        <w:t>竣工验收</w:t>
      </w:r>
      <w:r>
        <w:rPr>
          <w:color w:val="auto"/>
          <w:highlight w:val="none"/>
        </w:rPr>
        <w:tab/>
      </w:r>
      <w:r>
        <w:rPr>
          <w:color w:val="auto"/>
          <w:highlight w:val="none"/>
        </w:rPr>
        <w:fldChar w:fldCharType="begin"/>
      </w:r>
      <w:r>
        <w:rPr>
          <w:color w:val="auto"/>
          <w:highlight w:val="none"/>
        </w:rPr>
        <w:instrText xml:space="preserve"> PAGEREF _Toc18784 \h </w:instrText>
      </w:r>
      <w:r>
        <w:rPr>
          <w:color w:val="auto"/>
          <w:highlight w:val="none"/>
        </w:rPr>
        <w:fldChar w:fldCharType="separate"/>
      </w:r>
      <w:r>
        <w:rPr>
          <w:color w:val="auto"/>
          <w:highlight w:val="none"/>
        </w:rPr>
        <w:t>84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_Toc16149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59  </w:t>
      </w:r>
      <w:r>
        <w:rPr>
          <w:rFonts w:hint="eastAsia" w:ascii="仿宋" w:hAnsi="仿宋" w:eastAsia="仿宋" w:cs="仿宋"/>
          <w:bCs/>
          <w:color w:val="auto"/>
          <w:szCs w:val="24"/>
          <w:highlight w:val="none"/>
        </w:rPr>
        <w:t>缺陷责任与质量保修</w:t>
      </w:r>
      <w:r>
        <w:rPr>
          <w:color w:val="auto"/>
          <w:highlight w:val="none"/>
        </w:rPr>
        <w:tab/>
      </w:r>
      <w:r>
        <w:rPr>
          <w:color w:val="auto"/>
          <w:highlight w:val="none"/>
        </w:rPr>
        <w:fldChar w:fldCharType="begin"/>
      </w:r>
      <w:r>
        <w:rPr>
          <w:color w:val="auto"/>
          <w:highlight w:val="none"/>
        </w:rPr>
        <w:instrText xml:space="preserve"> PAGEREF _Toc16149 \h </w:instrText>
      </w:r>
      <w:r>
        <w:rPr>
          <w:color w:val="auto"/>
          <w:highlight w:val="none"/>
        </w:rPr>
        <w:fldChar w:fldCharType="separate"/>
      </w:r>
      <w:r>
        <w:rPr>
          <w:color w:val="auto"/>
          <w:highlight w:val="none"/>
        </w:rPr>
        <w:t>88</w:t>
      </w:r>
      <w:r>
        <w:rPr>
          <w:color w:val="auto"/>
          <w:highlight w:val="none"/>
        </w:rPr>
        <w:fldChar w:fldCharType="end"/>
      </w:r>
      <w:r>
        <w:rPr>
          <w:rFonts w:ascii="Times New Roman" w:hAnsi="Times New Roman" w:cs="Times New Roman"/>
          <w:color w:val="auto"/>
          <w:highlight w:val="none"/>
        </w:rPr>
        <w:fldChar w:fldCharType="end"/>
      </w:r>
    </w:p>
    <w:p>
      <w:pPr>
        <w:pStyle w:val="2"/>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_Toc1801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六、造</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价</w:t>
      </w:r>
      <w:r>
        <w:rPr>
          <w:color w:val="auto"/>
          <w:highlight w:val="none"/>
        </w:rPr>
        <w:tab/>
      </w:r>
      <w:r>
        <w:rPr>
          <w:color w:val="auto"/>
          <w:highlight w:val="none"/>
        </w:rPr>
        <w:fldChar w:fldCharType="begin"/>
      </w:r>
      <w:r>
        <w:rPr>
          <w:color w:val="auto"/>
          <w:highlight w:val="none"/>
        </w:rPr>
        <w:instrText xml:space="preserve"> PAGEREF _Toc1801 \h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_Toc17059 </w:instrText>
      </w:r>
      <w:r>
        <w:rPr>
          <w:rFonts w:ascii="Times New Roman" w:hAnsi="Times New Roman" w:cs="Times New Roman"/>
          <w:color w:val="auto"/>
          <w:highlight w:val="none"/>
        </w:rPr>
        <w:fldChar w:fldCharType="separate"/>
      </w:r>
      <w:r>
        <w:rPr>
          <w:rFonts w:ascii="仿宋" w:hAnsi="仿宋" w:eastAsia="仿宋" w:cs="仿宋"/>
          <w:color w:val="auto"/>
          <w:szCs w:val="24"/>
          <w:highlight w:val="none"/>
        </w:rPr>
        <w:t xml:space="preserve">60  </w:t>
      </w:r>
      <w:r>
        <w:rPr>
          <w:rFonts w:hint="eastAsia" w:ascii="仿宋" w:hAnsi="仿宋" w:eastAsia="仿宋" w:cs="仿宋"/>
          <w:color w:val="auto"/>
          <w:szCs w:val="24"/>
          <w:highlight w:val="none"/>
        </w:rPr>
        <w:t>资金计划和安排</w:t>
      </w:r>
      <w:r>
        <w:rPr>
          <w:color w:val="auto"/>
          <w:highlight w:val="none"/>
        </w:rPr>
        <w:tab/>
      </w:r>
      <w:r>
        <w:rPr>
          <w:color w:val="auto"/>
          <w:highlight w:val="none"/>
        </w:rPr>
        <w:fldChar w:fldCharType="begin"/>
      </w:r>
      <w:r>
        <w:rPr>
          <w:color w:val="auto"/>
          <w:highlight w:val="none"/>
        </w:rPr>
        <w:instrText xml:space="preserve"> PAGEREF _Toc17059 \h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_Toc26984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61  </w:t>
      </w:r>
      <w:r>
        <w:rPr>
          <w:rFonts w:hint="eastAsia" w:ascii="仿宋" w:hAnsi="仿宋" w:eastAsia="仿宋" w:cs="仿宋"/>
          <w:bCs/>
          <w:color w:val="auto"/>
          <w:szCs w:val="24"/>
          <w:highlight w:val="none"/>
        </w:rPr>
        <w:t>工程量</w:t>
      </w:r>
      <w:r>
        <w:rPr>
          <w:color w:val="auto"/>
          <w:highlight w:val="none"/>
        </w:rPr>
        <w:tab/>
      </w:r>
      <w:r>
        <w:rPr>
          <w:color w:val="auto"/>
          <w:highlight w:val="none"/>
        </w:rPr>
        <w:fldChar w:fldCharType="begin"/>
      </w:r>
      <w:r>
        <w:rPr>
          <w:color w:val="auto"/>
          <w:highlight w:val="none"/>
        </w:rPr>
        <w:instrText xml:space="preserve"> PAGEREF _Toc26984 \h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_Toc27789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62  </w:t>
      </w:r>
      <w:r>
        <w:rPr>
          <w:rFonts w:hint="eastAsia" w:ascii="仿宋" w:hAnsi="仿宋" w:eastAsia="仿宋" w:cs="仿宋"/>
          <w:bCs/>
          <w:color w:val="auto"/>
          <w:szCs w:val="24"/>
          <w:highlight w:val="none"/>
        </w:rPr>
        <w:t>工程计量和计价</w:t>
      </w:r>
      <w:r>
        <w:rPr>
          <w:color w:val="auto"/>
          <w:highlight w:val="none"/>
        </w:rPr>
        <w:tab/>
      </w:r>
      <w:r>
        <w:rPr>
          <w:color w:val="auto"/>
          <w:highlight w:val="none"/>
        </w:rPr>
        <w:fldChar w:fldCharType="begin"/>
      </w:r>
      <w:r>
        <w:rPr>
          <w:color w:val="auto"/>
          <w:highlight w:val="none"/>
        </w:rPr>
        <w:instrText xml:space="preserve"> PAGEREF _Toc27789 \h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_Toc12333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63  </w:t>
      </w:r>
      <w:r>
        <w:rPr>
          <w:rFonts w:hint="eastAsia" w:ascii="仿宋" w:hAnsi="仿宋" w:eastAsia="仿宋" w:cs="仿宋"/>
          <w:bCs/>
          <w:color w:val="auto"/>
          <w:szCs w:val="24"/>
          <w:highlight w:val="none"/>
        </w:rPr>
        <w:t>暂列金额</w:t>
      </w:r>
      <w:r>
        <w:rPr>
          <w:color w:val="auto"/>
          <w:highlight w:val="none"/>
        </w:rPr>
        <w:tab/>
      </w:r>
      <w:r>
        <w:rPr>
          <w:color w:val="auto"/>
          <w:highlight w:val="none"/>
        </w:rPr>
        <w:fldChar w:fldCharType="begin"/>
      </w:r>
      <w:r>
        <w:rPr>
          <w:color w:val="auto"/>
          <w:highlight w:val="none"/>
        </w:rPr>
        <w:instrText xml:space="preserve"> PAGEREF _Toc12333 \h </w:instrText>
      </w:r>
      <w:r>
        <w:rPr>
          <w:color w:val="auto"/>
          <w:highlight w:val="none"/>
        </w:rPr>
        <w:fldChar w:fldCharType="separate"/>
      </w:r>
      <w:r>
        <w:rPr>
          <w:color w:val="auto"/>
          <w:highlight w:val="none"/>
        </w:rPr>
        <w:t>92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_Toc9173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64  </w:t>
      </w:r>
      <w:r>
        <w:rPr>
          <w:rFonts w:hint="eastAsia" w:ascii="仿宋" w:hAnsi="仿宋" w:eastAsia="仿宋" w:cs="仿宋"/>
          <w:bCs/>
          <w:color w:val="auto"/>
          <w:szCs w:val="24"/>
          <w:highlight w:val="none"/>
        </w:rPr>
        <w:t>计日工</w:t>
      </w:r>
      <w:r>
        <w:rPr>
          <w:color w:val="auto"/>
          <w:highlight w:val="none"/>
        </w:rPr>
        <w:tab/>
      </w:r>
      <w:r>
        <w:rPr>
          <w:color w:val="auto"/>
          <w:highlight w:val="none"/>
        </w:rPr>
        <w:fldChar w:fldCharType="begin"/>
      </w:r>
      <w:r>
        <w:rPr>
          <w:color w:val="auto"/>
          <w:highlight w:val="none"/>
        </w:rPr>
        <w:instrText xml:space="preserve"> PAGEREF _Toc9173 \h </w:instrText>
      </w:r>
      <w:r>
        <w:rPr>
          <w:color w:val="auto"/>
          <w:highlight w:val="none"/>
        </w:rPr>
        <w:fldChar w:fldCharType="separate"/>
      </w:r>
      <w:r>
        <w:rPr>
          <w:color w:val="auto"/>
          <w:highlight w:val="none"/>
        </w:rPr>
        <w:t>92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_Toc23608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65  </w:t>
      </w:r>
      <w:r>
        <w:rPr>
          <w:rFonts w:hint="eastAsia" w:ascii="仿宋" w:hAnsi="仿宋" w:eastAsia="仿宋" w:cs="仿宋"/>
          <w:bCs/>
          <w:color w:val="auto"/>
          <w:szCs w:val="24"/>
          <w:highlight w:val="none"/>
        </w:rPr>
        <w:t>暂估价</w:t>
      </w:r>
      <w:r>
        <w:rPr>
          <w:color w:val="auto"/>
          <w:highlight w:val="none"/>
        </w:rPr>
        <w:tab/>
      </w:r>
      <w:r>
        <w:rPr>
          <w:color w:val="auto"/>
          <w:highlight w:val="none"/>
        </w:rPr>
        <w:fldChar w:fldCharType="begin"/>
      </w:r>
      <w:r>
        <w:rPr>
          <w:color w:val="auto"/>
          <w:highlight w:val="none"/>
        </w:rPr>
        <w:instrText xml:space="preserve"> PAGEREF _Toc23608 \h </w:instrText>
      </w:r>
      <w:r>
        <w:rPr>
          <w:color w:val="auto"/>
          <w:highlight w:val="none"/>
        </w:rPr>
        <w:fldChar w:fldCharType="separate"/>
      </w:r>
      <w:r>
        <w:rPr>
          <w:color w:val="auto"/>
          <w:highlight w:val="none"/>
        </w:rPr>
        <w:t>93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_Toc19502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66  </w:t>
      </w:r>
      <w:r>
        <w:rPr>
          <w:rFonts w:hint="eastAsia" w:ascii="仿宋" w:hAnsi="仿宋" w:eastAsia="仿宋" w:cs="仿宋"/>
          <w:bCs/>
          <w:color w:val="auto"/>
          <w:szCs w:val="24"/>
          <w:highlight w:val="none"/>
        </w:rPr>
        <w:t>提前竣工奖与误期赔偿费</w:t>
      </w:r>
      <w:r>
        <w:rPr>
          <w:color w:val="auto"/>
          <w:highlight w:val="none"/>
        </w:rPr>
        <w:tab/>
      </w:r>
      <w:r>
        <w:rPr>
          <w:color w:val="auto"/>
          <w:highlight w:val="none"/>
        </w:rPr>
        <w:fldChar w:fldCharType="begin"/>
      </w:r>
      <w:r>
        <w:rPr>
          <w:color w:val="auto"/>
          <w:highlight w:val="none"/>
        </w:rPr>
        <w:instrText xml:space="preserve"> PAGEREF _Toc19502 \h </w:instrText>
      </w:r>
      <w:r>
        <w:rPr>
          <w:color w:val="auto"/>
          <w:highlight w:val="none"/>
        </w:rPr>
        <w:fldChar w:fldCharType="separate"/>
      </w:r>
      <w:r>
        <w:rPr>
          <w:color w:val="auto"/>
          <w:highlight w:val="none"/>
        </w:rPr>
        <w:t>94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_Toc30557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67  </w:t>
      </w:r>
      <w:r>
        <w:rPr>
          <w:rFonts w:hint="eastAsia" w:ascii="仿宋" w:hAnsi="仿宋" w:eastAsia="仿宋" w:cs="仿宋"/>
          <w:bCs/>
          <w:color w:val="auto"/>
          <w:szCs w:val="24"/>
          <w:highlight w:val="none"/>
        </w:rPr>
        <w:t>工程优质费</w:t>
      </w:r>
      <w:r>
        <w:rPr>
          <w:color w:val="auto"/>
          <w:highlight w:val="none"/>
        </w:rPr>
        <w:tab/>
      </w:r>
      <w:r>
        <w:rPr>
          <w:color w:val="auto"/>
          <w:highlight w:val="none"/>
        </w:rPr>
        <w:fldChar w:fldCharType="begin"/>
      </w:r>
      <w:r>
        <w:rPr>
          <w:color w:val="auto"/>
          <w:highlight w:val="none"/>
        </w:rPr>
        <w:instrText xml:space="preserve"> PAGEREF _Toc30557 \h </w:instrText>
      </w:r>
      <w:r>
        <w:rPr>
          <w:color w:val="auto"/>
          <w:highlight w:val="none"/>
        </w:rPr>
        <w:fldChar w:fldCharType="separate"/>
      </w:r>
      <w:r>
        <w:rPr>
          <w:color w:val="auto"/>
          <w:highlight w:val="none"/>
        </w:rPr>
        <w:t>95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_Toc28999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68  </w:t>
      </w:r>
      <w:r>
        <w:rPr>
          <w:rFonts w:hint="eastAsia" w:ascii="仿宋" w:hAnsi="仿宋" w:eastAsia="仿宋" w:cs="仿宋"/>
          <w:bCs/>
          <w:color w:val="auto"/>
          <w:szCs w:val="24"/>
          <w:highlight w:val="none"/>
        </w:rPr>
        <w:t>合同价款的约定与调整</w:t>
      </w:r>
      <w:r>
        <w:rPr>
          <w:color w:val="auto"/>
          <w:highlight w:val="none"/>
        </w:rPr>
        <w:tab/>
      </w:r>
      <w:r>
        <w:rPr>
          <w:color w:val="auto"/>
          <w:highlight w:val="none"/>
        </w:rPr>
        <w:fldChar w:fldCharType="begin"/>
      </w:r>
      <w:r>
        <w:rPr>
          <w:color w:val="auto"/>
          <w:highlight w:val="none"/>
        </w:rPr>
        <w:instrText xml:space="preserve"> PAGEREF _Toc28999 \h </w:instrText>
      </w:r>
      <w:r>
        <w:rPr>
          <w:color w:val="auto"/>
          <w:highlight w:val="none"/>
        </w:rPr>
        <w:fldChar w:fldCharType="separate"/>
      </w:r>
      <w:r>
        <w:rPr>
          <w:color w:val="auto"/>
          <w:highlight w:val="none"/>
        </w:rPr>
        <w:t>95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_Toc2840 </w:instrText>
      </w:r>
      <w:r>
        <w:rPr>
          <w:rFonts w:ascii="Times New Roman" w:hAnsi="Times New Roman" w:cs="Times New Roman"/>
          <w:color w:val="auto"/>
          <w:highlight w:val="none"/>
        </w:rPr>
        <w:fldChar w:fldCharType="separate"/>
      </w:r>
      <w:r>
        <w:rPr>
          <w:rFonts w:hint="eastAsia" w:ascii="仿宋" w:hAnsi="仿宋" w:eastAsia="仿宋" w:cs="仿宋"/>
          <w:bCs w:val="0"/>
          <w:color w:val="auto"/>
          <w:szCs w:val="24"/>
          <w:highlight w:val="none"/>
        </w:rPr>
        <w:t>★</w:t>
      </w:r>
      <w:r>
        <w:rPr>
          <w:rFonts w:ascii="仿宋" w:hAnsi="仿宋" w:eastAsia="仿宋" w:cs="仿宋"/>
          <w:color w:val="auto"/>
          <w:szCs w:val="24"/>
          <w:highlight w:val="none"/>
        </w:rPr>
        <w:t xml:space="preserve">69  </w:t>
      </w:r>
      <w:r>
        <w:rPr>
          <w:rFonts w:hint="eastAsia" w:ascii="仿宋" w:hAnsi="仿宋" w:eastAsia="仿宋" w:cs="仿宋"/>
          <w:color w:val="auto"/>
          <w:szCs w:val="24"/>
          <w:highlight w:val="none"/>
        </w:rPr>
        <w:t>后继法律变化事件</w:t>
      </w:r>
      <w:r>
        <w:rPr>
          <w:color w:val="auto"/>
          <w:highlight w:val="none"/>
        </w:rPr>
        <w:tab/>
      </w:r>
      <w:r>
        <w:rPr>
          <w:color w:val="auto"/>
          <w:highlight w:val="none"/>
        </w:rPr>
        <w:fldChar w:fldCharType="begin"/>
      </w:r>
      <w:r>
        <w:rPr>
          <w:color w:val="auto"/>
          <w:highlight w:val="none"/>
        </w:rPr>
        <w:instrText xml:space="preserve"> PAGEREF _Toc2840 \h </w:instrText>
      </w:r>
      <w:r>
        <w:rPr>
          <w:color w:val="auto"/>
          <w:highlight w:val="none"/>
        </w:rPr>
        <w:fldChar w:fldCharType="separate"/>
      </w:r>
      <w:r>
        <w:rPr>
          <w:color w:val="auto"/>
          <w:highlight w:val="none"/>
        </w:rPr>
        <w:t>97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_Toc31018 </w:instrText>
      </w:r>
      <w:r>
        <w:rPr>
          <w:rFonts w:ascii="Times New Roman" w:hAnsi="Times New Roman" w:cs="Times New Roman"/>
          <w:color w:val="auto"/>
          <w:highlight w:val="none"/>
        </w:rPr>
        <w:fldChar w:fldCharType="separate"/>
      </w:r>
      <w:r>
        <w:rPr>
          <w:rFonts w:hint="eastAsia" w:ascii="仿宋" w:hAnsi="仿宋" w:eastAsia="仿宋" w:cs="仿宋"/>
          <w:bCs w:val="0"/>
          <w:color w:val="auto"/>
          <w:szCs w:val="24"/>
          <w:highlight w:val="none"/>
        </w:rPr>
        <w:t>★</w:t>
      </w:r>
      <w:r>
        <w:rPr>
          <w:rFonts w:ascii="仿宋" w:hAnsi="仿宋" w:eastAsia="仿宋" w:cs="仿宋"/>
          <w:bCs w:val="0"/>
          <w:color w:val="auto"/>
          <w:szCs w:val="24"/>
          <w:highlight w:val="none"/>
        </w:rPr>
        <w:t xml:space="preserve">70  </w:t>
      </w:r>
      <w:r>
        <w:rPr>
          <w:rFonts w:hint="eastAsia" w:ascii="仿宋" w:hAnsi="仿宋" w:eastAsia="仿宋" w:cs="仿宋"/>
          <w:bCs w:val="0"/>
          <w:color w:val="auto"/>
          <w:szCs w:val="24"/>
          <w:highlight w:val="none"/>
        </w:rPr>
        <w:t>项目特征描述不符事件</w:t>
      </w:r>
      <w:r>
        <w:rPr>
          <w:color w:val="auto"/>
          <w:highlight w:val="none"/>
        </w:rPr>
        <w:tab/>
      </w:r>
      <w:r>
        <w:rPr>
          <w:color w:val="auto"/>
          <w:highlight w:val="none"/>
        </w:rPr>
        <w:fldChar w:fldCharType="begin"/>
      </w:r>
      <w:r>
        <w:rPr>
          <w:color w:val="auto"/>
          <w:highlight w:val="none"/>
        </w:rPr>
        <w:instrText xml:space="preserve"> PAGEREF _Toc31018 \h </w:instrText>
      </w:r>
      <w:r>
        <w:rPr>
          <w:color w:val="auto"/>
          <w:highlight w:val="none"/>
        </w:rPr>
        <w:fldChar w:fldCharType="separate"/>
      </w:r>
      <w:r>
        <w:rPr>
          <w:color w:val="auto"/>
          <w:highlight w:val="none"/>
        </w:rPr>
        <w:t>98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_Toc17880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71  </w:t>
      </w:r>
      <w:r>
        <w:rPr>
          <w:rFonts w:hint="eastAsia" w:ascii="仿宋" w:hAnsi="仿宋" w:eastAsia="仿宋" w:cs="仿宋"/>
          <w:bCs/>
          <w:color w:val="auto"/>
          <w:szCs w:val="24"/>
          <w:highlight w:val="none"/>
        </w:rPr>
        <w:t>分部分项工程量清单缺项漏项事件</w:t>
      </w:r>
      <w:r>
        <w:rPr>
          <w:color w:val="auto"/>
          <w:highlight w:val="none"/>
        </w:rPr>
        <w:tab/>
      </w:r>
      <w:r>
        <w:rPr>
          <w:color w:val="auto"/>
          <w:highlight w:val="none"/>
        </w:rPr>
        <w:fldChar w:fldCharType="begin"/>
      </w:r>
      <w:r>
        <w:rPr>
          <w:color w:val="auto"/>
          <w:highlight w:val="none"/>
        </w:rPr>
        <w:instrText xml:space="preserve"> PAGEREF _Toc17880 \h </w:instrText>
      </w:r>
      <w:r>
        <w:rPr>
          <w:color w:val="auto"/>
          <w:highlight w:val="none"/>
        </w:rPr>
        <w:fldChar w:fldCharType="separate"/>
      </w:r>
      <w:r>
        <w:rPr>
          <w:color w:val="auto"/>
          <w:highlight w:val="none"/>
        </w:rPr>
        <w:t>98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_Toc32461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72  </w:t>
      </w:r>
      <w:r>
        <w:rPr>
          <w:rFonts w:hint="eastAsia" w:ascii="仿宋" w:hAnsi="仿宋" w:eastAsia="仿宋" w:cs="仿宋"/>
          <w:bCs/>
          <w:color w:val="auto"/>
          <w:szCs w:val="24"/>
          <w:highlight w:val="none"/>
        </w:rPr>
        <w:t>工程变更事件</w:t>
      </w:r>
      <w:r>
        <w:rPr>
          <w:color w:val="auto"/>
          <w:highlight w:val="none"/>
        </w:rPr>
        <w:tab/>
      </w:r>
      <w:r>
        <w:rPr>
          <w:color w:val="auto"/>
          <w:highlight w:val="none"/>
        </w:rPr>
        <w:fldChar w:fldCharType="begin"/>
      </w:r>
      <w:r>
        <w:rPr>
          <w:color w:val="auto"/>
          <w:highlight w:val="none"/>
        </w:rPr>
        <w:instrText xml:space="preserve"> PAGEREF _Toc32461 \h </w:instrText>
      </w:r>
      <w:r>
        <w:rPr>
          <w:color w:val="auto"/>
          <w:highlight w:val="none"/>
        </w:rPr>
        <w:fldChar w:fldCharType="separate"/>
      </w:r>
      <w:r>
        <w:rPr>
          <w:color w:val="auto"/>
          <w:highlight w:val="none"/>
        </w:rPr>
        <w:t>98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_Toc3036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73  </w:t>
      </w:r>
      <w:r>
        <w:rPr>
          <w:rFonts w:hint="eastAsia" w:ascii="仿宋" w:hAnsi="仿宋" w:eastAsia="仿宋" w:cs="仿宋"/>
          <w:bCs/>
          <w:color w:val="auto"/>
          <w:szCs w:val="24"/>
          <w:highlight w:val="none"/>
        </w:rPr>
        <w:t>工程量偏差事件</w:t>
      </w:r>
      <w:r>
        <w:rPr>
          <w:color w:val="auto"/>
          <w:highlight w:val="none"/>
        </w:rPr>
        <w:tab/>
      </w:r>
      <w:r>
        <w:rPr>
          <w:color w:val="auto"/>
          <w:highlight w:val="none"/>
        </w:rPr>
        <w:fldChar w:fldCharType="begin"/>
      </w:r>
      <w:r>
        <w:rPr>
          <w:color w:val="auto"/>
          <w:highlight w:val="none"/>
        </w:rPr>
        <w:instrText xml:space="preserve"> PAGEREF _Toc3036 \h </w:instrText>
      </w:r>
      <w:r>
        <w:rPr>
          <w:color w:val="auto"/>
          <w:highlight w:val="none"/>
        </w:rPr>
        <w:fldChar w:fldCharType="separate"/>
      </w:r>
      <w:r>
        <w:rPr>
          <w:color w:val="auto"/>
          <w:highlight w:val="none"/>
        </w:rPr>
        <w:t>101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_Toc15892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74  </w:t>
      </w:r>
      <w:r>
        <w:rPr>
          <w:rFonts w:hint="eastAsia" w:ascii="仿宋" w:hAnsi="仿宋" w:eastAsia="仿宋" w:cs="仿宋"/>
          <w:bCs/>
          <w:color w:val="auto"/>
          <w:szCs w:val="24"/>
          <w:highlight w:val="none"/>
        </w:rPr>
        <w:t>费用索赔事件</w:t>
      </w:r>
      <w:r>
        <w:rPr>
          <w:color w:val="auto"/>
          <w:highlight w:val="none"/>
        </w:rPr>
        <w:tab/>
      </w:r>
      <w:r>
        <w:rPr>
          <w:color w:val="auto"/>
          <w:highlight w:val="none"/>
        </w:rPr>
        <w:fldChar w:fldCharType="begin"/>
      </w:r>
      <w:r>
        <w:rPr>
          <w:color w:val="auto"/>
          <w:highlight w:val="none"/>
        </w:rPr>
        <w:instrText xml:space="preserve"> PAGEREF _Toc15892 \h </w:instrText>
      </w:r>
      <w:r>
        <w:rPr>
          <w:color w:val="auto"/>
          <w:highlight w:val="none"/>
        </w:rPr>
        <w:fldChar w:fldCharType="separate"/>
      </w:r>
      <w:r>
        <w:rPr>
          <w:color w:val="auto"/>
          <w:highlight w:val="none"/>
        </w:rPr>
        <w:t>102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_Toc22448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75  </w:t>
      </w:r>
      <w:r>
        <w:rPr>
          <w:rFonts w:hint="eastAsia" w:ascii="仿宋" w:hAnsi="仿宋" w:eastAsia="仿宋" w:cs="仿宋"/>
          <w:bCs/>
          <w:color w:val="auto"/>
          <w:szCs w:val="24"/>
          <w:highlight w:val="none"/>
        </w:rPr>
        <w:t>现场签证事件</w:t>
      </w:r>
      <w:r>
        <w:rPr>
          <w:color w:val="auto"/>
          <w:highlight w:val="none"/>
        </w:rPr>
        <w:tab/>
      </w:r>
      <w:r>
        <w:rPr>
          <w:color w:val="auto"/>
          <w:highlight w:val="none"/>
        </w:rPr>
        <w:fldChar w:fldCharType="begin"/>
      </w:r>
      <w:r>
        <w:rPr>
          <w:color w:val="auto"/>
          <w:highlight w:val="none"/>
        </w:rPr>
        <w:instrText xml:space="preserve"> PAGEREF _Toc22448 \h </w:instrText>
      </w:r>
      <w:r>
        <w:rPr>
          <w:color w:val="auto"/>
          <w:highlight w:val="none"/>
        </w:rPr>
        <w:fldChar w:fldCharType="separate"/>
      </w:r>
      <w:r>
        <w:rPr>
          <w:color w:val="auto"/>
          <w:highlight w:val="none"/>
        </w:rPr>
        <w:t>103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_Toc1218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76  </w:t>
      </w:r>
      <w:r>
        <w:rPr>
          <w:rFonts w:hint="eastAsia" w:ascii="仿宋" w:hAnsi="仿宋" w:eastAsia="仿宋" w:cs="仿宋"/>
          <w:bCs/>
          <w:color w:val="auto"/>
          <w:szCs w:val="24"/>
          <w:highlight w:val="none"/>
        </w:rPr>
        <w:t>物价涨落事件</w:t>
      </w:r>
      <w:r>
        <w:rPr>
          <w:color w:val="auto"/>
          <w:highlight w:val="none"/>
        </w:rPr>
        <w:tab/>
      </w:r>
      <w:r>
        <w:rPr>
          <w:color w:val="auto"/>
          <w:highlight w:val="none"/>
        </w:rPr>
        <w:fldChar w:fldCharType="begin"/>
      </w:r>
      <w:r>
        <w:rPr>
          <w:color w:val="auto"/>
          <w:highlight w:val="none"/>
        </w:rPr>
        <w:instrText xml:space="preserve"> PAGEREF _Toc1218 \h </w:instrText>
      </w:r>
      <w:r>
        <w:rPr>
          <w:color w:val="auto"/>
          <w:highlight w:val="none"/>
        </w:rPr>
        <w:fldChar w:fldCharType="separate"/>
      </w:r>
      <w:r>
        <w:rPr>
          <w:color w:val="auto"/>
          <w:highlight w:val="none"/>
        </w:rPr>
        <w:t>105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_Toc12231 </w:instrText>
      </w:r>
      <w:r>
        <w:rPr>
          <w:rFonts w:ascii="Times New Roman" w:hAnsi="Times New Roman" w:cs="Times New Roman"/>
          <w:color w:val="auto"/>
          <w:highlight w:val="none"/>
        </w:rPr>
        <w:fldChar w:fldCharType="separate"/>
      </w:r>
      <w:r>
        <w:rPr>
          <w:rFonts w:hint="eastAsia" w:ascii="仿宋" w:hAnsi="仿宋" w:eastAsia="仿宋" w:cs="仿宋"/>
          <w:bCs w:val="0"/>
          <w:color w:val="auto"/>
          <w:szCs w:val="24"/>
          <w:highlight w:val="none"/>
        </w:rPr>
        <w:t>★</w:t>
      </w:r>
      <w:r>
        <w:rPr>
          <w:rFonts w:ascii="仿宋" w:hAnsi="仿宋" w:eastAsia="仿宋" w:cs="仿宋"/>
          <w:bCs w:val="0"/>
          <w:color w:val="auto"/>
          <w:szCs w:val="24"/>
          <w:highlight w:val="none"/>
        </w:rPr>
        <w:t xml:space="preserve">77  </w:t>
      </w:r>
      <w:r>
        <w:rPr>
          <w:rFonts w:hint="eastAsia" w:ascii="仿宋" w:hAnsi="仿宋" w:eastAsia="仿宋" w:cs="仿宋"/>
          <w:bCs w:val="0"/>
          <w:color w:val="auto"/>
          <w:szCs w:val="24"/>
          <w:highlight w:val="none"/>
        </w:rPr>
        <w:t>合同价款调整程序</w:t>
      </w:r>
      <w:r>
        <w:rPr>
          <w:color w:val="auto"/>
          <w:highlight w:val="none"/>
        </w:rPr>
        <w:tab/>
      </w:r>
      <w:r>
        <w:rPr>
          <w:color w:val="auto"/>
          <w:highlight w:val="none"/>
        </w:rPr>
        <w:fldChar w:fldCharType="begin"/>
      </w:r>
      <w:r>
        <w:rPr>
          <w:color w:val="auto"/>
          <w:highlight w:val="none"/>
        </w:rPr>
        <w:instrText xml:space="preserve"> PAGEREF _Toc12231 \h </w:instrText>
      </w:r>
      <w:r>
        <w:rPr>
          <w:color w:val="auto"/>
          <w:highlight w:val="none"/>
        </w:rPr>
        <w:fldChar w:fldCharType="separate"/>
      </w:r>
      <w:r>
        <w:rPr>
          <w:color w:val="auto"/>
          <w:highlight w:val="none"/>
        </w:rPr>
        <w:t>106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_Toc30778 </w:instrText>
      </w:r>
      <w:r>
        <w:rPr>
          <w:rFonts w:ascii="Times New Roman" w:hAnsi="Times New Roman" w:cs="Times New Roman"/>
          <w:color w:val="auto"/>
          <w:highlight w:val="none"/>
        </w:rPr>
        <w:fldChar w:fldCharType="separate"/>
      </w:r>
      <w:r>
        <w:rPr>
          <w:rFonts w:hint="eastAsia" w:ascii="仿宋" w:hAnsi="仿宋" w:eastAsia="仿宋" w:cs="仿宋"/>
          <w:bCs w:val="0"/>
          <w:color w:val="auto"/>
          <w:szCs w:val="24"/>
          <w:highlight w:val="none"/>
        </w:rPr>
        <w:t>★</w:t>
      </w:r>
      <w:r>
        <w:rPr>
          <w:rFonts w:ascii="仿宋" w:hAnsi="仿宋" w:eastAsia="仿宋" w:cs="仿宋"/>
          <w:color w:val="auto"/>
          <w:szCs w:val="24"/>
          <w:highlight w:val="none"/>
        </w:rPr>
        <w:t xml:space="preserve">78  </w:t>
      </w:r>
      <w:r>
        <w:rPr>
          <w:rFonts w:hint="eastAsia" w:ascii="仿宋" w:hAnsi="仿宋" w:eastAsia="仿宋" w:cs="仿宋"/>
          <w:color w:val="auto"/>
          <w:szCs w:val="24"/>
          <w:highlight w:val="none"/>
        </w:rPr>
        <w:t>支付事项</w:t>
      </w:r>
      <w:r>
        <w:rPr>
          <w:color w:val="auto"/>
          <w:highlight w:val="none"/>
        </w:rPr>
        <w:tab/>
      </w:r>
      <w:r>
        <w:rPr>
          <w:color w:val="auto"/>
          <w:highlight w:val="none"/>
        </w:rPr>
        <w:fldChar w:fldCharType="begin"/>
      </w:r>
      <w:r>
        <w:rPr>
          <w:color w:val="auto"/>
          <w:highlight w:val="none"/>
        </w:rPr>
        <w:instrText xml:space="preserve"> PAGEREF _Toc30778 \h </w:instrText>
      </w:r>
      <w:r>
        <w:rPr>
          <w:color w:val="auto"/>
          <w:highlight w:val="none"/>
        </w:rPr>
        <w:fldChar w:fldCharType="separate"/>
      </w:r>
      <w:r>
        <w:rPr>
          <w:color w:val="auto"/>
          <w:highlight w:val="none"/>
        </w:rPr>
        <w:t>107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_Toc25038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79  </w:t>
      </w:r>
      <w:r>
        <w:rPr>
          <w:rFonts w:hint="eastAsia" w:ascii="仿宋" w:hAnsi="仿宋" w:eastAsia="仿宋" w:cs="仿宋"/>
          <w:bCs/>
          <w:color w:val="auto"/>
          <w:szCs w:val="24"/>
          <w:highlight w:val="none"/>
        </w:rPr>
        <w:t>预付款</w:t>
      </w:r>
      <w:r>
        <w:rPr>
          <w:color w:val="auto"/>
          <w:highlight w:val="none"/>
        </w:rPr>
        <w:tab/>
      </w:r>
      <w:r>
        <w:rPr>
          <w:color w:val="auto"/>
          <w:highlight w:val="none"/>
        </w:rPr>
        <w:fldChar w:fldCharType="begin"/>
      </w:r>
      <w:r>
        <w:rPr>
          <w:color w:val="auto"/>
          <w:highlight w:val="none"/>
        </w:rPr>
        <w:instrText xml:space="preserve"> PAGEREF _Toc25038 \h </w:instrText>
      </w:r>
      <w:r>
        <w:rPr>
          <w:color w:val="auto"/>
          <w:highlight w:val="none"/>
        </w:rPr>
        <w:fldChar w:fldCharType="separate"/>
      </w:r>
      <w:r>
        <w:rPr>
          <w:color w:val="auto"/>
          <w:highlight w:val="none"/>
        </w:rPr>
        <w:t>109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_Toc15866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80  </w:t>
      </w:r>
      <w:r>
        <w:rPr>
          <w:rFonts w:hint="eastAsia" w:ascii="仿宋" w:hAnsi="仿宋" w:eastAsia="仿宋" w:cs="仿宋"/>
          <w:bCs/>
          <w:color w:val="auto"/>
          <w:szCs w:val="24"/>
          <w:highlight w:val="none"/>
        </w:rPr>
        <w:t>绿色施工安全防护费</w:t>
      </w:r>
      <w:r>
        <w:rPr>
          <w:color w:val="auto"/>
          <w:highlight w:val="none"/>
        </w:rPr>
        <w:tab/>
      </w:r>
      <w:r>
        <w:rPr>
          <w:color w:val="auto"/>
          <w:highlight w:val="none"/>
        </w:rPr>
        <w:fldChar w:fldCharType="begin"/>
      </w:r>
      <w:r>
        <w:rPr>
          <w:color w:val="auto"/>
          <w:highlight w:val="none"/>
        </w:rPr>
        <w:instrText xml:space="preserve"> PAGEREF _Toc15866 \h </w:instrText>
      </w:r>
      <w:r>
        <w:rPr>
          <w:color w:val="auto"/>
          <w:highlight w:val="none"/>
        </w:rPr>
        <w:fldChar w:fldCharType="separate"/>
      </w:r>
      <w:r>
        <w:rPr>
          <w:color w:val="auto"/>
          <w:highlight w:val="none"/>
        </w:rPr>
        <w:t>110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_Toc31146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81  </w:t>
      </w:r>
      <w:r>
        <w:rPr>
          <w:rFonts w:hint="eastAsia" w:ascii="仿宋" w:hAnsi="仿宋" w:eastAsia="仿宋" w:cs="仿宋"/>
          <w:bCs/>
          <w:color w:val="auto"/>
          <w:szCs w:val="24"/>
          <w:highlight w:val="none"/>
        </w:rPr>
        <w:t>进度款</w:t>
      </w:r>
      <w:r>
        <w:rPr>
          <w:color w:val="auto"/>
          <w:highlight w:val="none"/>
        </w:rPr>
        <w:tab/>
      </w:r>
      <w:r>
        <w:rPr>
          <w:color w:val="auto"/>
          <w:highlight w:val="none"/>
        </w:rPr>
        <w:fldChar w:fldCharType="begin"/>
      </w:r>
      <w:r>
        <w:rPr>
          <w:color w:val="auto"/>
          <w:highlight w:val="none"/>
        </w:rPr>
        <w:instrText xml:space="preserve"> PAGEREF _Toc31146 \h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_Toc17716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82  </w:t>
      </w:r>
      <w:r>
        <w:rPr>
          <w:rFonts w:hint="eastAsia" w:ascii="仿宋" w:hAnsi="仿宋" w:eastAsia="仿宋" w:cs="仿宋"/>
          <w:bCs/>
          <w:color w:val="auto"/>
          <w:szCs w:val="24"/>
          <w:highlight w:val="none"/>
        </w:rPr>
        <w:t>竣工结算</w:t>
      </w:r>
      <w:r>
        <w:rPr>
          <w:color w:val="auto"/>
          <w:highlight w:val="none"/>
        </w:rPr>
        <w:tab/>
      </w:r>
      <w:r>
        <w:rPr>
          <w:color w:val="auto"/>
          <w:highlight w:val="none"/>
        </w:rPr>
        <w:fldChar w:fldCharType="begin"/>
      </w:r>
      <w:r>
        <w:rPr>
          <w:color w:val="auto"/>
          <w:highlight w:val="none"/>
        </w:rPr>
        <w:instrText xml:space="preserve"> PAGEREF _Toc17716 \h </w:instrText>
      </w:r>
      <w:r>
        <w:rPr>
          <w:color w:val="auto"/>
          <w:highlight w:val="none"/>
        </w:rPr>
        <w:fldChar w:fldCharType="separate"/>
      </w:r>
      <w:r>
        <w:rPr>
          <w:color w:val="auto"/>
          <w:highlight w:val="none"/>
        </w:rPr>
        <w:t>113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_Toc22839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83  </w:t>
      </w:r>
      <w:r>
        <w:rPr>
          <w:rFonts w:hint="eastAsia" w:ascii="仿宋" w:hAnsi="仿宋" w:eastAsia="仿宋" w:cs="仿宋"/>
          <w:bCs/>
          <w:color w:val="auto"/>
          <w:szCs w:val="24"/>
          <w:highlight w:val="none"/>
        </w:rPr>
        <w:t>结算款</w:t>
      </w:r>
      <w:r>
        <w:rPr>
          <w:color w:val="auto"/>
          <w:highlight w:val="none"/>
        </w:rPr>
        <w:tab/>
      </w:r>
      <w:r>
        <w:rPr>
          <w:color w:val="auto"/>
          <w:highlight w:val="none"/>
        </w:rPr>
        <w:fldChar w:fldCharType="begin"/>
      </w:r>
      <w:r>
        <w:rPr>
          <w:color w:val="auto"/>
          <w:highlight w:val="none"/>
        </w:rPr>
        <w:instrText xml:space="preserve"> PAGEREF _Toc22839 \h </w:instrText>
      </w:r>
      <w:r>
        <w:rPr>
          <w:color w:val="auto"/>
          <w:highlight w:val="none"/>
        </w:rPr>
        <w:fldChar w:fldCharType="separate"/>
      </w:r>
      <w:r>
        <w:rPr>
          <w:color w:val="auto"/>
          <w:highlight w:val="none"/>
        </w:rPr>
        <w:t>115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_Toc8695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w:t>
      </w:r>
      <w:r>
        <w:rPr>
          <w:rFonts w:ascii="仿宋" w:hAnsi="仿宋" w:eastAsia="仿宋" w:cs="仿宋"/>
          <w:bCs/>
          <w:color w:val="auto"/>
          <w:szCs w:val="24"/>
          <w:highlight w:val="none"/>
        </w:rPr>
        <w:t xml:space="preserve">84  </w:t>
      </w:r>
      <w:r>
        <w:rPr>
          <w:rFonts w:hint="eastAsia" w:ascii="仿宋" w:hAnsi="仿宋" w:eastAsia="仿宋" w:cs="仿宋"/>
          <w:bCs/>
          <w:color w:val="auto"/>
          <w:szCs w:val="24"/>
          <w:highlight w:val="none"/>
        </w:rPr>
        <w:t>质量保证金</w:t>
      </w:r>
      <w:r>
        <w:rPr>
          <w:color w:val="auto"/>
          <w:highlight w:val="none"/>
        </w:rPr>
        <w:tab/>
      </w:r>
      <w:r>
        <w:rPr>
          <w:color w:val="auto"/>
          <w:highlight w:val="none"/>
        </w:rPr>
        <w:fldChar w:fldCharType="begin"/>
      </w:r>
      <w:r>
        <w:rPr>
          <w:color w:val="auto"/>
          <w:highlight w:val="none"/>
        </w:rPr>
        <w:instrText xml:space="preserve"> PAGEREF _Toc8695 \h </w:instrText>
      </w:r>
      <w:r>
        <w:rPr>
          <w:color w:val="auto"/>
          <w:highlight w:val="none"/>
        </w:rPr>
        <w:fldChar w:fldCharType="separate"/>
      </w:r>
      <w:r>
        <w:rPr>
          <w:color w:val="auto"/>
          <w:highlight w:val="none"/>
        </w:rPr>
        <w:t>117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_Toc16204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85  </w:t>
      </w:r>
      <w:r>
        <w:rPr>
          <w:rFonts w:hint="eastAsia" w:ascii="仿宋" w:hAnsi="仿宋" w:eastAsia="仿宋" w:cs="仿宋"/>
          <w:bCs/>
          <w:color w:val="auto"/>
          <w:szCs w:val="24"/>
          <w:highlight w:val="none"/>
        </w:rPr>
        <w:t>最终清算款</w:t>
      </w:r>
      <w:r>
        <w:rPr>
          <w:color w:val="auto"/>
          <w:highlight w:val="none"/>
        </w:rPr>
        <w:tab/>
      </w:r>
      <w:r>
        <w:rPr>
          <w:color w:val="auto"/>
          <w:highlight w:val="none"/>
        </w:rPr>
        <w:fldChar w:fldCharType="begin"/>
      </w:r>
      <w:r>
        <w:rPr>
          <w:color w:val="auto"/>
          <w:highlight w:val="none"/>
        </w:rPr>
        <w:instrText xml:space="preserve"> PAGEREF _Toc16204 \h </w:instrText>
      </w:r>
      <w:r>
        <w:rPr>
          <w:color w:val="auto"/>
          <w:highlight w:val="none"/>
        </w:rPr>
        <w:fldChar w:fldCharType="separate"/>
      </w:r>
      <w:r>
        <w:rPr>
          <w:color w:val="auto"/>
          <w:highlight w:val="none"/>
        </w:rPr>
        <w:t>117</w:t>
      </w:r>
      <w:r>
        <w:rPr>
          <w:color w:val="auto"/>
          <w:highlight w:val="none"/>
        </w:rPr>
        <w:fldChar w:fldCharType="end"/>
      </w:r>
      <w:r>
        <w:rPr>
          <w:rFonts w:ascii="Times New Roman" w:hAnsi="Times New Roman" w:cs="Times New Roman"/>
          <w:color w:val="auto"/>
          <w:highlight w:val="none"/>
        </w:rPr>
        <w:fldChar w:fldCharType="end"/>
      </w:r>
    </w:p>
    <w:p>
      <w:pPr>
        <w:pStyle w:val="2"/>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_Toc11965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七、合同争议、解除与终止</w:t>
      </w:r>
      <w:r>
        <w:rPr>
          <w:color w:val="auto"/>
          <w:highlight w:val="none"/>
        </w:rPr>
        <w:tab/>
      </w:r>
      <w:r>
        <w:rPr>
          <w:color w:val="auto"/>
          <w:highlight w:val="none"/>
        </w:rPr>
        <w:fldChar w:fldCharType="begin"/>
      </w:r>
      <w:r>
        <w:rPr>
          <w:color w:val="auto"/>
          <w:highlight w:val="none"/>
        </w:rPr>
        <w:instrText xml:space="preserve"> PAGEREF _Toc11965 \h </w:instrText>
      </w:r>
      <w:r>
        <w:rPr>
          <w:color w:val="auto"/>
          <w:highlight w:val="none"/>
        </w:rPr>
        <w:fldChar w:fldCharType="separate"/>
      </w:r>
      <w:r>
        <w:rPr>
          <w:color w:val="auto"/>
          <w:highlight w:val="none"/>
        </w:rPr>
        <w:t>119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_Toc16270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86  </w:t>
      </w:r>
      <w:r>
        <w:rPr>
          <w:rFonts w:hint="eastAsia" w:ascii="仿宋" w:hAnsi="仿宋" w:eastAsia="仿宋" w:cs="仿宋"/>
          <w:bCs/>
          <w:color w:val="auto"/>
          <w:szCs w:val="24"/>
          <w:highlight w:val="none"/>
        </w:rPr>
        <w:t>合同争议</w:t>
      </w:r>
      <w:r>
        <w:rPr>
          <w:color w:val="auto"/>
          <w:highlight w:val="none"/>
        </w:rPr>
        <w:tab/>
      </w:r>
      <w:r>
        <w:rPr>
          <w:color w:val="auto"/>
          <w:highlight w:val="none"/>
        </w:rPr>
        <w:fldChar w:fldCharType="begin"/>
      </w:r>
      <w:r>
        <w:rPr>
          <w:color w:val="auto"/>
          <w:highlight w:val="none"/>
        </w:rPr>
        <w:instrText xml:space="preserve"> PAGEREF _Toc16270 \h </w:instrText>
      </w:r>
      <w:r>
        <w:rPr>
          <w:color w:val="auto"/>
          <w:highlight w:val="none"/>
        </w:rPr>
        <w:fldChar w:fldCharType="separate"/>
      </w:r>
      <w:r>
        <w:rPr>
          <w:color w:val="auto"/>
          <w:highlight w:val="none"/>
        </w:rPr>
        <w:t>119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_Toc3936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87  </w:t>
      </w:r>
      <w:r>
        <w:rPr>
          <w:rFonts w:hint="eastAsia" w:ascii="仿宋" w:hAnsi="仿宋" w:eastAsia="仿宋" w:cs="仿宋"/>
          <w:bCs/>
          <w:color w:val="auto"/>
          <w:szCs w:val="24"/>
          <w:highlight w:val="none"/>
        </w:rPr>
        <w:t>合同解除</w:t>
      </w:r>
      <w:r>
        <w:rPr>
          <w:color w:val="auto"/>
          <w:highlight w:val="none"/>
        </w:rPr>
        <w:tab/>
      </w:r>
      <w:r>
        <w:rPr>
          <w:color w:val="auto"/>
          <w:highlight w:val="none"/>
        </w:rPr>
        <w:fldChar w:fldCharType="begin"/>
      </w:r>
      <w:r>
        <w:rPr>
          <w:color w:val="auto"/>
          <w:highlight w:val="none"/>
        </w:rPr>
        <w:instrText xml:space="preserve"> PAGEREF _Toc3936 \h </w:instrText>
      </w:r>
      <w:r>
        <w:rPr>
          <w:color w:val="auto"/>
          <w:highlight w:val="none"/>
        </w:rPr>
        <w:fldChar w:fldCharType="separate"/>
      </w:r>
      <w:r>
        <w:rPr>
          <w:color w:val="auto"/>
          <w:highlight w:val="none"/>
        </w:rPr>
        <w:t>121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_Toc31246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88  </w:t>
      </w:r>
      <w:r>
        <w:rPr>
          <w:rFonts w:hint="eastAsia" w:ascii="仿宋" w:hAnsi="仿宋" w:eastAsia="仿宋" w:cs="仿宋"/>
          <w:bCs/>
          <w:color w:val="auto"/>
          <w:szCs w:val="24"/>
          <w:highlight w:val="none"/>
        </w:rPr>
        <w:t>合同解除的支付</w:t>
      </w:r>
      <w:r>
        <w:rPr>
          <w:color w:val="auto"/>
          <w:highlight w:val="none"/>
        </w:rPr>
        <w:tab/>
      </w:r>
      <w:r>
        <w:rPr>
          <w:color w:val="auto"/>
          <w:highlight w:val="none"/>
        </w:rPr>
        <w:fldChar w:fldCharType="begin"/>
      </w:r>
      <w:r>
        <w:rPr>
          <w:color w:val="auto"/>
          <w:highlight w:val="none"/>
        </w:rPr>
        <w:instrText xml:space="preserve"> PAGEREF _Toc31246 \h </w:instrText>
      </w:r>
      <w:r>
        <w:rPr>
          <w:color w:val="auto"/>
          <w:highlight w:val="none"/>
        </w:rPr>
        <w:fldChar w:fldCharType="separate"/>
      </w:r>
      <w:r>
        <w:rPr>
          <w:color w:val="auto"/>
          <w:highlight w:val="none"/>
        </w:rPr>
        <w:t>123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_Toc18626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89  </w:t>
      </w:r>
      <w:r>
        <w:rPr>
          <w:rFonts w:hint="eastAsia" w:ascii="仿宋" w:hAnsi="仿宋" w:eastAsia="仿宋" w:cs="仿宋"/>
          <w:bCs/>
          <w:color w:val="auto"/>
          <w:szCs w:val="24"/>
          <w:highlight w:val="none"/>
        </w:rPr>
        <w:t>合同终止</w:t>
      </w:r>
      <w:r>
        <w:rPr>
          <w:color w:val="auto"/>
          <w:highlight w:val="none"/>
        </w:rPr>
        <w:tab/>
      </w:r>
      <w:r>
        <w:rPr>
          <w:color w:val="auto"/>
          <w:highlight w:val="none"/>
        </w:rPr>
        <w:fldChar w:fldCharType="begin"/>
      </w:r>
      <w:r>
        <w:rPr>
          <w:color w:val="auto"/>
          <w:highlight w:val="none"/>
        </w:rPr>
        <w:instrText xml:space="preserve"> PAGEREF _Toc18626 \h </w:instrText>
      </w:r>
      <w:r>
        <w:rPr>
          <w:color w:val="auto"/>
          <w:highlight w:val="none"/>
        </w:rPr>
        <w:fldChar w:fldCharType="separate"/>
      </w:r>
      <w:r>
        <w:rPr>
          <w:color w:val="auto"/>
          <w:highlight w:val="none"/>
        </w:rPr>
        <w:t>124</w:t>
      </w:r>
      <w:r>
        <w:rPr>
          <w:color w:val="auto"/>
          <w:highlight w:val="none"/>
        </w:rPr>
        <w:fldChar w:fldCharType="end"/>
      </w:r>
      <w:r>
        <w:rPr>
          <w:rFonts w:ascii="Times New Roman" w:hAnsi="Times New Roman" w:cs="Times New Roman"/>
          <w:color w:val="auto"/>
          <w:highlight w:val="none"/>
        </w:rPr>
        <w:fldChar w:fldCharType="end"/>
      </w:r>
    </w:p>
    <w:p>
      <w:pPr>
        <w:pStyle w:val="2"/>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_Toc6361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八、违 约 责 任</w:t>
      </w:r>
      <w:r>
        <w:rPr>
          <w:color w:val="auto"/>
          <w:highlight w:val="none"/>
        </w:rPr>
        <w:tab/>
      </w:r>
      <w:r>
        <w:rPr>
          <w:color w:val="auto"/>
          <w:highlight w:val="none"/>
        </w:rPr>
        <w:fldChar w:fldCharType="begin"/>
      </w:r>
      <w:r>
        <w:rPr>
          <w:color w:val="auto"/>
          <w:highlight w:val="none"/>
        </w:rPr>
        <w:instrText xml:space="preserve"> PAGEREF _Toc6361 \h </w:instrText>
      </w:r>
      <w:r>
        <w:rPr>
          <w:color w:val="auto"/>
          <w:highlight w:val="none"/>
        </w:rPr>
        <w:fldChar w:fldCharType="separate"/>
      </w:r>
      <w:r>
        <w:rPr>
          <w:color w:val="auto"/>
          <w:highlight w:val="none"/>
        </w:rPr>
        <w:t>125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_Toc31406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bCs/>
          <w:color w:val="auto"/>
          <w:szCs w:val="24"/>
          <w:highlight w:val="none"/>
        </w:rPr>
        <w:t xml:space="preserve">90  </w:t>
      </w:r>
      <w:r>
        <w:rPr>
          <w:rFonts w:hint="eastAsia" w:ascii="仿宋" w:hAnsi="仿宋" w:eastAsia="仿宋" w:cs="仿宋"/>
          <w:bCs/>
          <w:color w:val="auto"/>
          <w:szCs w:val="24"/>
          <w:highlight w:val="none"/>
        </w:rPr>
        <w:t>承包人的违约责任</w:t>
      </w:r>
      <w:r>
        <w:rPr>
          <w:color w:val="auto"/>
          <w:highlight w:val="none"/>
        </w:rPr>
        <w:tab/>
      </w:r>
      <w:r>
        <w:rPr>
          <w:color w:val="auto"/>
          <w:highlight w:val="none"/>
        </w:rPr>
        <w:fldChar w:fldCharType="begin"/>
      </w:r>
      <w:r>
        <w:rPr>
          <w:color w:val="auto"/>
          <w:highlight w:val="none"/>
        </w:rPr>
        <w:instrText xml:space="preserve"> PAGEREF _Toc31406 \h </w:instrText>
      </w:r>
      <w:r>
        <w:rPr>
          <w:color w:val="auto"/>
          <w:highlight w:val="none"/>
        </w:rPr>
        <w:fldChar w:fldCharType="separate"/>
      </w:r>
      <w:r>
        <w:rPr>
          <w:color w:val="auto"/>
          <w:highlight w:val="none"/>
        </w:rPr>
        <w:t>125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_Toc2767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bCs/>
          <w:color w:val="auto"/>
          <w:szCs w:val="24"/>
          <w:highlight w:val="none"/>
        </w:rPr>
        <w:t xml:space="preserve">91 </w:t>
      </w:r>
      <w:r>
        <w:rPr>
          <w:rFonts w:hint="eastAsia" w:ascii="仿宋" w:hAnsi="仿宋" w:eastAsia="仿宋" w:cs="仿宋"/>
          <w:bCs/>
          <w:color w:val="auto"/>
          <w:szCs w:val="24"/>
          <w:highlight w:val="none"/>
        </w:rPr>
        <w:t>发包人的违约责任</w:t>
      </w:r>
      <w:r>
        <w:rPr>
          <w:color w:val="auto"/>
          <w:highlight w:val="none"/>
        </w:rPr>
        <w:tab/>
      </w:r>
      <w:r>
        <w:rPr>
          <w:color w:val="auto"/>
          <w:highlight w:val="none"/>
        </w:rPr>
        <w:fldChar w:fldCharType="begin"/>
      </w:r>
      <w:r>
        <w:rPr>
          <w:color w:val="auto"/>
          <w:highlight w:val="none"/>
        </w:rPr>
        <w:instrText xml:space="preserve"> PAGEREF _Toc2767 \h </w:instrText>
      </w:r>
      <w:r>
        <w:rPr>
          <w:color w:val="auto"/>
          <w:highlight w:val="none"/>
        </w:rPr>
        <w:fldChar w:fldCharType="separate"/>
      </w:r>
      <w:r>
        <w:rPr>
          <w:color w:val="auto"/>
          <w:highlight w:val="none"/>
        </w:rPr>
        <w:t>125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_Toc30137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w:t>
      </w:r>
      <w:r>
        <w:rPr>
          <w:rFonts w:ascii="仿宋" w:hAnsi="仿宋" w:eastAsia="仿宋" w:cs="仿宋"/>
          <w:bCs/>
          <w:color w:val="auto"/>
          <w:szCs w:val="24"/>
          <w:highlight w:val="none"/>
        </w:rPr>
        <w:t xml:space="preserve">92  </w:t>
      </w:r>
      <w:r>
        <w:rPr>
          <w:rFonts w:hint="eastAsia" w:ascii="仿宋" w:hAnsi="仿宋" w:eastAsia="仿宋" w:cs="仿宋"/>
          <w:bCs/>
          <w:color w:val="auto"/>
          <w:szCs w:val="24"/>
          <w:highlight w:val="none"/>
        </w:rPr>
        <w:t>除外责任</w:t>
      </w:r>
      <w:r>
        <w:rPr>
          <w:color w:val="auto"/>
          <w:highlight w:val="none"/>
        </w:rPr>
        <w:tab/>
      </w:r>
      <w:r>
        <w:rPr>
          <w:color w:val="auto"/>
          <w:highlight w:val="none"/>
        </w:rPr>
        <w:fldChar w:fldCharType="begin"/>
      </w:r>
      <w:r>
        <w:rPr>
          <w:color w:val="auto"/>
          <w:highlight w:val="none"/>
        </w:rPr>
        <w:instrText xml:space="preserve"> PAGEREF _Toc30137 \h </w:instrText>
      </w:r>
      <w:r>
        <w:rPr>
          <w:color w:val="auto"/>
          <w:highlight w:val="none"/>
        </w:rPr>
        <w:fldChar w:fldCharType="separate"/>
      </w:r>
      <w:r>
        <w:rPr>
          <w:color w:val="auto"/>
          <w:highlight w:val="none"/>
        </w:rPr>
        <w:t>125</w:t>
      </w:r>
      <w:r>
        <w:rPr>
          <w:color w:val="auto"/>
          <w:highlight w:val="none"/>
        </w:rPr>
        <w:fldChar w:fldCharType="end"/>
      </w:r>
      <w:r>
        <w:rPr>
          <w:rFonts w:ascii="Times New Roman" w:hAnsi="Times New Roman" w:cs="Times New Roman"/>
          <w:color w:val="auto"/>
          <w:highlight w:val="none"/>
        </w:rPr>
        <w:fldChar w:fldCharType="end"/>
      </w:r>
    </w:p>
    <w:p>
      <w:pPr>
        <w:pStyle w:val="2"/>
        <w:tabs>
          <w:tab w:val="right" w:leader="dot" w:pos="10204"/>
          <w:tab w:val="clear" w:pos="9060"/>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_Toc28296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九、其</w:t>
      </w:r>
      <w:r>
        <w:rPr>
          <w:rFonts w:ascii="仿宋" w:hAnsi="仿宋" w:eastAsia="仿宋" w:cs="仿宋"/>
          <w:bCs/>
          <w:color w:val="auto"/>
          <w:szCs w:val="24"/>
          <w:highlight w:val="none"/>
        </w:rPr>
        <w:t xml:space="preserve">  </w:t>
      </w:r>
      <w:r>
        <w:rPr>
          <w:rFonts w:hint="eastAsia" w:ascii="仿宋" w:hAnsi="仿宋" w:eastAsia="仿宋" w:cs="仿宋"/>
          <w:bCs/>
          <w:color w:val="auto"/>
          <w:szCs w:val="24"/>
          <w:highlight w:val="none"/>
        </w:rPr>
        <w:t>他</w:t>
      </w:r>
      <w:r>
        <w:rPr>
          <w:color w:val="auto"/>
          <w:highlight w:val="none"/>
        </w:rPr>
        <w:tab/>
      </w:r>
      <w:r>
        <w:rPr>
          <w:color w:val="auto"/>
          <w:highlight w:val="none"/>
        </w:rPr>
        <w:fldChar w:fldCharType="begin"/>
      </w:r>
      <w:r>
        <w:rPr>
          <w:color w:val="auto"/>
          <w:highlight w:val="none"/>
        </w:rPr>
        <w:instrText xml:space="preserve"> PAGEREF _Toc28296 \h </w:instrText>
      </w:r>
      <w:r>
        <w:rPr>
          <w:color w:val="auto"/>
          <w:highlight w:val="none"/>
        </w:rPr>
        <w:fldChar w:fldCharType="separate"/>
      </w:r>
      <w:r>
        <w:rPr>
          <w:color w:val="auto"/>
          <w:highlight w:val="none"/>
        </w:rPr>
        <w:t>126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_Toc29993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93  </w:t>
      </w:r>
      <w:r>
        <w:rPr>
          <w:rFonts w:hint="eastAsia" w:ascii="仿宋" w:hAnsi="仿宋" w:eastAsia="仿宋" w:cs="仿宋"/>
          <w:bCs/>
          <w:color w:val="auto"/>
          <w:szCs w:val="24"/>
          <w:highlight w:val="none"/>
        </w:rPr>
        <w:t>缴纳税费</w:t>
      </w:r>
      <w:r>
        <w:rPr>
          <w:color w:val="auto"/>
          <w:highlight w:val="none"/>
        </w:rPr>
        <w:tab/>
      </w:r>
      <w:r>
        <w:rPr>
          <w:color w:val="auto"/>
          <w:highlight w:val="none"/>
        </w:rPr>
        <w:fldChar w:fldCharType="begin"/>
      </w:r>
      <w:r>
        <w:rPr>
          <w:color w:val="auto"/>
          <w:highlight w:val="none"/>
        </w:rPr>
        <w:instrText xml:space="preserve"> PAGEREF _Toc29993 \h </w:instrText>
      </w:r>
      <w:r>
        <w:rPr>
          <w:color w:val="auto"/>
          <w:highlight w:val="none"/>
        </w:rPr>
        <w:fldChar w:fldCharType="separate"/>
      </w:r>
      <w:r>
        <w:rPr>
          <w:color w:val="auto"/>
          <w:highlight w:val="none"/>
        </w:rPr>
        <w:t>126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_Toc29966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94  </w:t>
      </w:r>
      <w:r>
        <w:rPr>
          <w:rFonts w:hint="eastAsia" w:ascii="仿宋" w:hAnsi="仿宋" w:eastAsia="仿宋" w:cs="仿宋"/>
          <w:bCs/>
          <w:color w:val="auto"/>
          <w:szCs w:val="24"/>
          <w:highlight w:val="none"/>
        </w:rPr>
        <w:t>保密要求</w:t>
      </w:r>
      <w:r>
        <w:rPr>
          <w:color w:val="auto"/>
          <w:highlight w:val="none"/>
        </w:rPr>
        <w:tab/>
      </w:r>
      <w:r>
        <w:rPr>
          <w:color w:val="auto"/>
          <w:highlight w:val="none"/>
        </w:rPr>
        <w:fldChar w:fldCharType="begin"/>
      </w:r>
      <w:r>
        <w:rPr>
          <w:color w:val="auto"/>
          <w:highlight w:val="none"/>
        </w:rPr>
        <w:instrText xml:space="preserve"> PAGEREF _Toc29966 \h </w:instrText>
      </w:r>
      <w:r>
        <w:rPr>
          <w:color w:val="auto"/>
          <w:highlight w:val="none"/>
        </w:rPr>
        <w:fldChar w:fldCharType="separate"/>
      </w:r>
      <w:r>
        <w:rPr>
          <w:color w:val="auto"/>
          <w:highlight w:val="none"/>
        </w:rPr>
        <w:t>126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_Toc947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95 </w:t>
      </w:r>
      <w:r>
        <w:rPr>
          <w:rFonts w:hint="eastAsia" w:ascii="仿宋" w:hAnsi="仿宋" w:eastAsia="仿宋" w:cs="仿宋"/>
          <w:bCs/>
          <w:color w:val="auto"/>
          <w:szCs w:val="24"/>
          <w:highlight w:val="none"/>
        </w:rPr>
        <w:t>廉政建设</w:t>
      </w:r>
      <w:r>
        <w:rPr>
          <w:color w:val="auto"/>
          <w:highlight w:val="none"/>
        </w:rPr>
        <w:tab/>
      </w:r>
      <w:r>
        <w:rPr>
          <w:color w:val="auto"/>
          <w:highlight w:val="none"/>
        </w:rPr>
        <w:fldChar w:fldCharType="begin"/>
      </w:r>
      <w:r>
        <w:rPr>
          <w:color w:val="auto"/>
          <w:highlight w:val="none"/>
        </w:rPr>
        <w:instrText xml:space="preserve"> PAGEREF _Toc947 \h </w:instrText>
      </w:r>
      <w:r>
        <w:rPr>
          <w:color w:val="auto"/>
          <w:highlight w:val="none"/>
        </w:rPr>
        <w:fldChar w:fldCharType="separate"/>
      </w:r>
      <w:r>
        <w:rPr>
          <w:color w:val="auto"/>
          <w:highlight w:val="none"/>
        </w:rPr>
        <w:t>127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_Toc8211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96  </w:t>
      </w:r>
      <w:r>
        <w:rPr>
          <w:rFonts w:hint="eastAsia" w:ascii="仿宋" w:hAnsi="仿宋" w:eastAsia="仿宋" w:cs="仿宋"/>
          <w:bCs/>
          <w:color w:val="auto"/>
          <w:szCs w:val="24"/>
          <w:highlight w:val="none"/>
        </w:rPr>
        <w:t>禁止转让</w:t>
      </w:r>
      <w:r>
        <w:rPr>
          <w:color w:val="auto"/>
          <w:highlight w:val="none"/>
        </w:rPr>
        <w:tab/>
      </w:r>
      <w:r>
        <w:rPr>
          <w:color w:val="auto"/>
          <w:highlight w:val="none"/>
        </w:rPr>
        <w:fldChar w:fldCharType="begin"/>
      </w:r>
      <w:r>
        <w:rPr>
          <w:color w:val="auto"/>
          <w:highlight w:val="none"/>
        </w:rPr>
        <w:instrText xml:space="preserve"> PAGEREF _Toc8211 \h </w:instrText>
      </w:r>
      <w:r>
        <w:rPr>
          <w:color w:val="auto"/>
          <w:highlight w:val="none"/>
        </w:rPr>
        <w:fldChar w:fldCharType="separate"/>
      </w:r>
      <w:r>
        <w:rPr>
          <w:color w:val="auto"/>
          <w:highlight w:val="none"/>
        </w:rPr>
        <w:t>128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_Toc21838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97  </w:t>
      </w:r>
      <w:r>
        <w:rPr>
          <w:rFonts w:hint="eastAsia" w:ascii="仿宋" w:hAnsi="仿宋" w:eastAsia="仿宋" w:cs="仿宋"/>
          <w:bCs/>
          <w:color w:val="auto"/>
          <w:szCs w:val="24"/>
          <w:highlight w:val="none"/>
        </w:rPr>
        <w:t>合同份数</w:t>
      </w:r>
      <w:r>
        <w:rPr>
          <w:color w:val="auto"/>
          <w:highlight w:val="none"/>
        </w:rPr>
        <w:tab/>
      </w:r>
      <w:r>
        <w:rPr>
          <w:color w:val="auto"/>
          <w:highlight w:val="none"/>
        </w:rPr>
        <w:fldChar w:fldCharType="begin"/>
      </w:r>
      <w:r>
        <w:rPr>
          <w:color w:val="auto"/>
          <w:highlight w:val="none"/>
        </w:rPr>
        <w:instrText xml:space="preserve"> PAGEREF _Toc21838 \h </w:instrText>
      </w:r>
      <w:r>
        <w:rPr>
          <w:color w:val="auto"/>
          <w:highlight w:val="none"/>
        </w:rPr>
        <w:fldChar w:fldCharType="separate"/>
      </w:r>
      <w:r>
        <w:rPr>
          <w:color w:val="auto"/>
          <w:highlight w:val="none"/>
        </w:rPr>
        <w:t>128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_Toc8374 </w:instrText>
      </w:r>
      <w:r>
        <w:rPr>
          <w:rFonts w:ascii="Times New Roman" w:hAnsi="Times New Roman" w:cs="Times New Roman"/>
          <w:color w:val="auto"/>
          <w:highlight w:val="none"/>
        </w:rPr>
        <w:fldChar w:fldCharType="separate"/>
      </w:r>
      <w:r>
        <w:rPr>
          <w:rFonts w:ascii="仿宋" w:hAnsi="仿宋" w:eastAsia="仿宋" w:cs="仿宋"/>
          <w:bCs/>
          <w:color w:val="auto"/>
          <w:szCs w:val="24"/>
          <w:highlight w:val="none"/>
        </w:rPr>
        <w:t xml:space="preserve">98  </w:t>
      </w:r>
      <w:r>
        <w:rPr>
          <w:rFonts w:hint="eastAsia" w:ascii="仿宋" w:hAnsi="仿宋" w:eastAsia="仿宋" w:cs="仿宋"/>
          <w:bCs/>
          <w:color w:val="auto"/>
          <w:szCs w:val="24"/>
          <w:highlight w:val="none"/>
        </w:rPr>
        <w:t>合同管理</w:t>
      </w:r>
      <w:r>
        <w:rPr>
          <w:color w:val="auto"/>
          <w:highlight w:val="none"/>
        </w:rPr>
        <w:tab/>
      </w:r>
      <w:r>
        <w:rPr>
          <w:color w:val="auto"/>
          <w:highlight w:val="none"/>
        </w:rPr>
        <w:fldChar w:fldCharType="begin"/>
      </w:r>
      <w:r>
        <w:rPr>
          <w:color w:val="auto"/>
          <w:highlight w:val="none"/>
        </w:rPr>
        <w:instrText xml:space="preserve"> PAGEREF _Toc8374 \h </w:instrText>
      </w:r>
      <w:r>
        <w:rPr>
          <w:color w:val="auto"/>
          <w:highlight w:val="none"/>
        </w:rPr>
        <w:fldChar w:fldCharType="separate"/>
      </w:r>
      <w:r>
        <w:rPr>
          <w:color w:val="auto"/>
          <w:highlight w:val="none"/>
        </w:rPr>
        <w:t>129</w:t>
      </w:r>
      <w:r>
        <w:rPr>
          <w:color w:val="auto"/>
          <w:highlight w:val="none"/>
        </w:rPr>
        <w:fldChar w:fldCharType="end"/>
      </w:r>
      <w:r>
        <w:rPr>
          <w:rFonts w:ascii="Times New Roman" w:hAnsi="Times New Roman" w:cs="Times New Roman"/>
          <w:color w:val="auto"/>
          <w:highlight w:val="none"/>
        </w:rPr>
        <w:fldChar w:fldCharType="end"/>
      </w:r>
    </w:p>
    <w:p>
      <w:pPr>
        <w:pStyle w:val="19"/>
        <w:tabs>
          <w:tab w:val="right" w:leader="dot" w:pos="10204"/>
          <w:tab w:val="clear" w:pos="8493"/>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_Toc7843 </w:instrText>
      </w:r>
      <w:r>
        <w:rPr>
          <w:rFonts w:ascii="Times New Roman" w:hAnsi="Times New Roman" w:cs="Times New Roman"/>
          <w:color w:val="auto"/>
          <w:highlight w:val="none"/>
        </w:rPr>
        <w:fldChar w:fldCharType="separate"/>
      </w:r>
      <w:r>
        <w:rPr>
          <w:rFonts w:hint="eastAsia" w:ascii="黑体" w:hAnsi="黑体" w:eastAsia="黑体" w:cs="黑体"/>
          <w:color w:val="auto"/>
          <w:szCs w:val="20"/>
          <w:highlight w:val="none"/>
        </w:rPr>
        <w:t>第三部分  专用条款</w:t>
      </w:r>
      <w:r>
        <w:rPr>
          <w:color w:val="auto"/>
          <w:highlight w:val="none"/>
        </w:rPr>
        <w:tab/>
      </w:r>
      <w:r>
        <w:rPr>
          <w:color w:val="auto"/>
          <w:highlight w:val="none"/>
        </w:rPr>
        <w:fldChar w:fldCharType="begin"/>
      </w:r>
      <w:r>
        <w:rPr>
          <w:color w:val="auto"/>
          <w:highlight w:val="none"/>
        </w:rPr>
        <w:instrText xml:space="preserve"> PAGEREF _Toc7843 \h </w:instrText>
      </w:r>
      <w:r>
        <w:rPr>
          <w:color w:val="auto"/>
          <w:highlight w:val="none"/>
        </w:rPr>
        <w:fldChar w:fldCharType="separate"/>
      </w:r>
      <w:r>
        <w:rPr>
          <w:color w:val="auto"/>
          <w:highlight w:val="none"/>
        </w:rPr>
        <w:t>130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_Toc24611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 定义</w:t>
      </w:r>
      <w:r>
        <w:rPr>
          <w:color w:val="auto"/>
          <w:highlight w:val="none"/>
        </w:rPr>
        <w:tab/>
      </w:r>
      <w:r>
        <w:rPr>
          <w:color w:val="auto"/>
          <w:highlight w:val="none"/>
        </w:rPr>
        <w:fldChar w:fldCharType="begin"/>
      </w:r>
      <w:r>
        <w:rPr>
          <w:color w:val="auto"/>
          <w:highlight w:val="none"/>
        </w:rPr>
        <w:instrText xml:space="preserve"> PAGEREF _Toc24611 \h </w:instrText>
      </w:r>
      <w:r>
        <w:rPr>
          <w:color w:val="auto"/>
          <w:highlight w:val="none"/>
        </w:rPr>
        <w:fldChar w:fldCharType="separate"/>
      </w:r>
      <w:r>
        <w:rPr>
          <w:color w:val="auto"/>
          <w:highlight w:val="none"/>
        </w:rPr>
        <w:t>130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_Toc5823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 语言及适用的法律、标准与规范</w:t>
      </w:r>
      <w:r>
        <w:rPr>
          <w:color w:val="auto"/>
          <w:highlight w:val="none"/>
        </w:rPr>
        <w:tab/>
      </w:r>
      <w:r>
        <w:rPr>
          <w:color w:val="auto"/>
          <w:highlight w:val="none"/>
        </w:rPr>
        <w:fldChar w:fldCharType="begin"/>
      </w:r>
      <w:r>
        <w:rPr>
          <w:color w:val="auto"/>
          <w:highlight w:val="none"/>
        </w:rPr>
        <w:instrText xml:space="preserve"> PAGEREF _Toc5823 \h </w:instrText>
      </w:r>
      <w:r>
        <w:rPr>
          <w:color w:val="auto"/>
          <w:highlight w:val="none"/>
        </w:rPr>
        <w:fldChar w:fldCharType="separate"/>
      </w:r>
      <w:r>
        <w:rPr>
          <w:color w:val="auto"/>
          <w:highlight w:val="none"/>
        </w:rPr>
        <w:t>131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_Toc15045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 施工设计图纸</w:t>
      </w:r>
      <w:r>
        <w:rPr>
          <w:color w:val="auto"/>
          <w:highlight w:val="none"/>
        </w:rPr>
        <w:tab/>
      </w:r>
      <w:r>
        <w:rPr>
          <w:color w:val="auto"/>
          <w:highlight w:val="none"/>
        </w:rPr>
        <w:fldChar w:fldCharType="begin"/>
      </w:r>
      <w:r>
        <w:rPr>
          <w:color w:val="auto"/>
          <w:highlight w:val="none"/>
        </w:rPr>
        <w:instrText xml:space="preserve"> PAGEREF _Toc15045 \h </w:instrText>
      </w:r>
      <w:r>
        <w:rPr>
          <w:color w:val="auto"/>
          <w:highlight w:val="none"/>
        </w:rPr>
        <w:fldChar w:fldCharType="separate"/>
      </w:r>
      <w:r>
        <w:rPr>
          <w:color w:val="auto"/>
          <w:highlight w:val="none"/>
        </w:rPr>
        <w:t>131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_Toc2964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 通讯联络</w:t>
      </w:r>
      <w:r>
        <w:rPr>
          <w:color w:val="auto"/>
          <w:highlight w:val="none"/>
        </w:rPr>
        <w:tab/>
      </w:r>
      <w:r>
        <w:rPr>
          <w:color w:val="auto"/>
          <w:highlight w:val="none"/>
        </w:rPr>
        <w:fldChar w:fldCharType="begin"/>
      </w:r>
      <w:r>
        <w:rPr>
          <w:color w:val="auto"/>
          <w:highlight w:val="none"/>
        </w:rPr>
        <w:instrText xml:space="preserve"> PAGEREF _Toc2964 \h </w:instrText>
      </w:r>
      <w:r>
        <w:rPr>
          <w:color w:val="auto"/>
          <w:highlight w:val="none"/>
        </w:rPr>
        <w:fldChar w:fldCharType="separate"/>
      </w:r>
      <w:r>
        <w:rPr>
          <w:color w:val="auto"/>
          <w:highlight w:val="none"/>
        </w:rPr>
        <w:t>131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_Toc25909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 工程分包</w:t>
      </w:r>
      <w:r>
        <w:rPr>
          <w:color w:val="auto"/>
          <w:highlight w:val="none"/>
        </w:rPr>
        <w:tab/>
      </w:r>
      <w:r>
        <w:rPr>
          <w:color w:val="auto"/>
          <w:highlight w:val="none"/>
        </w:rPr>
        <w:fldChar w:fldCharType="begin"/>
      </w:r>
      <w:r>
        <w:rPr>
          <w:color w:val="auto"/>
          <w:highlight w:val="none"/>
        </w:rPr>
        <w:instrText xml:space="preserve"> PAGEREF _Toc25909 \h </w:instrText>
      </w:r>
      <w:r>
        <w:rPr>
          <w:color w:val="auto"/>
          <w:highlight w:val="none"/>
        </w:rPr>
        <w:fldChar w:fldCharType="separate"/>
      </w:r>
      <w:r>
        <w:rPr>
          <w:color w:val="auto"/>
          <w:highlight w:val="none"/>
        </w:rPr>
        <w:t>132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_Toc11290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 现场查勘</w:t>
      </w:r>
      <w:r>
        <w:rPr>
          <w:color w:val="auto"/>
          <w:highlight w:val="none"/>
        </w:rPr>
        <w:tab/>
      </w:r>
      <w:r>
        <w:rPr>
          <w:color w:val="auto"/>
          <w:highlight w:val="none"/>
        </w:rPr>
        <w:fldChar w:fldCharType="begin"/>
      </w:r>
      <w:r>
        <w:rPr>
          <w:color w:val="auto"/>
          <w:highlight w:val="none"/>
        </w:rPr>
        <w:instrText xml:space="preserve"> PAGEREF _Toc11290 \h </w:instrText>
      </w:r>
      <w:r>
        <w:rPr>
          <w:color w:val="auto"/>
          <w:highlight w:val="none"/>
        </w:rPr>
        <w:fldChar w:fldCharType="separate"/>
      </w:r>
      <w:r>
        <w:rPr>
          <w:color w:val="auto"/>
          <w:highlight w:val="none"/>
        </w:rPr>
        <w:t>134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_Toc29760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12 事故处理</w:t>
      </w:r>
      <w:r>
        <w:rPr>
          <w:color w:val="auto"/>
          <w:highlight w:val="none"/>
        </w:rPr>
        <w:tab/>
      </w:r>
      <w:r>
        <w:rPr>
          <w:color w:val="auto"/>
          <w:highlight w:val="none"/>
        </w:rPr>
        <w:fldChar w:fldCharType="begin"/>
      </w:r>
      <w:r>
        <w:rPr>
          <w:color w:val="auto"/>
          <w:highlight w:val="none"/>
        </w:rPr>
        <w:instrText xml:space="preserve"> PAGEREF _Toc29760 \h </w:instrText>
      </w:r>
      <w:r>
        <w:rPr>
          <w:color w:val="auto"/>
          <w:highlight w:val="none"/>
        </w:rPr>
        <w:fldChar w:fldCharType="separate"/>
      </w:r>
      <w:r>
        <w:rPr>
          <w:color w:val="auto"/>
          <w:highlight w:val="none"/>
        </w:rPr>
        <w:t>134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_Toc15545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13 交通运输</w:t>
      </w:r>
      <w:r>
        <w:rPr>
          <w:color w:val="auto"/>
          <w:highlight w:val="none"/>
        </w:rPr>
        <w:tab/>
      </w:r>
      <w:r>
        <w:rPr>
          <w:color w:val="auto"/>
          <w:highlight w:val="none"/>
        </w:rPr>
        <w:fldChar w:fldCharType="begin"/>
      </w:r>
      <w:r>
        <w:rPr>
          <w:color w:val="auto"/>
          <w:highlight w:val="none"/>
        </w:rPr>
        <w:instrText xml:space="preserve"> PAGEREF _Toc15545 \h </w:instrText>
      </w:r>
      <w:r>
        <w:rPr>
          <w:color w:val="auto"/>
          <w:highlight w:val="none"/>
        </w:rPr>
        <w:fldChar w:fldCharType="separate"/>
      </w:r>
      <w:r>
        <w:rPr>
          <w:color w:val="auto"/>
          <w:highlight w:val="none"/>
        </w:rPr>
        <w:t>134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_Toc23103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14 专项批准事件的签认</w:t>
      </w:r>
      <w:r>
        <w:rPr>
          <w:color w:val="auto"/>
          <w:highlight w:val="none"/>
        </w:rPr>
        <w:tab/>
      </w:r>
      <w:r>
        <w:rPr>
          <w:color w:val="auto"/>
          <w:highlight w:val="none"/>
        </w:rPr>
        <w:fldChar w:fldCharType="begin"/>
      </w:r>
      <w:r>
        <w:rPr>
          <w:color w:val="auto"/>
          <w:highlight w:val="none"/>
        </w:rPr>
        <w:instrText xml:space="preserve"> PAGEREF _Toc23103 \h </w:instrText>
      </w:r>
      <w:r>
        <w:rPr>
          <w:color w:val="auto"/>
          <w:highlight w:val="none"/>
        </w:rPr>
        <w:fldChar w:fldCharType="separate"/>
      </w:r>
      <w:r>
        <w:rPr>
          <w:color w:val="auto"/>
          <w:highlight w:val="none"/>
        </w:rPr>
        <w:t>135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_Toc20429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19、发包人</w:t>
      </w:r>
      <w:r>
        <w:rPr>
          <w:color w:val="auto"/>
          <w:highlight w:val="none"/>
        </w:rPr>
        <w:tab/>
      </w:r>
      <w:r>
        <w:rPr>
          <w:color w:val="auto"/>
          <w:highlight w:val="none"/>
        </w:rPr>
        <w:fldChar w:fldCharType="begin"/>
      </w:r>
      <w:r>
        <w:rPr>
          <w:color w:val="auto"/>
          <w:highlight w:val="none"/>
        </w:rPr>
        <w:instrText xml:space="preserve"> PAGEREF _Toc20429 \h </w:instrText>
      </w:r>
      <w:r>
        <w:rPr>
          <w:color w:val="auto"/>
          <w:highlight w:val="none"/>
        </w:rPr>
        <w:fldChar w:fldCharType="separate"/>
      </w:r>
      <w:r>
        <w:rPr>
          <w:color w:val="auto"/>
          <w:highlight w:val="none"/>
        </w:rPr>
        <w:t>135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_Toc11251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20 承包人</w:t>
      </w:r>
      <w:r>
        <w:rPr>
          <w:color w:val="auto"/>
          <w:highlight w:val="none"/>
        </w:rPr>
        <w:tab/>
      </w:r>
      <w:r>
        <w:rPr>
          <w:color w:val="auto"/>
          <w:highlight w:val="none"/>
        </w:rPr>
        <w:fldChar w:fldCharType="begin"/>
      </w:r>
      <w:r>
        <w:rPr>
          <w:color w:val="auto"/>
          <w:highlight w:val="none"/>
        </w:rPr>
        <w:instrText xml:space="preserve"> PAGEREF _Toc11251 \h </w:instrText>
      </w:r>
      <w:r>
        <w:rPr>
          <w:color w:val="auto"/>
          <w:highlight w:val="none"/>
        </w:rPr>
        <w:fldChar w:fldCharType="separate"/>
      </w:r>
      <w:r>
        <w:rPr>
          <w:color w:val="auto"/>
          <w:highlight w:val="none"/>
        </w:rPr>
        <w:t>136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_Toc11137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22 发包人代表</w:t>
      </w:r>
      <w:r>
        <w:rPr>
          <w:color w:val="auto"/>
          <w:highlight w:val="none"/>
        </w:rPr>
        <w:tab/>
      </w:r>
      <w:r>
        <w:rPr>
          <w:color w:val="auto"/>
          <w:highlight w:val="none"/>
        </w:rPr>
        <w:fldChar w:fldCharType="begin"/>
      </w:r>
      <w:r>
        <w:rPr>
          <w:color w:val="auto"/>
          <w:highlight w:val="none"/>
        </w:rPr>
        <w:instrText xml:space="preserve"> PAGEREF _Toc11137 \h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_Toc20871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23 监理工程师</w:t>
      </w:r>
      <w:r>
        <w:rPr>
          <w:color w:val="auto"/>
          <w:highlight w:val="none"/>
        </w:rPr>
        <w:tab/>
      </w:r>
      <w:r>
        <w:rPr>
          <w:color w:val="auto"/>
          <w:highlight w:val="none"/>
        </w:rPr>
        <w:fldChar w:fldCharType="begin"/>
      </w:r>
      <w:r>
        <w:rPr>
          <w:color w:val="auto"/>
          <w:highlight w:val="none"/>
        </w:rPr>
        <w:instrText xml:space="preserve"> PAGEREF _Toc20871 \h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_Toc3928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24 造价工程师</w:t>
      </w:r>
      <w:r>
        <w:rPr>
          <w:color w:val="auto"/>
          <w:highlight w:val="none"/>
        </w:rPr>
        <w:tab/>
      </w:r>
      <w:r>
        <w:rPr>
          <w:color w:val="auto"/>
          <w:highlight w:val="none"/>
        </w:rPr>
        <w:fldChar w:fldCharType="begin"/>
      </w:r>
      <w:r>
        <w:rPr>
          <w:color w:val="auto"/>
          <w:highlight w:val="none"/>
        </w:rPr>
        <w:instrText xml:space="preserve"> PAGEREF _Toc3928 \h </w:instrText>
      </w:r>
      <w:r>
        <w:rPr>
          <w:color w:val="auto"/>
          <w:highlight w:val="none"/>
        </w:rPr>
        <w:fldChar w:fldCharType="separate"/>
      </w:r>
      <w:r>
        <w:rPr>
          <w:color w:val="auto"/>
          <w:highlight w:val="none"/>
        </w:rPr>
        <w:t>141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_Toc11369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25 承包人代表</w:t>
      </w:r>
      <w:r>
        <w:rPr>
          <w:color w:val="auto"/>
          <w:highlight w:val="none"/>
        </w:rPr>
        <w:tab/>
      </w:r>
      <w:r>
        <w:rPr>
          <w:color w:val="auto"/>
          <w:highlight w:val="none"/>
        </w:rPr>
        <w:fldChar w:fldCharType="begin"/>
      </w:r>
      <w:r>
        <w:rPr>
          <w:color w:val="auto"/>
          <w:highlight w:val="none"/>
        </w:rPr>
        <w:instrText xml:space="preserve"> PAGEREF _Toc11369 \h </w:instrText>
      </w:r>
      <w:r>
        <w:rPr>
          <w:color w:val="auto"/>
          <w:highlight w:val="none"/>
        </w:rPr>
        <w:fldChar w:fldCharType="separate"/>
      </w:r>
      <w:r>
        <w:rPr>
          <w:color w:val="auto"/>
          <w:highlight w:val="none"/>
        </w:rPr>
        <w:t>141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_Toc16659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27 承包人劳务</w:t>
      </w:r>
      <w:r>
        <w:rPr>
          <w:color w:val="auto"/>
          <w:highlight w:val="none"/>
        </w:rPr>
        <w:tab/>
      </w:r>
      <w:r>
        <w:rPr>
          <w:color w:val="auto"/>
          <w:highlight w:val="none"/>
        </w:rPr>
        <w:fldChar w:fldCharType="begin"/>
      </w:r>
      <w:r>
        <w:rPr>
          <w:color w:val="auto"/>
          <w:highlight w:val="none"/>
        </w:rPr>
        <w:instrText xml:space="preserve"> PAGEREF _Toc16659 \h </w:instrText>
      </w:r>
      <w:r>
        <w:rPr>
          <w:color w:val="auto"/>
          <w:highlight w:val="none"/>
        </w:rPr>
        <w:fldChar w:fldCharType="separate"/>
      </w:r>
      <w:r>
        <w:rPr>
          <w:color w:val="auto"/>
          <w:highlight w:val="none"/>
        </w:rPr>
        <w:t>142</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_Toc9719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28 工程担保</w:t>
      </w:r>
      <w:r>
        <w:rPr>
          <w:color w:val="auto"/>
          <w:highlight w:val="none"/>
        </w:rPr>
        <w:tab/>
      </w:r>
      <w:r>
        <w:rPr>
          <w:color w:val="auto"/>
          <w:highlight w:val="none"/>
        </w:rPr>
        <w:fldChar w:fldCharType="begin"/>
      </w:r>
      <w:r>
        <w:rPr>
          <w:color w:val="auto"/>
          <w:highlight w:val="none"/>
        </w:rPr>
        <w:instrText xml:space="preserve"> PAGEREF _Toc9719 \h </w:instrText>
      </w:r>
      <w:r>
        <w:rPr>
          <w:color w:val="auto"/>
          <w:highlight w:val="none"/>
        </w:rPr>
        <w:fldChar w:fldCharType="separate"/>
      </w:r>
      <w:r>
        <w:rPr>
          <w:color w:val="auto"/>
          <w:highlight w:val="none"/>
        </w:rPr>
        <w:t>143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_Toc11265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31 不可抗力</w:t>
      </w:r>
      <w:r>
        <w:rPr>
          <w:color w:val="auto"/>
          <w:highlight w:val="none"/>
        </w:rPr>
        <w:tab/>
      </w:r>
      <w:r>
        <w:rPr>
          <w:color w:val="auto"/>
          <w:highlight w:val="none"/>
        </w:rPr>
        <w:fldChar w:fldCharType="begin"/>
      </w:r>
      <w:r>
        <w:rPr>
          <w:color w:val="auto"/>
          <w:highlight w:val="none"/>
        </w:rPr>
        <w:instrText xml:space="preserve"> PAGEREF _Toc11265 \h </w:instrText>
      </w:r>
      <w:r>
        <w:rPr>
          <w:color w:val="auto"/>
          <w:highlight w:val="none"/>
        </w:rPr>
        <w:fldChar w:fldCharType="separate"/>
      </w:r>
      <w:r>
        <w:rPr>
          <w:color w:val="auto"/>
          <w:highlight w:val="none"/>
        </w:rPr>
        <w:t>144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_Toc15410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32 保险</w:t>
      </w:r>
      <w:r>
        <w:rPr>
          <w:color w:val="auto"/>
          <w:highlight w:val="none"/>
        </w:rPr>
        <w:tab/>
      </w:r>
      <w:r>
        <w:rPr>
          <w:color w:val="auto"/>
          <w:highlight w:val="none"/>
        </w:rPr>
        <w:fldChar w:fldCharType="begin"/>
      </w:r>
      <w:r>
        <w:rPr>
          <w:color w:val="auto"/>
          <w:highlight w:val="none"/>
        </w:rPr>
        <w:instrText xml:space="preserve"> PAGEREF _Toc15410 \h </w:instrText>
      </w:r>
      <w:r>
        <w:rPr>
          <w:color w:val="auto"/>
          <w:highlight w:val="none"/>
        </w:rPr>
        <w:fldChar w:fldCharType="separate"/>
      </w:r>
      <w:r>
        <w:rPr>
          <w:color w:val="auto"/>
          <w:highlight w:val="none"/>
        </w:rPr>
        <w:t>145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_Toc9057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33 进度计划和报告</w:t>
      </w:r>
      <w:r>
        <w:rPr>
          <w:color w:val="auto"/>
          <w:highlight w:val="none"/>
        </w:rPr>
        <w:tab/>
      </w:r>
      <w:r>
        <w:rPr>
          <w:color w:val="auto"/>
          <w:highlight w:val="none"/>
        </w:rPr>
        <w:fldChar w:fldCharType="begin"/>
      </w:r>
      <w:r>
        <w:rPr>
          <w:color w:val="auto"/>
          <w:highlight w:val="none"/>
        </w:rPr>
        <w:instrText xml:space="preserve"> PAGEREF _Toc9057 \h </w:instrText>
      </w:r>
      <w:r>
        <w:rPr>
          <w:color w:val="auto"/>
          <w:highlight w:val="none"/>
        </w:rPr>
        <w:fldChar w:fldCharType="separate"/>
      </w:r>
      <w:r>
        <w:rPr>
          <w:color w:val="auto"/>
          <w:highlight w:val="none"/>
        </w:rPr>
        <w:t>145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_Toc27265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34 开工</w:t>
      </w:r>
      <w:r>
        <w:rPr>
          <w:color w:val="auto"/>
          <w:highlight w:val="none"/>
        </w:rPr>
        <w:tab/>
      </w:r>
      <w:r>
        <w:rPr>
          <w:color w:val="auto"/>
          <w:highlight w:val="none"/>
        </w:rPr>
        <w:fldChar w:fldCharType="begin"/>
      </w:r>
      <w:r>
        <w:rPr>
          <w:color w:val="auto"/>
          <w:highlight w:val="none"/>
        </w:rPr>
        <w:instrText xml:space="preserve"> PAGEREF _Toc27265 \h </w:instrText>
      </w:r>
      <w:r>
        <w:rPr>
          <w:color w:val="auto"/>
          <w:highlight w:val="none"/>
        </w:rPr>
        <w:fldChar w:fldCharType="separate"/>
      </w:r>
      <w:r>
        <w:rPr>
          <w:color w:val="auto"/>
          <w:highlight w:val="none"/>
        </w:rPr>
        <w:t>146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_Toc4932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35 暂停施工和复工</w:t>
      </w:r>
      <w:r>
        <w:rPr>
          <w:color w:val="auto"/>
          <w:highlight w:val="none"/>
        </w:rPr>
        <w:tab/>
      </w:r>
      <w:r>
        <w:rPr>
          <w:color w:val="auto"/>
          <w:highlight w:val="none"/>
        </w:rPr>
        <w:fldChar w:fldCharType="begin"/>
      </w:r>
      <w:r>
        <w:rPr>
          <w:color w:val="auto"/>
          <w:highlight w:val="none"/>
        </w:rPr>
        <w:instrText xml:space="preserve"> PAGEREF _Toc4932 \h </w:instrText>
      </w:r>
      <w:r>
        <w:rPr>
          <w:color w:val="auto"/>
          <w:highlight w:val="none"/>
        </w:rPr>
        <w:fldChar w:fldCharType="separate"/>
      </w:r>
      <w:r>
        <w:rPr>
          <w:color w:val="auto"/>
          <w:highlight w:val="none"/>
        </w:rPr>
        <w:t>146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_Toc516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36 工期及工期延误</w:t>
      </w:r>
      <w:r>
        <w:rPr>
          <w:color w:val="auto"/>
          <w:highlight w:val="none"/>
        </w:rPr>
        <w:tab/>
      </w:r>
      <w:r>
        <w:rPr>
          <w:color w:val="auto"/>
          <w:highlight w:val="none"/>
        </w:rPr>
        <w:fldChar w:fldCharType="begin"/>
      </w:r>
      <w:r>
        <w:rPr>
          <w:color w:val="auto"/>
          <w:highlight w:val="none"/>
        </w:rPr>
        <w:instrText xml:space="preserve"> PAGEREF _Toc516 \h </w:instrText>
      </w:r>
      <w:r>
        <w:rPr>
          <w:color w:val="auto"/>
          <w:highlight w:val="none"/>
        </w:rPr>
        <w:fldChar w:fldCharType="separate"/>
      </w:r>
      <w:r>
        <w:rPr>
          <w:color w:val="auto"/>
          <w:highlight w:val="none"/>
        </w:rPr>
        <w:t>147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_Toc4185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42 质量标准、目标</w:t>
      </w:r>
      <w:r>
        <w:rPr>
          <w:color w:val="auto"/>
          <w:highlight w:val="none"/>
        </w:rPr>
        <w:tab/>
      </w:r>
      <w:r>
        <w:rPr>
          <w:color w:val="auto"/>
          <w:highlight w:val="none"/>
        </w:rPr>
        <w:fldChar w:fldCharType="begin"/>
      </w:r>
      <w:r>
        <w:rPr>
          <w:color w:val="auto"/>
          <w:highlight w:val="none"/>
        </w:rPr>
        <w:instrText xml:space="preserve"> PAGEREF _Toc4185 \h </w:instrText>
      </w:r>
      <w:r>
        <w:rPr>
          <w:color w:val="auto"/>
          <w:highlight w:val="none"/>
        </w:rPr>
        <w:fldChar w:fldCharType="separate"/>
      </w:r>
      <w:r>
        <w:rPr>
          <w:color w:val="auto"/>
          <w:highlight w:val="none"/>
        </w:rPr>
        <w:t>149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_Toc21648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45 绿色施工安全防护</w:t>
      </w:r>
      <w:r>
        <w:rPr>
          <w:color w:val="auto"/>
          <w:highlight w:val="none"/>
        </w:rPr>
        <w:tab/>
      </w:r>
      <w:r>
        <w:rPr>
          <w:color w:val="auto"/>
          <w:highlight w:val="none"/>
        </w:rPr>
        <w:fldChar w:fldCharType="begin"/>
      </w:r>
      <w:r>
        <w:rPr>
          <w:color w:val="auto"/>
          <w:highlight w:val="none"/>
        </w:rPr>
        <w:instrText xml:space="preserve"> PAGEREF _Toc21648 \h </w:instrText>
      </w:r>
      <w:r>
        <w:rPr>
          <w:color w:val="auto"/>
          <w:highlight w:val="none"/>
        </w:rPr>
        <w:fldChar w:fldCharType="separate"/>
      </w:r>
      <w:r>
        <w:rPr>
          <w:color w:val="auto"/>
          <w:highlight w:val="none"/>
        </w:rPr>
        <w:t>150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_Toc32118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48 发包人供应材料和工程设备</w:t>
      </w:r>
      <w:r>
        <w:rPr>
          <w:color w:val="auto"/>
          <w:highlight w:val="none"/>
        </w:rPr>
        <w:tab/>
      </w:r>
      <w:r>
        <w:rPr>
          <w:color w:val="auto"/>
          <w:highlight w:val="none"/>
        </w:rPr>
        <w:fldChar w:fldCharType="begin"/>
      </w:r>
      <w:r>
        <w:rPr>
          <w:color w:val="auto"/>
          <w:highlight w:val="none"/>
        </w:rPr>
        <w:instrText xml:space="preserve"> PAGEREF _Toc32118 \h </w:instrText>
      </w:r>
      <w:r>
        <w:rPr>
          <w:color w:val="auto"/>
          <w:highlight w:val="none"/>
        </w:rPr>
        <w:fldChar w:fldCharType="separate"/>
      </w:r>
      <w:r>
        <w:rPr>
          <w:color w:val="auto"/>
          <w:highlight w:val="none"/>
        </w:rPr>
        <w:t>154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_Toc6290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49 承包人采购材料和工程设备</w:t>
      </w:r>
      <w:r>
        <w:rPr>
          <w:color w:val="auto"/>
          <w:highlight w:val="none"/>
        </w:rPr>
        <w:tab/>
      </w:r>
      <w:r>
        <w:rPr>
          <w:color w:val="auto"/>
          <w:highlight w:val="none"/>
        </w:rPr>
        <w:fldChar w:fldCharType="begin"/>
      </w:r>
      <w:r>
        <w:rPr>
          <w:color w:val="auto"/>
          <w:highlight w:val="none"/>
        </w:rPr>
        <w:instrText xml:space="preserve"> PAGEREF _Toc6290 \h </w:instrText>
      </w:r>
      <w:r>
        <w:rPr>
          <w:color w:val="auto"/>
          <w:highlight w:val="none"/>
        </w:rPr>
        <w:fldChar w:fldCharType="separate"/>
      </w:r>
      <w:r>
        <w:rPr>
          <w:color w:val="auto"/>
          <w:highlight w:val="none"/>
        </w:rPr>
        <w:t>154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_Toc25216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50 材料和工程设备的检验试验</w:t>
      </w:r>
      <w:r>
        <w:rPr>
          <w:color w:val="auto"/>
          <w:highlight w:val="none"/>
        </w:rPr>
        <w:tab/>
      </w:r>
      <w:r>
        <w:rPr>
          <w:color w:val="auto"/>
          <w:highlight w:val="none"/>
        </w:rPr>
        <w:fldChar w:fldCharType="begin"/>
      </w:r>
      <w:r>
        <w:rPr>
          <w:color w:val="auto"/>
          <w:highlight w:val="none"/>
        </w:rPr>
        <w:instrText xml:space="preserve"> PAGEREF _Toc25216 \h </w:instrText>
      </w:r>
      <w:r>
        <w:rPr>
          <w:color w:val="auto"/>
          <w:highlight w:val="none"/>
        </w:rPr>
        <w:fldChar w:fldCharType="separate"/>
      </w:r>
      <w:r>
        <w:rPr>
          <w:color w:val="auto"/>
          <w:highlight w:val="none"/>
        </w:rPr>
        <w:t>154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_Toc23778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52 工程质量检查</w:t>
      </w:r>
      <w:r>
        <w:rPr>
          <w:color w:val="auto"/>
          <w:highlight w:val="none"/>
        </w:rPr>
        <w:tab/>
      </w:r>
      <w:r>
        <w:rPr>
          <w:color w:val="auto"/>
          <w:highlight w:val="none"/>
        </w:rPr>
        <w:fldChar w:fldCharType="begin"/>
      </w:r>
      <w:r>
        <w:rPr>
          <w:color w:val="auto"/>
          <w:highlight w:val="none"/>
        </w:rPr>
        <w:instrText xml:space="preserve"> PAGEREF _Toc23778 \h </w:instrText>
      </w:r>
      <w:r>
        <w:rPr>
          <w:color w:val="auto"/>
          <w:highlight w:val="none"/>
        </w:rPr>
        <w:fldChar w:fldCharType="separate"/>
      </w:r>
      <w:r>
        <w:rPr>
          <w:color w:val="auto"/>
          <w:highlight w:val="none"/>
        </w:rPr>
        <w:t>156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_Toc10091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53 隐蔽工程和中间验收</w:t>
      </w:r>
      <w:r>
        <w:rPr>
          <w:color w:val="auto"/>
          <w:highlight w:val="none"/>
        </w:rPr>
        <w:tab/>
      </w:r>
      <w:r>
        <w:rPr>
          <w:color w:val="auto"/>
          <w:highlight w:val="none"/>
        </w:rPr>
        <w:fldChar w:fldCharType="begin"/>
      </w:r>
      <w:r>
        <w:rPr>
          <w:color w:val="auto"/>
          <w:highlight w:val="none"/>
        </w:rPr>
        <w:instrText xml:space="preserve"> PAGEREF _Toc10091 \h </w:instrText>
      </w:r>
      <w:r>
        <w:rPr>
          <w:color w:val="auto"/>
          <w:highlight w:val="none"/>
        </w:rPr>
        <w:fldChar w:fldCharType="separate"/>
      </w:r>
      <w:r>
        <w:rPr>
          <w:color w:val="auto"/>
          <w:highlight w:val="none"/>
        </w:rPr>
        <w:t>156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_Toc5168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55 工程试车</w:t>
      </w:r>
      <w:r>
        <w:rPr>
          <w:color w:val="auto"/>
          <w:highlight w:val="none"/>
        </w:rPr>
        <w:tab/>
      </w:r>
      <w:r>
        <w:rPr>
          <w:color w:val="auto"/>
          <w:highlight w:val="none"/>
        </w:rPr>
        <w:fldChar w:fldCharType="begin"/>
      </w:r>
      <w:r>
        <w:rPr>
          <w:color w:val="auto"/>
          <w:highlight w:val="none"/>
        </w:rPr>
        <w:instrText xml:space="preserve"> PAGEREF _Toc5168 \h </w:instrText>
      </w:r>
      <w:r>
        <w:rPr>
          <w:color w:val="auto"/>
          <w:highlight w:val="none"/>
        </w:rPr>
        <w:fldChar w:fldCharType="separate"/>
      </w:r>
      <w:r>
        <w:rPr>
          <w:color w:val="auto"/>
          <w:highlight w:val="none"/>
        </w:rPr>
        <w:t>157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_Toc15470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56 工程变更</w:t>
      </w:r>
      <w:r>
        <w:rPr>
          <w:color w:val="auto"/>
          <w:highlight w:val="none"/>
        </w:rPr>
        <w:tab/>
      </w:r>
      <w:r>
        <w:rPr>
          <w:color w:val="auto"/>
          <w:highlight w:val="none"/>
        </w:rPr>
        <w:fldChar w:fldCharType="begin"/>
      </w:r>
      <w:r>
        <w:rPr>
          <w:color w:val="auto"/>
          <w:highlight w:val="none"/>
        </w:rPr>
        <w:instrText xml:space="preserve"> PAGEREF _Toc15470 \h </w:instrText>
      </w:r>
      <w:r>
        <w:rPr>
          <w:color w:val="auto"/>
          <w:highlight w:val="none"/>
        </w:rPr>
        <w:fldChar w:fldCharType="separate"/>
      </w:r>
      <w:r>
        <w:rPr>
          <w:color w:val="auto"/>
          <w:highlight w:val="none"/>
        </w:rPr>
        <w:t>157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_Toc15615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57 竣工验收条件</w:t>
      </w:r>
      <w:r>
        <w:rPr>
          <w:color w:val="auto"/>
          <w:highlight w:val="none"/>
        </w:rPr>
        <w:tab/>
      </w:r>
      <w:r>
        <w:rPr>
          <w:color w:val="auto"/>
          <w:highlight w:val="none"/>
        </w:rPr>
        <w:fldChar w:fldCharType="begin"/>
      </w:r>
      <w:r>
        <w:rPr>
          <w:color w:val="auto"/>
          <w:highlight w:val="none"/>
        </w:rPr>
        <w:instrText xml:space="preserve"> PAGEREF _Toc15615 \h </w:instrText>
      </w:r>
      <w:r>
        <w:rPr>
          <w:color w:val="auto"/>
          <w:highlight w:val="none"/>
        </w:rPr>
        <w:fldChar w:fldCharType="separate"/>
      </w:r>
      <w:r>
        <w:rPr>
          <w:color w:val="auto"/>
          <w:highlight w:val="none"/>
        </w:rPr>
        <w:t>157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_Toc16541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58 竣工验收</w:t>
      </w:r>
      <w:r>
        <w:rPr>
          <w:color w:val="auto"/>
          <w:highlight w:val="none"/>
        </w:rPr>
        <w:tab/>
      </w:r>
      <w:r>
        <w:rPr>
          <w:color w:val="auto"/>
          <w:highlight w:val="none"/>
        </w:rPr>
        <w:fldChar w:fldCharType="begin"/>
      </w:r>
      <w:r>
        <w:rPr>
          <w:color w:val="auto"/>
          <w:highlight w:val="none"/>
        </w:rPr>
        <w:instrText xml:space="preserve"> PAGEREF _Toc16541 \h </w:instrText>
      </w:r>
      <w:r>
        <w:rPr>
          <w:color w:val="auto"/>
          <w:highlight w:val="none"/>
        </w:rPr>
        <w:fldChar w:fldCharType="separate"/>
      </w:r>
      <w:r>
        <w:rPr>
          <w:color w:val="auto"/>
          <w:highlight w:val="none"/>
        </w:rPr>
        <w:t>157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_Toc4675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59 缺陷责任与质量保修</w:t>
      </w:r>
      <w:r>
        <w:rPr>
          <w:color w:val="auto"/>
          <w:highlight w:val="none"/>
        </w:rPr>
        <w:tab/>
      </w:r>
      <w:r>
        <w:rPr>
          <w:color w:val="auto"/>
          <w:highlight w:val="none"/>
        </w:rPr>
        <w:fldChar w:fldCharType="begin"/>
      </w:r>
      <w:r>
        <w:rPr>
          <w:color w:val="auto"/>
          <w:highlight w:val="none"/>
        </w:rPr>
        <w:instrText xml:space="preserve"> PAGEREF _Toc4675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_Toc642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60 资金计划和安排</w:t>
      </w:r>
      <w:r>
        <w:rPr>
          <w:color w:val="auto"/>
          <w:highlight w:val="none"/>
        </w:rPr>
        <w:tab/>
      </w:r>
      <w:r>
        <w:rPr>
          <w:color w:val="auto"/>
          <w:highlight w:val="none"/>
        </w:rPr>
        <w:fldChar w:fldCharType="begin"/>
      </w:r>
      <w:r>
        <w:rPr>
          <w:color w:val="auto"/>
          <w:highlight w:val="none"/>
        </w:rPr>
        <w:instrText xml:space="preserve"> PAGEREF _Toc642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_Toc21020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63 暂列金额（如有）</w:t>
      </w:r>
      <w:r>
        <w:rPr>
          <w:color w:val="auto"/>
          <w:highlight w:val="none"/>
        </w:rPr>
        <w:tab/>
      </w:r>
      <w:r>
        <w:rPr>
          <w:color w:val="auto"/>
          <w:highlight w:val="none"/>
        </w:rPr>
        <w:fldChar w:fldCharType="begin"/>
      </w:r>
      <w:r>
        <w:rPr>
          <w:color w:val="auto"/>
          <w:highlight w:val="none"/>
        </w:rPr>
        <w:instrText xml:space="preserve"> PAGEREF _Toc21020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_Toc21115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65 暂估价</w:t>
      </w:r>
      <w:r>
        <w:rPr>
          <w:color w:val="auto"/>
          <w:highlight w:val="none"/>
        </w:rPr>
        <w:tab/>
      </w:r>
      <w:r>
        <w:rPr>
          <w:color w:val="auto"/>
          <w:highlight w:val="none"/>
        </w:rPr>
        <w:fldChar w:fldCharType="begin"/>
      </w:r>
      <w:r>
        <w:rPr>
          <w:color w:val="auto"/>
          <w:highlight w:val="none"/>
        </w:rPr>
        <w:instrText xml:space="preserve"> PAGEREF _Toc21115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_Toc21321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66 提前竣工奖与误期赔偿费</w:t>
      </w:r>
      <w:r>
        <w:rPr>
          <w:color w:val="auto"/>
          <w:highlight w:val="none"/>
        </w:rPr>
        <w:tab/>
      </w:r>
      <w:r>
        <w:rPr>
          <w:color w:val="auto"/>
          <w:highlight w:val="none"/>
        </w:rPr>
        <w:fldChar w:fldCharType="begin"/>
      </w:r>
      <w:r>
        <w:rPr>
          <w:color w:val="auto"/>
          <w:highlight w:val="none"/>
        </w:rPr>
        <w:instrText xml:space="preserve"> PAGEREF _Toc21321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_Toc7380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67 优质优价费、工程建设标准费用</w:t>
      </w:r>
      <w:r>
        <w:rPr>
          <w:color w:val="auto"/>
          <w:highlight w:val="none"/>
        </w:rPr>
        <w:tab/>
      </w:r>
      <w:r>
        <w:rPr>
          <w:color w:val="auto"/>
          <w:highlight w:val="none"/>
        </w:rPr>
        <w:fldChar w:fldCharType="begin"/>
      </w:r>
      <w:r>
        <w:rPr>
          <w:color w:val="auto"/>
          <w:highlight w:val="none"/>
        </w:rPr>
        <w:instrText xml:space="preserve"> PAGEREF _Toc7380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_Toc10048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68 合同价款的约定与调整</w:t>
      </w:r>
      <w:r>
        <w:rPr>
          <w:color w:val="auto"/>
          <w:highlight w:val="none"/>
        </w:rPr>
        <w:tab/>
      </w:r>
      <w:r>
        <w:rPr>
          <w:color w:val="auto"/>
          <w:highlight w:val="none"/>
        </w:rPr>
        <w:fldChar w:fldCharType="begin"/>
      </w:r>
      <w:r>
        <w:rPr>
          <w:color w:val="auto"/>
          <w:highlight w:val="none"/>
        </w:rPr>
        <w:instrText xml:space="preserve"> PAGEREF _Toc10048 \h </w:instrText>
      </w:r>
      <w:r>
        <w:rPr>
          <w:color w:val="auto"/>
          <w:highlight w:val="none"/>
        </w:rPr>
        <w:fldChar w:fldCharType="separate"/>
      </w:r>
      <w:r>
        <w:rPr>
          <w:color w:val="auto"/>
          <w:highlight w:val="none"/>
        </w:rPr>
        <w:t>161</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_Toc12803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74 费用索赔事件：</w:t>
      </w:r>
      <w:r>
        <w:rPr>
          <w:color w:val="auto"/>
          <w:highlight w:val="none"/>
        </w:rPr>
        <w:tab/>
      </w:r>
      <w:r>
        <w:rPr>
          <w:color w:val="auto"/>
          <w:highlight w:val="none"/>
        </w:rPr>
        <w:fldChar w:fldCharType="begin"/>
      </w:r>
      <w:r>
        <w:rPr>
          <w:color w:val="auto"/>
          <w:highlight w:val="none"/>
        </w:rPr>
        <w:instrText xml:space="preserve"> PAGEREF _Toc12803 \h </w:instrText>
      </w:r>
      <w:r>
        <w:rPr>
          <w:color w:val="auto"/>
          <w:highlight w:val="none"/>
        </w:rPr>
        <w:fldChar w:fldCharType="separate"/>
      </w:r>
      <w:r>
        <w:rPr>
          <w:color w:val="auto"/>
          <w:highlight w:val="none"/>
        </w:rPr>
        <w:t>163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_Toc13849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75 现场签证事件</w:t>
      </w:r>
      <w:r>
        <w:rPr>
          <w:color w:val="auto"/>
          <w:highlight w:val="none"/>
        </w:rPr>
        <w:tab/>
      </w:r>
      <w:r>
        <w:rPr>
          <w:color w:val="auto"/>
          <w:highlight w:val="none"/>
        </w:rPr>
        <w:fldChar w:fldCharType="begin"/>
      </w:r>
      <w:r>
        <w:rPr>
          <w:color w:val="auto"/>
          <w:highlight w:val="none"/>
        </w:rPr>
        <w:instrText xml:space="preserve"> PAGEREF _Toc13849 \h </w:instrText>
      </w:r>
      <w:r>
        <w:rPr>
          <w:color w:val="auto"/>
          <w:highlight w:val="none"/>
        </w:rPr>
        <w:fldChar w:fldCharType="separate"/>
      </w:r>
      <w:r>
        <w:rPr>
          <w:color w:val="auto"/>
          <w:highlight w:val="none"/>
        </w:rPr>
        <w:t>163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_Toc5483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76 物价涨落事件</w:t>
      </w:r>
      <w:r>
        <w:rPr>
          <w:color w:val="auto"/>
          <w:highlight w:val="none"/>
        </w:rPr>
        <w:tab/>
      </w:r>
      <w:r>
        <w:rPr>
          <w:color w:val="auto"/>
          <w:highlight w:val="none"/>
        </w:rPr>
        <w:fldChar w:fldCharType="begin"/>
      </w:r>
      <w:r>
        <w:rPr>
          <w:color w:val="auto"/>
          <w:highlight w:val="none"/>
        </w:rPr>
        <w:instrText xml:space="preserve"> PAGEREF _Toc5483 \h </w:instrText>
      </w:r>
      <w:r>
        <w:rPr>
          <w:color w:val="auto"/>
          <w:highlight w:val="none"/>
        </w:rPr>
        <w:fldChar w:fldCharType="separate"/>
      </w:r>
      <w:r>
        <w:rPr>
          <w:color w:val="auto"/>
          <w:highlight w:val="none"/>
        </w:rPr>
        <w:t>163</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_Toc27301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78 支付事项</w:t>
      </w:r>
      <w:r>
        <w:rPr>
          <w:color w:val="auto"/>
          <w:highlight w:val="none"/>
        </w:rPr>
        <w:tab/>
      </w:r>
      <w:r>
        <w:rPr>
          <w:color w:val="auto"/>
          <w:highlight w:val="none"/>
        </w:rPr>
        <w:fldChar w:fldCharType="begin"/>
      </w:r>
      <w:r>
        <w:rPr>
          <w:color w:val="auto"/>
          <w:highlight w:val="none"/>
        </w:rPr>
        <w:instrText xml:space="preserve"> PAGEREF _Toc27301 \h </w:instrText>
      </w:r>
      <w:r>
        <w:rPr>
          <w:color w:val="auto"/>
          <w:highlight w:val="none"/>
        </w:rPr>
        <w:fldChar w:fldCharType="separate"/>
      </w:r>
      <w:r>
        <w:rPr>
          <w:color w:val="auto"/>
          <w:highlight w:val="none"/>
        </w:rPr>
        <w:t>164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_Toc12178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79 预付款</w:t>
      </w:r>
      <w:r>
        <w:rPr>
          <w:color w:val="auto"/>
          <w:highlight w:val="none"/>
        </w:rPr>
        <w:tab/>
      </w:r>
      <w:r>
        <w:rPr>
          <w:color w:val="auto"/>
          <w:highlight w:val="none"/>
        </w:rPr>
        <w:fldChar w:fldCharType="begin"/>
      </w:r>
      <w:r>
        <w:rPr>
          <w:color w:val="auto"/>
          <w:highlight w:val="none"/>
        </w:rPr>
        <w:instrText xml:space="preserve"> PAGEREF _Toc12178 \h </w:instrText>
      </w:r>
      <w:r>
        <w:rPr>
          <w:color w:val="auto"/>
          <w:highlight w:val="none"/>
        </w:rPr>
        <w:fldChar w:fldCharType="separate"/>
      </w:r>
      <w:r>
        <w:rPr>
          <w:color w:val="auto"/>
          <w:highlight w:val="none"/>
        </w:rPr>
        <w:t>164</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_Toc30827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80绿色施工安全防护费</w:t>
      </w:r>
      <w:r>
        <w:rPr>
          <w:color w:val="auto"/>
          <w:highlight w:val="none"/>
        </w:rPr>
        <w:tab/>
      </w:r>
      <w:r>
        <w:rPr>
          <w:color w:val="auto"/>
          <w:highlight w:val="none"/>
        </w:rPr>
        <w:fldChar w:fldCharType="begin"/>
      </w:r>
      <w:r>
        <w:rPr>
          <w:color w:val="auto"/>
          <w:highlight w:val="none"/>
        </w:rPr>
        <w:instrText xml:space="preserve"> PAGEREF _Toc30827 \h </w:instrText>
      </w:r>
      <w:r>
        <w:rPr>
          <w:color w:val="auto"/>
          <w:highlight w:val="none"/>
        </w:rPr>
        <w:fldChar w:fldCharType="separate"/>
      </w:r>
      <w:r>
        <w:rPr>
          <w:color w:val="auto"/>
          <w:highlight w:val="none"/>
        </w:rPr>
        <w:t>165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_Toc26289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81进度款</w:t>
      </w:r>
      <w:r>
        <w:rPr>
          <w:color w:val="auto"/>
          <w:highlight w:val="none"/>
        </w:rPr>
        <w:tab/>
      </w:r>
      <w:r>
        <w:rPr>
          <w:color w:val="auto"/>
          <w:highlight w:val="none"/>
        </w:rPr>
        <w:fldChar w:fldCharType="begin"/>
      </w:r>
      <w:r>
        <w:rPr>
          <w:color w:val="auto"/>
          <w:highlight w:val="none"/>
        </w:rPr>
        <w:instrText xml:space="preserve"> PAGEREF _Toc26289 \h </w:instrText>
      </w:r>
      <w:r>
        <w:rPr>
          <w:color w:val="auto"/>
          <w:highlight w:val="none"/>
        </w:rPr>
        <w:fldChar w:fldCharType="separate"/>
      </w:r>
      <w:r>
        <w:rPr>
          <w:color w:val="auto"/>
          <w:highlight w:val="none"/>
        </w:rPr>
        <w:t>165</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_Toc21089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82竣工结算</w:t>
      </w:r>
      <w:r>
        <w:rPr>
          <w:color w:val="auto"/>
          <w:highlight w:val="none"/>
        </w:rPr>
        <w:tab/>
      </w:r>
      <w:r>
        <w:rPr>
          <w:color w:val="auto"/>
          <w:highlight w:val="none"/>
        </w:rPr>
        <w:fldChar w:fldCharType="begin"/>
      </w:r>
      <w:r>
        <w:rPr>
          <w:color w:val="auto"/>
          <w:highlight w:val="none"/>
        </w:rPr>
        <w:instrText xml:space="preserve"> PAGEREF _Toc21089 \h </w:instrText>
      </w:r>
      <w:r>
        <w:rPr>
          <w:color w:val="auto"/>
          <w:highlight w:val="none"/>
        </w:rPr>
        <w:fldChar w:fldCharType="separate"/>
      </w:r>
      <w:r>
        <w:rPr>
          <w:color w:val="auto"/>
          <w:highlight w:val="none"/>
        </w:rPr>
        <w:t>166</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_Toc30971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84质量保证金</w:t>
      </w:r>
      <w:r>
        <w:rPr>
          <w:color w:val="auto"/>
          <w:highlight w:val="none"/>
        </w:rPr>
        <w:tab/>
      </w:r>
      <w:r>
        <w:rPr>
          <w:color w:val="auto"/>
          <w:highlight w:val="none"/>
        </w:rPr>
        <w:fldChar w:fldCharType="begin"/>
      </w:r>
      <w:r>
        <w:rPr>
          <w:color w:val="auto"/>
          <w:highlight w:val="none"/>
        </w:rPr>
        <w:instrText xml:space="preserve"> PAGEREF _Toc30971 \h </w:instrText>
      </w:r>
      <w:r>
        <w:rPr>
          <w:color w:val="auto"/>
          <w:highlight w:val="none"/>
        </w:rPr>
        <w:fldChar w:fldCharType="separate"/>
      </w:r>
      <w:r>
        <w:rPr>
          <w:color w:val="auto"/>
          <w:highlight w:val="none"/>
        </w:rPr>
        <w:t>167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_Toc24730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85 最终清算付款</w:t>
      </w:r>
      <w:r>
        <w:rPr>
          <w:color w:val="auto"/>
          <w:highlight w:val="none"/>
        </w:rPr>
        <w:tab/>
      </w:r>
      <w:r>
        <w:rPr>
          <w:color w:val="auto"/>
          <w:highlight w:val="none"/>
        </w:rPr>
        <w:fldChar w:fldCharType="begin"/>
      </w:r>
      <w:r>
        <w:rPr>
          <w:color w:val="auto"/>
          <w:highlight w:val="none"/>
        </w:rPr>
        <w:instrText xml:space="preserve"> PAGEREF _Toc24730 \h </w:instrText>
      </w:r>
      <w:r>
        <w:rPr>
          <w:color w:val="auto"/>
          <w:highlight w:val="none"/>
        </w:rPr>
        <w:fldChar w:fldCharType="separate"/>
      </w:r>
      <w:r>
        <w:rPr>
          <w:color w:val="auto"/>
          <w:highlight w:val="none"/>
        </w:rPr>
        <w:t>167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_Toc3619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86 合同争议</w:t>
      </w:r>
      <w:r>
        <w:rPr>
          <w:color w:val="auto"/>
          <w:highlight w:val="none"/>
        </w:rPr>
        <w:tab/>
      </w:r>
      <w:r>
        <w:rPr>
          <w:color w:val="auto"/>
          <w:highlight w:val="none"/>
        </w:rPr>
        <w:fldChar w:fldCharType="begin"/>
      </w:r>
      <w:r>
        <w:rPr>
          <w:color w:val="auto"/>
          <w:highlight w:val="none"/>
        </w:rPr>
        <w:instrText xml:space="preserve"> PAGEREF _Toc3619 \h </w:instrText>
      </w:r>
      <w:r>
        <w:rPr>
          <w:color w:val="auto"/>
          <w:highlight w:val="none"/>
        </w:rPr>
        <w:fldChar w:fldCharType="separate"/>
      </w:r>
      <w:r>
        <w:rPr>
          <w:color w:val="auto"/>
          <w:highlight w:val="none"/>
        </w:rPr>
        <w:t>167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_Toc25047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87 合同解除</w:t>
      </w:r>
      <w:r>
        <w:rPr>
          <w:color w:val="auto"/>
          <w:highlight w:val="none"/>
        </w:rPr>
        <w:tab/>
      </w:r>
      <w:r>
        <w:rPr>
          <w:color w:val="auto"/>
          <w:highlight w:val="none"/>
        </w:rPr>
        <w:fldChar w:fldCharType="begin"/>
      </w:r>
      <w:r>
        <w:rPr>
          <w:color w:val="auto"/>
          <w:highlight w:val="none"/>
        </w:rPr>
        <w:instrText xml:space="preserve"> PAGEREF _Toc25047 \h </w:instrText>
      </w:r>
      <w:r>
        <w:rPr>
          <w:color w:val="auto"/>
          <w:highlight w:val="none"/>
        </w:rPr>
        <w:fldChar w:fldCharType="separate"/>
      </w:r>
      <w:r>
        <w:rPr>
          <w:color w:val="auto"/>
          <w:highlight w:val="none"/>
        </w:rPr>
        <w:t>168</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_Toc14157 </w:instrText>
      </w:r>
      <w:r>
        <w:rPr>
          <w:rFonts w:ascii="Times New Roman" w:hAnsi="Times New Roman" w:cs="Times New Roman"/>
          <w:color w:val="auto"/>
          <w:highlight w:val="none"/>
        </w:rPr>
        <w:fldChar w:fldCharType="separate"/>
      </w:r>
      <w:r>
        <w:rPr>
          <w:rFonts w:hint="eastAsia" w:ascii="仿宋" w:hAnsi="仿宋" w:eastAsia="仿宋" w:cs="仿宋"/>
          <w:bCs/>
          <w:color w:val="auto"/>
          <w:szCs w:val="24"/>
          <w:highlight w:val="none"/>
        </w:rPr>
        <w:t>90承包人的违约责任</w:t>
      </w:r>
      <w:r>
        <w:rPr>
          <w:color w:val="auto"/>
          <w:highlight w:val="none"/>
        </w:rPr>
        <w:tab/>
      </w:r>
      <w:r>
        <w:rPr>
          <w:color w:val="auto"/>
          <w:highlight w:val="none"/>
        </w:rPr>
        <w:fldChar w:fldCharType="begin"/>
      </w:r>
      <w:r>
        <w:rPr>
          <w:color w:val="auto"/>
          <w:highlight w:val="none"/>
        </w:rPr>
        <w:instrText xml:space="preserve"> PAGEREF _Toc14157 \h </w:instrText>
      </w:r>
      <w:r>
        <w:rPr>
          <w:color w:val="auto"/>
          <w:highlight w:val="none"/>
        </w:rPr>
        <w:fldChar w:fldCharType="separate"/>
      </w:r>
      <w:r>
        <w:rPr>
          <w:color w:val="auto"/>
          <w:highlight w:val="none"/>
        </w:rPr>
        <w:t>169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_Toc21766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91发包人的违约责任</w:t>
      </w:r>
      <w:r>
        <w:rPr>
          <w:color w:val="auto"/>
          <w:highlight w:val="none"/>
        </w:rPr>
        <w:tab/>
      </w:r>
      <w:r>
        <w:rPr>
          <w:color w:val="auto"/>
          <w:highlight w:val="none"/>
        </w:rPr>
        <w:fldChar w:fldCharType="begin"/>
      </w:r>
      <w:r>
        <w:rPr>
          <w:color w:val="auto"/>
          <w:highlight w:val="none"/>
        </w:rPr>
        <w:instrText xml:space="preserve"> PAGEREF _Toc21766 \h </w:instrText>
      </w:r>
      <w:r>
        <w:rPr>
          <w:color w:val="auto"/>
          <w:highlight w:val="none"/>
        </w:rPr>
        <w:fldChar w:fldCharType="separate"/>
      </w:r>
      <w:r>
        <w:rPr>
          <w:color w:val="auto"/>
          <w:highlight w:val="none"/>
        </w:rPr>
        <w:t>177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_Toc1565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94 保密要求</w:t>
      </w:r>
      <w:r>
        <w:rPr>
          <w:color w:val="auto"/>
          <w:highlight w:val="none"/>
        </w:rPr>
        <w:tab/>
      </w:r>
      <w:r>
        <w:rPr>
          <w:color w:val="auto"/>
          <w:highlight w:val="none"/>
        </w:rPr>
        <w:fldChar w:fldCharType="begin"/>
      </w:r>
      <w:r>
        <w:rPr>
          <w:color w:val="auto"/>
          <w:highlight w:val="none"/>
        </w:rPr>
        <w:instrText xml:space="preserve"> PAGEREF _Toc1565 \h </w:instrText>
      </w:r>
      <w:r>
        <w:rPr>
          <w:color w:val="auto"/>
          <w:highlight w:val="none"/>
        </w:rPr>
        <w:fldChar w:fldCharType="separate"/>
      </w:r>
      <w:r>
        <w:rPr>
          <w:color w:val="auto"/>
          <w:highlight w:val="none"/>
        </w:rPr>
        <w:t>177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_Toc8837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9</w:t>
      </w:r>
      <w:r>
        <w:rPr>
          <w:rFonts w:hint="eastAsia" w:ascii="仿宋" w:hAnsi="仿宋" w:eastAsia="仿宋" w:cs="仿宋"/>
          <w:color w:val="auto"/>
          <w:szCs w:val="36"/>
          <w:highlight w:val="none"/>
        </w:rPr>
        <w:t>7</w:t>
      </w:r>
      <w:r>
        <w:rPr>
          <w:rFonts w:hint="eastAsia" w:ascii="仿宋" w:hAnsi="仿宋" w:eastAsia="仿宋" w:cs="仿宋"/>
          <w:color w:val="auto"/>
          <w:szCs w:val="24"/>
          <w:highlight w:val="none"/>
        </w:rPr>
        <w:t>合同份数</w:t>
      </w:r>
      <w:r>
        <w:rPr>
          <w:color w:val="auto"/>
          <w:highlight w:val="none"/>
        </w:rPr>
        <w:tab/>
      </w:r>
      <w:r>
        <w:rPr>
          <w:color w:val="auto"/>
          <w:highlight w:val="none"/>
        </w:rPr>
        <w:fldChar w:fldCharType="begin"/>
      </w:r>
      <w:r>
        <w:rPr>
          <w:color w:val="auto"/>
          <w:highlight w:val="none"/>
        </w:rPr>
        <w:instrText xml:space="preserve"> PAGEREF _Toc8837 \h </w:instrText>
      </w:r>
      <w:r>
        <w:rPr>
          <w:color w:val="auto"/>
          <w:highlight w:val="none"/>
        </w:rPr>
        <w:fldChar w:fldCharType="separate"/>
      </w:r>
      <w:r>
        <w:rPr>
          <w:color w:val="auto"/>
          <w:highlight w:val="none"/>
        </w:rPr>
        <w:t>177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_Toc4854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99 补充条款</w:t>
      </w:r>
      <w:r>
        <w:rPr>
          <w:color w:val="auto"/>
          <w:highlight w:val="none"/>
        </w:rPr>
        <w:tab/>
      </w:r>
      <w:r>
        <w:rPr>
          <w:color w:val="auto"/>
          <w:highlight w:val="none"/>
        </w:rPr>
        <w:fldChar w:fldCharType="begin"/>
      </w:r>
      <w:r>
        <w:rPr>
          <w:color w:val="auto"/>
          <w:highlight w:val="none"/>
        </w:rPr>
        <w:instrText xml:space="preserve"> PAGEREF _Toc4854 \h </w:instrText>
      </w:r>
      <w:r>
        <w:rPr>
          <w:color w:val="auto"/>
          <w:highlight w:val="none"/>
        </w:rPr>
        <w:fldChar w:fldCharType="separate"/>
      </w:r>
      <w:r>
        <w:rPr>
          <w:color w:val="auto"/>
          <w:highlight w:val="none"/>
        </w:rPr>
        <w:t>177</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color w:val="auto"/>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_Toc31475 </w:instrText>
      </w:r>
      <w:r>
        <w:rPr>
          <w:rFonts w:ascii="Times New Roman" w:hAnsi="Times New Roman" w:cs="Times New Roman"/>
          <w:color w:val="auto"/>
          <w:highlight w:val="none"/>
        </w:rPr>
        <w:fldChar w:fldCharType="separate"/>
      </w:r>
      <w:r>
        <w:rPr>
          <w:rFonts w:hint="eastAsia" w:ascii="仿宋" w:hAnsi="仿宋" w:eastAsia="仿宋" w:cs="仿宋"/>
          <w:color w:val="auto"/>
          <w:szCs w:val="24"/>
          <w:highlight w:val="none"/>
        </w:rPr>
        <w:t>100施工BIM</w:t>
      </w:r>
      <w:r>
        <w:rPr>
          <w:color w:val="auto"/>
          <w:highlight w:val="none"/>
        </w:rPr>
        <w:tab/>
      </w:r>
      <w:r>
        <w:rPr>
          <w:color w:val="auto"/>
          <w:highlight w:val="none"/>
        </w:rPr>
        <w:fldChar w:fldCharType="begin"/>
      </w:r>
      <w:r>
        <w:rPr>
          <w:color w:val="auto"/>
          <w:highlight w:val="none"/>
        </w:rPr>
        <w:instrText xml:space="preserve"> PAGEREF _Toc31475 \h </w:instrText>
      </w:r>
      <w:r>
        <w:rPr>
          <w:color w:val="auto"/>
          <w:highlight w:val="none"/>
        </w:rPr>
        <w:fldChar w:fldCharType="separate"/>
      </w:r>
      <w:r>
        <w:rPr>
          <w:color w:val="auto"/>
          <w:highlight w:val="none"/>
        </w:rPr>
        <w:t>179</w:t>
      </w:r>
      <w:r>
        <w:rPr>
          <w:color w:val="auto"/>
          <w:highlight w:val="none"/>
        </w:rPr>
        <w:fldChar w:fldCharType="end"/>
      </w:r>
      <w:r>
        <w:rPr>
          <w:rFonts w:ascii="Times New Roman" w:hAnsi="Times New Roman" w:cs="Times New Roman"/>
          <w:color w:val="auto"/>
          <w:highlight w:val="none"/>
        </w:rPr>
        <w:fldChar w:fldCharType="end"/>
      </w:r>
    </w:p>
    <w:p>
      <w:pPr>
        <w:pStyle w:val="12"/>
        <w:tabs>
          <w:tab w:val="right" w:leader="dot" w:pos="10204"/>
        </w:tabs>
        <w:rPr>
          <w:b/>
          <w:bCs/>
          <w:color w:val="auto"/>
          <w:highlight w:val="none"/>
        </w:rPr>
      </w:pP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_Toc19941 </w:instrText>
      </w:r>
      <w:r>
        <w:rPr>
          <w:rFonts w:ascii="Times New Roman" w:hAnsi="Times New Roman" w:cs="Times New Roman"/>
          <w:b/>
          <w:bCs/>
          <w:color w:val="auto"/>
          <w:highlight w:val="none"/>
        </w:rPr>
        <w:fldChar w:fldCharType="separate"/>
      </w:r>
      <w:r>
        <w:rPr>
          <w:rFonts w:ascii="宋体" w:hAnsi="宋体" w:cs="Times New Roman"/>
          <w:b/>
          <w:bCs/>
          <w:color w:val="auto"/>
          <w:szCs w:val="24"/>
          <w:highlight w:val="none"/>
        </w:rPr>
        <w:t>附件</w:t>
      </w:r>
      <w:r>
        <w:rPr>
          <w:rFonts w:hint="default" w:ascii="宋体" w:hAnsi="宋体" w:cs="Times New Roman"/>
          <w:b/>
          <w:bCs/>
          <w:color w:val="auto"/>
          <w:szCs w:val="24"/>
          <w:highlight w:val="none"/>
        </w:rPr>
        <w:t>一</w:t>
      </w:r>
      <w:r>
        <w:rPr>
          <w:rFonts w:ascii="Times New Roman" w:hAnsi="Times New Roman" w:cs="Times New Roman"/>
          <w:b/>
          <w:bCs/>
          <w:color w:val="auto"/>
          <w:highlight w:val="none"/>
        </w:rPr>
        <w:fldChar w:fldCharType="end"/>
      </w: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_Toc451 </w:instrText>
      </w:r>
      <w:r>
        <w:rPr>
          <w:rFonts w:ascii="Times New Roman" w:hAnsi="Times New Roman" w:cs="Times New Roman"/>
          <w:b/>
          <w:bCs/>
          <w:color w:val="auto"/>
          <w:highlight w:val="none"/>
        </w:rPr>
        <w:fldChar w:fldCharType="separate"/>
      </w:r>
      <w:r>
        <w:rPr>
          <w:rFonts w:hint="eastAsia" w:ascii="Times New Roman" w:hAnsi="Times New Roman"/>
          <w:b/>
          <w:bCs/>
          <w:color w:val="auto"/>
          <w:kern w:val="44"/>
          <w:highlight w:val="none"/>
        </w:rPr>
        <w:t>工程质量保修书</w:t>
      </w:r>
      <w:r>
        <w:rPr>
          <w:b/>
          <w:bCs/>
          <w:color w:val="auto"/>
          <w:highlight w:val="none"/>
        </w:rPr>
        <w:tab/>
      </w:r>
      <w:r>
        <w:rPr>
          <w:b/>
          <w:bCs/>
          <w:color w:val="auto"/>
          <w:highlight w:val="none"/>
        </w:rPr>
        <w:fldChar w:fldCharType="begin"/>
      </w:r>
      <w:r>
        <w:rPr>
          <w:b/>
          <w:bCs/>
          <w:color w:val="auto"/>
          <w:highlight w:val="none"/>
        </w:rPr>
        <w:instrText xml:space="preserve"> PAGEREF _Toc451 \h </w:instrText>
      </w:r>
      <w:r>
        <w:rPr>
          <w:b/>
          <w:bCs/>
          <w:color w:val="auto"/>
          <w:highlight w:val="none"/>
        </w:rPr>
        <w:fldChar w:fldCharType="separate"/>
      </w:r>
      <w:r>
        <w:rPr>
          <w:b/>
          <w:bCs/>
          <w:color w:val="auto"/>
          <w:highlight w:val="none"/>
        </w:rPr>
        <w:t>182</w:t>
      </w:r>
      <w:r>
        <w:rPr>
          <w:b/>
          <w:bCs/>
          <w:color w:val="auto"/>
          <w:highlight w:val="none"/>
        </w:rPr>
        <w:fldChar w:fldCharType="end"/>
      </w:r>
      <w:r>
        <w:rPr>
          <w:rFonts w:ascii="Times New Roman" w:hAnsi="Times New Roman" w:cs="Times New Roman"/>
          <w:b/>
          <w:bCs/>
          <w:color w:val="auto"/>
          <w:highlight w:val="none"/>
        </w:rPr>
        <w:fldChar w:fldCharType="end"/>
      </w:r>
    </w:p>
    <w:p>
      <w:pPr>
        <w:pStyle w:val="12"/>
        <w:tabs>
          <w:tab w:val="right" w:leader="dot" w:pos="10204"/>
        </w:tabs>
        <w:rPr>
          <w:b/>
          <w:bCs/>
          <w:color w:val="auto"/>
          <w:highlight w:val="none"/>
        </w:rPr>
      </w:pP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_Toc30023 </w:instrText>
      </w:r>
      <w:r>
        <w:rPr>
          <w:rFonts w:ascii="Times New Roman" w:hAnsi="Times New Roman" w:cs="Times New Roman"/>
          <w:b/>
          <w:bCs/>
          <w:color w:val="auto"/>
          <w:highlight w:val="none"/>
        </w:rPr>
        <w:fldChar w:fldCharType="separate"/>
      </w:r>
      <w:r>
        <w:rPr>
          <w:rFonts w:ascii="宋体" w:hAnsi="宋体" w:cs="Times New Roman"/>
          <w:b/>
          <w:bCs/>
          <w:color w:val="auto"/>
          <w:szCs w:val="24"/>
          <w:highlight w:val="none"/>
        </w:rPr>
        <w:t>附件</w:t>
      </w:r>
      <w:r>
        <w:rPr>
          <w:rFonts w:hint="default" w:ascii="宋体" w:hAnsi="宋体" w:cs="Times New Roman"/>
          <w:b/>
          <w:bCs/>
          <w:color w:val="auto"/>
          <w:szCs w:val="24"/>
          <w:highlight w:val="none"/>
        </w:rPr>
        <w:t>二</w:t>
      </w:r>
      <w:r>
        <w:rPr>
          <w:rFonts w:ascii="Times New Roman" w:hAnsi="Times New Roman" w:cs="Times New Roman"/>
          <w:b/>
          <w:bCs/>
          <w:color w:val="auto"/>
          <w:highlight w:val="none"/>
        </w:rPr>
        <w:fldChar w:fldCharType="end"/>
      </w: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_Toc24595 </w:instrText>
      </w:r>
      <w:r>
        <w:rPr>
          <w:rFonts w:ascii="Times New Roman" w:hAnsi="Times New Roman" w:cs="Times New Roman"/>
          <w:b/>
          <w:bCs/>
          <w:color w:val="auto"/>
          <w:highlight w:val="none"/>
        </w:rPr>
        <w:fldChar w:fldCharType="separate"/>
      </w:r>
      <w:r>
        <w:rPr>
          <w:rFonts w:hint="eastAsia" w:ascii="Times New Roman" w:hAnsi="Times New Roman"/>
          <w:b/>
          <w:bCs/>
          <w:color w:val="auto"/>
          <w:kern w:val="44"/>
          <w:highlight w:val="none"/>
        </w:rPr>
        <w:t>廉政合同</w:t>
      </w:r>
      <w:r>
        <w:rPr>
          <w:b/>
          <w:bCs/>
          <w:color w:val="auto"/>
          <w:highlight w:val="none"/>
        </w:rPr>
        <w:tab/>
      </w:r>
      <w:r>
        <w:rPr>
          <w:b/>
          <w:bCs/>
          <w:color w:val="auto"/>
          <w:highlight w:val="none"/>
        </w:rPr>
        <w:fldChar w:fldCharType="begin"/>
      </w:r>
      <w:r>
        <w:rPr>
          <w:b/>
          <w:bCs/>
          <w:color w:val="auto"/>
          <w:highlight w:val="none"/>
        </w:rPr>
        <w:instrText xml:space="preserve"> PAGEREF _Toc24595 \h </w:instrText>
      </w:r>
      <w:r>
        <w:rPr>
          <w:b/>
          <w:bCs/>
          <w:color w:val="auto"/>
          <w:highlight w:val="none"/>
        </w:rPr>
        <w:fldChar w:fldCharType="separate"/>
      </w:r>
      <w:r>
        <w:rPr>
          <w:b/>
          <w:bCs/>
          <w:color w:val="auto"/>
          <w:highlight w:val="none"/>
        </w:rPr>
        <w:t>184</w:t>
      </w:r>
      <w:r>
        <w:rPr>
          <w:b/>
          <w:bCs/>
          <w:color w:val="auto"/>
          <w:highlight w:val="none"/>
        </w:rPr>
        <w:fldChar w:fldCharType="end"/>
      </w:r>
      <w:r>
        <w:rPr>
          <w:rFonts w:ascii="Times New Roman" w:hAnsi="Times New Roman" w:cs="Times New Roman"/>
          <w:b/>
          <w:bCs/>
          <w:color w:val="auto"/>
          <w:highlight w:val="none"/>
        </w:rPr>
        <w:fldChar w:fldCharType="end"/>
      </w:r>
    </w:p>
    <w:p>
      <w:pPr>
        <w:pStyle w:val="12"/>
        <w:tabs>
          <w:tab w:val="right" w:leader="dot" w:pos="10204"/>
        </w:tabs>
        <w:rPr>
          <w:b/>
          <w:bCs/>
          <w:color w:val="auto"/>
          <w:highlight w:val="none"/>
        </w:rPr>
      </w:pP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_Toc14229 </w:instrText>
      </w:r>
      <w:r>
        <w:rPr>
          <w:rFonts w:ascii="Times New Roman" w:hAnsi="Times New Roman" w:cs="Times New Roman"/>
          <w:b/>
          <w:bCs/>
          <w:color w:val="auto"/>
          <w:highlight w:val="none"/>
        </w:rPr>
        <w:fldChar w:fldCharType="separate"/>
      </w:r>
      <w:r>
        <w:rPr>
          <w:rFonts w:ascii="宋体" w:hAnsi="宋体" w:cs="Times New Roman"/>
          <w:b/>
          <w:bCs/>
          <w:color w:val="auto"/>
          <w:szCs w:val="24"/>
          <w:highlight w:val="none"/>
        </w:rPr>
        <w:t>附件</w:t>
      </w:r>
      <w:r>
        <w:rPr>
          <w:rFonts w:hint="default" w:ascii="宋体" w:hAnsi="宋体" w:cs="Times New Roman"/>
          <w:b/>
          <w:bCs/>
          <w:color w:val="auto"/>
          <w:szCs w:val="24"/>
          <w:highlight w:val="none"/>
        </w:rPr>
        <w:t>三</w:t>
      </w:r>
      <w:r>
        <w:rPr>
          <w:rFonts w:ascii="Times New Roman" w:hAnsi="Times New Roman" w:cs="Times New Roman"/>
          <w:b/>
          <w:bCs/>
          <w:color w:val="auto"/>
          <w:highlight w:val="none"/>
        </w:rPr>
        <w:fldChar w:fldCharType="end"/>
      </w: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_Toc29072 </w:instrText>
      </w:r>
      <w:r>
        <w:rPr>
          <w:rFonts w:ascii="Times New Roman" w:hAnsi="Times New Roman" w:cs="Times New Roman"/>
          <w:b/>
          <w:bCs/>
          <w:color w:val="auto"/>
          <w:highlight w:val="none"/>
        </w:rPr>
        <w:fldChar w:fldCharType="separate"/>
      </w:r>
      <w:r>
        <w:rPr>
          <w:rFonts w:ascii="Times New Roman" w:hAnsi="Times New Roman" w:cstheme="minorBidi"/>
          <w:b/>
          <w:bCs/>
          <w:color w:val="auto"/>
          <w:kern w:val="44"/>
          <w:szCs w:val="20"/>
          <w:highlight w:val="none"/>
        </w:rPr>
        <w:t>广州市建设工程施工合同项目工人工资支付分账管理补充协议</w:t>
      </w:r>
      <w:r>
        <w:rPr>
          <w:b/>
          <w:bCs/>
          <w:color w:val="auto"/>
          <w:highlight w:val="none"/>
        </w:rPr>
        <w:tab/>
      </w:r>
      <w:r>
        <w:rPr>
          <w:b/>
          <w:bCs/>
          <w:color w:val="auto"/>
          <w:highlight w:val="none"/>
        </w:rPr>
        <w:fldChar w:fldCharType="begin"/>
      </w:r>
      <w:r>
        <w:rPr>
          <w:b/>
          <w:bCs/>
          <w:color w:val="auto"/>
          <w:highlight w:val="none"/>
        </w:rPr>
        <w:instrText xml:space="preserve"> PAGEREF _Toc29072 \h </w:instrText>
      </w:r>
      <w:r>
        <w:rPr>
          <w:b/>
          <w:bCs/>
          <w:color w:val="auto"/>
          <w:highlight w:val="none"/>
        </w:rPr>
        <w:fldChar w:fldCharType="separate"/>
      </w:r>
      <w:r>
        <w:rPr>
          <w:b/>
          <w:bCs/>
          <w:color w:val="auto"/>
          <w:highlight w:val="none"/>
        </w:rPr>
        <w:t>187</w:t>
      </w:r>
      <w:r>
        <w:rPr>
          <w:b/>
          <w:bCs/>
          <w:color w:val="auto"/>
          <w:highlight w:val="none"/>
        </w:rPr>
        <w:fldChar w:fldCharType="end"/>
      </w:r>
      <w:r>
        <w:rPr>
          <w:rFonts w:ascii="Times New Roman" w:hAnsi="Times New Roman" w:cs="Times New Roman"/>
          <w:b/>
          <w:bCs/>
          <w:color w:val="auto"/>
          <w:highlight w:val="none"/>
        </w:rPr>
        <w:fldChar w:fldCharType="end"/>
      </w:r>
    </w:p>
    <w:p>
      <w:pPr>
        <w:pStyle w:val="12"/>
        <w:tabs>
          <w:tab w:val="right" w:leader="dot" w:pos="10204"/>
        </w:tabs>
        <w:rPr>
          <w:b/>
          <w:bCs/>
          <w:color w:val="auto"/>
          <w:highlight w:val="none"/>
        </w:rPr>
      </w:pP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_Toc10630 </w:instrText>
      </w:r>
      <w:r>
        <w:rPr>
          <w:rFonts w:ascii="Times New Roman" w:hAnsi="Times New Roman" w:cs="Times New Roman"/>
          <w:b/>
          <w:bCs/>
          <w:color w:val="auto"/>
          <w:highlight w:val="none"/>
        </w:rPr>
        <w:fldChar w:fldCharType="separate"/>
      </w:r>
      <w:r>
        <w:rPr>
          <w:rFonts w:ascii="宋体" w:hAnsi="宋体" w:cs="Times New Roman"/>
          <w:b/>
          <w:bCs/>
          <w:color w:val="auto"/>
          <w:szCs w:val="24"/>
          <w:highlight w:val="none"/>
        </w:rPr>
        <w:t>附件</w:t>
      </w:r>
      <w:r>
        <w:rPr>
          <w:rFonts w:hint="default" w:ascii="宋体" w:hAnsi="宋体" w:cs="Times New Roman"/>
          <w:b/>
          <w:bCs/>
          <w:color w:val="auto"/>
          <w:szCs w:val="24"/>
          <w:highlight w:val="none"/>
        </w:rPr>
        <w:t>四</w:t>
      </w:r>
      <w:r>
        <w:rPr>
          <w:rFonts w:ascii="Times New Roman" w:hAnsi="Times New Roman" w:cs="Times New Roman"/>
          <w:b/>
          <w:bCs/>
          <w:color w:val="auto"/>
          <w:highlight w:val="none"/>
        </w:rPr>
        <w:fldChar w:fldCharType="end"/>
      </w: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_Toc6561 </w:instrText>
      </w:r>
      <w:r>
        <w:rPr>
          <w:rFonts w:ascii="Times New Roman" w:hAnsi="Times New Roman" w:cs="Times New Roman"/>
          <w:b/>
          <w:bCs/>
          <w:color w:val="auto"/>
          <w:highlight w:val="none"/>
        </w:rPr>
        <w:fldChar w:fldCharType="separate"/>
      </w:r>
      <w:r>
        <w:rPr>
          <w:rFonts w:hint="eastAsia" w:ascii="Times New Roman" w:hAnsi="Times New Roman" w:cstheme="minorBidi"/>
          <w:b/>
          <w:bCs/>
          <w:color w:val="auto"/>
          <w:kern w:val="44"/>
          <w:szCs w:val="20"/>
          <w:highlight w:val="none"/>
        </w:rPr>
        <w:t>建设项目乙供材料看样定板实施要求</w:t>
      </w:r>
      <w:r>
        <w:rPr>
          <w:b/>
          <w:bCs/>
          <w:color w:val="auto"/>
          <w:highlight w:val="none"/>
        </w:rPr>
        <w:tab/>
      </w:r>
      <w:r>
        <w:rPr>
          <w:b/>
          <w:bCs/>
          <w:color w:val="auto"/>
          <w:highlight w:val="none"/>
        </w:rPr>
        <w:fldChar w:fldCharType="begin"/>
      </w:r>
      <w:r>
        <w:rPr>
          <w:b/>
          <w:bCs/>
          <w:color w:val="auto"/>
          <w:highlight w:val="none"/>
        </w:rPr>
        <w:instrText xml:space="preserve"> PAGEREF _Toc6561 \h </w:instrText>
      </w:r>
      <w:r>
        <w:rPr>
          <w:b/>
          <w:bCs/>
          <w:color w:val="auto"/>
          <w:highlight w:val="none"/>
        </w:rPr>
        <w:fldChar w:fldCharType="separate"/>
      </w:r>
      <w:r>
        <w:rPr>
          <w:b/>
          <w:bCs/>
          <w:color w:val="auto"/>
          <w:highlight w:val="none"/>
        </w:rPr>
        <w:t>193</w:t>
      </w:r>
      <w:r>
        <w:rPr>
          <w:b/>
          <w:bCs/>
          <w:color w:val="auto"/>
          <w:highlight w:val="none"/>
        </w:rPr>
        <w:fldChar w:fldCharType="end"/>
      </w:r>
      <w:r>
        <w:rPr>
          <w:rFonts w:ascii="Times New Roman" w:hAnsi="Times New Roman" w:cs="Times New Roman"/>
          <w:b/>
          <w:bCs/>
          <w:color w:val="auto"/>
          <w:highlight w:val="none"/>
        </w:rPr>
        <w:fldChar w:fldCharType="end"/>
      </w:r>
    </w:p>
    <w:p>
      <w:pPr>
        <w:pStyle w:val="12"/>
        <w:tabs>
          <w:tab w:val="right" w:leader="dot" w:pos="10204"/>
        </w:tabs>
        <w:rPr>
          <w:b/>
          <w:bCs/>
          <w:color w:val="auto"/>
          <w:highlight w:val="none"/>
        </w:rPr>
      </w:pP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_Toc25675 </w:instrText>
      </w:r>
      <w:r>
        <w:rPr>
          <w:rFonts w:ascii="Times New Roman" w:hAnsi="Times New Roman" w:cs="Times New Roman"/>
          <w:b/>
          <w:bCs/>
          <w:color w:val="auto"/>
          <w:highlight w:val="none"/>
        </w:rPr>
        <w:fldChar w:fldCharType="separate"/>
      </w:r>
      <w:r>
        <w:rPr>
          <w:rFonts w:ascii="宋体" w:hAnsi="宋体" w:cs="Times New Roman"/>
          <w:b/>
          <w:bCs/>
          <w:color w:val="auto"/>
          <w:szCs w:val="24"/>
          <w:highlight w:val="none"/>
        </w:rPr>
        <w:t>附件</w:t>
      </w:r>
      <w:r>
        <w:rPr>
          <w:rFonts w:hint="default" w:ascii="宋体" w:hAnsi="宋体" w:cs="Times New Roman"/>
          <w:b/>
          <w:bCs/>
          <w:color w:val="auto"/>
          <w:szCs w:val="24"/>
          <w:highlight w:val="none"/>
        </w:rPr>
        <w:t>五</w:t>
      </w:r>
      <w:r>
        <w:rPr>
          <w:rFonts w:ascii="Times New Roman" w:hAnsi="Times New Roman" w:cs="Times New Roman"/>
          <w:b/>
          <w:bCs/>
          <w:color w:val="auto"/>
          <w:highlight w:val="none"/>
        </w:rPr>
        <w:fldChar w:fldCharType="end"/>
      </w: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_Toc19083 </w:instrText>
      </w:r>
      <w:r>
        <w:rPr>
          <w:rFonts w:ascii="Times New Roman" w:hAnsi="Times New Roman" w:cs="Times New Roman"/>
          <w:b/>
          <w:bCs/>
          <w:color w:val="auto"/>
          <w:highlight w:val="none"/>
        </w:rPr>
        <w:fldChar w:fldCharType="separate"/>
      </w:r>
      <w:r>
        <w:rPr>
          <w:rFonts w:hint="eastAsia" w:ascii="Times New Roman" w:hAnsi="Times New Roman" w:cstheme="minorBidi"/>
          <w:b/>
          <w:bCs/>
          <w:color w:val="auto"/>
          <w:kern w:val="44"/>
          <w:szCs w:val="20"/>
          <w:highlight w:val="none"/>
        </w:rPr>
        <w:t>项目样板引路实施要求</w:t>
      </w:r>
      <w:r>
        <w:rPr>
          <w:b/>
          <w:bCs/>
          <w:color w:val="auto"/>
          <w:highlight w:val="none"/>
        </w:rPr>
        <w:tab/>
      </w:r>
      <w:r>
        <w:rPr>
          <w:b/>
          <w:bCs/>
          <w:color w:val="auto"/>
          <w:highlight w:val="none"/>
        </w:rPr>
        <w:fldChar w:fldCharType="begin"/>
      </w:r>
      <w:r>
        <w:rPr>
          <w:b/>
          <w:bCs/>
          <w:color w:val="auto"/>
          <w:highlight w:val="none"/>
        </w:rPr>
        <w:instrText xml:space="preserve"> PAGEREF _Toc19083 \h </w:instrText>
      </w:r>
      <w:r>
        <w:rPr>
          <w:b/>
          <w:bCs/>
          <w:color w:val="auto"/>
          <w:highlight w:val="none"/>
        </w:rPr>
        <w:fldChar w:fldCharType="separate"/>
      </w:r>
      <w:r>
        <w:rPr>
          <w:b/>
          <w:bCs/>
          <w:color w:val="auto"/>
          <w:highlight w:val="none"/>
        </w:rPr>
        <w:t>206</w:t>
      </w:r>
      <w:r>
        <w:rPr>
          <w:b/>
          <w:bCs/>
          <w:color w:val="auto"/>
          <w:highlight w:val="none"/>
        </w:rPr>
        <w:fldChar w:fldCharType="end"/>
      </w:r>
      <w:r>
        <w:rPr>
          <w:rFonts w:ascii="Times New Roman" w:hAnsi="Times New Roman" w:cs="Times New Roman"/>
          <w:b/>
          <w:bCs/>
          <w:color w:val="auto"/>
          <w:highlight w:val="none"/>
        </w:rPr>
        <w:fldChar w:fldCharType="end"/>
      </w:r>
    </w:p>
    <w:p>
      <w:pPr>
        <w:pStyle w:val="12"/>
        <w:tabs>
          <w:tab w:val="right" w:leader="dot" w:pos="10204"/>
        </w:tabs>
        <w:rPr>
          <w:b/>
          <w:bCs/>
          <w:color w:val="auto"/>
          <w:highlight w:val="none"/>
        </w:rPr>
      </w:pP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_Toc16263 </w:instrText>
      </w:r>
      <w:r>
        <w:rPr>
          <w:rFonts w:ascii="Times New Roman" w:hAnsi="Times New Roman" w:cs="Times New Roman"/>
          <w:b/>
          <w:bCs/>
          <w:color w:val="auto"/>
          <w:highlight w:val="none"/>
        </w:rPr>
        <w:fldChar w:fldCharType="separate"/>
      </w:r>
      <w:r>
        <w:rPr>
          <w:rFonts w:ascii="宋体" w:hAnsi="宋体" w:eastAsia="宋体" w:cs="Times New Roman"/>
          <w:b/>
          <w:bCs/>
          <w:color w:val="auto"/>
          <w:kern w:val="2"/>
          <w:szCs w:val="24"/>
          <w:highlight w:val="none"/>
          <w:lang w:val="en-US" w:eastAsia="zh-CN" w:bidi="ar-SA"/>
        </w:rPr>
        <w:t>附件</w:t>
      </w:r>
      <w:r>
        <w:rPr>
          <w:rFonts w:hint="eastAsia" w:ascii="宋体" w:hAnsi="宋体" w:eastAsia="宋体" w:cs="Times New Roman"/>
          <w:b/>
          <w:bCs/>
          <w:color w:val="auto"/>
          <w:kern w:val="2"/>
          <w:szCs w:val="24"/>
          <w:highlight w:val="none"/>
          <w:lang w:val="en-US" w:eastAsia="zh-CN" w:bidi="ar-SA"/>
        </w:rPr>
        <w:t>六</w:t>
      </w:r>
      <w:r>
        <w:rPr>
          <w:rFonts w:ascii="Times New Roman" w:hAnsi="Times New Roman" w:cs="Times New Roman"/>
          <w:b/>
          <w:bCs/>
          <w:color w:val="auto"/>
          <w:highlight w:val="none"/>
        </w:rPr>
        <w:fldChar w:fldCharType="end"/>
      </w: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_Toc14861 </w:instrText>
      </w:r>
      <w:r>
        <w:rPr>
          <w:rFonts w:ascii="Times New Roman" w:hAnsi="Times New Roman" w:cs="Times New Roman"/>
          <w:b/>
          <w:bCs/>
          <w:color w:val="auto"/>
          <w:highlight w:val="none"/>
        </w:rPr>
        <w:fldChar w:fldCharType="separate"/>
      </w:r>
      <w:r>
        <w:rPr>
          <w:rFonts w:hint="eastAsia" w:ascii="Times New Roman" w:hAnsi="Times New Roman" w:cstheme="minorBidi"/>
          <w:b/>
          <w:bCs/>
          <w:color w:val="auto"/>
          <w:kern w:val="44"/>
          <w:szCs w:val="20"/>
          <w:highlight w:val="none"/>
          <w:lang w:val="en-US" w:eastAsia="zh-CN" w:bidi="ar-SA"/>
        </w:rPr>
        <w:t>广州市天河区建设工程项目代建局设计变更管理办法</w:t>
      </w:r>
      <w:r>
        <w:rPr>
          <w:b/>
          <w:bCs/>
          <w:color w:val="auto"/>
          <w:highlight w:val="none"/>
        </w:rPr>
        <w:tab/>
      </w:r>
      <w:r>
        <w:rPr>
          <w:b/>
          <w:bCs/>
          <w:color w:val="auto"/>
          <w:highlight w:val="none"/>
        </w:rPr>
        <w:fldChar w:fldCharType="begin"/>
      </w:r>
      <w:r>
        <w:rPr>
          <w:b/>
          <w:bCs/>
          <w:color w:val="auto"/>
          <w:highlight w:val="none"/>
        </w:rPr>
        <w:instrText xml:space="preserve"> PAGEREF _Toc14861 \h </w:instrText>
      </w:r>
      <w:r>
        <w:rPr>
          <w:b/>
          <w:bCs/>
          <w:color w:val="auto"/>
          <w:highlight w:val="none"/>
        </w:rPr>
        <w:fldChar w:fldCharType="separate"/>
      </w:r>
      <w:r>
        <w:rPr>
          <w:b/>
          <w:bCs/>
          <w:color w:val="auto"/>
          <w:highlight w:val="none"/>
        </w:rPr>
        <w:t>216</w:t>
      </w:r>
      <w:r>
        <w:rPr>
          <w:b/>
          <w:bCs/>
          <w:color w:val="auto"/>
          <w:highlight w:val="none"/>
        </w:rPr>
        <w:fldChar w:fldCharType="end"/>
      </w:r>
      <w:r>
        <w:rPr>
          <w:rFonts w:ascii="Times New Roman" w:hAnsi="Times New Roman" w:cs="Times New Roman"/>
          <w:b/>
          <w:bCs/>
          <w:color w:val="auto"/>
          <w:highlight w:val="none"/>
        </w:rPr>
        <w:fldChar w:fldCharType="end"/>
      </w:r>
    </w:p>
    <w:p>
      <w:pPr>
        <w:pStyle w:val="12"/>
        <w:tabs>
          <w:tab w:val="right" w:leader="dot" w:pos="10204"/>
        </w:tabs>
        <w:rPr>
          <w:b/>
          <w:bCs/>
          <w:color w:val="auto"/>
          <w:highlight w:val="none"/>
        </w:rPr>
      </w:pP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_Toc3067 </w:instrText>
      </w:r>
      <w:r>
        <w:rPr>
          <w:rFonts w:ascii="Times New Roman" w:hAnsi="Times New Roman" w:cs="Times New Roman"/>
          <w:b/>
          <w:bCs/>
          <w:color w:val="auto"/>
          <w:highlight w:val="none"/>
        </w:rPr>
        <w:fldChar w:fldCharType="separate"/>
      </w:r>
      <w:r>
        <w:rPr>
          <w:rFonts w:ascii="宋体" w:hAnsi="宋体" w:eastAsia="宋体" w:cs="Times New Roman"/>
          <w:b/>
          <w:bCs/>
          <w:color w:val="auto"/>
          <w:kern w:val="2"/>
          <w:szCs w:val="24"/>
          <w:highlight w:val="none"/>
          <w:lang w:val="en-US" w:eastAsia="zh-CN" w:bidi="ar-SA"/>
        </w:rPr>
        <w:t>附件</w:t>
      </w:r>
      <w:r>
        <w:rPr>
          <w:rFonts w:hint="eastAsia" w:ascii="宋体" w:hAnsi="宋体" w:eastAsia="宋体" w:cs="Times New Roman"/>
          <w:b/>
          <w:bCs/>
          <w:color w:val="auto"/>
          <w:kern w:val="2"/>
          <w:szCs w:val="24"/>
          <w:highlight w:val="none"/>
          <w:lang w:val="en-US" w:eastAsia="zh-CN" w:bidi="ar-SA"/>
        </w:rPr>
        <w:t>七</w:t>
      </w:r>
      <w:r>
        <w:rPr>
          <w:rFonts w:ascii="Times New Roman" w:hAnsi="Times New Roman" w:cs="Times New Roman"/>
          <w:b/>
          <w:bCs/>
          <w:color w:val="auto"/>
          <w:highlight w:val="none"/>
        </w:rPr>
        <w:fldChar w:fldCharType="end"/>
      </w: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_Toc10209 </w:instrText>
      </w:r>
      <w:r>
        <w:rPr>
          <w:rFonts w:ascii="Times New Roman" w:hAnsi="Times New Roman" w:cs="Times New Roman"/>
          <w:b/>
          <w:bCs/>
          <w:color w:val="auto"/>
          <w:highlight w:val="none"/>
        </w:rPr>
        <w:fldChar w:fldCharType="separate"/>
      </w:r>
      <w:r>
        <w:rPr>
          <w:rFonts w:hint="eastAsia" w:ascii="Times New Roman" w:hAnsi="Times New Roman" w:cstheme="minorBidi"/>
          <w:b/>
          <w:bCs/>
          <w:color w:val="auto"/>
          <w:kern w:val="44"/>
          <w:szCs w:val="20"/>
          <w:highlight w:val="none"/>
          <w:lang w:val="en-US" w:eastAsia="zh-CN" w:bidi="ar-SA"/>
        </w:rPr>
        <w:t>广州市天河区建设工程项目代建局工程签证管理办法</w:t>
      </w:r>
      <w:r>
        <w:rPr>
          <w:b/>
          <w:bCs/>
          <w:color w:val="auto"/>
          <w:highlight w:val="none"/>
        </w:rPr>
        <w:tab/>
      </w:r>
      <w:r>
        <w:rPr>
          <w:b/>
          <w:bCs/>
          <w:color w:val="auto"/>
          <w:highlight w:val="none"/>
        </w:rPr>
        <w:fldChar w:fldCharType="begin"/>
      </w:r>
      <w:r>
        <w:rPr>
          <w:b/>
          <w:bCs/>
          <w:color w:val="auto"/>
          <w:highlight w:val="none"/>
        </w:rPr>
        <w:instrText xml:space="preserve"> PAGEREF _Toc10209 \h </w:instrText>
      </w:r>
      <w:r>
        <w:rPr>
          <w:b/>
          <w:bCs/>
          <w:color w:val="auto"/>
          <w:highlight w:val="none"/>
        </w:rPr>
        <w:fldChar w:fldCharType="separate"/>
      </w:r>
      <w:r>
        <w:rPr>
          <w:b/>
          <w:bCs/>
          <w:color w:val="auto"/>
          <w:highlight w:val="none"/>
        </w:rPr>
        <w:t>237</w:t>
      </w:r>
      <w:r>
        <w:rPr>
          <w:b/>
          <w:bCs/>
          <w:color w:val="auto"/>
          <w:highlight w:val="none"/>
        </w:rPr>
        <w:fldChar w:fldCharType="end"/>
      </w:r>
      <w:r>
        <w:rPr>
          <w:rFonts w:ascii="Times New Roman" w:hAnsi="Times New Roman" w:cs="Times New Roman"/>
          <w:b/>
          <w:bCs/>
          <w:color w:val="auto"/>
          <w:highlight w:val="none"/>
        </w:rPr>
        <w:fldChar w:fldCharType="end"/>
      </w:r>
    </w:p>
    <w:p>
      <w:pPr>
        <w:pStyle w:val="12"/>
        <w:tabs>
          <w:tab w:val="right" w:leader="dot" w:pos="10204"/>
        </w:tabs>
        <w:rPr>
          <w:b/>
          <w:bCs/>
          <w:color w:val="auto"/>
          <w:highlight w:val="none"/>
        </w:rPr>
      </w:pP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_Toc23693 </w:instrText>
      </w:r>
      <w:r>
        <w:rPr>
          <w:rFonts w:ascii="Times New Roman" w:hAnsi="Times New Roman" w:cs="Times New Roman"/>
          <w:b/>
          <w:bCs/>
          <w:color w:val="auto"/>
          <w:highlight w:val="none"/>
        </w:rPr>
        <w:fldChar w:fldCharType="separate"/>
      </w:r>
      <w:r>
        <w:rPr>
          <w:rFonts w:hint="eastAsia" w:ascii="宋体" w:hAnsi="宋体" w:cs="Times New Roman"/>
          <w:b/>
          <w:bCs/>
          <w:color w:val="auto"/>
          <w:kern w:val="2"/>
          <w:szCs w:val="24"/>
          <w:highlight w:val="none"/>
          <w:lang w:val="en-US" w:eastAsia="zh-CN" w:bidi="ar-SA"/>
        </w:rPr>
        <w:t>附件八</w:t>
      </w:r>
      <w:r>
        <w:rPr>
          <w:rFonts w:ascii="Times New Roman" w:hAnsi="Times New Roman" w:cs="Times New Roman"/>
          <w:b/>
          <w:bCs/>
          <w:color w:val="auto"/>
          <w:highlight w:val="none"/>
        </w:rPr>
        <w:fldChar w:fldCharType="end"/>
      </w: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_Toc6293 </w:instrText>
      </w:r>
      <w:r>
        <w:rPr>
          <w:rFonts w:ascii="Times New Roman" w:hAnsi="Times New Roman" w:cs="Times New Roman"/>
          <w:b/>
          <w:bCs/>
          <w:color w:val="auto"/>
          <w:highlight w:val="none"/>
        </w:rPr>
        <w:fldChar w:fldCharType="separate"/>
      </w:r>
      <w:r>
        <w:rPr>
          <w:rFonts w:hint="eastAsia" w:ascii="Times New Roman" w:hAnsi="Times New Roman"/>
          <w:b/>
          <w:bCs/>
          <w:color w:val="auto"/>
          <w:kern w:val="44"/>
          <w:szCs w:val="20"/>
          <w:highlight w:val="none"/>
          <w:lang w:val="en-US" w:eastAsia="zh-CN"/>
        </w:rPr>
        <w:t>广州市</w:t>
      </w:r>
      <w:r>
        <w:rPr>
          <w:rFonts w:hint="eastAsia" w:ascii="Times New Roman" w:hAnsi="Times New Roman"/>
          <w:b/>
          <w:bCs/>
          <w:color w:val="auto"/>
          <w:kern w:val="44"/>
          <w:szCs w:val="20"/>
          <w:highlight w:val="none"/>
        </w:rPr>
        <w:t>天河区建设工程项目代建局质保项目保修期内工作方案</w:t>
      </w:r>
      <w:r>
        <w:rPr>
          <w:b/>
          <w:bCs/>
          <w:color w:val="auto"/>
          <w:highlight w:val="none"/>
        </w:rPr>
        <w:tab/>
      </w:r>
      <w:r>
        <w:rPr>
          <w:b/>
          <w:bCs/>
          <w:color w:val="auto"/>
          <w:highlight w:val="none"/>
        </w:rPr>
        <w:fldChar w:fldCharType="begin"/>
      </w:r>
      <w:r>
        <w:rPr>
          <w:b/>
          <w:bCs/>
          <w:color w:val="auto"/>
          <w:highlight w:val="none"/>
        </w:rPr>
        <w:instrText xml:space="preserve"> PAGEREF _Toc6293 \h </w:instrText>
      </w:r>
      <w:r>
        <w:rPr>
          <w:b/>
          <w:bCs/>
          <w:color w:val="auto"/>
          <w:highlight w:val="none"/>
        </w:rPr>
        <w:fldChar w:fldCharType="separate"/>
      </w:r>
      <w:r>
        <w:rPr>
          <w:b/>
          <w:bCs/>
          <w:color w:val="auto"/>
          <w:highlight w:val="none"/>
        </w:rPr>
        <w:t>256</w:t>
      </w:r>
      <w:r>
        <w:rPr>
          <w:b/>
          <w:bCs/>
          <w:color w:val="auto"/>
          <w:highlight w:val="none"/>
        </w:rPr>
        <w:fldChar w:fldCharType="end"/>
      </w:r>
      <w:r>
        <w:rPr>
          <w:rFonts w:ascii="Times New Roman" w:hAnsi="Times New Roman" w:cs="Times New Roman"/>
          <w:b/>
          <w:bCs/>
          <w:color w:val="auto"/>
          <w:highlight w:val="none"/>
        </w:rPr>
        <w:fldChar w:fldCharType="end"/>
      </w:r>
    </w:p>
    <w:p>
      <w:pPr>
        <w:pStyle w:val="12"/>
        <w:tabs>
          <w:tab w:val="right" w:leader="dot" w:pos="10204"/>
        </w:tabs>
        <w:rPr>
          <w:color w:val="auto"/>
          <w:highlight w:val="none"/>
        </w:rPr>
      </w:pP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_Toc984 </w:instrText>
      </w:r>
      <w:r>
        <w:rPr>
          <w:rFonts w:ascii="Times New Roman" w:hAnsi="Times New Roman" w:cs="Times New Roman"/>
          <w:b/>
          <w:bCs/>
          <w:color w:val="auto"/>
          <w:highlight w:val="none"/>
        </w:rPr>
        <w:fldChar w:fldCharType="separate"/>
      </w:r>
      <w:r>
        <w:rPr>
          <w:rFonts w:hint="eastAsia" w:ascii="宋体" w:hAnsi="宋体" w:cs="Times New Roman"/>
          <w:b/>
          <w:bCs/>
          <w:color w:val="auto"/>
          <w:kern w:val="2"/>
          <w:szCs w:val="24"/>
          <w:highlight w:val="none"/>
          <w:lang w:val="en-US" w:eastAsia="zh-CN" w:bidi="ar-SA"/>
        </w:rPr>
        <w:t>附件九</w:t>
      </w:r>
      <w:r>
        <w:rPr>
          <w:rFonts w:ascii="Times New Roman" w:hAnsi="Times New Roman" w:cs="Times New Roman"/>
          <w:b/>
          <w:bCs/>
          <w:color w:val="auto"/>
          <w:highlight w:val="none"/>
        </w:rPr>
        <w:fldChar w:fldCharType="end"/>
      </w:r>
      <w:r>
        <w:rPr>
          <w:rFonts w:ascii="Times New Roman" w:hAnsi="Times New Roman" w:cs="Times New Roman"/>
          <w:b/>
          <w:bCs/>
          <w:color w:val="auto"/>
          <w:highlight w:val="none"/>
        </w:rPr>
        <w:fldChar w:fldCharType="begin"/>
      </w:r>
      <w:r>
        <w:rPr>
          <w:rFonts w:ascii="Times New Roman" w:hAnsi="Times New Roman" w:cs="Times New Roman"/>
          <w:b/>
          <w:bCs/>
          <w:color w:val="auto"/>
          <w:highlight w:val="none"/>
        </w:rPr>
        <w:instrText xml:space="preserve"> HYPERLINK \l _Toc10651 </w:instrText>
      </w:r>
      <w:r>
        <w:rPr>
          <w:rFonts w:ascii="Times New Roman" w:hAnsi="Times New Roman" w:cs="Times New Roman"/>
          <w:b/>
          <w:bCs/>
          <w:color w:val="auto"/>
          <w:highlight w:val="none"/>
        </w:rPr>
        <w:fldChar w:fldCharType="separate"/>
      </w:r>
      <w:r>
        <w:rPr>
          <w:rFonts w:hint="eastAsia" w:ascii="Times New Roman" w:hAnsi="Times New Roman" w:cstheme="minorBidi"/>
          <w:b/>
          <w:bCs/>
          <w:color w:val="auto"/>
          <w:kern w:val="44"/>
          <w:szCs w:val="20"/>
          <w:highlight w:val="none"/>
          <w:lang w:val="en-US" w:eastAsia="zh-CN"/>
        </w:rPr>
        <w:t>广州市天河区建设工程项目</w:t>
      </w:r>
      <w:r>
        <w:rPr>
          <w:rFonts w:hint="eastAsia" w:ascii="Times New Roman" w:hAnsi="Times New Roman" w:cstheme="minorBidi"/>
          <w:b/>
          <w:bCs/>
          <w:color w:val="auto"/>
          <w:kern w:val="44"/>
          <w:szCs w:val="20"/>
          <w:highlight w:val="none"/>
        </w:rPr>
        <w:t>代建局</w:t>
      </w:r>
      <w:r>
        <w:rPr>
          <w:rFonts w:hint="eastAsia" w:ascii="Times New Roman" w:hAnsi="Times New Roman" w:cstheme="minorBidi"/>
          <w:b/>
          <w:bCs/>
          <w:color w:val="auto"/>
          <w:kern w:val="44"/>
          <w:szCs w:val="20"/>
          <w:highlight w:val="none"/>
          <w:lang w:val="en-US" w:eastAsia="zh-CN"/>
        </w:rPr>
        <w:t>建设工程分包审批管理指引</w:t>
      </w:r>
      <w:r>
        <w:rPr>
          <w:b/>
          <w:bCs/>
          <w:color w:val="auto"/>
          <w:highlight w:val="none"/>
        </w:rPr>
        <w:tab/>
      </w:r>
      <w:r>
        <w:rPr>
          <w:b/>
          <w:bCs/>
          <w:color w:val="auto"/>
          <w:highlight w:val="none"/>
        </w:rPr>
        <w:fldChar w:fldCharType="begin"/>
      </w:r>
      <w:r>
        <w:rPr>
          <w:b/>
          <w:bCs/>
          <w:color w:val="auto"/>
          <w:highlight w:val="none"/>
        </w:rPr>
        <w:instrText xml:space="preserve"> PAGEREF _Toc10651 \h </w:instrText>
      </w:r>
      <w:r>
        <w:rPr>
          <w:b/>
          <w:bCs/>
          <w:color w:val="auto"/>
          <w:highlight w:val="none"/>
        </w:rPr>
        <w:fldChar w:fldCharType="separate"/>
      </w:r>
      <w:r>
        <w:rPr>
          <w:b/>
          <w:bCs/>
          <w:color w:val="auto"/>
          <w:highlight w:val="none"/>
        </w:rPr>
        <w:t>260</w:t>
      </w:r>
      <w:r>
        <w:rPr>
          <w:b/>
          <w:bCs/>
          <w:color w:val="auto"/>
          <w:highlight w:val="none"/>
        </w:rPr>
        <w:fldChar w:fldCharType="end"/>
      </w:r>
      <w:r>
        <w:rPr>
          <w:rFonts w:ascii="Times New Roman" w:hAnsi="Times New Roman" w:cs="Times New Roman"/>
          <w:b/>
          <w:bCs/>
          <w:color w:val="auto"/>
          <w:highlight w:val="none"/>
        </w:rPr>
        <w:fldChar w:fldCharType="end"/>
      </w:r>
    </w:p>
    <w:p>
      <w:pPr>
        <w:pStyle w:val="19"/>
        <w:tabs>
          <w:tab w:val="right" w:leader="dot" w:pos="10204"/>
          <w:tab w:val="clear" w:pos="8493"/>
        </w:tabs>
        <w:rPr>
          <w:rFonts w:ascii="Times New Roman" w:hAnsi="Times New Roman" w:cs="Times New Roman"/>
          <w:color w:val="auto"/>
          <w:highlight w:val="none"/>
        </w:rPr>
      </w:pPr>
      <w:r>
        <w:rPr>
          <w:rFonts w:ascii="Times New Roman" w:hAnsi="Times New Roman" w:cs="Times New Roman"/>
          <w:color w:val="auto"/>
          <w:highlight w:val="none"/>
        </w:rPr>
        <w:fldChar w:fldCharType="end"/>
      </w:r>
    </w:p>
    <w:p>
      <w:pPr>
        <w:outlineLvl w:val="1"/>
        <w:rPr>
          <w:color w:val="auto"/>
          <w:highlight w:val="none"/>
        </w:rPr>
      </w:pPr>
    </w:p>
    <w:p>
      <w:pPr>
        <w:spacing w:line="500" w:lineRule="exact"/>
        <w:jc w:val="center"/>
        <w:rPr>
          <w:rFonts w:ascii="仿宋" w:hAnsi="仿宋" w:eastAsia="仿宋" w:cs="仿宋"/>
          <w:color w:val="auto"/>
          <w:sz w:val="36"/>
          <w:szCs w:val="36"/>
          <w:highlight w:val="none"/>
          <w:lang w:val="zh-CN"/>
        </w:rPr>
      </w:pPr>
      <w:r>
        <w:rPr>
          <w:rFonts w:hint="eastAsia" w:ascii="仿宋" w:hAnsi="仿宋" w:eastAsia="仿宋" w:cs="仿宋"/>
          <w:color w:val="auto"/>
          <w:sz w:val="36"/>
          <w:szCs w:val="36"/>
          <w:highlight w:val="none"/>
          <w:lang w:val="zh-CN"/>
        </w:rPr>
        <w:br w:type="page"/>
      </w:r>
    </w:p>
    <w:p>
      <w:pPr>
        <w:pStyle w:val="385"/>
        <w:spacing w:before="0" w:after="0" w:line="500" w:lineRule="exact"/>
        <w:jc w:val="center"/>
        <w:outlineLvl w:val="8"/>
        <w:rPr>
          <w:rFonts w:ascii="仿宋" w:hAnsi="仿宋" w:eastAsia="仿宋" w:cs="Times New Roman"/>
          <w:color w:val="auto"/>
          <w:sz w:val="36"/>
          <w:szCs w:val="36"/>
          <w:highlight w:val="none"/>
          <w:lang w:val="zh-CN"/>
        </w:rPr>
      </w:pPr>
      <w:r>
        <w:rPr>
          <w:rFonts w:hint="eastAsia" w:ascii="仿宋" w:hAnsi="仿宋" w:eastAsia="仿宋" w:cs="仿宋"/>
          <w:color w:val="auto"/>
          <w:sz w:val="36"/>
          <w:szCs w:val="36"/>
          <w:highlight w:val="none"/>
          <w:lang w:val="zh-CN"/>
        </w:rPr>
        <w:t>总</w:t>
      </w:r>
      <w:r>
        <w:rPr>
          <w:rFonts w:ascii="仿宋" w:hAnsi="仿宋" w:eastAsia="仿宋" w:cs="仿宋"/>
          <w:color w:val="auto"/>
          <w:sz w:val="36"/>
          <w:szCs w:val="36"/>
          <w:highlight w:val="none"/>
          <w:lang w:val="zh-CN"/>
        </w:rPr>
        <w:t xml:space="preserve">  </w:t>
      </w:r>
      <w:r>
        <w:rPr>
          <w:rFonts w:hint="eastAsia" w:ascii="仿宋" w:hAnsi="仿宋" w:eastAsia="仿宋" w:cs="仿宋"/>
          <w:color w:val="auto"/>
          <w:sz w:val="36"/>
          <w:szCs w:val="36"/>
          <w:highlight w:val="none"/>
          <w:lang w:val="zh-CN"/>
        </w:rPr>
        <w:t>说</w:t>
      </w:r>
      <w:r>
        <w:rPr>
          <w:rFonts w:ascii="仿宋" w:hAnsi="仿宋" w:eastAsia="仿宋" w:cs="仿宋"/>
          <w:color w:val="auto"/>
          <w:sz w:val="36"/>
          <w:szCs w:val="36"/>
          <w:highlight w:val="none"/>
          <w:lang w:val="zh-CN"/>
        </w:rPr>
        <w:t xml:space="preserve">  </w:t>
      </w:r>
      <w:r>
        <w:rPr>
          <w:rFonts w:hint="eastAsia" w:ascii="仿宋" w:hAnsi="仿宋" w:eastAsia="仿宋" w:cs="仿宋"/>
          <w:color w:val="auto"/>
          <w:sz w:val="36"/>
          <w:szCs w:val="36"/>
          <w:highlight w:val="none"/>
          <w:lang w:val="zh-CN"/>
        </w:rPr>
        <w:t>明</w:t>
      </w:r>
    </w:p>
    <w:p>
      <w:pPr>
        <w:rPr>
          <w:rFonts w:cs="Times New Roman"/>
          <w:color w:val="auto"/>
          <w:highlight w:val="none"/>
          <w:lang w:val="zh-CN"/>
        </w:rPr>
      </w:pP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为了指导建设工程施工合同当事人的签约行为，维护合同当事人的合法权益，依据《中华人民共和国民法典》《中华人民共和国建筑法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2019修订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》《中华人民共和国招标投标法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2017修正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及其实施条例</w:t>
      </w:r>
      <w:r>
        <w:rPr>
          <w:rFonts w:hint="eastAsia" w:ascii="仿宋" w:hAnsi="仿宋" w:eastAsia="仿宋" w:cs="仿宋"/>
          <w:color w:val="auto"/>
          <w:sz w:val="24"/>
          <w:szCs w:val="24"/>
          <w:highlight w:val="none"/>
        </w:rPr>
        <w:t>以及相关法律法规，参照《建设工程施工合同（示范文本）》（</w:t>
      </w:r>
      <w:r>
        <w:rPr>
          <w:rFonts w:ascii="仿宋" w:hAnsi="仿宋" w:eastAsia="仿宋" w:cs="仿宋"/>
          <w:color w:val="auto"/>
          <w:sz w:val="24"/>
          <w:szCs w:val="24"/>
          <w:highlight w:val="none"/>
        </w:rPr>
        <w:t>GF—2017—0201</w:t>
      </w:r>
      <w:r>
        <w:rPr>
          <w:rFonts w:hint="eastAsia" w:ascii="仿宋" w:hAnsi="仿宋" w:eastAsia="仿宋" w:cs="仿宋"/>
          <w:color w:val="auto"/>
          <w:sz w:val="24"/>
          <w:szCs w:val="24"/>
          <w:highlight w:val="none"/>
        </w:rPr>
        <w:t>）、《广东省建设工程标准施工合同（</w:t>
      </w:r>
      <w:r>
        <w:rPr>
          <w:rFonts w:ascii="仿宋" w:hAnsi="仿宋" w:eastAsia="仿宋" w:cs="仿宋"/>
          <w:color w:val="auto"/>
          <w:sz w:val="24"/>
          <w:szCs w:val="24"/>
          <w:highlight w:val="none"/>
        </w:rPr>
        <w:t>2009</w:t>
      </w:r>
      <w:r>
        <w:rPr>
          <w:rFonts w:hint="eastAsia" w:ascii="仿宋" w:hAnsi="仿宋" w:eastAsia="仿宋" w:cs="仿宋"/>
          <w:color w:val="auto"/>
          <w:sz w:val="24"/>
          <w:szCs w:val="24"/>
          <w:highlight w:val="none"/>
        </w:rPr>
        <w:t>年版）》等合同范本，广州市住房和城乡建设局、广州市市场监督管理局联合制定了合同示范文本《广州市建设工程施工合同》（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）。为了便于合同当事人使用《广州市建设工程施工合同》（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），现就有关问题说明如下：</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一、项目业主首要责</w:t>
      </w:r>
      <w:r>
        <w:rPr>
          <w:rFonts w:ascii="仿宋" w:hAnsi="仿宋" w:eastAsia="仿宋" w:cs="仿宋"/>
          <w:color w:val="auto"/>
          <w:sz w:val="24"/>
          <w:szCs w:val="24"/>
          <w:highlight w:val="none"/>
        </w:rPr>
        <w:t>任</w:t>
      </w:r>
      <w:r>
        <w:rPr>
          <w:rFonts w:hint="eastAsia" w:ascii="仿宋" w:hAnsi="仿宋" w:eastAsia="仿宋" w:cs="仿宋"/>
          <w:color w:val="auto"/>
          <w:sz w:val="24"/>
          <w:szCs w:val="24"/>
          <w:highlight w:val="none"/>
        </w:rPr>
        <w:t>制</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项目业主或发包方应履行基本建设程序，按照先勘察、后设计、再施工的原则实施工程建设，及时办理各项建设工程手续，并具备法律法规规定的开工条件，在依法领取施工许可证等有关证件后再开工建设；同时需负责整个建设项目全过程的安全管理，包括对设备厂家、设计单位、监理单位、检测单位及各施工单位安全监督管理。</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二、《广州市建设工程施工合同》（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）的组成</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）由协议书、通用条款和专用条款三部分组成。</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（一）协议书</w:t>
      </w:r>
    </w:p>
    <w:p>
      <w:pPr>
        <w:spacing w:line="500" w:lineRule="exact"/>
        <w:ind w:left="147" w:leftChars="70" w:firstLine="360" w:firstLineChars="1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）协议书集中约定了合同当事人基本的合同权利义务。</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（二）通用条款</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通用条款是合同当事人根据《中华人民共和国民法典》、《中华人民共和国建筑法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2019修订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》等法律法规的规定，就工程施工的实施及相关事项，对合同当事人的权利义务作出的原则性约定。</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通用条款既考虑了现行法律法规对工程发承包计价的有关要求，也考虑了工程施工管理的特殊需要。</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（三）专用条款</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是对通用条款原则性约定的细化、完善、补充、修改或另行约定的条款。合同当事人可以根据不同建设工程的特点及发承包计价的具体情况，通过双方的谈判、协商对相应的专用条款进行修改补充。在使用专用条款时，应注意以下事项：</w:t>
      </w:r>
    </w:p>
    <w:p>
      <w:pPr>
        <w:spacing w:line="500" w:lineRule="exact"/>
        <w:ind w:right="25" w:rightChars="12"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专用条款的编号应与相应的通用条款的编号一致；</w:t>
      </w:r>
    </w:p>
    <w:p>
      <w:pPr>
        <w:spacing w:line="500" w:lineRule="exact"/>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合同当事人可以通过对专用条款的修改，满足具体工程的特殊要求，避免直接修改通用条款；</w:t>
      </w:r>
    </w:p>
    <w:p>
      <w:pPr>
        <w:spacing w:line="500" w:lineRule="exact"/>
        <w:ind w:firstLine="480" w:firstLineChars="2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在专用条款中有横道线的地方，合同当事人可针对相应的通用条款进行细化、完善、补充、修改或另行约定；如无细化、完善、补充、修改或另行约定，则填写“无”或划“</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p>
    <w:p>
      <w:pPr>
        <w:spacing w:line="500" w:lineRule="exact"/>
        <w:ind w:firstLine="480" w:firstLineChars="200"/>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三、《广州市建设工程施工合同》（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）的适用范围</w:t>
      </w:r>
    </w:p>
    <w:p>
      <w:pPr>
        <w:spacing w:line="500" w:lineRule="exact"/>
        <w:ind w:firstLine="480" w:firstLineChars="2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）适用于广州市行政区域内建设工程的新建、扩建、改建、装修、修缮等施工项目的合同订立。其中，通用条款中带</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号的条文，其内容是完整不可分割的，与法律、法规、规范有关联的条款，原则上应不进行删减，只能在专用条款中根据实际情况选择或在不违反原条款实质的前提下增加细化内容。其他内容合同当事人可结合建设工程具体情况，按照法律法规规定，根据《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）的内容，约定双方具体的权利义务。</w:t>
      </w:r>
    </w:p>
    <w:p>
      <w:pPr>
        <w:spacing w:line="500" w:lineRule="exact"/>
        <w:ind w:firstLine="616" w:firstLineChars="25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四、其他事项</w:t>
      </w:r>
    </w:p>
    <w:p>
      <w:pPr>
        <w:spacing w:line="500" w:lineRule="exact"/>
        <w:ind w:firstLine="616" w:firstLineChars="257"/>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《广州市建设工程施工合同》（</w:t>
      </w:r>
      <w:r>
        <w:rPr>
          <w:rFonts w:ascii="仿宋" w:hAnsi="仿宋" w:eastAsia="仿宋" w:cs="仿宋"/>
          <w:color w:val="auto"/>
          <w:sz w:val="24"/>
          <w:szCs w:val="24"/>
          <w:highlight w:val="none"/>
        </w:rPr>
        <w:t>SF-2019-0204</w:t>
      </w:r>
      <w:r>
        <w:rPr>
          <w:rFonts w:hint="eastAsia" w:ascii="仿宋" w:hAnsi="仿宋" w:eastAsia="仿宋" w:cs="仿宋"/>
          <w:color w:val="auto"/>
          <w:sz w:val="24"/>
          <w:szCs w:val="24"/>
          <w:highlight w:val="none"/>
        </w:rPr>
        <w:t>）》专用条款中的“预付款”、“进度款”、“竣工结算”条款，在签订合同时优先选择本合同中已列的支付条件、支付方式，如选择“其它方式”或“另作约定”形式的，需以合同附件的形式予以说明原因。</w:t>
      </w:r>
    </w:p>
    <w:p>
      <w:pPr>
        <w:spacing w:beforeAutospacing="1" w:afterAutospacing="1"/>
        <w:jc w:val="left"/>
        <w:rPr>
          <w:rFonts w:ascii="宋体" w:cs="Times New Roman"/>
          <w:color w:val="auto"/>
          <w:kern w:val="0"/>
          <w:sz w:val="36"/>
          <w:szCs w:val="36"/>
          <w:highlight w:val="none"/>
        </w:rPr>
        <w:sectPr>
          <w:footerReference r:id="rId4" w:type="first"/>
          <w:footerReference r:id="rId3" w:type="default"/>
          <w:endnotePr>
            <w:numFmt w:val="decimal"/>
          </w:endnotePr>
          <w:pgSz w:w="11906" w:h="16838"/>
          <w:pgMar w:top="1191" w:right="851" w:bottom="794" w:left="851" w:header="0" w:footer="0" w:gutter="0"/>
          <w:pgNumType w:start="1"/>
          <w:cols w:space="720" w:num="1"/>
          <w:titlePg/>
          <w:docGrid w:linePitch="286" w:charSpace="0"/>
        </w:sectPr>
      </w:pPr>
    </w:p>
    <w:p>
      <w:pPr>
        <w:pStyle w:val="3"/>
        <w:spacing w:after="0" w:line="480" w:lineRule="auto"/>
        <w:jc w:val="center"/>
        <w:rPr>
          <w:rFonts w:ascii="黑体" w:hAnsi="黑体" w:eastAsia="黑体" w:cs="黑体"/>
          <w:color w:val="auto"/>
          <w:sz w:val="36"/>
          <w:szCs w:val="36"/>
          <w:highlight w:val="none"/>
        </w:rPr>
      </w:pPr>
      <w:bookmarkStart w:id="18" w:name="_Toc23880"/>
      <w:bookmarkStart w:id="19" w:name="_Toc564"/>
      <w:r>
        <w:rPr>
          <w:rFonts w:hint="eastAsia" w:ascii="黑体" w:hAnsi="黑体" w:eastAsia="黑体" w:cs="黑体"/>
          <w:color w:val="auto"/>
          <w:sz w:val="36"/>
          <w:szCs w:val="36"/>
          <w:highlight w:val="none"/>
        </w:rPr>
        <w:t>第一部分  协  议  书</w:t>
      </w:r>
      <w:bookmarkEnd w:id="16"/>
      <w:bookmarkEnd w:id="17"/>
      <w:bookmarkEnd w:id="18"/>
      <w:bookmarkEnd w:id="19"/>
    </w:p>
    <w:p>
      <w:pPr>
        <w:rPr>
          <w:color w:val="auto"/>
          <w:sz w:val="36"/>
          <w:szCs w:val="36"/>
          <w:highlight w:val="none"/>
        </w:rPr>
      </w:pPr>
    </w:p>
    <w:p>
      <w:pPr>
        <w:pStyle w:val="3"/>
        <w:spacing w:before="0" w:after="0" w:line="360" w:lineRule="auto"/>
        <w:rPr>
          <w:rStyle w:val="37"/>
          <w:color w:val="auto"/>
          <w:highlight w:val="none"/>
        </w:rPr>
      </w:pPr>
    </w:p>
    <w:p>
      <w:pPr>
        <w:spacing w:line="312" w:lineRule="auto"/>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rPr>
        <w:t>发包人:（全称）</w:t>
      </w:r>
      <w:r>
        <w:rPr>
          <w:rStyle w:val="37"/>
          <w:rFonts w:hint="eastAsia" w:ascii="仿宋" w:hAnsi="仿宋" w:eastAsia="仿宋" w:cs="仿宋"/>
          <w:color w:val="auto"/>
          <w:sz w:val="24"/>
          <w:szCs w:val="24"/>
          <w:highlight w:val="none"/>
          <w:u w:val="single"/>
        </w:rPr>
        <w:t>广州市天河区建设工程项目代建局</w:t>
      </w:r>
    </w:p>
    <w:p>
      <w:pPr>
        <w:spacing w:line="312" w:lineRule="auto"/>
        <w:rPr>
          <w:rStyle w:val="37"/>
          <w:rFonts w:hint="eastAsia" w:ascii="仿宋" w:hAnsi="仿宋" w:eastAsia="仿宋" w:cs="仿宋"/>
          <w:color w:val="auto"/>
          <w:sz w:val="24"/>
          <w:szCs w:val="24"/>
          <w:highlight w:val="none"/>
          <w:u w:val="single"/>
          <w:lang w:eastAsia="zh-CN"/>
        </w:rPr>
      </w:pPr>
      <w:r>
        <w:rPr>
          <w:rStyle w:val="37"/>
          <w:rFonts w:hint="eastAsia" w:ascii="仿宋" w:hAnsi="仿宋" w:eastAsia="仿宋" w:cs="仿宋"/>
          <w:color w:val="auto"/>
          <w:sz w:val="24"/>
          <w:szCs w:val="24"/>
          <w:highlight w:val="none"/>
        </w:rPr>
        <w:t>承包人:（全称）</w:t>
      </w:r>
    </w:p>
    <w:p>
      <w:pPr>
        <w:spacing w:line="312" w:lineRule="auto"/>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bdr w:val="single" w:color="auto" w:sz="4" w:space="0"/>
        </w:rPr>
        <w:t xml:space="preserve">   </w:t>
      </w:r>
    </w:p>
    <w:p>
      <w:pPr>
        <w:spacing w:line="312" w:lineRule="auto"/>
        <w:ind w:firstLine="480" w:firstLineChars="200"/>
        <w:rPr>
          <w:rStyle w:val="37"/>
          <w:rFonts w:ascii="仿宋" w:hAnsi="仿宋" w:eastAsia="仿宋" w:cs="仿宋"/>
          <w:color w:val="auto"/>
          <w:sz w:val="24"/>
          <w:szCs w:val="24"/>
          <w:highlight w:val="none"/>
        </w:rPr>
      </w:pP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依照《中华人民共和国民法典》《中华人民共和国建筑法</w:t>
      </w: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color w:val="auto"/>
          <w:sz w:val="24"/>
          <w:szCs w:val="24"/>
          <w:highlight w:val="none"/>
          <w:lang w:val="en-US" w:eastAsia="zh-CN"/>
        </w:rPr>
        <w:t>2019修订</w:t>
      </w: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color w:val="auto"/>
          <w:sz w:val="24"/>
          <w:szCs w:val="24"/>
          <w:highlight w:val="none"/>
        </w:rPr>
        <w:t>》及其他有关法律、行政法规、地方性法规和规章，以及国家和广东省、广州市、天河区关于建设项目的有关文件，遵循平等、自愿、公平和诚信的原则，发包人、承包人就本工程施工有关事项达成一致意见，订立本合同。</w:t>
      </w:r>
    </w:p>
    <w:p>
      <w:pPr>
        <w:spacing w:line="360" w:lineRule="auto"/>
        <w:rPr>
          <w:rStyle w:val="37"/>
          <w:rFonts w:ascii="仿宋" w:hAnsi="仿宋" w:eastAsia="仿宋" w:cs="仿宋"/>
          <w:b/>
          <w:bCs/>
          <w:color w:val="auto"/>
          <w:sz w:val="24"/>
          <w:szCs w:val="24"/>
          <w:highlight w:val="none"/>
        </w:rPr>
      </w:pPr>
      <w:bookmarkStart w:id="20" w:name="_Toc2872"/>
      <w:bookmarkStart w:id="21" w:name="_Toc21921"/>
    </w:p>
    <w:p>
      <w:pPr>
        <w:spacing w:line="360" w:lineRule="auto"/>
        <w:rPr>
          <w:rStyle w:val="37"/>
          <w:rFonts w:ascii="仿宋" w:hAnsi="仿宋" w:eastAsia="仿宋" w:cs="仿宋"/>
          <w:color w:val="auto"/>
          <w:sz w:val="24"/>
          <w:szCs w:val="24"/>
          <w:highlight w:val="none"/>
        </w:rPr>
      </w:pPr>
      <w:r>
        <w:rPr>
          <w:rStyle w:val="37"/>
          <w:rFonts w:hint="eastAsia" w:ascii="仿宋" w:hAnsi="仿宋" w:eastAsia="仿宋" w:cs="仿宋"/>
          <w:bCs/>
          <w:color w:val="auto"/>
          <w:sz w:val="24"/>
          <w:szCs w:val="24"/>
          <w:highlight w:val="none"/>
        </w:rPr>
        <w:t>一</w:t>
      </w:r>
      <w:r>
        <w:rPr>
          <w:rStyle w:val="37"/>
          <w:rFonts w:hint="eastAsia" w:ascii="仿宋" w:hAnsi="仿宋" w:eastAsia="仿宋" w:cs="仿宋"/>
          <w:b/>
          <w:bCs/>
          <w:color w:val="auto"/>
          <w:sz w:val="24"/>
          <w:szCs w:val="24"/>
          <w:highlight w:val="none"/>
        </w:rPr>
        <w:t>、工程概况</w:t>
      </w:r>
      <w:bookmarkEnd w:id="20"/>
      <w:bookmarkEnd w:id="21"/>
    </w:p>
    <w:p>
      <w:pPr>
        <w:spacing w:line="312" w:lineRule="auto"/>
        <w:ind w:firstLine="480" w:firstLineChars="200"/>
        <w:rPr>
          <w:rStyle w:val="37"/>
          <w:rFonts w:hint="eastAsia" w:ascii="仿宋" w:hAnsi="仿宋" w:eastAsia="仿宋" w:cs="仿宋"/>
          <w:color w:val="auto"/>
          <w:sz w:val="24"/>
          <w:highlight w:val="none"/>
          <w:lang w:eastAsia="zh-CN"/>
        </w:rPr>
      </w:pPr>
      <w:bookmarkStart w:id="22" w:name="_Toc16144"/>
      <w:bookmarkStart w:id="23" w:name="_Toc2720"/>
      <w:r>
        <w:rPr>
          <w:rStyle w:val="37"/>
          <w:rFonts w:hint="eastAsia" w:ascii="仿宋" w:hAnsi="仿宋" w:eastAsia="仿宋" w:cs="仿宋"/>
          <w:color w:val="auto"/>
          <w:sz w:val="24"/>
          <w:highlight w:val="none"/>
        </w:rPr>
        <w:t>1 工程名称：</w:t>
      </w:r>
      <w:r>
        <w:rPr>
          <w:rStyle w:val="37"/>
          <w:rFonts w:hint="eastAsia" w:ascii="仿宋" w:hAnsi="仿宋" w:eastAsia="仿宋" w:cs="仿宋"/>
          <w:color w:val="auto"/>
          <w:sz w:val="24"/>
          <w:highlight w:val="none"/>
          <w:lang w:eastAsia="zh-CN"/>
        </w:rPr>
        <w:t>广州市天河外国语学校智慧城校区建设工程（建筑工程）施工总承包</w:t>
      </w:r>
    </w:p>
    <w:p>
      <w:pPr>
        <w:spacing w:line="312" w:lineRule="auto"/>
        <w:ind w:firstLine="480" w:firstLineChars="200"/>
        <w:rPr>
          <w:rStyle w:val="37"/>
          <w:rFonts w:hint="eastAsia" w:ascii="仿宋" w:hAnsi="仿宋" w:eastAsia="仿宋" w:cs="仿宋"/>
          <w:color w:val="auto"/>
          <w:sz w:val="24"/>
          <w:highlight w:val="none"/>
          <w:lang w:eastAsia="zh-CN"/>
        </w:rPr>
      </w:pPr>
      <w:r>
        <w:rPr>
          <w:rStyle w:val="37"/>
          <w:rFonts w:hint="eastAsia" w:ascii="仿宋" w:hAnsi="仿宋" w:eastAsia="仿宋" w:cs="仿宋"/>
          <w:color w:val="auto"/>
          <w:sz w:val="24"/>
          <w:highlight w:val="none"/>
        </w:rPr>
        <w:t>2 工程地点：项目位于天河区华南快速路以西、长兴路以北，地块西侧紧邻中国科学院化学研究所、北侧为华南植物园、东侧紧靠华南快速干线，与天河智慧城核心区隔路相望</w:t>
      </w:r>
      <w:r>
        <w:rPr>
          <w:rStyle w:val="37"/>
          <w:rFonts w:hint="eastAsia" w:ascii="仿宋" w:hAnsi="仿宋" w:eastAsia="仿宋" w:cs="仿宋"/>
          <w:color w:val="auto"/>
          <w:sz w:val="24"/>
          <w:highlight w:val="none"/>
          <w:lang w:eastAsia="zh-CN"/>
        </w:rPr>
        <w:t>。</w:t>
      </w:r>
    </w:p>
    <w:p>
      <w:pPr>
        <w:spacing w:line="312" w:lineRule="auto"/>
        <w:ind w:firstLine="480" w:firstLineChars="200"/>
        <w:rPr>
          <w:rStyle w:val="37"/>
          <w:rFonts w:ascii="仿宋" w:hAnsi="仿宋" w:eastAsia="仿宋" w:cs="仿宋"/>
          <w:color w:val="auto"/>
          <w:sz w:val="24"/>
          <w:highlight w:val="none"/>
        </w:rPr>
      </w:pPr>
      <w:r>
        <w:rPr>
          <w:rStyle w:val="37"/>
          <w:rFonts w:hint="eastAsia" w:ascii="仿宋" w:hAnsi="仿宋" w:eastAsia="仿宋" w:cs="仿宋"/>
          <w:color w:val="auto"/>
          <w:sz w:val="24"/>
          <w:highlight w:val="none"/>
        </w:rPr>
        <w:t>3 工程立项、规划批准文件号：《广州市天河区发展和改革局关于广州市天河外国语学校智慧城校区建设工程可行性研究报告的复函》（穗天发改投批[2023]42号）</w:t>
      </w:r>
    </w:p>
    <w:p>
      <w:pPr>
        <w:spacing w:line="312" w:lineRule="auto"/>
        <w:ind w:firstLine="480" w:firstLineChars="200"/>
        <w:rPr>
          <w:rStyle w:val="37"/>
          <w:rFonts w:ascii="仿宋" w:hAnsi="仿宋" w:eastAsia="仿宋" w:cs="仿宋"/>
          <w:color w:val="auto"/>
          <w:sz w:val="24"/>
          <w:highlight w:val="none"/>
        </w:rPr>
      </w:pPr>
      <w:r>
        <w:rPr>
          <w:rStyle w:val="37"/>
          <w:rFonts w:hint="eastAsia" w:ascii="仿宋" w:hAnsi="仿宋" w:eastAsia="仿宋" w:cs="仿宋"/>
          <w:color w:val="auto"/>
          <w:sz w:val="24"/>
          <w:highlight w:val="none"/>
        </w:rPr>
        <w:t>4 资金来源：财政资金。</w:t>
      </w:r>
    </w:p>
    <w:p>
      <w:pPr>
        <w:spacing w:line="360" w:lineRule="auto"/>
        <w:rPr>
          <w:rStyle w:val="37"/>
          <w:rFonts w:ascii="仿宋" w:hAnsi="仿宋" w:eastAsia="仿宋" w:cs="仿宋"/>
          <w:b/>
          <w:bCs/>
          <w:color w:val="auto"/>
          <w:sz w:val="24"/>
          <w:szCs w:val="24"/>
          <w:highlight w:val="none"/>
        </w:rPr>
      </w:pPr>
    </w:p>
    <w:p>
      <w:pPr>
        <w:spacing w:line="360" w:lineRule="auto"/>
        <w:rPr>
          <w:rStyle w:val="37"/>
          <w:rFonts w:ascii="仿宋" w:hAnsi="仿宋" w:eastAsia="仿宋" w:cs="仿宋"/>
          <w:b/>
          <w:bCs/>
          <w:color w:val="auto"/>
          <w:sz w:val="24"/>
          <w:szCs w:val="24"/>
          <w:highlight w:val="none"/>
        </w:rPr>
      </w:pPr>
      <w:r>
        <w:rPr>
          <w:rStyle w:val="37"/>
          <w:rFonts w:hint="eastAsia" w:ascii="仿宋" w:hAnsi="仿宋" w:eastAsia="仿宋" w:cs="仿宋"/>
          <w:bCs/>
          <w:color w:val="auto"/>
          <w:sz w:val="24"/>
          <w:szCs w:val="24"/>
          <w:highlight w:val="none"/>
        </w:rPr>
        <w:t>二</w:t>
      </w:r>
      <w:r>
        <w:rPr>
          <w:rStyle w:val="37"/>
          <w:rFonts w:hint="eastAsia" w:ascii="仿宋" w:hAnsi="仿宋" w:eastAsia="仿宋" w:cs="仿宋"/>
          <w:b/>
          <w:bCs/>
          <w:color w:val="auto"/>
          <w:sz w:val="24"/>
          <w:szCs w:val="24"/>
          <w:highlight w:val="none"/>
        </w:rPr>
        <w:t>、工程内容与承包范围</w:t>
      </w:r>
      <w:bookmarkEnd w:id="22"/>
      <w:bookmarkEnd w:id="23"/>
    </w:p>
    <w:p>
      <w:pPr>
        <w:spacing w:line="312" w:lineRule="auto"/>
        <w:ind w:firstLine="480" w:firstLineChars="20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rPr>
        <w:t>1</w:t>
      </w:r>
      <w:r>
        <w:rPr>
          <w:rStyle w:val="37"/>
          <w:rFonts w:hint="eastAsia" w:ascii="仿宋" w:hAnsi="仿宋" w:eastAsia="仿宋" w:cs="仿宋"/>
          <w:color w:val="auto"/>
          <w:sz w:val="24"/>
          <w:szCs w:val="24"/>
          <w:highlight w:val="none"/>
          <w:u w:val="single"/>
        </w:rPr>
        <w:t>项目建设内容: 项目总用地面积118423平方米</w:t>
      </w:r>
      <w:r>
        <w:rPr>
          <w:rStyle w:val="37"/>
          <w:rFonts w:hint="eastAsia" w:ascii="仿宋" w:hAnsi="仿宋" w:eastAsia="仿宋" w:cs="仿宋"/>
          <w:color w:val="auto"/>
          <w:sz w:val="24"/>
          <w:szCs w:val="24"/>
          <w:highlight w:val="none"/>
          <w:u w:val="single"/>
          <w:lang w:eastAsia="zh-CN"/>
        </w:rPr>
        <w:t>，</w:t>
      </w:r>
      <w:r>
        <w:rPr>
          <w:rStyle w:val="37"/>
          <w:rFonts w:ascii="仿宋" w:hAnsi="仿宋" w:eastAsia="仿宋" w:cs="仿宋"/>
          <w:color w:val="auto"/>
          <w:sz w:val="24"/>
          <w:szCs w:val="24"/>
          <w:highlight w:val="none"/>
          <w:u w:val="single"/>
        </w:rPr>
        <w:t>总建筑面积116856平方米。项目拟建90班完全中学，初中30班，高中60班，每班均设置50人，总学生数4500人。建设内容包括教学及辅助用房行政办公用房、生活服务用房、地下室，室外运动场、道路广场、绿化及其他配套设施等。本项目最大单体建筑面积为30428.34平方米，最大单跨跨度为41.4米，最高建筑高度为23.95米。总投资134232.82万元,其中工程费用70341.12万元，工程建设其他费用61618.96万元(含建设用地费54918.07万元)，预备费2272.74万元</w:t>
      </w:r>
      <w:r>
        <w:rPr>
          <w:rStyle w:val="37"/>
          <w:rFonts w:hint="eastAsia" w:ascii="仿宋" w:hAnsi="仿宋" w:eastAsia="仿宋" w:cs="仿宋"/>
          <w:color w:val="auto"/>
          <w:sz w:val="24"/>
          <w:szCs w:val="24"/>
          <w:highlight w:val="none"/>
          <w:u w:val="single"/>
        </w:rPr>
        <w:t>。具体内容包括</w:t>
      </w:r>
      <w:r>
        <w:rPr>
          <w:rStyle w:val="37"/>
          <w:rFonts w:ascii="仿宋" w:hAnsi="仿宋" w:eastAsia="仿宋" w:cs="仿宋"/>
          <w:color w:val="auto"/>
          <w:sz w:val="24"/>
          <w:szCs w:val="24"/>
          <w:highlight w:val="none"/>
          <w:u w:val="single"/>
        </w:rPr>
        <w:t>但不限于以下内容</w:t>
      </w:r>
      <w:r>
        <w:rPr>
          <w:rStyle w:val="37"/>
          <w:rFonts w:hint="eastAsia" w:ascii="仿宋" w:hAnsi="仿宋" w:eastAsia="仿宋" w:cs="仿宋"/>
          <w:color w:val="auto"/>
          <w:sz w:val="24"/>
          <w:szCs w:val="24"/>
          <w:highlight w:val="none"/>
          <w:u w:val="single"/>
        </w:rPr>
        <w:t>：</w:t>
      </w:r>
    </w:p>
    <w:p>
      <w:pPr>
        <w:spacing w:line="312" w:lineRule="auto"/>
        <w:ind w:firstLine="480" w:firstLineChars="20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1）建设工程南区-土石方工程；（2）建设工程南区-行政综合楼地下室-土建工程；（3）建设工程南区-初中教学实验楼及南区连廊-土建工程；（4）建设工程南区-行政综合楼-土建工程；（5）建设工程南区-初中学生宿舍-土建工程；（6）建设工程南区-校门及南区连廊-土建工程；（7）建设工程南区-行政综合楼地下室-安装工程；（8）建设工程南区-初中教学实验楼及南区连廊-安装工程；（9）建设工程南区-行政综合楼-安装工程；（10）建设工程南区-初中学生宿舍-安装工程；（11）建设工程南区-校门及南区连廊-安装工程；（12）建设工程南区-电梯工程；（13）建设工程南区-室外及其他工程（含高低压变配电工程、燃气工程、施工用水（临水）工程、红线外供电工程、永水工程）；（14）建设工程南区-景观工程（红线内）；（15）建设工程南区-拆除工程；（16）建设工程南区-标识工程；（17）建设工程北区-土石方工程；（18）建设工程北区-高中食堂地下室-土建工程；（19）建设工程北区-E-1高中食堂及F-1北区连廊-土建工程；（20）建设工程北区-高中教学楼组团-土建工程；（21）建设工程北区-高中宿舍及教师值班用房组团-土建工程；（22）建设工程北区-体育馆-土建工程；（23）建设工程北区-高中食堂地下室-安装工程；（24）建设工程北区-E-1高中食堂及F-1北区连廊-安装工程；（25）建设工程北区-高中教学楼组团-安装工程；（26）建设工程北区-高中宿舍及教师值班用房组团-安装工程；（27）建设工程北区-体育馆-安装工程；（28）建设工程北区-电梯工程；（29）建设工程北区-室外及其他工程（含高低压变配电工程、永水工程、燃气工程）；（30）建设工程北区-景观工程（红线内）；（31）建设工程北区-拆除工程；（32）建设工程北区-标识工程，具体以施工图纸及有关资料为准。</w:t>
      </w:r>
    </w:p>
    <w:p>
      <w:pPr>
        <w:spacing w:line="312" w:lineRule="auto"/>
        <w:ind w:firstLine="480" w:firstLineChars="20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a、相关报批、报建配合服务、竣工备案等。</w:t>
      </w:r>
    </w:p>
    <w:p>
      <w:pPr>
        <w:spacing w:line="312" w:lineRule="auto"/>
        <w:ind w:firstLine="482" w:firstLineChars="200"/>
        <w:rPr>
          <w:rStyle w:val="37"/>
          <w:rFonts w:ascii="仿宋" w:hAnsi="仿宋" w:eastAsia="仿宋" w:cs="仿宋"/>
          <w:color w:val="auto"/>
          <w:sz w:val="24"/>
          <w:szCs w:val="24"/>
          <w:highlight w:val="none"/>
          <w:u w:val="singl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eq \o\ac(□</w:instrText>
      </w:r>
      <w:r>
        <w:rPr>
          <w:rFonts w:hint="eastAsia" w:ascii="仿宋" w:hAnsi="仿宋" w:eastAsia="仿宋" w:cs="仿宋"/>
          <w:b/>
          <w:bCs/>
          <w:color w:val="auto"/>
          <w:sz w:val="24"/>
          <w:szCs w:val="24"/>
          <w:highlight w:val="none"/>
          <w:lang w:eastAsia="zh-CN"/>
        </w:rPr>
        <w:instrText xml:space="preserve">,</w:instrText>
      </w:r>
      <w:r>
        <w:rPr>
          <w:rFonts w:hint="eastAsia" w:ascii="仿宋" w:hAnsi="仿宋" w:eastAsia="仿宋" w:cs="仿宋"/>
          <w:b/>
          <w:bCs/>
          <w:color w:val="auto"/>
          <w:position w:val="2"/>
          <w:sz w:val="16"/>
          <w:szCs w:val="24"/>
          <w:highlight w:val="none"/>
          <w:lang w:eastAsia="zh-CN"/>
        </w:rPr>
        <w:instrText xml:space="preserve">√</w:instrText>
      </w:r>
      <w:r>
        <w:rPr>
          <w:rFonts w:hint="eastAsia" w:ascii="仿宋" w:hAnsi="仿宋" w:eastAsia="仿宋" w:cs="仿宋"/>
          <w:b/>
          <w:bCs/>
          <w:color w:val="auto"/>
          <w:sz w:val="24"/>
          <w:szCs w:val="24"/>
          <w:highlight w:val="none"/>
        </w:rPr>
        <w:instrText xml:space="preserve">)</w:instrText>
      </w:r>
      <w:r>
        <w:rPr>
          <w:rFonts w:hint="eastAsia" w:ascii="仿宋" w:hAnsi="仿宋" w:eastAsia="仿宋" w:cs="仿宋"/>
          <w:b/>
          <w:bCs/>
          <w:color w:val="auto"/>
          <w:sz w:val="24"/>
          <w:szCs w:val="24"/>
          <w:highlight w:val="none"/>
        </w:rPr>
        <w:fldChar w:fldCharType="end"/>
      </w:r>
      <w:r>
        <w:rPr>
          <w:rStyle w:val="37"/>
          <w:rFonts w:hint="eastAsia" w:ascii="仿宋" w:hAnsi="仿宋" w:eastAsia="仿宋" w:cs="仿宋"/>
          <w:color w:val="auto"/>
          <w:sz w:val="24"/>
          <w:szCs w:val="24"/>
          <w:highlight w:val="none"/>
          <w:u w:val="single"/>
        </w:rPr>
        <w:t>b、完成本项目水、电、路等与现有设施的接驳工作。</w:t>
      </w:r>
    </w:p>
    <w:p>
      <w:pPr>
        <w:spacing w:line="312" w:lineRule="auto"/>
        <w:ind w:firstLine="482" w:firstLineChars="200"/>
        <w:rPr>
          <w:rStyle w:val="37"/>
          <w:rFonts w:ascii="仿宋" w:hAnsi="仿宋" w:eastAsia="仿宋" w:cs="仿宋"/>
          <w:color w:val="auto"/>
          <w:sz w:val="24"/>
          <w:szCs w:val="24"/>
          <w:highlight w:val="none"/>
          <w:u w:val="singl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eq \o\ac(□</w:instrText>
      </w:r>
      <w:r>
        <w:rPr>
          <w:rFonts w:hint="eastAsia" w:ascii="仿宋" w:hAnsi="仿宋" w:eastAsia="仿宋" w:cs="仿宋"/>
          <w:b/>
          <w:bCs/>
          <w:color w:val="auto"/>
          <w:sz w:val="24"/>
          <w:szCs w:val="24"/>
          <w:highlight w:val="none"/>
          <w:lang w:eastAsia="zh-CN"/>
        </w:rPr>
        <w:instrText xml:space="preserve">,</w:instrText>
      </w:r>
      <w:r>
        <w:rPr>
          <w:rFonts w:hint="eastAsia" w:ascii="仿宋" w:hAnsi="仿宋" w:eastAsia="仿宋" w:cs="仿宋"/>
          <w:b/>
          <w:bCs/>
          <w:color w:val="auto"/>
          <w:position w:val="2"/>
          <w:sz w:val="16"/>
          <w:szCs w:val="24"/>
          <w:highlight w:val="none"/>
          <w:lang w:eastAsia="zh-CN"/>
        </w:rPr>
        <w:instrText xml:space="preserve">√</w:instrText>
      </w:r>
      <w:r>
        <w:rPr>
          <w:rFonts w:hint="eastAsia" w:ascii="仿宋" w:hAnsi="仿宋" w:eastAsia="仿宋" w:cs="仿宋"/>
          <w:b/>
          <w:bCs/>
          <w:color w:val="auto"/>
          <w:sz w:val="24"/>
          <w:szCs w:val="24"/>
          <w:highlight w:val="none"/>
        </w:rPr>
        <w:instrText xml:space="preserve">)</w:instrText>
      </w:r>
      <w:r>
        <w:rPr>
          <w:rFonts w:hint="eastAsia" w:ascii="仿宋" w:hAnsi="仿宋" w:eastAsia="仿宋" w:cs="仿宋"/>
          <w:b/>
          <w:bCs/>
          <w:color w:val="auto"/>
          <w:sz w:val="24"/>
          <w:szCs w:val="24"/>
          <w:highlight w:val="none"/>
        </w:rPr>
        <w:fldChar w:fldCharType="end"/>
      </w:r>
      <w:r>
        <w:rPr>
          <w:rStyle w:val="37"/>
          <w:rFonts w:hint="eastAsia" w:ascii="仿宋" w:hAnsi="仿宋" w:eastAsia="仿宋" w:cs="仿宋"/>
          <w:color w:val="auto"/>
          <w:sz w:val="24"/>
          <w:szCs w:val="24"/>
          <w:highlight w:val="none"/>
          <w:u w:val="single"/>
        </w:rPr>
        <w:t>c、配合相关单位完成施工范围内临时建筑物的拆除和清理工作。</w:t>
      </w:r>
    </w:p>
    <w:p>
      <w:pPr>
        <w:spacing w:line="312" w:lineRule="auto"/>
        <w:ind w:firstLine="480" w:firstLineChars="20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具体内容详见招标文件、招标图纸和工程量清单。</w:t>
      </w:r>
    </w:p>
    <w:p>
      <w:pPr>
        <w:spacing w:line="312" w:lineRule="auto"/>
        <w:ind w:left="-10" w:leftChars="-5"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 由承包人按照本合同约定范围和图纸内容、工程量清单实行工程施工总承包，包括但不限于包工、包料、包工期、包质量、包安全、包文明施工，包承包范围内工程验收通过、包办理通水电气的全部手续、包移交、包结算、包资料整理、包竣工图编制、包总承包管理和现场整体组织、包专业协调及配合。</w:t>
      </w:r>
    </w:p>
    <w:p>
      <w:pPr>
        <w:spacing w:line="312" w:lineRule="auto"/>
        <w:ind w:left="-10" w:leftChars="-5"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3 </w:t>
      </w:r>
      <w:r>
        <w:rPr>
          <w:rStyle w:val="37"/>
          <w:rFonts w:hint="eastAsia" w:ascii="仿宋" w:hAnsi="仿宋" w:eastAsia="仿宋" w:cs="仿宋"/>
          <w:color w:val="auto"/>
          <w:sz w:val="24"/>
          <w:szCs w:val="24"/>
          <w:highlight w:val="none"/>
          <w:u w:val="single"/>
        </w:rPr>
        <w:t>工程量清单综合单价包干且不因施工条件、工程规模的变化而调整，招标文件及本合同另有规定的除外。工程结算价最终以政府终审部门审定为准。</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w:t>
      </w:r>
      <w:r>
        <w:rPr>
          <w:rStyle w:val="37"/>
          <w:rFonts w:hint="eastAsia" w:ascii="仿宋" w:hAnsi="仿宋" w:eastAsia="仿宋" w:cs="仿宋"/>
          <w:color w:val="auto"/>
          <w:sz w:val="24"/>
          <w:szCs w:val="24"/>
          <w:highlight w:val="none"/>
          <w:u w:val="single"/>
        </w:rPr>
        <w:t>单价措施项目综合单价包干、总价（按系数计算）措施项目费按实结算。</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5发包人根据工程实施情况，有权对承包人的承包范围及内容进行适当调整，并按专用条款的相关约定处理，承包人必须无条件服从。</w:t>
      </w:r>
    </w:p>
    <w:p>
      <w:pPr>
        <w:spacing w:line="360" w:lineRule="auto"/>
        <w:rPr>
          <w:rStyle w:val="37"/>
          <w:rFonts w:ascii="仿宋" w:hAnsi="仿宋" w:eastAsia="仿宋" w:cs="仿宋"/>
          <w:b/>
          <w:bCs/>
          <w:color w:val="auto"/>
          <w:sz w:val="24"/>
          <w:szCs w:val="24"/>
          <w:highlight w:val="none"/>
        </w:rPr>
      </w:pPr>
      <w:bookmarkStart w:id="24" w:name="_Toc1952"/>
      <w:bookmarkStart w:id="25" w:name="_Toc14996"/>
    </w:p>
    <w:p>
      <w:pPr>
        <w:spacing w:line="360" w:lineRule="auto"/>
        <w:rPr>
          <w:rStyle w:val="37"/>
          <w:rFonts w:ascii="仿宋" w:hAnsi="仿宋" w:eastAsia="仿宋" w:cs="仿宋"/>
          <w:b/>
          <w:bCs/>
          <w:color w:val="auto"/>
          <w:sz w:val="24"/>
          <w:szCs w:val="24"/>
          <w:highlight w:val="none"/>
        </w:rPr>
      </w:pPr>
      <w:r>
        <w:rPr>
          <w:rStyle w:val="37"/>
          <w:rFonts w:hint="eastAsia" w:ascii="仿宋" w:hAnsi="仿宋" w:eastAsia="仿宋" w:cs="仿宋"/>
          <w:bCs/>
          <w:color w:val="auto"/>
          <w:sz w:val="24"/>
          <w:szCs w:val="24"/>
          <w:highlight w:val="none"/>
        </w:rPr>
        <w:t>三</w:t>
      </w:r>
      <w:r>
        <w:rPr>
          <w:rStyle w:val="37"/>
          <w:rFonts w:hint="eastAsia" w:ascii="仿宋" w:hAnsi="仿宋" w:eastAsia="仿宋" w:cs="仿宋"/>
          <w:b/>
          <w:bCs/>
          <w:color w:val="auto"/>
          <w:sz w:val="24"/>
          <w:szCs w:val="24"/>
          <w:highlight w:val="none"/>
        </w:rPr>
        <w:t>、合同工期</w:t>
      </w:r>
      <w:bookmarkEnd w:id="24"/>
      <w:bookmarkEnd w:id="25"/>
    </w:p>
    <w:p>
      <w:pPr>
        <w:spacing w:line="312" w:lineRule="auto"/>
        <w:ind w:left="2" w:firstLine="523" w:firstLineChars="218"/>
        <w:rPr>
          <w:rStyle w:val="37"/>
          <w:rFonts w:ascii="仿宋" w:hAnsi="仿宋" w:eastAsia="仿宋" w:cs="仿宋"/>
          <w:color w:val="auto"/>
          <w:sz w:val="24"/>
          <w:szCs w:val="24"/>
          <w:highlight w:val="none"/>
        </w:rPr>
      </w:pPr>
    </w:p>
    <w:p>
      <w:pPr>
        <w:spacing w:line="312" w:lineRule="auto"/>
        <w:ind w:left="2" w:firstLine="523" w:firstLineChars="218"/>
        <w:rPr>
          <w:rStyle w:val="37"/>
          <w:rFonts w:hint="eastAsia"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 工程合同工期：</w:t>
      </w:r>
    </w:p>
    <w:p>
      <w:pPr>
        <w:pStyle w:val="2"/>
        <w:ind w:firstLine="480" w:firstLineChars="200"/>
        <w:rPr>
          <w:rStyle w:val="37"/>
          <w:rFonts w:hint="eastAsia" w:ascii="仿宋" w:hAnsi="仿宋" w:eastAsia="仿宋" w:cs="仿宋"/>
          <w:color w:val="auto"/>
          <w:sz w:val="24"/>
          <w:szCs w:val="24"/>
          <w:highlight w:val="none"/>
          <w:u w:val="none"/>
        </w:rPr>
      </w:pPr>
      <w:r>
        <w:rPr>
          <w:rStyle w:val="37"/>
          <w:rFonts w:hint="eastAsia" w:ascii="仿宋" w:hAnsi="仿宋" w:eastAsia="仿宋" w:cs="仿宋"/>
          <w:color w:val="auto"/>
          <w:sz w:val="24"/>
          <w:szCs w:val="24"/>
          <w:highlight w:val="none"/>
          <w:u w:val="none"/>
        </w:rPr>
        <w:t>南校区工期</w:t>
      </w:r>
      <w:r>
        <w:rPr>
          <w:rStyle w:val="37"/>
          <w:rFonts w:hint="eastAsia" w:ascii="仿宋" w:hAnsi="仿宋" w:eastAsia="仿宋" w:cs="仿宋"/>
          <w:color w:val="auto"/>
          <w:sz w:val="24"/>
          <w:szCs w:val="24"/>
          <w:highlight w:val="none"/>
          <w:u w:val="single"/>
        </w:rPr>
        <w:t xml:space="preserve"> 5</w:t>
      </w:r>
      <w:r>
        <w:rPr>
          <w:rStyle w:val="37"/>
          <w:rFonts w:hint="eastAsia" w:ascii="仿宋" w:hAnsi="仿宋" w:eastAsia="仿宋" w:cs="仿宋"/>
          <w:color w:val="auto"/>
          <w:sz w:val="24"/>
          <w:szCs w:val="24"/>
          <w:highlight w:val="none"/>
          <w:u w:val="single"/>
          <w:lang w:val="en-US" w:eastAsia="zh-CN"/>
        </w:rPr>
        <w:t>90</w:t>
      </w:r>
      <w:r>
        <w:rPr>
          <w:rStyle w:val="37"/>
          <w:rFonts w:hint="eastAsia" w:ascii="仿宋" w:hAnsi="仿宋" w:eastAsia="仿宋" w:cs="仿宋"/>
          <w:color w:val="auto"/>
          <w:sz w:val="24"/>
          <w:szCs w:val="24"/>
          <w:highlight w:val="none"/>
          <w:u w:val="single"/>
        </w:rPr>
        <w:t>日历天</w:t>
      </w:r>
      <w:r>
        <w:rPr>
          <w:rStyle w:val="37"/>
          <w:rFonts w:hint="eastAsia" w:ascii="仿宋" w:hAnsi="仿宋" w:eastAsia="仿宋" w:cs="仿宋"/>
          <w:color w:val="auto"/>
          <w:sz w:val="24"/>
          <w:szCs w:val="24"/>
          <w:highlight w:val="none"/>
          <w:u w:val="none"/>
        </w:rPr>
        <w:t>（计划2023年11月开工，具体开工日期以监理单位发出的开工令为准，2025年6月</w:t>
      </w:r>
      <w:r>
        <w:rPr>
          <w:rStyle w:val="37"/>
          <w:rFonts w:hint="eastAsia" w:ascii="仿宋" w:hAnsi="仿宋" w:eastAsia="仿宋" w:cs="仿宋"/>
          <w:color w:val="auto"/>
          <w:sz w:val="24"/>
          <w:szCs w:val="24"/>
          <w:highlight w:val="none"/>
          <w:u w:val="none"/>
          <w:lang w:val="en-US" w:eastAsia="zh-CN"/>
        </w:rPr>
        <w:t>30日前</w:t>
      </w:r>
      <w:r>
        <w:rPr>
          <w:rStyle w:val="37"/>
          <w:rFonts w:hint="eastAsia" w:ascii="仿宋" w:hAnsi="仿宋" w:eastAsia="仿宋" w:cs="仿宋"/>
          <w:color w:val="auto"/>
          <w:sz w:val="24"/>
          <w:szCs w:val="24"/>
          <w:highlight w:val="none"/>
          <w:u w:val="none"/>
        </w:rPr>
        <w:t>完成竣工验收）</w:t>
      </w:r>
    </w:p>
    <w:p>
      <w:pPr>
        <w:pStyle w:val="2"/>
        <w:ind w:firstLine="480" w:firstLineChars="200"/>
        <w:rPr>
          <w:color w:val="auto"/>
          <w:highlight w:val="none"/>
        </w:rPr>
      </w:pPr>
      <w:r>
        <w:rPr>
          <w:rStyle w:val="37"/>
          <w:rFonts w:hint="eastAsia" w:ascii="仿宋" w:hAnsi="仿宋" w:eastAsia="仿宋" w:cs="仿宋"/>
          <w:color w:val="auto"/>
          <w:sz w:val="24"/>
          <w:szCs w:val="24"/>
          <w:highlight w:val="none"/>
          <w:u w:val="none"/>
        </w:rPr>
        <w:t xml:space="preserve">北校区工期 </w:t>
      </w:r>
      <w:r>
        <w:rPr>
          <w:rStyle w:val="37"/>
          <w:rFonts w:hint="eastAsia" w:ascii="仿宋" w:hAnsi="仿宋" w:eastAsia="仿宋" w:cs="仿宋"/>
          <w:color w:val="auto"/>
          <w:sz w:val="24"/>
          <w:szCs w:val="24"/>
          <w:highlight w:val="none"/>
          <w:u w:val="single"/>
        </w:rPr>
        <w:t xml:space="preserve"> 7</w:t>
      </w:r>
      <w:r>
        <w:rPr>
          <w:rStyle w:val="37"/>
          <w:rFonts w:hint="eastAsia" w:ascii="仿宋" w:hAnsi="仿宋" w:eastAsia="仿宋" w:cs="仿宋"/>
          <w:color w:val="auto"/>
          <w:sz w:val="24"/>
          <w:szCs w:val="24"/>
          <w:highlight w:val="none"/>
          <w:u w:val="single"/>
          <w:lang w:val="en-US" w:eastAsia="zh-CN"/>
        </w:rPr>
        <w:t>00</w:t>
      </w:r>
      <w:r>
        <w:rPr>
          <w:rStyle w:val="37"/>
          <w:rFonts w:hint="eastAsia" w:ascii="仿宋" w:hAnsi="仿宋" w:eastAsia="仿宋" w:cs="仿宋"/>
          <w:color w:val="auto"/>
          <w:sz w:val="24"/>
          <w:szCs w:val="24"/>
          <w:highlight w:val="none"/>
          <w:u w:val="single"/>
        </w:rPr>
        <w:t>日历天</w:t>
      </w:r>
      <w:r>
        <w:rPr>
          <w:rStyle w:val="37"/>
          <w:rFonts w:hint="eastAsia" w:ascii="仿宋" w:hAnsi="仿宋" w:eastAsia="仿宋" w:cs="仿宋"/>
          <w:color w:val="auto"/>
          <w:sz w:val="24"/>
          <w:szCs w:val="24"/>
          <w:highlight w:val="none"/>
          <w:u w:val="none"/>
        </w:rPr>
        <w:t>（具体开工日期以北校区场地移交后监理单位发出的开工令为准）</w:t>
      </w:r>
    </w:p>
    <w:p>
      <w:pPr>
        <w:ind w:firstLine="200" w:firstLineChars="100"/>
        <w:rPr>
          <w:rFonts w:ascii="仿宋" w:hAnsi="仿宋" w:eastAsia="仿宋" w:cs="仿宋"/>
          <w:bCs/>
          <w:color w:val="auto"/>
          <w:sz w:val="20"/>
          <w:szCs w:val="24"/>
          <w:highlight w:val="none"/>
        </w:rPr>
      </w:pPr>
      <w:r>
        <w:rPr>
          <w:rFonts w:hint="eastAsia" w:ascii="仿宋" w:hAnsi="仿宋" w:eastAsia="仿宋" w:cs="仿宋"/>
          <w:bCs/>
          <w:color w:val="auto"/>
          <w:sz w:val="20"/>
          <w:szCs w:val="24"/>
          <w:highlight w:val="none"/>
        </w:rPr>
        <w:fldChar w:fldCharType="begin"/>
      </w:r>
      <w:r>
        <w:rPr>
          <w:rFonts w:hint="eastAsia" w:ascii="仿宋" w:hAnsi="仿宋" w:eastAsia="仿宋" w:cs="仿宋"/>
          <w:bCs/>
          <w:color w:val="auto"/>
          <w:sz w:val="20"/>
          <w:szCs w:val="24"/>
          <w:highlight w:val="none"/>
        </w:rPr>
        <w:instrText xml:space="preserve">eq \o\ac(□,√)</w:instrText>
      </w:r>
      <w:r>
        <w:rPr>
          <w:rFonts w:hint="eastAsia" w:ascii="仿宋" w:hAnsi="仿宋" w:eastAsia="仿宋" w:cs="仿宋"/>
          <w:bCs/>
          <w:color w:val="auto"/>
          <w:sz w:val="20"/>
          <w:szCs w:val="24"/>
          <w:highlight w:val="none"/>
        </w:rPr>
        <w:fldChar w:fldCharType="end"/>
      </w:r>
      <w:r>
        <w:rPr>
          <w:rFonts w:hint="eastAsia" w:ascii="仿宋" w:hAnsi="仿宋" w:eastAsia="仿宋" w:cs="仿宋"/>
          <w:bCs/>
          <w:color w:val="auto"/>
          <w:sz w:val="20"/>
          <w:szCs w:val="24"/>
          <w:highlight w:val="none"/>
        </w:rPr>
        <w:t xml:space="preserve"> </w:t>
      </w:r>
      <w:r>
        <w:rPr>
          <w:rFonts w:hint="eastAsia" w:ascii="仿宋" w:hAnsi="仿宋" w:eastAsia="仿宋" w:cs="仿宋"/>
          <w:bCs/>
          <w:color w:val="auto"/>
          <w:sz w:val="24"/>
          <w:szCs w:val="24"/>
          <w:highlight w:val="none"/>
        </w:rPr>
        <w:t>2 关键节点工期要求：</w:t>
      </w:r>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 发包人根据工程实施情况，有权对本合同工程工期和节点工期进行适当调整，并按专用条款第36.5款的约定处理，承包人必须采取一切有效措施保合同工期和节点工期，不得延误。如不能按批准的计划完成任务，由承包人按专用条款第90.7款的约定向发包人承担违约责任。</w:t>
      </w:r>
    </w:p>
    <w:p>
      <w:pPr>
        <w:spacing w:line="360" w:lineRule="auto"/>
        <w:rPr>
          <w:rStyle w:val="37"/>
          <w:rFonts w:ascii="仿宋" w:hAnsi="仿宋" w:eastAsia="仿宋" w:cs="仿宋"/>
          <w:b/>
          <w:bCs/>
          <w:color w:val="auto"/>
          <w:sz w:val="24"/>
          <w:szCs w:val="24"/>
          <w:highlight w:val="none"/>
        </w:rPr>
      </w:pPr>
      <w:bookmarkStart w:id="26" w:name="_Toc26755"/>
      <w:bookmarkStart w:id="27" w:name="_Toc5094"/>
    </w:p>
    <w:p>
      <w:pPr>
        <w:spacing w:line="360" w:lineRule="auto"/>
        <w:rPr>
          <w:rStyle w:val="37"/>
          <w:rFonts w:ascii="仿宋" w:hAnsi="仿宋" w:eastAsia="仿宋" w:cs="仿宋"/>
          <w:b/>
          <w:bCs/>
          <w:color w:val="auto"/>
          <w:sz w:val="24"/>
          <w:szCs w:val="24"/>
          <w:highlight w:val="none"/>
        </w:rPr>
      </w:pPr>
      <w:r>
        <w:rPr>
          <w:rStyle w:val="37"/>
          <w:rFonts w:hint="eastAsia" w:ascii="仿宋" w:hAnsi="仿宋" w:eastAsia="仿宋" w:cs="仿宋"/>
          <w:b/>
          <w:color w:val="auto"/>
          <w:sz w:val="24"/>
          <w:szCs w:val="24"/>
          <w:highlight w:val="none"/>
        </w:rPr>
        <w:t>四</w:t>
      </w:r>
      <w:r>
        <w:rPr>
          <w:rStyle w:val="37"/>
          <w:rFonts w:hint="eastAsia" w:ascii="仿宋" w:hAnsi="仿宋" w:eastAsia="仿宋" w:cs="仿宋"/>
          <w:b/>
          <w:bCs/>
          <w:color w:val="auto"/>
          <w:sz w:val="24"/>
          <w:szCs w:val="24"/>
          <w:highlight w:val="none"/>
        </w:rPr>
        <w:t>、质量标准</w:t>
      </w:r>
      <w:bookmarkEnd w:id="26"/>
      <w:bookmarkEnd w:id="27"/>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达到工程施工质量验收规范合格标准及国家现行相关专业有关施工质量验收规范标准，一次验收合格，且</w:t>
      </w:r>
    </w:p>
    <w:p>
      <w:pPr>
        <w:spacing w:line="360" w:lineRule="auto"/>
        <w:ind w:firstLine="720" w:firstLineChars="3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color w:val="auto"/>
          <w:sz w:val="24"/>
          <w:szCs w:val="24"/>
          <w:highlight w:val="none"/>
        </w:rPr>
        <w:t xml:space="preserve"> 市级工程优质奖</w:t>
      </w: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color w:val="auto"/>
          <w:sz w:val="24"/>
          <w:szCs w:val="24"/>
          <w:highlight w:val="none"/>
          <w:lang w:val="en-US" w:eastAsia="zh-CN"/>
        </w:rPr>
        <w:t>力争省级或以上工程优质奖</w:t>
      </w:r>
    </w:p>
    <w:p>
      <w:pPr>
        <w:spacing w:line="360" w:lineRule="auto"/>
        <w:ind w:firstLine="720" w:firstLineChars="3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省级工程优质奖；</w:t>
      </w:r>
    </w:p>
    <w:p>
      <w:pPr>
        <w:spacing w:line="360" w:lineRule="auto"/>
        <w:ind w:firstLine="720" w:firstLineChars="3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国家级工程优质奖；</w:t>
      </w:r>
    </w:p>
    <w:p>
      <w:pPr>
        <w:spacing w:line="360" w:lineRule="auto"/>
        <w:ind w:firstLine="720" w:firstLineChars="30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rPr>
        <w:t>□ 其它</w:t>
      </w:r>
    </w:p>
    <w:p>
      <w:pPr>
        <w:spacing w:line="312" w:lineRule="auto"/>
        <w:ind w:firstLine="720" w:firstLineChars="3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若承包人不能达到上述约定的质量目标的，承包人应按照本合同价款总金额的千分之五向发包人承担违约责任。</w:t>
      </w:r>
    </w:p>
    <w:p>
      <w:pPr>
        <w:spacing w:line="360" w:lineRule="auto"/>
        <w:rPr>
          <w:rFonts w:ascii="仿宋" w:hAnsi="仿宋" w:eastAsia="仿宋" w:cs="仿宋"/>
          <w:color w:val="auto"/>
          <w:highlight w:val="none"/>
        </w:rPr>
      </w:pPr>
    </w:p>
    <w:p>
      <w:pPr>
        <w:spacing w:line="360" w:lineRule="auto"/>
        <w:rPr>
          <w:rStyle w:val="37"/>
          <w:rFonts w:ascii="仿宋" w:hAnsi="仿宋" w:eastAsia="仿宋" w:cs="仿宋"/>
          <w:b/>
          <w:bCs/>
          <w:color w:val="auto"/>
          <w:sz w:val="24"/>
          <w:szCs w:val="24"/>
          <w:highlight w:val="none"/>
        </w:rPr>
      </w:pPr>
      <w:bookmarkStart w:id="28" w:name="_Toc28823"/>
      <w:bookmarkStart w:id="29" w:name="_Toc15487"/>
      <w:r>
        <w:rPr>
          <w:rStyle w:val="37"/>
          <w:rFonts w:hint="eastAsia" w:ascii="仿宋" w:hAnsi="仿宋" w:eastAsia="仿宋" w:cs="仿宋"/>
          <w:b/>
          <w:bCs/>
          <w:color w:val="auto"/>
          <w:sz w:val="24"/>
          <w:szCs w:val="24"/>
          <w:highlight w:val="none"/>
        </w:rPr>
        <w:t>五、合同价款</w:t>
      </w:r>
      <w:bookmarkEnd w:id="28"/>
      <w:bookmarkEnd w:id="29"/>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 本合同以人民币为报价和结算货币，除非发包人、承包人双方另有约定。</w:t>
      </w:r>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 本合同含税总价：￥</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u w:val="single"/>
          <w:lang w:val="en-US" w:eastAsia="zh-CN"/>
        </w:rPr>
        <w:t xml:space="preserve">     </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（人民币大写</w:t>
      </w:r>
      <w:r>
        <w:rPr>
          <w:rStyle w:val="37"/>
          <w:rFonts w:hint="eastAsia" w:ascii="仿宋" w:hAnsi="仿宋" w:eastAsia="仿宋" w:cs="仿宋"/>
          <w:color w:val="auto"/>
          <w:sz w:val="24"/>
          <w:szCs w:val="24"/>
          <w:highlight w:val="none"/>
          <w:u w:val="single"/>
          <w:lang w:eastAsia="zh-CN"/>
        </w:rPr>
        <w:t xml:space="preserve">      </w:t>
      </w:r>
      <w:r>
        <w:rPr>
          <w:rStyle w:val="37"/>
          <w:rFonts w:hint="eastAsia" w:ascii="仿宋" w:hAnsi="仿宋" w:eastAsia="仿宋" w:cs="仿宋"/>
          <w:color w:val="auto"/>
          <w:sz w:val="24"/>
          <w:szCs w:val="24"/>
          <w:highlight w:val="none"/>
        </w:rPr>
        <w:t>）；</w:t>
      </w:r>
    </w:p>
    <w:p>
      <w:pPr>
        <w:spacing w:line="312" w:lineRule="auto"/>
        <w:ind w:left="2" w:firstLine="523" w:firstLineChars="218"/>
        <w:rPr>
          <w:rStyle w:val="37"/>
          <w:rFonts w:hint="eastAsia" w:ascii="仿宋" w:hAnsi="仿宋" w:eastAsia="仿宋" w:cs="仿宋"/>
          <w:color w:val="auto"/>
          <w:sz w:val="24"/>
          <w:szCs w:val="24"/>
          <w:highlight w:val="none"/>
          <w:lang w:eastAsia="zh-CN"/>
        </w:rPr>
      </w:pPr>
      <w:r>
        <w:rPr>
          <w:rStyle w:val="37"/>
          <w:rFonts w:hint="eastAsia" w:ascii="仿宋" w:hAnsi="仿宋" w:eastAsia="仿宋" w:cs="仿宋"/>
          <w:color w:val="auto"/>
          <w:sz w:val="24"/>
          <w:szCs w:val="24"/>
          <w:highlight w:val="none"/>
        </w:rPr>
        <w:t>其中</w:t>
      </w: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color w:val="auto"/>
          <w:sz w:val="24"/>
          <w:szCs w:val="24"/>
          <w:highlight w:val="none"/>
        </w:rPr>
        <w:t>暂列金额￥</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u w:val="single"/>
          <w:lang w:val="en-US" w:eastAsia="zh-CN"/>
        </w:rPr>
        <w:t xml:space="preserve">     </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（人民币大写</w:t>
      </w:r>
      <w:r>
        <w:rPr>
          <w:rStyle w:val="37"/>
          <w:rFonts w:hint="eastAsia" w:ascii="仿宋" w:hAnsi="仿宋" w:eastAsia="仿宋" w:cs="仿宋"/>
          <w:color w:val="auto"/>
          <w:sz w:val="24"/>
          <w:szCs w:val="24"/>
          <w:highlight w:val="none"/>
          <w:u w:val="single"/>
          <w:lang w:eastAsia="zh-CN"/>
        </w:rPr>
        <w:t xml:space="preserve">      </w:t>
      </w:r>
      <w:r>
        <w:rPr>
          <w:rStyle w:val="37"/>
          <w:rFonts w:hint="eastAsia" w:ascii="仿宋" w:hAnsi="仿宋" w:eastAsia="仿宋" w:cs="仿宋"/>
          <w:color w:val="auto"/>
          <w:sz w:val="24"/>
          <w:szCs w:val="24"/>
          <w:highlight w:val="none"/>
        </w:rPr>
        <w:t>）；安全防护、绿色施工安全防护措施费￥</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u w:val="single"/>
          <w:lang w:val="en-US" w:eastAsia="zh-CN"/>
        </w:rPr>
        <w:t xml:space="preserve">     </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（人民币大写</w:t>
      </w:r>
      <w:r>
        <w:rPr>
          <w:rStyle w:val="37"/>
          <w:rFonts w:hint="eastAsia" w:ascii="仿宋" w:hAnsi="仿宋" w:eastAsia="仿宋" w:cs="仿宋"/>
          <w:color w:val="auto"/>
          <w:sz w:val="24"/>
          <w:szCs w:val="24"/>
          <w:highlight w:val="none"/>
          <w:u w:val="single"/>
          <w:lang w:eastAsia="zh-CN"/>
        </w:rPr>
        <w:t xml:space="preserve">      </w:t>
      </w:r>
      <w:r>
        <w:rPr>
          <w:rStyle w:val="37"/>
          <w:rFonts w:hint="eastAsia" w:ascii="仿宋" w:hAnsi="仿宋" w:eastAsia="仿宋" w:cs="仿宋"/>
          <w:color w:val="auto"/>
          <w:sz w:val="24"/>
          <w:szCs w:val="24"/>
          <w:highlight w:val="none"/>
        </w:rPr>
        <w:t>）</w:t>
      </w:r>
      <w:r>
        <w:rPr>
          <w:rStyle w:val="37"/>
          <w:rFonts w:hint="eastAsia" w:ascii="仿宋" w:hAnsi="仿宋" w:eastAsia="仿宋" w:cs="仿宋"/>
          <w:color w:val="auto"/>
          <w:sz w:val="24"/>
          <w:szCs w:val="24"/>
          <w:highlight w:val="none"/>
          <w:lang w:eastAsia="zh-CN"/>
        </w:rPr>
        <w:t>。</w:t>
      </w:r>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项目单价：</w:t>
      </w:r>
      <w:r>
        <w:rPr>
          <w:rFonts w:hint="eastAsia" w:ascii="仿宋" w:hAnsi="仿宋" w:eastAsia="仿宋" w:cs="仿宋"/>
          <w:color w:val="auto"/>
          <w:sz w:val="24"/>
          <w:highlight w:val="none"/>
        </w:rPr>
        <w:sym w:font="Wingdings 2" w:char="0052"/>
      </w:r>
      <w:r>
        <w:rPr>
          <w:rStyle w:val="37"/>
          <w:rFonts w:hint="eastAsia" w:ascii="仿宋" w:hAnsi="仿宋" w:eastAsia="仿宋" w:cs="仿宋"/>
          <w:color w:val="auto"/>
          <w:sz w:val="24"/>
          <w:szCs w:val="24"/>
          <w:highlight w:val="none"/>
        </w:rPr>
        <w:t>详见经审定的施工图预算（含投标下浮率）（招标工程）；</w:t>
      </w:r>
    </w:p>
    <w:p>
      <w:pPr>
        <w:spacing w:line="312" w:lineRule="auto"/>
        <w:ind w:firstLine="1680" w:firstLineChars="700"/>
        <w:rPr>
          <w:rStyle w:val="37"/>
          <w:rFonts w:ascii="仿宋" w:hAnsi="仿宋" w:eastAsia="仿宋" w:cs="仿宋"/>
          <w:color w:val="auto"/>
          <w:sz w:val="24"/>
          <w:szCs w:val="24"/>
          <w:highlight w:val="none"/>
        </w:rPr>
      </w:pPr>
      <w:r>
        <w:rPr>
          <w:rFonts w:hint="eastAsia" w:ascii="仿宋" w:hAnsi="仿宋" w:eastAsia="仿宋" w:cs="仿宋"/>
          <w:color w:val="auto"/>
          <w:sz w:val="24"/>
          <w:highlight w:val="none"/>
        </w:rPr>
        <w:t>□</w:t>
      </w:r>
      <w:r>
        <w:rPr>
          <w:rStyle w:val="37"/>
          <w:rFonts w:hint="eastAsia" w:ascii="仿宋" w:hAnsi="仿宋" w:eastAsia="仿宋" w:cs="仿宋"/>
          <w:color w:val="auto"/>
          <w:sz w:val="24"/>
          <w:szCs w:val="24"/>
          <w:highlight w:val="none"/>
        </w:rPr>
        <w:t>详见经确认的工程量清单报价单或施工图预算书（非招标工程）。</w:t>
      </w:r>
    </w:p>
    <w:p>
      <w:pPr>
        <w:spacing w:line="360" w:lineRule="auto"/>
        <w:rPr>
          <w:rFonts w:ascii="仿宋" w:hAnsi="仿宋" w:eastAsia="仿宋" w:cs="仿宋"/>
          <w:b/>
          <w:bCs/>
          <w:color w:val="auto"/>
          <w:sz w:val="24"/>
          <w:szCs w:val="24"/>
          <w:highlight w:val="none"/>
        </w:rPr>
      </w:pPr>
    </w:p>
    <w:p>
      <w:pPr>
        <w:spacing w:line="360" w:lineRule="auto"/>
        <w:rPr>
          <w:rFonts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rPr>
        <w:t>★六、</w:t>
      </w:r>
      <w:r>
        <w:rPr>
          <w:rFonts w:hint="eastAsia" w:ascii="仿宋" w:hAnsi="仿宋" w:eastAsia="仿宋" w:cs="仿宋"/>
          <w:b/>
          <w:bCs/>
          <w:color w:val="auto"/>
          <w:kern w:val="0"/>
          <w:sz w:val="24"/>
          <w:szCs w:val="24"/>
          <w:highlight w:val="none"/>
        </w:rPr>
        <w:t>工人工资支付分账</w:t>
      </w:r>
    </w:p>
    <w:p>
      <w:pPr>
        <w:spacing w:line="312" w:lineRule="auto"/>
        <w:ind w:firstLine="480" w:firstLineChars="2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详见附件三《广州市建设工程施工合同补充协议》。</w:t>
      </w:r>
    </w:p>
    <w:p>
      <w:pPr>
        <w:spacing w:line="360" w:lineRule="auto"/>
        <w:rPr>
          <w:rStyle w:val="37"/>
          <w:rFonts w:ascii="仿宋" w:hAnsi="仿宋" w:eastAsia="仿宋" w:cs="仿宋"/>
          <w:b/>
          <w:bCs/>
          <w:color w:val="auto"/>
          <w:sz w:val="24"/>
          <w:szCs w:val="24"/>
          <w:highlight w:val="none"/>
        </w:rPr>
      </w:pPr>
    </w:p>
    <w:p>
      <w:pPr>
        <w:spacing w:line="360" w:lineRule="auto"/>
        <w:rPr>
          <w:rStyle w:val="37"/>
          <w:rFonts w:ascii="仿宋" w:hAnsi="仿宋" w:eastAsia="仿宋" w:cs="仿宋"/>
          <w:b/>
          <w:bCs/>
          <w:color w:val="auto"/>
          <w:sz w:val="24"/>
          <w:szCs w:val="24"/>
          <w:highlight w:val="none"/>
        </w:rPr>
      </w:pPr>
      <w:bookmarkStart w:id="30" w:name="_Toc30572"/>
      <w:bookmarkStart w:id="31" w:name="_Toc32707"/>
      <w:r>
        <w:rPr>
          <w:rStyle w:val="37"/>
          <w:rFonts w:hint="eastAsia" w:ascii="仿宋" w:hAnsi="仿宋" w:eastAsia="仿宋" w:cs="仿宋"/>
          <w:b/>
          <w:bCs/>
          <w:color w:val="auto"/>
          <w:sz w:val="24"/>
          <w:szCs w:val="24"/>
          <w:highlight w:val="none"/>
        </w:rPr>
        <w:t>七、组成合同的文件</w:t>
      </w:r>
      <w:bookmarkEnd w:id="30"/>
      <w:bookmarkEnd w:id="31"/>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组成本合同的文件及优先解释顺序与本合同第三部分《专用条款》第2.2款赋予的规定一致。</w:t>
      </w:r>
    </w:p>
    <w:p>
      <w:pPr>
        <w:spacing w:line="360" w:lineRule="auto"/>
        <w:rPr>
          <w:rStyle w:val="37"/>
          <w:rFonts w:ascii="仿宋" w:hAnsi="仿宋" w:eastAsia="仿宋" w:cs="仿宋"/>
          <w:b/>
          <w:bCs/>
          <w:color w:val="auto"/>
          <w:sz w:val="24"/>
          <w:szCs w:val="24"/>
          <w:highlight w:val="none"/>
        </w:rPr>
      </w:pPr>
      <w:bookmarkStart w:id="32" w:name="_Toc2021"/>
      <w:bookmarkStart w:id="33" w:name="_Toc13291"/>
    </w:p>
    <w:bookmarkEnd w:id="32"/>
    <w:bookmarkEnd w:id="33"/>
    <w:p>
      <w:pPr>
        <w:spacing w:line="360" w:lineRule="auto"/>
        <w:rPr>
          <w:rStyle w:val="37"/>
          <w:rFonts w:ascii="仿宋" w:hAnsi="仿宋" w:eastAsia="仿宋" w:cs="仿宋"/>
          <w:b/>
          <w:bCs/>
          <w:color w:val="auto"/>
          <w:sz w:val="24"/>
          <w:szCs w:val="24"/>
          <w:highlight w:val="none"/>
        </w:rPr>
      </w:pPr>
      <w:bookmarkStart w:id="34" w:name="_Toc30727"/>
      <w:bookmarkStart w:id="35" w:name="_Toc26366"/>
      <w:r>
        <w:rPr>
          <w:rStyle w:val="37"/>
          <w:rFonts w:hint="eastAsia" w:ascii="仿宋" w:hAnsi="仿宋" w:eastAsia="仿宋" w:cs="仿宋"/>
          <w:b/>
          <w:bCs/>
          <w:color w:val="auto"/>
          <w:sz w:val="24"/>
          <w:szCs w:val="24"/>
          <w:highlight w:val="none"/>
        </w:rPr>
        <w:t>八、词语含义</w:t>
      </w:r>
      <w:bookmarkEnd w:id="34"/>
      <w:bookmarkEnd w:id="35"/>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本协议书中有关词语含义与本合同第二部分《通用条款》第一条中赋予它们的定义相同。</w:t>
      </w:r>
    </w:p>
    <w:p>
      <w:pPr>
        <w:spacing w:line="360" w:lineRule="auto"/>
        <w:rPr>
          <w:rStyle w:val="37"/>
          <w:rFonts w:ascii="仿宋" w:hAnsi="仿宋" w:eastAsia="仿宋" w:cs="仿宋"/>
          <w:b/>
          <w:bCs/>
          <w:color w:val="auto"/>
          <w:sz w:val="24"/>
          <w:szCs w:val="24"/>
          <w:highlight w:val="none"/>
        </w:rPr>
      </w:pPr>
      <w:bookmarkStart w:id="36" w:name="_Toc22996"/>
      <w:bookmarkStart w:id="37" w:name="_Toc15016"/>
    </w:p>
    <w:p>
      <w:pPr>
        <w:spacing w:line="360" w:lineRule="auto"/>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九、承包人承诺</w:t>
      </w:r>
      <w:bookmarkEnd w:id="36"/>
      <w:bookmarkEnd w:id="37"/>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向发包人承诺按照合同约定完成采购、施工、竣工验收、移交、结算、管理及配合服务，并在质量保修期内承担工程质量保修责任。遵守发包人制订的符合国家和地方有关法律法规、规范和标准的规定的、为确保工程质量、进度、安全文明施工所必须的且并不针对某一特定承包人的各项管理制度、规定。</w:t>
      </w:r>
    </w:p>
    <w:p>
      <w:pPr>
        <w:spacing w:line="360" w:lineRule="auto"/>
        <w:rPr>
          <w:rStyle w:val="37"/>
          <w:rFonts w:ascii="仿宋" w:hAnsi="仿宋" w:eastAsia="仿宋" w:cs="仿宋"/>
          <w:b/>
          <w:bCs/>
          <w:color w:val="auto"/>
          <w:sz w:val="24"/>
          <w:szCs w:val="24"/>
          <w:highlight w:val="none"/>
        </w:rPr>
      </w:pPr>
      <w:bookmarkStart w:id="38" w:name="_Toc19420"/>
      <w:bookmarkStart w:id="39" w:name="_Toc29661"/>
    </w:p>
    <w:p>
      <w:pPr>
        <w:spacing w:line="360" w:lineRule="auto"/>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十、发包人承诺</w:t>
      </w:r>
      <w:bookmarkEnd w:id="38"/>
      <w:bookmarkEnd w:id="39"/>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发包人向承包人承诺已阅读、理解并接受本合同所有条款，按照本合同约定的时限和方法支付工程款及其他应当支付的款项，履行本合同所约定的全部义务。</w:t>
      </w:r>
    </w:p>
    <w:p>
      <w:pPr>
        <w:spacing w:line="360" w:lineRule="auto"/>
        <w:rPr>
          <w:rStyle w:val="37"/>
          <w:rFonts w:ascii="仿宋" w:hAnsi="仿宋" w:eastAsia="仿宋" w:cs="仿宋"/>
          <w:b/>
          <w:bCs/>
          <w:color w:val="auto"/>
          <w:sz w:val="24"/>
          <w:szCs w:val="24"/>
          <w:highlight w:val="none"/>
        </w:rPr>
      </w:pPr>
    </w:p>
    <w:p>
      <w:pPr>
        <w:spacing w:line="360" w:lineRule="auto"/>
        <w:rPr>
          <w:rStyle w:val="37"/>
          <w:rFonts w:ascii="仿宋" w:hAnsi="仿宋" w:eastAsia="仿宋" w:cs="仿宋"/>
          <w:b/>
          <w:bCs/>
          <w:color w:val="auto"/>
          <w:sz w:val="24"/>
          <w:szCs w:val="24"/>
          <w:highlight w:val="none"/>
        </w:rPr>
      </w:pPr>
      <w:bookmarkStart w:id="40" w:name="_Toc31526"/>
      <w:bookmarkStart w:id="41" w:name="_Toc25943"/>
      <w:r>
        <w:rPr>
          <w:rStyle w:val="37"/>
          <w:rFonts w:hint="eastAsia" w:ascii="仿宋" w:hAnsi="仿宋" w:eastAsia="仿宋" w:cs="仿宋"/>
          <w:b/>
          <w:bCs/>
          <w:color w:val="auto"/>
          <w:sz w:val="24"/>
          <w:szCs w:val="24"/>
          <w:highlight w:val="none"/>
        </w:rPr>
        <w:t>十一、合同生效</w:t>
      </w:r>
      <w:bookmarkEnd w:id="40"/>
      <w:bookmarkEnd w:id="41"/>
    </w:p>
    <w:p>
      <w:pPr>
        <w:spacing w:line="312" w:lineRule="auto"/>
        <w:ind w:firstLine="480" w:firstLineChars="200"/>
        <w:rPr>
          <w:rStyle w:val="37"/>
          <w:rFonts w:hint="default" w:ascii="仿宋" w:hAnsi="仿宋" w:eastAsia="仿宋" w:cs="仿宋"/>
          <w:color w:val="auto"/>
          <w:sz w:val="24"/>
          <w:szCs w:val="24"/>
          <w:highlight w:val="none"/>
          <w:lang w:val="en-US" w:eastAsia="zh-CN"/>
        </w:rPr>
      </w:pPr>
      <w:r>
        <w:rPr>
          <w:rStyle w:val="37"/>
          <w:rFonts w:hint="eastAsia" w:ascii="仿宋" w:hAnsi="仿宋" w:eastAsia="仿宋" w:cs="仿宋"/>
          <w:color w:val="auto"/>
          <w:sz w:val="24"/>
          <w:szCs w:val="24"/>
          <w:highlight w:val="none"/>
        </w:rPr>
        <w:t>本合同订立时间：</w:t>
      </w:r>
      <w:r>
        <w:rPr>
          <w:rStyle w:val="37"/>
          <w:rFonts w:hint="eastAsia" w:ascii="仿宋" w:hAnsi="仿宋" w:eastAsia="仿宋" w:cs="仿宋"/>
          <w:color w:val="auto"/>
          <w:sz w:val="24"/>
          <w:szCs w:val="24"/>
          <w:highlight w:val="none"/>
          <w:u w:val="single"/>
          <w:lang w:val="en-US" w:eastAsia="zh-CN"/>
        </w:rPr>
        <w:t>2023年  月  日</w:t>
      </w:r>
      <w:r>
        <w:rPr>
          <w:rStyle w:val="37"/>
          <w:rFonts w:hint="eastAsia" w:ascii="仿宋" w:hAnsi="仿宋" w:eastAsia="仿宋" w:cs="仿宋"/>
          <w:color w:val="auto"/>
          <w:sz w:val="24"/>
          <w:szCs w:val="24"/>
          <w:highlight w:val="none"/>
          <w:lang w:val="en-US" w:eastAsia="zh-CN"/>
        </w:rPr>
        <w:t xml:space="preserve"> </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本合同订立地点：广州市天河区</w:t>
      </w:r>
    </w:p>
    <w:p>
      <w:pPr>
        <w:spacing w:line="360" w:lineRule="auto"/>
        <w:jc w:val="left"/>
        <w:rPr>
          <w:rStyle w:val="37"/>
          <w:rFonts w:ascii="仿宋" w:hAnsi="仿宋" w:eastAsia="仿宋" w:cs="仿宋"/>
          <w:b/>
          <w:bCs/>
          <w:color w:val="auto"/>
          <w:sz w:val="24"/>
          <w:szCs w:val="24"/>
          <w:highlight w:val="none"/>
        </w:rPr>
      </w:pPr>
    </w:p>
    <w:p>
      <w:pPr>
        <w:spacing w:line="360" w:lineRule="auto"/>
        <w:jc w:val="left"/>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十二、合同份数</w:t>
      </w:r>
    </w:p>
    <w:p>
      <w:pPr>
        <w:spacing w:line="360" w:lineRule="auto"/>
        <w:ind w:firstLine="480" w:firstLineChars="2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本合同正本一式两份，发包人、承包人各执一份；副本</w:t>
      </w:r>
      <w:r>
        <w:rPr>
          <w:rStyle w:val="37"/>
          <w:rFonts w:hint="eastAsia" w:ascii="仿宋" w:hAnsi="仿宋" w:eastAsia="仿宋" w:cs="仿宋"/>
          <w:color w:val="auto"/>
          <w:sz w:val="24"/>
          <w:szCs w:val="24"/>
          <w:highlight w:val="none"/>
          <w:u w:val="single"/>
        </w:rPr>
        <w:t>十</w:t>
      </w:r>
      <w:r>
        <w:rPr>
          <w:rStyle w:val="37"/>
          <w:rFonts w:hint="eastAsia" w:ascii="仿宋" w:hAnsi="仿宋" w:eastAsia="仿宋" w:cs="仿宋"/>
          <w:color w:val="auto"/>
          <w:sz w:val="24"/>
          <w:szCs w:val="24"/>
          <w:highlight w:val="none"/>
        </w:rPr>
        <w:t>份，发包人执</w:t>
      </w:r>
      <w:r>
        <w:rPr>
          <w:rStyle w:val="37"/>
          <w:rFonts w:hint="eastAsia" w:ascii="仿宋" w:hAnsi="仿宋" w:eastAsia="仿宋" w:cs="仿宋"/>
          <w:color w:val="auto"/>
          <w:sz w:val="24"/>
          <w:szCs w:val="24"/>
          <w:highlight w:val="none"/>
          <w:u w:val="single"/>
        </w:rPr>
        <w:t>八</w:t>
      </w:r>
      <w:r>
        <w:rPr>
          <w:rStyle w:val="37"/>
          <w:rFonts w:hint="eastAsia" w:ascii="仿宋" w:hAnsi="仿宋" w:eastAsia="仿宋" w:cs="仿宋"/>
          <w:color w:val="auto"/>
          <w:sz w:val="24"/>
          <w:szCs w:val="24"/>
          <w:highlight w:val="none"/>
        </w:rPr>
        <w:t>份，承包人执</w:t>
      </w:r>
      <w:r>
        <w:rPr>
          <w:rStyle w:val="37"/>
          <w:rFonts w:hint="eastAsia" w:ascii="仿宋" w:hAnsi="仿宋" w:eastAsia="仿宋" w:cs="仿宋"/>
          <w:color w:val="auto"/>
          <w:sz w:val="24"/>
          <w:szCs w:val="24"/>
          <w:highlight w:val="none"/>
          <w:u w:val="single"/>
        </w:rPr>
        <w:t>两</w:t>
      </w:r>
      <w:r>
        <w:rPr>
          <w:rStyle w:val="37"/>
          <w:rFonts w:hint="eastAsia" w:ascii="仿宋" w:hAnsi="仿宋" w:eastAsia="仿宋" w:cs="仿宋"/>
          <w:color w:val="auto"/>
          <w:sz w:val="24"/>
          <w:szCs w:val="24"/>
          <w:highlight w:val="none"/>
        </w:rPr>
        <w:t>份。合同正、副本具有同等效力，但当合同正本与副本的表述不一致时，以合同正本为准。</w:t>
      </w:r>
    </w:p>
    <w:p>
      <w:pPr>
        <w:spacing w:line="360" w:lineRule="auto"/>
        <w:ind w:firstLine="480" w:firstLineChars="2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发包人承包人约定本合同自双方签字盖章于     /      后生效。</w:t>
      </w:r>
    </w:p>
    <w:p>
      <w:pPr>
        <w:spacing w:line="360" w:lineRule="auto"/>
        <w:jc w:val="left"/>
        <w:rPr>
          <w:rStyle w:val="37"/>
          <w:rFonts w:ascii="仿宋" w:hAnsi="仿宋" w:eastAsia="仿宋" w:cs="仿宋"/>
          <w:b/>
          <w:bCs/>
          <w:color w:val="auto"/>
          <w:sz w:val="24"/>
          <w:szCs w:val="24"/>
          <w:highlight w:val="none"/>
        </w:rPr>
      </w:pPr>
    </w:p>
    <w:p>
      <w:pPr>
        <w:spacing w:line="360" w:lineRule="auto"/>
        <w:jc w:val="left"/>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十三、合同附件</w:t>
      </w:r>
    </w:p>
    <w:p>
      <w:pPr>
        <w:spacing w:line="360" w:lineRule="auto"/>
        <w:ind w:firstLine="480" w:firstLineChars="200"/>
        <w:jc w:val="left"/>
        <w:rPr>
          <w:rStyle w:val="37"/>
          <w:rFonts w:ascii="仿宋" w:hAnsi="仿宋" w:eastAsia="仿宋" w:cs="仿宋"/>
          <w:color w:val="auto"/>
          <w:sz w:val="24"/>
          <w:szCs w:val="24"/>
          <w:highlight w:val="none"/>
        </w:rPr>
      </w:pPr>
      <w:r>
        <w:rPr>
          <w:rStyle w:val="37"/>
          <w:rFonts w:ascii="仿宋" w:hAnsi="仿宋" w:eastAsia="仿宋" w:cs="仿宋"/>
          <w:color w:val="auto"/>
          <w:sz w:val="24"/>
          <w:szCs w:val="24"/>
          <w:highlight w:val="none"/>
        </w:rPr>
        <w:t>以下文件作为本合同的附件，是本合同的有效组成部分，与本合同具有同等法律效力：</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附件一：《工程质量保修书》；</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附件二：《廉政合同》；</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附件三：《</w:t>
      </w:r>
      <w:r>
        <w:rPr>
          <w:rFonts w:hint="eastAsia" w:ascii="仿宋" w:hAnsi="仿宋" w:eastAsia="仿宋" w:cs="仿宋"/>
          <w:color w:val="auto"/>
          <w:sz w:val="24"/>
          <w:szCs w:val="24"/>
          <w:highlight w:val="none"/>
          <w:lang w:val="en-US" w:eastAsia="zh-CN"/>
        </w:rPr>
        <w:t>项目工人工资支付分账管理</w:t>
      </w:r>
      <w:r>
        <w:rPr>
          <w:rFonts w:hint="eastAsia" w:ascii="仿宋" w:hAnsi="仿宋" w:eastAsia="仿宋" w:cs="仿宋"/>
          <w:color w:val="auto"/>
          <w:sz w:val="24"/>
          <w:szCs w:val="24"/>
          <w:highlight w:val="none"/>
        </w:rPr>
        <w:t>补充协议》；</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附件四：《</w:t>
      </w:r>
      <w:r>
        <w:rPr>
          <w:rFonts w:hint="eastAsia"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rPr>
        <w:t>项目工程乙供材料看样定板</w:t>
      </w:r>
      <w:r>
        <w:rPr>
          <w:rFonts w:hint="eastAsia" w:ascii="仿宋" w:hAnsi="仿宋" w:eastAsia="仿宋" w:cs="仿宋"/>
          <w:color w:val="auto"/>
          <w:sz w:val="24"/>
          <w:szCs w:val="24"/>
          <w:highlight w:val="none"/>
          <w:lang w:eastAsia="zh-CN"/>
        </w:rPr>
        <w:t>实施</w:t>
      </w:r>
      <w:r>
        <w:rPr>
          <w:rFonts w:hint="eastAsia" w:ascii="仿宋" w:hAnsi="仿宋" w:eastAsia="仿宋" w:cs="仿宋"/>
          <w:color w:val="auto"/>
          <w:sz w:val="24"/>
          <w:szCs w:val="24"/>
          <w:highlight w:val="none"/>
        </w:rPr>
        <w:t>要求》；</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附件五：《项目样板引路实施要求》；</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附件六：《广州市天河区建设工程项目代建局设计变更管理办法》；</w:t>
      </w:r>
    </w:p>
    <w:p>
      <w:pPr>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附件七：《广州市天河区建设工程项目代建局工程签证管理办法》</w:t>
      </w:r>
      <w:r>
        <w:rPr>
          <w:rFonts w:hint="eastAsia" w:ascii="仿宋" w:hAnsi="仿宋" w:eastAsia="仿宋" w:cs="仿宋"/>
          <w:color w:val="auto"/>
          <w:sz w:val="24"/>
          <w:szCs w:val="24"/>
          <w:highlight w:val="none"/>
          <w:lang w:eastAsia="zh-CN"/>
        </w:rPr>
        <w:t>；</w:t>
      </w:r>
    </w:p>
    <w:p>
      <w:pPr>
        <w:spacing w:line="360" w:lineRule="auto"/>
        <w:ind w:firstLine="480" w:firstLineChars="200"/>
        <w:jc w:val="left"/>
        <w:rPr>
          <w:rFonts w:hint="eastAsia"/>
          <w:bCs w:val="0"/>
          <w:color w:val="auto"/>
          <w:kern w:val="44"/>
          <w:szCs w:val="20"/>
          <w:highlight w:val="none"/>
          <w:lang w:eastAsia="zh-CN"/>
        </w:rPr>
      </w:pPr>
      <w:r>
        <w:rPr>
          <w:rFonts w:hint="eastAsia" w:ascii="仿宋" w:hAnsi="仿宋" w:eastAsia="仿宋" w:cs="仿宋"/>
          <w:color w:val="auto"/>
          <w:sz w:val="24"/>
          <w:szCs w:val="24"/>
          <w:highlight w:val="none"/>
          <w:lang w:val="en-US" w:eastAsia="zh-CN"/>
        </w:rPr>
        <w:t>附件八：《</w:t>
      </w:r>
      <w:r>
        <w:rPr>
          <w:rFonts w:hint="eastAsia" w:ascii="仿宋" w:hAnsi="仿宋" w:eastAsia="仿宋" w:cs="仿宋"/>
          <w:bCs w:val="0"/>
          <w:color w:val="auto"/>
          <w:kern w:val="2"/>
          <w:sz w:val="24"/>
          <w:szCs w:val="24"/>
          <w:highlight w:val="none"/>
          <w:lang w:val="en-US" w:eastAsia="zh-CN"/>
        </w:rPr>
        <w:t>广州市</w:t>
      </w:r>
      <w:r>
        <w:rPr>
          <w:rFonts w:hint="eastAsia" w:ascii="仿宋" w:hAnsi="仿宋" w:eastAsia="仿宋" w:cs="仿宋"/>
          <w:bCs w:val="0"/>
          <w:color w:val="auto"/>
          <w:kern w:val="2"/>
          <w:sz w:val="24"/>
          <w:szCs w:val="24"/>
          <w:highlight w:val="none"/>
        </w:rPr>
        <w:t>天河区建设工程项目代建局质保项目保修期内工作方案</w:t>
      </w:r>
      <w:r>
        <w:rPr>
          <w:rFonts w:hint="eastAsia" w:ascii="仿宋" w:hAnsi="仿宋" w:eastAsia="仿宋" w:cs="仿宋"/>
          <w:bCs w:val="0"/>
          <w:color w:val="auto"/>
          <w:kern w:val="2"/>
          <w:sz w:val="24"/>
          <w:szCs w:val="24"/>
          <w:highlight w:val="none"/>
          <w:lang w:eastAsia="zh-CN"/>
        </w:rPr>
        <w:t>》</w:t>
      </w:r>
      <w:r>
        <w:rPr>
          <w:rFonts w:hint="eastAsia"/>
          <w:bCs w:val="0"/>
          <w:color w:val="auto"/>
          <w:kern w:val="44"/>
          <w:szCs w:val="20"/>
          <w:highlight w:val="none"/>
          <w:lang w:eastAsia="zh-CN"/>
        </w:rPr>
        <w:t>；</w:t>
      </w:r>
    </w:p>
    <w:p>
      <w:pPr>
        <w:spacing w:line="360"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bCs w:val="0"/>
          <w:color w:val="auto"/>
          <w:kern w:val="2"/>
          <w:sz w:val="24"/>
          <w:szCs w:val="24"/>
          <w:highlight w:val="none"/>
          <w:lang w:val="en-US" w:eastAsia="zh-CN"/>
        </w:rPr>
        <w:t>附件九：《广州市天河区建设工程项目</w:t>
      </w:r>
      <w:r>
        <w:rPr>
          <w:rFonts w:hint="eastAsia" w:ascii="仿宋" w:hAnsi="仿宋" w:eastAsia="仿宋" w:cs="仿宋"/>
          <w:bCs w:val="0"/>
          <w:color w:val="auto"/>
          <w:kern w:val="2"/>
          <w:sz w:val="24"/>
          <w:szCs w:val="24"/>
          <w:highlight w:val="none"/>
        </w:rPr>
        <w:t>代建局</w:t>
      </w:r>
      <w:r>
        <w:rPr>
          <w:rFonts w:hint="eastAsia" w:ascii="仿宋" w:hAnsi="仿宋" w:eastAsia="仿宋" w:cs="仿宋"/>
          <w:bCs w:val="0"/>
          <w:color w:val="auto"/>
          <w:kern w:val="2"/>
          <w:sz w:val="24"/>
          <w:szCs w:val="24"/>
          <w:highlight w:val="none"/>
          <w:lang w:val="en-US" w:eastAsia="zh-CN"/>
        </w:rPr>
        <w:t>建设工程分包审批管理指引》。</w:t>
      </w:r>
    </w:p>
    <w:p>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（以下</w:t>
      </w:r>
      <w:r>
        <w:rPr>
          <w:rFonts w:hint="eastAsia" w:ascii="仿宋" w:hAnsi="仿宋" w:eastAsia="仿宋" w:cs="仿宋"/>
          <w:color w:val="auto"/>
          <w:sz w:val="24"/>
          <w:szCs w:val="24"/>
          <w:highlight w:val="none"/>
          <w:lang w:val="en-US" w:eastAsia="zh-CN"/>
        </w:rPr>
        <w:t>部分</w:t>
      </w:r>
      <w:r>
        <w:rPr>
          <w:rFonts w:hint="eastAsia" w:ascii="仿宋" w:hAnsi="仿宋" w:eastAsia="仿宋" w:cs="仿宋"/>
          <w:color w:val="auto"/>
          <w:sz w:val="24"/>
          <w:szCs w:val="24"/>
          <w:highlight w:val="none"/>
        </w:rPr>
        <w:t>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广州市建设工程施工合同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第一部分协议书正文内容，为签章页）</w:t>
      </w:r>
    </w:p>
    <w:p>
      <w:pPr>
        <w:spacing w:line="360" w:lineRule="auto"/>
        <w:ind w:left="5040" w:hanging="5040" w:hangingChars="2100"/>
        <w:rPr>
          <w:rStyle w:val="37"/>
          <w:rFonts w:ascii="仿宋" w:hAnsi="仿宋" w:eastAsia="仿宋" w:cs="仿宋"/>
          <w:color w:val="auto"/>
          <w:sz w:val="24"/>
          <w:szCs w:val="24"/>
          <w:highlight w:val="none"/>
        </w:rPr>
      </w:pPr>
    </w:p>
    <w:p>
      <w:pPr>
        <w:spacing w:line="360" w:lineRule="auto"/>
        <w:ind w:left="5040" w:hanging="5040" w:hangingChars="2100"/>
        <w:rPr>
          <w:rStyle w:val="37"/>
          <w:rFonts w:ascii="仿宋" w:hAnsi="仿宋" w:eastAsia="仿宋" w:cs="仿宋"/>
          <w:color w:val="auto"/>
          <w:sz w:val="24"/>
          <w:szCs w:val="24"/>
          <w:highlight w:val="none"/>
        </w:rPr>
      </w:pPr>
    </w:p>
    <w:p>
      <w:pPr>
        <w:spacing w:line="360" w:lineRule="auto"/>
        <w:ind w:left="5040" w:hanging="5040" w:hangingChars="2100"/>
        <w:rPr>
          <w:rStyle w:val="37"/>
          <w:rFonts w:ascii="仿宋" w:hAnsi="仿宋" w:eastAsia="仿宋" w:cs="仿宋"/>
          <w:color w:val="auto"/>
          <w:sz w:val="24"/>
          <w:szCs w:val="24"/>
          <w:highlight w:val="none"/>
        </w:rPr>
      </w:pPr>
    </w:p>
    <w:p>
      <w:pPr>
        <w:spacing w:line="24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spacing w:line="360" w:lineRule="auto"/>
        <w:ind w:left="5039" w:leftChars="228" w:hanging="4560" w:hangingChars="1900"/>
        <w:rPr>
          <w:rStyle w:val="37"/>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（本页无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广州市建设工程施工合同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第一部分协议书正文内容，为签章页）</w:t>
      </w:r>
    </w:p>
    <w:p>
      <w:pPr>
        <w:spacing w:line="360" w:lineRule="auto"/>
        <w:ind w:left="5040" w:hanging="5040" w:hangingChars="2100"/>
        <w:rPr>
          <w:rStyle w:val="37"/>
          <w:rFonts w:hint="eastAsia" w:ascii="仿宋" w:hAnsi="仿宋" w:eastAsia="仿宋" w:cs="仿宋"/>
          <w:color w:val="auto"/>
          <w:sz w:val="24"/>
          <w:szCs w:val="24"/>
          <w:highlight w:val="none"/>
          <w:lang w:eastAsia="zh-CN"/>
        </w:rPr>
      </w:pPr>
      <w:r>
        <w:rPr>
          <w:rStyle w:val="37"/>
          <w:rFonts w:hint="eastAsia" w:ascii="仿宋" w:hAnsi="仿宋" w:eastAsia="仿宋" w:cs="仿宋"/>
          <w:color w:val="auto"/>
          <w:sz w:val="24"/>
          <w:szCs w:val="24"/>
          <w:highlight w:val="none"/>
        </w:rPr>
        <w:t>发包人：</w:t>
      </w:r>
      <w:r>
        <w:rPr>
          <w:rStyle w:val="37"/>
          <w:rFonts w:hint="eastAsia" w:ascii="仿宋" w:hAnsi="仿宋" w:eastAsia="仿宋" w:cs="仿宋"/>
          <w:color w:val="auto"/>
          <w:sz w:val="24"/>
          <w:szCs w:val="24"/>
          <w:highlight w:val="none"/>
          <w:lang w:eastAsia="zh-CN"/>
        </w:rPr>
        <w:t>广州市</w:t>
      </w:r>
      <w:r>
        <w:rPr>
          <w:rStyle w:val="37"/>
          <w:rFonts w:hint="eastAsia" w:ascii="仿宋" w:hAnsi="仿宋" w:eastAsia="仿宋" w:cs="仿宋"/>
          <w:color w:val="auto"/>
          <w:sz w:val="24"/>
          <w:szCs w:val="24"/>
          <w:highlight w:val="none"/>
        </w:rPr>
        <w:t>天河区建设工程项目代建局  承包人：</w:t>
      </w:r>
    </w:p>
    <w:p>
      <w:pPr>
        <w:spacing w:line="360" w:lineRule="auto"/>
        <w:ind w:left="5040" w:hanging="5040" w:hangingChars="21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（盖章）                    </w:t>
      </w:r>
      <w:r>
        <w:rPr>
          <w:rStyle w:val="37"/>
          <w:rFonts w:hint="eastAsia" w:ascii="仿宋" w:hAnsi="仿宋" w:eastAsia="仿宋" w:cs="仿宋"/>
          <w:color w:val="auto"/>
          <w:sz w:val="24"/>
          <w:szCs w:val="24"/>
          <w:highlight w:val="none"/>
        </w:rPr>
        <w:tab/>
      </w:r>
      <w:r>
        <w:rPr>
          <w:rStyle w:val="37"/>
          <w:rFonts w:hint="eastAsia" w:ascii="仿宋" w:hAnsi="仿宋" w:eastAsia="仿宋" w:cs="仿宋"/>
          <w:color w:val="auto"/>
          <w:sz w:val="24"/>
          <w:szCs w:val="24"/>
          <w:highlight w:val="none"/>
        </w:rPr>
        <w:t>（盖章）</w:t>
      </w:r>
    </w:p>
    <w:p>
      <w:pPr>
        <w:spacing w:line="360" w:lineRule="auto"/>
        <w:ind w:left="5760" w:hanging="5760" w:hangingChars="2400"/>
        <w:rPr>
          <w:rStyle w:val="37"/>
          <w:rFonts w:hint="eastAsia" w:ascii="仿宋" w:hAnsi="仿宋" w:eastAsia="仿宋" w:cs="仿宋"/>
          <w:color w:val="auto"/>
          <w:sz w:val="24"/>
          <w:szCs w:val="24"/>
          <w:highlight w:val="none"/>
          <w:lang w:eastAsia="zh-CN"/>
        </w:rPr>
      </w:pPr>
      <w:r>
        <w:rPr>
          <w:rStyle w:val="37"/>
          <w:rFonts w:hint="eastAsia" w:ascii="仿宋" w:hAnsi="仿宋" w:eastAsia="仿宋" w:cs="仿宋"/>
          <w:color w:val="auto"/>
          <w:sz w:val="24"/>
          <w:szCs w:val="24"/>
          <w:highlight w:val="none"/>
        </w:rPr>
        <w:t>地址：广州市天河区黄埔大道中300号17楼 地址：</w:t>
      </w:r>
      <w:r>
        <w:rPr>
          <w:rStyle w:val="37"/>
          <w:rFonts w:hint="eastAsia" w:ascii="仿宋" w:hAnsi="仿宋" w:eastAsia="仿宋" w:cs="仿宋"/>
          <w:color w:val="auto"/>
          <w:sz w:val="24"/>
          <w:szCs w:val="24"/>
          <w:highlight w:val="none"/>
          <w:lang w:eastAsia="zh-CN"/>
        </w:rPr>
        <w:t xml:space="preserve">       </w:t>
      </w:r>
    </w:p>
    <w:p>
      <w:pPr>
        <w:tabs>
          <w:tab w:val="left" w:pos="525"/>
          <w:tab w:val="left" w:pos="1155"/>
        </w:tabs>
        <w:spacing w:line="360" w:lineRule="auto"/>
        <w:ind w:left="5040" w:hanging="5040" w:hangingChars="21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法定代表人（签名）：</w:t>
      </w:r>
      <w:r>
        <w:rPr>
          <w:rStyle w:val="37"/>
          <w:rFonts w:hint="eastAsia" w:ascii="仿宋" w:hAnsi="仿宋" w:eastAsia="仿宋" w:cs="仿宋"/>
          <w:color w:val="auto"/>
          <w:sz w:val="24"/>
          <w:szCs w:val="24"/>
          <w:highlight w:val="none"/>
        </w:rPr>
        <w:tab/>
      </w:r>
      <w:r>
        <w:rPr>
          <w:rStyle w:val="37"/>
          <w:rFonts w:hint="eastAsia" w:ascii="仿宋" w:hAnsi="仿宋" w:eastAsia="仿宋" w:cs="仿宋"/>
          <w:color w:val="auto"/>
          <w:sz w:val="24"/>
          <w:szCs w:val="24"/>
          <w:highlight w:val="none"/>
        </w:rPr>
        <w:t xml:space="preserve">法定代表人（签名）： </w:t>
      </w:r>
    </w:p>
    <w:p>
      <w:pPr>
        <w:tabs>
          <w:tab w:val="left" w:pos="525"/>
          <w:tab w:val="left" w:pos="1155"/>
        </w:tabs>
        <w:spacing w:line="360" w:lineRule="auto"/>
        <w:ind w:left="5040" w:hanging="5040" w:hangingChars="21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委托代理人（签名）：</w:t>
      </w:r>
      <w:r>
        <w:rPr>
          <w:rStyle w:val="37"/>
          <w:rFonts w:hint="eastAsia" w:ascii="仿宋" w:hAnsi="仿宋" w:eastAsia="仿宋" w:cs="仿宋"/>
          <w:color w:val="auto"/>
          <w:sz w:val="24"/>
          <w:szCs w:val="24"/>
          <w:highlight w:val="none"/>
        </w:rPr>
        <w:tab/>
      </w:r>
      <w:r>
        <w:rPr>
          <w:rStyle w:val="37"/>
          <w:rFonts w:hint="eastAsia" w:ascii="仿宋" w:hAnsi="仿宋" w:eastAsia="仿宋" w:cs="仿宋"/>
          <w:color w:val="auto"/>
          <w:sz w:val="24"/>
          <w:szCs w:val="24"/>
          <w:highlight w:val="none"/>
        </w:rPr>
        <w:t>委托代理人（签名）：</w:t>
      </w:r>
    </w:p>
    <w:p>
      <w:pPr>
        <w:spacing w:line="360" w:lineRule="auto"/>
        <w:ind w:left="5760" w:hanging="5760" w:hangingChars="2400"/>
        <w:rPr>
          <w:rStyle w:val="37"/>
          <w:rFonts w:hint="eastAsia" w:ascii="仿宋" w:hAnsi="仿宋" w:eastAsia="仿宋" w:cs="仿宋"/>
          <w:color w:val="auto"/>
          <w:sz w:val="24"/>
          <w:szCs w:val="24"/>
          <w:highlight w:val="none"/>
          <w:lang w:eastAsia="zh-CN"/>
        </w:rPr>
      </w:pPr>
      <w:r>
        <w:rPr>
          <w:rStyle w:val="37"/>
          <w:rFonts w:hint="eastAsia" w:ascii="仿宋" w:hAnsi="仿宋" w:eastAsia="仿宋" w:cs="仿宋"/>
          <w:color w:val="auto"/>
          <w:sz w:val="24"/>
          <w:szCs w:val="24"/>
          <w:highlight w:val="none"/>
        </w:rPr>
        <w:t>电话：</w:t>
      </w:r>
      <w:r>
        <w:rPr>
          <w:rStyle w:val="37"/>
          <w:rFonts w:hint="eastAsia" w:ascii="仿宋" w:hAnsi="仿宋" w:eastAsia="仿宋" w:cs="仿宋"/>
          <w:color w:val="auto"/>
          <w:kern w:val="0"/>
          <w:sz w:val="24"/>
          <w:szCs w:val="24"/>
          <w:highlight w:val="none"/>
        </w:rPr>
        <w:t xml:space="preserve">020-38085390  </w:t>
      </w:r>
      <w:r>
        <w:rPr>
          <w:rStyle w:val="37"/>
          <w:rFonts w:hint="eastAsia" w:ascii="仿宋" w:hAnsi="仿宋" w:eastAsia="仿宋" w:cs="仿宋"/>
          <w:color w:val="auto"/>
          <w:sz w:val="24"/>
          <w:szCs w:val="24"/>
          <w:highlight w:val="none"/>
        </w:rPr>
        <w:t xml:space="preserve">                      电话：</w:t>
      </w:r>
      <w:r>
        <w:rPr>
          <w:rStyle w:val="37"/>
          <w:rFonts w:hint="eastAsia" w:ascii="仿宋" w:hAnsi="仿宋" w:eastAsia="仿宋" w:cs="仿宋"/>
          <w:color w:val="auto"/>
          <w:sz w:val="24"/>
          <w:szCs w:val="24"/>
          <w:highlight w:val="none"/>
          <w:lang w:eastAsia="zh-CN"/>
        </w:rPr>
        <w:t xml:space="preserve">       </w:t>
      </w:r>
    </w:p>
    <w:p>
      <w:pPr>
        <w:spacing w:line="360" w:lineRule="auto"/>
        <w:ind w:left="5760" w:hanging="5760" w:hangingChars="2400"/>
        <w:rPr>
          <w:rStyle w:val="37"/>
          <w:rFonts w:hint="eastAsia" w:ascii="仿宋" w:hAnsi="仿宋" w:eastAsia="仿宋" w:cs="仿宋"/>
          <w:color w:val="auto"/>
          <w:sz w:val="24"/>
          <w:szCs w:val="24"/>
          <w:highlight w:val="none"/>
          <w:lang w:val="en-US" w:eastAsia="zh-CN"/>
        </w:rPr>
      </w:pPr>
      <w:r>
        <w:rPr>
          <w:rStyle w:val="37"/>
          <w:rFonts w:hint="eastAsia" w:ascii="仿宋" w:hAnsi="仿宋" w:eastAsia="仿宋" w:cs="仿宋"/>
          <w:color w:val="auto"/>
          <w:sz w:val="24"/>
          <w:szCs w:val="24"/>
          <w:highlight w:val="none"/>
        </w:rPr>
        <w:t>传真：020-38085023                        传真：</w:t>
      </w:r>
      <w:r>
        <w:rPr>
          <w:rStyle w:val="37"/>
          <w:rFonts w:hint="eastAsia" w:ascii="仿宋" w:hAnsi="仿宋" w:eastAsia="仿宋" w:cs="仿宋"/>
          <w:color w:val="auto"/>
          <w:sz w:val="24"/>
          <w:szCs w:val="24"/>
          <w:highlight w:val="none"/>
          <w:lang w:val="en-US" w:eastAsia="zh-CN"/>
        </w:rPr>
        <w:t>/</w:t>
      </w:r>
    </w:p>
    <w:p>
      <w:pPr>
        <w:spacing w:line="360" w:lineRule="auto"/>
        <w:ind w:left="6480" w:hanging="6480" w:hangingChars="2700"/>
        <w:rPr>
          <w:rStyle w:val="37"/>
          <w:rFonts w:hint="eastAsia"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开户银行：工行广州员村支行                开户银行：</w:t>
      </w:r>
      <w:r>
        <w:rPr>
          <w:rStyle w:val="37"/>
          <w:rFonts w:hint="eastAsia" w:ascii="仿宋" w:hAnsi="仿宋" w:eastAsia="仿宋" w:cs="仿宋"/>
          <w:color w:val="auto"/>
          <w:sz w:val="24"/>
          <w:szCs w:val="24"/>
          <w:highlight w:val="none"/>
          <w:lang w:val="en-US" w:eastAsia="zh-CN"/>
        </w:rPr>
        <w:t xml:space="preserve">        </w:t>
      </w:r>
      <w:r>
        <w:rPr>
          <w:rStyle w:val="37"/>
          <w:rFonts w:hint="eastAsia" w:ascii="仿宋" w:hAnsi="仿宋" w:eastAsia="仿宋" w:cs="仿宋"/>
          <w:color w:val="auto"/>
          <w:sz w:val="24"/>
          <w:szCs w:val="24"/>
          <w:highlight w:val="none"/>
        </w:rPr>
        <w:t xml:space="preserve"> </w:t>
      </w:r>
    </w:p>
    <w:p>
      <w:pPr>
        <w:spacing w:line="360" w:lineRule="auto"/>
        <w:ind w:left="5760" w:hanging="5760" w:hangingChars="2400"/>
        <w:rPr>
          <w:rStyle w:val="37"/>
          <w:rFonts w:hint="eastAsia"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银行帐号：3602005309200186668             银行帐号：</w:t>
      </w:r>
      <w:r>
        <w:rPr>
          <w:rStyle w:val="37"/>
          <w:rFonts w:hint="eastAsia" w:ascii="仿宋" w:hAnsi="仿宋" w:eastAsia="仿宋" w:cs="仿宋"/>
          <w:color w:val="auto"/>
          <w:sz w:val="24"/>
          <w:szCs w:val="24"/>
          <w:highlight w:val="none"/>
          <w:lang w:val="en-US" w:eastAsia="zh-CN"/>
        </w:rPr>
        <w:t xml:space="preserve">        </w:t>
      </w:r>
    </w:p>
    <w:p>
      <w:pPr>
        <w:spacing w:line="360" w:lineRule="auto"/>
        <w:ind w:left="5760" w:hanging="5760" w:hangingChars="2400"/>
        <w:rPr>
          <w:rStyle w:val="37"/>
          <w:rFonts w:hint="eastAsia"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邮政编码：                                邮政编码：</w:t>
      </w:r>
      <w:r>
        <w:rPr>
          <w:rStyle w:val="37"/>
          <w:rFonts w:hint="eastAsia" w:ascii="仿宋" w:hAnsi="仿宋" w:eastAsia="仿宋" w:cs="仿宋"/>
          <w:color w:val="auto"/>
          <w:sz w:val="24"/>
          <w:szCs w:val="24"/>
          <w:highlight w:val="none"/>
          <w:lang w:val="en-US" w:eastAsia="zh-CN"/>
        </w:rPr>
        <w:t xml:space="preserve">        </w:t>
      </w:r>
    </w:p>
    <w:p>
      <w:pPr>
        <w:tabs>
          <w:tab w:val="left" w:pos="525"/>
          <w:tab w:val="left" w:pos="1155"/>
        </w:tabs>
        <w:spacing w:line="360" w:lineRule="auto"/>
        <w:ind w:left="5040" w:hanging="5040" w:hangingChars="2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                                 电子邮箱:</w:t>
      </w:r>
    </w:p>
    <w:p>
      <w:pPr>
        <w:pStyle w:val="13"/>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订立时间：202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年  月  日</w:t>
      </w:r>
    </w:p>
    <w:p>
      <w:pPr>
        <w:pStyle w:val="3"/>
        <w:spacing w:line="312" w:lineRule="auto"/>
        <w:jc w:val="center"/>
        <w:rPr>
          <w:rFonts w:ascii="黑体" w:hAnsi="黑体" w:eastAsia="黑体" w:cs="黑体"/>
          <w:b w:val="0"/>
          <w:bCs/>
          <w:color w:val="auto"/>
          <w:sz w:val="36"/>
          <w:szCs w:val="36"/>
          <w:highlight w:val="none"/>
        </w:rPr>
      </w:pPr>
      <w:r>
        <w:rPr>
          <w:rStyle w:val="37"/>
          <w:rFonts w:ascii="宋体" w:hAnsi="宋体"/>
          <w:color w:val="auto"/>
          <w:highlight w:val="none"/>
        </w:rPr>
        <w:br w:type="page"/>
      </w:r>
      <w:bookmarkStart w:id="42" w:name="_Toc30464"/>
      <w:bookmarkStart w:id="43" w:name="_Toc3250"/>
      <w:bookmarkStart w:id="44" w:name="_Toc4827"/>
      <w:bookmarkStart w:id="45" w:name="_Toc13381"/>
      <w:r>
        <w:rPr>
          <w:rFonts w:hint="eastAsia" w:ascii="黑体" w:hAnsi="黑体" w:eastAsia="黑体" w:cs="黑体"/>
          <w:b w:val="0"/>
          <w:bCs/>
          <w:color w:val="auto"/>
          <w:sz w:val="36"/>
          <w:szCs w:val="36"/>
          <w:highlight w:val="none"/>
        </w:rPr>
        <w:t>第二部分  通用条款</w:t>
      </w:r>
      <w:bookmarkEnd w:id="42"/>
      <w:bookmarkEnd w:id="43"/>
      <w:bookmarkEnd w:id="44"/>
      <w:bookmarkEnd w:id="45"/>
    </w:p>
    <w:p>
      <w:pPr>
        <w:pStyle w:val="13"/>
        <w:adjustRightInd w:val="0"/>
        <w:snapToGrid w:val="0"/>
        <w:jc w:val="center"/>
        <w:outlineLvl w:val="1"/>
        <w:rPr>
          <w:rFonts w:hAnsi="宋体"/>
          <w:b/>
          <w:bCs/>
          <w:color w:val="auto"/>
          <w:sz w:val="32"/>
          <w:szCs w:val="32"/>
          <w:highlight w:val="none"/>
        </w:rPr>
      </w:pPr>
      <w:bookmarkStart w:id="46" w:name="_Toc469383979"/>
      <w:bookmarkStart w:id="47" w:name="_Toc10624819"/>
      <w:bookmarkStart w:id="48" w:name="_Toc19527"/>
      <w:bookmarkStart w:id="49" w:name="_Toc12401"/>
      <w:bookmarkStart w:id="50" w:name="_Toc11915"/>
      <w:bookmarkStart w:id="51" w:name="_Toc6854"/>
      <w:bookmarkStart w:id="52" w:name="_Toc286348696"/>
    </w:p>
    <w:p>
      <w:pPr>
        <w:pStyle w:val="13"/>
        <w:adjustRightInd w:val="0"/>
        <w:snapToGrid w:val="0"/>
        <w:jc w:val="center"/>
        <w:outlineLvl w:val="1"/>
        <w:rPr>
          <w:rFonts w:hAnsi="宋体" w:cs="Times New Roman"/>
          <w:b/>
          <w:bCs/>
          <w:color w:val="auto"/>
          <w:sz w:val="32"/>
          <w:szCs w:val="32"/>
          <w:highlight w:val="none"/>
        </w:rPr>
      </w:pPr>
      <w:bookmarkStart w:id="53" w:name="_Toc10384"/>
      <w:r>
        <w:rPr>
          <w:rFonts w:hint="eastAsia" w:hAnsi="宋体"/>
          <w:b/>
          <w:bCs/>
          <w:color w:val="auto"/>
          <w:sz w:val="32"/>
          <w:szCs w:val="32"/>
          <w:highlight w:val="none"/>
        </w:rPr>
        <w:t>一、总</w:t>
      </w:r>
      <w:r>
        <w:rPr>
          <w:rFonts w:hAnsi="宋体"/>
          <w:b/>
          <w:bCs/>
          <w:color w:val="auto"/>
          <w:sz w:val="32"/>
          <w:szCs w:val="32"/>
          <w:highlight w:val="none"/>
        </w:rPr>
        <w:t xml:space="preserve">  </w:t>
      </w:r>
      <w:r>
        <w:rPr>
          <w:rFonts w:hint="eastAsia" w:hAnsi="宋体"/>
          <w:b/>
          <w:bCs/>
          <w:color w:val="auto"/>
          <w:sz w:val="32"/>
          <w:szCs w:val="32"/>
          <w:highlight w:val="none"/>
        </w:rPr>
        <w:t>则</w:t>
      </w:r>
      <w:bookmarkEnd w:id="46"/>
      <w:bookmarkEnd w:id="47"/>
      <w:bookmarkEnd w:id="48"/>
      <w:bookmarkEnd w:id="49"/>
      <w:bookmarkEnd w:id="50"/>
      <w:bookmarkEnd w:id="51"/>
      <w:bookmarkEnd w:id="53"/>
    </w:p>
    <w:p>
      <w:pPr>
        <w:pStyle w:val="13"/>
        <w:tabs>
          <w:tab w:val="left" w:pos="900"/>
          <w:tab w:val="left" w:pos="1080"/>
        </w:tabs>
        <w:spacing w:before="156" w:beforeLines="50" w:after="156" w:afterLines="50" w:line="360" w:lineRule="auto"/>
        <w:outlineLvl w:val="2"/>
        <w:rPr>
          <w:rFonts w:ascii="仿宋" w:hAnsi="仿宋" w:eastAsia="仿宋" w:cs="Times New Roman"/>
          <w:b/>
          <w:bCs/>
          <w:color w:val="auto"/>
          <w:sz w:val="24"/>
          <w:szCs w:val="24"/>
          <w:highlight w:val="none"/>
        </w:rPr>
      </w:pPr>
      <w:bookmarkStart w:id="54" w:name="_Toc469383980"/>
      <w:bookmarkStart w:id="55" w:name="_Toc21784"/>
      <w:bookmarkStart w:id="56" w:name="_Toc27944"/>
      <w:bookmarkStart w:id="57" w:name="_Toc10624820"/>
      <w:bookmarkStart w:id="58" w:name="_Toc19411"/>
      <w:bookmarkStart w:id="59" w:name="_Toc31949"/>
      <w:bookmarkStart w:id="60" w:name="_Toc31164"/>
      <w:r>
        <w:rPr>
          <w:rFonts w:ascii="仿宋" w:hAnsi="仿宋" w:eastAsia="仿宋" w:cs="仿宋"/>
          <w:b/>
          <w:bCs/>
          <w:color w:val="auto"/>
          <w:sz w:val="24"/>
          <w:szCs w:val="24"/>
          <w:highlight w:val="none"/>
        </w:rPr>
        <w:t xml:space="preserve">1  </w:t>
      </w:r>
      <w:r>
        <w:rPr>
          <w:rFonts w:hint="eastAsia" w:ascii="仿宋" w:hAnsi="仿宋" w:eastAsia="仿宋" w:cs="仿宋"/>
          <w:b/>
          <w:bCs/>
          <w:color w:val="auto"/>
          <w:sz w:val="24"/>
          <w:szCs w:val="24"/>
          <w:highlight w:val="none"/>
        </w:rPr>
        <w:t>定义</w:t>
      </w:r>
      <w:bookmarkEnd w:id="54"/>
      <w:bookmarkEnd w:id="55"/>
      <w:bookmarkEnd w:id="56"/>
      <w:bookmarkEnd w:id="57"/>
      <w:bookmarkEnd w:id="58"/>
      <w:bookmarkEnd w:id="59"/>
      <w:bookmarkEnd w:id="60"/>
    </w:p>
    <w:p>
      <w:pPr>
        <w:pStyle w:val="13"/>
        <w:tabs>
          <w:tab w:val="left" w:pos="900"/>
          <w:tab w:val="left" w:pos="1980"/>
        </w:tabs>
        <w:adjustRightIn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下列词语或措辞，除非特别说明，在本合同中均具有以下赋予的含义：</w:t>
      </w:r>
    </w:p>
    <w:p>
      <w:pPr>
        <w:pStyle w:val="13"/>
        <w:tabs>
          <w:tab w:val="left" w:pos="1260"/>
          <w:tab w:val="left" w:pos="2160"/>
        </w:tabs>
        <w:adjustRightInd w:val="0"/>
        <w:spacing w:before="156" w:beforeLines="50" w:line="360" w:lineRule="auto"/>
        <w:ind w:left="1470" w:leftChars="686" w:hanging="29" w:hangingChars="12"/>
        <w:rPr>
          <w:rFonts w:ascii="仿宋" w:hAnsi="仿宋" w:eastAsia="仿宋" w:cs="Times New Roman"/>
          <w:color w:val="auto"/>
          <w:sz w:val="24"/>
          <w:szCs w:val="24"/>
          <w:highlight w:val="none"/>
          <w:u w:val="dotted"/>
        </w:rPr>
      </w:pPr>
      <w:r>
        <w:rPr>
          <w:rFonts w:ascii="仿宋" w:hAnsi="仿宋" w:eastAsia="仿宋" w:cs="仿宋"/>
          <w:b/>
          <w:bCs/>
          <w:color w:val="auto"/>
          <w:sz w:val="24"/>
          <w:szCs w:val="24"/>
          <w:highlight w:val="none"/>
        </w:rPr>
        <w:t xml:space="preserve">1.1  </w:t>
      </w:r>
      <w:r>
        <w:rPr>
          <w:rFonts w:hint="eastAsia" w:ascii="仿宋" w:hAnsi="仿宋" w:eastAsia="仿宋" w:cs="仿宋"/>
          <w:b/>
          <w:bCs/>
          <w:color w:val="auto"/>
          <w:sz w:val="24"/>
          <w:szCs w:val="24"/>
          <w:highlight w:val="none"/>
        </w:rPr>
        <w:t>合同：</w:t>
      </w:r>
      <w:r>
        <w:rPr>
          <w:rFonts w:hint="eastAsia" w:ascii="仿宋" w:hAnsi="仿宋" w:eastAsia="仿宋" w:cs="仿宋"/>
          <w:color w:val="auto"/>
          <w:sz w:val="24"/>
          <w:szCs w:val="24"/>
          <w:highlight w:val="none"/>
        </w:rPr>
        <w:t>指合同双方当事人为实施、完成并保修合同工程所订立的合同文件。合同文件由第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款所列的文件组成。</w:t>
      </w:r>
    </w:p>
    <w:p>
      <w:pPr>
        <w:pStyle w:val="13"/>
        <w:tabs>
          <w:tab w:val="left" w:pos="2160"/>
        </w:tabs>
        <w:adjustRightInd w:val="0"/>
        <w:spacing w:before="249" w:beforeLines="80" w:line="360" w:lineRule="auto"/>
        <w:ind w:left="1468" w:leftChars="699"/>
        <w:rPr>
          <w:color w:val="auto"/>
          <w:highlight w:val="none"/>
        </w:rPr>
      </w:pPr>
      <w:r>
        <w:rPr>
          <w:rFonts w:ascii="仿宋" w:hAnsi="仿宋" w:eastAsia="仿宋" w:cs="仿宋"/>
          <w:b/>
          <w:bCs/>
          <w:color w:val="auto"/>
          <w:sz w:val="24"/>
          <w:szCs w:val="24"/>
          <w:highlight w:val="none"/>
        </w:rPr>
        <w:t xml:space="preserve">1.2  </w:t>
      </w:r>
      <w:r>
        <w:rPr>
          <w:rFonts w:hint="eastAsia" w:ascii="仿宋" w:hAnsi="仿宋" w:eastAsia="仿宋" w:cs="仿宋"/>
          <w:b/>
          <w:bCs/>
          <w:color w:val="auto"/>
          <w:sz w:val="24"/>
          <w:szCs w:val="24"/>
          <w:highlight w:val="none"/>
        </w:rPr>
        <w:t>协议书：</w:t>
      </w:r>
      <w:r>
        <w:rPr>
          <w:rFonts w:hint="eastAsia" w:ascii="仿宋" w:hAnsi="仿宋" w:eastAsia="仿宋" w:cs="仿宋"/>
          <w:color w:val="auto"/>
          <w:sz w:val="24"/>
          <w:szCs w:val="24"/>
          <w:highlight w:val="none"/>
        </w:rPr>
        <w:t>指合同双方当事人为合同工程所签订的协议书。除法律另有规定或合同另有约定外，合同双方当事人的法定代表人或其委托代理人在协议书签字或盖单位公章后，合同即告生效。招标工程应当自中标通知书发出之日起30天内签订。</w:t>
      </w:r>
    </w:p>
    <w:p>
      <w:pPr>
        <w:pStyle w:val="13"/>
        <w:tabs>
          <w:tab w:val="left" w:pos="2160"/>
        </w:tabs>
        <w:adjustRightInd w:val="0"/>
        <w:spacing w:before="249" w:beforeLines="80" w:line="360" w:lineRule="auto"/>
        <w:ind w:left="1468" w:leftChars="699"/>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  </w:t>
      </w:r>
      <w:r>
        <w:rPr>
          <w:rFonts w:hint="eastAsia" w:ascii="仿宋" w:hAnsi="仿宋" w:eastAsia="仿宋" w:cs="仿宋"/>
          <w:b/>
          <w:bCs/>
          <w:color w:val="auto"/>
          <w:sz w:val="24"/>
          <w:szCs w:val="24"/>
          <w:highlight w:val="none"/>
        </w:rPr>
        <w:t>通用条款：</w:t>
      </w:r>
      <w:r>
        <w:rPr>
          <w:rFonts w:hint="eastAsia" w:ascii="仿宋" w:hAnsi="仿宋" w:eastAsia="仿宋" w:cs="仿宋"/>
          <w:color w:val="auto"/>
          <w:sz w:val="24"/>
          <w:szCs w:val="24"/>
          <w:highlight w:val="none"/>
        </w:rPr>
        <w:t>指根据法律、法规和规章的规定以及建设工程施工的需要所订立的，通用于建设工程施工的条款。</w:t>
      </w:r>
    </w:p>
    <w:p>
      <w:pPr>
        <w:pStyle w:val="13"/>
        <w:tabs>
          <w:tab w:val="left" w:pos="2160"/>
          <w:tab w:val="left" w:pos="2520"/>
        </w:tabs>
        <w:adjustRightInd w:val="0"/>
        <w:spacing w:before="249" w:beforeLines="80" w:line="360" w:lineRule="auto"/>
        <w:ind w:left="1574" w:leftChars="743" w:hanging="14" w:hangingChars="6"/>
        <w:jc w:val="left"/>
        <w:rPr>
          <w:rFonts w:ascii="仿宋" w:hAnsi="仿宋" w:eastAsia="仿宋" w:cs="Times New Roman"/>
          <w:color w:val="auto"/>
          <w:sz w:val="24"/>
          <w:szCs w:val="24"/>
          <w:highlight w:val="none"/>
          <w:u w:val="dotted"/>
        </w:rPr>
      </w:pPr>
      <w:r>
        <w:rPr>
          <w:rFonts w:ascii="仿宋" w:hAnsi="仿宋" w:eastAsia="仿宋" w:cs="仿宋"/>
          <w:b/>
          <w:bCs/>
          <w:color w:val="auto"/>
          <w:sz w:val="24"/>
          <w:szCs w:val="24"/>
          <w:highlight w:val="none"/>
        </w:rPr>
        <w:t xml:space="preserve">1.4  </w:t>
      </w:r>
      <w:r>
        <w:rPr>
          <w:rFonts w:hint="eastAsia" w:ascii="仿宋" w:hAnsi="仿宋" w:eastAsia="仿宋" w:cs="仿宋"/>
          <w:b/>
          <w:bCs/>
          <w:color w:val="auto"/>
          <w:sz w:val="24"/>
          <w:szCs w:val="24"/>
          <w:highlight w:val="none"/>
        </w:rPr>
        <w:t>专用条款：</w:t>
      </w:r>
      <w:r>
        <w:rPr>
          <w:rFonts w:hint="eastAsia" w:ascii="仿宋" w:hAnsi="仿宋" w:eastAsia="仿宋" w:cs="仿宋"/>
          <w:color w:val="auto"/>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pPr>
        <w:pStyle w:val="13"/>
        <w:tabs>
          <w:tab w:val="left" w:pos="2160"/>
        </w:tabs>
        <w:adjustRightInd w:val="0"/>
        <w:spacing w:before="249" w:beforeLines="80" w:line="360" w:lineRule="auto"/>
        <w:ind w:left="1792" w:leftChars="798" w:hanging="116" w:hangingChars="48"/>
        <w:rPr>
          <w:rFonts w:ascii="仿宋" w:hAnsi="仿宋" w:eastAsia="仿宋" w:cs="Times New Roman"/>
          <w:color w:val="auto"/>
          <w:sz w:val="24"/>
          <w:szCs w:val="24"/>
          <w:highlight w:val="none"/>
          <w:u w:val="dotted"/>
        </w:rPr>
      </w:pPr>
      <w:r>
        <w:rPr>
          <w:rFonts w:ascii="仿宋" w:hAnsi="仿宋" w:eastAsia="仿宋" w:cs="仿宋"/>
          <w:b/>
          <w:bCs/>
          <w:color w:val="auto"/>
          <w:sz w:val="24"/>
          <w:szCs w:val="24"/>
          <w:highlight w:val="none"/>
        </w:rPr>
        <w:t xml:space="preserve">1.5  </w:t>
      </w:r>
      <w:r>
        <w:rPr>
          <w:rFonts w:hint="eastAsia" w:ascii="仿宋" w:hAnsi="仿宋" w:eastAsia="仿宋" w:cs="仿宋"/>
          <w:b/>
          <w:bCs/>
          <w:color w:val="auto"/>
          <w:sz w:val="24"/>
          <w:szCs w:val="24"/>
          <w:highlight w:val="none"/>
        </w:rPr>
        <w:t>中标通知书：</w:t>
      </w:r>
      <w:r>
        <w:rPr>
          <w:rFonts w:hint="eastAsia" w:ascii="仿宋" w:hAnsi="仿宋" w:eastAsia="仿宋" w:cs="仿宋"/>
          <w:color w:val="auto"/>
          <w:sz w:val="24"/>
          <w:szCs w:val="24"/>
          <w:highlight w:val="none"/>
        </w:rPr>
        <w:t>指发包人正式接受中标人投标文件的书面文件。</w:t>
      </w:r>
    </w:p>
    <w:p>
      <w:pPr>
        <w:pStyle w:val="13"/>
        <w:tabs>
          <w:tab w:val="left" w:pos="2160"/>
        </w:tabs>
        <w:adjustRightInd w:val="0"/>
        <w:spacing w:before="249" w:beforeLines="80" w:line="360" w:lineRule="auto"/>
        <w:ind w:left="1575" w:leftChars="750"/>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1.6  </w:t>
      </w:r>
      <w:r>
        <w:rPr>
          <w:rFonts w:hint="eastAsia" w:ascii="仿宋" w:hAnsi="仿宋" w:eastAsia="仿宋" w:cs="仿宋"/>
          <w:b/>
          <w:bCs/>
          <w:color w:val="auto"/>
          <w:sz w:val="24"/>
          <w:szCs w:val="24"/>
          <w:highlight w:val="none"/>
        </w:rPr>
        <w:t>承包人投标文件：</w:t>
      </w:r>
      <w:r>
        <w:rPr>
          <w:rFonts w:hint="eastAsia" w:ascii="仿宋" w:hAnsi="仿宋" w:eastAsia="仿宋" w:cs="仿宋"/>
          <w:color w:val="auto"/>
          <w:sz w:val="24"/>
          <w:szCs w:val="24"/>
          <w:highlight w:val="none"/>
        </w:rPr>
        <w:t>指构成合同文件组成部分的，由承包人根据招标文件编制完成、签字并被中标通知书所接受的，承包人为实施、完成并保修合同工程向发包人提交的技术、经济文件。</w:t>
      </w:r>
    </w:p>
    <w:p>
      <w:pPr>
        <w:pStyle w:val="13"/>
        <w:tabs>
          <w:tab w:val="left" w:pos="2160"/>
          <w:tab w:val="left" w:pos="2520"/>
        </w:tabs>
        <w:adjustRightInd w:val="0"/>
        <w:spacing w:before="249" w:beforeLines="80" w:line="360" w:lineRule="auto"/>
        <w:ind w:left="1618" w:leftChars="77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1.7  </w:t>
      </w:r>
      <w:r>
        <w:rPr>
          <w:rFonts w:hint="eastAsia" w:ascii="仿宋" w:hAnsi="仿宋" w:eastAsia="仿宋" w:cs="仿宋"/>
          <w:b/>
          <w:bCs/>
          <w:color w:val="auto"/>
          <w:sz w:val="24"/>
          <w:szCs w:val="24"/>
          <w:highlight w:val="none"/>
        </w:rPr>
        <w:t>标准、规范及有关技术文件：</w:t>
      </w:r>
      <w:r>
        <w:rPr>
          <w:rFonts w:hint="eastAsia" w:ascii="仿宋" w:hAnsi="仿宋" w:eastAsia="仿宋" w:cs="仿宋"/>
          <w:color w:val="auto"/>
          <w:sz w:val="24"/>
          <w:szCs w:val="24"/>
          <w:highlight w:val="none"/>
        </w:rPr>
        <w:t>指构成合同文件组成部分的，本合同所指明的和合同工程依法应适用的标准与规范，以及监理工程师、造价工程师对有关技术方面问题做出的补充、修改和批准文件。</w:t>
      </w:r>
    </w:p>
    <w:p>
      <w:pPr>
        <w:pStyle w:val="13"/>
        <w:tabs>
          <w:tab w:val="left" w:pos="2160"/>
          <w:tab w:val="left" w:pos="2520"/>
        </w:tabs>
        <w:adjustRightInd w:val="0"/>
        <w:spacing w:before="249" w:beforeLines="80" w:line="360" w:lineRule="auto"/>
        <w:ind w:left="1618" w:leftChars="77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1.8  </w:t>
      </w:r>
      <w:r>
        <w:rPr>
          <w:rFonts w:hint="eastAsia" w:ascii="仿宋" w:hAnsi="仿宋" w:eastAsia="仿宋" w:cs="仿宋"/>
          <w:b/>
          <w:bCs/>
          <w:color w:val="auto"/>
          <w:sz w:val="24"/>
          <w:szCs w:val="24"/>
          <w:highlight w:val="none"/>
        </w:rPr>
        <w:t>施工设计图纸：</w:t>
      </w:r>
      <w:r>
        <w:rPr>
          <w:rFonts w:hint="eastAsia" w:ascii="仿宋" w:hAnsi="仿宋" w:eastAsia="仿宋" w:cs="仿宋"/>
          <w:color w:val="auto"/>
          <w:sz w:val="24"/>
          <w:szCs w:val="24"/>
          <w:highlight w:val="none"/>
        </w:rPr>
        <w:t>指构成合同文件组成部分的，按规定审批的由发包人提供或经发包人批准由承包人提供，满足承包人施工需要的所有设计文件</w:t>
      </w:r>
      <w:r>
        <w:rPr>
          <w:rFonts w:hint="eastAsia" w:ascii="Times New Roman" w:hAnsi="Times New Roman" w:eastAsia="仿宋_GB2312" w:cs="仿宋_GB2312"/>
          <w:color w:val="auto"/>
          <w:kern w:val="0"/>
          <w:sz w:val="30"/>
          <w:szCs w:val="30"/>
          <w:highlight w:val="none"/>
        </w:rPr>
        <w:t>、</w:t>
      </w:r>
      <w:r>
        <w:rPr>
          <w:rFonts w:hint="eastAsia" w:ascii="仿宋" w:hAnsi="仿宋" w:eastAsia="仿宋" w:cs="仿宋"/>
          <w:color w:val="auto"/>
          <w:sz w:val="24"/>
          <w:szCs w:val="24"/>
          <w:highlight w:val="none"/>
        </w:rPr>
        <w:t>施工图纸、模型（包括任何补充和修改的施工图纸、配套说明和有关资料）。图纸应当按照法律规定审查合格。</w:t>
      </w:r>
    </w:p>
    <w:p>
      <w:pPr>
        <w:pStyle w:val="13"/>
        <w:tabs>
          <w:tab w:val="left" w:pos="2160"/>
        </w:tabs>
        <w:adjustRightInd w:val="0"/>
        <w:spacing w:before="249" w:beforeLines="80" w:line="360" w:lineRule="auto"/>
        <w:ind w:left="1575" w:leftChars="750"/>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1.9  </w:t>
      </w:r>
      <w:r>
        <w:rPr>
          <w:rFonts w:hint="eastAsia" w:ascii="仿宋" w:hAnsi="仿宋" w:eastAsia="仿宋" w:cs="仿宋"/>
          <w:b/>
          <w:bCs/>
          <w:color w:val="auto"/>
          <w:sz w:val="24"/>
          <w:szCs w:val="24"/>
          <w:highlight w:val="none"/>
        </w:rPr>
        <w:t>工程量清单：</w:t>
      </w:r>
      <w:r>
        <w:rPr>
          <w:rFonts w:hint="eastAsia" w:ascii="仿宋" w:hAnsi="仿宋" w:eastAsia="仿宋" w:cs="仿宋"/>
          <w:color w:val="auto"/>
          <w:sz w:val="24"/>
          <w:szCs w:val="24"/>
          <w:highlight w:val="none"/>
        </w:rPr>
        <w:t>指构成合同文件组成部分的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由发包人在招标文件中提供的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合同工程分部分项工程项目、措施项目、其他项目、规费项目和税金项目的名称和相应数量等的明细清单。</w:t>
      </w:r>
    </w:p>
    <w:p>
      <w:pPr>
        <w:pStyle w:val="13"/>
        <w:tabs>
          <w:tab w:val="left" w:pos="2160"/>
        </w:tabs>
        <w:adjustRightInd w:val="0"/>
        <w:spacing w:before="249" w:beforeLines="80" w:line="360" w:lineRule="auto"/>
        <w:ind w:left="1618" w:leftChars="77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1.10  </w:t>
      </w:r>
      <w:r>
        <w:rPr>
          <w:rFonts w:hint="eastAsia" w:ascii="仿宋" w:hAnsi="仿宋" w:eastAsia="仿宋" w:cs="仿宋"/>
          <w:b/>
          <w:bCs/>
          <w:color w:val="auto"/>
          <w:sz w:val="24"/>
          <w:szCs w:val="24"/>
          <w:highlight w:val="none"/>
        </w:rPr>
        <w:t>发包人：</w:t>
      </w:r>
      <w:r>
        <w:rPr>
          <w:rFonts w:hint="eastAsia" w:ascii="仿宋" w:hAnsi="仿宋" w:eastAsia="仿宋" w:cs="仿宋"/>
          <w:color w:val="auto"/>
          <w:sz w:val="24"/>
          <w:szCs w:val="24"/>
          <w:highlight w:val="none"/>
        </w:rPr>
        <w:t>指在协议书中约定，具有工程发包主体资格和支付工程款能力的当事人，以及取得该当事人资格的合法继承人。</w:t>
      </w:r>
    </w:p>
    <w:p>
      <w:pPr>
        <w:pStyle w:val="13"/>
        <w:tabs>
          <w:tab w:val="left" w:pos="1980"/>
        </w:tabs>
        <w:adjustRightInd w:val="0"/>
        <w:spacing w:before="249" w:beforeLines="80" w:line="360" w:lineRule="auto"/>
        <w:ind w:left="1573" w:leftChars="749"/>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1.11  </w:t>
      </w:r>
      <w:r>
        <w:rPr>
          <w:rFonts w:hint="eastAsia" w:ascii="仿宋" w:hAnsi="仿宋" w:eastAsia="仿宋" w:cs="仿宋"/>
          <w:b/>
          <w:bCs/>
          <w:color w:val="auto"/>
          <w:sz w:val="24"/>
          <w:szCs w:val="24"/>
          <w:highlight w:val="none"/>
        </w:rPr>
        <w:t>承包人：</w:t>
      </w:r>
      <w:r>
        <w:rPr>
          <w:rFonts w:hint="eastAsia" w:ascii="仿宋" w:hAnsi="仿宋" w:eastAsia="仿宋" w:cs="仿宋"/>
          <w:color w:val="auto"/>
          <w:sz w:val="24"/>
          <w:szCs w:val="24"/>
          <w:highlight w:val="none"/>
        </w:rPr>
        <w:t>指在协议书中约定，被发包人接受且具有工程施工承包主体资格的当事人，以及取得该当事人资格的合法继承人。</w:t>
      </w:r>
    </w:p>
    <w:p>
      <w:pPr>
        <w:pStyle w:val="13"/>
        <w:tabs>
          <w:tab w:val="left" w:pos="1980"/>
        </w:tabs>
        <w:spacing w:before="249" w:beforeLines="80" w:line="360" w:lineRule="auto"/>
        <w:ind w:left="1575" w:leftChars="750"/>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1.12  </w:t>
      </w:r>
      <w:r>
        <w:rPr>
          <w:rFonts w:hint="eastAsia" w:ascii="仿宋" w:hAnsi="仿宋" w:eastAsia="仿宋" w:cs="仿宋"/>
          <w:b/>
          <w:bCs/>
          <w:color w:val="auto"/>
          <w:sz w:val="24"/>
          <w:szCs w:val="24"/>
          <w:highlight w:val="none"/>
        </w:rPr>
        <w:t>分包人：</w:t>
      </w:r>
      <w:r>
        <w:rPr>
          <w:rFonts w:hint="eastAsia" w:ascii="仿宋" w:hAnsi="仿宋" w:eastAsia="仿宋" w:cs="仿宋"/>
          <w:color w:val="auto"/>
          <w:sz w:val="24"/>
          <w:szCs w:val="24"/>
          <w:highlight w:val="none"/>
        </w:rPr>
        <w:t>指被发包人接受且具有相应资格，并与承包人签订了分包合同，依法分包合同工程某一部分的当事人，以及取得该当事人资格的合法继承人。</w:t>
      </w:r>
    </w:p>
    <w:p>
      <w:pPr>
        <w:pStyle w:val="13"/>
        <w:tabs>
          <w:tab w:val="left" w:pos="1980"/>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1.13  </w:t>
      </w:r>
      <w:r>
        <w:rPr>
          <w:rFonts w:hint="eastAsia" w:ascii="仿宋" w:hAnsi="仿宋" w:eastAsia="仿宋" w:cs="仿宋"/>
          <w:b/>
          <w:bCs/>
          <w:color w:val="auto"/>
          <w:sz w:val="24"/>
          <w:szCs w:val="24"/>
          <w:highlight w:val="none"/>
        </w:rPr>
        <w:t>第三方：</w:t>
      </w:r>
      <w:r>
        <w:rPr>
          <w:rFonts w:hint="eastAsia" w:ascii="仿宋" w:hAnsi="仿宋" w:eastAsia="仿宋" w:cs="仿宋"/>
          <w:color w:val="auto"/>
          <w:sz w:val="24"/>
          <w:szCs w:val="24"/>
          <w:highlight w:val="none"/>
        </w:rPr>
        <w:t>除合同双方当事人</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含双方雇员及代表其工作的人员</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以外的任何他人或组织。</w:t>
      </w:r>
    </w:p>
    <w:p>
      <w:pPr>
        <w:pStyle w:val="13"/>
        <w:tabs>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1.14  </w:t>
      </w:r>
      <w:r>
        <w:rPr>
          <w:rFonts w:hint="eastAsia" w:ascii="仿宋" w:hAnsi="仿宋" w:eastAsia="仿宋" w:cs="仿宋"/>
          <w:b/>
          <w:bCs/>
          <w:color w:val="auto"/>
          <w:sz w:val="24"/>
          <w:szCs w:val="24"/>
          <w:highlight w:val="none"/>
        </w:rPr>
        <w:t>设计人：</w:t>
      </w:r>
      <w:r>
        <w:rPr>
          <w:rFonts w:hint="eastAsia" w:ascii="仿宋" w:hAnsi="仿宋" w:eastAsia="仿宋" w:cs="仿宋"/>
          <w:color w:val="auto"/>
          <w:sz w:val="24"/>
          <w:szCs w:val="24"/>
          <w:highlight w:val="none"/>
        </w:rPr>
        <w:t>指受发包人委托的，负责合同工程的工程设计专业技术且具有相应工程设计资质的当事人，以及取得该当事人资格的合法继承人。</w:t>
      </w:r>
    </w:p>
    <w:p>
      <w:pPr>
        <w:pStyle w:val="13"/>
        <w:tabs>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1.15  </w:t>
      </w:r>
      <w:r>
        <w:rPr>
          <w:rFonts w:hint="eastAsia" w:ascii="仿宋" w:hAnsi="仿宋" w:eastAsia="仿宋" w:cs="仿宋"/>
          <w:b/>
          <w:bCs/>
          <w:color w:val="auto"/>
          <w:sz w:val="24"/>
          <w:szCs w:val="24"/>
          <w:highlight w:val="none"/>
        </w:rPr>
        <w:t>监理人：</w:t>
      </w:r>
      <w:r>
        <w:rPr>
          <w:rFonts w:hint="eastAsia" w:ascii="仿宋" w:hAnsi="仿宋" w:eastAsia="仿宋" w:cs="仿宋"/>
          <w:color w:val="auto"/>
          <w:sz w:val="24"/>
          <w:szCs w:val="24"/>
          <w:highlight w:val="none"/>
        </w:rPr>
        <w:t>指受发包人委托的，负责合同工程的工程监理专业技术且具有相应工程监理资质的当事人，以及取得该当事人资格的合法继承人。</w:t>
      </w:r>
    </w:p>
    <w:p>
      <w:pPr>
        <w:pStyle w:val="13"/>
        <w:tabs>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1.16  </w:t>
      </w:r>
      <w:r>
        <w:rPr>
          <w:rFonts w:hint="eastAsia" w:ascii="仿宋" w:hAnsi="仿宋" w:eastAsia="仿宋" w:cs="仿宋"/>
          <w:b/>
          <w:bCs/>
          <w:color w:val="auto"/>
          <w:sz w:val="24"/>
          <w:szCs w:val="24"/>
          <w:highlight w:val="none"/>
        </w:rPr>
        <w:t>工程造价咨询人：</w:t>
      </w:r>
      <w:r>
        <w:rPr>
          <w:rFonts w:hint="eastAsia" w:ascii="仿宋" w:hAnsi="仿宋" w:eastAsia="仿宋" w:cs="仿宋"/>
          <w:color w:val="auto"/>
          <w:sz w:val="24"/>
          <w:szCs w:val="24"/>
          <w:highlight w:val="none"/>
        </w:rPr>
        <w:t>指受发包人委托的，负责合同工程的工程造价专业技术且具有相应工程造价咨询资质的当事人，以及取得该当事人资格的合法继承人。</w:t>
      </w:r>
    </w:p>
    <w:p>
      <w:pPr>
        <w:pStyle w:val="13"/>
        <w:tabs>
          <w:tab w:val="left" w:pos="1980"/>
          <w:tab w:val="left" w:pos="2160"/>
          <w:tab w:val="left" w:pos="252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1.17  </w:t>
      </w:r>
      <w:r>
        <w:rPr>
          <w:rFonts w:hint="eastAsia" w:ascii="仿宋" w:hAnsi="仿宋" w:eastAsia="仿宋" w:cs="仿宋"/>
          <w:b/>
          <w:bCs/>
          <w:color w:val="auto"/>
          <w:sz w:val="24"/>
          <w:szCs w:val="24"/>
          <w:highlight w:val="none"/>
        </w:rPr>
        <w:t>工程造价管理机构：</w:t>
      </w:r>
      <w:r>
        <w:rPr>
          <w:rFonts w:hint="eastAsia" w:ascii="仿宋" w:hAnsi="仿宋" w:eastAsia="仿宋" w:cs="仿宋"/>
          <w:color w:val="auto"/>
          <w:sz w:val="24"/>
          <w:szCs w:val="24"/>
          <w:highlight w:val="none"/>
        </w:rPr>
        <w:t>指国务院有关部门、县级以上人民政府建设行政主管部门或受其委托的工程造价管理机构。</w:t>
      </w:r>
    </w:p>
    <w:p>
      <w:pPr>
        <w:pStyle w:val="13"/>
        <w:tabs>
          <w:tab w:val="left" w:pos="1980"/>
          <w:tab w:val="left" w:pos="2160"/>
          <w:tab w:val="left" w:pos="252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1.18  </w:t>
      </w:r>
      <w:r>
        <w:rPr>
          <w:rFonts w:hint="eastAsia" w:ascii="仿宋" w:hAnsi="仿宋" w:eastAsia="仿宋" w:cs="仿宋"/>
          <w:b/>
          <w:bCs/>
          <w:color w:val="auto"/>
          <w:sz w:val="24"/>
          <w:szCs w:val="24"/>
          <w:highlight w:val="none"/>
        </w:rPr>
        <w:t>发包人代表：</w:t>
      </w:r>
      <w:r>
        <w:rPr>
          <w:rFonts w:hint="eastAsia" w:ascii="仿宋" w:hAnsi="仿宋" w:eastAsia="仿宋" w:cs="仿宋"/>
          <w:color w:val="auto"/>
          <w:sz w:val="24"/>
          <w:szCs w:val="24"/>
          <w:highlight w:val="none"/>
        </w:rPr>
        <w:t>指发包人指定的，履行本合同的全权代表。发包人代表由发包人依据第</w:t>
      </w:r>
      <w:r>
        <w:rPr>
          <w:rFonts w:ascii="仿宋" w:hAnsi="仿宋" w:eastAsia="仿宋" w:cs="仿宋"/>
          <w:color w:val="auto"/>
          <w:sz w:val="24"/>
          <w:szCs w:val="24"/>
          <w:highlight w:val="none"/>
        </w:rPr>
        <w:t>22.1</w:t>
      </w:r>
      <w:r>
        <w:rPr>
          <w:rFonts w:hint="eastAsia" w:ascii="仿宋" w:hAnsi="仿宋" w:eastAsia="仿宋" w:cs="仿宋"/>
          <w:color w:val="auto"/>
          <w:sz w:val="24"/>
          <w:szCs w:val="24"/>
          <w:highlight w:val="none"/>
        </w:rPr>
        <w:t>款规定任命并书面通知承包人。</w:t>
      </w:r>
    </w:p>
    <w:p>
      <w:pPr>
        <w:pStyle w:val="13"/>
        <w:tabs>
          <w:tab w:val="left" w:pos="1260"/>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1.19  </w:t>
      </w:r>
      <w:r>
        <w:rPr>
          <w:rFonts w:hint="eastAsia" w:ascii="仿宋" w:hAnsi="仿宋" w:eastAsia="仿宋" w:cs="仿宋"/>
          <w:b/>
          <w:bCs/>
          <w:color w:val="auto"/>
          <w:sz w:val="24"/>
          <w:szCs w:val="24"/>
          <w:highlight w:val="none"/>
        </w:rPr>
        <w:t>监理工程师：</w:t>
      </w:r>
      <w:r>
        <w:rPr>
          <w:rFonts w:hint="eastAsia" w:ascii="仿宋" w:hAnsi="仿宋" w:eastAsia="仿宋" w:cs="仿宋"/>
          <w:color w:val="auto"/>
          <w:sz w:val="24"/>
          <w:szCs w:val="24"/>
          <w:highlight w:val="none"/>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款规定任命并书面通知承包人。</w:t>
      </w:r>
    </w:p>
    <w:p>
      <w:pPr>
        <w:pStyle w:val="13"/>
        <w:tabs>
          <w:tab w:val="left" w:pos="1980"/>
          <w:tab w:val="left" w:pos="2160"/>
        </w:tabs>
        <w:spacing w:before="249" w:beforeLines="80" w:line="360" w:lineRule="auto"/>
        <w:ind w:left="1618" w:leftChars="77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1.20  </w:t>
      </w:r>
      <w:r>
        <w:rPr>
          <w:rFonts w:hint="eastAsia" w:ascii="仿宋" w:hAnsi="仿宋" w:eastAsia="仿宋" w:cs="仿宋"/>
          <w:b/>
          <w:bCs/>
          <w:color w:val="auto"/>
          <w:sz w:val="24"/>
          <w:szCs w:val="24"/>
          <w:highlight w:val="none"/>
        </w:rPr>
        <w:t>造价工程师：</w:t>
      </w:r>
      <w:r>
        <w:rPr>
          <w:rFonts w:hint="eastAsia" w:ascii="仿宋" w:hAnsi="仿宋" w:eastAsia="仿宋" w:cs="仿宋"/>
          <w:color w:val="auto"/>
          <w:sz w:val="24"/>
          <w:szCs w:val="24"/>
          <w:highlight w:val="none"/>
        </w:rPr>
        <w:t>指工程造价咨询人或监理人委派常驻施工现场负责合同工程的工程造价专业技术的专业人员。造价工程师由工程造价咨询人或监理人提名，经发包人依据第</w:t>
      </w:r>
      <w:r>
        <w:rPr>
          <w:rFonts w:ascii="仿宋" w:hAnsi="仿宋" w:eastAsia="仿宋" w:cs="仿宋"/>
          <w:color w:val="auto"/>
          <w:sz w:val="24"/>
          <w:szCs w:val="24"/>
          <w:highlight w:val="none"/>
        </w:rPr>
        <w:t>24.1</w:t>
      </w:r>
      <w:r>
        <w:rPr>
          <w:rFonts w:hint="eastAsia" w:ascii="仿宋" w:hAnsi="仿宋" w:eastAsia="仿宋" w:cs="仿宋"/>
          <w:color w:val="auto"/>
          <w:sz w:val="24"/>
          <w:szCs w:val="24"/>
          <w:highlight w:val="none"/>
        </w:rPr>
        <w:t>款规定任命并书面通知承包人。</w:t>
      </w:r>
    </w:p>
    <w:p>
      <w:pPr>
        <w:pStyle w:val="13"/>
        <w:tabs>
          <w:tab w:val="left" w:pos="1620"/>
          <w:tab w:val="left" w:pos="1980"/>
        </w:tabs>
        <w:spacing w:before="249" w:beforeLines="8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1.21  </w:t>
      </w:r>
      <w:r>
        <w:rPr>
          <w:rFonts w:hint="eastAsia" w:ascii="仿宋" w:hAnsi="仿宋" w:eastAsia="仿宋" w:cs="仿宋"/>
          <w:b/>
          <w:bCs/>
          <w:color w:val="auto"/>
          <w:sz w:val="24"/>
          <w:szCs w:val="24"/>
          <w:highlight w:val="none"/>
        </w:rPr>
        <w:t>承包人代表：</w:t>
      </w:r>
      <w:r>
        <w:rPr>
          <w:rFonts w:hint="eastAsia" w:ascii="仿宋" w:hAnsi="仿宋" w:eastAsia="仿宋" w:cs="仿宋"/>
          <w:color w:val="auto"/>
          <w:sz w:val="24"/>
          <w:szCs w:val="24"/>
          <w:highlight w:val="none"/>
        </w:rPr>
        <w:t>指承包人指定的，履行本合同和负责合同工程施工现场管理的全权代表。承包人代表由承包人依据第</w:t>
      </w: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款规定任命并书面通知发包人。</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1.22  </w:t>
      </w:r>
      <w:r>
        <w:rPr>
          <w:rFonts w:hint="eastAsia" w:ascii="仿宋" w:hAnsi="仿宋" w:eastAsia="仿宋" w:cs="仿宋"/>
          <w:b/>
          <w:bCs/>
          <w:color w:val="auto"/>
          <w:sz w:val="24"/>
          <w:szCs w:val="24"/>
          <w:highlight w:val="none"/>
        </w:rPr>
        <w:t>合同工期：</w:t>
      </w:r>
      <w:r>
        <w:rPr>
          <w:rFonts w:hint="eastAsia" w:ascii="仿宋" w:hAnsi="仿宋" w:eastAsia="仿宋" w:cs="仿宋"/>
          <w:color w:val="auto"/>
          <w:sz w:val="24"/>
          <w:szCs w:val="24"/>
          <w:highlight w:val="none"/>
        </w:rPr>
        <w:t>指合同双方当事人在协议书中约定，按照总日历天数（包括法定节假日）计算的从开始实施到完成合同工程的天数。</w:t>
      </w:r>
    </w:p>
    <w:p>
      <w:pPr>
        <w:pStyle w:val="13"/>
        <w:tabs>
          <w:tab w:val="left" w:pos="2160"/>
        </w:tabs>
        <w:spacing w:before="249" w:beforeLines="8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1.23  </w:t>
      </w:r>
      <w:r>
        <w:rPr>
          <w:rFonts w:hint="eastAsia" w:ascii="仿宋" w:hAnsi="仿宋" w:eastAsia="仿宋" w:cs="仿宋"/>
          <w:b/>
          <w:bCs/>
          <w:color w:val="auto"/>
          <w:sz w:val="24"/>
          <w:szCs w:val="24"/>
          <w:highlight w:val="none"/>
        </w:rPr>
        <w:t>开工日期：</w:t>
      </w:r>
      <w:r>
        <w:rPr>
          <w:rFonts w:hint="eastAsia" w:ascii="仿宋" w:hAnsi="仿宋" w:eastAsia="仿宋" w:cs="仿宋"/>
          <w:color w:val="auto"/>
          <w:sz w:val="24"/>
          <w:szCs w:val="24"/>
          <w:highlight w:val="none"/>
        </w:rPr>
        <w:t>指根据第</w:t>
      </w:r>
      <w:r>
        <w:rPr>
          <w:rFonts w:ascii="仿宋" w:hAnsi="仿宋" w:eastAsia="仿宋" w:cs="仿宋"/>
          <w:color w:val="auto"/>
          <w:sz w:val="24"/>
          <w:szCs w:val="24"/>
          <w:highlight w:val="none"/>
        </w:rPr>
        <w:t>34</w:t>
      </w:r>
      <w:r>
        <w:rPr>
          <w:rFonts w:hint="eastAsia" w:ascii="仿宋" w:hAnsi="仿宋" w:eastAsia="仿宋" w:cs="仿宋"/>
          <w:color w:val="auto"/>
          <w:sz w:val="24"/>
          <w:szCs w:val="24"/>
          <w:highlight w:val="none"/>
        </w:rPr>
        <w:t>条规定，监理工程师在开工令中写明的、承包人按照合同约定最迟在该日期开工的日期。</w:t>
      </w:r>
    </w:p>
    <w:p>
      <w:pPr>
        <w:pStyle w:val="13"/>
        <w:tabs>
          <w:tab w:val="left" w:pos="198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1.24  </w:t>
      </w:r>
      <w:r>
        <w:rPr>
          <w:rFonts w:hint="eastAsia" w:ascii="仿宋" w:hAnsi="仿宋" w:eastAsia="仿宋" w:cs="仿宋"/>
          <w:b/>
          <w:bCs/>
          <w:color w:val="auto"/>
          <w:sz w:val="24"/>
          <w:szCs w:val="24"/>
          <w:highlight w:val="none"/>
        </w:rPr>
        <w:t>计划竣工日期：</w:t>
      </w:r>
      <w:r>
        <w:rPr>
          <w:rFonts w:hint="eastAsia" w:ascii="仿宋" w:hAnsi="仿宋" w:eastAsia="仿宋" w:cs="仿宋"/>
          <w:color w:val="auto"/>
          <w:sz w:val="24"/>
          <w:szCs w:val="24"/>
          <w:highlight w:val="none"/>
        </w:rPr>
        <w:t>指自开工日期起根据合同约定要求承包人完成合同工程并竣工的全部时间（包括根据第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款规定所做的调整）。</w:t>
      </w:r>
    </w:p>
    <w:p>
      <w:pPr>
        <w:pStyle w:val="13"/>
        <w:tabs>
          <w:tab w:val="left" w:pos="1980"/>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1.25  </w:t>
      </w:r>
      <w:r>
        <w:rPr>
          <w:rFonts w:hint="eastAsia" w:ascii="仿宋" w:hAnsi="仿宋" w:eastAsia="仿宋" w:cs="仿宋"/>
          <w:b/>
          <w:bCs/>
          <w:color w:val="auto"/>
          <w:sz w:val="24"/>
          <w:szCs w:val="24"/>
          <w:highlight w:val="none"/>
        </w:rPr>
        <w:t>实际竣工日期：</w:t>
      </w:r>
      <w:r>
        <w:rPr>
          <w:rFonts w:hint="eastAsia" w:ascii="仿宋" w:hAnsi="仿宋" w:eastAsia="仿宋" w:cs="仿宋"/>
          <w:color w:val="auto"/>
          <w:sz w:val="24"/>
          <w:szCs w:val="24"/>
          <w:highlight w:val="none"/>
        </w:rPr>
        <w:t>指承包人实际完成合同工程或某单位工程后，由发包人按照第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条规定组织竣工验收、接收工程并颁发工程接收证书的日期。实际竣工日期，按照第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款规定确定。</w:t>
      </w:r>
    </w:p>
    <w:p>
      <w:pPr>
        <w:pStyle w:val="13"/>
        <w:tabs>
          <w:tab w:val="left" w:pos="1980"/>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1.26  </w:t>
      </w:r>
      <w:r>
        <w:rPr>
          <w:rFonts w:hint="eastAsia" w:ascii="仿宋" w:hAnsi="仿宋" w:eastAsia="仿宋" w:cs="仿宋"/>
          <w:b/>
          <w:bCs/>
          <w:color w:val="auto"/>
          <w:sz w:val="24"/>
          <w:szCs w:val="24"/>
          <w:highlight w:val="none"/>
        </w:rPr>
        <w:t>缺陷责任期：</w:t>
      </w:r>
      <w:r>
        <w:rPr>
          <w:rFonts w:hint="eastAsia" w:ascii="仿宋" w:hAnsi="仿宋" w:eastAsia="仿宋" w:cs="仿宋"/>
          <w:color w:val="auto"/>
          <w:sz w:val="24"/>
          <w:szCs w:val="24"/>
          <w:highlight w:val="none"/>
        </w:rPr>
        <w:t>指履行第</w:t>
      </w:r>
      <w:r>
        <w:rPr>
          <w:rFonts w:ascii="仿宋" w:hAnsi="仿宋" w:eastAsia="仿宋" w:cs="仿宋"/>
          <w:color w:val="auto"/>
          <w:sz w:val="24"/>
          <w:szCs w:val="24"/>
          <w:highlight w:val="none"/>
        </w:rPr>
        <w:t>59.3</w:t>
      </w:r>
      <w:r>
        <w:rPr>
          <w:rFonts w:hint="eastAsia" w:ascii="仿宋" w:hAnsi="仿宋" w:eastAsia="仿宋" w:cs="仿宋"/>
          <w:color w:val="auto"/>
          <w:sz w:val="24"/>
          <w:szCs w:val="24"/>
          <w:highlight w:val="none"/>
        </w:rPr>
        <w:t>款规定的缺陷责任的期限。具体期限在专用条款中约定，包括第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款规定的延长期限。</w:t>
      </w:r>
    </w:p>
    <w:p>
      <w:pPr>
        <w:pStyle w:val="13"/>
        <w:tabs>
          <w:tab w:val="left" w:pos="1980"/>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1.27  </w:t>
      </w:r>
      <w:r>
        <w:rPr>
          <w:rFonts w:hint="eastAsia" w:ascii="仿宋" w:hAnsi="仿宋" w:eastAsia="仿宋" w:cs="仿宋"/>
          <w:b/>
          <w:bCs/>
          <w:color w:val="auto"/>
          <w:sz w:val="24"/>
          <w:szCs w:val="24"/>
          <w:highlight w:val="none"/>
        </w:rPr>
        <w:t>基准日期：</w:t>
      </w:r>
      <w:r>
        <w:rPr>
          <w:rFonts w:hint="eastAsia" w:ascii="仿宋" w:hAnsi="仿宋" w:eastAsia="仿宋" w:cs="仿宋"/>
          <w:color w:val="auto"/>
          <w:sz w:val="24"/>
          <w:szCs w:val="24"/>
          <w:highlight w:val="none"/>
        </w:rPr>
        <w:t>指招标工程递交投标文件截止日期前</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天的日期；非招标工程订立合同前</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天的日期。</w:t>
      </w:r>
    </w:p>
    <w:p>
      <w:pPr>
        <w:pStyle w:val="13"/>
        <w:tabs>
          <w:tab w:val="left" w:pos="2160"/>
        </w:tabs>
        <w:spacing w:before="249" w:beforeLines="80" w:line="360" w:lineRule="auto"/>
        <w:ind w:left="1573" w:leftChars="749"/>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1.28  </w:t>
      </w:r>
      <w:r>
        <w:rPr>
          <w:rFonts w:hint="eastAsia" w:ascii="仿宋" w:hAnsi="仿宋" w:eastAsia="仿宋" w:cs="仿宋"/>
          <w:b/>
          <w:bCs/>
          <w:color w:val="auto"/>
          <w:sz w:val="24"/>
          <w:szCs w:val="24"/>
          <w:highlight w:val="none"/>
        </w:rPr>
        <w:t>小时或天：</w:t>
      </w:r>
      <w:r>
        <w:rPr>
          <w:rFonts w:hint="eastAsia" w:ascii="仿宋" w:hAnsi="仿宋" w:eastAsia="仿宋" w:cs="仿宋"/>
          <w:color w:val="auto"/>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ascii="仿宋" w:hAnsi="仿宋" w:eastAsia="仿宋" w:cs="仿宋"/>
          <w:color w:val="auto"/>
          <w:sz w:val="24"/>
          <w:szCs w:val="24"/>
          <w:highlight w:val="none"/>
        </w:rPr>
        <w:t>24:00</w:t>
      </w:r>
      <w:r>
        <w:rPr>
          <w:rFonts w:hint="eastAsia" w:ascii="仿宋" w:hAnsi="仿宋" w:eastAsia="仿宋" w:cs="仿宋"/>
          <w:color w:val="auto"/>
          <w:sz w:val="24"/>
          <w:szCs w:val="24"/>
          <w:highlight w:val="none"/>
        </w:rPr>
        <w:t>（即次日零点）。</w:t>
      </w:r>
    </w:p>
    <w:p>
      <w:pPr>
        <w:pStyle w:val="13"/>
        <w:tabs>
          <w:tab w:val="left" w:pos="900"/>
          <w:tab w:val="left" w:pos="2160"/>
        </w:tabs>
        <w:spacing w:before="249" w:beforeLines="80" w:line="360" w:lineRule="auto"/>
        <w:ind w:left="1576" w:leftChars="750"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1.29  </w:t>
      </w:r>
      <w:r>
        <w:rPr>
          <w:rFonts w:hint="eastAsia" w:ascii="仿宋" w:hAnsi="仿宋" w:eastAsia="仿宋" w:cs="仿宋"/>
          <w:b/>
          <w:bCs/>
          <w:color w:val="auto"/>
          <w:sz w:val="24"/>
          <w:szCs w:val="24"/>
          <w:highlight w:val="none"/>
        </w:rPr>
        <w:t>中标价格：</w:t>
      </w:r>
      <w:r>
        <w:rPr>
          <w:rFonts w:hint="eastAsia" w:ascii="仿宋" w:hAnsi="仿宋" w:eastAsia="仿宋" w:cs="仿宋"/>
          <w:color w:val="auto"/>
          <w:sz w:val="24"/>
          <w:szCs w:val="24"/>
          <w:highlight w:val="none"/>
        </w:rPr>
        <w:t>指中标通知书中列明的，发包人接受中标人（承包人）实施、完成并保修合同工程的价格。</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1.30  </w:t>
      </w:r>
      <w:r>
        <w:rPr>
          <w:rFonts w:hint="eastAsia" w:ascii="仿宋" w:hAnsi="仿宋" w:eastAsia="仿宋" w:cs="仿宋"/>
          <w:b/>
          <w:bCs/>
          <w:color w:val="auto"/>
          <w:sz w:val="24"/>
          <w:szCs w:val="24"/>
          <w:highlight w:val="none"/>
        </w:rPr>
        <w:t>合同价款：</w:t>
      </w:r>
      <w:r>
        <w:rPr>
          <w:rFonts w:hint="eastAsia" w:ascii="仿宋" w:hAnsi="仿宋" w:eastAsia="仿宋" w:cs="仿宋"/>
          <w:color w:val="auto"/>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款规定合同价款调整事件确定。</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1.31  </w:t>
      </w:r>
      <w:r>
        <w:rPr>
          <w:rFonts w:hint="eastAsia" w:ascii="仿宋" w:hAnsi="仿宋" w:eastAsia="仿宋" w:cs="仿宋"/>
          <w:b/>
          <w:bCs/>
          <w:color w:val="auto"/>
          <w:sz w:val="24"/>
          <w:szCs w:val="24"/>
          <w:highlight w:val="none"/>
        </w:rPr>
        <w:t>费用：</w:t>
      </w:r>
      <w:r>
        <w:rPr>
          <w:rFonts w:hint="eastAsia" w:ascii="仿宋" w:hAnsi="仿宋" w:eastAsia="仿宋" w:cs="仿宋"/>
          <w:color w:val="auto"/>
          <w:sz w:val="24"/>
          <w:szCs w:val="24"/>
          <w:highlight w:val="none"/>
        </w:rPr>
        <w:t>指为履行合同所发生或将发生的所有合理开支，包括管理费和其他合理分摊的开支，但不包括利润。</w:t>
      </w:r>
    </w:p>
    <w:p>
      <w:pPr>
        <w:pStyle w:val="13"/>
        <w:tabs>
          <w:tab w:val="left" w:pos="1980"/>
          <w:tab w:val="left" w:pos="2160"/>
        </w:tabs>
        <w:spacing w:before="312" w:beforeLines="10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1.32  </w:t>
      </w:r>
      <w:r>
        <w:rPr>
          <w:rFonts w:hint="eastAsia" w:ascii="仿宋" w:hAnsi="仿宋" w:eastAsia="仿宋" w:cs="仿宋"/>
          <w:b/>
          <w:bCs/>
          <w:color w:val="auto"/>
          <w:sz w:val="24"/>
          <w:szCs w:val="24"/>
          <w:highlight w:val="none"/>
        </w:rPr>
        <w:t>分部分项工程费：</w:t>
      </w:r>
      <w:r>
        <w:rPr>
          <w:rFonts w:hint="eastAsia" w:ascii="仿宋" w:hAnsi="仿宋" w:eastAsia="仿宋" w:cs="仿宋"/>
          <w:color w:val="auto"/>
          <w:sz w:val="24"/>
          <w:szCs w:val="24"/>
          <w:highlight w:val="none"/>
        </w:rPr>
        <w:t>指为实施、完成并保修永久工程，发生于工程实体项目所需的人工费、材料费、机械使用费、管理费、利润和风险费用。</w:t>
      </w:r>
    </w:p>
    <w:p>
      <w:pPr>
        <w:pStyle w:val="13"/>
        <w:tabs>
          <w:tab w:val="left" w:pos="2160"/>
        </w:tabs>
        <w:spacing w:before="312" w:beforeLines="100" w:line="360" w:lineRule="auto"/>
        <w:ind w:left="1618" w:leftChars="77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1.33  </w:t>
      </w:r>
      <w:r>
        <w:rPr>
          <w:rFonts w:hint="eastAsia" w:ascii="仿宋" w:hAnsi="仿宋" w:eastAsia="仿宋" w:cs="仿宋"/>
          <w:b/>
          <w:bCs/>
          <w:color w:val="auto"/>
          <w:sz w:val="24"/>
          <w:szCs w:val="24"/>
          <w:highlight w:val="none"/>
        </w:rPr>
        <w:t>措施项目费：</w:t>
      </w:r>
      <w:r>
        <w:rPr>
          <w:rFonts w:hint="eastAsia" w:ascii="仿宋" w:hAnsi="仿宋" w:eastAsia="仿宋" w:cs="仿宋"/>
          <w:color w:val="auto"/>
          <w:sz w:val="24"/>
          <w:szCs w:val="24"/>
          <w:highlight w:val="none"/>
        </w:rPr>
        <w:t>指为实施、完成并保修合同工程，发生于合同工程施工准备和施工过程中的技术、生活、安全、环境保护等方面的非工程实体项目费用。</w:t>
      </w:r>
    </w:p>
    <w:p>
      <w:pPr>
        <w:pStyle w:val="13"/>
        <w:tabs>
          <w:tab w:val="left" w:pos="2160"/>
        </w:tabs>
        <w:spacing w:before="312" w:beforeLines="10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1.34  </w:t>
      </w:r>
      <w:r>
        <w:rPr>
          <w:rFonts w:hint="eastAsia" w:ascii="仿宋" w:hAnsi="仿宋" w:eastAsia="仿宋" w:cs="仿宋"/>
          <w:b/>
          <w:bCs/>
          <w:color w:val="auto"/>
          <w:sz w:val="24"/>
          <w:szCs w:val="24"/>
          <w:highlight w:val="none"/>
        </w:rPr>
        <w:t>工程款：</w:t>
      </w:r>
      <w:r>
        <w:rPr>
          <w:rFonts w:hint="eastAsia" w:ascii="仿宋" w:hAnsi="仿宋" w:eastAsia="仿宋" w:cs="仿宋"/>
          <w:color w:val="auto"/>
          <w:sz w:val="24"/>
          <w:szCs w:val="24"/>
          <w:highlight w:val="none"/>
        </w:rPr>
        <w:t>指为实施、完成并保修合同工程，发包人支付或应当支付给承包人的各种价款，包括进度款、结算款等。</w:t>
      </w:r>
    </w:p>
    <w:p>
      <w:pPr>
        <w:pStyle w:val="13"/>
        <w:tabs>
          <w:tab w:val="left" w:pos="2160"/>
        </w:tabs>
        <w:spacing w:before="312" w:beforeLines="100" w:line="360" w:lineRule="auto"/>
        <w:ind w:left="1576" w:leftChars="75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1.35  </w:t>
      </w:r>
      <w:r>
        <w:rPr>
          <w:rFonts w:hint="eastAsia" w:ascii="仿宋" w:hAnsi="仿宋" w:eastAsia="仿宋" w:cs="仿宋"/>
          <w:b/>
          <w:bCs/>
          <w:color w:val="auto"/>
          <w:sz w:val="24"/>
          <w:szCs w:val="24"/>
          <w:highlight w:val="none"/>
        </w:rPr>
        <w:t>暂列金额：</w:t>
      </w:r>
      <w:r>
        <w:rPr>
          <w:rFonts w:hint="eastAsia" w:ascii="仿宋" w:hAnsi="仿宋" w:eastAsia="仿宋" w:cs="仿宋"/>
          <w:color w:val="auto"/>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pPr>
        <w:pStyle w:val="13"/>
        <w:tabs>
          <w:tab w:val="left" w:pos="2160"/>
        </w:tabs>
        <w:spacing w:before="312" w:beforeLines="100" w:line="360" w:lineRule="auto"/>
        <w:ind w:left="1576" w:leftChars="75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1.36  </w:t>
      </w:r>
      <w:r>
        <w:rPr>
          <w:rFonts w:hint="eastAsia" w:ascii="仿宋" w:hAnsi="仿宋" w:eastAsia="仿宋" w:cs="仿宋"/>
          <w:b/>
          <w:bCs/>
          <w:color w:val="auto"/>
          <w:sz w:val="24"/>
          <w:szCs w:val="24"/>
          <w:highlight w:val="none"/>
        </w:rPr>
        <w:t>暂估价：</w:t>
      </w:r>
      <w:r>
        <w:rPr>
          <w:rFonts w:hint="eastAsia" w:ascii="仿宋" w:hAnsi="仿宋" w:eastAsia="仿宋" w:cs="仿宋"/>
          <w:color w:val="auto"/>
          <w:sz w:val="24"/>
          <w:szCs w:val="24"/>
          <w:highlight w:val="none"/>
        </w:rPr>
        <w:t>指发包人在工程量清单中提供的用于支付必然发生但暂时不能确定价格的材料、工程设备以及专业工程的金额。</w:t>
      </w:r>
    </w:p>
    <w:p>
      <w:pPr>
        <w:pStyle w:val="13"/>
        <w:tabs>
          <w:tab w:val="left" w:pos="2160"/>
        </w:tabs>
        <w:spacing w:before="312" w:beforeLines="100" w:line="360" w:lineRule="auto"/>
        <w:ind w:left="1620" w:leftChars="771"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1.37  </w:t>
      </w:r>
      <w:r>
        <w:rPr>
          <w:rFonts w:hint="eastAsia" w:ascii="仿宋" w:hAnsi="仿宋" w:eastAsia="仿宋" w:cs="仿宋"/>
          <w:b/>
          <w:bCs/>
          <w:color w:val="auto"/>
          <w:sz w:val="24"/>
          <w:szCs w:val="24"/>
          <w:highlight w:val="none"/>
        </w:rPr>
        <w:t>计日工：</w:t>
      </w:r>
      <w:r>
        <w:rPr>
          <w:rFonts w:hint="eastAsia" w:ascii="仿宋" w:hAnsi="仿宋" w:eastAsia="仿宋" w:cs="仿宋"/>
          <w:color w:val="auto"/>
          <w:sz w:val="24"/>
          <w:szCs w:val="24"/>
          <w:highlight w:val="none"/>
        </w:rPr>
        <w:t>指在施工过程中，承包人完成发包人提出的施工设计图纸以外的零星项目或工作，按照合同中约定计价付款的一种计价方式。</w:t>
      </w:r>
    </w:p>
    <w:p>
      <w:pPr>
        <w:pStyle w:val="13"/>
        <w:tabs>
          <w:tab w:val="left" w:pos="2160"/>
        </w:tabs>
        <w:spacing w:before="312" w:beforeLines="100" w:line="360" w:lineRule="auto"/>
        <w:ind w:left="1576" w:leftChars="75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1.38  </w:t>
      </w:r>
      <w:r>
        <w:rPr>
          <w:rFonts w:hint="eastAsia" w:ascii="仿宋" w:hAnsi="仿宋" w:eastAsia="仿宋" w:cs="仿宋"/>
          <w:b/>
          <w:bCs/>
          <w:color w:val="auto"/>
          <w:sz w:val="24"/>
          <w:szCs w:val="24"/>
          <w:highlight w:val="none"/>
        </w:rPr>
        <w:t>质量保证金：</w:t>
      </w:r>
      <w:r>
        <w:rPr>
          <w:rFonts w:hint="eastAsia" w:ascii="仿宋" w:hAnsi="仿宋" w:eastAsia="仿宋" w:cs="仿宋"/>
          <w:color w:val="auto"/>
          <w:sz w:val="24"/>
          <w:szCs w:val="24"/>
          <w:highlight w:val="none"/>
        </w:rPr>
        <w:t>指按照第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条约定用于保证在缺陷责任期内履行缺陷修复义务的金额。</w:t>
      </w:r>
    </w:p>
    <w:p>
      <w:pPr>
        <w:pStyle w:val="13"/>
        <w:tabs>
          <w:tab w:val="left" w:pos="2160"/>
        </w:tabs>
        <w:spacing w:before="312" w:beforeLines="10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1.39  </w:t>
      </w:r>
      <w:r>
        <w:rPr>
          <w:rFonts w:hint="eastAsia" w:ascii="仿宋" w:hAnsi="仿宋" w:eastAsia="仿宋" w:cs="仿宋"/>
          <w:b/>
          <w:bCs/>
          <w:color w:val="auto"/>
          <w:sz w:val="24"/>
          <w:szCs w:val="24"/>
          <w:highlight w:val="none"/>
        </w:rPr>
        <w:t>合同工程：</w:t>
      </w:r>
      <w:r>
        <w:rPr>
          <w:rFonts w:hint="eastAsia" w:ascii="仿宋" w:hAnsi="仿宋" w:eastAsia="仿宋" w:cs="仿宋"/>
          <w:color w:val="auto"/>
          <w:sz w:val="24"/>
          <w:szCs w:val="24"/>
          <w:highlight w:val="none"/>
        </w:rPr>
        <w:t>指合同双方当事人在协议书中约定的承包范围内的工程，包括永久工程和（或）临时工程。</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1.40  </w:t>
      </w:r>
      <w:r>
        <w:rPr>
          <w:rFonts w:hint="eastAsia" w:ascii="仿宋" w:hAnsi="仿宋" w:eastAsia="仿宋" w:cs="仿宋"/>
          <w:b/>
          <w:bCs/>
          <w:color w:val="auto"/>
          <w:sz w:val="24"/>
          <w:szCs w:val="24"/>
          <w:highlight w:val="none"/>
        </w:rPr>
        <w:t>永久工程：</w:t>
      </w:r>
      <w:r>
        <w:rPr>
          <w:rFonts w:hint="eastAsia" w:ascii="仿宋" w:hAnsi="仿宋" w:eastAsia="仿宋" w:cs="仿宋"/>
          <w:color w:val="auto"/>
          <w:sz w:val="24"/>
          <w:szCs w:val="24"/>
          <w:highlight w:val="none"/>
        </w:rPr>
        <w:t>指按照合同约定承包人应当实施、完成并移交给发包人的永久性工程，包括工程设备。</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1.41  </w:t>
      </w:r>
      <w:r>
        <w:rPr>
          <w:rFonts w:hint="eastAsia" w:ascii="仿宋" w:hAnsi="仿宋" w:eastAsia="仿宋" w:cs="仿宋"/>
          <w:b/>
          <w:bCs/>
          <w:color w:val="auto"/>
          <w:sz w:val="24"/>
          <w:szCs w:val="24"/>
          <w:highlight w:val="none"/>
        </w:rPr>
        <w:t>临时工程：</w:t>
      </w:r>
      <w:r>
        <w:rPr>
          <w:rFonts w:hint="eastAsia" w:ascii="仿宋" w:hAnsi="仿宋" w:eastAsia="仿宋" w:cs="仿宋"/>
          <w:color w:val="auto"/>
          <w:sz w:val="24"/>
          <w:szCs w:val="24"/>
          <w:highlight w:val="none"/>
        </w:rPr>
        <w:t>指实施、完成并保修永久工程过程中所需要的各类临时性工程，不包括施工设备。</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1.42  </w:t>
      </w:r>
      <w:r>
        <w:rPr>
          <w:rFonts w:hint="eastAsia" w:ascii="仿宋" w:hAnsi="仿宋" w:eastAsia="仿宋" w:cs="仿宋"/>
          <w:b/>
          <w:bCs/>
          <w:color w:val="auto"/>
          <w:sz w:val="24"/>
          <w:szCs w:val="24"/>
          <w:highlight w:val="none"/>
        </w:rPr>
        <w:t>分包工程：</w:t>
      </w:r>
      <w:r>
        <w:rPr>
          <w:rFonts w:hint="eastAsia" w:ascii="仿宋" w:hAnsi="仿宋" w:eastAsia="仿宋" w:cs="仿宋"/>
          <w:color w:val="auto"/>
          <w:sz w:val="24"/>
          <w:szCs w:val="24"/>
          <w:highlight w:val="none"/>
        </w:rPr>
        <w:t>指合同工程中，由具有相应分包资质的分包人实施、完成的非主体结构（除钢结构外）的专业性工程。</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1.43  </w:t>
      </w:r>
      <w:r>
        <w:rPr>
          <w:rFonts w:hint="eastAsia" w:ascii="仿宋" w:hAnsi="仿宋" w:eastAsia="仿宋" w:cs="仿宋"/>
          <w:b/>
          <w:bCs/>
          <w:color w:val="auto"/>
          <w:sz w:val="24"/>
          <w:szCs w:val="24"/>
          <w:highlight w:val="none"/>
        </w:rPr>
        <w:t>单位工程：</w:t>
      </w:r>
      <w:r>
        <w:rPr>
          <w:rFonts w:hint="eastAsia" w:ascii="仿宋" w:hAnsi="仿宋" w:eastAsia="仿宋" w:cs="仿宋"/>
          <w:color w:val="auto"/>
          <w:sz w:val="24"/>
          <w:szCs w:val="24"/>
          <w:highlight w:val="none"/>
        </w:rPr>
        <w:t>指具有独立的设计文件，竣工后可以独立发挥生产能力和效益的永久工程。组成合同工程的单位工程名称、内容和范围等应在专用条款中明确。</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1.44  </w:t>
      </w:r>
      <w:r>
        <w:rPr>
          <w:rFonts w:hint="eastAsia" w:ascii="仿宋" w:hAnsi="仿宋" w:eastAsia="仿宋" w:cs="仿宋"/>
          <w:b/>
          <w:bCs/>
          <w:color w:val="auto"/>
          <w:sz w:val="24"/>
          <w:szCs w:val="24"/>
          <w:highlight w:val="none"/>
        </w:rPr>
        <w:t>施工场地（或工地</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、现场）：</w:t>
      </w:r>
      <w:r>
        <w:rPr>
          <w:rFonts w:hint="eastAsia" w:ascii="仿宋" w:hAnsi="仿宋" w:eastAsia="仿宋" w:cs="仿宋"/>
          <w:color w:val="auto"/>
          <w:sz w:val="24"/>
          <w:szCs w:val="24"/>
          <w:highlight w:val="none"/>
        </w:rPr>
        <w:t>指由发包人提供的用于合同工程施工的场所，以及发包人在合同中具体指定的供施工使用的其他任何场所。</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1.45  </w:t>
      </w:r>
      <w:r>
        <w:rPr>
          <w:rFonts w:hint="eastAsia" w:ascii="仿宋" w:hAnsi="仿宋" w:eastAsia="仿宋" w:cs="仿宋"/>
          <w:b/>
          <w:bCs/>
          <w:color w:val="auto"/>
          <w:sz w:val="24"/>
          <w:szCs w:val="24"/>
          <w:highlight w:val="none"/>
        </w:rPr>
        <w:t>工程设备：</w:t>
      </w:r>
      <w:r>
        <w:rPr>
          <w:rFonts w:hint="eastAsia" w:ascii="仿宋" w:hAnsi="仿宋" w:eastAsia="仿宋" w:cs="仿宋"/>
          <w:color w:val="auto"/>
          <w:sz w:val="24"/>
          <w:szCs w:val="24"/>
          <w:highlight w:val="none"/>
        </w:rPr>
        <w:t>指构成或计划构成永久工程一部分的机电设备、金属结构设备、仪器装置及其他类似的设备和装置。</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1.46  </w:t>
      </w:r>
      <w:r>
        <w:rPr>
          <w:rFonts w:hint="eastAsia" w:ascii="仿宋" w:hAnsi="仿宋" w:eastAsia="仿宋" w:cs="仿宋"/>
          <w:b/>
          <w:bCs/>
          <w:color w:val="auto"/>
          <w:sz w:val="24"/>
          <w:szCs w:val="24"/>
          <w:highlight w:val="none"/>
        </w:rPr>
        <w:t>施工设备：</w:t>
      </w:r>
      <w:r>
        <w:rPr>
          <w:rFonts w:hint="eastAsia" w:ascii="仿宋" w:hAnsi="仿宋" w:eastAsia="仿宋" w:cs="仿宋"/>
          <w:color w:val="auto"/>
          <w:sz w:val="24"/>
          <w:szCs w:val="24"/>
          <w:highlight w:val="none"/>
        </w:rPr>
        <w:t>指承包人临时带入现场用于合同工程施工的仪器、机械、运输工具或其他物品，但不包括用于或安装在合同工程中的工程设备。</w:t>
      </w:r>
    </w:p>
    <w:p>
      <w:pPr>
        <w:pStyle w:val="13"/>
        <w:tabs>
          <w:tab w:val="left" w:pos="2160"/>
        </w:tabs>
        <w:spacing w:before="249" w:beforeLines="80" w:line="360" w:lineRule="auto"/>
        <w:ind w:left="1576" w:leftChars="750" w:hanging="1"/>
        <w:jc w:val="left"/>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1.47  </w:t>
      </w:r>
      <w:r>
        <w:rPr>
          <w:rFonts w:hint="eastAsia" w:ascii="仿宋" w:hAnsi="仿宋" w:eastAsia="仿宋" w:cs="仿宋"/>
          <w:b/>
          <w:bCs/>
          <w:color w:val="auto"/>
          <w:sz w:val="24"/>
          <w:szCs w:val="24"/>
          <w:highlight w:val="none"/>
        </w:rPr>
        <w:t>工程变更：</w:t>
      </w:r>
      <w:r>
        <w:rPr>
          <w:rFonts w:hint="eastAsia" w:ascii="仿宋" w:hAnsi="仿宋" w:eastAsia="仿宋" w:cs="仿宋"/>
          <w:color w:val="auto"/>
          <w:sz w:val="24"/>
          <w:szCs w:val="24"/>
          <w:highlight w:val="none"/>
        </w:rPr>
        <w:t>指经发包人批准的，由监理工程师根据第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条规定发出指令的工程任何变更。</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1.48  </w:t>
      </w:r>
      <w:r>
        <w:rPr>
          <w:rFonts w:hint="eastAsia" w:ascii="仿宋" w:hAnsi="仿宋" w:eastAsia="仿宋" w:cs="仿宋"/>
          <w:b/>
          <w:bCs/>
          <w:color w:val="auto"/>
          <w:sz w:val="24"/>
          <w:szCs w:val="24"/>
          <w:highlight w:val="none"/>
        </w:rPr>
        <w:t>索赔：</w:t>
      </w:r>
      <w:r>
        <w:rPr>
          <w:rFonts w:hint="eastAsia" w:ascii="仿宋" w:hAnsi="仿宋" w:eastAsia="仿宋" w:cs="仿宋"/>
          <w:color w:val="auto"/>
          <w:sz w:val="24"/>
          <w:szCs w:val="24"/>
          <w:highlight w:val="none"/>
        </w:rPr>
        <w:t>指合同履行期间，对于非自己的过错而应由对方当事人承担责任的情况所造成的损失，并根据第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条规定向对方当事人提出费用补偿和（或）工期顺延的要求。</w:t>
      </w:r>
    </w:p>
    <w:p>
      <w:pPr>
        <w:pStyle w:val="13"/>
        <w:tabs>
          <w:tab w:val="left" w:pos="2160"/>
        </w:tabs>
        <w:spacing w:before="249" w:beforeLines="80" w:line="360" w:lineRule="auto"/>
        <w:ind w:left="1575" w:leftChars="750" w:firstLine="104" w:firstLineChars="43"/>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1.49  </w:t>
      </w:r>
      <w:r>
        <w:rPr>
          <w:rFonts w:hint="eastAsia" w:ascii="仿宋" w:hAnsi="仿宋" w:eastAsia="仿宋" w:cs="仿宋"/>
          <w:b/>
          <w:bCs/>
          <w:color w:val="auto"/>
          <w:sz w:val="24"/>
          <w:szCs w:val="24"/>
          <w:highlight w:val="none"/>
        </w:rPr>
        <w:t>现场签证：</w:t>
      </w:r>
      <w:r>
        <w:rPr>
          <w:rFonts w:hint="eastAsia" w:ascii="仿宋" w:hAnsi="仿宋" w:eastAsia="仿宋" w:cs="仿宋"/>
          <w:color w:val="auto"/>
          <w:sz w:val="24"/>
          <w:szCs w:val="24"/>
          <w:highlight w:val="none"/>
        </w:rPr>
        <w:t>指合同双方当事人按照第</w:t>
      </w:r>
      <w:r>
        <w:rPr>
          <w:rFonts w:ascii="仿宋" w:hAnsi="仿宋" w:eastAsia="仿宋" w:cs="仿宋"/>
          <w:color w:val="auto"/>
          <w:sz w:val="24"/>
          <w:szCs w:val="24"/>
          <w:highlight w:val="none"/>
        </w:rPr>
        <w:t>14.2</w:t>
      </w:r>
      <w:r>
        <w:rPr>
          <w:rFonts w:hint="eastAsia" w:ascii="仿宋" w:hAnsi="仿宋" w:eastAsia="仿宋" w:cs="仿宋"/>
          <w:color w:val="auto"/>
          <w:sz w:val="24"/>
          <w:szCs w:val="24"/>
          <w:highlight w:val="none"/>
        </w:rPr>
        <w:t>款约定的指定人选根据第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条规定就施工过程中涉及的责任事件所作的签认证明。</w:t>
      </w:r>
    </w:p>
    <w:p>
      <w:pPr>
        <w:pStyle w:val="13"/>
        <w:tabs>
          <w:tab w:val="left" w:pos="2160"/>
        </w:tabs>
        <w:spacing w:before="249" w:beforeLines="80" w:line="360" w:lineRule="auto"/>
        <w:ind w:firstLine="1581" w:firstLineChars="656"/>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1.50  </w:t>
      </w:r>
      <w:r>
        <w:rPr>
          <w:rFonts w:hint="eastAsia" w:ascii="仿宋" w:hAnsi="仿宋" w:eastAsia="仿宋" w:cs="仿宋"/>
          <w:b/>
          <w:bCs/>
          <w:color w:val="auto"/>
          <w:sz w:val="24"/>
          <w:szCs w:val="24"/>
          <w:highlight w:val="none"/>
        </w:rPr>
        <w:t>不可抗力：</w:t>
      </w:r>
      <w:r>
        <w:rPr>
          <w:rFonts w:hint="eastAsia" w:ascii="仿宋" w:hAnsi="仿宋" w:eastAsia="仿宋" w:cs="仿宋"/>
          <w:color w:val="auto"/>
          <w:sz w:val="24"/>
          <w:szCs w:val="24"/>
          <w:highlight w:val="none"/>
        </w:rPr>
        <w:t>指不能预见、不能避免并不能克服的客观情况。</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1.51  </w:t>
      </w:r>
      <w:r>
        <w:rPr>
          <w:rFonts w:hint="eastAsia" w:ascii="仿宋" w:hAnsi="仿宋" w:eastAsia="仿宋" w:cs="仿宋"/>
          <w:b/>
          <w:bCs/>
          <w:color w:val="auto"/>
          <w:sz w:val="24"/>
          <w:szCs w:val="24"/>
          <w:highlight w:val="none"/>
        </w:rPr>
        <w:t>竣工验收：</w:t>
      </w:r>
      <w:r>
        <w:rPr>
          <w:rFonts w:hint="eastAsia" w:ascii="仿宋" w:hAnsi="仿宋" w:eastAsia="仿宋" w:cs="仿宋"/>
          <w:color w:val="auto"/>
          <w:sz w:val="24"/>
          <w:szCs w:val="24"/>
          <w:highlight w:val="none"/>
        </w:rPr>
        <w:t>指承包人完成了全部合同工作后，发包人按照合同要求进行的验收。</w:t>
      </w:r>
    </w:p>
    <w:p>
      <w:pPr>
        <w:pStyle w:val="13"/>
        <w:tabs>
          <w:tab w:val="left" w:pos="2160"/>
        </w:tabs>
        <w:spacing w:before="249" w:beforeLines="80" w:line="360" w:lineRule="auto"/>
        <w:ind w:left="1576"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1.52  </w:t>
      </w:r>
      <w:r>
        <w:rPr>
          <w:rFonts w:hint="eastAsia" w:ascii="仿宋" w:hAnsi="仿宋" w:eastAsia="仿宋" w:cs="仿宋"/>
          <w:b/>
          <w:bCs/>
          <w:color w:val="auto"/>
          <w:sz w:val="24"/>
          <w:szCs w:val="24"/>
          <w:highlight w:val="none"/>
        </w:rPr>
        <w:t>国家验收：</w:t>
      </w:r>
      <w:r>
        <w:rPr>
          <w:rFonts w:hint="eastAsia" w:ascii="仿宋" w:hAnsi="仿宋" w:eastAsia="仿宋" w:cs="仿宋"/>
          <w:color w:val="auto"/>
          <w:sz w:val="24"/>
          <w:szCs w:val="24"/>
          <w:highlight w:val="none"/>
        </w:rPr>
        <w:t>指政府部门根据法律和政策等有关规定，针对发包人全面组织实施的整个工程正式交付投运前的验收。</w:t>
      </w:r>
    </w:p>
    <w:p>
      <w:pPr>
        <w:pStyle w:val="13"/>
        <w:tabs>
          <w:tab w:val="left" w:pos="2160"/>
        </w:tabs>
        <w:spacing w:before="249" w:beforeLines="80" w:line="360" w:lineRule="auto"/>
        <w:ind w:left="1620" w:leftChars="771" w:hanging="1"/>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1.53  </w:t>
      </w:r>
      <w:r>
        <w:rPr>
          <w:rFonts w:hint="eastAsia" w:ascii="仿宋" w:hAnsi="仿宋" w:eastAsia="仿宋" w:cs="仿宋"/>
          <w:b/>
          <w:bCs/>
          <w:color w:val="auto"/>
          <w:sz w:val="24"/>
          <w:szCs w:val="24"/>
          <w:highlight w:val="none"/>
        </w:rPr>
        <w:t>书面形式：</w:t>
      </w:r>
      <w:r>
        <w:rPr>
          <w:rFonts w:hint="eastAsia" w:ascii="仿宋" w:hAnsi="仿宋" w:eastAsia="仿宋" w:cs="仿宋"/>
          <w:color w:val="auto"/>
          <w:sz w:val="24"/>
          <w:szCs w:val="24"/>
          <w:highlight w:val="none"/>
        </w:rPr>
        <w:t>指合同文件、信函、电报、电传、传真、电子数据交换文件、电子邮件等可以有形地表现所载内容的形式。合同双方当事人可在专用条款中注明所采用的书面形式。</w:t>
      </w:r>
    </w:p>
    <w:p>
      <w:pPr>
        <w:pStyle w:val="13"/>
        <w:tabs>
          <w:tab w:val="left" w:pos="2160"/>
        </w:tabs>
        <w:spacing w:before="249" w:beforeLines="80" w:line="360" w:lineRule="auto"/>
        <w:ind w:firstLine="1581" w:firstLineChars="656"/>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1.54  </w:t>
      </w:r>
      <w:r>
        <w:rPr>
          <w:rFonts w:hint="eastAsia" w:ascii="仿宋" w:hAnsi="仿宋" w:eastAsia="仿宋" w:cs="仿宋"/>
          <w:b/>
          <w:bCs/>
          <w:color w:val="auto"/>
          <w:sz w:val="24"/>
          <w:szCs w:val="24"/>
          <w:highlight w:val="none"/>
        </w:rPr>
        <w:t>国家：</w:t>
      </w:r>
      <w:r>
        <w:rPr>
          <w:rFonts w:hint="eastAsia" w:ascii="仿宋" w:hAnsi="仿宋" w:eastAsia="仿宋" w:cs="仿宋"/>
          <w:color w:val="auto"/>
          <w:sz w:val="24"/>
          <w:szCs w:val="24"/>
          <w:highlight w:val="none"/>
        </w:rPr>
        <w:t>指中华人民共和国。</w:t>
      </w:r>
    </w:p>
    <w:p>
      <w:pPr>
        <w:tabs>
          <w:tab w:val="left" w:pos="162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pStyle w:val="5"/>
        <w:tabs>
          <w:tab w:val="left" w:pos="420"/>
          <w:tab w:val="left" w:pos="1287"/>
        </w:tabs>
        <w:ind w:left="720" w:hanging="720"/>
        <w:rPr>
          <w:rFonts w:ascii="仿宋" w:hAnsi="仿宋" w:eastAsia="仿宋"/>
          <w:bCs w:val="0"/>
          <w:color w:val="auto"/>
          <w:sz w:val="24"/>
          <w:szCs w:val="24"/>
          <w:highlight w:val="none"/>
        </w:rPr>
      </w:pPr>
      <w:bookmarkStart w:id="61" w:name="_Toc31167"/>
      <w:bookmarkStart w:id="62" w:name="_Toc15846"/>
      <w:bookmarkStart w:id="63" w:name="_Toc10624821"/>
      <w:bookmarkStart w:id="64" w:name="_Toc17834"/>
      <w:bookmarkStart w:id="65" w:name="_Toc21216"/>
      <w:bookmarkStart w:id="66" w:name="_Toc469383981"/>
      <w:bookmarkStart w:id="67" w:name="_Toc10909"/>
      <w:r>
        <w:rPr>
          <w:rFonts w:ascii="仿宋" w:hAnsi="仿宋" w:eastAsia="仿宋" w:cs="仿宋"/>
          <w:bCs w:val="0"/>
          <w:color w:val="auto"/>
          <w:sz w:val="24"/>
          <w:szCs w:val="24"/>
          <w:highlight w:val="none"/>
        </w:rPr>
        <w:t xml:space="preserve">2  </w:t>
      </w:r>
      <w:r>
        <w:rPr>
          <w:rFonts w:hint="eastAsia" w:ascii="仿宋" w:hAnsi="仿宋" w:eastAsia="仿宋" w:cs="仿宋"/>
          <w:bCs w:val="0"/>
          <w:color w:val="auto"/>
          <w:sz w:val="24"/>
          <w:szCs w:val="24"/>
          <w:highlight w:val="none"/>
        </w:rPr>
        <w:t>合同文件及解释</w:t>
      </w:r>
      <w:bookmarkEnd w:id="61"/>
      <w:bookmarkEnd w:id="62"/>
      <w:bookmarkEnd w:id="63"/>
      <w:bookmarkEnd w:id="64"/>
      <w:bookmarkEnd w:id="65"/>
      <w:bookmarkEnd w:id="66"/>
      <w:bookmarkEnd w:id="67"/>
    </w:p>
    <w:p>
      <w:pPr>
        <w:pStyle w:val="13"/>
        <w:tabs>
          <w:tab w:val="left" w:pos="1202"/>
        </w:tabs>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2.1                                                                                 </w:t>
      </w:r>
    </w:p>
    <w:p>
      <w:pPr>
        <w:pStyle w:val="13"/>
        <w:tabs>
          <w:tab w:val="left" w:pos="1202"/>
          <w:tab w:val="left" w:pos="1620"/>
          <w:tab w:val="left" w:pos="1800"/>
          <w:tab w:val="left" w:pos="2160"/>
        </w:tabs>
        <w:spacing w:line="360" w:lineRule="auto"/>
        <w:ind w:firstLine="1459" w:firstLineChars="695"/>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402" name="文本框 403"/>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wps:txbx>
                      <wps:bodyPr upright="1"/>
                    </wps:wsp>
                  </a:graphicData>
                </a:graphic>
              </wp:anchor>
            </w:drawing>
          </mc:Choice>
          <mc:Fallback>
            <w:pict>
              <v:shape id="文本框 403" o:spid="_x0000_s1026" o:spt="202" type="#_x0000_t202" style="position:absolute;left:0pt;margin-left:-9pt;margin-top:1.65pt;height:23.4pt;width:63pt;z-index:251661312;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WItr1QAAAAgBAAAPAAAAAAAAAAEAIAAAACIAAABkcnMvZG93bnJldi54&#10;bWxQSwECFAAUAAAACACHTuJAsOMxZsQBAAB6AwAADgAAAAAAAAABACAAAAAkAQAAZHJzL2Uyb0Rv&#10;Yy54bWxQSwUGAAAAAAYABgBZAQAAWgUAAAAA&#10;">
                <v:fill on="t" focussize="0,0"/>
                <v:stroke on="f"/>
                <v:imagedata o:title=""/>
                <o:lock v:ext="edit" aspectratio="f"/>
                <v:textbox>
                  <w:txbxContent>
                    <w:p>
                      <w:pPr>
                        <w:rPr>
                          <w:rFonts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本合同条款的标题和旁注不构成合同的组成部分。</w:t>
      </w:r>
    </w:p>
    <w:p>
      <w:pPr>
        <w:pStyle w:val="13"/>
        <w:tabs>
          <w:tab w:val="left" w:pos="1202"/>
        </w:tabs>
        <w:spacing w:line="360" w:lineRule="auto"/>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2.2  </w:t>
      </w:r>
      <w:r>
        <w:rPr>
          <w:rFonts w:ascii="仿宋" w:hAnsi="仿宋" w:eastAsia="仿宋" w:cs="仿宋"/>
          <w:b/>
          <w:bCs/>
          <w:color w:val="auto"/>
          <w:sz w:val="24"/>
          <w:szCs w:val="24"/>
          <w:highlight w:val="none"/>
          <w:u w:val="dotted"/>
        </w:rPr>
        <w:t xml:space="preserve">                                                                             </w:t>
      </w:r>
    </w:p>
    <w:p>
      <w:pPr>
        <w:pStyle w:val="13"/>
        <w:tabs>
          <w:tab w:val="left" w:pos="132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403" name="文本框 404"/>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upright="1"/>
                    </wps:wsp>
                  </a:graphicData>
                </a:graphic>
              </wp:anchor>
            </w:drawing>
          </mc:Choice>
          <mc:Fallback>
            <w:pict>
              <v:shape id="文本框 404" o:spid="_x0000_s1026" o:spt="202" type="#_x0000_t202" style="position:absolute;left:0pt;margin-left:-9pt;margin-top:5.3pt;height:41.5pt;width:72pt;z-index:251662336;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IQFTvW&#10;AAAACQEAAA8AAAAAAAAAAQAgAAAAIgAAAGRycy9kb3ducmV2LnhtbFBLAQIUABQAAAAIAIdO4kB7&#10;TLIEsAEAAFE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ascii="仿宋" w:hAnsi="仿宋" w:eastAsia="仿宋" w:cs="仿宋"/>
          <w:color w:val="auto"/>
          <w:sz w:val="24"/>
          <w:szCs w:val="24"/>
          <w:highlight w:val="none"/>
        </w:rPr>
        <w:t>下列组成本合同的文件是一个合同整体，彼此应当能相互解释，互为说明。当出现相互矛盾时，组成本合同文件的优先解释顺序如下：</w:t>
      </w:r>
    </w:p>
    <w:p>
      <w:pPr>
        <w:pStyle w:val="13"/>
        <w:numPr>
          <w:ilvl w:val="0"/>
          <w:numId w:val="9"/>
        </w:numPr>
        <w:tabs>
          <w:tab w:val="left" w:pos="1620"/>
        </w:tabs>
        <w:spacing w:line="360" w:lineRule="auto"/>
        <w:ind w:left="1620" w:firstLine="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履行本合同的相关补充协议（含工程洽商记录、会议纪要、工程变更、现场签证、等修正文件）；</w:t>
      </w:r>
    </w:p>
    <w:p>
      <w:pPr>
        <w:pStyle w:val="13"/>
        <w:numPr>
          <w:ilvl w:val="0"/>
          <w:numId w:val="9"/>
        </w:numPr>
        <w:tabs>
          <w:tab w:val="left" w:pos="1620"/>
        </w:tabs>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协议书；</w:t>
      </w:r>
    </w:p>
    <w:p>
      <w:pPr>
        <w:pStyle w:val="13"/>
        <w:numPr>
          <w:ilvl w:val="0"/>
          <w:numId w:val="9"/>
        </w:numPr>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中标通知书（适用于招标工程）；</w:t>
      </w:r>
    </w:p>
    <w:p>
      <w:pPr>
        <w:pStyle w:val="13"/>
        <w:numPr>
          <w:ilvl w:val="0"/>
          <w:numId w:val="9"/>
        </w:numPr>
        <w:tabs>
          <w:tab w:val="left" w:pos="1620"/>
        </w:tabs>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承包人投标文件及其附件（含评标期间的澄清文件和补充资料）（适用于招标工程）；确认的工程量清单报价单或施工图预算书（适用于非招标工程）；</w:t>
      </w:r>
    </w:p>
    <w:p>
      <w:pPr>
        <w:pStyle w:val="13"/>
        <w:numPr>
          <w:ilvl w:val="0"/>
          <w:numId w:val="9"/>
        </w:numPr>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w:t>
      </w:r>
    </w:p>
    <w:p>
      <w:pPr>
        <w:pStyle w:val="13"/>
        <w:numPr>
          <w:ilvl w:val="0"/>
          <w:numId w:val="9"/>
        </w:numPr>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通用条款；</w:t>
      </w:r>
    </w:p>
    <w:p>
      <w:pPr>
        <w:pStyle w:val="13"/>
        <w:numPr>
          <w:ilvl w:val="0"/>
          <w:numId w:val="9"/>
        </w:numPr>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标准、规范及有关技术文件；</w:t>
      </w:r>
    </w:p>
    <w:p>
      <w:pPr>
        <w:pStyle w:val="13"/>
        <w:numPr>
          <w:ilvl w:val="0"/>
          <w:numId w:val="9"/>
        </w:numPr>
        <w:spacing w:line="360" w:lineRule="auto"/>
        <w:ind w:left="1077"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施工设计图纸；</w:t>
      </w:r>
    </w:p>
    <w:p>
      <w:pPr>
        <w:pStyle w:val="13"/>
        <w:numPr>
          <w:ilvl w:val="0"/>
          <w:numId w:val="9"/>
        </w:numPr>
        <w:spacing w:line="360" w:lineRule="auto"/>
        <w:ind w:left="1077" w:firstLine="540"/>
        <w:rPr>
          <w:rFonts w:ascii="仿宋" w:hAnsi="仿宋" w:eastAsia="仿宋" w:cs="Times New Roman"/>
          <w:color w:val="auto"/>
          <w:sz w:val="24"/>
          <w:szCs w:val="24"/>
          <w:highlight w:val="none"/>
        </w:rPr>
      </w:pPr>
      <w:r>
        <w:rPr>
          <w:rFonts w:hint="eastAsia" w:ascii="仿宋" w:hAnsi="仿宋" w:eastAsia="仿宋" w:cs="Times New Roman"/>
          <w:color w:val="auto"/>
          <w:sz w:val="24"/>
          <w:szCs w:val="24"/>
          <w:highlight w:val="none"/>
        </w:rPr>
        <w:t>招标文件（包括补充、修改、澄清的文件、招标图纸、答疑纪要、工程量清单及总说明等）；</w:t>
      </w:r>
    </w:p>
    <w:p>
      <w:pPr>
        <w:pStyle w:val="13"/>
        <w:numPr>
          <w:ilvl w:val="0"/>
          <w:numId w:val="9"/>
        </w:numPr>
        <w:spacing w:line="360" w:lineRule="auto"/>
        <w:ind w:left="1077" w:firstLine="5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专用条款约定的其他文件。</w:t>
      </w:r>
    </w:p>
    <w:p>
      <w:pPr>
        <w:widowControl w:val="0"/>
        <w:ind w:left="1197" w:leftChars="570" w:firstLine="240" w:firstLineChars="100"/>
        <w:textAlignment w:val="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上述各项合同文件包括合同当事人就该项合同文件所作出的补充和修改，属于同一类内容的文件，应以最新签署的为准。</w:t>
      </w:r>
    </w:p>
    <w:p>
      <w:pPr>
        <w:pStyle w:val="13"/>
        <w:numPr>
          <w:ilvl w:val="255"/>
          <w:numId w:val="0"/>
        </w:numPr>
        <w:spacing w:line="360" w:lineRule="auto"/>
        <w:ind w:left="1617"/>
        <w:rPr>
          <w:rFonts w:ascii="仿宋" w:hAnsi="仿宋" w:eastAsia="仿宋" w:cs="Times New Roman"/>
          <w:color w:val="auto"/>
          <w:sz w:val="24"/>
          <w:szCs w:val="24"/>
          <w:highlight w:val="none"/>
        </w:rPr>
      </w:pPr>
    </w:p>
    <w:p>
      <w:pPr>
        <w:pStyle w:val="13"/>
        <w:tabs>
          <w:tab w:val="left" w:pos="540"/>
          <w:tab w:val="left" w:pos="1202"/>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  </w:t>
      </w:r>
      <w:r>
        <w:rPr>
          <w:rFonts w:ascii="仿宋" w:hAnsi="仿宋" w:eastAsia="仿宋" w:cs="仿宋"/>
          <w:b/>
          <w:bCs/>
          <w:color w:val="auto"/>
          <w:sz w:val="24"/>
          <w:szCs w:val="24"/>
          <w:highlight w:val="none"/>
          <w:u w:val="dotted"/>
        </w:rPr>
        <w:t xml:space="preserve">                                                                                                        </w:t>
      </w:r>
    </w:p>
    <w:p>
      <w:pPr>
        <w:pStyle w:val="13"/>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04" name="文本框 40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upright="1"/>
                    </wps:wsp>
                  </a:graphicData>
                </a:graphic>
              </wp:anchor>
            </w:drawing>
          </mc:Choice>
          <mc:Fallback>
            <w:pict>
              <v:shape id="文本框 405" o:spid="_x0000_s1026" o:spt="202" type="#_x0000_t202" style="position:absolute;left:0pt;margin-left:-9pt;margin-top:0pt;height:62.4pt;width:72pt;z-index:251663360;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k2VHNUA&#10;AAAIAQAADwAAAAAAAAABACAAAAAiAAAAZHJzL2Rvd25yZXYueG1sUEsBAhQAFAAAAAgAh07iQHq3&#10;Rlu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ascii="仿宋" w:hAnsi="仿宋" w:eastAsia="仿宋" w:cs="仿宋"/>
          <w:color w:val="auto"/>
          <w:sz w:val="24"/>
          <w:szCs w:val="24"/>
          <w:highlight w:val="none"/>
        </w:rPr>
        <w:t>当合同文件内容出现含糊不清或不一致时，由合同双方当事人在不影响合同工程正常实施的情况下协商解决。协商不成的，由监理工程师、造价工程师分别按照第</w:t>
      </w: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24.2</w:t>
      </w:r>
      <w:r>
        <w:rPr>
          <w:rFonts w:hint="eastAsia" w:ascii="仿宋" w:hAnsi="仿宋" w:eastAsia="仿宋" w:cs="仿宋"/>
          <w:color w:val="auto"/>
          <w:sz w:val="24"/>
          <w:szCs w:val="24"/>
          <w:highlight w:val="none"/>
        </w:rPr>
        <w:t>款规定职权作出解释。如合同任何一方当事人不同意监理工程师或造价工程师作出的解释，按照第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spacing w:line="360" w:lineRule="auto"/>
        <w:jc w:val="left"/>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bCs w:val="0"/>
          <w:color w:val="auto"/>
          <w:sz w:val="24"/>
          <w:szCs w:val="24"/>
          <w:highlight w:val="none"/>
        </w:rPr>
      </w:pPr>
      <w:bookmarkStart w:id="68" w:name="_Toc469383982"/>
      <w:bookmarkStart w:id="69" w:name="_Toc12723"/>
      <w:bookmarkStart w:id="70" w:name="_Toc10624822"/>
      <w:bookmarkStart w:id="71" w:name="_Toc5900"/>
      <w:bookmarkStart w:id="72" w:name="_Toc160"/>
      <w:bookmarkStart w:id="73" w:name="_Toc18548"/>
      <w:bookmarkStart w:id="74" w:name="_Toc22107"/>
      <w:r>
        <w:rPr>
          <w:rFonts w:ascii="仿宋" w:hAnsi="仿宋" w:eastAsia="仿宋" w:cs="仿宋"/>
          <w:bCs w:val="0"/>
          <w:color w:val="auto"/>
          <w:sz w:val="24"/>
          <w:szCs w:val="24"/>
          <w:highlight w:val="none"/>
        </w:rPr>
        <w:t xml:space="preserve">3  </w:t>
      </w:r>
      <w:r>
        <w:rPr>
          <w:rFonts w:hint="eastAsia" w:ascii="仿宋" w:hAnsi="仿宋" w:eastAsia="仿宋" w:cs="仿宋"/>
          <w:bCs w:val="0"/>
          <w:color w:val="auto"/>
          <w:sz w:val="24"/>
          <w:szCs w:val="24"/>
          <w:highlight w:val="none"/>
        </w:rPr>
        <w:t>阅读、理解与接受</w:t>
      </w:r>
      <w:bookmarkEnd w:id="68"/>
      <w:bookmarkEnd w:id="69"/>
      <w:bookmarkEnd w:id="70"/>
      <w:bookmarkEnd w:id="71"/>
      <w:bookmarkEnd w:id="72"/>
      <w:bookmarkEnd w:id="73"/>
      <w:bookmarkEnd w:id="74"/>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3.1 </w:t>
      </w:r>
    </w:p>
    <w:p>
      <w:pPr>
        <w:pStyle w:val="13"/>
        <w:tabs>
          <w:tab w:val="left" w:pos="540"/>
          <w:tab w:val="left" w:pos="1202"/>
        </w:tabs>
        <w:spacing w:line="360" w:lineRule="auto"/>
        <w:ind w:left="1440" w:leftChars="685" w:hanging="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05" name="文本框 40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upright="1"/>
                    </wps:wsp>
                  </a:graphicData>
                </a:graphic>
              </wp:anchor>
            </w:drawing>
          </mc:Choice>
          <mc:Fallback>
            <w:pict>
              <v:shape id="文本框 406" o:spid="_x0000_s1026" o:spt="202" type="#_x0000_t202" style="position:absolute;left:0pt;margin-left:-9pt;margin-top:0pt;height:62.4pt;width:72pt;z-index:251664384;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k2VHNUA&#10;AAAIAQAADwAAAAAAAAABACAAAAAiAAAAZHJzL2Rvd25yZXYueG1sUEsBAhQAFAAAAAgAh07iQEX5&#10;a02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rPr>
        <w:t>合同双方当事人应认真阅读和理解本合同的全部内容。除合同双方当事人同意修改外，本合同一旦订立，视为合同双方当事人已全面接受本合同的所有条款。</w:t>
      </w:r>
    </w:p>
    <w:p>
      <w:pPr>
        <w:pStyle w:val="13"/>
        <w:tabs>
          <w:tab w:val="left" w:pos="2160"/>
        </w:tabs>
        <w:spacing w:before="249" w:beforeLines="80" w:line="360" w:lineRule="auto"/>
        <w:ind w:left="1418" w:hanging="1417" w:hangingChars="675"/>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406" name="文本框 407"/>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upright="1"/>
                    </wps:wsp>
                  </a:graphicData>
                </a:graphic>
              </wp:anchor>
            </w:drawing>
          </mc:Choice>
          <mc:Fallback>
            <w:pict>
              <v:shape id="文本框 407" o:spid="_x0000_s1026" o:spt="202" type="#_x0000_t202" style="position:absolute;left:0pt;margin-left:-9pt;margin-top:31.2pt;height:62.4pt;width:75pt;z-index:251665408;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kX&#10;lQ7YAAAACgEAAA8AAAAAAAAAAQAgAAAAIgAAAGRycy9kb3ducmV2LnhtbFBLAQIUABQAAAAIAIdO&#10;4kCNa3qYsQEAAFEDAAAOAAAAAAAAAAEAIAAAACcBAABkcnMvZTJvRG9jLnhtbFBLBQYAAAAABgAG&#10;AFkBAABK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ascii="仿宋" w:hAnsi="仿宋" w:eastAsia="仿宋" w:cs="仿宋"/>
          <w:b/>
          <w:bCs/>
          <w:color w:val="auto"/>
          <w:sz w:val="24"/>
          <w:szCs w:val="24"/>
          <w:highlight w:val="none"/>
        </w:rPr>
        <w:t xml:space="preserve">3.2  </w:t>
      </w:r>
      <w:r>
        <w:rPr>
          <w:rFonts w:ascii="仿宋" w:hAnsi="仿宋" w:eastAsia="仿宋" w:cs="仿宋"/>
          <w:b/>
          <w:bCs/>
          <w:color w:val="auto"/>
          <w:sz w:val="24"/>
          <w:szCs w:val="24"/>
          <w:highlight w:val="none"/>
          <w:u w:val="dotted"/>
        </w:rPr>
        <w:t xml:space="preserve">                                                                               </w:t>
      </w:r>
    </w:p>
    <w:p>
      <w:pPr>
        <w:pStyle w:val="13"/>
        <w:tabs>
          <w:tab w:val="left" w:pos="2160"/>
        </w:tabs>
        <w:spacing w:before="249" w:beforeLines="80" w:line="360" w:lineRule="auto"/>
        <w:ind w:left="1618" w:leftChars="741" w:hanging="62" w:hangingChars="2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bCs w:val="0"/>
          <w:color w:val="auto"/>
          <w:sz w:val="24"/>
          <w:szCs w:val="24"/>
          <w:highlight w:val="none"/>
        </w:rPr>
      </w:pPr>
      <w:bookmarkStart w:id="75" w:name="_Toc10624823"/>
      <w:bookmarkStart w:id="76" w:name="_Toc16085"/>
      <w:bookmarkStart w:id="77" w:name="_Toc469383983"/>
      <w:bookmarkStart w:id="78" w:name="_Toc5658"/>
      <w:bookmarkStart w:id="79" w:name="_Toc28908"/>
      <w:bookmarkStart w:id="80" w:name="_Toc16339"/>
      <w:bookmarkStart w:id="81" w:name="_Toc14516"/>
      <w:r>
        <w:rPr>
          <w:rFonts w:ascii="仿宋" w:hAnsi="仿宋" w:eastAsia="仿宋" w:cs="仿宋"/>
          <w:bCs w:val="0"/>
          <w:color w:val="auto"/>
          <w:sz w:val="24"/>
          <w:szCs w:val="24"/>
          <w:highlight w:val="none"/>
        </w:rPr>
        <w:t xml:space="preserve">4  </w:t>
      </w:r>
      <w:r>
        <w:rPr>
          <w:rFonts w:hint="eastAsia" w:ascii="仿宋" w:hAnsi="仿宋" w:eastAsia="仿宋" w:cs="仿宋"/>
          <w:bCs w:val="0"/>
          <w:color w:val="auto"/>
          <w:sz w:val="24"/>
          <w:szCs w:val="24"/>
          <w:highlight w:val="none"/>
        </w:rPr>
        <w:t>语言及适用的法律、标准与规范</w:t>
      </w:r>
      <w:bookmarkEnd w:id="75"/>
      <w:bookmarkEnd w:id="76"/>
      <w:bookmarkEnd w:id="77"/>
      <w:bookmarkEnd w:id="78"/>
      <w:bookmarkEnd w:id="79"/>
      <w:bookmarkEnd w:id="80"/>
      <w:bookmarkEnd w:id="81"/>
    </w:p>
    <w:p>
      <w:pPr>
        <w:tabs>
          <w:tab w:val="left" w:pos="1320"/>
        </w:tabs>
        <w:spacing w:line="360" w:lineRule="auto"/>
        <w:ind w:right="-15" w:rightChars="-7"/>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4.1                         </w:t>
      </w:r>
    </w:p>
    <w:p>
      <w:pPr>
        <w:tabs>
          <w:tab w:val="left" w:pos="1620"/>
        </w:tabs>
        <w:spacing w:line="360" w:lineRule="auto"/>
        <w:ind w:left="2156" w:right="-7" w:hanging="2156" w:hangingChars="895"/>
        <w:rPr>
          <w:rFonts w:ascii="仿宋" w:hAnsi="仿宋" w:eastAsia="仿宋" w:cs="Times New Roman"/>
          <w:color w:val="auto"/>
          <w:sz w:val="24"/>
          <w:szCs w:val="24"/>
          <w:highlight w:val="none"/>
        </w:rPr>
      </w:pPr>
      <w:r>
        <w:rPr>
          <w:rFonts w:hint="eastAsia" w:ascii="仿宋" w:hAnsi="仿宋" w:eastAsia="仿宋" w:cs="仿宋"/>
          <w:b/>
          <w:bCs/>
          <w:color w:val="auto"/>
          <w:sz w:val="24"/>
          <w:szCs w:val="24"/>
          <w:highlight w:val="none"/>
        </w:rPr>
        <w:t>语言文字</w:t>
      </w:r>
      <w:r>
        <w:rPr>
          <w:rFonts w:ascii="仿宋" w:hAnsi="仿宋" w:eastAsia="仿宋" w:cs="仿宋"/>
          <w:b/>
          <w:bCs/>
          <w:color w:val="auto"/>
          <w:sz w:val="24"/>
          <w:szCs w:val="24"/>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本合同所使用的语言文字为中文（汉语）。</w:t>
      </w:r>
    </w:p>
    <w:p>
      <w:pPr>
        <w:tabs>
          <w:tab w:val="left" w:pos="1620"/>
        </w:tabs>
        <w:spacing w:line="360" w:lineRule="auto"/>
        <w:ind w:left="1579" w:leftChars="752" w:firstLine="117" w:firstLineChars="4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对于必须使用外文表达的专用术语等，应附有中文注释。合同当事人在合同中使用两种以上语言时，汉语为优先解释和说明合同的语言。</w:t>
      </w:r>
    </w:p>
    <w:p>
      <w:pPr>
        <w:tabs>
          <w:tab w:val="left" w:pos="1320"/>
        </w:tabs>
        <w:spacing w:line="360" w:lineRule="auto"/>
        <w:ind w:right="-7"/>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22"/>
        <w:ind w:left="1617" w:leftChars="770" w:firstLine="1"/>
        <w:rPr>
          <w:rFonts w:ascii="仿宋" w:hAnsi="仿宋" w:eastAsia="仿宋"/>
          <w:color w:val="auto"/>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407" name="文本框 408"/>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wps:txbx>
                      <wps:bodyPr upright="1"/>
                    </wps:wsp>
                  </a:graphicData>
                </a:graphic>
              </wp:anchor>
            </w:drawing>
          </mc:Choice>
          <mc:Fallback>
            <w:pict>
              <v:shape id="文本框 408" o:spid="_x0000_s1026" o:spt="202" type="#_x0000_t202" style="position:absolute;left:0pt;margin-left:-9pt;margin-top:3pt;height:36pt;width:81pt;z-index:251666432;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Rwms9QAAAAI&#10;AQAADwAAAAAAAAABACAAAAAiAAAAZHJzL2Rvd25yZXYueG1sUEsBAhQAFAAAAAgAh07iQI9vFvmu&#10;AQAAUgMAAA4AAAAAAAAAAQAgAAAAIwEAAGRycy9lMm9Eb2MueG1sUEsFBgAAAAAGAAYAWQEAAEMF&#10;AAAAAA==&#10;">
                <v:fill on="f" focussize="0,0"/>
                <v:stroke on="f"/>
                <v:imagedata o:title=""/>
                <o:lock v:ext="edit" aspectratio="f"/>
                <v:textbox>
                  <w:txbxContent>
                    <w:p>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rPr>
        <w:t>本合同适用的法律为中华人民共和国的现行法律、行政法规、部门规章和合同工程所在地的地方性法规、地方政府规章、行政规范性文件。</w:t>
      </w:r>
    </w:p>
    <w:p>
      <w:pPr>
        <w:tabs>
          <w:tab w:val="left" w:pos="1320"/>
        </w:tabs>
        <w:spacing w:line="360" w:lineRule="auto"/>
        <w:ind w:right="-7"/>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4.3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408" name="文本框 409"/>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wps:txbx>
                      <wps:bodyPr upright="1"/>
                    </wps:wsp>
                  </a:graphicData>
                </a:graphic>
              </wp:anchor>
            </w:drawing>
          </mc:Choice>
          <mc:Fallback>
            <w:pict>
              <v:shape id="文本框 409" o:spid="_x0000_s1026" o:spt="202" type="#_x0000_t202" style="position:absolute;left:0pt;margin-left:-9pt;margin-top:0pt;height:34.8pt;width:81pt;z-index:251667456;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Lju9UA&#10;AAAHAQAADwAAAAAAAAABACAAAAAiAAAAZHJzL2Rvd25yZXYueG1sUEsBAhQAFAAAAAgAh07iQA1J&#10;nf2wAQAAUg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仿宋" w:hAnsi="仿宋" w:eastAsia="仿宋" w:cs="仿宋"/>
          <w:color w:val="auto"/>
          <w:sz w:val="24"/>
          <w:szCs w:val="24"/>
          <w:highlight w:val="none"/>
        </w:rPr>
        <w:t>本合同适用的标准与规范为国家、行业和广东省的标准与规范或规程，以及发包人在合同中要求使用的标准与规范。</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合同双方当事人在专用条款中约定适用的国家标准、规范名称；国家没有但行业有的，约定适用的行业标准、规范名称；国家和行业没有但广东省有的，约定适用的广东省地方标准、规范名称。</w:t>
      </w:r>
      <w:r>
        <w:rPr>
          <w:rFonts w:ascii="仿宋" w:hAnsi="仿宋" w:eastAsia="仿宋" w:cs="仿宋"/>
          <w:color w:val="auto"/>
          <w:sz w:val="24"/>
          <w:szCs w:val="24"/>
          <w:highlight w:val="none"/>
        </w:rPr>
        <w:t xml:space="preserve">   </w:t>
      </w:r>
    </w:p>
    <w:p>
      <w:p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pPr>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bCs w:val="0"/>
          <w:color w:val="auto"/>
          <w:sz w:val="24"/>
          <w:szCs w:val="24"/>
          <w:highlight w:val="none"/>
        </w:rPr>
      </w:pPr>
      <w:bookmarkStart w:id="82" w:name="_Toc10624824"/>
      <w:bookmarkStart w:id="83" w:name="_Toc20155"/>
      <w:bookmarkStart w:id="84" w:name="_Toc11373"/>
      <w:bookmarkStart w:id="85" w:name="_Toc469383984"/>
      <w:bookmarkStart w:id="86" w:name="_Toc1071"/>
      <w:bookmarkStart w:id="87" w:name="_Toc27101"/>
      <w:bookmarkStart w:id="88" w:name="_Toc29813"/>
      <w:r>
        <w:rPr>
          <w:rFonts w:ascii="仿宋" w:hAnsi="仿宋" w:eastAsia="仿宋" w:cs="仿宋"/>
          <w:bCs w:val="0"/>
          <w:color w:val="auto"/>
          <w:sz w:val="24"/>
          <w:szCs w:val="24"/>
          <w:highlight w:val="none"/>
        </w:rPr>
        <w:t xml:space="preserve">5  </w:t>
      </w:r>
      <w:r>
        <w:rPr>
          <w:rFonts w:hint="eastAsia" w:ascii="仿宋" w:hAnsi="仿宋" w:eastAsia="仿宋" w:cs="仿宋"/>
          <w:bCs w:val="0"/>
          <w:color w:val="auto"/>
          <w:sz w:val="24"/>
          <w:szCs w:val="24"/>
          <w:highlight w:val="none"/>
        </w:rPr>
        <w:t>施工设计图纸</w:t>
      </w:r>
      <w:bookmarkEnd w:id="82"/>
      <w:bookmarkEnd w:id="83"/>
      <w:bookmarkEnd w:id="84"/>
      <w:bookmarkEnd w:id="85"/>
      <w:bookmarkEnd w:id="86"/>
      <w:bookmarkEnd w:id="87"/>
      <w:bookmarkEnd w:id="88"/>
    </w:p>
    <w:p>
      <w:pPr>
        <w:pStyle w:val="13"/>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409" name="文本框 410"/>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wps:txbx>
                      <wps:bodyPr upright="1"/>
                    </wps:wsp>
                  </a:graphicData>
                </a:graphic>
              </wp:anchor>
            </w:drawing>
          </mc:Choice>
          <mc:Fallback>
            <w:pict>
              <v:shape id="文本框 410" o:spid="_x0000_s1026" o:spt="202" type="#_x0000_t202" style="position:absolute;left:0pt;margin-left:-9pt;margin-top:1.6pt;height:71.8pt;width:63pt;z-index:251668480;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4LsWbWAAAA&#10;CQEAAA8AAAAAAAAAAQAgAAAAIgAAAGRycy9kb3ducmV2LnhtbFBLAQIUABQAAAAIAIdO4kDSKfDQ&#10;rQEAAFEDAAAOAAAAAAAAAAEAIAAAACU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仿宋" w:hAnsi="仿宋" w:eastAsia="仿宋" w:cs="仿宋"/>
          <w:color w:val="auto"/>
          <w:sz w:val="24"/>
          <w:szCs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款规定处理。</w:t>
      </w:r>
      <w:r>
        <w:rPr>
          <w:rFonts w:ascii="仿宋" w:hAnsi="仿宋" w:eastAsia="仿宋" w:cs="仿宋"/>
          <w:color w:val="auto"/>
          <w:sz w:val="24"/>
          <w:szCs w:val="24"/>
          <w:highlight w:val="none"/>
        </w:rPr>
        <w:t xml:space="preserve"> </w:t>
      </w:r>
    </w:p>
    <w:p>
      <w:pPr>
        <w:pStyle w:val="13"/>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5.2  </w:t>
      </w:r>
      <w:r>
        <w:rPr>
          <w:rFonts w:ascii="仿宋" w:hAnsi="仿宋" w:eastAsia="仿宋" w:cs="仿宋"/>
          <w:b/>
          <w:bCs/>
          <w:color w:val="auto"/>
          <w:sz w:val="24"/>
          <w:szCs w:val="24"/>
          <w:highlight w:val="none"/>
          <w:u w:val="dotted"/>
        </w:rPr>
        <w:t xml:space="preserve">                                                                              </w:t>
      </w:r>
    </w:p>
    <w:p>
      <w:pPr>
        <w:pStyle w:val="22"/>
        <w:tabs>
          <w:tab w:val="left" w:pos="497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410" name="文本框 411"/>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upright="1"/>
                    </wps:wsp>
                  </a:graphicData>
                </a:graphic>
              </wp:anchor>
            </w:drawing>
          </mc:Choice>
          <mc:Fallback>
            <w:pict>
              <v:shape id="文本框 411" o:spid="_x0000_s1026" o:spt="202" type="#_x0000_t202" style="position:absolute;left:0pt;margin-left:-9pt;margin-top:0pt;height:71.8pt;width:63pt;z-index:251669504;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ivt2NQAAAAI&#10;AQAADwAAAAAAAAABACAAAAAiAAAAZHJzL2Rvd25yZXYueG1sUEsBAhQAFAAAAAgAh07iQOpUYweu&#10;AQAAUQMAAA4AAAAAAAAAAQAgAAAAIwEAAGRycy9lMm9Eb2MueG1sUEsFBgAAAAAGAAYAWQEAAEMF&#10;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仿宋" w:hAnsi="仿宋" w:eastAsia="仿宋" w:cs="仿宋"/>
          <w:color w:val="auto"/>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pPr>
        <w:tabs>
          <w:tab w:val="left" w:pos="4970"/>
        </w:tabs>
        <w:spacing w:line="360" w:lineRule="auto"/>
        <w:rPr>
          <w:rFonts w:ascii="仿宋" w:hAnsi="仿宋" w:eastAsia="仿宋" w:cs="Times New Roman"/>
          <w:b/>
          <w:bCs/>
          <w:color w:val="auto"/>
          <w:sz w:val="24"/>
          <w:szCs w:val="24"/>
          <w:highlight w:val="none"/>
        </w:rPr>
      </w:pPr>
    </w:p>
    <w:p>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5.3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1" name="文本框 41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wps:txbx>
                      <wps:bodyPr upright="1"/>
                    </wps:wsp>
                  </a:graphicData>
                </a:graphic>
              </wp:anchor>
            </w:drawing>
          </mc:Choice>
          <mc:Fallback>
            <w:pict>
              <v:shape id="文本框 412"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pnAdUA&#10;AAAIAQAADwAAAAAAAAABACAAAAAiAAAAZHJzL2Rvd25yZXYueG1sUEsBAhQAFAAAAAgAh07iQKwH&#10;lUuwAQAAUQMAAA4AAAAAAAAAAQAgAAAAJAEAAGRycy9lMm9Eb2MueG1sUEsFBgAAAAAGAAYAWQEA&#10;AEYFAAAAAA==&#10;">
                <v:fill on="f" focussize="0,0"/>
                <v:stroke on="f"/>
                <v:imagedata o:title=""/>
                <o:lock v:ext="edit" aspectratio="f"/>
                <v:textbox>
                  <w:txbxContent>
                    <w:p>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仿宋" w:hAnsi="仿宋" w:eastAsia="仿宋" w:cs="仿宋"/>
          <w:color w:val="auto"/>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5.4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2" name="文本框 413"/>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upright="1"/>
                    </wps:wsp>
                  </a:graphicData>
                </a:graphic>
              </wp:anchor>
            </w:drawing>
          </mc:Choice>
          <mc:Fallback>
            <w:pict>
              <v:shape id="文本框 413" o:spid="_x0000_s1026" o:spt="202" type="#_x0000_t202" style="position:absolute;left:0pt;margin-left:-9pt;margin-top:0pt;height:51.1pt;width:72pt;z-index:251671552;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pnAdUA&#10;AAAIAQAADwAAAAAAAAABACAAAAAiAAAAZHJzL2Rvd25yZXYueG1sUEsBAhQAFAAAAAgAh07iQJS9&#10;NNa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仿宋" w:hAnsi="仿宋" w:eastAsia="仿宋" w:cs="仿宋"/>
          <w:color w:val="auto"/>
          <w:sz w:val="24"/>
          <w:szCs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pPr>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5.5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413" name="文本框 414"/>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upright="1"/>
                    </wps:wsp>
                  </a:graphicData>
                </a:graphic>
              </wp:anchor>
            </w:drawing>
          </mc:Choice>
          <mc:Fallback>
            <w:pict>
              <v:shape id="文本框 414" o:spid="_x0000_s1026" o:spt="202" type="#_x0000_t202" style="position:absolute;left:0pt;margin-left:-9pt;margin-top:0pt;height:51.1pt;width:72pt;z-index:251672576;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pnAdUA&#10;AAAIAQAADwAAAAAAAAABACAAAAAiAAAAZHJzL2Rvd25yZXYueG1sUEsBAhQAFAAAAAgAh07iQNKb&#10;z2e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仿宋" w:hAnsi="仿宋" w:eastAsia="仿宋" w:cs="仿宋"/>
          <w:color w:val="auto"/>
          <w:sz w:val="24"/>
          <w:szCs w:val="24"/>
          <w:highlight w:val="none"/>
        </w:rPr>
        <w:t>施工期间，承包人和监理工程师均应在施工现场保留一套完整的包括第</w:t>
      </w:r>
      <w:r>
        <w:rPr>
          <w:rFonts w:ascii="仿宋" w:hAnsi="仿宋" w:eastAsia="仿宋" w:cs="仿宋"/>
          <w:color w:val="auto"/>
          <w:sz w:val="24"/>
          <w:szCs w:val="24"/>
          <w:highlight w:val="none"/>
        </w:rPr>
        <w:t>5.1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5.3</w:t>
      </w:r>
      <w:r>
        <w:rPr>
          <w:rFonts w:hint="eastAsia" w:ascii="仿宋" w:hAnsi="仿宋" w:eastAsia="仿宋" w:cs="仿宋"/>
          <w:color w:val="auto"/>
          <w:sz w:val="24"/>
          <w:szCs w:val="24"/>
          <w:highlight w:val="none"/>
        </w:rPr>
        <w:t>款规定内容的施工设计图纸供实施合同工程过程需要时使用。本合同终止后，除承包人存档需要的施工设计图纸外，承包人应将全部施工设计图纸退还给发包人。</w:t>
      </w:r>
    </w:p>
    <w:p>
      <w:pPr>
        <w:tabs>
          <w:tab w:val="left" w:pos="1620"/>
        </w:tabs>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color w:val="auto"/>
          <w:sz w:val="24"/>
          <w:szCs w:val="24"/>
          <w:highlight w:val="none"/>
        </w:rPr>
      </w:pPr>
      <w:bookmarkStart w:id="89" w:name="_Toc1765"/>
      <w:bookmarkStart w:id="90" w:name="_Toc14058"/>
      <w:bookmarkStart w:id="91" w:name="_Toc10624825"/>
      <w:bookmarkStart w:id="92" w:name="_Toc469383985"/>
      <w:bookmarkStart w:id="93" w:name="_Toc12274"/>
      <w:bookmarkStart w:id="94" w:name="_Toc2849"/>
      <w:bookmarkStart w:id="95" w:name="_Toc27264"/>
      <w:r>
        <w:rPr>
          <w:rFonts w:ascii="仿宋" w:hAnsi="仿宋" w:eastAsia="仿宋" w:cs="仿宋"/>
          <w:color w:val="auto"/>
          <w:sz w:val="24"/>
          <w:szCs w:val="24"/>
          <w:highlight w:val="none"/>
        </w:rPr>
        <w:t xml:space="preserve">6  </w:t>
      </w:r>
      <w:r>
        <w:rPr>
          <w:rFonts w:hint="eastAsia" w:ascii="仿宋" w:hAnsi="仿宋" w:eastAsia="仿宋" w:cs="仿宋"/>
          <w:color w:val="auto"/>
          <w:sz w:val="24"/>
          <w:szCs w:val="24"/>
          <w:highlight w:val="none"/>
        </w:rPr>
        <w:t>通讯联络</w:t>
      </w:r>
      <w:bookmarkEnd w:id="89"/>
      <w:bookmarkEnd w:id="90"/>
      <w:bookmarkEnd w:id="91"/>
      <w:bookmarkEnd w:id="92"/>
      <w:bookmarkEnd w:id="93"/>
      <w:bookmarkEnd w:id="94"/>
      <w:bookmarkEnd w:id="95"/>
    </w:p>
    <w:p>
      <w:pPr>
        <w:pStyle w:val="13"/>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-64135</wp:posOffset>
                </wp:positionH>
                <wp:positionV relativeFrom="paragraph">
                  <wp:posOffset>257175</wp:posOffset>
                </wp:positionV>
                <wp:extent cx="800100" cy="297180"/>
                <wp:effectExtent l="0" t="0" r="0" b="0"/>
                <wp:wrapNone/>
                <wp:docPr id="816" name="文本框 82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通讯形式</w:t>
                            </w:r>
                          </w:p>
                        </w:txbxContent>
                      </wps:txbx>
                      <wps:bodyPr upright="1"/>
                    </wps:wsp>
                  </a:graphicData>
                </a:graphic>
              </wp:anchor>
            </w:drawing>
          </mc:Choice>
          <mc:Fallback>
            <w:pict>
              <v:shape id="文本框 820" o:spid="_x0000_s1026" o:spt="202" type="#_x0000_t202" style="position:absolute;left:0pt;margin-left:-5.05pt;margin-top:20.25pt;height:23.4pt;width:63pt;z-index:252084224;mso-width-relative:page;mso-height-relative:page;" filled="f" stroked="f" coordsize="21600,21600" o:gfxdata="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UZmW9YAAAAJ&#10;AQAADwAAAAAAAAABACAAAAAiAAAAZHJzL2Rvd25yZXYueG1sUEsBAhQAFAAAAAgAh07iQD2c21es&#10;AQAAUQMAAA4AAAAAAAAAAQAgAAAAJQEAAGRycy9lMm9Eb2MueG1sUEsFBgAAAAAGAAYAWQEAAEMF&#10;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ascii="仿宋" w:hAnsi="仿宋" w:eastAsia="仿宋" w:cs="仿宋"/>
          <w:b/>
          <w:bCs/>
          <w:color w:val="auto"/>
          <w:sz w:val="24"/>
          <w:szCs w:val="24"/>
          <w:highlight w:val="none"/>
        </w:rPr>
        <w:t xml:space="preserve">6.1   </w:t>
      </w:r>
    </w:p>
    <w:p>
      <w:pPr>
        <w:pStyle w:val="13"/>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pPr>
        <w:pStyle w:val="13"/>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  </w:t>
      </w:r>
      <w:r>
        <w:rPr>
          <w:rFonts w:ascii="仿宋" w:hAnsi="仿宋" w:eastAsia="仿宋" w:cs="仿宋"/>
          <w:b/>
          <w:bCs/>
          <w:color w:val="auto"/>
          <w:sz w:val="24"/>
          <w:szCs w:val="24"/>
          <w:highlight w:val="none"/>
          <w:u w:val="dotted"/>
        </w:rPr>
        <w:t xml:space="preserve">                                                                              </w:t>
      </w:r>
    </w:p>
    <w:p>
      <w:pPr>
        <w:pStyle w:val="13"/>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414" name="文本框 41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upright="1"/>
                    </wps:wsp>
                  </a:graphicData>
                </a:graphic>
              </wp:anchor>
            </w:drawing>
          </mc:Choice>
          <mc:Fallback>
            <w:pict>
              <v:shape id="文本框 415" o:spid="_x0000_s1026" o:spt="202" type="#_x0000_t202" style="position:absolute;left:0pt;margin-left:-9pt;margin-top:0pt;height:23.4pt;width:63pt;z-index:251673600;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zvT69QAAAAH&#10;AQAADwAAAAAAAAABACAAAAAiAAAAZHJzL2Rvd25yZXYueG1sUEsBAhQAFAAAAAgAh07iQLIV7tSu&#10;AQAAUQMAAA4AAAAAAAAAAQAgAAAAIwEAAGRycy9lMm9Eb2MueG1sUEsFBgAAAAAGAAYAWQEAAEMF&#10;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sz w:val="24"/>
          <w:szCs w:val="24"/>
          <w:highlight w:val="none"/>
        </w:rPr>
        <w:t>合同中无论何处涉及到各方之间的通讯都不应无理扣压或拖延。合同双方当事人应在专用条款中约定各方通讯地址和收件人，并按照约定期限内送达指定地点和接收人。收件人应在通讯回执上签署姓名和时间。一方当事人拒绝签收另一方当事人通讯，另一方当事人以特快专递、挂号信等专用条款约定的方式将通讯送至通讯地址的，视为送达。</w:t>
      </w:r>
    </w:p>
    <w:p>
      <w:pPr>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spacing w:line="360" w:lineRule="auto"/>
        <w:rPr>
          <w:rFonts w:ascii="仿宋" w:hAnsi="仿宋" w:eastAsia="仿宋"/>
          <w:color w:val="auto"/>
          <w:sz w:val="24"/>
          <w:szCs w:val="24"/>
          <w:highlight w:val="none"/>
        </w:rPr>
      </w:pPr>
      <w:bookmarkStart w:id="96" w:name="_Toc31086"/>
      <w:bookmarkStart w:id="97" w:name="_Toc10624826"/>
      <w:bookmarkStart w:id="98" w:name="_Toc19986"/>
      <w:bookmarkStart w:id="99" w:name="_Toc26819"/>
      <w:bookmarkStart w:id="100" w:name="_Toc469383986"/>
      <w:bookmarkStart w:id="101" w:name="_Toc3399"/>
      <w:bookmarkStart w:id="102" w:name="_Toc20084"/>
      <w:r>
        <w:rPr>
          <w:rFonts w:ascii="仿宋" w:hAnsi="仿宋" w:eastAsia="仿宋" w:cs="仿宋"/>
          <w:color w:val="auto"/>
          <w:sz w:val="24"/>
          <w:szCs w:val="24"/>
          <w:highlight w:val="none"/>
        </w:rPr>
        <w:t xml:space="preserve">7  </w:t>
      </w:r>
      <w:r>
        <w:rPr>
          <w:rFonts w:hint="eastAsia" w:ascii="仿宋" w:hAnsi="仿宋" w:eastAsia="仿宋" w:cs="仿宋"/>
          <w:color w:val="auto"/>
          <w:sz w:val="24"/>
          <w:szCs w:val="24"/>
          <w:highlight w:val="none"/>
        </w:rPr>
        <w:t>工程分包</w:t>
      </w:r>
      <w:bookmarkEnd w:id="96"/>
      <w:bookmarkEnd w:id="97"/>
      <w:bookmarkEnd w:id="98"/>
      <w:bookmarkEnd w:id="99"/>
      <w:bookmarkEnd w:id="100"/>
      <w:bookmarkEnd w:id="101"/>
      <w:bookmarkEnd w:id="102"/>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415" name="文本框 416"/>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文本框 416" o:spid="_x0000_s1026" o:spt="202" type="#_x0000_t202" style="position:absolute;left:0pt;margin-left:-9pt;margin-top:16.7pt;height:35.45pt;width:81pt;z-index:251674624;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J0O1XX&#10;AAAACgEAAA8AAAAAAAAAAQAgAAAAIgAAAGRycy9kb3ducmV2LnhtbFBLAQIUABQAAAAIAIdO4kBq&#10;gxWcrwEAAFIDAAAOAAAAAAAAAAEAIAAAACY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ascii="仿宋" w:hAnsi="仿宋" w:eastAsia="仿宋" w:cs="仿宋"/>
          <w:b/>
          <w:bCs/>
          <w:color w:val="auto"/>
          <w:sz w:val="24"/>
          <w:szCs w:val="24"/>
          <w:highlight w:val="none"/>
        </w:rPr>
        <w:t xml:space="preserve">7.1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416" name="文本框 417"/>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upright="1"/>
                    </wps:wsp>
                  </a:graphicData>
                </a:graphic>
              </wp:anchor>
            </w:drawing>
          </mc:Choice>
          <mc:Fallback>
            <w:pict>
              <v:shape id="文本框 417" o:spid="_x0000_s1026" o:spt="202" type="#_x0000_t202" style="position:absolute;left:0pt;margin-left:-9pt;margin-top:9.6pt;height:62pt;width:81pt;z-index:251675648;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M4tS/X&#10;AAAACgEAAA8AAAAAAAAAAQAgAAAAIgAAAGRycy9kb3ducmV2LnhtbFBLAQIUABQAAAAIAIdO4kDn&#10;jR2PrwEAAFI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ascii="仿宋" w:hAnsi="仿宋" w:eastAsia="仿宋" w:cs="仿宋"/>
          <w:b/>
          <w:bCs/>
          <w:color w:val="auto"/>
          <w:sz w:val="24"/>
          <w:szCs w:val="24"/>
          <w:highlight w:val="none"/>
        </w:rPr>
        <w:t xml:space="preserve">7.2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承包人可依法将部分工程分包给具有相应分包资质的分包人，但未经发包人同意，承包人不得将工程的任何部分或任何工作分包给第三方。下列情况则属例外：</w:t>
      </w:r>
    </w:p>
    <w:p>
      <w:pPr>
        <w:pStyle w:val="13"/>
        <w:numPr>
          <w:ilvl w:val="0"/>
          <w:numId w:val="10"/>
        </w:numPr>
        <w:adjustRightInd w:val="0"/>
        <w:snapToGrid w:val="0"/>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施工劳务作业分包；</w:t>
      </w:r>
    </w:p>
    <w:p>
      <w:pPr>
        <w:pStyle w:val="13"/>
        <w:numPr>
          <w:ilvl w:val="0"/>
          <w:numId w:val="10"/>
        </w:numPr>
        <w:adjustRightInd w:val="0"/>
        <w:snapToGrid w:val="0"/>
        <w:spacing w:line="360" w:lineRule="auto"/>
        <w:ind w:firstLine="5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按照合同约定的标准购买材料和工程设备；</w:t>
      </w:r>
    </w:p>
    <w:p>
      <w:pPr>
        <w:pStyle w:val="13"/>
        <w:numPr>
          <w:ilvl w:val="0"/>
          <w:numId w:val="10"/>
        </w:numPr>
        <w:adjustRightInd w:val="0"/>
        <w:snapToGrid w:val="0"/>
        <w:spacing w:line="360" w:lineRule="auto"/>
        <w:ind w:left="1077" w:firstLine="53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合同中已指定的分包工程。</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417" name="文本框 418"/>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upright="1"/>
                    </wps:wsp>
                  </a:graphicData>
                </a:graphic>
              </wp:anchor>
            </w:drawing>
          </mc:Choice>
          <mc:Fallback>
            <w:pict>
              <v:shape id="文本框 418" o:spid="_x0000_s1026" o:spt="202" type="#_x0000_t202" style="position:absolute;left:0pt;margin-left:-9pt;margin-top:0pt;height:24.05pt;width:81pt;z-index:251676672;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Ik35w1AAA&#10;AAcBAAAPAAAAAAAAAAEAIAAAACIAAABkcnMvZG93bnJldi54bWxQSwECFAAUAAAACACHTuJACsQb&#10;37ABAABS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sz w:val="24"/>
          <w:szCs w:val="24"/>
          <w:highlight w:val="none"/>
        </w:rPr>
        <w:t>承包人分包工程的，应与分包人签订分包合同，并在分包合同签订后的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天内向发包人和监理工程师、造价工程师各提交一份分包合同。承包人有义务禁止分包人将分包工程再次分包。</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418" name="文本框 4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upright="1"/>
                    </wps:wsp>
                  </a:graphicData>
                </a:graphic>
              </wp:anchor>
            </w:drawing>
          </mc:Choice>
          <mc:Fallback>
            <w:pict>
              <v:shape id="文本框 419" o:spid="_x0000_s1026" o:spt="202" type="#_x0000_t202" style="position:absolute;left:0pt;margin-left:-9pt;margin-top:15.95pt;height:39pt;width:72pt;z-index:251677696;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IBXI9cA&#10;AAAKAQAADwAAAAAAAAABACAAAAAiAAAAZHJzL2Rvd25yZXYueG1sUEsBAhQAFAAAAAgAh07iQLH0&#10;oD6uAQAAUQMAAA4AAAAAAAAAAQAgAAAAJg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ascii="仿宋" w:hAnsi="仿宋" w:eastAsia="仿宋" w:cs="仿宋"/>
          <w:b/>
          <w:bCs/>
          <w:color w:val="auto"/>
          <w:sz w:val="24"/>
          <w:szCs w:val="24"/>
          <w:highlight w:val="none"/>
        </w:rPr>
        <w:t xml:space="preserve">7.4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419" name="文本框 42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upright="1"/>
                    </wps:wsp>
                  </a:graphicData>
                </a:graphic>
              </wp:anchor>
            </w:drawing>
          </mc:Choice>
          <mc:Fallback>
            <w:pict>
              <v:shape id="文本框 420" o:spid="_x0000_s1026" o:spt="202" type="#_x0000_t202" style="position:absolute;left:0pt;margin-left:-9pt;margin-top:16.15pt;height:39pt;width:72pt;z-index:251678720;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HD7ctcA&#10;AAAKAQAADwAAAAAAAAABACAAAAAiAAAAZHJzL2Rvd25yZXYueG1sUEsBAhQAFAAAAAgAh07iQCVT&#10;4xyuAQAAUQMAAA4AAAAAAAAAAQAgAAAAJgEAAGRycy9lMm9Eb2MueG1sUEsFBgAAAAAGAAYAWQEA&#10;AEY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ascii="仿宋" w:hAnsi="仿宋" w:eastAsia="仿宋" w:cs="仿宋"/>
          <w:b/>
          <w:bCs/>
          <w:color w:val="auto"/>
          <w:sz w:val="24"/>
          <w:szCs w:val="24"/>
          <w:highlight w:val="none"/>
        </w:rPr>
        <w:t xml:space="preserve">7.5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工程分包不能免除承包人应承担的任何责任和应履行的任何义务。承包人应在分包场地派驻相应管理人员保证本合同的履行。</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分包人应对分包工程负责。分包人的任何违约行为或疏忽导致工程损坏、损害或给发包人造成损失的，承包人应承担连带责任。</w:t>
      </w:r>
    </w:p>
    <w:p>
      <w:pPr>
        <w:pStyle w:val="13"/>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420" name="文本框 421"/>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upright="1"/>
                    </wps:wsp>
                  </a:graphicData>
                </a:graphic>
              </wp:anchor>
            </w:drawing>
          </mc:Choice>
          <mc:Fallback>
            <w:pict>
              <v:shape id="文本框 421" o:spid="_x0000_s1026" o:spt="202" type="#_x0000_t202" style="position:absolute;left:0pt;margin-left:-9pt;margin-top:18.05pt;height:22.05pt;width:72pt;z-index:251679744;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McytYA&#10;AAAJAQAADwAAAAAAAAABACAAAAAiAAAAZHJzL2Rvd25yZXYueG1sUEsBAhQAFAAAAAgAh07iQAK/&#10;skyvAQAAUQMAAA4AAAAAAAAAAQAgAAAAJQ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ascii="仿宋" w:hAnsi="仿宋" w:eastAsia="仿宋" w:cs="仿宋"/>
          <w:b/>
          <w:bCs/>
          <w:color w:val="auto"/>
          <w:sz w:val="24"/>
          <w:szCs w:val="24"/>
          <w:highlight w:val="none"/>
        </w:rPr>
        <w:t xml:space="preserve">7.6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无论何种原因，当本合同终止时，分包人与承包人签订的分包合同也随即终止。承包人应在本合同终止前向分包人支付分包人应得所有款项。</w:t>
      </w:r>
    </w:p>
    <w:p>
      <w:pPr>
        <w:pStyle w:val="13"/>
        <w:tabs>
          <w:tab w:val="left" w:pos="1260"/>
        </w:tabs>
        <w:adjustRightInd w:val="0"/>
        <w:snapToGrid w:val="0"/>
        <w:spacing w:before="156" w:beforeLines="5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5"/>
        <w:tabs>
          <w:tab w:val="left" w:pos="420"/>
          <w:tab w:val="left" w:pos="1287"/>
        </w:tabs>
        <w:spacing w:line="360" w:lineRule="auto"/>
        <w:rPr>
          <w:rFonts w:ascii="仿宋" w:hAnsi="仿宋" w:eastAsia="仿宋" w:cs="仿宋"/>
          <w:color w:val="auto"/>
          <w:sz w:val="24"/>
          <w:szCs w:val="24"/>
          <w:highlight w:val="none"/>
        </w:rPr>
      </w:pPr>
      <w:bookmarkStart w:id="103" w:name="_Toc10624827"/>
      <w:bookmarkStart w:id="104" w:name="_Toc10041"/>
      <w:bookmarkStart w:id="105" w:name="_Toc14627"/>
      <w:bookmarkStart w:id="106" w:name="_Toc13481"/>
      <w:bookmarkStart w:id="107" w:name="_Toc4316"/>
      <w:bookmarkStart w:id="108" w:name="_Toc469383987"/>
      <w:bookmarkStart w:id="109" w:name="_Toc20903"/>
      <w:r>
        <w:rPr>
          <w:rFonts w:ascii="仿宋" w:hAnsi="仿宋" w:eastAsia="仿宋" w:cs="仿宋"/>
          <w:color w:val="auto"/>
          <w:sz w:val="24"/>
          <w:szCs w:val="24"/>
          <w:highlight w:val="none"/>
        </w:rPr>
        <w:t xml:space="preserve">8  </w:t>
      </w:r>
      <w:r>
        <w:rPr>
          <w:rFonts w:hint="eastAsia" w:ascii="仿宋" w:hAnsi="仿宋" w:eastAsia="仿宋" w:cs="仿宋"/>
          <w:color w:val="auto"/>
          <w:sz w:val="24"/>
          <w:szCs w:val="24"/>
          <w:highlight w:val="none"/>
        </w:rPr>
        <w:t>现场查勘</w:t>
      </w:r>
      <w:bookmarkEnd w:id="103"/>
      <w:bookmarkEnd w:id="104"/>
      <w:bookmarkEnd w:id="105"/>
      <w:bookmarkEnd w:id="106"/>
      <w:bookmarkEnd w:id="107"/>
      <w:bookmarkEnd w:id="108"/>
      <w:bookmarkEnd w:id="109"/>
    </w:p>
    <w:p>
      <w:pPr>
        <w:pStyle w:val="5"/>
        <w:tabs>
          <w:tab w:val="left" w:pos="420"/>
          <w:tab w:val="left" w:pos="1287"/>
        </w:tabs>
        <w:spacing w:before="0" w:line="360" w:lineRule="auto"/>
        <w:rPr>
          <w:rFonts w:ascii="仿宋" w:hAnsi="仿宋" w:eastAsia="仿宋" w:cs="仿宋"/>
          <w:color w:val="auto"/>
          <w:sz w:val="24"/>
          <w:szCs w:val="24"/>
          <w:highlight w:val="none"/>
        </w:rPr>
      </w:pPr>
      <w:bookmarkStart w:id="110" w:name="_Toc18993"/>
      <w:r>
        <w:rPr>
          <w:rFonts w:ascii="仿宋" w:hAnsi="仿宋" w:eastAsia="仿宋" w:cs="仿宋"/>
          <w:color w:val="auto"/>
          <w:sz w:val="24"/>
          <w:szCs w:val="24"/>
          <w:highlight w:val="none"/>
        </w:rPr>
        <w:t>8.1</w:t>
      </w:r>
      <w:bookmarkEnd w:id="110"/>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mc:AlternateContent>
          <mc:Choice Requires="wps">
            <w:drawing>
              <wp:anchor distT="0" distB="0" distL="114300" distR="114300" simplePos="0" relativeHeight="251680768" behindDoc="0" locked="0" layoutInCell="1" allowOverlap="1">
                <wp:simplePos x="0" y="0"/>
                <wp:positionH relativeFrom="column">
                  <wp:posOffset>-133350</wp:posOffset>
                </wp:positionH>
                <wp:positionV relativeFrom="paragraph">
                  <wp:posOffset>26035</wp:posOffset>
                </wp:positionV>
                <wp:extent cx="914400" cy="495300"/>
                <wp:effectExtent l="0" t="0" r="0" b="0"/>
                <wp:wrapNone/>
                <wp:docPr id="421" name="文本框 422"/>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upright="1"/>
                    </wps:wsp>
                  </a:graphicData>
                </a:graphic>
              </wp:anchor>
            </w:drawing>
          </mc:Choice>
          <mc:Fallback>
            <w:pict>
              <v:shape id="文本框 422" o:spid="_x0000_s1026" o:spt="202" type="#_x0000_t202" style="position:absolute;left:0pt;margin-left:-10.5pt;margin-top:2.05pt;height:39pt;width:72pt;z-index:251680768;mso-width-relative:page;mso-height-relative:page;" filled="f" stroked="f" coordsize="21600,21600" o:gfxdata="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fvnjrVAAAA&#10;CAEAAA8AAAAAAAAAAQAgAAAAIgAAAGRycy9kb3ducmV2LnhtbFBLAQIUABQAAAAIAIdO4kCNdg1X&#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color w:val="auto"/>
          <w:sz w:val="24"/>
          <w:szCs w:val="24"/>
          <w:highlight w:val="none"/>
        </w:rPr>
        <w:t>发包人应按照第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422" name="文本框 423"/>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upright="1"/>
                    </wps:wsp>
                  </a:graphicData>
                </a:graphic>
              </wp:anchor>
            </w:drawing>
          </mc:Choice>
          <mc:Fallback>
            <w:pict>
              <v:shape id="文本框 423" o:spid="_x0000_s1026" o:spt="202" type="#_x0000_t202" style="position:absolute;left:0pt;margin-left:-9pt;margin-top:0pt;height:39.4pt;width:72pt;z-index:251681792;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pilH1AAA&#10;AAcBAAAPAAAAAAAAAAEAIAAAACIAAABkcnMvZG93bnJldi54bWxQSwECFAAUAAAACACHTuJAnYE3&#10;QLABAABR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rPr>
        <w:t>承包人应依据发包人按照第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）点规定提供的资料和自己对现场查勘来编制投标文件，并对发包人提供上述资料的理解、推断和应用负责。</w:t>
      </w:r>
      <w:r>
        <w:rPr>
          <w:rFonts w:ascii="仿宋" w:hAnsi="仿宋" w:eastAsia="仿宋" w:cs="仿宋"/>
          <w:color w:val="auto"/>
          <w:sz w:val="24"/>
          <w:szCs w:val="24"/>
          <w:highlight w:val="none"/>
        </w:rPr>
        <w:t>因承包人未能充分查勘、了解</w:t>
      </w:r>
      <w:r>
        <w:rPr>
          <w:rFonts w:hint="eastAsia" w:ascii="仿宋" w:hAnsi="仿宋" w:eastAsia="仿宋" w:cs="仿宋"/>
          <w:color w:val="auto"/>
          <w:sz w:val="24"/>
          <w:szCs w:val="24"/>
          <w:highlight w:val="none"/>
        </w:rPr>
        <w:t>以下</w:t>
      </w:r>
      <w:r>
        <w:rPr>
          <w:rFonts w:ascii="仿宋" w:hAnsi="仿宋" w:eastAsia="仿宋" w:cs="仿宋"/>
          <w:color w:val="auto"/>
          <w:sz w:val="24"/>
          <w:szCs w:val="24"/>
          <w:highlight w:val="none"/>
        </w:rPr>
        <w:t>情况或未能充分估计</w:t>
      </w:r>
      <w:r>
        <w:rPr>
          <w:rFonts w:hint="eastAsia" w:ascii="仿宋" w:hAnsi="仿宋" w:eastAsia="仿宋" w:cs="仿宋"/>
          <w:color w:val="auto"/>
          <w:sz w:val="24"/>
          <w:szCs w:val="24"/>
          <w:highlight w:val="none"/>
        </w:rPr>
        <w:t>以下</w:t>
      </w:r>
      <w:r>
        <w:rPr>
          <w:rFonts w:ascii="仿宋" w:hAnsi="仿宋" w:eastAsia="仿宋" w:cs="仿宋"/>
          <w:color w:val="auto"/>
          <w:sz w:val="24"/>
          <w:szCs w:val="24"/>
          <w:highlight w:val="none"/>
        </w:rPr>
        <w:t>情况所可能产生后果的，承包人承担由此增加的费用和（或）延误的工期。</w:t>
      </w:r>
      <w:r>
        <w:rPr>
          <w:rFonts w:hint="eastAsia" w:ascii="仿宋" w:hAnsi="仿宋" w:eastAsia="仿宋" w:cs="仿宋"/>
          <w:color w:val="auto"/>
          <w:sz w:val="24"/>
          <w:szCs w:val="24"/>
          <w:highlight w:val="none"/>
        </w:rPr>
        <w:t>承包人的投标文件应被认为已经考虑了现场及其周围环境的影响，包括但不限于以下内容：</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）现场地质情况及地形地貌特征；</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（2）水文和气候条件；</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（3）为实施、完成并保修合同工程所需的临时工程和措施项目；</w:t>
      </w:r>
    </w:p>
    <w:p>
      <w:pPr>
        <w:pStyle w:val="13"/>
        <w:tabs>
          <w:tab w:val="left" w:pos="2580"/>
        </w:tabs>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（4）为实施、完成并保修合同工程所需的材料采购和加工、设备的采购，及所需的施工设备、周转性材料、人员和管理等；</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（5）场地内外的交通情况及水、电、食宿供应条件；</w:t>
      </w:r>
    </w:p>
    <w:p>
      <w:pPr>
        <w:pStyle w:val="13"/>
        <w:adjustRightInd w:val="0"/>
        <w:snapToGrid w:val="0"/>
        <w:spacing w:line="360" w:lineRule="auto"/>
        <w:ind w:left="161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（6）可能对投标报价有影响或起作用的其他情况。</w:t>
      </w:r>
    </w:p>
    <w:p>
      <w:pPr>
        <w:pStyle w:val="13"/>
        <w:adjustRightInd w:val="0"/>
        <w:snapToGrid w:val="0"/>
        <w:ind w:right="-238"/>
        <w:rPr>
          <w:rFonts w:ascii="仿宋" w:hAnsi="仿宋" w:eastAsia="仿宋" w:cs="Times New Roman"/>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spacing w:line="360" w:lineRule="auto"/>
        <w:rPr>
          <w:rFonts w:ascii="仿宋" w:hAnsi="仿宋" w:eastAsia="仿宋"/>
          <w:color w:val="auto"/>
          <w:sz w:val="24"/>
          <w:szCs w:val="24"/>
          <w:highlight w:val="none"/>
        </w:rPr>
      </w:pPr>
      <w:bookmarkStart w:id="111" w:name="_Toc22771"/>
      <w:bookmarkStart w:id="112" w:name="_Toc23365"/>
      <w:bookmarkStart w:id="113" w:name="_Toc32610"/>
      <w:bookmarkStart w:id="114" w:name="_Toc1069"/>
      <w:bookmarkStart w:id="115" w:name="_Toc469383988"/>
      <w:bookmarkStart w:id="116" w:name="_Toc25522"/>
      <w:bookmarkStart w:id="117" w:name="_Toc10624828"/>
      <w:r>
        <w:rPr>
          <w:rFonts w:ascii="仿宋" w:hAnsi="仿宋" w:eastAsia="仿宋" w:cs="仿宋"/>
          <w:color w:val="auto"/>
          <w:sz w:val="24"/>
          <w:szCs w:val="24"/>
          <w:highlight w:val="none"/>
        </w:rPr>
        <w:t xml:space="preserve">9  </w:t>
      </w:r>
      <w:r>
        <w:rPr>
          <w:rFonts w:hint="eastAsia" w:ascii="仿宋" w:hAnsi="仿宋" w:eastAsia="仿宋" w:cs="仿宋"/>
          <w:color w:val="auto"/>
          <w:sz w:val="24"/>
          <w:szCs w:val="24"/>
          <w:highlight w:val="none"/>
        </w:rPr>
        <w:t>招标错失的修正</w:t>
      </w:r>
      <w:bookmarkEnd w:id="111"/>
      <w:bookmarkEnd w:id="112"/>
      <w:bookmarkEnd w:id="113"/>
      <w:bookmarkEnd w:id="114"/>
      <w:bookmarkEnd w:id="115"/>
      <w:bookmarkEnd w:id="116"/>
      <w:bookmarkEnd w:id="117"/>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423" name="文本框 42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pStyle w:val="13"/>
                              <w:tabs>
                                <w:tab w:val="left" w:pos="2160"/>
                              </w:tabs>
                              <w:spacing w:before="249"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pPr>
                              <w:rPr>
                                <w:rFonts w:cs="Times New Roman"/>
                                <w:sz w:val="18"/>
                                <w:szCs w:val="18"/>
                              </w:rPr>
                            </w:pPr>
                          </w:p>
                        </w:txbxContent>
                      </wps:txbx>
                      <wps:bodyPr upright="1"/>
                    </wps:wsp>
                  </a:graphicData>
                </a:graphic>
              </wp:anchor>
            </w:drawing>
          </mc:Choice>
          <mc:Fallback>
            <w:pict>
              <v:shape id="文本框 424" o:spid="_x0000_s1026" o:spt="202" type="#_x0000_t202" style="position:absolute;left:0pt;margin-left:-4.8pt;margin-top:31.35pt;height:62.4pt;width:72pt;z-index:251682816;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Fw6qA&#10;1wAAAAkBAAAPAAAAAAAAAAEAIAAAACIAAABkcnMvZG93bnJldi54bWxQSwECFAAUAAAACACHTuJA&#10;I5K2M7ABAABRAwAADgAAAAAAAAABACAAAAAmAQAAZHJzL2Uyb0RvYy54bWxQSwUGAAAAAAYABgBZ&#10;AQAASAUAAAAA&#10;">
                <v:fill on="f" focussize="0,0"/>
                <v:stroke on="f"/>
                <v:imagedata o:title=""/>
                <o:lock v:ext="edit" aspectratio="f"/>
                <v:textbox>
                  <w:txbxContent>
                    <w:p>
                      <w:pPr>
                        <w:pStyle w:val="13"/>
                        <w:tabs>
                          <w:tab w:val="left" w:pos="2160"/>
                        </w:tabs>
                        <w:spacing w:before="249"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9.1  </w:t>
      </w:r>
    </w:p>
    <w:p>
      <w:pPr>
        <w:pStyle w:val="13"/>
        <w:tabs>
          <w:tab w:val="left" w:pos="1980"/>
        </w:tabs>
        <w:spacing w:before="249" w:beforeLines="80" w:line="360" w:lineRule="auto"/>
        <w:ind w:left="162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发包人招标文件中的合同条款及格式，应被认为是正确的和公平的，并已包括了发包人履行本合同的全部义务，包括但不限于以下内容：</w:t>
      </w:r>
    </w:p>
    <w:p>
      <w:pPr>
        <w:pStyle w:val="13"/>
        <w:tabs>
          <w:tab w:val="left" w:pos="2160"/>
        </w:tabs>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）支付工程款及其他应付款项的义务；</w:t>
      </w:r>
    </w:p>
    <w:p>
      <w:pPr>
        <w:pStyle w:val="13"/>
        <w:tabs>
          <w:tab w:val="left" w:pos="2160"/>
        </w:tabs>
        <w:spacing w:line="360" w:lineRule="auto"/>
        <w:ind w:left="-61" w:leftChars="-29"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）完成本合同第</w:t>
      </w:r>
      <w:r>
        <w:rPr>
          <w:rFonts w:ascii="仿宋" w:hAnsi="仿宋" w:eastAsia="仿宋" w:cs="仿宋"/>
          <w:color w:val="auto"/>
          <w:sz w:val="24"/>
          <w:szCs w:val="24"/>
          <w:highlight w:val="none"/>
        </w:rPr>
        <w:t>19.2</w:t>
      </w:r>
      <w:r>
        <w:rPr>
          <w:rFonts w:hint="eastAsia" w:ascii="仿宋" w:hAnsi="仿宋" w:eastAsia="仿宋" w:cs="仿宋"/>
          <w:color w:val="auto"/>
          <w:sz w:val="24"/>
          <w:szCs w:val="24"/>
          <w:highlight w:val="none"/>
        </w:rPr>
        <w:t>款约定工作的义务；</w:t>
      </w:r>
    </w:p>
    <w:p>
      <w:pPr>
        <w:pStyle w:val="13"/>
        <w:tabs>
          <w:tab w:val="left" w:pos="2160"/>
        </w:tabs>
        <w:spacing w:line="360" w:lineRule="auto"/>
        <w:ind w:left="-61" w:leftChars="-29"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）修正不正确合同条款及格式的义务；</w:t>
      </w:r>
    </w:p>
    <w:p>
      <w:pPr>
        <w:pStyle w:val="13"/>
        <w:tabs>
          <w:tab w:val="left" w:pos="2160"/>
        </w:tabs>
        <w:spacing w:line="360" w:lineRule="auto"/>
        <w:ind w:left="-61" w:leftChars="-29"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）澄清并改正被认定有失公平的合同条款的义务；</w:t>
      </w:r>
    </w:p>
    <w:p>
      <w:pPr>
        <w:pStyle w:val="13"/>
        <w:tabs>
          <w:tab w:val="left" w:pos="2160"/>
        </w:tabs>
        <w:spacing w:line="360" w:lineRule="auto"/>
        <w:ind w:left="-61" w:leftChars="-29" w:firstLine="1680" w:firstLineChars="700"/>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）协助承包人实施、完成并保修合同工程的义务。</w:t>
      </w:r>
    </w:p>
    <w:p>
      <w:pPr>
        <w:pStyle w:val="13"/>
        <w:tabs>
          <w:tab w:val="left" w:pos="2160"/>
        </w:tabs>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424" name="文本框 425"/>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pPr>
                              <w:pStyle w:val="13"/>
                              <w:tabs>
                                <w:tab w:val="left" w:pos="2160"/>
                              </w:tabs>
                              <w:spacing w:before="249"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pPr>
                              <w:rPr>
                                <w:rFonts w:cs="Times New Roman"/>
                                <w:sz w:val="18"/>
                                <w:szCs w:val="18"/>
                              </w:rPr>
                            </w:pPr>
                          </w:p>
                        </w:txbxContent>
                      </wps:txbx>
                      <wps:bodyPr upright="1"/>
                    </wps:wsp>
                  </a:graphicData>
                </a:graphic>
              </wp:anchor>
            </w:drawing>
          </mc:Choice>
          <mc:Fallback>
            <w:pict>
              <v:shape id="文本框 425" o:spid="_x0000_s1026" o:spt="202" type="#_x0000_t202" style="position:absolute;left:0pt;margin-left:3.55pt;margin-top:14.75pt;height:65.3pt;width:72pt;z-index:251683840;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4ztrdUA&#10;AAAIAQAADwAAAAAAAAABACAAAAAiAAAAZHJzL2Rvd25yZXYueG1sUEsBAhQAFAAAAAgAh07iQCXr&#10;3vSwAQAAUQMAAA4AAAAAAAAAAQAgAAAAJAEAAGRycy9lMm9Eb2MueG1sUEsFBgAAAAAGAAYAWQEA&#10;AEYFAAAAAA==&#10;">
                <v:fill on="f" focussize="0,0"/>
                <v:stroke on="f"/>
                <v:imagedata o:title=""/>
                <o:lock v:ext="edit" aspectratio="f"/>
                <v:textbox>
                  <w:txbxContent>
                    <w:p>
                      <w:pPr>
                        <w:pStyle w:val="13"/>
                        <w:tabs>
                          <w:tab w:val="left" w:pos="2160"/>
                        </w:tabs>
                        <w:spacing w:before="249" w:beforeLines="80"/>
                        <w:rPr>
                          <w:rFonts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9.2  </w:t>
      </w:r>
      <w:r>
        <w:rPr>
          <w:rFonts w:ascii="仿宋" w:hAnsi="仿宋" w:eastAsia="仿宋" w:cs="仿宋"/>
          <w:b/>
          <w:bCs/>
          <w:color w:val="auto"/>
          <w:sz w:val="24"/>
          <w:szCs w:val="24"/>
          <w:highlight w:val="none"/>
          <w:u w:val="dotted"/>
        </w:rPr>
        <w:t xml:space="preserve">                                                                               </w:t>
      </w:r>
    </w:p>
    <w:p>
      <w:pPr>
        <w:pStyle w:val="13"/>
        <w:tabs>
          <w:tab w:val="left" w:pos="2160"/>
        </w:tabs>
        <w:spacing w:line="360" w:lineRule="auto"/>
        <w:ind w:left="1799" w:leftChars="828" w:hanging="60" w:hanging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发包人招标文件提供的工程量清单及其招标控制价等资料，应被认为是准确的和完整的。当出现下列情形之一的，发包人应及时予以修正，并相应调整合同价款：</w:t>
      </w:r>
    </w:p>
    <w:p>
      <w:pPr>
        <w:pStyle w:val="13"/>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）施工设计图纸发生变化的；</w:t>
      </w:r>
    </w:p>
    <w:p>
      <w:pPr>
        <w:pStyle w:val="13"/>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w:t>
      </w:r>
    </w:p>
    <w:p>
      <w:pPr>
        <w:pStyle w:val="13"/>
        <w:tabs>
          <w:tab w:val="left" w:pos="2160"/>
        </w:tabs>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）未按照国家、省有关计价规定编制的其它情形。</w:t>
      </w:r>
    </w:p>
    <w:p>
      <w:pPr>
        <w:pStyle w:val="13"/>
        <w:tabs>
          <w:tab w:val="left" w:pos="2160"/>
        </w:tabs>
        <w:spacing w:line="360" w:lineRule="auto"/>
        <w:rPr>
          <w:color w:val="auto"/>
          <w:highlight w:val="none"/>
        </w:rPr>
      </w:pPr>
      <w:r>
        <w:rPr>
          <w:rFonts w:hint="eastAsia"/>
          <w:color w:val="auto"/>
          <w:highlight w:val="none"/>
        </w:rPr>
        <w:t xml:space="preserve">               </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4</w:t>
      </w:r>
      <w:r>
        <w:rPr>
          <w:rFonts w:ascii="仿宋" w:hAnsi="仿宋" w:eastAsia="仿宋" w:cs="仿宋"/>
          <w:color w:val="auto"/>
          <w:sz w:val="24"/>
          <w:szCs w:val="24"/>
          <w:highlight w:val="none"/>
        </w:rPr>
        <w:t>）工程量清单存在缺项、漏项的；</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spacing w:line="360" w:lineRule="auto"/>
        <w:rPr>
          <w:rFonts w:ascii="仿宋" w:hAnsi="仿宋" w:eastAsia="仿宋"/>
          <w:color w:val="auto"/>
          <w:sz w:val="24"/>
          <w:szCs w:val="24"/>
          <w:highlight w:val="none"/>
        </w:rPr>
      </w:pPr>
      <w:bookmarkStart w:id="118" w:name="_Toc22561"/>
      <w:bookmarkStart w:id="119" w:name="_Toc4000"/>
      <w:bookmarkStart w:id="120" w:name="_Toc17072"/>
      <w:bookmarkStart w:id="121" w:name="_Toc469383989"/>
      <w:bookmarkStart w:id="122" w:name="_Toc32158"/>
      <w:bookmarkStart w:id="123" w:name="_Toc31893"/>
      <w:bookmarkStart w:id="124" w:name="_Toc10624829"/>
      <w:r>
        <w:rPr>
          <w:rFonts w:ascii="仿宋" w:hAnsi="仿宋" w:eastAsia="仿宋" w:cs="仿宋"/>
          <w:color w:val="auto"/>
          <w:sz w:val="24"/>
          <w:szCs w:val="24"/>
          <w:highlight w:val="none"/>
        </w:rPr>
        <w:t xml:space="preserve">10  </w:t>
      </w:r>
      <w:r>
        <w:rPr>
          <w:rFonts w:hint="eastAsia" w:ascii="仿宋" w:hAnsi="仿宋" w:eastAsia="仿宋" w:cs="仿宋"/>
          <w:color w:val="auto"/>
          <w:sz w:val="24"/>
          <w:szCs w:val="24"/>
          <w:highlight w:val="none"/>
        </w:rPr>
        <w:t>投标文件的完备性</w:t>
      </w:r>
      <w:bookmarkEnd w:id="118"/>
      <w:bookmarkEnd w:id="119"/>
      <w:bookmarkEnd w:id="120"/>
      <w:bookmarkEnd w:id="121"/>
      <w:bookmarkEnd w:id="122"/>
      <w:bookmarkEnd w:id="123"/>
      <w:bookmarkEnd w:id="124"/>
    </w:p>
    <w:p>
      <w:pPr>
        <w:pStyle w:val="13"/>
        <w:tabs>
          <w:tab w:val="left" w:pos="1410"/>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425" name="文本框 426"/>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pPr>
                              <w:pStyle w:val="13"/>
                              <w:tabs>
                                <w:tab w:val="left" w:pos="2160"/>
                              </w:tabs>
                              <w:spacing w:before="249" w:beforeLines="80"/>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upright="1"/>
                    </wps:wsp>
                  </a:graphicData>
                </a:graphic>
              </wp:anchor>
            </w:drawing>
          </mc:Choice>
          <mc:Fallback>
            <w:pict>
              <v:shape id="文本框 426" o:spid="_x0000_s1026" o:spt="202" type="#_x0000_t202" style="position:absolute;left:0pt;margin-left:-9pt;margin-top:7.25pt;height:64pt;width:72pt;z-index:251684864;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uPKGtYA&#10;AAAKAQAADwAAAAAAAAABACAAAAAiAAAAZHJzL2Rvd25yZXYueG1sUEsBAhQAFAAAAAgAh07iQLBO&#10;0BSvAQAAUQMAAA4AAAAAAAAAAQAgAAAAJQEAAGRycy9lMm9Eb2MueG1sUEsFBgAAAAAGAAYAWQEA&#10;AEYFAAAAAA==&#10;">
                <v:fill on="f" focussize="0,0"/>
                <v:stroke on="f"/>
                <v:imagedata o:title=""/>
                <o:lock v:ext="edit" aspectratio="f"/>
                <v:textbox>
                  <w:txbxContent>
                    <w:p>
                      <w:pPr>
                        <w:pStyle w:val="13"/>
                        <w:tabs>
                          <w:tab w:val="left" w:pos="2160"/>
                        </w:tabs>
                        <w:spacing w:before="249" w:beforeLines="80"/>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sz w:val="24"/>
          <w:szCs w:val="24"/>
          <w:highlight w:val="none"/>
        </w:rPr>
        <w:t xml:space="preserve">10.1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承包人投标文件中的工程量清单所填单价和合价，应被认为是正确的和完备的，并已包括了承包人履行本合同的全部义务，包括但不限于以下内容：</w:t>
      </w:r>
    </w:p>
    <w:p>
      <w:pPr>
        <w:pStyle w:val="13"/>
        <w:adjustRightInd w:val="0"/>
        <w:snapToGrid w:val="0"/>
        <w:spacing w:line="360" w:lineRule="auto"/>
        <w:ind w:right="-2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）提供材料和工程设备、服务的义务及处理意外事件的义务；</w:t>
      </w:r>
      <w:r>
        <w:rPr>
          <w:rFonts w:ascii="仿宋" w:hAnsi="仿宋" w:eastAsia="仿宋" w:cs="仿宋"/>
          <w:color w:val="auto"/>
          <w:sz w:val="24"/>
          <w:szCs w:val="24"/>
          <w:highlight w:val="none"/>
        </w:rPr>
        <w:t xml:space="preserve"> </w:t>
      </w:r>
    </w:p>
    <w:p>
      <w:pPr>
        <w:pStyle w:val="13"/>
        <w:adjustRightInd w:val="0"/>
        <w:snapToGrid w:val="0"/>
        <w:spacing w:line="360" w:lineRule="auto"/>
        <w:ind w:right="-2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（2）实施和完成合同工程的义务；</w:t>
      </w:r>
    </w:p>
    <w:p>
      <w:pPr>
        <w:pStyle w:val="13"/>
        <w:adjustRightInd w:val="0"/>
        <w:snapToGrid w:val="0"/>
        <w:spacing w:line="360" w:lineRule="auto"/>
        <w:ind w:right="-24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（3）工程质量保修的一切义务。</w:t>
      </w:r>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10.2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26" name="文本框 42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upright="1"/>
                    </wps:wsp>
                  </a:graphicData>
                </a:graphic>
              </wp:anchor>
            </w:drawing>
          </mc:Choice>
          <mc:Fallback>
            <w:pict>
              <v:shape id="文本框 427" o:spid="_x0000_s1026" o:spt="202" type="#_x0000_t202" style="position:absolute;left:0pt;margin-left:-9pt;margin-top:0.65pt;height:35.85pt;width:72pt;z-index:251685888;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7+MQ9UA&#10;AAAIAQAADwAAAAAAAAABACAAAAAiAAAAZHJzL2Rvd25yZXYueG1sUEsBAhQAFAAAAAgAh07iQKdx&#10;OhO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rPr>
        <w:t>承包人投标文件中的工程量清单中没有填入单价或合价的清单项目，应认为该项目价款已包含在工程量清单的其他项目的单价或合价中，发包人将不另行支付。</w:t>
      </w:r>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10.3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427" name="文本框 428"/>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upright="1"/>
                    </wps:wsp>
                  </a:graphicData>
                </a:graphic>
              </wp:anchor>
            </w:drawing>
          </mc:Choice>
          <mc:Fallback>
            <w:pict>
              <v:shape id="文本框 428" o:spid="_x0000_s1026" o:spt="202" type="#_x0000_t202" style="position:absolute;left:0pt;margin-left:-9pt;margin-top:0.65pt;height:35.85pt;width:72pt;z-index:251686912;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7+MQ9UA&#10;AAAIAQAADwAAAAAAAAABACAAAAAiAAAAZHJzL2Rvd25yZXYueG1sUEsBAhQAFAAAAAgAh07iQFKB&#10;HDa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rPr>
        <w:t>承包人投标文件中出现算术性错误，导致其实际总造价与报价总金额不一致时，合同双方当事人可按照国家、省有关规定予以修正，并相应调整合同价款。</w:t>
      </w:r>
    </w:p>
    <w:p>
      <w:pPr>
        <w:pStyle w:val="13"/>
        <w:adjustRightInd w:val="0"/>
        <w:snapToGrid w:val="0"/>
        <w:ind w:left="1626" w:leftChars="1" w:hanging="1624" w:hangingChars="674"/>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adjustRightInd w:val="0"/>
        <w:snapToGrid w:val="0"/>
        <w:spacing w:before="312" w:beforeLines="100" w:line="240" w:lineRule="exact"/>
        <w:ind w:firstLine="601"/>
        <w:rPr>
          <w:rFonts w:ascii="仿宋" w:hAnsi="仿宋" w:eastAsia="仿宋" w:cs="Times New Roman"/>
          <w:b/>
          <w:bCs/>
          <w:color w:val="auto"/>
          <w:sz w:val="24"/>
          <w:szCs w:val="24"/>
          <w:highlight w:val="none"/>
        </w:rPr>
      </w:pPr>
    </w:p>
    <w:p>
      <w:pPr>
        <w:pStyle w:val="13"/>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125" w:name="_Toc9454"/>
      <w:bookmarkStart w:id="126" w:name="_Toc10624830"/>
      <w:bookmarkStart w:id="127" w:name="_Toc17360"/>
      <w:bookmarkStart w:id="128" w:name="_Toc22249"/>
      <w:bookmarkStart w:id="129" w:name="_Toc16951"/>
      <w:bookmarkStart w:id="130" w:name="_Toc17074"/>
      <w:bookmarkStart w:id="131" w:name="_Toc469383990"/>
      <w:r>
        <w:rPr>
          <w:rFonts w:ascii="仿宋" w:hAnsi="仿宋" w:eastAsia="仿宋" w:cs="仿宋"/>
          <w:b/>
          <w:bCs/>
          <w:color w:val="auto"/>
          <w:sz w:val="24"/>
          <w:szCs w:val="24"/>
          <w:highlight w:val="none"/>
        </w:rPr>
        <w:t xml:space="preserve">11  </w:t>
      </w:r>
      <w:r>
        <w:rPr>
          <w:rFonts w:hint="eastAsia" w:ascii="仿宋" w:hAnsi="仿宋" w:eastAsia="仿宋" w:cs="仿宋"/>
          <w:b/>
          <w:bCs/>
          <w:color w:val="auto"/>
          <w:sz w:val="24"/>
          <w:szCs w:val="24"/>
          <w:highlight w:val="none"/>
        </w:rPr>
        <w:t>文物和地下障碍物</w:t>
      </w:r>
      <w:bookmarkEnd w:id="125"/>
      <w:bookmarkEnd w:id="126"/>
      <w:bookmarkEnd w:id="127"/>
      <w:bookmarkEnd w:id="128"/>
      <w:bookmarkEnd w:id="129"/>
      <w:bookmarkEnd w:id="130"/>
      <w:bookmarkEnd w:id="131"/>
    </w:p>
    <w:p>
      <w:pPr>
        <w:pStyle w:val="13"/>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 xml:space="preserve">11.1  </w:t>
      </w:r>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428" name="文本框 4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upright="1"/>
                    </wps:wsp>
                  </a:graphicData>
                </a:graphic>
              </wp:anchor>
            </w:drawing>
          </mc:Choice>
          <mc:Fallback>
            <w:pict>
              <v:shape id="文本框 429" o:spid="_x0000_s1026" o:spt="202" type="#_x0000_t202" style="position:absolute;left:0pt;margin-left:-9pt;margin-top:-0.6pt;height:39pt;width:72pt;z-index:251687936;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2HuttYA&#10;AAAJAQAADwAAAAAAAAABACAAAAAiAAAAZHJzL2Rvd25yZXYueG1sUEsBAhQAFAAAAAgAh07iQG3i&#10;gAKvAQAAUQMAAA4AAAAAAAAAAQAgAAAAJQEAAGRycy9lMm9Eb2MueG1sUEsFBgAAAAAGAAYAWQEA&#10;AEY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小时内以书面形式通知监理工程师和发包人。监理工程师应在收到通知后立即指令承包人继续保护好现场，并在收到通知后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小时内报告当地文物管理部门，合同双方当事人应按照文物管理部门的要求采取妥善保护措施。发包人承担由此增加的费用和（或）工期延误，并向承包人支付合理利润。</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如发现文物后隐瞒不报或报告不及时，导致上述文物丢失或遭受破坏的，由责任方赔偿损失，并承担相应的法律责任。</w:t>
      </w:r>
    </w:p>
    <w:p>
      <w:pPr>
        <w:pStyle w:val="13"/>
        <w:adjustRightInd w:val="0"/>
        <w:snapToGrid w:val="0"/>
        <w:spacing w:line="360" w:lineRule="auto"/>
        <w:rPr>
          <w:rFonts w:ascii="仿宋" w:hAnsi="仿宋" w:eastAsia="仿宋" w:cs="Times New Roman"/>
          <w:b/>
          <w:bCs/>
          <w:color w:val="auto"/>
          <w:sz w:val="24"/>
          <w:szCs w:val="24"/>
          <w:highlight w:val="none"/>
        </w:rPr>
      </w:pP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429" name="文本框 43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upright="1"/>
                    </wps:wsp>
                  </a:graphicData>
                </a:graphic>
              </wp:anchor>
            </w:drawing>
          </mc:Choice>
          <mc:Fallback>
            <w:pict>
              <v:shape id="文本框 430" o:spid="_x0000_s1026" o:spt="202" type="#_x0000_t202" style="position:absolute;left:0pt;margin-left:-9pt;margin-top:18.35pt;height:39pt;width:72pt;z-index:251688960;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89neDY&#10;AAAACgEAAA8AAAAAAAAAAQAgAAAAIgAAAGRycy9kb3ducmV2LnhtbFBLAQIUABQAAAAIAIdO4kAB&#10;Snw0rgEAAFEDAAAOAAAAAAAAAAEAIAAAACcBAABkcnMvZTJvRG9jLnhtbFBLBQYAAAAABgAGAFkB&#10;AABH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ascii="仿宋" w:hAnsi="仿宋" w:eastAsia="仿宋" w:cs="仿宋"/>
          <w:b/>
          <w:bCs/>
          <w:color w:val="auto"/>
          <w:sz w:val="24"/>
          <w:szCs w:val="24"/>
          <w:highlight w:val="none"/>
        </w:rPr>
        <w:t xml:space="preserve">11.2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本合同已明确指出的地下障碍物（发包人招标文件提供的工程量清单有列明或提供的地质资料已明确反映的），应视为承包人在投标报价时已预见其对施工的影响，并已在合同价款中考虑。</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小时内以书面形式通知监理工程师和发包人，并提出处置方案。监理工程师在收到处置方案后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小时内予以确认或提出修正方案，并发出施工指令。承包人应按照监理工程师指令进行施工。发包人应承担由此增加的费用和（或）延误的工期，并向承包人支付合理利润。</w:t>
      </w:r>
    </w:p>
    <w:p>
      <w:pPr>
        <w:pStyle w:val="13"/>
        <w:adjustRightInd w:val="0"/>
        <w:snapToGrid w:val="0"/>
        <w:spacing w:line="360" w:lineRule="auto"/>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162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132" w:name="_Toc5016"/>
      <w:bookmarkStart w:id="133" w:name="_Toc469383991"/>
      <w:bookmarkStart w:id="134" w:name="_Toc21519"/>
      <w:bookmarkStart w:id="135" w:name="_Toc10624831"/>
      <w:bookmarkStart w:id="136" w:name="_Toc21101"/>
      <w:bookmarkStart w:id="137" w:name="_Toc6778"/>
      <w:bookmarkStart w:id="138" w:name="_Toc32467"/>
      <w:r>
        <w:rPr>
          <w:rFonts w:ascii="仿宋" w:hAnsi="仿宋" w:eastAsia="仿宋" w:cs="仿宋"/>
          <w:b/>
          <w:bCs/>
          <w:color w:val="auto"/>
          <w:sz w:val="24"/>
          <w:szCs w:val="24"/>
          <w:highlight w:val="none"/>
        </w:rPr>
        <w:t xml:space="preserve">12  </w:t>
      </w:r>
      <w:r>
        <w:rPr>
          <w:rFonts w:hint="eastAsia" w:ascii="仿宋" w:hAnsi="仿宋" w:eastAsia="仿宋" w:cs="仿宋"/>
          <w:b/>
          <w:bCs/>
          <w:color w:val="auto"/>
          <w:sz w:val="24"/>
          <w:szCs w:val="24"/>
          <w:highlight w:val="none"/>
        </w:rPr>
        <w:t>事故处理</w:t>
      </w:r>
      <w:bookmarkEnd w:id="132"/>
      <w:bookmarkEnd w:id="133"/>
      <w:bookmarkEnd w:id="134"/>
      <w:bookmarkEnd w:id="135"/>
      <w:bookmarkEnd w:id="136"/>
      <w:bookmarkEnd w:id="137"/>
      <w:bookmarkEnd w:id="138"/>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430" name="文本框 431"/>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pPr>
                              <w:rPr>
                                <w:rFonts w:cs="Times New Roman"/>
                                <w:color w:val="000000"/>
                                <w:sz w:val="18"/>
                                <w:szCs w:val="18"/>
                              </w:rPr>
                            </w:pPr>
                          </w:p>
                        </w:txbxContent>
                      </wps:txbx>
                      <wps:bodyPr upright="1"/>
                    </wps:wsp>
                  </a:graphicData>
                </a:graphic>
              </wp:anchor>
            </w:drawing>
          </mc:Choice>
          <mc:Fallback>
            <w:pict>
              <v:shape id="文本框 431" o:spid="_x0000_s1026" o:spt="202" type="#_x0000_t202" style="position:absolute;left:0pt;margin-left:-9pt;margin-top:18.05pt;height:41.25pt;width:81pt;z-index:251689984;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QGxh/W&#10;AAAACgEAAA8AAAAAAAAAAQAgAAAAIgAAAGRycy9kb3ducmV2LnhtbFBLAQIUABQAAAAIAIdO4kDm&#10;RuNMsAEAAFI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pPr>
                        <w:rPr>
                          <w:rFonts w:cs="Times New Roman"/>
                          <w:color w:val="000000"/>
                          <w:sz w:val="18"/>
                          <w:szCs w:val="18"/>
                        </w:rPr>
                      </w:pPr>
                    </w:p>
                  </w:txbxContent>
                </v:textbox>
              </v:shape>
            </w:pict>
          </mc:Fallback>
        </mc:AlternateContent>
      </w:r>
      <w:r>
        <w:rPr>
          <w:rFonts w:ascii="仿宋" w:hAnsi="仿宋" w:eastAsia="仿宋" w:cs="仿宋"/>
          <w:b/>
          <w:bCs/>
          <w:color w:val="auto"/>
          <w:sz w:val="24"/>
          <w:szCs w:val="24"/>
          <w:highlight w:val="none"/>
        </w:rPr>
        <w:t xml:space="preserve">12.1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合同履行期间，合同工程发生质量与安全事故，承包人立即通知监理工程师和发包人。</w:t>
      </w:r>
    </w:p>
    <w:p>
      <w:pPr>
        <w:pStyle w:val="13"/>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431" name="文本框 432"/>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upright="1"/>
                    </wps:wsp>
                  </a:graphicData>
                </a:graphic>
              </wp:anchor>
            </w:drawing>
          </mc:Choice>
          <mc:Fallback>
            <w:pict>
              <v:shape id="文本框 432" o:spid="_x0000_s1026" o:spt="202" type="#_x0000_t202" style="position:absolute;left:0pt;margin-left:-9pt;margin-top:17.7pt;height:23.4pt;width:81pt;z-index:25169100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WcmWXW&#10;AAAACQEAAA8AAAAAAAAAAQAgAAAAIgAAAGRycy9kb3ducmV2LnhtbFBLAQIUABQAAAAIAIdO4kAH&#10;YAymsAEAAFI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rPr>
        <w:t xml:space="preserve">12.2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合同双方当事人应按照国家规定时限如实上报政府有关部门，配合政府有关部门的调查和处理，由此发生的费用和（或）延误的工期由事故责任方承担。</w:t>
      </w: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432" name="文本框 433"/>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upright="1"/>
                    </wps:wsp>
                  </a:graphicData>
                </a:graphic>
              </wp:anchor>
            </w:drawing>
          </mc:Choice>
          <mc:Fallback>
            <w:pict>
              <v:shape id="文本框 433" o:spid="_x0000_s1026" o:spt="202" type="#_x0000_t202" style="position:absolute;left:0pt;margin-left:-9pt;margin-top:17.7pt;height:23.4pt;width:81pt;z-index:251692032;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1nJll&#10;1gAAAAkBAAAPAAAAAAAAAAEAIAAAACIAAABkcnMvZG93bnJldi54bWxQSwECFAAUAAAACACHTuJA&#10;I3mTjrEBAABSAwAADgAAAAAAAAABACAAAAAl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rPr>
        <w:t xml:space="preserve">12.3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合同双方当事人对事故责任有争议时，应按照政府有关部门的认定处理。</w:t>
      </w:r>
    </w:p>
    <w:p>
      <w:pPr>
        <w:pStyle w:val="13"/>
        <w:adjustRightInd w:val="0"/>
        <w:snapToGrid w:val="0"/>
        <w:spacing w:line="480" w:lineRule="auto"/>
        <w:ind w:right="-238"/>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rPr>
        <w:t xml:space="preserve">  </w:t>
      </w:r>
      <w:r>
        <w:rPr>
          <w:rFonts w:ascii="仿宋" w:hAnsi="仿宋" w:eastAsia="仿宋" w:cs="仿宋"/>
          <w:color w:val="auto"/>
          <w:sz w:val="24"/>
          <w:szCs w:val="24"/>
          <w:highlight w:val="none"/>
        </w:rPr>
        <w:t xml:space="preserve">                         </w:t>
      </w:r>
    </w:p>
    <w:p>
      <w:pPr>
        <w:pStyle w:val="13"/>
        <w:tabs>
          <w:tab w:val="left" w:pos="1620"/>
        </w:tabs>
        <w:adjustRightInd w:val="0"/>
        <w:snapToGrid w:val="0"/>
        <w:spacing w:before="312" w:beforeLines="100" w:line="360" w:lineRule="auto"/>
        <w:ind w:right="-237" w:rightChars="-113"/>
        <w:outlineLvl w:val="2"/>
        <w:rPr>
          <w:rFonts w:ascii="仿宋" w:hAnsi="仿宋" w:eastAsia="仿宋" w:cs="Times New Roman"/>
          <w:b/>
          <w:bCs/>
          <w:color w:val="auto"/>
          <w:sz w:val="24"/>
          <w:szCs w:val="24"/>
          <w:highlight w:val="none"/>
        </w:rPr>
      </w:pPr>
      <w:bookmarkStart w:id="139" w:name="_Toc15258"/>
      <w:bookmarkStart w:id="140" w:name="_Toc469383992"/>
      <w:bookmarkStart w:id="141" w:name="_Toc30053"/>
      <w:bookmarkStart w:id="142" w:name="_Toc9066"/>
      <w:bookmarkStart w:id="143" w:name="_Toc10624832"/>
      <w:bookmarkStart w:id="144" w:name="_Toc13213"/>
      <w:bookmarkStart w:id="145" w:name="_Toc20310"/>
      <w:r>
        <w:rPr>
          <w:rFonts w:ascii="仿宋" w:hAnsi="仿宋" w:eastAsia="仿宋" w:cs="仿宋"/>
          <w:b/>
          <w:bCs/>
          <w:color w:val="auto"/>
          <w:sz w:val="24"/>
          <w:szCs w:val="24"/>
          <w:highlight w:val="none"/>
        </w:rPr>
        <w:t xml:space="preserve">13  </w:t>
      </w:r>
      <w:r>
        <w:rPr>
          <w:rFonts w:hint="eastAsia" w:ascii="仿宋" w:hAnsi="仿宋" w:eastAsia="仿宋" w:cs="仿宋"/>
          <w:b/>
          <w:bCs/>
          <w:color w:val="auto"/>
          <w:sz w:val="24"/>
          <w:szCs w:val="24"/>
          <w:highlight w:val="none"/>
        </w:rPr>
        <w:t>交通运输</w:t>
      </w:r>
      <w:bookmarkEnd w:id="139"/>
      <w:bookmarkEnd w:id="140"/>
      <w:bookmarkEnd w:id="141"/>
      <w:bookmarkEnd w:id="142"/>
      <w:bookmarkEnd w:id="143"/>
      <w:bookmarkEnd w:id="144"/>
      <w:bookmarkEnd w:id="145"/>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13.1                   </w:t>
      </w:r>
    </w:p>
    <w:p>
      <w:pPr>
        <w:autoSpaceDE w:val="0"/>
        <w:autoSpaceDN w:val="0"/>
        <w:adjustRightInd w:val="0"/>
        <w:spacing w:line="312" w:lineRule="auto"/>
        <w:ind w:right="-20" w:firstLine="420" w:firstLineChars="200"/>
        <w:rPr>
          <w:color w:val="auto"/>
          <w:highlight w:val="none"/>
        </w:rPr>
      </w:pPr>
      <w:r>
        <w:rPr>
          <w:rFonts w:hint="eastAsia"/>
          <w:color w:val="auto"/>
          <w:highlight w:val="none"/>
        </w:rPr>
        <w:t xml:space="preserve">       </w:t>
      </w:r>
    </w:p>
    <w:p>
      <w:pPr>
        <w:autoSpaceDE w:val="0"/>
        <w:autoSpaceDN w:val="0"/>
        <w:adjustRightInd w:val="0"/>
        <w:spacing w:line="360" w:lineRule="auto"/>
        <w:ind w:left="1676" w:leftChars="798" w:right="-20"/>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-80010</wp:posOffset>
                </wp:positionH>
                <wp:positionV relativeFrom="paragraph">
                  <wp:posOffset>-20320</wp:posOffset>
                </wp:positionV>
                <wp:extent cx="1028700" cy="523875"/>
                <wp:effectExtent l="0" t="0" r="0" b="0"/>
                <wp:wrapNone/>
                <wp:docPr id="433" name="文本框 43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pPr>
                              <w:rPr>
                                <w:rFonts w:cs="Times New Roman"/>
                                <w:color w:val="0000FF"/>
                                <w:sz w:val="18"/>
                                <w:szCs w:val="18"/>
                              </w:rPr>
                            </w:pPr>
                          </w:p>
                          <w:p>
                            <w:pPr>
                              <w:rPr>
                                <w:rFonts w:cs="Times New Roman"/>
                                <w:sz w:val="18"/>
                                <w:szCs w:val="18"/>
                              </w:rPr>
                            </w:pPr>
                          </w:p>
                        </w:txbxContent>
                      </wps:txbx>
                      <wps:bodyPr upright="1"/>
                    </wps:wsp>
                  </a:graphicData>
                </a:graphic>
              </wp:anchor>
            </w:drawing>
          </mc:Choice>
          <mc:Fallback>
            <w:pict>
              <v:shape id="文本框 434" o:spid="_x0000_s1026" o:spt="202" type="#_x0000_t202" style="position:absolute;left:0pt;margin-left:-6.3pt;margin-top:-1.6pt;height:41.25pt;width:81pt;z-index:251693056;mso-width-relative:page;mso-height-relative:page;" filled="f" stroked="f" coordsize="21600,21600" o:gfxdata="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lNo/&#10;1wAAAAkBAAAPAAAAAAAAAAEAIAAAACIAAABkcnMvZG93bnJldi54bWxQSwECFAAUAAAACACHTuJA&#10;MkACTbABAABSAwAADgAAAAAAAAABACAAAAAm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pPr>
                        <w:rPr>
                          <w:rFonts w:cs="Times New Roman"/>
                          <w:color w:val="0000FF"/>
                          <w:sz w:val="18"/>
                          <w:szCs w:val="18"/>
                        </w:rPr>
                      </w:pPr>
                    </w:p>
                    <w:p>
                      <w:pPr>
                        <w:rPr>
                          <w:rFonts w:cs="Times New Roman"/>
                          <w:sz w:val="18"/>
                          <w:szCs w:val="18"/>
                        </w:rPr>
                      </w:pPr>
                    </w:p>
                  </w:txbxContent>
                </v:textbox>
              </v:shape>
            </w:pict>
          </mc:Fallback>
        </mc:AlternateContent>
      </w:r>
      <w:r>
        <w:rPr>
          <w:rFonts w:ascii="仿宋" w:hAnsi="仿宋" w:eastAsia="仿宋" w:cs="仿宋"/>
          <w:color w:val="auto"/>
          <w:sz w:val="24"/>
          <w:szCs w:val="24"/>
          <w:highlight w:val="none"/>
        </w:rPr>
        <w:t>除专用条款另有约定外，发包人应根据实施合同工程的需要，负责办理取得出入</w:t>
      </w:r>
      <w:r>
        <w:rPr>
          <w:rFonts w:hint="eastAsia" w:ascii="仿宋" w:hAnsi="仿宋" w:eastAsia="仿宋" w:cs="仿宋"/>
          <w:color w:val="auto"/>
          <w:sz w:val="24"/>
          <w:szCs w:val="24"/>
          <w:highlight w:val="none"/>
        </w:rPr>
        <w:t>施工</w:t>
      </w:r>
      <w:r>
        <w:rPr>
          <w:rFonts w:ascii="仿宋" w:hAnsi="仿宋" w:eastAsia="仿宋" w:cs="仿宋"/>
          <w:color w:val="auto"/>
          <w:sz w:val="24"/>
          <w:szCs w:val="24"/>
          <w:highlight w:val="none"/>
        </w:rPr>
        <w:t>场地的专用和临时道路的通行权，以及取得为实施合同工程所需修建场外设施的权利，并承担有关费用（包括运输超大件或超重件所需的道路和桥梁临时加固改造费用和其他有关费用）。承包人应协助发包人办理上述手续。</w:t>
      </w:r>
    </w:p>
    <w:p>
      <w:pPr>
        <w:pStyle w:val="13"/>
        <w:tabs>
          <w:tab w:val="left" w:pos="1202"/>
        </w:tabs>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pStyle w:val="13"/>
        <w:tabs>
          <w:tab w:val="left" w:pos="1202"/>
        </w:tabs>
        <w:adjustRightInd w:val="0"/>
        <w:snapToGrid w:val="0"/>
        <w:spacing w:line="360" w:lineRule="auto"/>
        <w:ind w:left="1417" w:leftChars="1" w:hanging="1415" w:hangingChars="674"/>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434" name="文本框 435"/>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pPr>
                              <w:rPr>
                                <w:rFonts w:cs="Times New Roman"/>
                                <w:color w:val="0000FF"/>
                                <w:sz w:val="18"/>
                                <w:szCs w:val="18"/>
                              </w:rPr>
                            </w:pPr>
                          </w:p>
                          <w:p>
                            <w:pPr>
                              <w:rPr>
                                <w:rFonts w:cs="Times New Roman"/>
                                <w:sz w:val="18"/>
                                <w:szCs w:val="18"/>
                              </w:rPr>
                            </w:pPr>
                          </w:p>
                        </w:txbxContent>
                      </wps:txbx>
                      <wps:bodyPr upright="1"/>
                    </wps:wsp>
                  </a:graphicData>
                </a:graphic>
              </wp:anchor>
            </w:drawing>
          </mc:Choice>
          <mc:Fallback>
            <w:pict>
              <v:shape id="文本框 435" o:spid="_x0000_s1026" o:spt="202" type="#_x0000_t202" style="position:absolute;left:0pt;margin-left:-9pt;margin-top:26.25pt;height:41.25pt;width:81pt;z-index:251694080;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Se&#10;K5nYAAAACgEAAA8AAAAAAAAAAQAgAAAAIgAAAGRycy9kb3ducmV2LnhtbFBLAQIUABQAAAAIAIdO&#10;4kAJckyqsQEAAFIDAAAOAAAAAAAAAAEAIAAAACcBAABkcnMvZTJvRG9jLnhtbFBLBQYAAAAABgAG&#10;AFkBAABK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pPr>
                        <w:rPr>
                          <w:rFonts w:cs="Times New Roman"/>
                          <w:color w:val="0000FF"/>
                          <w:sz w:val="18"/>
                          <w:szCs w:val="18"/>
                        </w:rPr>
                      </w:pP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13.2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除专用条款另有约定外，承包人应负责修建、维修、养护和管理施工场地内所需的临时道路和交通设施，包括维修、养护和管理发包人提供的道路和交通设施，并承担相应费用。</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承包人修建的临时道路和交通设施应免费提供发包人使用。</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435" name="文本框 43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upright="1"/>
                    </wps:wsp>
                  </a:graphicData>
                </a:graphic>
              </wp:anchor>
            </w:drawing>
          </mc:Choice>
          <mc:Fallback>
            <w:pict>
              <v:shape id="文本框 436" o:spid="_x0000_s1026" o:spt="202" type="#_x0000_t202" style="position:absolute;left:0pt;margin-left:-9pt;margin-top:17.7pt;height:23.4pt;width:81pt;z-index:25169510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1nJll&#10;1gAAAAkBAAAPAAAAAAAAAAEAIAAAACIAAABkcnMvZG93bnJldi54bWxQSwECFAAUAAAACACHTuJA&#10;6FSjQLEBAABSAwAADgAAAAAAAAABACAAAAAl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rPr>
        <w:t xml:space="preserve">13.3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承包人应遵守有关交通法规，严格按照道路和桥梁的限制荷重安全行驶，并服从交通管理部门的检查和监督。承包人车辆外出行驶所需的场外公共道路的通行费、养路费和税款等，由承包人承担。</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436" name="文本框 43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upright="1"/>
                    </wps:wsp>
                  </a:graphicData>
                </a:graphic>
              </wp:anchor>
            </w:drawing>
          </mc:Choice>
          <mc:Fallback>
            <w:pict>
              <v:shape id="文本框 437" o:spid="_x0000_s1026" o:spt="202" type="#_x0000_t202" style="position:absolute;left:0pt;margin-left:-9pt;margin-top:17.7pt;height:36.7pt;width:81pt;z-index:251696128;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9Iq&#10;t9cAAAAKAQAADwAAAAAAAAABACAAAAAiAAAAZHJzL2Rvd25yZXYueG1sUEsBAhQAFAAAAAgAh07i&#10;QIwh+NmxAQAAUgMAAA4AAAAAAAAAAQAgAAAAJg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ascii="仿宋" w:hAnsi="仿宋" w:eastAsia="仿宋" w:cs="仿宋"/>
          <w:b/>
          <w:bCs/>
          <w:color w:val="auto"/>
          <w:sz w:val="24"/>
          <w:szCs w:val="24"/>
          <w:highlight w:val="none"/>
        </w:rPr>
        <w:t xml:space="preserve">13.4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437" name="文本框 438"/>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upright="1"/>
                    </wps:wsp>
                  </a:graphicData>
                </a:graphic>
              </wp:anchor>
            </w:drawing>
          </mc:Choice>
          <mc:Fallback>
            <w:pict>
              <v:shape id="文本框 438" o:spid="_x0000_s1026" o:spt="202" type="#_x0000_t202" style="position:absolute;left:0pt;margin-left:-9pt;margin-top:17.7pt;height:36.7pt;width:81pt;z-index:251697152;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9Iq&#10;t9cAAAAKAQAADwAAAAAAAAABACAAAAAiAAAAZHJzL2Rvd25yZXYueG1sUEsBAhQAFAAAAAgAh07i&#10;QO8BChSxAQAAUgMAAA4AAAAAAAAAAQAgAAAAJg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ascii="仿宋" w:hAnsi="仿宋" w:eastAsia="仿宋" w:cs="仿宋"/>
          <w:b/>
          <w:bCs/>
          <w:color w:val="auto"/>
          <w:sz w:val="24"/>
          <w:szCs w:val="24"/>
          <w:highlight w:val="none"/>
        </w:rPr>
        <w:t xml:space="preserve">13.5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因承包人运输造成施工场地内外公共道路和桥梁损坏的，由承包人承担修复损坏的全部费用和可能引起的赔偿。</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438" name="文本框 439"/>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upright="1"/>
                    </wps:wsp>
                  </a:graphicData>
                </a:graphic>
              </wp:anchor>
            </w:drawing>
          </mc:Choice>
          <mc:Fallback>
            <w:pict>
              <v:shape id="文本框 439" o:spid="_x0000_s1026" o:spt="202" type="#_x0000_t202" style="position:absolute;left:0pt;margin-left:-9pt;margin-top:17.7pt;height:47.9pt;width:81pt;z-index:251698176;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Kad&#10;SdcAAAAKAQAADwAAAAAAAAABACAAAAAiAAAAZHJzL2Rvd25yZXYueG1sUEsBAhQAFAAAAAgAh07i&#10;QNjYNCyxAQAAUgMAAA4AAAAAAAAAAQAgAAAAJg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ascii="仿宋" w:hAnsi="仿宋" w:eastAsia="仿宋" w:cs="仿宋"/>
          <w:b/>
          <w:bCs/>
          <w:color w:val="auto"/>
          <w:sz w:val="24"/>
          <w:szCs w:val="24"/>
          <w:highlight w:val="none"/>
        </w:rPr>
        <w:t xml:space="preserve">13.6 </w:t>
      </w:r>
      <w:r>
        <w:rPr>
          <w:rFonts w:ascii="仿宋" w:hAnsi="仿宋" w:eastAsia="仿宋" w:cs="仿宋"/>
          <w:b/>
          <w:bCs/>
          <w:color w:val="auto"/>
          <w:sz w:val="24"/>
          <w:szCs w:val="24"/>
          <w:highlight w:val="none"/>
          <w:u w:val="dotted"/>
        </w:rPr>
        <w:t xml:space="preserve">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本条内容适用于水路运输和航空运输，其中“道路”包括河道、航线、船闸、机场、码头、堤防以及水路或航空运输中其他相似结构物；“车辆”包括船舶和飞机等。</w:t>
      </w:r>
    </w:p>
    <w:p>
      <w:pPr>
        <w:pStyle w:val="13"/>
        <w:tabs>
          <w:tab w:val="left" w:pos="1202"/>
        </w:tabs>
        <w:adjustRightInd w:val="0"/>
        <w:snapToGrid w:val="0"/>
        <w:spacing w:line="240" w:lineRule="exact"/>
        <w:jc w:val="left"/>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u w:val="single"/>
        </w:rPr>
        <w:t xml:space="preserve">                                                                              </w:t>
      </w:r>
      <w:r>
        <w:rPr>
          <w:rFonts w:ascii="仿宋" w:hAnsi="仿宋" w:eastAsia="仿宋" w:cs="仿宋"/>
          <w:b/>
          <w:bCs/>
          <w:color w:val="auto"/>
          <w:sz w:val="24"/>
          <w:szCs w:val="24"/>
          <w:highlight w:val="none"/>
        </w:rPr>
        <w:t xml:space="preserve">  </w:t>
      </w:r>
    </w:p>
    <w:p>
      <w:pPr>
        <w:pStyle w:val="13"/>
        <w:tabs>
          <w:tab w:val="left" w:pos="3818"/>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146" w:name="_Toc20258"/>
      <w:bookmarkStart w:id="147" w:name="_Toc28433"/>
      <w:bookmarkStart w:id="148" w:name="_Toc9296"/>
      <w:bookmarkStart w:id="149" w:name="_Toc469383993"/>
      <w:bookmarkStart w:id="150" w:name="_Toc24420"/>
      <w:bookmarkStart w:id="151" w:name="_Toc26804"/>
      <w:bookmarkStart w:id="152" w:name="_Toc10624833"/>
      <w:r>
        <w:rPr>
          <w:rFonts w:ascii="仿宋" w:hAnsi="仿宋" w:eastAsia="仿宋" w:cs="仿宋"/>
          <w:b/>
          <w:bCs/>
          <w:color w:val="auto"/>
          <w:sz w:val="24"/>
          <w:szCs w:val="24"/>
          <w:highlight w:val="none"/>
        </w:rPr>
        <w:t xml:space="preserve">14  </w:t>
      </w:r>
      <w:r>
        <w:rPr>
          <w:rFonts w:hint="eastAsia" w:ascii="仿宋" w:hAnsi="仿宋" w:eastAsia="仿宋" w:cs="仿宋"/>
          <w:b/>
          <w:bCs/>
          <w:color w:val="auto"/>
          <w:sz w:val="24"/>
          <w:szCs w:val="24"/>
          <w:highlight w:val="none"/>
        </w:rPr>
        <w:t>专项批准事件的签认</w:t>
      </w:r>
      <w:bookmarkEnd w:id="146"/>
      <w:bookmarkEnd w:id="147"/>
      <w:bookmarkEnd w:id="148"/>
      <w:bookmarkEnd w:id="149"/>
      <w:bookmarkEnd w:id="150"/>
      <w:bookmarkEnd w:id="151"/>
      <w:bookmarkEnd w:id="152"/>
      <w:r>
        <w:rPr>
          <w:rFonts w:ascii="仿宋" w:hAnsi="仿宋" w:eastAsia="仿宋" w:cs="Times New Roman"/>
          <w:b/>
          <w:bCs/>
          <w:color w:val="auto"/>
          <w:sz w:val="24"/>
          <w:szCs w:val="24"/>
          <w:highlight w:val="none"/>
        </w:rPr>
        <w:tab/>
      </w:r>
    </w:p>
    <w:p>
      <w:pPr>
        <w:pStyle w:val="13"/>
        <w:tabs>
          <w:tab w:val="left" w:pos="1202"/>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439" name="文本框 440"/>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upright="1"/>
                    </wps:wsp>
                  </a:graphicData>
                </a:graphic>
              </wp:anchor>
            </w:drawing>
          </mc:Choice>
          <mc:Fallback>
            <w:pict>
              <v:shape id="文本框 440" o:spid="_x0000_s1026" o:spt="202" type="#_x0000_t202" style="position:absolute;left:0pt;margin-left:-9pt;margin-top:19.4pt;height:68.95pt;width:72pt;z-index:251699200;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xwSxjY&#10;AAAACgEAAA8AAAAAAAAAAQAgAAAAIgAAAGRycy9kb3ducmV2LnhtbFBLAQIUABQAAAAIAIdO4kCM&#10;bC1WrgEAAFEDAAAOAAAAAAAAAAEAIAAAACc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ascii="仿宋" w:hAnsi="仿宋" w:eastAsia="仿宋" w:cs="仿宋"/>
          <w:b/>
          <w:bCs/>
          <w:color w:val="auto"/>
          <w:sz w:val="24"/>
          <w:szCs w:val="24"/>
          <w:highlight w:val="none"/>
        </w:rPr>
        <w:t xml:space="preserve">14.1      </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合同履行期间，合同工程发生第</w:t>
      </w:r>
      <w:r>
        <w:rPr>
          <w:rFonts w:ascii="仿宋" w:hAnsi="仿宋" w:eastAsia="仿宋" w:cs="仿宋"/>
          <w:color w:val="auto"/>
          <w:sz w:val="24"/>
          <w:szCs w:val="24"/>
          <w:highlight w:val="none"/>
        </w:rPr>
        <w:t>23.3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24.3</w:t>
      </w:r>
      <w:r>
        <w:rPr>
          <w:rFonts w:hint="eastAsia" w:ascii="仿宋" w:hAnsi="仿宋" w:eastAsia="仿宋" w:cs="仿宋"/>
          <w:color w:val="auto"/>
          <w:sz w:val="24"/>
          <w:szCs w:val="24"/>
          <w:highlight w:val="none"/>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pPr>
        <w:pStyle w:val="13"/>
        <w:tabs>
          <w:tab w:val="left" w:pos="1202"/>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14.2</w:t>
      </w:r>
      <w:r>
        <w:rPr>
          <w:rFonts w:hint="eastAsia" w:ascii="仿宋" w:hAnsi="仿宋" w:eastAsia="仿宋" w:cs="仿宋"/>
          <w:color w:val="auto"/>
          <w:sz w:val="24"/>
          <w:szCs w:val="24"/>
          <w:highlight w:val="none"/>
        </w:rPr>
        <w:t>款规定对发生的专项批准事件予以签认，并及时将发生事件的相关资料整理、归档，同时按第</w:t>
      </w:r>
      <w:r>
        <w:rPr>
          <w:rFonts w:ascii="仿宋" w:hAnsi="仿宋" w:eastAsia="仿宋" w:cs="仿宋"/>
          <w:color w:val="auto"/>
          <w:sz w:val="24"/>
          <w:szCs w:val="24"/>
          <w:highlight w:val="none"/>
        </w:rPr>
        <w:t>23.2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24.2</w:t>
      </w:r>
      <w:r>
        <w:rPr>
          <w:rFonts w:hint="eastAsia" w:ascii="仿宋" w:hAnsi="仿宋" w:eastAsia="仿宋" w:cs="仿宋"/>
          <w:color w:val="auto"/>
          <w:sz w:val="24"/>
          <w:szCs w:val="24"/>
          <w:highlight w:val="none"/>
        </w:rPr>
        <w:t>款规定职权将其中一份送监理工程师和（或）造价工程师留存。</w:t>
      </w:r>
    </w:p>
    <w:p>
      <w:pPr>
        <w:pStyle w:val="13"/>
        <w:tabs>
          <w:tab w:val="left" w:pos="2160"/>
        </w:tabs>
        <w:spacing w:before="249" w:beforeLines="80"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14.2  </w:t>
      </w:r>
      <w:r>
        <w:rPr>
          <w:rFonts w:ascii="仿宋" w:hAnsi="仿宋" w:eastAsia="仿宋" w:cs="仿宋"/>
          <w:b/>
          <w:bCs/>
          <w:color w:val="auto"/>
          <w:sz w:val="24"/>
          <w:szCs w:val="24"/>
          <w:highlight w:val="none"/>
          <w:u w:val="dotted"/>
        </w:rPr>
        <w:t xml:space="preserve">                                                                                 </w:t>
      </w:r>
    </w:p>
    <w:p>
      <w:pPr>
        <w:pStyle w:val="13"/>
        <w:tabs>
          <w:tab w:val="left" w:pos="1620"/>
        </w:tabs>
        <w:spacing w:line="360" w:lineRule="auto"/>
        <w:ind w:left="1618" w:leftChars="770" w:hanging="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440" name="文本框 441"/>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upright="1"/>
                    </wps:wsp>
                  </a:graphicData>
                </a:graphic>
              </wp:anchor>
            </w:drawing>
          </mc:Choice>
          <mc:Fallback>
            <w:pict>
              <v:shape id="文本框 441" o:spid="_x0000_s1026" o:spt="202" type="#_x0000_t202" style="position:absolute;left:0pt;margin-left:0pt;margin-top:0.85pt;height:68.95pt;width:72pt;z-index:251700224;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mpG5i0wAAAAYB&#10;AAAPAAAAAAAAAAEAIAAAACIAAABkcnMvZG93bnJldi54bWxQSwECFAAUAAAACACHTuJABCw/xK4B&#10;AABRAwAADgAAAAAAAAABACAAAAAiAQAAZHJzL2Uyb0RvYy54bWxQSwUGAAAAAAYABgBZAQAAQgUA&#10;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23.1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24.1</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25.1</w:t>
      </w:r>
      <w:r>
        <w:rPr>
          <w:rFonts w:hint="eastAsia" w:ascii="仿宋" w:hAnsi="仿宋" w:eastAsia="仿宋" w:cs="仿宋"/>
          <w:color w:val="auto"/>
          <w:sz w:val="24"/>
          <w:szCs w:val="24"/>
          <w:highlight w:val="none"/>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153" w:name="_Toc10624834"/>
      <w:bookmarkStart w:id="154" w:name="_Toc469383994"/>
      <w:bookmarkStart w:id="155" w:name="_Toc27525"/>
      <w:bookmarkStart w:id="156" w:name="_Toc12402"/>
      <w:bookmarkStart w:id="157" w:name="_Toc8634"/>
      <w:bookmarkStart w:id="158" w:name="_Toc29192"/>
      <w:bookmarkStart w:id="159" w:name="_Toc10690"/>
      <w:r>
        <w:rPr>
          <w:rFonts w:ascii="仿宋" w:hAnsi="仿宋" w:eastAsia="仿宋" w:cs="仿宋"/>
          <w:b/>
          <w:bCs/>
          <w:color w:val="auto"/>
          <w:sz w:val="24"/>
          <w:szCs w:val="24"/>
          <w:highlight w:val="none"/>
        </w:rPr>
        <w:t xml:space="preserve">15  </w:t>
      </w:r>
      <w:r>
        <w:rPr>
          <w:rFonts w:hint="eastAsia" w:ascii="仿宋" w:hAnsi="仿宋" w:eastAsia="仿宋" w:cs="仿宋"/>
          <w:b/>
          <w:bCs/>
          <w:color w:val="auto"/>
          <w:sz w:val="24"/>
          <w:szCs w:val="24"/>
          <w:highlight w:val="none"/>
        </w:rPr>
        <w:t>专利技术</w:t>
      </w:r>
      <w:bookmarkEnd w:id="153"/>
      <w:bookmarkEnd w:id="154"/>
      <w:bookmarkEnd w:id="155"/>
      <w:bookmarkEnd w:id="156"/>
      <w:bookmarkEnd w:id="157"/>
      <w:bookmarkEnd w:id="158"/>
      <w:bookmarkEnd w:id="159"/>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15.1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41" name="文本框 44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upright="1"/>
                    </wps:wsp>
                  </a:graphicData>
                </a:graphic>
              </wp:anchor>
            </w:drawing>
          </mc:Choice>
          <mc:Fallback>
            <w:pict>
              <v:shape id="文本框 442" o:spid="_x0000_s1026" o:spt="202" type="#_x0000_t202" style="position:absolute;left:0pt;margin-left:-9pt;margin-top:1.8pt;height:37.15pt;width:72pt;z-index:251701248;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2TpNYA&#10;AAAIAQAADwAAAAAAAAABACAAAAAiAAAAZHJzL2Rvd25yZXYueG1sUEsBAhQAFAAAAAgAh07iQJu0&#10;qy2vAQAAUQMAAA4AAAAAAAAAAQAgAAAAJQ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15.2</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442" name="文本框 443"/>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upright="1"/>
                    </wps:wsp>
                  </a:graphicData>
                </a:graphic>
              </wp:anchor>
            </w:drawing>
          </mc:Choice>
          <mc:Fallback>
            <w:pict>
              <v:shape id="文本框 443" o:spid="_x0000_s1026" o:spt="202" type="#_x0000_t202" style="position:absolute;left:0pt;margin-left:-9pt;margin-top:1.8pt;height:37.15pt;width:72pt;z-index:251702272;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2TpNYA&#10;AAAIAQAADwAAAAAAAAABACAAAAAiAAAAZHJzL2Rvd25yZXYueG1sUEsBAhQAFAAAAAgAh07iQKMO&#10;CrCvAQAAUQMAAA4AAAAAAAAAAQAgAAAAJQ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rPr>
        <w:t>承包人在投标文件中采用专利技术的，其发生的费用已包含在投标报价内。承包人的技术秘密和第</w:t>
      </w:r>
      <w:r>
        <w:rPr>
          <w:rFonts w:ascii="仿宋" w:hAnsi="仿宋" w:eastAsia="仿宋" w:cs="仿宋"/>
          <w:color w:val="auto"/>
          <w:sz w:val="24"/>
          <w:szCs w:val="24"/>
          <w:highlight w:val="none"/>
        </w:rPr>
        <w:t>91</w:t>
      </w:r>
      <w:r>
        <w:rPr>
          <w:rFonts w:hint="eastAsia" w:ascii="仿宋" w:hAnsi="仿宋" w:eastAsia="仿宋" w:cs="仿宋"/>
          <w:color w:val="auto"/>
          <w:sz w:val="24"/>
          <w:szCs w:val="24"/>
          <w:highlight w:val="none"/>
        </w:rPr>
        <w:t>条规定的保密信息、资料等，发包人应严格按照第</w:t>
      </w:r>
      <w:r>
        <w:rPr>
          <w:rFonts w:ascii="仿宋" w:hAnsi="仿宋" w:eastAsia="仿宋" w:cs="仿宋"/>
          <w:color w:val="auto"/>
          <w:sz w:val="24"/>
          <w:szCs w:val="24"/>
          <w:highlight w:val="none"/>
        </w:rPr>
        <w:t>91</w:t>
      </w:r>
      <w:r>
        <w:rPr>
          <w:rFonts w:hint="eastAsia" w:ascii="仿宋" w:hAnsi="仿宋" w:eastAsia="仿宋" w:cs="仿宋"/>
          <w:color w:val="auto"/>
          <w:sz w:val="24"/>
          <w:szCs w:val="24"/>
          <w:highlight w:val="none"/>
        </w:rPr>
        <w:t>条规定不得为合同以外的目的泄露给第三方。</w:t>
      </w:r>
    </w:p>
    <w:p>
      <w:pPr>
        <w:pStyle w:val="13"/>
        <w:tabs>
          <w:tab w:val="left" w:pos="1680"/>
        </w:tabs>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443" name="文本框 444"/>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upright="1"/>
                    </wps:wsp>
                  </a:graphicData>
                </a:graphic>
              </wp:anchor>
            </w:drawing>
          </mc:Choice>
          <mc:Fallback>
            <w:pict>
              <v:shape id="文本框 444" o:spid="_x0000_s1026" o:spt="202" type="#_x0000_t202" style="position:absolute;left:0pt;margin-left:-9pt;margin-top:19pt;height:39.2pt;width:72pt;z-index:251703296;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1ehpHX&#10;AAAACgEAAA8AAAAAAAAAAQAgAAAAIgAAAGRycy9kb3ducmV2LnhtbFBLAQIUABQAAAAIAIdO4kDu&#10;JupYrwEAAFEDAAAOAAAAAAAAAAEAIAAAACY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ascii="仿宋" w:hAnsi="仿宋" w:eastAsia="仿宋" w:cs="仿宋"/>
          <w:color w:val="auto"/>
          <w:sz w:val="24"/>
          <w:szCs w:val="24"/>
          <w:highlight w:val="none"/>
        </w:rPr>
        <w:t xml:space="preserve">15.3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pPr>
        <w:pStyle w:val="13"/>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outlineLvl w:val="2"/>
        <w:rPr>
          <w:rFonts w:ascii="仿宋" w:hAnsi="仿宋" w:eastAsia="仿宋" w:cs="Times New Roman"/>
          <w:b/>
          <w:bCs/>
          <w:color w:val="auto"/>
          <w:sz w:val="24"/>
          <w:szCs w:val="24"/>
          <w:highlight w:val="none"/>
        </w:rPr>
      </w:pPr>
      <w:bookmarkStart w:id="160" w:name="_Toc27819"/>
      <w:bookmarkStart w:id="161" w:name="_Toc6709"/>
      <w:bookmarkStart w:id="162" w:name="_Toc22610"/>
      <w:bookmarkStart w:id="163" w:name="_Toc17967"/>
      <w:bookmarkStart w:id="164" w:name="_Toc10624835"/>
      <w:bookmarkStart w:id="165" w:name="_Toc469383995"/>
      <w:bookmarkStart w:id="166" w:name="_Toc16331"/>
      <w:r>
        <w:rPr>
          <w:rFonts w:ascii="仿宋" w:hAnsi="仿宋" w:eastAsia="仿宋" w:cs="仿宋"/>
          <w:b/>
          <w:bCs/>
          <w:color w:val="auto"/>
          <w:sz w:val="24"/>
          <w:szCs w:val="24"/>
          <w:highlight w:val="none"/>
        </w:rPr>
        <w:t xml:space="preserve">16  </w:t>
      </w:r>
      <w:r>
        <w:rPr>
          <w:rFonts w:hint="eastAsia" w:ascii="仿宋" w:hAnsi="仿宋" w:eastAsia="仿宋" w:cs="仿宋"/>
          <w:b/>
          <w:bCs/>
          <w:color w:val="auto"/>
          <w:sz w:val="24"/>
          <w:szCs w:val="24"/>
          <w:highlight w:val="none"/>
        </w:rPr>
        <w:t>联合的责任</w:t>
      </w:r>
      <w:bookmarkEnd w:id="160"/>
      <w:bookmarkEnd w:id="161"/>
      <w:bookmarkEnd w:id="162"/>
      <w:bookmarkEnd w:id="163"/>
      <w:bookmarkEnd w:id="164"/>
      <w:bookmarkEnd w:id="165"/>
      <w:bookmarkEnd w:id="166"/>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444" name="文本框 445"/>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upright="1"/>
                    </wps:wsp>
                  </a:graphicData>
                </a:graphic>
              </wp:anchor>
            </w:drawing>
          </mc:Choice>
          <mc:Fallback>
            <w:pict>
              <v:shape id="文本框 445" o:spid="_x0000_s1026" o:spt="202" type="#_x0000_t202" style="position:absolute;left:0pt;margin-left:-9pt;margin-top:18.5pt;height:36.3pt;width:72pt;z-index:251704320;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rE6n1wAA&#10;AAoBAAAPAAAAAAAAAAEAIAAAACIAAABkcnMvZG93bnJldi54bWxQSwECFAAUAAAACACHTuJAYeNr&#10;v60BAABRAwAADgAAAAAAAAABACAAAAAm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ascii="仿宋" w:hAnsi="仿宋" w:eastAsia="仿宋" w:cs="仿宋"/>
          <w:b/>
          <w:bCs/>
          <w:color w:val="auto"/>
          <w:sz w:val="24"/>
          <w:szCs w:val="24"/>
          <w:highlight w:val="none"/>
        </w:rPr>
        <w:t xml:space="preserve">16.1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445" name="文本框 44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upright="1"/>
                    </wps:wsp>
                  </a:graphicData>
                </a:graphic>
              </wp:anchor>
            </w:drawing>
          </mc:Choice>
          <mc:Fallback>
            <w:pict>
              <v:shape id="文本框 446" o:spid="_x0000_s1026" o:spt="202" type="#_x0000_t202" style="position:absolute;left:0pt;margin-left:-9pt;margin-top:19.35pt;height:39pt;width:72pt;z-index:251705344;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LseIG&#10;2AAAAAoBAAAPAAAAAAAAAAEAIAAAACIAAABkcnMvZG93bnJldi54bWxQSwECFAAUAAAACACHTuJA&#10;erUl468BAABRAwAADgAAAAAAAAABACAAAAAn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ascii="仿宋" w:hAnsi="仿宋" w:eastAsia="仿宋" w:cs="仿宋"/>
          <w:b/>
          <w:bCs/>
          <w:color w:val="auto"/>
          <w:sz w:val="24"/>
          <w:szCs w:val="24"/>
          <w:highlight w:val="none"/>
        </w:rPr>
        <w:t xml:space="preserve">16.2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pPr>
        <w:tabs>
          <w:tab w:val="left" w:pos="1620"/>
        </w:tabs>
        <w:spacing w:line="240" w:lineRule="exact"/>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105"/>
        </w:tabs>
        <w:adjustRightInd w:val="0"/>
        <w:snapToGrid w:val="0"/>
        <w:spacing w:before="312" w:beforeLines="100"/>
        <w:outlineLvl w:val="2"/>
        <w:rPr>
          <w:rFonts w:ascii="仿宋" w:hAnsi="仿宋" w:eastAsia="仿宋" w:cs="Times New Roman"/>
          <w:b/>
          <w:bCs/>
          <w:color w:val="auto"/>
          <w:sz w:val="24"/>
          <w:szCs w:val="24"/>
          <w:highlight w:val="none"/>
        </w:rPr>
      </w:pPr>
      <w:bookmarkStart w:id="167" w:name="_Toc10624836"/>
      <w:bookmarkStart w:id="168" w:name="_Toc14261"/>
      <w:bookmarkStart w:id="169" w:name="_Toc18420"/>
      <w:bookmarkStart w:id="170" w:name="_Toc13573"/>
      <w:bookmarkStart w:id="171" w:name="_Toc469383996"/>
      <w:bookmarkStart w:id="172" w:name="_Toc27926"/>
      <w:bookmarkStart w:id="173" w:name="_Toc24783"/>
      <w:r>
        <w:rPr>
          <w:rFonts w:ascii="仿宋" w:hAnsi="仿宋" w:eastAsia="仿宋" w:cs="仿宋"/>
          <w:b/>
          <w:bCs/>
          <w:color w:val="auto"/>
          <w:sz w:val="24"/>
          <w:szCs w:val="24"/>
          <w:highlight w:val="none"/>
        </w:rPr>
        <w:t xml:space="preserve">17  </w:t>
      </w:r>
      <w:r>
        <w:rPr>
          <w:rFonts w:hint="eastAsia" w:ascii="仿宋" w:hAnsi="仿宋" w:eastAsia="仿宋" w:cs="仿宋"/>
          <w:b/>
          <w:bCs/>
          <w:color w:val="auto"/>
          <w:sz w:val="24"/>
          <w:szCs w:val="24"/>
          <w:highlight w:val="none"/>
        </w:rPr>
        <w:t>保障</w:t>
      </w:r>
      <w:bookmarkEnd w:id="167"/>
      <w:bookmarkEnd w:id="168"/>
      <w:bookmarkEnd w:id="169"/>
      <w:bookmarkEnd w:id="170"/>
      <w:bookmarkEnd w:id="171"/>
      <w:bookmarkEnd w:id="172"/>
      <w:bookmarkEnd w:id="173"/>
    </w:p>
    <w:p>
      <w:pPr>
        <w:pStyle w:val="13"/>
        <w:tabs>
          <w:tab w:val="left" w:pos="1202"/>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446" name="文本框 447"/>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upright="1"/>
                    </wps:wsp>
                  </a:graphicData>
                </a:graphic>
              </wp:anchor>
            </w:drawing>
          </mc:Choice>
          <mc:Fallback>
            <w:pict>
              <v:shape id="文本框 447" o:spid="_x0000_s1026" o:spt="202" type="#_x0000_t202" style="position:absolute;left:0pt;margin-left:0pt;margin-top:14.3pt;height:46.8pt;width:72pt;z-index:251706368;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hgkNUA&#10;AAAHAQAADwAAAAAAAAABACAAAAAiAAAAZHJzL2Rvd25yZXYueG1sUEsBAhQAFAAAAAgAh07iQADy&#10;pke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ascii="仿宋" w:hAnsi="仿宋" w:eastAsia="仿宋" w:cs="仿宋"/>
          <w:b/>
          <w:bCs/>
          <w:color w:val="auto"/>
          <w:sz w:val="24"/>
          <w:szCs w:val="24"/>
          <w:highlight w:val="none"/>
        </w:rPr>
        <w:t xml:space="preserve">17.1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pPr>
        <w:pStyle w:val="13"/>
        <w:tabs>
          <w:tab w:val="left" w:pos="1202"/>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447" name="文本框 448"/>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upright="1"/>
                    </wps:wsp>
                  </a:graphicData>
                </a:graphic>
              </wp:anchor>
            </w:drawing>
          </mc:Choice>
          <mc:Fallback>
            <w:pict>
              <v:shape id="文本框 448" o:spid="_x0000_s1026" o:spt="202" type="#_x0000_t202" style="position:absolute;left:0pt;margin-left:-9pt;margin-top:18.95pt;height:42.1pt;width:72pt;z-index:251707392;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geQ&#10;Z9gAAAAKAQAADwAAAAAAAAABACAAAAAiAAAAZHJzL2Rvd25yZXYueG1sUEsBAhQAFAAAAAgAh07i&#10;QEOkUnqwAQAAUQMAAA4AAAAAAAAAAQAgAAAAJwEAAGRycy9lMm9Eb2MueG1sUEsFBgAAAAAGAAYA&#10;WQEAAEk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ascii="仿宋" w:hAnsi="仿宋" w:eastAsia="仿宋" w:cs="仿宋"/>
          <w:b/>
          <w:bCs/>
          <w:color w:val="auto"/>
          <w:sz w:val="24"/>
          <w:szCs w:val="24"/>
          <w:highlight w:val="none"/>
        </w:rPr>
        <w:t xml:space="preserve">17.2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承包人应保障发包人不承担因承包人移动或使用施工场地外的施工设备和临时设施所造成的损害而引起的赔偿。</w:t>
      </w:r>
    </w:p>
    <w:p>
      <w:pPr>
        <w:pStyle w:val="13"/>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before="312" w:beforeLines="100"/>
        <w:outlineLvl w:val="2"/>
        <w:rPr>
          <w:rFonts w:ascii="仿宋" w:hAnsi="仿宋" w:eastAsia="仿宋" w:cs="Times New Roman"/>
          <w:b/>
          <w:bCs/>
          <w:color w:val="auto"/>
          <w:sz w:val="24"/>
          <w:szCs w:val="24"/>
          <w:highlight w:val="none"/>
        </w:rPr>
      </w:pPr>
      <w:bookmarkStart w:id="174" w:name="_Toc3023"/>
      <w:bookmarkStart w:id="175" w:name="_Toc23178"/>
      <w:bookmarkStart w:id="176" w:name="_Toc269"/>
      <w:bookmarkStart w:id="177" w:name="_Toc10624837"/>
      <w:bookmarkStart w:id="178" w:name="_Toc469383997"/>
      <w:bookmarkStart w:id="179" w:name="_Toc13217"/>
      <w:bookmarkStart w:id="180" w:name="_Toc29095"/>
      <w:r>
        <w:rPr>
          <w:rFonts w:ascii="仿宋" w:hAnsi="仿宋" w:eastAsia="仿宋" w:cs="仿宋"/>
          <w:b/>
          <w:bCs/>
          <w:color w:val="auto"/>
          <w:sz w:val="24"/>
          <w:szCs w:val="24"/>
          <w:highlight w:val="none"/>
        </w:rPr>
        <w:t xml:space="preserve">18  </w:t>
      </w:r>
      <w:r>
        <w:rPr>
          <w:rFonts w:hint="eastAsia" w:ascii="仿宋" w:hAnsi="仿宋" w:eastAsia="仿宋" w:cs="仿宋"/>
          <w:b/>
          <w:bCs/>
          <w:color w:val="auto"/>
          <w:sz w:val="24"/>
          <w:szCs w:val="24"/>
          <w:highlight w:val="none"/>
        </w:rPr>
        <w:t>财产</w:t>
      </w:r>
      <w:bookmarkEnd w:id="174"/>
      <w:bookmarkEnd w:id="175"/>
      <w:bookmarkEnd w:id="176"/>
      <w:bookmarkEnd w:id="177"/>
      <w:bookmarkEnd w:id="178"/>
      <w:bookmarkEnd w:id="179"/>
      <w:bookmarkEnd w:id="180"/>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18.1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448" name="文本框 449"/>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upright="1"/>
                    </wps:wsp>
                  </a:graphicData>
                </a:graphic>
              </wp:anchor>
            </w:drawing>
          </mc:Choice>
          <mc:Fallback>
            <w:pict>
              <v:shape id="文本框 449" o:spid="_x0000_s1026" o:spt="202" type="#_x0000_t202" style="position:absolute;left:0pt;margin-left:-9pt;margin-top:0pt;height:57.05pt;width:72pt;z-index:251708416;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Usi51QAA&#10;AAgBAAAPAAAAAAAAAAEAIAAAACIAAABkcnMvZG93bnJldi54bWxQSwECFAAUAAAACACHTuJAVxQL&#10;kK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仿宋" w:hAnsi="仿宋" w:eastAsia="仿宋" w:cs="仿宋"/>
          <w:color w:val="auto"/>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pPr>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449" name="文本框 450"/>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upright="1"/>
                    </wps:wsp>
                  </a:graphicData>
                </a:graphic>
              </wp:anchor>
            </w:drawing>
          </mc:Choice>
          <mc:Fallback>
            <w:pict>
              <v:shape id="文本框 450" o:spid="_x0000_s1026" o:spt="202" type="#_x0000_t202" style="position:absolute;left:0pt;margin-left:-9pt;margin-top:22.25pt;height:36.25pt;width:72pt;z-index:251709440;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ho1LdcA&#10;AAAKAQAADwAAAAAAAAABACAAAAAiAAAAZHJzL2Rvd25yZXYueG1sUEsBAhQAFAAAAAgAh07iQCPc&#10;zpKuAQAAUQMAAA4AAAAAAAAAAQAgAAAAJg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ascii="仿宋" w:hAnsi="仿宋" w:eastAsia="仿宋" w:cs="仿宋"/>
          <w:b/>
          <w:bCs/>
          <w:color w:val="auto"/>
          <w:sz w:val="24"/>
          <w:szCs w:val="24"/>
          <w:highlight w:val="none"/>
        </w:rPr>
        <w:t xml:space="preserve">18.2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如果发包人依据第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款规定的情形解除合同，则合同工程和临时工程，应认为是发包人的财产。</w:t>
      </w:r>
    </w:p>
    <w:p>
      <w:pPr>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450" name="文本框 451"/>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upright="1"/>
                    </wps:wsp>
                  </a:graphicData>
                </a:graphic>
              </wp:anchor>
            </w:drawing>
          </mc:Choice>
          <mc:Fallback>
            <w:pict>
              <v:shape id="文本框 451" o:spid="_x0000_s1026" o:spt="202" type="#_x0000_t202" style="position:absolute;left:0pt;margin-left:-9pt;margin-top:22.25pt;height:42.85pt;width:72pt;z-index:251710464;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7AVzY&#10;AAAACgEAAA8AAAAAAAAAAQAgAAAAIgAAAGRycy9kb3ducmV2LnhtbFBLAQIUABQAAAAIAIdO4kAp&#10;lclKrgEAAFEDAAAOAAAAAAAAAAEAIAAAACc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仿宋" w:hAnsi="仿宋" w:eastAsia="仿宋" w:cs="仿宋"/>
          <w:b/>
          <w:bCs/>
          <w:color w:val="auto"/>
          <w:sz w:val="24"/>
          <w:szCs w:val="24"/>
          <w:highlight w:val="none"/>
        </w:rPr>
        <w:t xml:space="preserve">18.3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如果承包人依据第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pPr>
        <w:spacing w:line="360" w:lineRule="auto"/>
        <w:ind w:left="1619" w:leftChars="771"/>
        <w:rPr>
          <w:rFonts w:ascii="仿宋" w:hAnsi="仿宋" w:eastAsia="仿宋" w:cs="仿宋"/>
          <w:color w:val="auto"/>
          <w:sz w:val="24"/>
          <w:szCs w:val="24"/>
          <w:highlight w:val="none"/>
        </w:rPr>
      </w:pPr>
    </w:p>
    <w:p>
      <w:pPr>
        <w:spacing w:line="360" w:lineRule="auto"/>
        <w:ind w:firstLine="2879" w:firstLineChars="1195"/>
        <w:outlineLvl w:val="1"/>
        <w:rPr>
          <w:rFonts w:ascii="仿宋" w:hAnsi="仿宋" w:eastAsia="仿宋" w:cs="Times New Roman"/>
          <w:b/>
          <w:bCs/>
          <w:color w:val="auto"/>
          <w:sz w:val="24"/>
          <w:szCs w:val="24"/>
          <w:highlight w:val="none"/>
        </w:rPr>
      </w:pPr>
      <w:bookmarkStart w:id="181" w:name="_Toc32577"/>
      <w:bookmarkStart w:id="182" w:name="_Toc17577"/>
      <w:bookmarkStart w:id="183" w:name="_Toc469383998"/>
      <w:bookmarkStart w:id="184" w:name="_Toc7425"/>
      <w:bookmarkStart w:id="185" w:name="_Toc31561"/>
      <w:bookmarkStart w:id="186" w:name="_Toc10624838"/>
      <w:bookmarkStart w:id="187" w:name="_Toc16423"/>
      <w:r>
        <w:rPr>
          <w:rFonts w:hint="eastAsia" w:ascii="仿宋" w:hAnsi="仿宋" w:eastAsia="仿宋" w:cs="仿宋"/>
          <w:b/>
          <w:bCs/>
          <w:color w:val="auto"/>
          <w:sz w:val="24"/>
          <w:szCs w:val="24"/>
          <w:highlight w:val="none"/>
        </w:rPr>
        <w:t>二、合同主体</w:t>
      </w:r>
      <w:bookmarkEnd w:id="181"/>
      <w:bookmarkEnd w:id="182"/>
      <w:bookmarkEnd w:id="183"/>
      <w:bookmarkEnd w:id="184"/>
      <w:bookmarkEnd w:id="185"/>
      <w:bookmarkEnd w:id="186"/>
      <w:bookmarkEnd w:id="187"/>
    </w:p>
    <w:p>
      <w:pPr>
        <w:pStyle w:val="5"/>
        <w:tabs>
          <w:tab w:val="left" w:pos="420"/>
          <w:tab w:val="left" w:pos="1287"/>
        </w:tabs>
        <w:rPr>
          <w:rFonts w:ascii="仿宋" w:hAnsi="仿宋" w:eastAsia="仿宋"/>
          <w:color w:val="auto"/>
          <w:sz w:val="24"/>
          <w:szCs w:val="24"/>
          <w:highlight w:val="none"/>
        </w:rPr>
      </w:pPr>
      <w:bookmarkStart w:id="188" w:name="_Toc4809"/>
      <w:bookmarkStart w:id="189" w:name="_Toc10624839"/>
      <w:bookmarkStart w:id="190" w:name="_Toc15416"/>
      <w:bookmarkStart w:id="191" w:name="_Toc6375"/>
      <w:bookmarkStart w:id="192" w:name="_Toc13479"/>
      <w:bookmarkStart w:id="193" w:name="_Toc469383999"/>
      <w:bookmarkStart w:id="194" w:name="_Toc2043"/>
      <w:r>
        <w:rPr>
          <w:rFonts w:ascii="仿宋" w:hAnsi="仿宋" w:eastAsia="仿宋" w:cs="仿宋"/>
          <w:color w:val="auto"/>
          <w:sz w:val="24"/>
          <w:szCs w:val="24"/>
          <w:highlight w:val="none"/>
        </w:rPr>
        <w:t xml:space="preserve">19  </w:t>
      </w:r>
      <w:r>
        <w:rPr>
          <w:rFonts w:hint="eastAsia" w:ascii="仿宋" w:hAnsi="仿宋" w:eastAsia="仿宋" w:cs="仿宋"/>
          <w:color w:val="auto"/>
          <w:sz w:val="24"/>
          <w:szCs w:val="24"/>
          <w:highlight w:val="none"/>
        </w:rPr>
        <w:t>发包人</w:t>
      </w:r>
      <w:bookmarkEnd w:id="188"/>
      <w:bookmarkEnd w:id="189"/>
      <w:bookmarkEnd w:id="190"/>
      <w:bookmarkEnd w:id="191"/>
      <w:bookmarkEnd w:id="192"/>
      <w:bookmarkEnd w:id="193"/>
      <w:bookmarkEnd w:id="194"/>
    </w:p>
    <w:p>
      <w:pPr>
        <w:tabs>
          <w:tab w:val="left" w:pos="1620"/>
        </w:tabs>
        <w:ind w:left="-2" w:leftChars="-1" w:firstLine="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19.1                                                        </w:t>
      </w:r>
    </w:p>
    <w:p>
      <w:pPr>
        <w:tabs>
          <w:tab w:val="left" w:pos="162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451" name="文本框 452"/>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文本框 452" o:spid="_x0000_s1026" o:spt="202" type="#_x0000_t202" style="position:absolute;left:0pt;margin-left:-9pt;margin-top:0.35pt;height:33.85pt;width:72pt;z-index:25171148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Fopk1QAA&#10;AAcBAAAPAAAAAAAAAAEAIAAAACIAAABkcnMvZG93bnJldi54bWxQSwECFAAUAAAACACHTuJA9ykN&#10;7a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sz w:val="24"/>
          <w:szCs w:val="24"/>
          <w:highlight w:val="none"/>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pPr>
        <w:tabs>
          <w:tab w:val="left" w:pos="1620"/>
        </w:tabs>
        <w:spacing w:line="360" w:lineRule="auto"/>
        <w:ind w:left="-2" w:leftChars="-1" w:firstLine="1"/>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19.2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spacing w:line="360" w:lineRule="auto"/>
        <w:ind w:left="162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452" name="文本框 453"/>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upright="1"/>
                    </wps:wsp>
                  </a:graphicData>
                </a:graphic>
              </wp:anchor>
            </w:drawing>
          </mc:Choice>
          <mc:Fallback>
            <w:pict>
              <v:shape id="文本框 453" o:spid="_x0000_s1026" o:spt="202" type="#_x0000_t202" style="position:absolute;left:0pt;margin-left:-9pt;margin-top:0.35pt;height:33.85pt;width:72pt;z-index:251712512;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Fopk1QAA&#10;AAcBAAAPAAAAAAAAAAEAIAAAACIAAABkcnMvZG93bnJldi54bWxQSwECFAAUAAAACACHTuJAz5Os&#10;cK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sz w:val="24"/>
          <w:szCs w:val="24"/>
          <w:highlight w:val="none"/>
        </w:rPr>
        <w:t>发包人应按照合同约定完成下列工作，包括但不限于：</w:t>
      </w:r>
    </w:p>
    <w:p>
      <w:pPr>
        <w:numPr>
          <w:ilvl w:val="255"/>
          <w:numId w:val="0"/>
        </w:numPr>
        <w:tabs>
          <w:tab w:val="left" w:pos="1080"/>
          <w:tab w:val="left" w:pos="1470"/>
          <w:tab w:val="left" w:pos="1980"/>
        </w:tabs>
        <w:spacing w:line="360" w:lineRule="auto"/>
        <w:ind w:left="1535" w:leftChars="73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（1）办理土地征用、拆迁、平整施工场地等工作，使施工场地具备施工条件，并在开工后继续负责解决上述工作遗留的问题；</w:t>
      </w:r>
    </w:p>
    <w:p>
      <w:pPr>
        <w:numPr>
          <w:ilvl w:val="255"/>
          <w:numId w:val="0"/>
        </w:numPr>
        <w:tabs>
          <w:tab w:val="left" w:pos="1080"/>
          <w:tab w:val="left" w:pos="1470"/>
          <w:tab w:val="left" w:pos="1980"/>
        </w:tabs>
        <w:spacing w:line="360" w:lineRule="auto"/>
        <w:ind w:left="1523" w:leftChars="72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（2）将施工所需水、电、通讯线路从施工场地外部接驳至专用条款约定的地点，保证施工期间的需要；</w:t>
      </w:r>
    </w:p>
    <w:p>
      <w:pPr>
        <w:numPr>
          <w:ilvl w:val="255"/>
          <w:numId w:val="0"/>
        </w:numPr>
        <w:tabs>
          <w:tab w:val="left" w:pos="1080"/>
          <w:tab w:val="left" w:pos="1470"/>
          <w:tab w:val="left" w:pos="1980"/>
        </w:tabs>
        <w:spacing w:line="360" w:lineRule="auto"/>
        <w:ind w:left="1523" w:leftChars="7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（3）开通施工场地与城乡公共道路间的通道，满足第</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条交通运输的需要；</w:t>
      </w:r>
    </w:p>
    <w:p>
      <w:pPr>
        <w:numPr>
          <w:ilvl w:val="255"/>
          <w:numId w:val="0"/>
        </w:numPr>
        <w:tabs>
          <w:tab w:val="left" w:pos="1080"/>
          <w:tab w:val="left" w:pos="1470"/>
          <w:tab w:val="left" w:pos="1980"/>
        </w:tabs>
        <w:spacing w:line="360" w:lineRule="auto"/>
        <w:ind w:left="1535" w:leftChars="73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4）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pPr>
        <w:numPr>
          <w:ilvl w:val="255"/>
          <w:numId w:val="0"/>
        </w:numPr>
        <w:tabs>
          <w:tab w:val="left" w:pos="1080"/>
          <w:tab w:val="left" w:pos="1470"/>
          <w:tab w:val="left" w:pos="1980"/>
        </w:tabs>
        <w:spacing w:line="360" w:lineRule="auto"/>
        <w:ind w:left="1531" w:leftChars="72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（5）办理施工许可及其他所需证件、批准文件和办理临时用地、停水、停电、中断道路交通、爆破作业等的申请批准手续（承包人自身施工资质的证件除外）；</w:t>
      </w:r>
    </w:p>
    <w:p>
      <w:pPr>
        <w:numPr>
          <w:ilvl w:val="255"/>
          <w:numId w:val="0"/>
        </w:numPr>
        <w:tabs>
          <w:tab w:val="left" w:pos="1080"/>
          <w:tab w:val="left" w:pos="1470"/>
          <w:tab w:val="left" w:pos="1980"/>
        </w:tabs>
        <w:spacing w:line="360" w:lineRule="auto"/>
        <w:ind w:left="1523" w:leftChars="7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（6）确定水准点与坐标控制点，组织现场交验并以书面形式移交给承包人；</w:t>
      </w:r>
    </w:p>
    <w:p>
      <w:pPr>
        <w:numPr>
          <w:ilvl w:val="255"/>
          <w:numId w:val="0"/>
        </w:numPr>
        <w:tabs>
          <w:tab w:val="left" w:pos="1080"/>
          <w:tab w:val="left" w:pos="1470"/>
          <w:tab w:val="left" w:pos="1980"/>
        </w:tabs>
        <w:spacing w:line="360" w:lineRule="auto"/>
        <w:ind w:left="1523" w:leftChars="72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（7）按照专用条款约定的时间向承包人提供一式两份约定的标准与规范；</w:t>
      </w:r>
    </w:p>
    <w:p>
      <w:pPr>
        <w:numPr>
          <w:ilvl w:val="255"/>
          <w:numId w:val="0"/>
        </w:numPr>
        <w:tabs>
          <w:tab w:val="left" w:pos="1080"/>
          <w:tab w:val="left" w:pos="1470"/>
          <w:tab w:val="left" w:pos="1980"/>
        </w:tabs>
        <w:spacing w:line="360" w:lineRule="auto"/>
        <w:ind w:left="1523" w:leftChars="72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（8）组织承包人和设计人进行图纸会审和设计交底；</w:t>
      </w:r>
    </w:p>
    <w:p>
      <w:pPr>
        <w:numPr>
          <w:ilvl w:val="255"/>
          <w:numId w:val="0"/>
        </w:numPr>
        <w:tabs>
          <w:tab w:val="left" w:pos="1080"/>
          <w:tab w:val="left" w:pos="1470"/>
          <w:tab w:val="left" w:pos="1980"/>
        </w:tabs>
        <w:spacing w:line="360" w:lineRule="auto"/>
        <w:ind w:left="1523" w:leftChars="72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（9）协调处理施工场地周围地形关系问题和做好邻近建筑物、构筑物（包括文物保护建筑）、古树名木等的保护工作；</w:t>
      </w:r>
    </w:p>
    <w:p>
      <w:pPr>
        <w:numPr>
          <w:ilvl w:val="255"/>
          <w:numId w:val="0"/>
        </w:numPr>
        <w:tabs>
          <w:tab w:val="left" w:pos="1470"/>
          <w:tab w:val="left" w:pos="1980"/>
        </w:tabs>
        <w:spacing w:line="360" w:lineRule="auto"/>
        <w:ind w:left="16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（10）及时接收已完工程，并按照合同约定及时支付工程款及其他各种款项。</w:t>
      </w:r>
    </w:p>
    <w:p>
      <w:pPr>
        <w:pStyle w:val="15"/>
        <w:tabs>
          <w:tab w:val="left" w:pos="1980"/>
        </w:tabs>
        <w:ind w:left="1619" w:leftChars="771" w:firstLine="1" w:firstLineChars="0"/>
        <w:rPr>
          <w:rFonts w:ascii="仿宋" w:hAnsi="仿宋" w:eastAsia="仿宋"/>
          <w:color w:val="auto"/>
          <w:highlight w:val="none"/>
        </w:rPr>
      </w:pPr>
      <w:r>
        <w:rPr>
          <w:rFonts w:hint="eastAsia" w:ascii="仿宋" w:hAnsi="仿宋" w:eastAsia="仿宋" w:cs="仿宋"/>
          <w:color w:val="auto"/>
          <w:highlight w:val="none"/>
        </w:rPr>
        <w:t>发包人可将其中部分工作委托给承包人办理，具体由合同双方当事人在专用条款中约定。除合同价款已包括外，由发包人承担所需费用，并向承包人支付合理利润。</w:t>
      </w:r>
    </w:p>
    <w:p>
      <w:pPr>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19.3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453" name="文本框 45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upright="1"/>
                    </wps:wsp>
                  </a:graphicData>
                </a:graphic>
              </wp:anchor>
            </w:drawing>
          </mc:Choice>
          <mc:Fallback>
            <w:pict>
              <v:shape id="文本框 454" o:spid="_x0000_s1026" o:spt="202" type="#_x0000_t202" style="position:absolute;left:0pt;margin-left:-9pt;margin-top:0pt;height:39pt;width:72pt;z-index:251713536;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C7iE7UAAAA&#10;BwEAAA8AAAAAAAAAAQAgAAAAIgAAAGRycy9kb3ducmV2LnhtbFBLAQIUABQAAAAIAIdO4kDAyNih&#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sz w:val="24"/>
          <w:szCs w:val="24"/>
          <w:highlight w:val="none"/>
        </w:rPr>
        <w:t>发包人应按照专用条款约定的时间提供施工场地，并在确保承包人按照计划进度顺利开工的时间内给予承包人进入和使用施工场地的权利。</w:t>
      </w:r>
    </w:p>
    <w:p>
      <w:pPr>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发包人保留其工作人员、雇员和相关执法人员进入和使用施工场地的权利。</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454" name="文本框 455"/>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upright="1"/>
                    </wps:wsp>
                  </a:graphicData>
                </a:graphic>
              </wp:anchor>
            </w:drawing>
          </mc:Choice>
          <mc:Fallback>
            <w:pict>
              <v:shape id="文本框 455" o:spid="_x0000_s1026" o:spt="202" type="#_x0000_t202" style="position:absolute;left:0pt;margin-left:-9pt;margin-top:1.2pt;height:56.35pt;width:72pt;z-index:251714560;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UMTuTW&#10;AAAACQEAAA8AAAAAAAAAAQAgAAAAIgAAAGRycy9kb3ducmV2LnhtbFBLAQIUABQAAAAIAIdO4kAf&#10;DFZksAEAAFE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color w:val="auto"/>
          <w:sz w:val="24"/>
          <w:szCs w:val="24"/>
          <w:highlight w:val="none"/>
        </w:rPr>
        <w:t>发包人应按照合同约定的期限和方式向承包人支付工程款及其他应支付的款项。</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19.5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455" name="文本框 456"/>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upright="1"/>
                    </wps:wsp>
                  </a:graphicData>
                </a:graphic>
              </wp:anchor>
            </w:drawing>
          </mc:Choice>
          <mc:Fallback>
            <w:pict>
              <v:shape id="文本框 456" o:spid="_x0000_s1026" o:spt="202" type="#_x0000_t202" style="position:absolute;left:0pt;margin-left:-9pt;margin-top:1.2pt;height:67.1pt;width:72pt;z-index:251715584;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yx3l&#10;1gAAAAkBAAAPAAAAAAAAAAEAIAAAACIAAABkcnMvZG93bnJldi54bWxQSwECFAAUAAAACACHTuJA&#10;413mErEBAABRAwAADgAAAAAAAAABACAAAAAl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sz w:val="24"/>
          <w:szCs w:val="24"/>
          <w:highlight w:val="none"/>
        </w:rPr>
        <w:t>发包人应按照第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条规定组织承包人、设计人、监理人和工程造价咨询人（如有）等进行竣工验收。</w:t>
      </w:r>
    </w:p>
    <w:p>
      <w:pPr>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456" name="文本框 457"/>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upright="1"/>
                    </wps:wsp>
                  </a:graphicData>
                </a:graphic>
              </wp:anchor>
            </w:drawing>
          </mc:Choice>
          <mc:Fallback>
            <w:pict>
              <v:shape id="文本框 457" o:spid="_x0000_s1026" o:spt="202" type="#_x0000_t202" style="position:absolute;left:0pt;margin-left:-9pt;margin-top:21.5pt;height:91.55pt;width:72pt;z-index:251716608;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Mi0l&#10;1wAAAAoBAAAPAAAAAAAAAAEAIAAAACIAAABkcnMvZG93bnJldi54bWxQSwECFAAUAAAACACHTuJA&#10;8HEaFrABAABSAwAADgAAAAAAAAABACAAAAAm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ascii="仿宋" w:hAnsi="仿宋" w:eastAsia="仿宋" w:cs="仿宋"/>
          <w:b/>
          <w:bCs/>
          <w:color w:val="auto"/>
          <w:sz w:val="24"/>
          <w:szCs w:val="24"/>
          <w:highlight w:val="none"/>
        </w:rPr>
        <w:t xml:space="preserve">19.6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发包人供应材料和工程设备的，发包人应按照第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条规定向承包人提供材料和工程设备。</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19.7  </w:t>
      </w:r>
      <w:r>
        <w:rPr>
          <w:rFonts w:ascii="仿宋" w:hAnsi="仿宋" w:eastAsia="仿宋" w:cs="仿宋"/>
          <w:b/>
          <w:bCs/>
          <w:color w:val="auto"/>
          <w:sz w:val="24"/>
          <w:szCs w:val="24"/>
          <w:highlight w:val="none"/>
          <w:u w:val="dotted"/>
        </w:rPr>
        <w:t xml:space="preserve">                                                                                                       </w:t>
      </w:r>
    </w:p>
    <w:p>
      <w:pPr>
        <w:spacing w:line="360" w:lineRule="auto"/>
        <w:ind w:left="1619" w:leftChars="771"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457" name="文本框 458"/>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upright="1"/>
                    </wps:wsp>
                  </a:graphicData>
                </a:graphic>
              </wp:anchor>
            </w:drawing>
          </mc:Choice>
          <mc:Fallback>
            <w:pict>
              <v:shape id="文本框 458" o:spid="_x0000_s1026" o:spt="202" type="#_x0000_t202" style="position:absolute;left:0pt;margin-left:-9pt;margin-top:0pt;height:35.4pt;width:72pt;z-index:251717632;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cPLa1AAA&#10;AAcBAAAPAAAAAAAAAAEAIAAAACIAAABkcnMvZG93bnJldi54bWxQSwECFAAUAAAACACHTuJAaG84&#10;C7ABAABR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sz w:val="24"/>
          <w:szCs w:val="24"/>
          <w:highlight w:val="none"/>
        </w:rPr>
        <w:t>发包人未能正确完成本合同约定的全部义务，导致费用的增加和（或）延误的工期，由发包人承担；给承包人造成损失的，发包人应予赔偿。</w:t>
      </w:r>
    </w:p>
    <w:p>
      <w:pPr>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color w:val="auto"/>
          <w:sz w:val="24"/>
          <w:szCs w:val="24"/>
          <w:highlight w:val="none"/>
        </w:rPr>
      </w:pPr>
      <w:bookmarkStart w:id="195" w:name="_Toc23744"/>
      <w:bookmarkStart w:id="196" w:name="_Toc28870"/>
      <w:bookmarkStart w:id="197" w:name="_Toc7623"/>
      <w:bookmarkStart w:id="198" w:name="_Toc10624840"/>
      <w:bookmarkStart w:id="199" w:name="_Toc27611"/>
      <w:bookmarkStart w:id="200" w:name="_Toc2982"/>
      <w:bookmarkStart w:id="201" w:name="_Toc469384000"/>
      <w:r>
        <w:rPr>
          <w:rFonts w:ascii="仿宋" w:hAnsi="仿宋" w:eastAsia="仿宋" w:cs="仿宋"/>
          <w:color w:val="auto"/>
          <w:sz w:val="24"/>
          <w:szCs w:val="24"/>
          <w:highlight w:val="none"/>
        </w:rPr>
        <w:t xml:space="preserve">20  </w:t>
      </w:r>
      <w:r>
        <w:rPr>
          <w:rFonts w:hint="eastAsia" w:ascii="仿宋" w:hAnsi="仿宋" w:eastAsia="仿宋" w:cs="仿宋"/>
          <w:color w:val="auto"/>
          <w:sz w:val="24"/>
          <w:szCs w:val="24"/>
          <w:highlight w:val="none"/>
        </w:rPr>
        <w:t>承包人</w:t>
      </w:r>
      <w:bookmarkEnd w:id="195"/>
      <w:bookmarkEnd w:id="196"/>
      <w:bookmarkEnd w:id="197"/>
      <w:bookmarkEnd w:id="198"/>
      <w:bookmarkEnd w:id="199"/>
      <w:bookmarkEnd w:id="200"/>
      <w:bookmarkEnd w:id="201"/>
    </w:p>
    <w:p>
      <w:pPr>
        <w:tabs>
          <w:tab w:val="left" w:pos="1620"/>
        </w:tabs>
        <w:spacing w:line="360" w:lineRule="auto"/>
        <w:ind w:left="-2" w:leftChars="-1" w:firstLine="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20.1                                                        </w:t>
      </w:r>
    </w:p>
    <w:p>
      <w:pPr>
        <w:tabs>
          <w:tab w:val="left" w:pos="1620"/>
        </w:tabs>
        <w:spacing w:line="360" w:lineRule="auto"/>
        <w:ind w:left="1260" w:leftChars="6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458" name="文本框 459"/>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文本框 459" o:spid="_x0000_s1026" o:spt="202" type="#_x0000_t202" style="position:absolute;left:0pt;margin-left:-9pt;margin-top:0.35pt;height:33.85pt;width:72pt;z-index:251718656;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FFopk1QAA&#10;AAcBAAAPAAAAAAAAAAEAIAAAACIAAABkcnMvZG93bnJldi54bWxQSwECFAAUAAAACACHTuJAF72A&#10;uK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sz w:val="24"/>
          <w:szCs w:val="24"/>
          <w:highlight w:val="none"/>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pPr>
        <w:tabs>
          <w:tab w:val="left" w:pos="1620"/>
        </w:tabs>
        <w:spacing w:line="360" w:lineRule="auto"/>
        <w:ind w:left="1500" w:leftChars="600" w:hanging="240" w:hanging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承包人在本项目发包人的工程项目中存在下列行为的，将被拒绝参与发包人后续工程投标。拒绝投标时限由发包人（招标人）视严重程度确定，并在专用条款中约定。</w:t>
      </w:r>
    </w:p>
    <w:p>
      <w:pPr>
        <w:pStyle w:val="381"/>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1.</w:t>
      </w:r>
      <w:r>
        <w:rPr>
          <w:rFonts w:hint="eastAsia" w:ascii="仿宋" w:hAnsi="仿宋" w:eastAsia="仿宋" w:cs="仿宋"/>
          <w:color w:val="auto"/>
          <w:kern w:val="2"/>
          <w:highlight w:val="none"/>
        </w:rPr>
        <w:t>将中标工程转包或者违法分包的；</w:t>
      </w:r>
    </w:p>
    <w:p>
      <w:pPr>
        <w:tabs>
          <w:tab w:val="left" w:pos="1620"/>
        </w:tabs>
        <w:spacing w:line="360" w:lineRule="auto"/>
        <w:ind w:left="1499" w:leftChars="714"/>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2.在中标工程中不执行质量、安全生产相关规定的，造成质量或安全事故的；</w:t>
      </w:r>
    </w:p>
    <w:p>
      <w:pPr>
        <w:pStyle w:val="381"/>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3.</w:t>
      </w:r>
      <w:r>
        <w:rPr>
          <w:rFonts w:hint="eastAsia" w:ascii="仿宋" w:hAnsi="仿宋" w:eastAsia="仿宋" w:cs="仿宋"/>
          <w:color w:val="auto"/>
          <w:kern w:val="2"/>
          <w:highlight w:val="none"/>
        </w:rPr>
        <w:t>存在围标或串标情形的；</w:t>
      </w:r>
    </w:p>
    <w:p>
      <w:pPr>
        <w:pStyle w:val="381"/>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4.</w:t>
      </w:r>
      <w:r>
        <w:rPr>
          <w:rFonts w:hint="eastAsia" w:ascii="仿宋" w:hAnsi="仿宋" w:eastAsia="仿宋" w:cs="仿宋"/>
          <w:color w:val="auto"/>
          <w:kern w:val="2"/>
          <w:highlight w:val="none"/>
        </w:rPr>
        <w:t>存在弄虚作假骗取中标情形的；</w:t>
      </w:r>
    </w:p>
    <w:p>
      <w:pPr>
        <w:pStyle w:val="381"/>
        <w:spacing w:before="0" w:beforeAutospacing="0" w:after="0" w:afterAutospacing="0" w:line="360" w:lineRule="auto"/>
        <w:ind w:firstLine="1440" w:firstLineChars="600"/>
        <w:rPr>
          <w:rFonts w:ascii="仿宋" w:hAnsi="仿宋" w:eastAsia="仿宋" w:cs="Times New Roman"/>
          <w:color w:val="auto"/>
          <w:kern w:val="2"/>
          <w:highlight w:val="none"/>
        </w:rPr>
      </w:pPr>
      <w:r>
        <w:rPr>
          <w:rFonts w:ascii="仿宋" w:hAnsi="仿宋" w:eastAsia="仿宋" w:cs="仿宋"/>
          <w:color w:val="auto"/>
          <w:kern w:val="2"/>
          <w:highlight w:val="none"/>
        </w:rPr>
        <w:t>5.</w:t>
      </w:r>
      <w:r>
        <w:rPr>
          <w:rFonts w:hint="eastAsia" w:ascii="仿宋" w:hAnsi="仿宋" w:eastAsia="仿宋" w:cs="仿宋"/>
          <w:color w:val="auto"/>
          <w:kern w:val="2"/>
          <w:highlight w:val="none"/>
        </w:rPr>
        <w:t>存在因过错行为被生效法律文书认定承担违约或侵权责任的。</w:t>
      </w:r>
    </w:p>
    <w:p>
      <w:pPr>
        <w:tabs>
          <w:tab w:val="left" w:pos="1620"/>
        </w:tabs>
        <w:spacing w:line="360" w:lineRule="auto"/>
        <w:ind w:left="1619" w:leftChars="771"/>
        <w:rPr>
          <w:rFonts w:ascii="仿宋" w:hAnsi="仿宋" w:eastAsia="仿宋" w:cs="Times New Roman"/>
          <w:color w:val="auto"/>
          <w:sz w:val="24"/>
          <w:szCs w:val="24"/>
          <w:highlight w:val="none"/>
        </w:rPr>
      </w:pPr>
    </w:p>
    <w:p>
      <w:pPr>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20.2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tabs>
          <w:tab w:val="left" w:pos="162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459" name="文本框 460"/>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upright="1"/>
                    </wps:wsp>
                  </a:graphicData>
                </a:graphic>
              </wp:anchor>
            </w:drawing>
          </mc:Choice>
          <mc:Fallback>
            <w:pict>
              <v:shape id="文本框 460" o:spid="_x0000_s1026" o:spt="202" type="#_x0000_t202" style="position:absolute;left:0pt;margin-left:-9pt;margin-top:0pt;height:29.4pt;width:72pt;z-index:251719680;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in7aPUAAAA&#10;BwEAAA8AAAAAAAAAAQAgAAAAIgAAAGRycy9kb3ducmV2LnhtbFBLAQIUABQAAAAIAIdO4kAexzha&#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sz w:val="24"/>
          <w:szCs w:val="24"/>
          <w:highlight w:val="none"/>
        </w:rPr>
        <w:t>承包人应按照合同约定完成下列工作，包括但不限于：</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按照合同约定和监理工程师的指令实施、完成并保修合同工程；</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按照合同约定和监理工程师的要求提交工程进度报告和进度计划；</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按照合同约定和造价工程师的要求提交支付申请和工程款报告，包括绿色施工安全防护费、进度款、结算款和调整合同价款等；</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负责施工场地安全保卫工作，防止因工程施工造成的人身伤害和财产损失，提供和维修非夜间施工使用的照明、围栏设施等安全标志；</w:t>
      </w:r>
    </w:p>
    <w:p>
      <w:pPr>
        <w:numPr>
          <w:ilvl w:val="0"/>
          <w:numId w:val="11"/>
        </w:numPr>
        <w:tabs>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pPr>
        <w:numPr>
          <w:ilvl w:val="0"/>
          <w:numId w:val="11"/>
        </w:numPr>
        <w:tabs>
          <w:tab w:val="left" w:pos="1980"/>
        </w:tabs>
        <w:spacing w:line="360" w:lineRule="auto"/>
        <w:ind w:left="1618" w:leftChars="770"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遵守政府部门有关施工场地交通、环境保护、施工噪声、绿色施工安全防护等的管理规定，办理有关手续，并以书面形式通知发包人，费用按政府有关部门相关文件规定由发（承）包人各自承担；</w:t>
      </w:r>
      <w:r>
        <w:rPr>
          <w:rFonts w:ascii="仿宋" w:hAnsi="仿宋" w:eastAsia="仿宋" w:cs="仿宋"/>
          <w:color w:val="auto"/>
          <w:sz w:val="24"/>
          <w:szCs w:val="24"/>
          <w:highlight w:val="none"/>
        </w:rPr>
        <w:t xml:space="preserve"> </w:t>
      </w:r>
    </w:p>
    <w:p>
      <w:pPr>
        <w:numPr>
          <w:ilvl w:val="0"/>
          <w:numId w:val="11"/>
        </w:numPr>
        <w:tabs>
          <w:tab w:val="left" w:pos="1980"/>
          <w:tab w:val="left" w:pos="2520"/>
        </w:tabs>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pPr>
        <w:numPr>
          <w:ilvl w:val="0"/>
          <w:numId w:val="11"/>
        </w:numPr>
        <w:tabs>
          <w:tab w:val="left" w:pos="1980"/>
          <w:tab w:val="left" w:pos="252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做好施工场地地下管线和邻近建筑物、构筑物（包括文物保护建筑）、古树名木的保护工作；</w:t>
      </w:r>
    </w:p>
    <w:p>
      <w:pPr>
        <w:numPr>
          <w:ilvl w:val="0"/>
          <w:numId w:val="11"/>
        </w:numPr>
        <w:tabs>
          <w:tab w:val="left" w:pos="1980"/>
          <w:tab w:val="left" w:pos="2520"/>
        </w:tabs>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遵守政府部门有关环境卫生的管理规定，保证施工场地的清洁和做好交工前施工现场的清理工作，并承担因自身责任造成的损失和罚款；</w:t>
      </w:r>
    </w:p>
    <w:p>
      <w:pPr>
        <w:numPr>
          <w:ilvl w:val="0"/>
          <w:numId w:val="11"/>
        </w:numPr>
        <w:tabs>
          <w:tab w:val="left" w:pos="1440"/>
          <w:tab w:val="left" w:pos="198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工程完工后，应按照合同约定提交竣工验收申请报告和竣工结算文件。</w:t>
      </w:r>
    </w:p>
    <w:p>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20.3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460" name="文本框 46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upright="1"/>
                    </wps:wsp>
                  </a:graphicData>
                </a:graphic>
              </wp:anchor>
            </w:drawing>
          </mc:Choice>
          <mc:Fallback>
            <w:pict>
              <v:shape id="文本框 461" o:spid="_x0000_s1026" o:spt="202" type="#_x0000_t202" style="position:absolute;left:0pt;margin-left:-9pt;margin-top:0pt;height:46.8pt;width:72pt;z-index:25172070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sn6TLVAAAA&#10;BwEAAA8AAAAAAAAAAQAgAAAAIgAAAGRycy9kb3ducmV2LnhtbFBLAQIUABQAAAAIAIdO4kAf8a2e&#10;rgEAAFEDAAAOAAAAAAAAAAEAIAAAACQ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仿宋" w:hAnsi="仿宋" w:eastAsia="仿宋" w:cs="仿宋"/>
          <w:color w:val="auto"/>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pPr>
        <w:tabs>
          <w:tab w:val="left" w:pos="497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20.4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461" name="文本框 462"/>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upright="1"/>
                    </wps:wsp>
                  </a:graphicData>
                </a:graphic>
              </wp:anchor>
            </w:drawing>
          </mc:Choice>
          <mc:Fallback>
            <w:pict>
              <v:shape id="文本框 462" o:spid="_x0000_s1026" o:spt="202" type="#_x0000_t202" style="position:absolute;left:0pt;margin-left:-9pt;margin-top:1.8pt;height:79.05pt;width:72pt;z-index:251721728;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q/gQnW&#10;AAAACQEAAA8AAAAAAAAAAQAgAAAAIgAAAGRycy9kb3ducmV2LnhtbFBLAQIUABQAAAAIAIdO4kCq&#10;FK0ZsAEAAFIDAAAOAAAAAAAAAAEAIAAAACU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仿宋" w:hAnsi="仿宋" w:eastAsia="仿宋" w:cs="仿宋"/>
          <w:color w:val="auto"/>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pPr>
        <w:tabs>
          <w:tab w:val="left" w:pos="4970"/>
        </w:tabs>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20.5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22"/>
        <w:tabs>
          <w:tab w:val="left" w:pos="497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462" name="文本框 463"/>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wps:txbx>
                      <wps:bodyPr upright="1"/>
                    </wps:wsp>
                  </a:graphicData>
                </a:graphic>
              </wp:anchor>
            </w:drawing>
          </mc:Choice>
          <mc:Fallback>
            <w:pict>
              <v:shape id="文本框 463" o:spid="_x0000_s1026" o:spt="202" type="#_x0000_t202" style="position:absolute;left:0pt;margin-left:-9pt;margin-top:1.2pt;height:51.8pt;width:72pt;z-index:251722752;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ULfA9QA&#10;AAAJAQAADwAAAAAAAAABACAAAAAiAAAAZHJzL2Rvd25yZXYueG1sUEsBAhQAFAAAAAgAh07iQLrz&#10;KQOxAQAAUQMAAA4AAAAAAAAAAQAgAAAAIw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仿宋" w:hAnsi="仿宋" w:eastAsia="仿宋" w:cs="仿宋"/>
          <w:color w:val="auto"/>
          <w:highlight w:val="none"/>
        </w:rPr>
        <w:t>承包人应按照合同约定或监理工程师的指令，配合和协助下述人员在施工场地及其附近实施与合同工程有关的各项工作：</w:t>
      </w:r>
    </w:p>
    <w:p>
      <w:pPr>
        <w:tabs>
          <w:tab w:val="left" w:pos="1980"/>
          <w:tab w:val="left" w:pos="4970"/>
        </w:tabs>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）发包人的工作人员；</w:t>
      </w:r>
    </w:p>
    <w:p>
      <w:pPr>
        <w:tabs>
          <w:tab w:val="left" w:pos="1980"/>
          <w:tab w:val="left" w:pos="4970"/>
        </w:tabs>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）发包人的雇员；</w:t>
      </w:r>
    </w:p>
    <w:p>
      <w:pPr>
        <w:tabs>
          <w:tab w:val="left" w:pos="1980"/>
          <w:tab w:val="left" w:pos="4970"/>
        </w:tabs>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）任何监督管理机构的执法人员。</w:t>
      </w:r>
    </w:p>
    <w:p>
      <w:pPr>
        <w:pStyle w:val="15"/>
        <w:tabs>
          <w:tab w:val="left" w:pos="2520"/>
        </w:tabs>
        <w:ind w:left="1619" w:leftChars="771" w:firstLine="0" w:firstLineChars="0"/>
        <w:rPr>
          <w:rFonts w:ascii="仿宋" w:hAnsi="仿宋" w:eastAsia="仿宋"/>
          <w:color w:val="auto"/>
          <w:highlight w:val="none"/>
        </w:rPr>
      </w:pPr>
      <w:r>
        <w:rPr>
          <w:rFonts w:hint="eastAsia" w:ascii="仿宋" w:hAnsi="仿宋" w:eastAsia="仿宋" w:cs="仿宋"/>
          <w:color w:val="auto"/>
          <w:highlight w:val="none"/>
        </w:rPr>
        <w:t>此类指令若增加了承包人的工作或支出，包括使用了承包人的设备、临时工程或通行道路等，则视为工程变更，按照第</w:t>
      </w:r>
      <w:r>
        <w:rPr>
          <w:rFonts w:ascii="仿宋" w:hAnsi="仿宋" w:eastAsia="仿宋" w:cs="仿宋"/>
          <w:color w:val="auto"/>
          <w:highlight w:val="none"/>
        </w:rPr>
        <w:t>72</w:t>
      </w:r>
      <w:r>
        <w:rPr>
          <w:rFonts w:hint="eastAsia" w:ascii="仿宋" w:hAnsi="仿宋" w:eastAsia="仿宋" w:cs="仿宋"/>
          <w:color w:val="auto"/>
          <w:highlight w:val="none"/>
        </w:rPr>
        <w:t>条规定调整合同价款。</w:t>
      </w:r>
    </w:p>
    <w:p>
      <w:pPr>
        <w:tabs>
          <w:tab w:val="left" w:pos="4970"/>
        </w:tabs>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20.6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463" name="文本框 46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upright="1"/>
                    </wps:wsp>
                  </a:graphicData>
                </a:graphic>
              </wp:anchor>
            </w:drawing>
          </mc:Choice>
          <mc:Fallback>
            <w:pict>
              <v:shape id="文本框 464" o:spid="_x0000_s1026" o:spt="202" type="#_x0000_t202" style="position:absolute;left:0pt;margin-left:-9pt;margin-top:0pt;height:62.4pt;width:72pt;z-index:25172377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k2VHNUA&#10;AAAIAQAADwAAAAAAAAABACAAAAAiAAAAZHJzL2Rvd25yZXYueG1sUEsBAhQAFAAAAAgAh07iQMym&#10;GdW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仿宋" w:hAnsi="仿宋" w:eastAsia="仿宋" w:cs="仿宋"/>
          <w:color w:val="auto"/>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pPr>
        <w:tabs>
          <w:tab w:val="left" w:pos="4970"/>
        </w:tabs>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20.7  </w:t>
      </w:r>
      <w:r>
        <w:rPr>
          <w:rFonts w:ascii="仿宋" w:hAnsi="仿宋" w:eastAsia="仿宋" w:cs="仿宋"/>
          <w:b/>
          <w:bCs/>
          <w:color w:val="auto"/>
          <w:sz w:val="24"/>
          <w:szCs w:val="24"/>
          <w:highlight w:val="none"/>
          <w:u w:val="dotted"/>
        </w:rPr>
        <w:t xml:space="preserve">                                                                                                        </w:t>
      </w:r>
    </w:p>
    <w:p>
      <w:pPr>
        <w:tabs>
          <w:tab w:val="left" w:pos="497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464" name="文本框 46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upright="1"/>
                    </wps:wsp>
                  </a:graphicData>
                </a:graphic>
              </wp:anchor>
            </w:drawing>
          </mc:Choice>
          <mc:Fallback>
            <w:pict>
              <v:shape id="文本框 465" o:spid="_x0000_s1026" o:spt="202" type="#_x0000_t202" style="position:absolute;left:0pt;margin-left:-9pt;margin-top:0pt;height:39pt;width:72pt;z-index:251724800;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C7iE7UAAAA&#10;BwEAAA8AAAAAAAAAAQAgAAAAIgAAAGRycy9kb3ducmV2LnhtbFBLAQIUABQAAAAIAIdO4kAS4udr&#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sz w:val="24"/>
          <w:szCs w:val="24"/>
          <w:highlight w:val="none"/>
        </w:rPr>
        <w:t>承包人未能正确完成本合同约定的全部义务，导致费用的增加和（或）延误的工期，由承包人承担；给发包人造成损失的，承包人应予赔偿。</w:t>
      </w:r>
    </w:p>
    <w:p>
      <w:pPr>
        <w:pStyle w:val="13"/>
        <w:adjustRightInd w:val="0"/>
        <w:snapToGrid w:val="0"/>
        <w:spacing w:line="480" w:lineRule="auto"/>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202" w:name="_Toc3617"/>
      <w:bookmarkStart w:id="203" w:name="_Toc17286"/>
      <w:bookmarkStart w:id="204" w:name="_Toc4773"/>
      <w:bookmarkStart w:id="205" w:name="_Toc469384001"/>
      <w:bookmarkStart w:id="206" w:name="_Toc10624841"/>
      <w:bookmarkStart w:id="207" w:name="_Toc9267"/>
      <w:bookmarkStart w:id="208" w:name="_Toc26044"/>
      <w:r>
        <w:rPr>
          <w:rFonts w:ascii="仿宋" w:hAnsi="仿宋" w:eastAsia="仿宋" w:cs="仿宋"/>
          <w:b/>
          <w:bCs/>
          <w:color w:val="auto"/>
          <w:sz w:val="24"/>
          <w:szCs w:val="24"/>
          <w:highlight w:val="none"/>
        </w:rPr>
        <w:t xml:space="preserve">21  </w:t>
      </w:r>
      <w:r>
        <w:rPr>
          <w:rFonts w:hint="eastAsia" w:ascii="仿宋" w:hAnsi="仿宋" w:eastAsia="仿宋" w:cs="仿宋"/>
          <w:b/>
          <w:bCs/>
          <w:color w:val="auto"/>
          <w:sz w:val="24"/>
          <w:szCs w:val="24"/>
          <w:highlight w:val="none"/>
        </w:rPr>
        <w:t>现场管理人员任命和更换</w:t>
      </w:r>
      <w:bookmarkEnd w:id="202"/>
      <w:bookmarkEnd w:id="203"/>
      <w:bookmarkEnd w:id="204"/>
      <w:bookmarkEnd w:id="205"/>
      <w:bookmarkEnd w:id="206"/>
      <w:bookmarkEnd w:id="207"/>
      <w:bookmarkEnd w:id="208"/>
    </w:p>
    <w:p>
      <w:pPr>
        <w:pStyle w:val="13"/>
        <w:tabs>
          <w:tab w:val="left" w:pos="1320"/>
        </w:tabs>
        <w:adjustRightInd w:val="0"/>
        <w:snapToGrid w:val="0"/>
        <w:spacing w:line="360" w:lineRule="auto"/>
        <w:ind w:right="-24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21.1</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465" name="文本框 466"/>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upright="1"/>
                    </wps:wsp>
                  </a:graphicData>
                </a:graphic>
              </wp:anchor>
            </w:drawing>
          </mc:Choice>
          <mc:Fallback>
            <w:pict>
              <v:shape id="文本框 466" o:spid="_x0000_s1026" o:spt="202" type="#_x0000_t202" style="position:absolute;left:0pt;margin-left:-9pt;margin-top:0.6pt;height:47.45pt;width:72pt;z-index:251725824;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E3W/nUAAAA&#10;CAEAAA8AAAAAAAAAAQAgAAAAIgAAAGRycy9kb3ducmV2LnhtbFBLAQIUABQAAAAIAIdO4kBeQxsr&#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ascii="仿宋" w:hAnsi="仿宋" w:eastAsia="仿宋" w:cs="仿宋"/>
          <w:color w:val="auto"/>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发包人如需更换现场管理人员，应至少提前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天以书面形式通知承包人，否则该项更换无效。承包人应在收到通知后</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天内予以回复，否则视为已收到通知。后任现场管理人员应继续行使合同规定的前任现场管理人员的职权和履行相应的义务。</w:t>
      </w:r>
    </w:p>
    <w:p>
      <w:pPr>
        <w:pStyle w:val="13"/>
        <w:tabs>
          <w:tab w:val="left" w:pos="1320"/>
          <w:tab w:val="left" w:pos="1620"/>
        </w:tabs>
        <w:adjustRightInd w:val="0"/>
        <w:snapToGrid w:val="0"/>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466" name="文本框 46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upright="1"/>
                    </wps:wsp>
                  </a:graphicData>
                </a:graphic>
              </wp:anchor>
            </w:drawing>
          </mc:Choice>
          <mc:Fallback>
            <w:pict>
              <v:shape id="文本框 467" o:spid="_x0000_s1026" o:spt="202" type="#_x0000_t202" style="position:absolute;left:0pt;margin-left:-9pt;margin-top:6.65pt;height:36pt;width:72pt;z-index:251726848;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TAn6dYA&#10;AAAJAQAADwAAAAAAAAABACAAAAAiAAAAZHJzL2Rvd25yZXYueG1sUEsBAhQAFAAAAAgAh07iQA71&#10;5l2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ascii="仿宋" w:hAnsi="仿宋" w:eastAsia="仿宋" w:cs="仿宋"/>
          <w:color w:val="auto"/>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承包人如需更换承包人代表，应取得发包人的同意和遵守建设行政主管部门的规定，并至少提前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天以书面形式通知发包人，否则该项更换无效。发包人应在收到通知后的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天内予以答复，否则视为同意。后任承包人代表应继续行使合同规定的前任承包人代表的职权和履行相应的义务。</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21.3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467" name="文本框 468"/>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upright="1"/>
                    </wps:wsp>
                  </a:graphicData>
                </a:graphic>
              </wp:anchor>
            </w:drawing>
          </mc:Choice>
          <mc:Fallback>
            <w:pict>
              <v:shape id="文本框 468" o:spid="_x0000_s1026" o:spt="202" type="#_x0000_t202" style="position:absolute;left:0pt;margin-left:-6.6pt;margin-top:3.65pt;height:56.75pt;width:97pt;z-index:251727872;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BWXI9UA&#10;AAAJAQAADwAAAAAAAAABACAAAAAiAAAAZHJzL2Rvd25yZXYueG1sUEsBAhQAFAAAAAgAh07iQBOF&#10;h7m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ascii="仿宋" w:hAnsi="仿宋" w:eastAsia="仿宋" w:cs="仿宋"/>
          <w:color w:val="auto"/>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天以书面形式通知承包人。未将有关文件送交承包人之前，任何此类任命或撤回均为无效。</w:t>
      </w:r>
    </w:p>
    <w:p>
      <w:pPr>
        <w:pStyle w:val="13"/>
        <w:tabs>
          <w:tab w:val="left" w:pos="1320"/>
        </w:tabs>
        <w:adjustRightInd w:val="0"/>
        <w:snapToGrid w:val="0"/>
        <w:spacing w:line="360" w:lineRule="auto"/>
        <w:ind w:right="-238"/>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21.4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468" name="文本框 469"/>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upright="1"/>
                    </wps:wsp>
                  </a:graphicData>
                </a:graphic>
              </wp:anchor>
            </w:drawing>
          </mc:Choice>
          <mc:Fallback>
            <w:pict>
              <v:shape id="文本框 469" o:spid="_x0000_s1026" o:spt="202" type="#_x0000_t202" style="position:absolute;left:0pt;margin-left:-9pt;margin-top:2.8pt;height:44.05pt;width:72pt;z-index:251728896;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eIOGdYA&#10;AAAIAQAADwAAAAAAAAABACAAAAAiAAAAZHJzL2Rvd25yZXYueG1sUEsBAhQAFAAAAAgAh07iQN15&#10;dFW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ascii="仿宋" w:hAnsi="仿宋" w:eastAsia="仿宋" w:cs="仿宋"/>
          <w:color w:val="auto"/>
          <w:sz w:val="24"/>
          <w:szCs w:val="24"/>
          <w:highlight w:val="none"/>
        </w:rPr>
        <w:t>除合同约定或依法应由承包人代表行使的职权外，承包人代表可将其职权以书面形式授予其任命的合格人选，亦可将其授权撤回。任何此类任命或撤回，均应至少提前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天以书面形式通知发包人和监理工程师、造价工程师。未将有关文件提交发包人和监理工程师、造价工程师之前，任何此类任命或撤回均为无效。</w:t>
      </w:r>
    </w:p>
    <w:p>
      <w:pPr>
        <w:pStyle w:val="13"/>
        <w:adjustRightInd w:val="0"/>
        <w:snapToGrid w:val="0"/>
        <w:spacing w:line="360" w:lineRule="auto"/>
        <w:ind w:left="1619" w:leftChars="771"/>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color w:val="auto"/>
          <w:sz w:val="24"/>
          <w:szCs w:val="24"/>
          <w:highlight w:val="none"/>
        </w:rPr>
      </w:pPr>
      <w:bookmarkStart w:id="209" w:name="_Toc469384002"/>
      <w:bookmarkStart w:id="210" w:name="_Toc8920"/>
      <w:bookmarkStart w:id="211" w:name="_Toc32332"/>
      <w:bookmarkStart w:id="212" w:name="_Toc3855"/>
      <w:bookmarkStart w:id="213" w:name="_Toc23816"/>
      <w:bookmarkStart w:id="214" w:name="_Toc10624842"/>
      <w:bookmarkStart w:id="215" w:name="_Toc19458"/>
      <w:r>
        <w:rPr>
          <w:rFonts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rPr>
        <w:t>发包人代表</w:t>
      </w:r>
      <w:bookmarkEnd w:id="209"/>
      <w:bookmarkEnd w:id="210"/>
      <w:bookmarkEnd w:id="211"/>
      <w:bookmarkEnd w:id="212"/>
      <w:bookmarkEnd w:id="213"/>
      <w:bookmarkEnd w:id="214"/>
      <w:bookmarkEnd w:id="215"/>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22.1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469" name="文本框 470"/>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wps:txbx>
                      <wps:bodyPr upright="1"/>
                    </wps:wsp>
                  </a:graphicData>
                </a:graphic>
              </wp:anchor>
            </w:drawing>
          </mc:Choice>
          <mc:Fallback>
            <w:pict>
              <v:shape id="文本框 470" o:spid="_x0000_s1026" o:spt="202" type="#_x0000_t202" style="position:absolute;left:0pt;margin-left:-9pt;margin-top:4.2pt;height:34.9pt;width:72pt;z-index:251729920;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u6wF1QAA&#10;AAgBAAAPAAAAAAAAAAEAIAAAACIAAABkcnMvZG93bnJldi54bWxQSwECFAAUAAAACACHTuJA4KxC&#10;9K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22.2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470" name="文本框 4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wps:txbx>
                      <wps:bodyPr upright="1"/>
                    </wps:wsp>
                  </a:graphicData>
                </a:graphic>
              </wp:anchor>
            </w:drawing>
          </mc:Choice>
          <mc:Fallback>
            <w:pict>
              <v:shape id="文本框 471" o:spid="_x0000_s1026" o:spt="202" type="#_x0000_t202" style="position:absolute;left:0pt;margin-left:-9pt;margin-top:6pt;height:31.2pt;width:72pt;z-index:251730944;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Nje27W&#10;AAAACQEAAA8AAAAAAAAAAQAgAAAAIgAAAGRycy9kb3ducmV2LnhtbFBLAQIUABQAAAAIAIdO4kB+&#10;RK0E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rPr>
        <w:t>发包人代表应代表发包人履行合同规定的职责、行使合同明文规定和必然隐含的权力，对发包人负责。发包人代表在发包人授予职权范围内工作，发包人应予认可。</w:t>
      </w:r>
    </w:p>
    <w:p>
      <w:pPr>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bCs w:val="0"/>
          <w:color w:val="auto"/>
          <w:sz w:val="24"/>
          <w:szCs w:val="24"/>
          <w:highlight w:val="none"/>
        </w:rPr>
      </w:pPr>
      <w:bookmarkStart w:id="216" w:name="_Toc19281"/>
      <w:bookmarkStart w:id="217" w:name="_Toc18287"/>
      <w:bookmarkStart w:id="218" w:name="_Toc7662"/>
      <w:bookmarkStart w:id="219" w:name="_Toc24452"/>
      <w:bookmarkStart w:id="220" w:name="_Toc10624843"/>
      <w:bookmarkStart w:id="221" w:name="_Toc85"/>
      <w:bookmarkStart w:id="222" w:name="_Toc469384003"/>
      <w:r>
        <w:rPr>
          <w:rFonts w:ascii="仿宋" w:hAnsi="仿宋" w:eastAsia="仿宋" w:cs="仿宋"/>
          <w:bCs w:val="0"/>
          <w:color w:val="auto"/>
          <w:sz w:val="24"/>
          <w:szCs w:val="24"/>
          <w:highlight w:val="none"/>
        </w:rPr>
        <w:t xml:space="preserve">23  </w:t>
      </w:r>
      <w:r>
        <w:rPr>
          <w:rFonts w:hint="eastAsia" w:ascii="仿宋" w:hAnsi="仿宋" w:eastAsia="仿宋" w:cs="仿宋"/>
          <w:bCs w:val="0"/>
          <w:color w:val="auto"/>
          <w:sz w:val="24"/>
          <w:szCs w:val="24"/>
          <w:highlight w:val="none"/>
        </w:rPr>
        <w:t>监理工程师</w:t>
      </w:r>
      <w:bookmarkEnd w:id="216"/>
      <w:bookmarkEnd w:id="217"/>
      <w:bookmarkEnd w:id="218"/>
      <w:bookmarkEnd w:id="219"/>
      <w:bookmarkEnd w:id="220"/>
      <w:bookmarkEnd w:id="221"/>
      <w:bookmarkEnd w:id="222"/>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23.1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471" name="文本框 47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upright="1"/>
                    </wps:wsp>
                  </a:graphicData>
                </a:graphic>
              </wp:anchor>
            </w:drawing>
          </mc:Choice>
          <mc:Fallback>
            <w:pict>
              <v:shape id="文本框 472" o:spid="_x0000_s1026" o:spt="202" type="#_x0000_t202" style="position:absolute;left:0pt;margin-left:-9pt;margin-top:4.2pt;height:30.7pt;width:72pt;z-index:251731968;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hgEgtUA&#10;AAAIAQAADwAAAAAAAAABACAAAAAiAAAAZHJzL2Rvd25yZXYueG1sUEsBAhQAFAAAAAgAh07iQD7z&#10;zwi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仿宋" w:hAnsi="仿宋" w:eastAsia="仿宋" w:cs="仿宋"/>
          <w:color w:val="auto"/>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472" name="文本框 473"/>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upright="1"/>
                    </wps:wsp>
                  </a:graphicData>
                </a:graphic>
              </wp:anchor>
            </w:drawing>
          </mc:Choice>
          <mc:Fallback>
            <w:pict>
              <v:shape id="文本框 473" o:spid="_x0000_s1026" o:spt="202" type="#_x0000_t202" style="position:absolute;left:0pt;margin-left:-9pt;margin-top:3pt;height:38.1pt;width:72pt;z-index:251732992;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sfmE7V&#10;AAAACAEAAA8AAAAAAAAAAQAgAAAAIgAAAGRycy9kb3ducmV2LnhtbFBLAQIUABQAAAAIAIdO4kBh&#10;Jy1O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仿宋" w:hAnsi="仿宋" w:eastAsia="仿宋" w:cs="仿宋"/>
          <w:color w:val="auto"/>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23.3  </w:t>
      </w:r>
      <w:r>
        <w:rPr>
          <w:rFonts w:ascii="仿宋" w:hAnsi="仿宋" w:eastAsia="仿宋" w:cs="仿宋"/>
          <w:b/>
          <w:bCs/>
          <w:color w:val="auto"/>
          <w:sz w:val="24"/>
          <w:szCs w:val="24"/>
          <w:highlight w:val="none"/>
          <w:u w:val="dotted"/>
        </w:rPr>
        <w:t xml:space="preserve">                                                                                                        </w:t>
      </w:r>
    </w:p>
    <w:p>
      <w:pPr>
        <w:spacing w:line="360" w:lineRule="auto"/>
        <w:ind w:left="1619" w:leftChars="771"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473" name="文本框 474"/>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upright="1"/>
                    </wps:wsp>
                  </a:graphicData>
                </a:graphic>
              </wp:anchor>
            </w:drawing>
          </mc:Choice>
          <mc:Fallback>
            <w:pict>
              <v:shape id="文本框 474" o:spid="_x0000_s1026" o:spt="202" type="#_x0000_t202" style="position:absolute;left:0pt;margin-left:-9pt;margin-top:5.4pt;height:32.3pt;width:72pt;z-index:251734016;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MEtodUA&#10;AAAJAQAADwAAAAAAAAABACAAAAAiAAAAZHJzL2Rvd25yZXYueG1sUEsBAhQAFAAAAAgAh07iQK/U&#10;6bi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仿宋" w:hAnsi="仿宋" w:eastAsia="仿宋" w:cs="仿宋"/>
          <w:color w:val="auto"/>
          <w:sz w:val="24"/>
          <w:szCs w:val="24"/>
          <w:highlight w:val="none"/>
        </w:rPr>
        <w:t>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条规定的争议外，监理工程师在职权范围内的工作，发包人应予认可，但下列事件应事先取得发包人的专项批准：</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5.2</w:t>
      </w:r>
      <w:r>
        <w:rPr>
          <w:rFonts w:hint="eastAsia" w:ascii="仿宋" w:hAnsi="仿宋" w:eastAsia="仿宋" w:cs="仿宋"/>
          <w:color w:val="auto"/>
          <w:sz w:val="24"/>
          <w:szCs w:val="24"/>
          <w:highlight w:val="none"/>
        </w:rPr>
        <w:t>款规定批准承包人提供的配合施工设计图纸；</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款规定同意承包人分包工程；</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18.1</w:t>
      </w:r>
      <w:r>
        <w:rPr>
          <w:rFonts w:hint="eastAsia" w:ascii="仿宋" w:hAnsi="仿宋" w:eastAsia="仿宋" w:cs="仿宋"/>
          <w:color w:val="auto"/>
          <w:sz w:val="24"/>
          <w:szCs w:val="24"/>
          <w:highlight w:val="none"/>
        </w:rPr>
        <w:t>款规定批准承包人将材料和工程设备、施工设备移出施工场地；</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条规定批准承包人的施工组织设计和工程进度计划；</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款规定发出的工程开工令；</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款规定发出加快进度的变更指令；</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49.6</w:t>
      </w:r>
      <w:r>
        <w:rPr>
          <w:rFonts w:hint="eastAsia" w:ascii="仿宋" w:hAnsi="仿宋" w:eastAsia="仿宋" w:cs="仿宋"/>
          <w:color w:val="auto"/>
          <w:sz w:val="24"/>
          <w:szCs w:val="24"/>
          <w:highlight w:val="none"/>
        </w:rPr>
        <w:t>款规定使用替换材料；</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条规定发出使用暂列金额的工作指令；</w:t>
      </w:r>
    </w:p>
    <w:p>
      <w:pPr>
        <w:numPr>
          <w:ilvl w:val="0"/>
          <w:numId w:val="12"/>
        </w:num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条规定发出使用计日工的工作指令；</w:t>
      </w:r>
    </w:p>
    <w:p>
      <w:pPr>
        <w:pStyle w:val="382"/>
        <w:spacing w:line="360" w:lineRule="auto"/>
        <w:ind w:firstLine="1440" w:firstLineChars="6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（1</w:t>
      </w:r>
      <w:r>
        <w:rPr>
          <w:rFonts w:ascii="仿宋" w:hAnsi="仿宋" w:eastAsia="仿宋" w:cs="仿宋"/>
          <w:color w:val="auto"/>
          <w:sz w:val="24"/>
          <w:szCs w:val="24"/>
          <w:highlight w:val="none"/>
        </w:rPr>
        <w:t>0</w: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条规定指令或批准的工程变更；</w:t>
      </w:r>
    </w:p>
    <w:p>
      <w:pPr>
        <w:pStyle w:val="382"/>
        <w:spacing w:line="360" w:lineRule="auto"/>
        <w:ind w:firstLine="1440" w:firstLineChars="6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（1</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条规定指令或确认的现场签证；</w:t>
      </w:r>
    </w:p>
    <w:p>
      <w:pPr>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）专用条款约定需要发包人批准的其他事项。</w:t>
      </w:r>
    </w:p>
    <w:p>
      <w:pPr>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474" name="文本框 475"/>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文本框 475" o:spid="_x0000_s1026" o:spt="202" type="#_x0000_t202" style="position:absolute;left:0pt;margin-left:-9pt;margin-top:21.9pt;height:36pt;width:81pt;z-index:251735040;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mYSoXX&#10;AAAACgEAAA8AAAAAAAAAAQAgAAAAIgAAAGRycy9kb3ducmV2LnhtbFBLAQIUABQAAAAIAIdO4kCP&#10;uAEVrwEAAFI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仿宋" w:hAnsi="仿宋" w:eastAsia="仿宋" w:cs="仿宋"/>
          <w:b/>
          <w:bCs/>
          <w:color w:val="auto"/>
          <w:sz w:val="24"/>
          <w:szCs w:val="24"/>
          <w:highlight w:val="none"/>
        </w:rPr>
        <w:t xml:space="preserve">23.4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监理工程师应按照合同约定时间向承包人提供实施合同工程的进度、质量和安全工作所需的批准、确认和通知等指令。</w:t>
      </w:r>
    </w:p>
    <w:p>
      <w:pPr>
        <w:tabs>
          <w:tab w:val="left" w:pos="1260"/>
        </w:tabs>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监理工程师提供的指令，均应采用书面形式。在紧急情况下，监理工程师可发出口头指令，但应在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小时内给予书面确认。对监理工程师的口头指令，承包人应予执行。如果承包人在监理工程师发出口头指令</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小时后未收到书面确认，则应在接到口头指令后的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天内向监理工程师发出书面确认函。监理工程师应在承包人发出书面确认函后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小时内给予答复；逾期未予答复的，视为承包人的书面确认函已被认可。</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23.5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475" name="文本框 476"/>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upright="1"/>
                    </wps:wsp>
                  </a:graphicData>
                </a:graphic>
              </wp:anchor>
            </w:drawing>
          </mc:Choice>
          <mc:Fallback>
            <w:pict>
              <v:shape id="文本框 476" o:spid="_x0000_s1026" o:spt="202" type="#_x0000_t202" style="position:absolute;left:0pt;margin-left:-9pt;margin-top:3.9pt;height:33.9pt;width:72pt;z-index:251736064;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Z3x+tQA&#10;AAAIAQAADwAAAAAAAAABACAAAAAiAAAAZHJzL2Rvd25yZXYueG1sUEsBAhQAFAAAAAgAh07iQGsQ&#10;wcOxAQAAUQMAAA4AAAAAAAAAAQAgAAAAIw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仿宋" w:hAnsi="仿宋" w:eastAsia="仿宋" w:cs="仿宋"/>
          <w:color w:val="auto"/>
          <w:sz w:val="24"/>
          <w:szCs w:val="24"/>
          <w:highlight w:val="none"/>
        </w:rPr>
        <w:t>如果承包人认为监理工程师的指令不合理，应在收到指令后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小时内向监理工程师提出书面报告，监理工程师应在收到承包人报告后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小时内做出修改指令或继续执行原指令的决定，并书面通知承包人。逾期不做出决定的，承包人可不执行监理工程师的指令。</w:t>
      </w:r>
    </w:p>
    <w:p>
      <w:pPr>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23.6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476" name="文本框 477"/>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upright="1"/>
                    </wps:wsp>
                  </a:graphicData>
                </a:graphic>
              </wp:anchor>
            </w:drawing>
          </mc:Choice>
          <mc:Fallback>
            <w:pict>
              <v:shape id="文本框 477" o:spid="_x0000_s1026" o:spt="202" type="#_x0000_t202" style="position:absolute;left:0pt;margin-left:-9pt;margin-top:1.7pt;height:34.9pt;width:72pt;z-index:251737088;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SyGbHW&#10;AAAACAEAAA8AAAAAAAAAAQAgAAAAIgAAAGRycy9kb3ducmV2LnhtbFBLAQIUABQAAAAIAIdO4kCQ&#10;yzVk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仿宋" w:hAnsi="仿宋" w:eastAsia="仿宋" w:cs="仿宋"/>
          <w:color w:val="auto"/>
          <w:sz w:val="24"/>
          <w:szCs w:val="24"/>
          <w:highlight w:val="none"/>
        </w:rPr>
        <w:t>监理工程师可按照第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款规定，任何此类任命或撤回均为无效。</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23.7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477" name="文本框 478"/>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upright="1"/>
                    </wps:wsp>
                  </a:graphicData>
                </a:graphic>
              </wp:anchor>
            </w:drawing>
          </mc:Choice>
          <mc:Fallback>
            <w:pict>
              <v:shape id="文本框 478" o:spid="_x0000_s1026" o:spt="202" type="#_x0000_t202" style="position:absolute;left:0pt;margin-left:-9pt;margin-top:2.3pt;height:48.1pt;width:72pt;z-index:251738112;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qHM/W&#10;AAAACQEAAA8AAAAAAAAAAQAgAAAAIgAAAGRycy9kb3ducmV2LnhtbFBLAQIUABQAAAAIAIdO4kCo&#10;BPty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仿宋" w:hAnsi="仿宋" w:eastAsia="仿宋" w:cs="仿宋"/>
          <w:color w:val="auto"/>
          <w:sz w:val="24"/>
          <w:szCs w:val="24"/>
          <w:highlight w:val="none"/>
        </w:rPr>
        <w:t>监理工程师（含其代表）未能正确完成本合同约定的全部义务，或工作出现失误，导致费用的增加和（或）延误的工期，由发包人承担；给承包人造成损失的，发包人应予赔偿。</w:t>
      </w:r>
    </w:p>
    <w:p>
      <w:pPr>
        <w:tabs>
          <w:tab w:val="left" w:pos="1260"/>
        </w:tabs>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color w:val="auto"/>
          <w:sz w:val="24"/>
          <w:szCs w:val="24"/>
          <w:highlight w:val="none"/>
        </w:rPr>
      </w:pPr>
      <w:bookmarkStart w:id="223" w:name="_Toc469384004"/>
      <w:bookmarkStart w:id="224" w:name="_Toc5351"/>
      <w:bookmarkStart w:id="225" w:name="_Toc5758"/>
      <w:bookmarkStart w:id="226" w:name="_Toc16952"/>
      <w:bookmarkStart w:id="227" w:name="_Toc10624844"/>
      <w:bookmarkStart w:id="228" w:name="_Toc23891"/>
      <w:bookmarkStart w:id="229" w:name="_Toc5685"/>
      <w:r>
        <w:rPr>
          <w:rFonts w:ascii="仿宋" w:hAnsi="仿宋" w:eastAsia="仿宋" w:cs="仿宋"/>
          <w:color w:val="auto"/>
          <w:sz w:val="24"/>
          <w:szCs w:val="24"/>
          <w:highlight w:val="none"/>
        </w:rPr>
        <w:t xml:space="preserve">24  </w:t>
      </w:r>
      <w:r>
        <w:rPr>
          <w:rFonts w:hint="eastAsia" w:ascii="仿宋" w:hAnsi="仿宋" w:eastAsia="仿宋" w:cs="仿宋"/>
          <w:color w:val="auto"/>
          <w:sz w:val="24"/>
          <w:szCs w:val="24"/>
          <w:highlight w:val="none"/>
        </w:rPr>
        <w:t>造价工程师</w:t>
      </w:r>
      <w:bookmarkEnd w:id="223"/>
      <w:bookmarkEnd w:id="224"/>
      <w:bookmarkEnd w:id="225"/>
      <w:bookmarkEnd w:id="226"/>
      <w:bookmarkEnd w:id="227"/>
      <w:bookmarkEnd w:id="228"/>
      <w:bookmarkEnd w:id="229"/>
    </w:p>
    <w:p>
      <w:pPr>
        <w:tabs>
          <w:tab w:val="left" w:pos="1260"/>
        </w:tabs>
        <w:spacing w:line="400" w:lineRule="exac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24.1                                                   </w:t>
      </w:r>
    </w:p>
    <w:p>
      <w:pPr>
        <w:pStyle w:val="22"/>
        <w:tabs>
          <w:tab w:val="left" w:pos="1260"/>
          <w:tab w:val="left" w:pos="162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478" name="文本框 479"/>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upright="1"/>
                    </wps:wsp>
                  </a:graphicData>
                </a:graphic>
              </wp:anchor>
            </w:drawing>
          </mc:Choice>
          <mc:Fallback>
            <w:pict>
              <v:shape id="文本框 479" o:spid="_x0000_s1026" o:spt="202" type="#_x0000_t202" style="position:absolute;left:0pt;margin-left:-9pt;margin-top:3.6pt;height:35.4pt;width:72pt;z-index:251739136;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6OTFDTAAAA&#10;CAEAAA8AAAAAAAAAAQAgAAAAIgAAAGRycy9kb3ducmV2LnhtbFBLAQIUABQAAAAIAIdO4kBdRrW0&#10;sAEAAFEDAAAOAAAAAAAAAAEAIAAAACI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仿宋" w:hAnsi="仿宋" w:eastAsia="仿宋" w:cs="仿宋"/>
          <w:color w:val="auto"/>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24.2  </w:t>
      </w:r>
      <w:r>
        <w:rPr>
          <w:rFonts w:ascii="仿宋" w:hAnsi="仿宋" w:eastAsia="仿宋" w:cs="仿宋"/>
          <w:b/>
          <w:bCs/>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479" name="文本框 480"/>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upright="1"/>
                    </wps:wsp>
                  </a:graphicData>
                </a:graphic>
              </wp:anchor>
            </w:drawing>
          </mc:Choice>
          <mc:Fallback>
            <w:pict>
              <v:shape id="文本框 480" o:spid="_x0000_s1026" o:spt="202" type="#_x0000_t202" style="position:absolute;left:0pt;margin-left:-9pt;margin-top:-0.1pt;height:33.7pt;width:72pt;z-index:251740160;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oraj1QAA&#10;AAgBAAAPAAAAAAAAAAEAIAAAACIAAABkcnMvZG93bnJldi54bWxQSwECFAAUAAAACACHTuJAplng&#10;f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仿宋" w:hAnsi="仿宋" w:eastAsia="仿宋" w:cs="仿宋"/>
          <w:color w:val="auto"/>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24.3  </w:t>
      </w:r>
      <w:r>
        <w:rPr>
          <w:rFonts w:ascii="仿宋" w:hAnsi="仿宋" w:eastAsia="仿宋" w:cs="仿宋"/>
          <w:b/>
          <w:bCs/>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480" name="文本框 48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upright="1"/>
                    </wps:wsp>
                  </a:graphicData>
                </a:graphic>
              </wp:anchor>
            </w:drawing>
          </mc:Choice>
          <mc:Fallback>
            <w:pict>
              <v:shape id="文本框 481" o:spid="_x0000_s1026" o:spt="202" type="#_x0000_t202" style="position:absolute;left:0pt;margin-left:-9pt;margin-top:0pt;height:40.2pt;width:72pt;z-index:251741184;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7vLnbUAAAA&#10;BwEAAA8AAAAAAAAAAQAgAAAAIgAAAGRycy9kb3ducmV2LnhtbFBLAQIUABQAAAAIAIdO4kARAubI&#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仿宋" w:hAnsi="仿宋" w:eastAsia="仿宋" w:cs="仿宋"/>
          <w:color w:val="auto"/>
          <w:sz w:val="24"/>
          <w:szCs w:val="24"/>
          <w:highlight w:val="none"/>
        </w:rPr>
        <w:t>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条规定的争议外，造价工程师在职权范围内的工作，发包人应予认可，但下列事件应事先取得发包人的专项批准：</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63</w:t>
      </w:r>
      <w:r>
        <w:rPr>
          <w:rFonts w:hint="eastAsia" w:ascii="仿宋" w:hAnsi="仿宋" w:eastAsia="仿宋" w:cs="仿宋"/>
          <w:color w:val="auto"/>
          <w:sz w:val="24"/>
          <w:szCs w:val="24"/>
          <w:highlight w:val="none"/>
        </w:rPr>
        <w:t>条规定使用暂列金额；</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64</w:t>
      </w:r>
      <w:r>
        <w:rPr>
          <w:rFonts w:hint="eastAsia" w:ascii="仿宋" w:hAnsi="仿宋" w:eastAsia="仿宋" w:cs="仿宋"/>
          <w:color w:val="auto"/>
          <w:sz w:val="24"/>
          <w:szCs w:val="24"/>
          <w:highlight w:val="none"/>
        </w:rPr>
        <w:t>条规定使用计日工；</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65</w:t>
      </w:r>
      <w:r>
        <w:rPr>
          <w:rFonts w:hint="eastAsia" w:ascii="仿宋" w:hAnsi="仿宋" w:eastAsia="仿宋" w:cs="仿宋"/>
          <w:color w:val="auto"/>
          <w:sz w:val="24"/>
          <w:szCs w:val="24"/>
          <w:highlight w:val="none"/>
        </w:rPr>
        <w:t>条规定使用暂估价；</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条确定的提前竣工奖与误期赔偿费；</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67</w:t>
      </w:r>
      <w:r>
        <w:rPr>
          <w:rFonts w:hint="eastAsia" w:ascii="仿宋" w:hAnsi="仿宋" w:eastAsia="仿宋" w:cs="仿宋"/>
          <w:color w:val="auto"/>
          <w:sz w:val="24"/>
          <w:szCs w:val="24"/>
          <w:highlight w:val="none"/>
        </w:rPr>
        <w:t>条确定的工程优质费；</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款规定事件调整的合同价款；</w:t>
      </w:r>
    </w:p>
    <w:p>
      <w:pPr>
        <w:numPr>
          <w:ilvl w:val="0"/>
          <w:numId w:val="13"/>
        </w:numPr>
        <w:tabs>
          <w:tab w:val="left" w:pos="21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专用条款约定需要发包人批准的其他事项。</w:t>
      </w:r>
    </w:p>
    <w:p>
      <w:pPr>
        <w:spacing w:line="400" w:lineRule="exac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481" name="文本框 482"/>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文本框 482" o:spid="_x0000_s1026" o:spt="202" type="#_x0000_t202" style="position:absolute;left:0pt;margin-left:-9pt;margin-top:0pt;height:34.2pt;width:86pt;z-index:251742208;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8Y3ydUA&#10;AAAHAQAADwAAAAAAAAABACAAAAAiAAAAZHJzL2Rvd25yZXYueG1sUEsBAhQAFAAAAAgAh07iQGL+&#10;iIS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仿宋" w:hAnsi="仿宋" w:eastAsia="仿宋" w:cs="仿宋"/>
          <w:color w:val="auto"/>
          <w:sz w:val="24"/>
          <w:szCs w:val="24"/>
          <w:highlight w:val="none"/>
        </w:rPr>
        <w:t>造价工程师应按照合同约定时间向承包人提供实施合同工程的工程造价工作所需的核实、调整和通知等指令。</w:t>
      </w:r>
    </w:p>
    <w:p>
      <w:pPr>
        <w:tabs>
          <w:tab w:val="left" w:pos="1260"/>
        </w:tabs>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造价工程师提供的指令，均应采用书面形式。在紧急情况下，造价工程师可发出口头指令，但应在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小时内给予书面确认。对造价工程师的口头指令，承包人应予执行。如果承包人在造价工程师发出的口头指令</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小时后未收到书面确认，则应在接到口头指令后的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天内向造价工程师发出书面确认函。造价工程师应在承包人发出书面确认函后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小时内给予答复；逾期未予答复的，视为承包人的书面确认函已被认可。</w:t>
      </w:r>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24.5  </w:t>
      </w:r>
      <w:r>
        <w:rPr>
          <w:rFonts w:ascii="仿宋" w:hAnsi="仿宋" w:eastAsia="仿宋" w:cs="仿宋"/>
          <w:b/>
          <w:bCs/>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482" name="文本框 483"/>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upright="1"/>
                    </wps:wsp>
                  </a:graphicData>
                </a:graphic>
              </wp:anchor>
            </w:drawing>
          </mc:Choice>
          <mc:Fallback>
            <w:pict>
              <v:shape id="文本框 483" o:spid="_x0000_s1026" o:spt="202" type="#_x0000_t202" style="position:absolute;left:0pt;margin-left:-9pt;margin-top:1.2pt;height:35.3pt;width:72pt;z-index:251743232;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qjXUXVAAAA&#10;CAEAAA8AAAAAAAAAAQAgAAAAIgAAAGRycy9kb3ducmV2LnhtbFBLAQIUABQAAAAIAIdO4kB7NXPw&#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仿宋" w:hAnsi="仿宋" w:eastAsia="仿宋" w:cs="仿宋"/>
          <w:color w:val="auto"/>
          <w:sz w:val="24"/>
          <w:szCs w:val="24"/>
          <w:highlight w:val="none"/>
        </w:rPr>
        <w:t>如果承包人认为造价工程师的指令不合理，应在收到指令后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小时内向造价工程师提出书面报告，造价工程师应在收到承包人报告后</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小时内做出修改指令或继续执行原指令的决定，并书面通知承包人。逾期不做出决定的，承包人可不执行造价工程师的指令。</w:t>
      </w:r>
    </w:p>
    <w:p>
      <w:pPr>
        <w:tabs>
          <w:tab w:val="left" w:pos="126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24.6  </w:t>
      </w:r>
      <w:r>
        <w:rPr>
          <w:rFonts w:ascii="仿宋" w:hAnsi="仿宋" w:eastAsia="仿宋" w:cs="仿宋"/>
          <w:b/>
          <w:bCs/>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483" name="文本框 48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upright="1"/>
                    </wps:wsp>
                  </a:graphicData>
                </a:graphic>
              </wp:anchor>
            </w:drawing>
          </mc:Choice>
          <mc:Fallback>
            <w:pict>
              <v:shape id="文本框 484" o:spid="_x0000_s1026" o:spt="202" type="#_x0000_t202" style="position:absolute;left:0pt;margin-left:-9pt;margin-top:0pt;height:46.8pt;width:72pt;z-index:2517442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yfpMtUA&#10;AAAHAQAADwAAAAAAAAABACAAAAAiAAAAZHJzL2Rvd25yZXYueG1sUEsBAhQAFAAAAAgAh07iQHlh&#10;tcqwAQAAUQMAAA4AAAAAAAAAAQAgAAAAJAEAAGRycy9lMm9Eb2MueG1sUEsFBgAAAAAGAAYAWQEA&#10;AEYFA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仿宋" w:hAnsi="仿宋" w:eastAsia="仿宋" w:cs="仿宋"/>
          <w:color w:val="auto"/>
          <w:sz w:val="24"/>
          <w:szCs w:val="24"/>
          <w:highlight w:val="none"/>
        </w:rPr>
        <w:t>造价工程师可按照第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仿宋" w:hAnsi="仿宋" w:eastAsia="仿宋" w:cs="仿宋"/>
          <w:color w:val="auto"/>
          <w:sz w:val="24"/>
          <w:szCs w:val="24"/>
          <w:highlight w:val="none"/>
        </w:rPr>
        <w:t>21.3</w:t>
      </w:r>
      <w:r>
        <w:rPr>
          <w:rFonts w:hint="eastAsia" w:ascii="仿宋" w:hAnsi="仿宋" w:eastAsia="仿宋" w:cs="仿宋"/>
          <w:color w:val="auto"/>
          <w:sz w:val="24"/>
          <w:szCs w:val="24"/>
          <w:highlight w:val="none"/>
        </w:rPr>
        <w:t>款规定，任何此类任命或撤回均为无效。</w:t>
      </w:r>
    </w:p>
    <w:p>
      <w:pPr>
        <w:tabs>
          <w:tab w:val="left" w:pos="1260"/>
        </w:tabs>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24.7</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tabs>
          <w:tab w:val="left" w:pos="1260"/>
        </w:tabs>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484" name="文本框 48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upright="1"/>
                    </wps:wsp>
                  </a:graphicData>
                </a:graphic>
              </wp:anchor>
            </w:drawing>
          </mc:Choice>
          <mc:Fallback>
            <w:pict>
              <v:shape id="文本框 485" o:spid="_x0000_s1026" o:spt="202" type="#_x0000_t202" style="position:absolute;left:0pt;margin-left:-9pt;margin-top:0pt;height:46.8pt;width:72pt;z-index:251745280;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yfpMtUA&#10;AAAHAQAADwAAAAAAAAABACAAAAAiAAAAZHJzL2Rvd25yZXYueG1sUEsBAhQAFAAAAAgAh07iQHdd&#10;qjy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仿宋" w:hAnsi="仿宋" w:eastAsia="仿宋" w:cs="仿宋"/>
          <w:color w:val="auto"/>
          <w:sz w:val="24"/>
          <w:szCs w:val="24"/>
          <w:highlight w:val="none"/>
        </w:rPr>
        <w:t>造价工程师（含其代表）未能正确完成本合同约定的全部义务，或工作出现失误，导致费用的增加和（或）延误的工期，由发包人承担；给承包人造成损失的，发包人应予赔偿。</w:t>
      </w:r>
    </w:p>
    <w:p>
      <w:pPr>
        <w:tabs>
          <w:tab w:val="left" w:pos="540"/>
          <w:tab w:val="left" w:pos="720"/>
        </w:tabs>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color w:val="auto"/>
          <w:sz w:val="24"/>
          <w:szCs w:val="24"/>
          <w:highlight w:val="none"/>
        </w:rPr>
      </w:pPr>
      <w:bookmarkStart w:id="230" w:name="_Toc16612"/>
      <w:bookmarkStart w:id="231" w:name="_Toc10624845"/>
      <w:bookmarkStart w:id="232" w:name="_Toc469384005"/>
      <w:bookmarkStart w:id="233" w:name="_Toc169"/>
      <w:bookmarkStart w:id="234" w:name="_Toc12822"/>
      <w:bookmarkStart w:id="235" w:name="_Toc31190"/>
      <w:bookmarkStart w:id="236" w:name="_Toc16397"/>
      <w:r>
        <w:rPr>
          <w:rFonts w:ascii="仿宋" w:hAnsi="仿宋" w:eastAsia="仿宋" w:cs="仿宋"/>
          <w:color w:val="auto"/>
          <w:sz w:val="24"/>
          <w:szCs w:val="24"/>
          <w:highlight w:val="none"/>
        </w:rPr>
        <w:t xml:space="preserve">25  </w:t>
      </w:r>
      <w:r>
        <w:rPr>
          <w:rFonts w:hint="eastAsia" w:ascii="仿宋" w:hAnsi="仿宋" w:eastAsia="仿宋" w:cs="仿宋"/>
          <w:color w:val="auto"/>
          <w:sz w:val="24"/>
          <w:szCs w:val="24"/>
          <w:highlight w:val="none"/>
        </w:rPr>
        <w:t>承包人代表</w:t>
      </w:r>
      <w:bookmarkEnd w:id="230"/>
      <w:bookmarkEnd w:id="231"/>
      <w:bookmarkEnd w:id="232"/>
      <w:bookmarkEnd w:id="233"/>
      <w:bookmarkEnd w:id="234"/>
      <w:bookmarkEnd w:id="235"/>
      <w:bookmarkEnd w:id="236"/>
    </w:p>
    <w:p>
      <w:pPr>
        <w:tabs>
          <w:tab w:val="left" w:pos="540"/>
          <w:tab w:val="left" w:pos="72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25.1                                 </w:t>
      </w:r>
    </w:p>
    <w:p>
      <w:pPr>
        <w:pStyle w:val="22"/>
        <w:tabs>
          <w:tab w:val="left" w:pos="540"/>
          <w:tab w:val="left" w:pos="720"/>
        </w:tabs>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485" name="文本框 486"/>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wps:txbx>
                      <wps:bodyPr upright="1"/>
                    </wps:wsp>
                  </a:graphicData>
                </a:graphic>
              </wp:anchor>
            </w:drawing>
          </mc:Choice>
          <mc:Fallback>
            <w:pict>
              <v:shape id="文本框 486" o:spid="_x0000_s1026" o:spt="202" type="#_x0000_t202" style="position:absolute;left:0pt;margin-left:-9pt;margin-top:0pt;height:33pt;width:72pt;z-index:251746304;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lzqsjUAAAA&#10;BwEAAA8AAAAAAAAAAQAgAAAAIgAAAGRycy9kb3ducmV2LnhtbFBLAQIUABQAAAAIAIdO4kAukODG&#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rPr>
        <w:t>承包人应依据第</w:t>
      </w:r>
      <w:r>
        <w:rPr>
          <w:rFonts w:ascii="仿宋" w:hAnsi="仿宋" w:eastAsia="仿宋" w:cs="仿宋"/>
          <w:color w:val="auto"/>
          <w:highlight w:val="none"/>
        </w:rPr>
        <w:t>21.2</w:t>
      </w:r>
      <w:r>
        <w:rPr>
          <w:rFonts w:hint="eastAsia" w:ascii="仿宋" w:hAnsi="仿宋" w:eastAsia="仿宋" w:cs="仿宋"/>
          <w:color w:val="auto"/>
          <w:highlight w:val="none"/>
        </w:rPr>
        <w:t>款规定在专用条款中写明承包人代表具体人选，同时在开工前将承包人代表任命书以书面形式通知发包人，授予其代表承包人履行合同规定职责所需的一切权力。</w:t>
      </w:r>
    </w:p>
    <w:p>
      <w:pPr>
        <w:tabs>
          <w:tab w:val="left" w:pos="540"/>
          <w:tab w:val="left" w:pos="720"/>
          <w:tab w:val="left" w:pos="1260"/>
          <w:tab w:val="left" w:pos="144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25.2  </w:t>
      </w:r>
      <w:r>
        <w:rPr>
          <w:rFonts w:ascii="仿宋" w:hAnsi="仿宋" w:eastAsia="仿宋" w:cs="仿宋"/>
          <w:b/>
          <w:bCs/>
          <w:color w:val="auto"/>
          <w:sz w:val="24"/>
          <w:szCs w:val="24"/>
          <w:highlight w:val="none"/>
          <w:u w:val="dotted"/>
        </w:rPr>
        <w:t xml:space="preserve">                                                                                                        </w:t>
      </w:r>
    </w:p>
    <w:p>
      <w:pPr>
        <w:tabs>
          <w:tab w:val="left" w:pos="540"/>
          <w:tab w:val="left" w:pos="720"/>
          <w:tab w:val="left" w:pos="1260"/>
          <w:tab w:val="left" w:pos="1440"/>
        </w:tabs>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486" name="文本框 487"/>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wps:txbx>
                      <wps:bodyPr upright="1"/>
                    </wps:wsp>
                  </a:graphicData>
                </a:graphic>
              </wp:anchor>
            </w:drawing>
          </mc:Choice>
          <mc:Fallback>
            <w:pict>
              <v:shape id="文本框 487" o:spid="_x0000_s1026" o:spt="202" type="#_x0000_t202" style="position:absolute;left:0pt;margin-left:-9pt;margin-top:0.6pt;height:31.2pt;width:81pt;z-index:25174732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J8EbV&#10;AAAACAEAAA8AAAAAAAAAAQAgAAAAIgAAAGRycy9kb3ducmV2LnhtbFBLAQIUABQAAAAIAIdO4kDl&#10;SiLosQEAAFI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仿宋" w:hAnsi="仿宋" w:eastAsia="仿宋" w:cs="仿宋"/>
          <w:color w:val="auto"/>
          <w:sz w:val="24"/>
          <w:szCs w:val="24"/>
          <w:highlight w:val="none"/>
        </w:rPr>
        <w:t>承包人代表应代表承包人履行合同规定的职责、行使合同明文约定或必然隐含的权力，对承包人负责。承包人代表在承包人授予职权范围内的工作，承包人应予认可。</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487" name="文本框 488"/>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upright="1"/>
                    </wps:wsp>
                  </a:graphicData>
                </a:graphic>
              </wp:anchor>
            </w:drawing>
          </mc:Choice>
          <mc:Fallback>
            <w:pict>
              <v:shape id="文本框 488" o:spid="_x0000_s1026" o:spt="202" type="#_x0000_t202" style="position:absolute;left:0pt;margin-left:-9pt;margin-top:0pt;height:38.4pt;width:72pt;z-index:251748352;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7dFe1QAA&#10;AAcBAAAPAAAAAAAAAAEAIAAAACIAAABkcnMvZG93bnJldi54bWxQSwECFAAUAAAACACHTuJADksc&#10;s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仿宋" w:hAnsi="仿宋" w:eastAsia="仿宋" w:cs="仿宋"/>
          <w:color w:val="auto"/>
          <w:sz w:val="24"/>
          <w:szCs w:val="24"/>
          <w:highlight w:val="none"/>
        </w:rPr>
        <w:t>如果承包人代表在合同履行期间确需暂离现场，则应在监理工程师同意下，按照第</w:t>
      </w: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仿宋" w:hAnsi="仿宋" w:eastAsia="仿宋" w:cs="仿宋"/>
          <w:color w:val="auto"/>
          <w:sz w:val="24"/>
          <w:szCs w:val="24"/>
          <w:highlight w:val="none"/>
        </w:rPr>
        <w:t>21.4</w:t>
      </w:r>
      <w:r>
        <w:rPr>
          <w:rFonts w:hint="eastAsia" w:ascii="仿宋" w:hAnsi="仿宋" w:eastAsia="仿宋" w:cs="仿宋"/>
          <w:color w:val="auto"/>
          <w:sz w:val="24"/>
          <w:szCs w:val="24"/>
          <w:highlight w:val="none"/>
        </w:rPr>
        <w:t>款规定，任何此类任命或撤回均为无效。</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25.4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488" name="文本框 489"/>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upright="1"/>
                    </wps:wsp>
                  </a:graphicData>
                </a:graphic>
              </wp:anchor>
            </w:drawing>
          </mc:Choice>
          <mc:Fallback>
            <w:pict>
              <v:shape id="文本框 489" o:spid="_x0000_s1026" o:spt="202" type="#_x0000_t202" style="position:absolute;left:0pt;margin-left:-9pt;margin-top:0pt;height:60pt;width:72pt;z-index:251749376;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u9lb1AAA&#10;AAgBAAAPAAAAAAAAAAEAIAAAACIAAABkcnMvZG93bnJldi54bWxQSwECFAAUAAAACACHTuJA75gC&#10;qr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仿宋" w:hAnsi="仿宋" w:eastAsia="仿宋" w:cs="仿宋"/>
          <w:color w:val="auto"/>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pPr>
        <w:pStyle w:val="13"/>
        <w:tabs>
          <w:tab w:val="left" w:pos="540"/>
        </w:tabs>
        <w:adjustRightInd w:val="0"/>
        <w:snapToGrid w:val="0"/>
        <w:spacing w:line="360" w:lineRule="auto"/>
        <w:ind w:right="-240"/>
        <w:rPr>
          <w:rFonts w:ascii="仿宋" w:hAnsi="仿宋" w:eastAsia="仿宋" w:cs="仿宋"/>
          <w:b/>
          <w:bCs/>
          <w:color w:val="auto"/>
          <w:sz w:val="24"/>
          <w:szCs w:val="24"/>
          <w:highlight w:val="none"/>
          <w:u w:val="single"/>
        </w:rPr>
      </w:pPr>
      <w:bookmarkStart w:id="237" w:name="_Toc468936969"/>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ind w:right="-240"/>
        <w:outlineLvl w:val="2"/>
        <w:rPr>
          <w:rFonts w:ascii="仿宋" w:hAnsi="仿宋" w:eastAsia="仿宋" w:cs="Times New Roman"/>
          <w:b/>
          <w:bCs/>
          <w:color w:val="auto"/>
          <w:sz w:val="24"/>
          <w:szCs w:val="24"/>
          <w:highlight w:val="none"/>
        </w:rPr>
      </w:pPr>
      <w:bookmarkStart w:id="238" w:name="_Toc6462"/>
      <w:bookmarkStart w:id="239" w:name="_Toc30205"/>
      <w:bookmarkStart w:id="240" w:name="_Toc10624846"/>
      <w:bookmarkStart w:id="241" w:name="_Toc9128"/>
      <w:bookmarkStart w:id="242" w:name="_Toc22807"/>
      <w:bookmarkStart w:id="243" w:name="_Toc469384006"/>
      <w:bookmarkStart w:id="244" w:name="_Toc23725"/>
      <w:r>
        <w:rPr>
          <w:rFonts w:ascii="仿宋" w:hAnsi="仿宋" w:eastAsia="仿宋" w:cs="仿宋"/>
          <w:b/>
          <w:bCs/>
          <w:color w:val="auto"/>
          <w:sz w:val="24"/>
          <w:szCs w:val="24"/>
          <w:highlight w:val="none"/>
        </w:rPr>
        <w:t xml:space="preserve">26  </w:t>
      </w:r>
      <w:r>
        <w:rPr>
          <w:rFonts w:hint="eastAsia" w:ascii="仿宋" w:hAnsi="仿宋" w:eastAsia="仿宋" w:cs="仿宋"/>
          <w:b/>
          <w:bCs/>
          <w:color w:val="auto"/>
          <w:sz w:val="24"/>
          <w:szCs w:val="24"/>
          <w:highlight w:val="none"/>
        </w:rPr>
        <w:t>指定分包</w:t>
      </w:r>
      <w:bookmarkEnd w:id="237"/>
      <w:r>
        <w:rPr>
          <w:rFonts w:hint="eastAsia" w:ascii="仿宋" w:hAnsi="仿宋" w:eastAsia="仿宋" w:cs="仿宋"/>
          <w:b/>
          <w:bCs/>
          <w:color w:val="auto"/>
          <w:sz w:val="24"/>
          <w:szCs w:val="24"/>
          <w:highlight w:val="none"/>
        </w:rPr>
        <w:t>人</w:t>
      </w:r>
      <w:bookmarkEnd w:id="238"/>
      <w:bookmarkEnd w:id="239"/>
      <w:bookmarkEnd w:id="240"/>
      <w:bookmarkEnd w:id="241"/>
      <w:bookmarkEnd w:id="242"/>
      <w:bookmarkEnd w:id="243"/>
      <w:bookmarkEnd w:id="244"/>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26.1 </w:t>
      </w:r>
    </w:p>
    <w:p>
      <w:pPr>
        <w:pStyle w:val="13"/>
        <w:adjustRightInd w:val="0"/>
        <w:snapToGrid w:val="0"/>
        <w:spacing w:line="360" w:lineRule="auto"/>
        <w:ind w:left="1978" w:leftChars="94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489" name="文本框 49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upright="1"/>
                    </wps:wsp>
                  </a:graphicData>
                </a:graphic>
              </wp:anchor>
            </w:drawing>
          </mc:Choice>
          <mc:Fallback>
            <w:pict>
              <v:shape id="文本框 490" o:spid="_x0000_s1026" o:spt="202" type="#_x0000_t202" style="position:absolute;left:0pt;margin-left:-9pt;margin-top:4.75pt;height:54.6pt;width:72pt;z-index:251750400;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ey6tdYA&#10;AAAJAQAADwAAAAAAAAABACAAAAAiAAAAZHJzL2Rvd25yZXYueG1sUEsBAhQAFAAAAAgAh07iQPBB&#10;jgC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sz w:val="24"/>
          <w:szCs w:val="24"/>
          <w:highlight w:val="none"/>
        </w:rPr>
        <w:t>指定分包人是指发包人事先指定的从事下列工作之一的分包人：</w:t>
      </w:r>
    </w:p>
    <w:p>
      <w:pPr>
        <w:pStyle w:val="13"/>
        <w:adjustRightInd w:val="0"/>
        <w:snapToGrid w:val="0"/>
        <w:spacing w:line="360" w:lineRule="auto"/>
        <w:ind w:left="197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）根据专用条款的约定，发包人依法事先指定的实施、完成部分永久工程的分包人；</w:t>
      </w:r>
    </w:p>
    <w:p>
      <w:pPr>
        <w:pStyle w:val="13"/>
        <w:adjustRightInd w:val="0"/>
        <w:snapToGrid w:val="0"/>
        <w:spacing w:line="360" w:lineRule="auto"/>
        <w:ind w:left="1978" w:leftChars="942" w:firstLine="16" w:firstLineChars="7"/>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）根据专用条款的约定，发包人选定的提供合同工程材料、工程设备和服务的分包人。</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26.2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978" w:leftChars="942" w:firstLine="2" w:firstLineChars="1"/>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490" name="文本框 491"/>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upright="1"/>
                    </wps:wsp>
                  </a:graphicData>
                </a:graphic>
              </wp:anchor>
            </w:drawing>
          </mc:Choice>
          <mc:Fallback>
            <w:pict>
              <v:shape id="文本框 491" o:spid="_x0000_s1026" o:spt="202" type="#_x0000_t202" style="position:absolute;left:0pt;margin-left:-9pt;margin-top:0pt;height:49.4pt;width:81pt;z-index:251751424;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oDsBtQA&#10;AAAHAQAADwAAAAAAAAABACAAAAAiAAAAZHJzL2Rvd25yZXYueG1sUEsBAhQAFAAAAAgAh07iQIGx&#10;lvSxAQAAUgMAAA4AAAAAAAAAAQAgAAAAIw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ascii="仿宋" w:hAnsi="仿宋" w:eastAsia="仿宋" w:cs="仿宋"/>
          <w:color w:val="auto"/>
          <w:sz w:val="24"/>
          <w:szCs w:val="24"/>
          <w:highlight w:val="none"/>
        </w:rPr>
        <w:t>指定分包人属于承包人的分包人，发包人不应要求承包人有义务接受承包人有理由反对的任何指定分包人。</w:t>
      </w:r>
    </w:p>
    <w:p>
      <w:pPr>
        <w:spacing w:line="360" w:lineRule="auto"/>
        <w:rPr>
          <w:rFonts w:ascii="仿宋" w:hAnsi="仿宋" w:eastAsia="仿宋" w:cs="Times New Roman"/>
          <w:b/>
          <w:bCs/>
          <w:color w:val="auto"/>
          <w:sz w:val="24"/>
          <w:szCs w:val="24"/>
          <w:highlight w:val="none"/>
          <w:u w:val="dotted"/>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491" name="文本框 492"/>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upright="1"/>
                    </wps:wsp>
                  </a:graphicData>
                </a:graphic>
              </wp:anchor>
            </w:drawing>
          </mc:Choice>
          <mc:Fallback>
            <w:pict>
              <v:shape id="文本框 492" o:spid="_x0000_s1026" o:spt="202" type="#_x0000_t202" style="position:absolute;left:0pt;margin-left:-9pt;margin-top:18.7pt;height:55.05pt;width:81pt;z-index:251752448;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8sH&#10;LtgAAAAKAQAADwAAAAAAAAABACAAAAAiAAAAZHJzL2Rvd25yZXYueG1sUEsBAhQAFAAAAAgAh07i&#10;QBATp1uwAQAAUg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仿宋" w:hAnsi="仿宋" w:eastAsia="仿宋" w:cs="仿宋"/>
          <w:b/>
          <w:bCs/>
          <w:color w:val="auto"/>
          <w:sz w:val="24"/>
          <w:szCs w:val="24"/>
          <w:highlight w:val="none"/>
        </w:rPr>
        <w:t xml:space="preserve">26.3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firstLine="1920" w:firstLineChars="80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发包人应按照合同的约定向承包人支付指定分包人的分包工程配合费。</w:t>
      </w:r>
    </w:p>
    <w:p>
      <w:pPr>
        <w:pStyle w:val="13"/>
        <w:adjustRightInd w:val="0"/>
        <w:snapToGrid w:val="0"/>
        <w:spacing w:line="360" w:lineRule="auto"/>
        <w:ind w:left="197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指定分包工程款的结算与支付，按照第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款办理。</w:t>
      </w:r>
    </w:p>
    <w:p>
      <w:pPr>
        <w:spacing w:line="360" w:lineRule="auto"/>
        <w:rPr>
          <w:rFonts w:ascii="仿宋" w:hAnsi="仿宋" w:eastAsia="仿宋" w:cs="Times New Roman"/>
          <w:b/>
          <w:bCs/>
          <w:color w:val="auto"/>
          <w:sz w:val="24"/>
          <w:szCs w:val="24"/>
          <w:highlight w:val="none"/>
          <w:u w:val="dotted"/>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492" name="文本框 493"/>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cs="Times New Roman"/>
                                <w:b/>
                                <w:bCs/>
                                <w:color w:val="000000"/>
                              </w:rPr>
                            </w:pPr>
                          </w:p>
                          <w:p>
                            <w:pPr>
                              <w:rPr>
                                <w:rFonts w:cs="Times New Roman"/>
                              </w:rPr>
                            </w:pPr>
                          </w:p>
                          <w:p>
                            <w:pPr>
                              <w:rPr>
                                <w:rFonts w:cs="Times New Roman"/>
                              </w:rPr>
                            </w:pPr>
                          </w:p>
                        </w:txbxContent>
                      </wps:txbx>
                      <wps:bodyPr upright="1"/>
                    </wps:wsp>
                  </a:graphicData>
                </a:graphic>
              </wp:anchor>
            </w:drawing>
          </mc:Choice>
          <mc:Fallback>
            <w:pict>
              <v:shape id="文本框 493" o:spid="_x0000_s1026" o:spt="202" type="#_x0000_t202" style="position:absolute;left:0pt;margin-left:-5.25pt;margin-top:15.7pt;height:62.35pt;width:89.25pt;z-index:251753472;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UyC&#10;L9cAAAAKAQAADwAAAAAAAAABACAAAAAiAAAAZHJzL2Rvd25yZXYueG1sUEsBAhQAFAAAAAgAh07i&#10;QDxfSK6xAQAAUgMAAA4AAAAAAAAAAQAgAAAAJg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pPr>
                        <w:rPr>
                          <w:rFonts w:ascii="楷体_GB2312" w:hAnsi="宋体" w:eastAsia="楷体_GB2312" w:cs="Times New Roman"/>
                          <w:b/>
                          <w:bCs/>
                          <w:color w:val="000000"/>
                        </w:rPr>
                      </w:pPr>
                    </w:p>
                    <w:p>
                      <w:pPr>
                        <w:rPr>
                          <w:rFonts w:cs="Times New Roman"/>
                        </w:rPr>
                      </w:pPr>
                    </w:p>
                    <w:p>
                      <w:pPr>
                        <w:rPr>
                          <w:rFonts w:cs="Times New Roman"/>
                        </w:rPr>
                      </w:pPr>
                    </w:p>
                  </w:txbxContent>
                </v:textbox>
              </v:shape>
            </w:pict>
          </mc:Fallback>
        </mc:AlternateContent>
      </w:r>
      <w:r>
        <w:rPr>
          <w:rFonts w:ascii="仿宋" w:hAnsi="仿宋" w:eastAsia="仿宋" w:cs="仿宋"/>
          <w:b/>
          <w:bCs/>
          <w:color w:val="auto"/>
          <w:sz w:val="24"/>
          <w:szCs w:val="24"/>
          <w:highlight w:val="none"/>
        </w:rPr>
        <w:t>26.4</w:t>
      </w:r>
      <w:r>
        <w:rPr>
          <w:rFonts w:ascii="仿宋" w:hAnsi="仿宋" w:eastAsia="仿宋" w:cs="仿宋"/>
          <w:b/>
          <w:bCs/>
          <w:color w:val="auto"/>
          <w:sz w:val="24"/>
          <w:szCs w:val="24"/>
          <w:highlight w:val="none"/>
          <w:u w:val="dotted"/>
        </w:rPr>
        <w:t xml:space="preserve">                                                                               </w:t>
      </w:r>
    </w:p>
    <w:p>
      <w:pPr>
        <w:pStyle w:val="13"/>
        <w:tabs>
          <w:tab w:val="left" w:pos="1260"/>
        </w:tabs>
        <w:adjustRightInd w:val="0"/>
        <w:snapToGrid w:val="0"/>
        <w:spacing w:line="360" w:lineRule="auto"/>
        <w:ind w:left="1978" w:leftChars="942" w:firstLine="1"/>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指定分包人应按照分包合同的约定对承包人负责。承包人有义务协助、配合指定分包人实施分包工程。</w:t>
      </w:r>
    </w:p>
    <w:p>
      <w:pPr>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245" w:name="_Toc28077"/>
      <w:bookmarkStart w:id="246" w:name="_Toc32350"/>
      <w:bookmarkStart w:id="247" w:name="_Toc19270"/>
      <w:bookmarkStart w:id="248" w:name="_Toc10624847"/>
      <w:bookmarkStart w:id="249" w:name="_Toc17752"/>
      <w:bookmarkStart w:id="250" w:name="_Toc2307"/>
      <w:bookmarkStart w:id="251" w:name="_Toc469384007"/>
      <w:r>
        <w:rPr>
          <w:rFonts w:ascii="仿宋" w:hAnsi="仿宋" w:eastAsia="仿宋" w:cs="仿宋"/>
          <w:b/>
          <w:bCs/>
          <w:color w:val="auto"/>
          <w:sz w:val="24"/>
          <w:szCs w:val="24"/>
          <w:highlight w:val="none"/>
        </w:rPr>
        <w:t xml:space="preserve">27  </w:t>
      </w:r>
      <w:r>
        <w:rPr>
          <w:rFonts w:hint="eastAsia" w:ascii="仿宋" w:hAnsi="仿宋" w:eastAsia="仿宋" w:cs="仿宋"/>
          <w:b/>
          <w:bCs/>
          <w:color w:val="auto"/>
          <w:sz w:val="24"/>
          <w:szCs w:val="24"/>
          <w:highlight w:val="none"/>
        </w:rPr>
        <w:t>承包人劳务</w:t>
      </w:r>
      <w:bookmarkEnd w:id="245"/>
      <w:bookmarkEnd w:id="246"/>
      <w:bookmarkEnd w:id="247"/>
      <w:bookmarkEnd w:id="248"/>
      <w:bookmarkEnd w:id="249"/>
      <w:bookmarkEnd w:id="250"/>
      <w:bookmarkEnd w:id="251"/>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493" name="文本框 494"/>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upright="1"/>
                    </wps:wsp>
                  </a:graphicData>
                </a:graphic>
              </wp:anchor>
            </w:drawing>
          </mc:Choice>
          <mc:Fallback>
            <w:pict>
              <v:shape id="文本框 494" o:spid="_x0000_s1026" o:spt="202" type="#_x0000_t202" style="position:absolute;left:0pt;margin-left:-9pt;margin-top:0.65pt;height:54.5pt;width:72pt;z-index:251754496;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7OqwtUA&#10;AAAJAQAADwAAAAAAAAABACAAAAAiAAAAZHJzL2Rvd25yZXYueG1sUEsBAhQAFAAAAAgAh07iQHpM&#10;TL+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仿宋" w:hAnsi="仿宋" w:eastAsia="仿宋" w:cs="仿宋"/>
          <w:color w:val="auto"/>
          <w:sz w:val="24"/>
          <w:szCs w:val="24"/>
          <w:highlight w:val="none"/>
        </w:rPr>
        <w:t>承包人应在接到开工令后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pPr>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27.2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494" name="文本框 4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upright="1"/>
                    </wps:wsp>
                  </a:graphicData>
                </a:graphic>
              </wp:anchor>
            </w:drawing>
          </mc:Choice>
          <mc:Fallback>
            <w:pict>
              <v:shape id="文本框 495" o:spid="_x0000_s1026" o:spt="202" type="#_x0000_t202" style="position:absolute;left:0pt;margin-left:-9pt;margin-top:0.65pt;height:31.2pt;width:72pt;z-index:25175552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rdoltUA&#10;AAAIAQAADwAAAAAAAAABACAAAAAiAAAAZHJzL2Rvd25yZXYueG1sUEsBAhQAFAAAAAgAh07iQBbo&#10;qqa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sz w:val="24"/>
          <w:szCs w:val="24"/>
          <w:highlight w:val="none"/>
        </w:rPr>
        <w:t>承包人除应雇佣投标文件中“主要人员一览表”中指明的人员外，也可以雇佣经监理工程师批准的其他人员，但不得从发包人或服务于发包人的人员中雇佣人员。</w:t>
      </w:r>
    </w:p>
    <w:p>
      <w:pPr>
        <w:tabs>
          <w:tab w:val="left" w:pos="1620"/>
        </w:tabs>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495" name="文本框 49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upright="1"/>
                    </wps:wsp>
                  </a:graphicData>
                </a:graphic>
              </wp:anchor>
            </w:drawing>
          </mc:Choice>
          <mc:Fallback>
            <w:pict>
              <v:shape id="文本框 496" o:spid="_x0000_s1026" o:spt="202" type="#_x0000_t202" style="position:absolute;left:0pt;margin-left:-9pt;margin-top:4.7pt;height:39pt;width:72pt;z-index:251756544;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FYCijVAAAA&#10;CAEAAA8AAAAAAAAAAQAgAAAAIgAAAGRycy9kb3ducmV2LnhtbFBLAQIUABQAAAAIAIdO4kCB4Wqx&#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仿宋" w:hAnsi="仿宋" w:eastAsia="仿宋" w:cs="仿宋"/>
          <w:color w:val="auto"/>
          <w:sz w:val="24"/>
          <w:szCs w:val="24"/>
          <w:highlight w:val="none"/>
        </w:rPr>
        <w:t>承包人应完善雇员的劳务注册手续，并与雇员订立劳动合同，明确双方的权利和义务。雇佣期间，承包人应做好下列工作：</w:t>
      </w:r>
    </w:p>
    <w:p>
      <w:pPr>
        <w:tabs>
          <w:tab w:val="left" w:pos="1080"/>
          <w:tab w:val="left" w:pos="2160"/>
        </w:tabs>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负责为雇员提供必要的食宿及各种生活设施，采取合理的卫生、劳动保护和安全防护措施，保证雇员的健康和安全；</w:t>
      </w:r>
    </w:p>
    <w:p>
      <w:pPr>
        <w:tabs>
          <w:tab w:val="left" w:pos="1080"/>
          <w:tab w:val="left" w:pos="2160"/>
        </w:tabs>
        <w:spacing w:line="360" w:lineRule="auto"/>
        <w:ind w:left="1680" w:leftChars="8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保障雇员的合法权利和人身安全，及时采取有效措施抢救和治疗施工中受伤害的雇员；</w:t>
      </w:r>
    </w:p>
    <w:p>
      <w:pPr>
        <w:tabs>
          <w:tab w:val="left" w:pos="2160"/>
        </w:tabs>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充分考虑和保障雇员的休息时间和法定节假日休假时间，尊重雇员的宗教信仰和风俗习惯；</w:t>
      </w:r>
    </w:p>
    <w:p>
      <w:pPr>
        <w:tabs>
          <w:tab w:val="left" w:pos="1080"/>
          <w:tab w:val="left" w:pos="2160"/>
        </w:tabs>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在施工现场主要出入口处设榜公布雇员工资发放时间和投诉电话，以及合同工程中标价格、进度款支付情况。</w:t>
      </w:r>
    </w:p>
    <w:p>
      <w:pPr>
        <w:tabs>
          <w:tab w:val="left" w:pos="1080"/>
          <w:tab w:val="left" w:pos="2160"/>
        </w:tabs>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督促雇员和发包人现场人员应佩戴由合同双方当事人共同盖章、签发的工作证上岗；</w:t>
      </w:r>
    </w:p>
    <w:p>
      <w:pPr>
        <w:tabs>
          <w:tab w:val="left" w:pos="1080"/>
          <w:tab w:val="left" w:pos="2160"/>
        </w:tabs>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办理雇员的意外伤害等一切保险，处理雇员因工伤亡事故的善后事宜。</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27.4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496" name="文本框 497"/>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upright="1"/>
                    </wps:wsp>
                  </a:graphicData>
                </a:graphic>
              </wp:anchor>
            </w:drawing>
          </mc:Choice>
          <mc:Fallback>
            <w:pict>
              <v:shape id="文本框 497" o:spid="_x0000_s1026" o:spt="202" type="#_x0000_t202" style="position:absolute;left:0pt;margin-left:-9pt;margin-top:0pt;height:54.6pt;width:72pt;z-index:251757568;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URUz1AAA&#10;AAgBAAAPAAAAAAAAAAEAIAAAACIAAABkcnMvZG93bnJldi54bWxQSwECFAAUAAAACACHTuJAgCb5&#10;kL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仿宋" w:hAnsi="仿宋" w:eastAsia="仿宋" w:cs="仿宋"/>
          <w:color w:val="auto"/>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27.5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497" name="文本框 498"/>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upright="1"/>
                    </wps:wsp>
                  </a:graphicData>
                </a:graphic>
              </wp:anchor>
            </w:drawing>
          </mc:Choice>
          <mc:Fallback>
            <w:pict>
              <v:shape id="文本框 498" o:spid="_x0000_s1026" o:spt="202" type="#_x0000_t202" style="position:absolute;left:0pt;margin-left:-9pt;margin-top:0pt;height:37.85pt;width:72pt;z-index:251758592;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jbnstUA&#10;AAAHAQAADwAAAAAAAAABACAAAAAiAAAAZHJzL2Rvd25yZXYueG1sUEsBAhQAFAAAAAgAh07iQIAE&#10;deu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仿宋" w:hAnsi="仿宋" w:eastAsia="仿宋" w:cs="仿宋"/>
          <w:color w:val="auto"/>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27.6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498" name="文本框 499"/>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upright="1"/>
                    </wps:wsp>
                  </a:graphicData>
                </a:graphic>
              </wp:anchor>
            </w:drawing>
          </mc:Choice>
          <mc:Fallback>
            <w:pict>
              <v:shape id="文本框 499" o:spid="_x0000_s1026" o:spt="202" type="#_x0000_t202" style="position:absolute;left:0pt;margin-left:-9pt;margin-top:0pt;height:70.2pt;width:72pt;z-index:251759616;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s4xE1AAA&#10;AAgBAAAPAAAAAAAAAAEAIAAAACIAAABkcnMvZG93bnJldi54bWxQSwECFAAUAAAACACHTuJATWqH&#10;0L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仿宋" w:hAnsi="仿宋" w:eastAsia="仿宋" w:cs="仿宋"/>
          <w:color w:val="auto"/>
          <w:sz w:val="24"/>
          <w:szCs w:val="24"/>
          <w:highlight w:val="none"/>
        </w:rPr>
        <w:t>承包人的雇员应是在行业或职业内具有相应资格、技能和经验的人员。承包人应向施工场地派遣足够数量的下列雇员：</w:t>
      </w:r>
    </w:p>
    <w:p>
      <w:pPr>
        <w:numPr>
          <w:ilvl w:val="1"/>
          <w:numId w:val="14"/>
        </w:numPr>
        <w:tabs>
          <w:tab w:val="left" w:pos="2160"/>
          <w:tab w:val="left" w:pos="2340"/>
        </w:tabs>
        <w:spacing w:line="360" w:lineRule="auto"/>
        <w:ind w:left="1619" w:leftChars="771"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具有相应资格的专业技工和合格的普工；</w:t>
      </w:r>
      <w:r>
        <w:rPr>
          <w:rFonts w:ascii="仿宋" w:hAnsi="仿宋" w:eastAsia="仿宋" w:cs="仿宋"/>
          <w:color w:val="auto"/>
          <w:sz w:val="24"/>
          <w:szCs w:val="24"/>
          <w:highlight w:val="none"/>
        </w:rPr>
        <w:t xml:space="preserve"> </w:t>
      </w:r>
    </w:p>
    <w:p>
      <w:pPr>
        <w:numPr>
          <w:ilvl w:val="1"/>
          <w:numId w:val="14"/>
        </w:numPr>
        <w:tabs>
          <w:tab w:val="left" w:pos="2160"/>
          <w:tab w:val="left" w:pos="234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具有相应施工经验的技术人员；</w:t>
      </w:r>
    </w:p>
    <w:p>
      <w:pPr>
        <w:numPr>
          <w:ilvl w:val="1"/>
          <w:numId w:val="14"/>
        </w:numPr>
        <w:tabs>
          <w:tab w:val="left" w:pos="2160"/>
          <w:tab w:val="left" w:pos="2340"/>
        </w:tabs>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具有相应岗位资格的各级管理人员。</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27.7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499" name="文本框 500"/>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upright="1"/>
                    </wps:wsp>
                  </a:graphicData>
                </a:graphic>
              </wp:anchor>
            </w:drawing>
          </mc:Choice>
          <mc:Fallback>
            <w:pict>
              <v:shape id="文本框 500" o:spid="_x0000_s1026" o:spt="202" type="#_x0000_t202" style="position:absolute;left:0pt;margin-left:-9pt;margin-top:0pt;height:40.25pt;width:72pt;z-index:251760640;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m/ModQAAAAH&#10;AQAADwAAAAAAAAABACAAAAAiAAAAZHJzL2Rvd25yZXYueG1sUEsBAhQAFAAAAAgAh07iQHknpNe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sz w:val="24"/>
          <w:szCs w:val="24"/>
          <w:highlight w:val="none"/>
        </w:rPr>
        <w:t>承包人安排在施工场地的雇员应保持相对稳定，但有下列行为的任何承包人雇员，监理工程师可要求承包人将其撤换：</w:t>
      </w:r>
    </w:p>
    <w:p>
      <w:pPr>
        <w:numPr>
          <w:ilvl w:val="0"/>
          <w:numId w:val="15"/>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经常行为不当，或工作漫不经心；</w:t>
      </w:r>
    </w:p>
    <w:p>
      <w:pPr>
        <w:numPr>
          <w:ilvl w:val="0"/>
          <w:numId w:val="15"/>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无能力履行义务或玩忽职守；</w:t>
      </w:r>
    </w:p>
    <w:p>
      <w:pPr>
        <w:numPr>
          <w:ilvl w:val="0"/>
          <w:numId w:val="15"/>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不遵守合同的约定；</w:t>
      </w:r>
    </w:p>
    <w:p>
      <w:pPr>
        <w:numPr>
          <w:ilvl w:val="0"/>
          <w:numId w:val="15"/>
        </w:numPr>
        <w:tabs>
          <w:tab w:val="left" w:pos="2160"/>
        </w:tabs>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有损安全、健康和不利于环境保护的行为。</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27.8  </w:t>
      </w:r>
      <w:r>
        <w:rPr>
          <w:rFonts w:ascii="仿宋" w:hAnsi="仿宋" w:eastAsia="仿宋" w:cs="仿宋"/>
          <w:b/>
          <w:bCs/>
          <w:color w:val="auto"/>
          <w:sz w:val="24"/>
          <w:szCs w:val="24"/>
          <w:highlight w:val="none"/>
          <w:u w:val="dotted"/>
        </w:rPr>
        <w:t xml:space="preserve">                                                                                                        </w:t>
      </w:r>
    </w:p>
    <w:p>
      <w:pPr>
        <w:pStyle w:val="22"/>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500" name="文本框 501"/>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wps:txbx>
                      <wps:bodyPr upright="1"/>
                    </wps:wsp>
                  </a:graphicData>
                </a:graphic>
              </wp:anchor>
            </w:drawing>
          </mc:Choice>
          <mc:Fallback>
            <w:pict>
              <v:shape id="文本框 501" o:spid="_x0000_s1026" o:spt="202" type="#_x0000_t202" style="position:absolute;left:0pt;margin-left:-9pt;margin-top:0pt;height:34.25pt;width:72pt;z-index:251761664;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S12O/VAAAA&#10;BwEAAA8AAAAAAAAAAQAgAAAAIgAAAGRycy9kb3ducmV2LnhtbFBLAQIUABQAAAAIAIdO4kDSOo1o&#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rPr>
        <w:t>承包人应自始至终采取各种合理的预防措施，防止雇员内部发生打斗和任何无序、非法的不良行为，以确保现场安定和保护现场及邻近人员的生命、财产安全。</w:t>
      </w:r>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ind w:right="-238"/>
        <w:jc w:val="center"/>
        <w:outlineLvl w:val="1"/>
        <w:rPr>
          <w:rFonts w:ascii="仿宋" w:hAnsi="仿宋" w:eastAsia="仿宋" w:cs="Times New Roman"/>
          <w:b/>
          <w:bCs/>
          <w:color w:val="auto"/>
          <w:sz w:val="24"/>
          <w:szCs w:val="24"/>
          <w:highlight w:val="none"/>
        </w:rPr>
      </w:pPr>
      <w:bookmarkStart w:id="252" w:name="_Toc10624848"/>
      <w:bookmarkStart w:id="253" w:name="_Toc15810"/>
      <w:bookmarkStart w:id="254" w:name="_Toc469384008"/>
      <w:bookmarkStart w:id="255" w:name="_Toc14659"/>
      <w:bookmarkStart w:id="256" w:name="_Toc27462"/>
      <w:bookmarkStart w:id="257" w:name="_Toc2071"/>
      <w:bookmarkStart w:id="258" w:name="_Toc2924"/>
      <w:r>
        <w:rPr>
          <w:rFonts w:hint="eastAsia" w:ascii="仿宋" w:hAnsi="仿宋" w:eastAsia="仿宋" w:cs="仿宋"/>
          <w:b/>
          <w:bCs/>
          <w:color w:val="auto"/>
          <w:sz w:val="24"/>
          <w:szCs w:val="24"/>
          <w:highlight w:val="none"/>
        </w:rPr>
        <w:t>三、担保、保险与风险</w:t>
      </w:r>
      <w:bookmarkEnd w:id="252"/>
      <w:bookmarkEnd w:id="253"/>
      <w:bookmarkEnd w:id="254"/>
      <w:bookmarkEnd w:id="255"/>
      <w:bookmarkEnd w:id="256"/>
      <w:bookmarkEnd w:id="257"/>
      <w:bookmarkEnd w:id="258"/>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259" w:name="_Toc469384009"/>
      <w:bookmarkStart w:id="260" w:name="_Toc19951"/>
      <w:bookmarkStart w:id="261" w:name="_Toc282"/>
      <w:bookmarkStart w:id="262" w:name="_Toc6770"/>
      <w:bookmarkStart w:id="263" w:name="_Toc10624849"/>
      <w:bookmarkStart w:id="264" w:name="_Toc8867"/>
      <w:bookmarkStart w:id="265" w:name="_Toc27747"/>
      <w:r>
        <w:rPr>
          <w:rFonts w:ascii="仿宋" w:hAnsi="仿宋" w:eastAsia="仿宋" w:cs="仿宋"/>
          <w:b/>
          <w:bCs/>
          <w:color w:val="auto"/>
          <w:sz w:val="24"/>
          <w:szCs w:val="24"/>
          <w:highlight w:val="none"/>
        </w:rPr>
        <w:t xml:space="preserve">28  </w:t>
      </w:r>
      <w:r>
        <w:rPr>
          <w:rFonts w:hint="eastAsia" w:ascii="仿宋" w:hAnsi="仿宋" w:eastAsia="仿宋" w:cs="仿宋"/>
          <w:b/>
          <w:bCs/>
          <w:color w:val="auto"/>
          <w:sz w:val="24"/>
          <w:szCs w:val="24"/>
          <w:highlight w:val="none"/>
        </w:rPr>
        <w:t>工程担保</w:t>
      </w:r>
      <w:bookmarkEnd w:id="259"/>
      <w:bookmarkEnd w:id="260"/>
      <w:bookmarkEnd w:id="261"/>
      <w:bookmarkEnd w:id="262"/>
      <w:bookmarkEnd w:id="263"/>
      <w:bookmarkEnd w:id="264"/>
      <w:bookmarkEnd w:id="265"/>
    </w:p>
    <w:p>
      <w:pPr>
        <w:pStyle w:val="13"/>
        <w:tabs>
          <w:tab w:val="left" w:pos="1320"/>
        </w:tabs>
        <w:adjustRightInd w:val="0"/>
        <w:snapToGrid w:val="0"/>
        <w:spacing w:line="360" w:lineRule="auto"/>
        <w:ind w:right="-24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501" name="文本框 5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upright="1"/>
                    </wps:wsp>
                  </a:graphicData>
                </a:graphic>
              </wp:anchor>
            </w:drawing>
          </mc:Choice>
          <mc:Fallback>
            <w:pict>
              <v:shape id="文本框 502" o:spid="_x0000_s1026" o:spt="202" type="#_x0000_t202" style="position:absolute;left:0pt;margin-left:-9pt;margin-top:19.2pt;height:31.2pt;width:72pt;z-index:251762688;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gbl&#10;BNcAAAAKAQAADwAAAAAAAAABACAAAAAiAAAAZHJzL2Rvd25yZXYueG1sUEsBAhQAFAAAAAgAh07i&#10;QNW9x7KxAQAAUQMAAA4AAAAAAAAAAQAgAAAAJg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ascii="仿宋" w:hAnsi="仿宋" w:eastAsia="仿宋" w:cs="仿宋"/>
          <w:b/>
          <w:bCs/>
          <w:color w:val="auto"/>
          <w:sz w:val="24"/>
          <w:szCs w:val="24"/>
          <w:highlight w:val="none"/>
        </w:rPr>
        <w:t xml:space="preserve">28.1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正确履行本合同，发包人应在招标文件中或在签订合同前明确履约担保的有关要求，承包人应按照合同约定时间向发包人提供履约担保。履约担保采用银行保函、担保公司担保或履约保证保险的形式，提供履约保函、担保公司担保、履约保证保险所发生的费用由承包人承担。</w:t>
      </w:r>
    </w:p>
    <w:p>
      <w:pPr>
        <w:pStyle w:val="13"/>
        <w:tabs>
          <w:tab w:val="left" w:pos="1320"/>
        </w:tabs>
        <w:adjustRightInd w:val="0"/>
        <w:snapToGrid w:val="0"/>
        <w:spacing w:line="360" w:lineRule="auto"/>
        <w:ind w:right="-24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502" name="文本框 503"/>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upright="1"/>
                    </wps:wsp>
                  </a:graphicData>
                </a:graphic>
              </wp:anchor>
            </w:drawing>
          </mc:Choice>
          <mc:Fallback>
            <w:pict>
              <v:shape id="文本框 503" o:spid="_x0000_s1026" o:spt="202" type="#_x0000_t202" style="position:absolute;left:0pt;margin-left:-9pt;margin-top:20.15pt;height:31.1pt;width:72pt;z-index:251763712;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R51I&#10;1wAAAAoBAAAPAAAAAAAAAAEAIAAAACIAAABkcnMvZG93bnJldi54bWxQSwECFAAUAAAACACHTuJA&#10;Sw0sm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ascii="仿宋" w:hAnsi="仿宋" w:eastAsia="仿宋" w:cs="仿宋"/>
          <w:b/>
          <w:bCs/>
          <w:color w:val="auto"/>
          <w:sz w:val="24"/>
          <w:szCs w:val="24"/>
          <w:highlight w:val="none"/>
        </w:rPr>
        <w:t xml:space="preserve">28.2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履约担保的有效期，是从提供履约担保之日起至合同工程竣工验收合格之日止。发包人应在担保有效期满后的</w:t>
      </w:r>
      <w:r>
        <w:rPr>
          <w:rFonts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rPr>
        <w:t>天内将此担保退还给承包人。</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503" name="文本框 50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upright="1"/>
                    </wps:wsp>
                  </a:graphicData>
                </a:graphic>
              </wp:anchor>
            </w:drawing>
          </mc:Choice>
          <mc:Fallback>
            <w:pict>
              <v:shape id="文本框 504" o:spid="_x0000_s1026" o:spt="202" type="#_x0000_t202" style="position:absolute;left:0pt;margin-left:-9pt;margin-top:19.6pt;height:39pt;width:72pt;z-index:251764736;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1uyQ+&#10;2AAAAAoBAAAPAAAAAAAAAAEAIAAAACIAAABkcnMvZG93bnJldi54bWxQSwECFAAUAAAACACHTuJA&#10;A2Zwn6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ascii="仿宋" w:hAnsi="仿宋" w:eastAsia="仿宋" w:cs="仿宋"/>
          <w:b/>
          <w:bCs/>
          <w:color w:val="auto"/>
          <w:sz w:val="24"/>
          <w:szCs w:val="24"/>
          <w:highlight w:val="none"/>
        </w:rPr>
        <w:t xml:space="preserve">28.3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pPr>
        <w:pStyle w:val="13"/>
        <w:tabs>
          <w:tab w:val="left" w:pos="540"/>
          <w:tab w:val="left" w:pos="7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504" name="文本框 505"/>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upright="1"/>
                    </wps:wsp>
                  </a:graphicData>
                </a:graphic>
              </wp:anchor>
            </w:drawing>
          </mc:Choice>
          <mc:Fallback>
            <w:pict>
              <v:shape id="文本框 505" o:spid="_x0000_s1026" o:spt="202" type="#_x0000_t202" style="position:absolute;left:0pt;margin-left:-9pt;margin-top:19.8pt;height:32.9pt;width:72pt;z-index:251765760;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sT&#10;v5jYAAAACgEAAA8AAAAAAAAAAQAgAAAAIgAAAGRycy9kb3ducmV2LnhtbFBLAQIUABQAAAAIAIdO&#10;4kAJvYZcsQEAAFEDAAAOAAAAAAAAAAEAIAAAACcBAABkcnMvZTJvRG9jLnhtbFBLBQYAAAAABgAG&#10;AFkBAABK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ascii="仿宋" w:hAnsi="仿宋" w:eastAsia="仿宋" w:cs="仿宋"/>
          <w:b/>
          <w:bCs/>
          <w:color w:val="auto"/>
          <w:sz w:val="24"/>
          <w:szCs w:val="24"/>
          <w:highlight w:val="none"/>
        </w:rPr>
        <w:t xml:space="preserve">28.4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承包人按照第</w:t>
      </w: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款的要求提交了履约担保，发包人应按照合同约定时间向承包人提交与履约担保等值的支付担保；发、承包人也可约定由发包人向承包人提交预付款等值的支付担保。支付担保采用银行保函、担保公司担保或支付保证保险的形式，提供支付保函、担保公司担保、支付保证保险所发生的费用由发包人承担。</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505" name="文本框 506"/>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upright="1"/>
                    </wps:wsp>
                  </a:graphicData>
                </a:graphic>
              </wp:anchor>
            </w:drawing>
          </mc:Choice>
          <mc:Fallback>
            <w:pict>
              <v:shape id="文本框 506" o:spid="_x0000_s1026" o:spt="202" type="#_x0000_t202" style="position:absolute;left:0pt;margin-left:-9pt;margin-top:18.75pt;height:32.5pt;width:72pt;z-index:251766784;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DJ&#10;2NgAAAAKAQAADwAAAAAAAAABACAAAAAiAAAAZHJzL2Rvd25yZXYueG1sUEsBAhQAFAAAAAgAh07i&#10;QEw620u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ascii="仿宋" w:hAnsi="仿宋" w:eastAsia="仿宋" w:cs="仿宋"/>
          <w:b/>
          <w:bCs/>
          <w:color w:val="auto"/>
          <w:sz w:val="24"/>
          <w:szCs w:val="24"/>
          <w:highlight w:val="none"/>
        </w:rPr>
        <w:t xml:space="preserve">28.5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天内将此担保退还给发包人。</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506" name="文本框 50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upright="1"/>
                    </wps:wsp>
                  </a:graphicData>
                </a:graphic>
              </wp:anchor>
            </w:drawing>
          </mc:Choice>
          <mc:Fallback>
            <w:pict>
              <v:shape id="文本框 507" o:spid="_x0000_s1026" o:spt="202" type="#_x0000_t202" style="position:absolute;left:0pt;margin-left:-9pt;margin-top:19.5pt;height:31.2pt;width:72pt;z-index:251767808;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KGkGLW&#10;AAAACgEAAA8AAAAAAAAAAQAgAAAAIgAAAGRycy9kb3ducmV2LnhtbFBLAQIUABQAAAAIAIdO4kCi&#10;6Q7j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ascii="仿宋" w:hAnsi="仿宋" w:eastAsia="仿宋" w:cs="仿宋"/>
          <w:b/>
          <w:bCs/>
          <w:color w:val="auto"/>
          <w:sz w:val="24"/>
          <w:szCs w:val="24"/>
          <w:highlight w:val="none"/>
        </w:rPr>
        <w:t xml:space="preserve">28.6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507" name="文本框 508"/>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upright="1"/>
                    </wps:wsp>
                  </a:graphicData>
                </a:graphic>
              </wp:anchor>
            </w:drawing>
          </mc:Choice>
          <mc:Fallback>
            <w:pict>
              <v:shape id="文本框 508" o:spid="_x0000_s1026" o:spt="202" type="#_x0000_t202" style="position:absolute;left:0pt;margin-left:-9pt;margin-top:19.15pt;height:33.3pt;width:72pt;z-index:251768832;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BNip&#10;1wAAAAoBAAAPAAAAAAAAAAEAIAAAACIAAABkcnMvZG93bnJldi54bWxQSwECFAAUAAAACACHTuJA&#10;l6nR9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ascii="仿宋" w:hAnsi="仿宋" w:eastAsia="仿宋" w:cs="仿宋"/>
          <w:b/>
          <w:bCs/>
          <w:color w:val="auto"/>
          <w:sz w:val="24"/>
          <w:szCs w:val="24"/>
          <w:highlight w:val="none"/>
        </w:rPr>
        <w:t xml:space="preserve">28.7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合同双方当事人均应确保合同工程担保有效期符合工期合理顺延的要求。若合同一方当事人未能保证延长担保有效期，另一方当事人可向其索赔担保的全部金额。</w:t>
      </w:r>
    </w:p>
    <w:p>
      <w:pPr>
        <w:pStyle w:val="13"/>
        <w:tabs>
          <w:tab w:val="left" w:pos="1320"/>
        </w:tabs>
        <w:adjustRightInd w:val="0"/>
        <w:snapToGrid w:val="0"/>
        <w:spacing w:line="360" w:lineRule="auto"/>
        <w:ind w:right="-238"/>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508" name="文本框 509"/>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upright="1"/>
                    </wps:wsp>
                  </a:graphicData>
                </a:graphic>
              </wp:anchor>
            </w:drawing>
          </mc:Choice>
          <mc:Fallback>
            <w:pict>
              <v:shape id="文本框 509" o:spid="_x0000_s1026" o:spt="202" type="#_x0000_t202" style="position:absolute;left:0pt;margin-left:-9pt;margin-top:20.1pt;height:26.7pt;width:72pt;z-index:251769856;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SH3V&#10;1wAAAAkBAAAPAAAAAAAAAAEAIAAAACIAAABkcnMvZG93bnJldi54bWxQSwECFAAUAAAACACHTuJA&#10;q3ZgH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ascii="仿宋" w:hAnsi="仿宋" w:eastAsia="仿宋" w:cs="仿宋"/>
          <w:b/>
          <w:bCs/>
          <w:color w:val="auto"/>
          <w:sz w:val="24"/>
          <w:szCs w:val="24"/>
          <w:highlight w:val="none"/>
        </w:rPr>
        <w:t xml:space="preserve">28.8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合同双方当事人在专用条款中约定担保内容、方式和责任等事项，并签订担保合同，作为本合同附件。</w:t>
      </w:r>
    </w:p>
    <w:p>
      <w:pPr>
        <w:pStyle w:val="13"/>
        <w:adjustRightInd w:val="0"/>
        <w:snapToGrid w:val="0"/>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266" w:name="_Toc4237"/>
      <w:bookmarkStart w:id="267" w:name="_Toc17661"/>
      <w:bookmarkStart w:id="268" w:name="_Toc2119"/>
      <w:bookmarkStart w:id="269" w:name="_Toc7275"/>
      <w:bookmarkStart w:id="270" w:name="_Toc17107"/>
      <w:bookmarkStart w:id="271" w:name="_Toc10624850"/>
      <w:bookmarkStart w:id="272" w:name="_Toc469384010"/>
      <w:r>
        <w:rPr>
          <w:rFonts w:ascii="仿宋" w:hAnsi="仿宋" w:eastAsia="仿宋" w:cs="仿宋"/>
          <w:b/>
          <w:bCs/>
          <w:color w:val="auto"/>
          <w:sz w:val="24"/>
          <w:szCs w:val="24"/>
          <w:highlight w:val="none"/>
        </w:rPr>
        <w:t xml:space="preserve">29  </w:t>
      </w:r>
      <w:r>
        <w:rPr>
          <w:rFonts w:hint="eastAsia" w:ascii="仿宋" w:hAnsi="仿宋" w:eastAsia="仿宋" w:cs="仿宋"/>
          <w:b/>
          <w:bCs/>
          <w:color w:val="auto"/>
          <w:sz w:val="24"/>
          <w:szCs w:val="24"/>
          <w:highlight w:val="none"/>
        </w:rPr>
        <w:t>发包人风险</w:t>
      </w:r>
      <w:bookmarkEnd w:id="266"/>
      <w:bookmarkEnd w:id="267"/>
      <w:bookmarkEnd w:id="268"/>
      <w:bookmarkEnd w:id="269"/>
      <w:bookmarkEnd w:id="270"/>
      <w:bookmarkEnd w:id="271"/>
      <w:bookmarkEnd w:id="272"/>
    </w:p>
    <w:p>
      <w:pPr>
        <w:pStyle w:val="13"/>
        <w:adjustRightInd w:val="0"/>
        <w:snapToGrid w:val="0"/>
        <w:spacing w:line="360" w:lineRule="auto"/>
        <w:ind w:right="-24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509" name="文本框 5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upright="1"/>
                    </wps:wsp>
                  </a:graphicData>
                </a:graphic>
              </wp:anchor>
            </w:drawing>
          </mc:Choice>
          <mc:Fallback>
            <w:pict>
              <v:shape id="文本框 510" o:spid="_x0000_s1026" o:spt="202" type="#_x0000_t202" style="position:absolute;left:0pt;margin-left:-9pt;margin-top:17.85pt;height:31.2pt;width:72pt;z-index:251770880;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Wjq+NcA&#10;AAAJAQAADwAAAAAAAAABACAAAAAiAAAAZHJzL2Rvd25yZXYueG1sUEsBAhQAFAAAAAgAh07iQFmB&#10;ttGuAQAAUQMAAA4AAAAAAAAAAQAgAAAAJg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ascii="仿宋" w:hAnsi="仿宋" w:eastAsia="仿宋" w:cs="仿宋"/>
          <w:b/>
          <w:bCs/>
          <w:color w:val="auto"/>
          <w:sz w:val="24"/>
          <w:szCs w:val="24"/>
          <w:highlight w:val="none"/>
        </w:rPr>
        <w:t xml:space="preserve">29.1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发包人应承担本合同中规定应由发包人承担的风险。</w:t>
      </w:r>
    </w:p>
    <w:p>
      <w:pPr>
        <w:pStyle w:val="13"/>
        <w:adjustRightInd w:val="0"/>
        <w:snapToGrid w:val="0"/>
        <w:spacing w:line="480" w:lineRule="auto"/>
        <w:ind w:right="-24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29.2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510" name="文本框 511"/>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upright="1"/>
                    </wps:wsp>
                  </a:graphicData>
                </a:graphic>
              </wp:anchor>
            </w:drawing>
          </mc:Choice>
          <mc:Fallback>
            <w:pict>
              <v:shape id="文本框 511" o:spid="_x0000_s1026" o:spt="202" type="#_x0000_t202" style="position:absolute;left:0pt;margin-left:-9pt;margin-top:0.85pt;height:28.05pt;width:72pt;z-index:251771904;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1EFTY1QAA&#10;AAgBAAAPAAAAAAAAAAEAIAAAACIAAABkcnMvZG93bnJldi54bWxQSwECFAAUAAAACACHTuJA5lzE&#10;qK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sz w:val="24"/>
          <w:szCs w:val="24"/>
          <w:highlight w:val="none"/>
        </w:rPr>
        <w:t>自开工之日起至颁发工程接收证书之日止，发包人风险包括但不限于：</w:t>
      </w:r>
    </w:p>
    <w:p>
      <w:pPr>
        <w:pStyle w:val="13"/>
        <w:numPr>
          <w:ilvl w:val="0"/>
          <w:numId w:val="16"/>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由于永久工程本身或施工而不可避免造成的财产（除工程本身、材料和工程设备和施工设备外）损失或损坏；</w:t>
      </w:r>
    </w:p>
    <w:p>
      <w:pPr>
        <w:pStyle w:val="13"/>
        <w:numPr>
          <w:ilvl w:val="0"/>
          <w:numId w:val="16"/>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由于发包人工作人员及其相关人员（除承包人外）的疏忽或违规造成的人员伤亡、财产损失或损坏；</w:t>
      </w:r>
    </w:p>
    <w:p>
      <w:pPr>
        <w:pStyle w:val="13"/>
        <w:numPr>
          <w:ilvl w:val="0"/>
          <w:numId w:val="16"/>
        </w:numPr>
        <w:tabs>
          <w:tab w:val="left" w:pos="1080"/>
        </w:tabs>
        <w:adjustRightInd w:val="0"/>
        <w:snapToGrid w:val="0"/>
        <w:spacing w:line="360" w:lineRule="auto"/>
        <w:ind w:left="1619" w:leftChars="771" w:firstLine="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由于发包人提前使用或占用永久工程或其部分造成的损失或损坏；</w:t>
      </w:r>
    </w:p>
    <w:p>
      <w:pPr>
        <w:pStyle w:val="13"/>
        <w:numPr>
          <w:ilvl w:val="0"/>
          <w:numId w:val="16"/>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由于发包人提供或发包人负责的设计造成的对永久工程、材料和工程设备和施工设备的损失或损害；</w:t>
      </w:r>
    </w:p>
    <w:p>
      <w:pPr>
        <w:pStyle w:val="13"/>
        <w:numPr>
          <w:ilvl w:val="0"/>
          <w:numId w:val="16"/>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由于地质、邻近建筑物、古树名木和物价上涨等非承包人原因造成施工过程中费用的增加。</w:t>
      </w:r>
    </w:p>
    <w:p>
      <w:pPr>
        <w:pStyle w:val="13"/>
        <w:adjustRightInd w:val="0"/>
        <w:snapToGrid w:val="0"/>
        <w:spacing w:line="360" w:lineRule="auto"/>
        <w:ind w:right="-240"/>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pPr>
        <w:pStyle w:val="13"/>
        <w:adjustRightInd w:val="0"/>
        <w:snapToGrid w:val="0"/>
        <w:spacing w:line="360" w:lineRule="auto"/>
        <w:ind w:right="-240"/>
        <w:outlineLvl w:val="2"/>
        <w:rPr>
          <w:rFonts w:ascii="仿宋" w:hAnsi="仿宋" w:eastAsia="仿宋" w:cs="Times New Roman"/>
          <w:b/>
          <w:bCs/>
          <w:color w:val="auto"/>
          <w:sz w:val="24"/>
          <w:szCs w:val="24"/>
          <w:highlight w:val="none"/>
        </w:rPr>
      </w:pPr>
      <w:bookmarkStart w:id="273" w:name="_Toc469384011"/>
      <w:bookmarkStart w:id="274" w:name="_Toc21301"/>
      <w:bookmarkStart w:id="275" w:name="_Toc19257"/>
      <w:bookmarkStart w:id="276" w:name="_Toc11789"/>
      <w:bookmarkStart w:id="277" w:name="_Toc22596"/>
      <w:bookmarkStart w:id="278" w:name="_Toc10624851"/>
      <w:bookmarkStart w:id="279" w:name="_Toc21220"/>
      <w:r>
        <w:rPr>
          <w:rFonts w:ascii="仿宋" w:hAnsi="仿宋" w:eastAsia="仿宋" w:cs="仿宋"/>
          <w:b/>
          <w:bCs/>
          <w:color w:val="auto"/>
          <w:sz w:val="24"/>
          <w:szCs w:val="24"/>
          <w:highlight w:val="none"/>
        </w:rPr>
        <w:t xml:space="preserve">30  </w:t>
      </w:r>
      <w:r>
        <w:rPr>
          <w:rFonts w:hint="eastAsia" w:ascii="仿宋" w:hAnsi="仿宋" w:eastAsia="仿宋" w:cs="仿宋"/>
          <w:b/>
          <w:bCs/>
          <w:color w:val="auto"/>
          <w:sz w:val="24"/>
          <w:szCs w:val="24"/>
          <w:highlight w:val="none"/>
        </w:rPr>
        <w:t>承包人风险</w:t>
      </w:r>
      <w:bookmarkEnd w:id="273"/>
      <w:bookmarkEnd w:id="274"/>
      <w:bookmarkEnd w:id="275"/>
      <w:bookmarkEnd w:id="276"/>
      <w:bookmarkEnd w:id="277"/>
      <w:bookmarkEnd w:id="278"/>
      <w:bookmarkEnd w:id="279"/>
    </w:p>
    <w:p>
      <w:pPr>
        <w:pStyle w:val="13"/>
        <w:tabs>
          <w:tab w:val="left" w:pos="1320"/>
          <w:tab w:val="left" w:pos="1440"/>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511" name="文本框 512"/>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文本框 512" o:spid="_x0000_s1026" o:spt="202" type="#_x0000_t202" style="position:absolute;left:0pt;margin-left:-10.5pt;margin-top:20.05pt;height:33.65pt;width:81pt;z-index:251772928;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SqsmdYA&#10;AAAKAQAADwAAAAAAAAABACAAAAAiAAAAZHJzL2Rvd25yZXYueG1sUEsBAhQAFAAAAAgAh07iQGYL&#10;4DmvAQAAUg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ascii="仿宋" w:hAnsi="仿宋" w:eastAsia="仿宋" w:cs="仿宋"/>
          <w:b/>
          <w:bCs/>
          <w:color w:val="auto"/>
          <w:sz w:val="24"/>
          <w:szCs w:val="24"/>
          <w:highlight w:val="none"/>
        </w:rPr>
        <w:t xml:space="preserve">30.1      </w:t>
      </w:r>
    </w:p>
    <w:p>
      <w:pPr>
        <w:pStyle w:val="13"/>
        <w:tabs>
          <w:tab w:val="left" w:pos="1440"/>
        </w:tabs>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承包人应承担本合同中规定应由承包人承担的风险。</w:t>
      </w:r>
    </w:p>
    <w:p>
      <w:pPr>
        <w:pStyle w:val="13"/>
        <w:tabs>
          <w:tab w:val="left" w:pos="1320"/>
          <w:tab w:val="left" w:pos="1440"/>
        </w:tabs>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512" name="文本框 513"/>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upright="1"/>
                    </wps:wsp>
                  </a:graphicData>
                </a:graphic>
              </wp:anchor>
            </w:drawing>
          </mc:Choice>
          <mc:Fallback>
            <w:pict>
              <v:shape id="文本框 513" o:spid="_x0000_s1026" o:spt="202" type="#_x0000_t202" style="position:absolute;left:0pt;margin-left:-9pt;margin-top:20.65pt;height:24.25pt;width:72pt;z-index:251773952;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vk+c&#10;1wAAAAkBAAAPAAAAAAAAAAEAIAAAACIAAABkcnMvZG93bnJldi54bWxQSwECFAAUAAAACACHTuJA&#10;nrYVFr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rPr>
        <w:t xml:space="preserve">30.2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tabs>
          <w:tab w:val="left" w:pos="1440"/>
        </w:tabs>
        <w:adjustRightInd w:val="0"/>
        <w:snapToGrid w:val="0"/>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自开工之日起直到颁发工程接收证书之日止，承包人风险为：除第</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条以外的人员伤亡以及财产（包括但不限于合同工程、材料、工程设备和施工设备）的损失或损坏。</w:t>
      </w:r>
    </w:p>
    <w:p>
      <w:pPr>
        <w:pStyle w:val="13"/>
        <w:adjustRightInd w:val="0"/>
        <w:snapToGrid w:val="0"/>
        <w:spacing w:line="360" w:lineRule="auto"/>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ind w:right="-240"/>
        <w:outlineLvl w:val="2"/>
        <w:rPr>
          <w:rFonts w:ascii="仿宋" w:hAnsi="仿宋" w:eastAsia="仿宋" w:cs="Times New Roman"/>
          <w:b/>
          <w:bCs/>
          <w:color w:val="auto"/>
          <w:sz w:val="24"/>
          <w:szCs w:val="24"/>
          <w:highlight w:val="none"/>
        </w:rPr>
      </w:pPr>
      <w:bookmarkStart w:id="280" w:name="_Toc3542"/>
      <w:bookmarkStart w:id="281" w:name="_Toc25020"/>
      <w:bookmarkStart w:id="282" w:name="_Toc469384012"/>
      <w:bookmarkStart w:id="283" w:name="_Toc10124"/>
      <w:bookmarkStart w:id="284" w:name="_Toc13146"/>
      <w:bookmarkStart w:id="285" w:name="_Toc23077"/>
      <w:bookmarkStart w:id="286" w:name="_Toc10624852"/>
      <w:r>
        <w:rPr>
          <w:rFonts w:ascii="仿宋" w:hAnsi="仿宋" w:eastAsia="仿宋" w:cs="仿宋"/>
          <w:b/>
          <w:bCs/>
          <w:color w:val="auto"/>
          <w:sz w:val="24"/>
          <w:szCs w:val="24"/>
          <w:highlight w:val="none"/>
        </w:rPr>
        <w:t xml:space="preserve">31  </w:t>
      </w:r>
      <w:r>
        <w:rPr>
          <w:rFonts w:hint="eastAsia" w:ascii="仿宋" w:hAnsi="仿宋" w:eastAsia="仿宋" w:cs="仿宋"/>
          <w:b/>
          <w:bCs/>
          <w:color w:val="auto"/>
          <w:sz w:val="24"/>
          <w:szCs w:val="24"/>
          <w:highlight w:val="none"/>
        </w:rPr>
        <w:t>不可抗力</w:t>
      </w:r>
      <w:bookmarkEnd w:id="280"/>
      <w:bookmarkEnd w:id="281"/>
      <w:bookmarkEnd w:id="282"/>
      <w:bookmarkEnd w:id="283"/>
      <w:bookmarkEnd w:id="284"/>
      <w:bookmarkEnd w:id="285"/>
      <w:bookmarkEnd w:id="286"/>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31.1      </w:t>
      </w:r>
    </w:p>
    <w:p>
      <w:pPr>
        <w:pStyle w:val="13"/>
        <w:adjustRightInd w:val="0"/>
        <w:snapToGrid w:val="0"/>
        <w:spacing w:line="360" w:lineRule="auto"/>
        <w:ind w:left="1619"/>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不可抗力是指合同当事人在签订合同时不可预见，在合同履行过程中不可避免且不能克服的自然灾害和社会性突发事件，如地震、海啸、瘟疫、骚乱、戒严、暴动、战争等。</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513" name="文本框 514"/>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upright="1"/>
                    </wps:wsp>
                  </a:graphicData>
                </a:graphic>
              </wp:anchor>
            </w:drawing>
          </mc:Choice>
          <mc:Fallback>
            <w:pict>
              <v:shape id="文本框 514" o:spid="_x0000_s1026" o:spt="202" type="#_x0000_t202" style="position:absolute;left:0pt;margin-left:-9pt;margin-top:0.6pt;height:38.8pt;width:72pt;z-index:251774976;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vtL+3V&#10;AAAACAEAAA8AAAAAAAAAAQAgAAAAIgAAAGRycy9kb3ducmV2LnhtbFBLAQIUABQAAAAIAIdO4kDO&#10;Fp0j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天内，承包人向监理工程师通报受害情况和损失情况，并预计清理和修复的费用，抄送造价工程师。不可抗力事件持续发生，承包人应每隔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天向监理工程师和造价工程师报告一次受害情况。不可抗力事件结束后的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天内，承包人应分别按照第</w:t>
      </w:r>
      <w:r>
        <w:rPr>
          <w:rFonts w:ascii="仿宋" w:hAnsi="仿宋" w:eastAsia="仿宋" w:cs="仿宋"/>
          <w:color w:val="auto"/>
          <w:sz w:val="24"/>
          <w:szCs w:val="24"/>
          <w:highlight w:val="none"/>
        </w:rPr>
        <w:t>36</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条规定索赔工期、费用。</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31.3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514" name="文本框 51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upright="1"/>
                    </wps:wsp>
                  </a:graphicData>
                </a:graphic>
              </wp:anchor>
            </w:drawing>
          </mc:Choice>
          <mc:Fallback>
            <w:pict>
              <v:shape id="文本框 515" o:spid="_x0000_s1026" o:spt="202" type="#_x0000_t202" style="position:absolute;left:0pt;margin-left:-9pt;margin-top:1.75pt;height:54.6pt;width:72pt;z-index:251776000;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oS66V&#10;1wAAAAkBAAAPAAAAAAAAAAEAIAAAACIAAABkcnMvZG93bnJldi54bWxQSwECFAAUAAAACACHTuJA&#10;vyiSd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ascii="仿宋" w:hAnsi="仿宋" w:eastAsia="仿宋" w:cs="仿宋"/>
          <w:color w:val="auto"/>
          <w:sz w:val="24"/>
          <w:szCs w:val="24"/>
          <w:highlight w:val="none"/>
        </w:rPr>
        <w:t>因不可抗力事件导致的费用，由合同双方当事人按照下列规定承担，并相应调整合同价款：</w:t>
      </w:r>
    </w:p>
    <w:p>
      <w:pPr>
        <w:pStyle w:val="13"/>
        <w:numPr>
          <w:ilvl w:val="0"/>
          <w:numId w:val="17"/>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永久工程本身的损害、已运至施工场地的材料和工程设备的损害，以及因工程损害导致第三者人员伤亡和财产损失，由发包人承担；</w:t>
      </w:r>
    </w:p>
    <w:p>
      <w:pPr>
        <w:pStyle w:val="13"/>
        <w:numPr>
          <w:ilvl w:val="0"/>
          <w:numId w:val="17"/>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承包人施工设备和用于合同工程的周转材料损坏以及停工损失，由承包人承担；发包人提供的施工设备损坏，由发包人承担；</w:t>
      </w:r>
    </w:p>
    <w:p>
      <w:pPr>
        <w:pStyle w:val="13"/>
        <w:numPr>
          <w:ilvl w:val="0"/>
          <w:numId w:val="17"/>
        </w:numPr>
        <w:tabs>
          <w:tab w:val="left" w:pos="108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施工场地内的人员伤亡和本款第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点以外财产损失及其相关费用，由合同双方当事人各自承担；</w:t>
      </w:r>
    </w:p>
    <w:p>
      <w:pPr>
        <w:pStyle w:val="13"/>
        <w:numPr>
          <w:ilvl w:val="0"/>
          <w:numId w:val="17"/>
        </w:numPr>
        <w:tabs>
          <w:tab w:val="left" w:pos="108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停工期间，承包人应监理工程师要求照管工程的费用，由发包人承担；</w:t>
      </w:r>
    </w:p>
    <w:p>
      <w:pPr>
        <w:pStyle w:val="13"/>
        <w:numPr>
          <w:ilvl w:val="0"/>
          <w:numId w:val="17"/>
        </w:numPr>
        <w:tabs>
          <w:tab w:val="left" w:pos="1080"/>
        </w:tabs>
        <w:adjustRightInd w:val="0"/>
        <w:snapToGrid w:val="0"/>
        <w:spacing w:line="360" w:lineRule="auto"/>
        <w:ind w:left="2096" w:leftChars="772" w:hanging="475" w:hangingChars="198"/>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工程所需的清理、修复费用，由发包人承担。</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15" name="文本框 516"/>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upright="1"/>
                    </wps:wsp>
                  </a:graphicData>
                </a:graphic>
              </wp:anchor>
            </w:drawing>
          </mc:Choice>
          <mc:Fallback>
            <w:pict>
              <v:shape id="文本框 516"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nCGh&#10;1wAAAAoBAAAPAAAAAAAAAAEAIAAAACIAAABkcnMvZG93bnJldi54bWxQSwECFAAUAAAACACHTuJA&#10;5mZ6Z7ABAABRAwAADgAAAAAAAAABACAAAAAmAQAAZHJzL2Uyb0RvYy54bWxQSwUGAAAAAAYABgBZ&#10;AQAASAU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ascii="仿宋" w:hAnsi="仿宋" w:eastAsia="仿宋" w:cs="仿宋"/>
          <w:b/>
          <w:bCs/>
          <w:color w:val="auto"/>
          <w:sz w:val="24"/>
          <w:szCs w:val="24"/>
          <w:highlight w:val="none"/>
        </w:rPr>
        <w:t xml:space="preserve">31.4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dstrike/>
          <w:color w:val="auto"/>
          <w:sz w:val="24"/>
          <w:szCs w:val="24"/>
          <w:highlight w:val="none"/>
        </w:rPr>
      </w:pPr>
      <w:r>
        <w:rPr>
          <w:rFonts w:hint="eastAsia" w:ascii="仿宋" w:hAnsi="仿宋" w:eastAsia="仿宋" w:cs="仿宋"/>
          <w:color w:val="auto"/>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16" name="文本框 517"/>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upright="1"/>
                    </wps:wsp>
                  </a:graphicData>
                </a:graphic>
              </wp:anchor>
            </w:drawing>
          </mc:Choice>
          <mc:Fallback>
            <w:pict>
              <v:shape id="文本框 517" o:spid="_x0000_s1026" o:spt="202" type="#_x0000_t202" style="position:absolute;left:0pt;margin-left:-9pt;margin-top:19.5pt;height:44.35pt;width:72pt;z-index:251778048;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OcIaHX&#10;AAAACgEAAA8AAAAAAAAAAQAgAAAAIgAAAGRycy9kb3ducmV2LnhtbFBLAQIUABQAAAAIAIdO4kDe&#10;3Nv6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ascii="仿宋" w:hAnsi="仿宋" w:eastAsia="仿宋" w:cs="仿宋"/>
          <w:b/>
          <w:bCs/>
          <w:color w:val="auto"/>
          <w:sz w:val="24"/>
          <w:szCs w:val="24"/>
          <w:highlight w:val="none"/>
        </w:rPr>
        <w:t xml:space="preserve">31.5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合同任何一方当事人延迟履行合同后发生不可抗力事件的，不能免除另一方当事人因不可抗力造成损失的责任。</w:t>
      </w: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517" name="文本框 518"/>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upright="1"/>
                    </wps:wsp>
                  </a:graphicData>
                </a:graphic>
              </wp:anchor>
            </w:drawing>
          </mc:Choice>
          <mc:Fallback>
            <w:pict>
              <v:shape id="文本框 518" o:spid="_x0000_s1026" o:spt="202" type="#_x0000_t202" style="position:absolute;left:0pt;margin-left:-9pt;margin-top:19.5pt;height:44.35pt;width:72pt;z-index:251779072;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nCGh&#10;1wAAAAoBAAAPAAAAAAAAAAEAIAAAACIAAABkcnMvZG93bnJldi54bWxQSwECFAAUAAAACACHTuJA&#10;Kyz93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ascii="仿宋" w:hAnsi="仿宋" w:eastAsia="仿宋" w:cs="仿宋"/>
          <w:b/>
          <w:bCs/>
          <w:color w:val="auto"/>
          <w:sz w:val="24"/>
          <w:szCs w:val="24"/>
          <w:highlight w:val="none"/>
        </w:rPr>
        <w:t xml:space="preserve">31.6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pPr>
        <w:pStyle w:val="13"/>
        <w:adjustRightInd w:val="0"/>
        <w:snapToGrid w:val="0"/>
        <w:spacing w:line="480" w:lineRule="auto"/>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287" w:name="_Toc4265"/>
      <w:bookmarkStart w:id="288" w:name="_Toc27786"/>
      <w:bookmarkStart w:id="289" w:name="_Toc8279"/>
      <w:bookmarkStart w:id="290" w:name="_Toc469384013"/>
      <w:bookmarkStart w:id="291" w:name="_Toc11908"/>
      <w:bookmarkStart w:id="292" w:name="_Toc10624853"/>
      <w:bookmarkStart w:id="293" w:name="_Toc6964"/>
      <w:r>
        <w:rPr>
          <w:rFonts w:ascii="仿宋" w:hAnsi="仿宋" w:eastAsia="仿宋" w:cs="仿宋"/>
          <w:b/>
          <w:bCs/>
          <w:color w:val="auto"/>
          <w:sz w:val="24"/>
          <w:szCs w:val="24"/>
          <w:highlight w:val="none"/>
        </w:rPr>
        <w:t xml:space="preserve">32  </w:t>
      </w:r>
      <w:r>
        <w:rPr>
          <w:rFonts w:hint="eastAsia" w:ascii="仿宋" w:hAnsi="仿宋" w:eastAsia="仿宋" w:cs="仿宋"/>
          <w:b/>
          <w:bCs/>
          <w:color w:val="auto"/>
          <w:sz w:val="24"/>
          <w:szCs w:val="24"/>
          <w:highlight w:val="none"/>
        </w:rPr>
        <w:t>保险</w:t>
      </w:r>
      <w:bookmarkEnd w:id="287"/>
      <w:bookmarkEnd w:id="288"/>
      <w:bookmarkEnd w:id="289"/>
      <w:bookmarkEnd w:id="290"/>
      <w:bookmarkEnd w:id="291"/>
      <w:bookmarkEnd w:id="292"/>
      <w:bookmarkEnd w:id="293"/>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276225</wp:posOffset>
                </wp:positionV>
                <wp:extent cx="1028700" cy="478155"/>
                <wp:effectExtent l="0" t="0" r="0" b="0"/>
                <wp:wrapNone/>
                <wp:docPr id="55" name="文本框 520"/>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p>
                            <w:pPr>
                              <w:spacing w:line="240" w:lineRule="exact"/>
                              <w:rPr>
                                <w:rFonts w:ascii="楷体_GB2312" w:hAnsi="宋体" w:eastAsia="楷体_GB2312" w:cs="Times New Roman"/>
                                <w:b/>
                                <w:bCs/>
                                <w:color w:val="000000"/>
                                <w:sz w:val="18"/>
                                <w:szCs w:val="18"/>
                              </w:rPr>
                            </w:pPr>
                          </w:p>
                        </w:txbxContent>
                      </wps:txbx>
                      <wps:bodyPr upright="1"/>
                    </wps:wsp>
                  </a:graphicData>
                </a:graphic>
              </wp:anchor>
            </w:drawing>
          </mc:Choice>
          <mc:Fallback>
            <w:pict>
              <v:shape id="文本框 520" o:spid="_x0000_s1026" o:spt="202" type="#_x0000_t202" style="position:absolute;left:0pt;margin-left:-9pt;margin-top:21.75pt;height:37.65pt;width:81pt;z-index:252087296;mso-width-relative:page;mso-height-relative:page;" filled="f" stroked="f" coordsize="21600,21600" o:gfxdata="UEsDBAoAAAAAAIdO4kAAAAAAAAAAAAAAAAAEAAAAZHJzL1BLAwQUAAAACACHTuJASnIeAd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ch4B1wAA&#10;AAoBAAAPAAAAAAAAAAEAIAAAACIAAABkcnMvZG93bnJldi54bWxQSwECFAAUAAAACACHTuJAyjfh&#10;dq0BAABRAwAADgAAAAAAAAABACAAAAAm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p>
                      <w:pPr>
                        <w:spacing w:line="240" w:lineRule="exact"/>
                        <w:rPr>
                          <w:rFonts w:ascii="楷体_GB2312" w:hAnsi="宋体" w:eastAsia="楷体_GB2312" w:cs="Times New Roman"/>
                          <w:b/>
                          <w:bCs/>
                          <w:color w:val="000000"/>
                          <w:sz w:val="18"/>
                          <w:szCs w:val="18"/>
                        </w:rPr>
                      </w:pPr>
                    </w:p>
                  </w:txbxContent>
                </v:textbox>
              </v:shape>
            </w:pict>
          </mc:Fallback>
        </mc:AlternateContent>
      </w:r>
      <w:r>
        <w:rPr>
          <w:rFonts w:ascii="仿宋" w:hAnsi="仿宋" w:eastAsia="仿宋" w:cs="仿宋"/>
          <w:b/>
          <w:bCs/>
          <w:color w:val="auto"/>
          <w:sz w:val="24"/>
          <w:szCs w:val="24"/>
          <w:highlight w:val="none"/>
        </w:rPr>
        <w:t xml:space="preserve">32.1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发包人应按照下列规定办理保险，并支付保险费：</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工程开工前，为合同工程办理建筑工程一切险、安装工程一切险；</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工程开工前，为施工场地内的自有人员（包括监理工程师、造价工程师在内）办理工伤保险、意外伤害保险；</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为第三者办理第三者责任险；</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为运至施工场地内用于永久工程的材料和待安装工程设备办理保险。</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保险期从办理保险之日起至工程竣工验收合格之日止。</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发包人可将其中部分事项委托给承包人办理，具体由合同双方当事人在专用条款中约定。除合同价款已包括外，由发包人承担所需保险费用，并向承包人支付合理利润。</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（5）工程开工前，为合同工程办理工程质量保险；并由保险公司对工程质量、施工安全进行综合担保，以及聘请专业的团队进行工程建设全过程风险、质量控制。</w:t>
      </w:r>
    </w:p>
    <w:p>
      <w:pPr>
        <w:pStyle w:val="13"/>
        <w:tabs>
          <w:tab w:val="left" w:pos="1320"/>
        </w:tabs>
        <w:adjustRightInd w:val="0"/>
        <w:snapToGrid w:val="0"/>
        <w:spacing w:line="480" w:lineRule="auto"/>
        <w:rPr>
          <w:color w:val="auto"/>
          <w:highlight w:val="none"/>
        </w:rPr>
      </w:pPr>
    </w:p>
    <w:p>
      <w:pPr>
        <w:pStyle w:val="13"/>
        <w:tabs>
          <w:tab w:val="left" w:pos="132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518" name="文本框 520"/>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文本框 520" o:spid="_x0000_s1026" o:spt="202" type="#_x0000_t202" style="position:absolute;left:0pt;margin-left:-9pt;margin-top:0.05pt;height:37.65pt;width:81pt;z-index:251780096;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U7LFtQAAAAH&#10;AQAADwAAAAAAAAABACAAAAAiAAAAZHJzL2Rvd25yZXYueG1sUEsBAhQAFAAAAAgAh07iQFuUKf+u&#10;AQAAUg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ascii="仿宋" w:hAnsi="仿宋" w:eastAsia="仿宋" w:cs="仿宋"/>
          <w:color w:val="auto"/>
          <w:sz w:val="24"/>
          <w:szCs w:val="24"/>
          <w:highlight w:val="none"/>
        </w:rPr>
        <w:t>承包人应按照下列规定办理保险，并支付保险费：</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工程开工前，为施工场地内自有人员（包括分包人在内）办理工伤保险、意外伤害保险；</w:t>
      </w:r>
    </w:p>
    <w:p>
      <w:pPr>
        <w:pStyle w:val="13"/>
        <w:adjustRightInd w:val="0"/>
        <w:snapToGrid w:val="0"/>
        <w:spacing w:line="360" w:lineRule="auto"/>
        <w:ind w:left="1676" w:leftChars="798"/>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为施工场地内的自有施工设备、第</w:t>
      </w:r>
      <w:r>
        <w:rPr>
          <w:rFonts w:ascii="仿宋" w:hAnsi="仿宋" w:eastAsia="仿宋" w:cs="仿宋"/>
          <w:color w:val="auto"/>
          <w:sz w:val="24"/>
          <w:szCs w:val="24"/>
          <w:highlight w:val="none"/>
        </w:rPr>
        <w:t>32.1</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点以外采购进场的材料和工程设备等办理保险。</w:t>
      </w:r>
    </w:p>
    <w:p>
      <w:pPr>
        <w:pStyle w:val="13"/>
        <w:tabs>
          <w:tab w:val="left" w:pos="1080"/>
        </w:tabs>
        <w:adjustRightInd w:val="0"/>
        <w:snapToGrid w:val="0"/>
        <w:spacing w:line="360" w:lineRule="auto"/>
        <w:ind w:left="1680" w:leftChars="8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保险期从开工之日起至工程竣工验收合格之日止。</w:t>
      </w:r>
    </w:p>
    <w:p>
      <w:pPr>
        <w:pStyle w:val="13"/>
        <w:tabs>
          <w:tab w:val="left" w:pos="108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519" name="文本框 521"/>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upright="1"/>
                    </wps:wsp>
                  </a:graphicData>
                </a:graphic>
              </wp:anchor>
            </w:drawing>
          </mc:Choice>
          <mc:Fallback>
            <w:pict>
              <v:shape id="文本框 521" o:spid="_x0000_s1026" o:spt="202" type="#_x0000_t202" style="position:absolute;left:0pt;margin-left:-9pt;margin-top:22.6pt;height:42.6pt;width:72pt;z-index:251781120;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JGd4&#10;2AAAAAoBAAAPAAAAAAAAAAEAIAAAACIAAABkcnMvZG93bnJldi54bWxQSwECFAAUAAAACACHTuJA&#10;F60MKq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rPr>
        <w:t xml:space="preserve">32.3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合同一方当事人应按照本合同要求向另一方当事人提供有效的投保保险单和保险凭证。</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520" name="文本框 52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upright="1"/>
                    </wps:wsp>
                  </a:graphicData>
                </a:graphic>
              </wp:anchor>
            </w:drawing>
          </mc:Choice>
          <mc:Fallback>
            <w:pict>
              <v:shape id="文本框 522" o:spid="_x0000_s1026" o:spt="202" type="#_x0000_t202" style="position:absolute;left:0pt;margin-left:-9pt;margin-top:18.65pt;height:31.2pt;width:72pt;z-index:251782144;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wokOLX&#10;AAAACQEAAA8AAAAAAAAAAQAgAAAAIgAAAGRycy9kb3ducmV2LnhtbFBLAQIUABQAAAAIAIdO4kAv&#10;hn/brwEAAFEDAAAOAAAAAAAAAAEAIAAAACYBAABkcnMvZTJvRG9jLnhtbFBLBQYAAAAABgAGAFkB&#10;AABHBQ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ascii="仿宋" w:hAnsi="仿宋" w:eastAsia="仿宋" w:cs="仿宋"/>
          <w:b/>
          <w:bCs/>
          <w:color w:val="auto"/>
          <w:sz w:val="24"/>
          <w:szCs w:val="24"/>
          <w:highlight w:val="none"/>
        </w:rPr>
        <w:t xml:space="preserve">32.4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合同双方当事人应遵守本条规定办理有关保险事项。如果未按规定投保的，应按下列规定补偿：</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由于负有投保义务的合同一方当事人未按合同约定办理保险，或未能使保险持续有效的，则另一方当事人可代为办理，所需费用由对方当事人承担；</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由于负有投保义务的合同一方当事人未按合同约定办理某项保险，导致受益人未能得到保险人的赔偿，则该项保险金应由负有投保义务的一方当事人支付。</w:t>
      </w:r>
    </w:p>
    <w:p>
      <w:pPr>
        <w:pStyle w:val="13"/>
        <w:adjustRightInd w:val="0"/>
        <w:snapToGrid w:val="0"/>
        <w:spacing w:line="36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521" name="文本框 523"/>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upright="1"/>
                    </wps:wsp>
                  </a:graphicData>
                </a:graphic>
              </wp:anchor>
            </w:drawing>
          </mc:Choice>
          <mc:Fallback>
            <w:pict>
              <v:shape id="文本框 523" o:spid="_x0000_s1026" o:spt="202" type="#_x0000_t202" style="position:absolute;left:0pt;margin-left:-9pt;margin-top:23pt;height:42.6pt;width:72pt;z-index:251783168;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PKUX&#10;1wAAAAoBAAAPAAAAAAAAAAEAIAAAACIAAABkcnMvZG93bnJldi54bWxQSwECFAAUAAAACACHTuJA&#10;v4jiYb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ascii="仿宋" w:hAnsi="仿宋" w:eastAsia="仿宋" w:cs="仿宋"/>
          <w:b/>
          <w:bCs/>
          <w:color w:val="auto"/>
          <w:sz w:val="24"/>
          <w:szCs w:val="24"/>
          <w:highlight w:val="none"/>
        </w:rPr>
        <w:t xml:space="preserve">32.5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当合同工程发生保险事故时</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被保险人应及时通知保险人，并提供有关资料。合同双方当事人有责任采取合理有效措施防止或减少损失，并应相互协助做好向保险人的报告和理赔工作。</w:t>
      </w:r>
    </w:p>
    <w:p>
      <w:pPr>
        <w:pStyle w:val="13"/>
        <w:tabs>
          <w:tab w:val="left" w:pos="1320"/>
          <w:tab w:val="left" w:pos="16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522" name="文本框 524"/>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upright="1"/>
                    </wps:wsp>
                  </a:graphicData>
                </a:graphic>
              </wp:anchor>
            </w:drawing>
          </mc:Choice>
          <mc:Fallback>
            <w:pict>
              <v:shape id="文本框 524" o:spid="_x0000_s1026" o:spt="202" type="#_x0000_t202" style="position:absolute;left:0pt;margin-left:-9pt;margin-top:0pt;height:43.5pt;width:72pt;z-index:251784192;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0QCftQAAAAH&#10;AQAADwAAAAAAAAABACAAAAAiAAAAZHJzL2Rvd25yZXYueG1sUEsBAhQAFAAAAAgAh07iQF2LF6+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ascii="仿宋" w:hAnsi="仿宋" w:eastAsia="仿宋" w:cs="仿宋"/>
          <w:color w:val="auto"/>
          <w:sz w:val="24"/>
          <w:szCs w:val="24"/>
          <w:highlight w:val="none"/>
        </w:rPr>
        <w:t>当合同工程的性质、规模或计划发生变更时，被保险人应及时通知保险人，并在合同履行期间按照本条规定保证足够的保险额，由此造成的费用由责任方承担。</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32.7  </w:t>
      </w:r>
      <w:r>
        <w:rPr>
          <w:rFonts w:ascii="仿宋" w:hAnsi="仿宋" w:eastAsia="仿宋" w:cs="仿宋"/>
          <w:b/>
          <w:bCs/>
          <w:color w:val="auto"/>
          <w:sz w:val="24"/>
          <w:szCs w:val="24"/>
          <w:highlight w:val="none"/>
          <w:u w:val="dotted"/>
        </w:rPr>
        <w:t xml:space="preserve">                                                                                                        </w:t>
      </w:r>
    </w:p>
    <w:p>
      <w:pPr>
        <w:pStyle w:val="13"/>
        <w:tabs>
          <w:tab w:val="left" w:pos="1320"/>
        </w:tabs>
        <w:adjustRightInd w:val="0"/>
        <w:snapToGrid w:val="0"/>
        <w:spacing w:line="360" w:lineRule="auto"/>
        <w:ind w:left="1575" w:leftChars="75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523" name="文本框 525"/>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upright="1"/>
                    </wps:wsp>
                  </a:graphicData>
                </a:graphic>
              </wp:anchor>
            </w:drawing>
          </mc:Choice>
          <mc:Fallback>
            <w:pict>
              <v:shape id="文本框 525" o:spid="_x0000_s1026" o:spt="202" type="#_x0000_t202" style="position:absolute;left:0pt;margin-left:-5.25pt;margin-top:1.1pt;height:33.5pt;width:72pt;z-index:251785216;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T9TUdUA&#10;AAAIAQAADwAAAAAAAAABACAAAAAiAAAAZHJzL2Rvd25yZXYueG1sUEsBAhQAFAAAAAgAh07iQKoo&#10;MM2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rPr>
        <w:t>从保险人收到的因合同工程本身损失或损坏的保险金</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应专项用于修复合同工程的损失或损坏，或作为对未能修复合同工程这些损失或损坏的补偿。</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524" name="文本框 526"/>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wps:txbx>
                      <wps:bodyPr upright="1"/>
                    </wps:wsp>
                  </a:graphicData>
                </a:graphic>
              </wp:anchor>
            </w:drawing>
          </mc:Choice>
          <mc:Fallback>
            <w:pict>
              <v:shape id="文本框 526" o:spid="_x0000_s1026" o:spt="202" type="#_x0000_t202" style="position:absolute;left:0pt;margin-left:-9pt;margin-top:17.9pt;height:32.05pt;width:72pt;z-index:251786240;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XcPLjW&#10;AAAACQEAAA8AAAAAAAAAAQAgAAAAIgAAAGRycy9kb3ducmV2LnhtbFBLAQIUABQAAAAIAIdO4kAw&#10;q2EMsAEAAFEDAAAOAAAAAAAAAAEAIAAAACUBAABkcnMvZTJvRG9jLnhtbFBLBQYAAAAABgAGAFkB&#10;AABHBQ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ascii="仿宋" w:hAnsi="仿宋" w:eastAsia="仿宋" w:cs="仿宋"/>
          <w:b/>
          <w:bCs/>
          <w:color w:val="auto"/>
          <w:sz w:val="24"/>
          <w:szCs w:val="24"/>
          <w:highlight w:val="none"/>
        </w:rPr>
        <w:t xml:space="preserve">32.8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具体投保内容、保险金、保险期限及相关责任等事项，合同双方当事人应在专用条款中约定。</w:t>
      </w:r>
    </w:p>
    <w:p>
      <w:pPr>
        <w:pStyle w:val="13"/>
        <w:adjustRightInd w:val="0"/>
        <w:snapToGrid w:val="0"/>
        <w:spacing w:line="360" w:lineRule="auto"/>
        <w:ind w:left="1619" w:leftChars="771"/>
        <w:rPr>
          <w:rFonts w:ascii="仿宋" w:hAnsi="仿宋" w:eastAsia="仿宋" w:cs="仿宋"/>
          <w:color w:val="auto"/>
          <w:sz w:val="24"/>
          <w:szCs w:val="24"/>
          <w:highlight w:val="none"/>
        </w:rPr>
      </w:pPr>
    </w:p>
    <w:p>
      <w:pPr>
        <w:pStyle w:val="13"/>
        <w:adjustRightInd w:val="0"/>
        <w:snapToGrid w:val="0"/>
        <w:spacing w:line="360" w:lineRule="auto"/>
        <w:ind w:right="-238"/>
        <w:jc w:val="center"/>
        <w:outlineLvl w:val="1"/>
        <w:rPr>
          <w:rFonts w:ascii="仿宋" w:hAnsi="仿宋" w:eastAsia="仿宋" w:cs="Times New Roman"/>
          <w:b/>
          <w:bCs/>
          <w:color w:val="auto"/>
          <w:sz w:val="24"/>
          <w:szCs w:val="24"/>
          <w:highlight w:val="none"/>
        </w:rPr>
      </w:pPr>
      <w:bookmarkStart w:id="294" w:name="_Toc23164"/>
      <w:bookmarkStart w:id="295" w:name="_Toc15116"/>
      <w:bookmarkStart w:id="296" w:name="_Toc24345"/>
      <w:bookmarkStart w:id="297" w:name="_Toc2275"/>
      <w:bookmarkStart w:id="298" w:name="_Toc26115"/>
      <w:bookmarkStart w:id="299" w:name="_Toc469384014"/>
      <w:bookmarkStart w:id="300" w:name="_Toc10624854"/>
      <w:r>
        <w:rPr>
          <w:rFonts w:hint="eastAsia" w:ascii="仿宋" w:hAnsi="仿宋" w:eastAsia="仿宋" w:cs="仿宋"/>
          <w:b/>
          <w:bCs/>
          <w:color w:val="auto"/>
          <w:sz w:val="24"/>
          <w:szCs w:val="24"/>
          <w:highlight w:val="none"/>
        </w:rPr>
        <w:t>四、工</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期</w:t>
      </w:r>
      <w:bookmarkEnd w:id="294"/>
      <w:bookmarkEnd w:id="295"/>
      <w:bookmarkEnd w:id="296"/>
      <w:bookmarkEnd w:id="297"/>
      <w:bookmarkEnd w:id="298"/>
      <w:bookmarkEnd w:id="299"/>
      <w:bookmarkEnd w:id="300"/>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01" w:name="_Toc6546"/>
      <w:bookmarkStart w:id="302" w:name="_Toc595"/>
      <w:bookmarkStart w:id="303" w:name="_Toc469384015"/>
      <w:bookmarkStart w:id="304" w:name="_Toc9514"/>
      <w:bookmarkStart w:id="305" w:name="_Toc10624855"/>
      <w:bookmarkStart w:id="306" w:name="_Toc28907"/>
      <w:bookmarkStart w:id="307" w:name="_Toc19790"/>
      <w:r>
        <w:rPr>
          <w:rFonts w:ascii="仿宋" w:hAnsi="仿宋" w:eastAsia="仿宋" w:cs="仿宋"/>
          <w:b/>
          <w:bCs/>
          <w:color w:val="auto"/>
          <w:sz w:val="24"/>
          <w:szCs w:val="24"/>
          <w:highlight w:val="none"/>
        </w:rPr>
        <w:t xml:space="preserve">33  </w:t>
      </w:r>
      <w:r>
        <w:rPr>
          <w:rFonts w:hint="eastAsia" w:ascii="仿宋" w:hAnsi="仿宋" w:eastAsia="仿宋" w:cs="仿宋"/>
          <w:b/>
          <w:bCs/>
          <w:color w:val="auto"/>
          <w:sz w:val="24"/>
          <w:szCs w:val="24"/>
          <w:highlight w:val="none"/>
        </w:rPr>
        <w:t>进度计划和报告</w:t>
      </w:r>
      <w:bookmarkEnd w:id="301"/>
      <w:bookmarkEnd w:id="302"/>
      <w:bookmarkEnd w:id="303"/>
      <w:bookmarkEnd w:id="304"/>
      <w:bookmarkEnd w:id="305"/>
      <w:bookmarkEnd w:id="306"/>
      <w:bookmarkEnd w:id="307"/>
    </w:p>
    <w:p>
      <w:pPr>
        <w:pStyle w:val="13"/>
        <w:tabs>
          <w:tab w:val="left" w:pos="1620"/>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525" name="文本框 527"/>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upright="1"/>
                    </wps:wsp>
                  </a:graphicData>
                </a:graphic>
              </wp:anchor>
            </w:drawing>
          </mc:Choice>
          <mc:Fallback>
            <w:pict>
              <v:shape id="文本框 527" o:spid="_x0000_s1026" o:spt="202" type="#_x0000_t202" style="position:absolute;left:0pt;margin-left:-9pt;margin-top:22.35pt;height:32.5pt;width:72pt;z-index:251787264;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3G4&#10;O9gAAAAKAQAADwAAAAAAAAABACAAAAAiAAAAZHJzL2Rvd25yZXYueG1sUEsBAhQAFAAAAAgAh07i&#10;QJX4HYq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ascii="仿宋" w:hAnsi="仿宋" w:eastAsia="仿宋" w:cs="仿宋"/>
          <w:b/>
          <w:bCs/>
          <w:color w:val="auto"/>
          <w:sz w:val="24"/>
          <w:szCs w:val="24"/>
          <w:highlight w:val="none"/>
        </w:rPr>
        <w:t xml:space="preserve">33.1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承包人应在签订本合同后的</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天内，向监理工程师提交一式两份施工组织设计和合同工程进度计划，向发包方提交一份施工组织设计和合同工程进度计划。经发包人批准后，监理工程师应在收到该设计和计划后的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pPr>
        <w:pStyle w:val="13"/>
        <w:tabs>
          <w:tab w:val="left" w:pos="16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526" name="文本框 528"/>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upright="1"/>
                    </wps:wsp>
                  </a:graphicData>
                </a:graphic>
              </wp:anchor>
            </w:drawing>
          </mc:Choice>
          <mc:Fallback>
            <w:pict>
              <v:shape id="文本框 528" o:spid="_x0000_s1026" o:spt="202" type="#_x0000_t202" style="position:absolute;left:0pt;margin-left:-9pt;margin-top:22.15pt;height:37.15pt;width:72pt;z-index:251788288;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H7R4&#10;1wAAAAoBAAAPAAAAAAAAAAEAIAAAACIAAABkcnMvZG93bnJldi54bWxQSwECFAAUAAAACACHTuJA&#10;q4qbr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ascii="仿宋" w:hAnsi="仿宋" w:eastAsia="仿宋" w:cs="仿宋"/>
          <w:b/>
          <w:bCs/>
          <w:color w:val="auto"/>
          <w:sz w:val="24"/>
          <w:szCs w:val="24"/>
          <w:highlight w:val="none"/>
        </w:rPr>
        <w:t xml:space="preserve">33.2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承包人应按照经监理工程师确认并由其报发包人批准的进度计划组织施工，接受监理工程师对工程进度的监督和检查。</w:t>
      </w:r>
    </w:p>
    <w:p>
      <w:pPr>
        <w:pStyle w:val="13"/>
        <w:tabs>
          <w:tab w:val="left" w:pos="16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527" name="文本框 52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upright="1"/>
                    </wps:wsp>
                  </a:graphicData>
                </a:graphic>
              </wp:anchor>
            </w:drawing>
          </mc:Choice>
          <mc:Fallback>
            <w:pict>
              <v:shape id="文本框 529" o:spid="_x0000_s1026" o:spt="202" type="#_x0000_t202" style="position:absolute;left:0pt;margin-left:-9pt;margin-top:20.9pt;height:43.75pt;width:72pt;z-index:251789312;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C5uAjX&#10;AAAACgEAAA8AAAAAAAAAAQAgAAAAIgAAAGRycy9kb3ducmV2LnhtbFBLAQIUABQAAAAIAIdO4kCJ&#10;NEmH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ascii="仿宋" w:hAnsi="仿宋" w:eastAsia="仿宋" w:cs="仿宋"/>
          <w:b/>
          <w:bCs/>
          <w:color w:val="auto"/>
          <w:sz w:val="24"/>
          <w:szCs w:val="24"/>
          <w:highlight w:val="none"/>
        </w:rPr>
        <w:t xml:space="preserve">33.3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除专用条款另有约定外，承包人应编制每月施工进度报告，同时每季度对进度计划修订一次，并在每月或季结束后的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天内向监理工程师提交上述报告和修订计划一式两份。月施工进度报告的内容至少应包括：</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）施工、安装、试验以及其他发包人工作等进展情况的图表和说明；</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）材料、设备、货物的采购和制造商名称、地点以及进入现场情况；</w:t>
      </w:r>
    </w:p>
    <w:p>
      <w:pPr>
        <w:pStyle w:val="13"/>
        <w:adjustRightInd w:val="0"/>
        <w:snapToGrid w:val="0"/>
        <w:spacing w:line="360" w:lineRule="auto"/>
        <w:ind w:firstLine="1560" w:firstLineChars="6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）索赔情况和安全统计；</w:t>
      </w:r>
    </w:p>
    <w:p>
      <w:pPr>
        <w:pStyle w:val="13"/>
        <w:adjustRightInd w:val="0"/>
        <w:snapToGrid w:val="0"/>
        <w:spacing w:line="360" w:lineRule="auto"/>
        <w:ind w:left="1558" w:leftChars="74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）实际进度与计划进度的对比，以及为消除延误正在或准备采取的措施。</w:t>
      </w:r>
    </w:p>
    <w:p>
      <w:pPr>
        <w:pStyle w:val="13"/>
        <w:tabs>
          <w:tab w:val="left" w:pos="1620"/>
        </w:tabs>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528" name="文本框 530"/>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upright="1"/>
                    </wps:wsp>
                  </a:graphicData>
                </a:graphic>
              </wp:anchor>
            </w:drawing>
          </mc:Choice>
          <mc:Fallback>
            <w:pict>
              <v:shape id="文本框 530" o:spid="_x0000_s1026" o:spt="202" type="#_x0000_t202" style="position:absolute;left:0pt;margin-left:-9pt;margin-top:19.2pt;height:50.75pt;width:72pt;z-index:251790336;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HppVDY&#10;AAAACgEAAA8AAAAAAAAAAQAgAAAAIgAAAGRycy9kb3ducmV2LnhtbFBLAQIUABQAAAAIAIdO4kCL&#10;UPuErgEAAFEDAAAOAAAAAAAAAAEAIAAAACc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ascii="仿宋" w:hAnsi="仿宋" w:eastAsia="仿宋" w:cs="仿宋"/>
          <w:b/>
          <w:bCs/>
          <w:color w:val="auto"/>
          <w:sz w:val="24"/>
          <w:szCs w:val="24"/>
          <w:highlight w:val="none"/>
        </w:rPr>
        <w:t xml:space="preserve">33.4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ascii="仿宋" w:hAnsi="仿宋" w:eastAsia="仿宋" w:cs="仿宋"/>
          <w:color w:val="auto"/>
          <w:sz w:val="24"/>
          <w:szCs w:val="24"/>
          <w:highlight w:val="none"/>
        </w:rPr>
        <w:t>66.2</w:t>
      </w:r>
      <w:r>
        <w:rPr>
          <w:rFonts w:hint="eastAsia" w:ascii="仿宋" w:hAnsi="仿宋" w:eastAsia="仿宋" w:cs="仿宋"/>
          <w:color w:val="auto"/>
          <w:sz w:val="24"/>
          <w:szCs w:val="24"/>
          <w:highlight w:val="none"/>
        </w:rPr>
        <w:t>款规定向发包人支付由此产生的误期赔偿费。工程进度计划即使经监理工程师确认，也不能免除承包人按照合同约定应承担的任何责任和应履行的任何义务。</w:t>
      </w:r>
    </w:p>
    <w:p>
      <w:pPr>
        <w:pStyle w:val="13"/>
        <w:adjustRightInd w:val="0"/>
        <w:snapToGrid w:val="0"/>
        <w:spacing w:line="360" w:lineRule="auto"/>
        <w:ind w:right="-238"/>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ind w:right="-238"/>
        <w:outlineLvl w:val="2"/>
        <w:rPr>
          <w:rFonts w:ascii="仿宋" w:hAnsi="仿宋" w:eastAsia="仿宋" w:cs="Times New Roman"/>
          <w:b/>
          <w:bCs/>
          <w:color w:val="auto"/>
          <w:sz w:val="24"/>
          <w:szCs w:val="24"/>
          <w:highlight w:val="none"/>
        </w:rPr>
      </w:pPr>
      <w:bookmarkStart w:id="308" w:name="_Toc27746"/>
      <w:bookmarkStart w:id="309" w:name="_Toc21850"/>
      <w:bookmarkStart w:id="310" w:name="_Toc17022"/>
      <w:bookmarkStart w:id="311" w:name="_Toc10624856"/>
      <w:bookmarkStart w:id="312" w:name="_Toc8216"/>
      <w:bookmarkStart w:id="313" w:name="_Toc469384016"/>
      <w:bookmarkStart w:id="314" w:name="_Toc32373"/>
      <w:r>
        <w:rPr>
          <w:rFonts w:ascii="仿宋" w:hAnsi="仿宋" w:eastAsia="仿宋" w:cs="仿宋"/>
          <w:b/>
          <w:bCs/>
          <w:color w:val="auto"/>
          <w:sz w:val="24"/>
          <w:szCs w:val="24"/>
          <w:highlight w:val="none"/>
        </w:rPr>
        <w:t xml:space="preserve">34  </w:t>
      </w:r>
      <w:r>
        <w:rPr>
          <w:rFonts w:hint="eastAsia" w:ascii="仿宋" w:hAnsi="仿宋" w:eastAsia="仿宋" w:cs="仿宋"/>
          <w:b/>
          <w:bCs/>
          <w:color w:val="auto"/>
          <w:sz w:val="24"/>
          <w:szCs w:val="24"/>
          <w:highlight w:val="none"/>
        </w:rPr>
        <w:t>开工</w:t>
      </w:r>
      <w:bookmarkEnd w:id="308"/>
      <w:bookmarkEnd w:id="309"/>
      <w:bookmarkEnd w:id="310"/>
      <w:bookmarkEnd w:id="311"/>
      <w:bookmarkEnd w:id="312"/>
      <w:bookmarkEnd w:id="313"/>
      <w:bookmarkEnd w:id="314"/>
    </w:p>
    <w:p>
      <w:pPr>
        <w:pStyle w:val="13"/>
        <w:tabs>
          <w:tab w:val="left" w:pos="1320"/>
        </w:tabs>
        <w:adjustRightInd w:val="0"/>
        <w:snapToGrid w:val="0"/>
        <w:spacing w:line="360" w:lineRule="auto"/>
        <w:ind w:right="3"/>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529" name="文本框 531"/>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upright="1"/>
                    </wps:wsp>
                  </a:graphicData>
                </a:graphic>
              </wp:anchor>
            </w:drawing>
          </mc:Choice>
          <mc:Fallback>
            <w:pict>
              <v:shape id="文本框 531" o:spid="_x0000_s1026" o:spt="202" type="#_x0000_t202" style="position:absolute;left:0pt;margin-left:-9pt;margin-top:19.45pt;height:24.45pt;width:63pt;z-index:251791360;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4lYDVAAAA&#10;CQEAAA8AAAAAAAAAAQAgAAAAIgAAAGRycy9kb3ducmV2LnhtbFBLAQIUABQAAAAIAIdO4kB0O7Iw&#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ascii="仿宋" w:hAnsi="仿宋" w:eastAsia="仿宋" w:cs="仿宋"/>
          <w:b/>
          <w:bCs/>
          <w:color w:val="auto"/>
          <w:sz w:val="24"/>
          <w:szCs w:val="24"/>
          <w:highlight w:val="none"/>
        </w:rPr>
        <w:t xml:space="preserve">34.1    </w:t>
      </w:r>
    </w:p>
    <w:p>
      <w:pPr>
        <w:pStyle w:val="13"/>
        <w:adjustRightInd w:val="0"/>
        <w:snapToGrid w:val="0"/>
        <w:spacing w:line="360" w:lineRule="auto"/>
        <w:ind w:left="1619" w:leftChars="771" w:right="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工程开工必须具备法律规定的开工条件，并已经领取了施工许可证。</w:t>
      </w:r>
    </w:p>
    <w:p>
      <w:pPr>
        <w:pStyle w:val="13"/>
        <w:tabs>
          <w:tab w:val="left" w:pos="1320"/>
        </w:tabs>
        <w:adjustRightInd w:val="0"/>
        <w:snapToGrid w:val="0"/>
        <w:spacing w:line="360" w:lineRule="auto"/>
        <w:ind w:right="3"/>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530" name="文本框 53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upright="1"/>
                    </wps:wsp>
                  </a:graphicData>
                </a:graphic>
              </wp:anchor>
            </w:drawing>
          </mc:Choice>
          <mc:Fallback>
            <w:pict>
              <v:shape id="文本框 532" o:spid="_x0000_s1026" o:spt="202" type="#_x0000_t202" style="position:absolute;left:0pt;margin-left:-9pt;margin-top:19.1pt;height:23.4pt;width:63pt;z-index:251792384;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Fm6V9YA&#10;AAAJAQAADwAAAAAAAAABACAAAAAiAAAAZHJzL2Rvd25yZXYueG1sUEsBAhQAFAAAAAgAh07iQJ8b&#10;2x2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ascii="仿宋" w:hAnsi="仿宋" w:eastAsia="仿宋" w:cs="仿宋"/>
          <w:b/>
          <w:bCs/>
          <w:color w:val="auto"/>
          <w:sz w:val="24"/>
          <w:szCs w:val="24"/>
          <w:highlight w:val="none"/>
        </w:rPr>
        <w:t xml:space="preserve">34.2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ight="3"/>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承包人应在签订本合同后的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天内，向监理工程师提交开工申请书，并附上表明已做好开工准备的有关资料。除专用条款另有约定外，监理工程师应在本合同签订后的</w:t>
      </w:r>
      <w:r>
        <w:rPr>
          <w:rFonts w:ascii="仿宋" w:hAnsi="仿宋" w:eastAsia="仿宋" w:cs="仿宋"/>
          <w:color w:val="auto"/>
          <w:sz w:val="24"/>
          <w:szCs w:val="24"/>
          <w:highlight w:val="none"/>
        </w:rPr>
        <w:t>42</w:t>
      </w:r>
      <w:r>
        <w:rPr>
          <w:rFonts w:hint="eastAsia" w:ascii="仿宋" w:hAnsi="仿宋" w:eastAsia="仿宋" w:cs="仿宋"/>
          <w:color w:val="auto"/>
          <w:sz w:val="24"/>
          <w:szCs w:val="24"/>
          <w:highlight w:val="none"/>
        </w:rPr>
        <w:t>天内报发包人批准后向承包人发出开工令；承包人应在接到开工令后的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天内开工，并一直保持合同工程连续均衡施工，直至其被改变为止。</w:t>
      </w:r>
    </w:p>
    <w:p>
      <w:pPr>
        <w:pStyle w:val="13"/>
        <w:tabs>
          <w:tab w:val="left" w:pos="1320"/>
        </w:tabs>
        <w:adjustRightInd w:val="0"/>
        <w:snapToGrid w:val="0"/>
        <w:spacing w:line="360" w:lineRule="auto"/>
        <w:ind w:right="3"/>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531" name="文本框 533"/>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upright="1"/>
                    </wps:wsp>
                  </a:graphicData>
                </a:graphic>
              </wp:anchor>
            </w:drawing>
          </mc:Choice>
          <mc:Fallback>
            <w:pict>
              <v:shape id="文本框 533" o:spid="_x0000_s1026" o:spt="202" type="#_x0000_t202" style="position:absolute;left:0pt;margin-left:-9pt;margin-top:21.25pt;height:46.8pt;width:72pt;z-index:251793408;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eg&#10;pODYAAAACgEAAA8AAAAAAAAAAQAgAAAAIgAAAGRycy9kb3ducmV2LnhtbFBLAQIUABQAAAAIAIdO&#10;4kBtygHpsQEAAFEDAAAOAAAAAAAAAAEAIAAAACcBAABkcnMvZTJvRG9jLnhtbFBLBQYAAAAABgAG&#10;AFkBAABK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ascii="仿宋" w:hAnsi="仿宋" w:eastAsia="仿宋" w:cs="仿宋"/>
          <w:b/>
          <w:bCs/>
          <w:color w:val="auto"/>
          <w:sz w:val="24"/>
          <w:szCs w:val="24"/>
          <w:highlight w:val="none"/>
        </w:rPr>
        <w:t xml:space="preserve">34.3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ight="3"/>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承包人未能按照时开工，应在接到开工令后立即以书面形式向监理工程师提出延期开工的要求并说明理由。监理工程师应当在接到延期开工申请后的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小时内书面予以答复，否则视为同意。由此造成的损失和延误的工期由承包人承担</w:t>
      </w:r>
      <w:r>
        <w:rPr>
          <w:rFonts w:ascii="仿宋" w:hAnsi="仿宋" w:eastAsia="仿宋" w:cs="仿宋"/>
          <w:color w:val="auto"/>
          <w:sz w:val="24"/>
          <w:szCs w:val="24"/>
          <w:highlight w:val="none"/>
        </w:rPr>
        <w:t>.</w:t>
      </w:r>
    </w:p>
    <w:p>
      <w:pPr>
        <w:pStyle w:val="13"/>
        <w:tabs>
          <w:tab w:val="left" w:pos="1320"/>
        </w:tabs>
        <w:adjustRightInd w:val="0"/>
        <w:snapToGrid w:val="0"/>
        <w:spacing w:line="360" w:lineRule="auto"/>
        <w:ind w:right="3"/>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532" name="文本框 534"/>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upright="1"/>
                    </wps:wsp>
                  </a:graphicData>
                </a:graphic>
              </wp:anchor>
            </w:drawing>
          </mc:Choice>
          <mc:Fallback>
            <w:pict>
              <v:shape id="文本框 534" o:spid="_x0000_s1026" o:spt="202" type="#_x0000_t202" style="position:absolute;left:0pt;margin-left:-9pt;margin-top:18.7pt;height:44.75pt;width:72pt;z-index:251794432;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Qd2RLX&#10;AAAACgEAAA8AAAAAAAAAAQAgAAAAIgAAAGRycy9kb3ducmV2LnhtbFBLAQIUABQAAAAIAIdO4kC8&#10;JdE+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ascii="仿宋" w:hAnsi="仿宋" w:eastAsia="仿宋" w:cs="仿宋"/>
          <w:color w:val="auto"/>
          <w:sz w:val="24"/>
          <w:szCs w:val="24"/>
          <w:highlight w:val="none"/>
        </w:rPr>
        <w:t xml:space="preserve">34.4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ight="3"/>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因发包人的原因不能在第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款规定的时间内发出开工令的，监理工程师应至少提前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天以书面形式通知承包人推迟开工。由此造成的损失由发包人承担，开工日期相应顺延。监理工程师未能提前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天通知承包人推迟开工的，由此造成损失的扩大由发包人承担。</w:t>
      </w:r>
    </w:p>
    <w:p>
      <w:pPr>
        <w:pStyle w:val="13"/>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      </w:t>
      </w:r>
    </w:p>
    <w:p>
      <w:pPr>
        <w:pStyle w:val="13"/>
        <w:adjustRightInd w:val="0"/>
        <w:snapToGrid w:val="0"/>
        <w:outlineLvl w:val="2"/>
        <w:rPr>
          <w:rFonts w:ascii="仿宋" w:hAnsi="仿宋" w:eastAsia="仿宋" w:cs="Times New Roman"/>
          <w:b/>
          <w:bCs/>
          <w:color w:val="auto"/>
          <w:sz w:val="24"/>
          <w:szCs w:val="24"/>
          <w:highlight w:val="none"/>
        </w:rPr>
      </w:pPr>
      <w:bookmarkStart w:id="315" w:name="_Toc17349"/>
      <w:bookmarkStart w:id="316" w:name="_Toc469384017"/>
      <w:bookmarkStart w:id="317" w:name="_Toc21088"/>
      <w:bookmarkStart w:id="318" w:name="_Toc10530"/>
      <w:bookmarkStart w:id="319" w:name="_Toc11552"/>
      <w:bookmarkStart w:id="320" w:name="_Toc10624857"/>
      <w:bookmarkStart w:id="321" w:name="_Toc11853"/>
      <w:r>
        <w:rPr>
          <w:rFonts w:ascii="仿宋" w:hAnsi="仿宋" w:eastAsia="仿宋" w:cs="仿宋"/>
          <w:b/>
          <w:bCs/>
          <w:color w:val="auto"/>
          <w:sz w:val="24"/>
          <w:szCs w:val="24"/>
          <w:highlight w:val="none"/>
        </w:rPr>
        <w:t xml:space="preserve">35  </w:t>
      </w:r>
      <w:r>
        <w:rPr>
          <w:rFonts w:hint="eastAsia" w:ascii="仿宋" w:hAnsi="仿宋" w:eastAsia="仿宋" w:cs="仿宋"/>
          <w:b/>
          <w:bCs/>
          <w:color w:val="auto"/>
          <w:sz w:val="24"/>
          <w:szCs w:val="24"/>
          <w:highlight w:val="none"/>
        </w:rPr>
        <w:t>暂停施工和复工</w:t>
      </w:r>
      <w:bookmarkEnd w:id="315"/>
      <w:bookmarkEnd w:id="316"/>
      <w:bookmarkEnd w:id="317"/>
      <w:bookmarkEnd w:id="318"/>
      <w:bookmarkEnd w:id="319"/>
      <w:bookmarkEnd w:id="320"/>
      <w:bookmarkEnd w:id="321"/>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533" name="文本框 535"/>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upright="1"/>
                    </wps:wsp>
                  </a:graphicData>
                </a:graphic>
              </wp:anchor>
            </w:drawing>
          </mc:Choice>
          <mc:Fallback>
            <w:pict>
              <v:shape id="文本框 535" o:spid="_x0000_s1026" o:spt="202" type="#_x0000_t202" style="position:absolute;left:0pt;margin-left:-9pt;margin-top:20.6pt;height:39.15pt;width:72pt;z-index:251795456;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tU3o&#10;1wAAAAoBAAAPAAAAAAAAAAEAIAAAACIAAABkcnMvZG93bnJldi54bWxQSwECFAAUAAAACACHTuJA&#10;zgOiA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ascii="仿宋" w:hAnsi="仿宋" w:eastAsia="仿宋" w:cs="仿宋"/>
          <w:b/>
          <w:bCs/>
          <w:color w:val="auto"/>
          <w:sz w:val="24"/>
          <w:szCs w:val="24"/>
          <w:highlight w:val="none"/>
        </w:rPr>
        <w:t xml:space="preserve">35.1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监理工程师认为有必要时，可向承包人发出暂停施工令，并在</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小时内提出处理意见，承包人应按照监理工程师的指令停止施工。不论任何原因造成的暂停施工，暂停施工期间承包人应妥善保护已完工程并提供安全保障。</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小时内予以答复；逾期未答复的，视为承包人的暂停施工报告被认可。</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35.2</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534" name="文本框 536"/>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upright="1"/>
                    </wps:wsp>
                  </a:graphicData>
                </a:graphic>
              </wp:anchor>
            </w:drawing>
          </mc:Choice>
          <mc:Fallback>
            <w:pict>
              <v:shape id="文本框 536" o:spid="_x0000_s1026" o:spt="202" type="#_x0000_t202" style="position:absolute;left:0pt;margin-left:-9pt;margin-top:1.6pt;height:39.15pt;width:72pt;z-index:251796480;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Tc8tNUA&#10;AAAIAQAADwAAAAAAAAABACAAAAAiAAAAZHJzL2Rvd25yZXYueG1sUEsBAhQAFAAAAAgAh07iQNyI&#10;7ku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rPr>
        <w:t>承包人实施监理工程师的处理意见后，可向监理工程师提交复工报审表要求复工；监理工程师应在收到复工报审表后的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小时内予以答复。具备复工条件时，监理工程师应立即向承包人发出复工令，承包人应立即组织复工。监理工程师在收到复工报审表后的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小时内未答复也未提出处理意见的，承包人可自行复工，监理工程师应予认可。</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pPr>
        <w:pStyle w:val="13"/>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535" name="文本框 53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upright="1"/>
                    </wps:wsp>
                  </a:graphicData>
                </a:graphic>
              </wp:anchor>
            </w:drawing>
          </mc:Choice>
          <mc:Fallback>
            <w:pict>
              <v:shape id="文本框 537" o:spid="_x0000_s1026" o:spt="202" type="#_x0000_t202" style="position:absolute;left:0pt;margin-left:-9pt;margin-top:19.25pt;height:62.4pt;width:72pt;z-index:251797504;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cJ2&#10;d9cAAAAKAQAADwAAAAAAAAABACAAAAAiAAAAZHJzL2Rvd25yZXYueG1sUEsBAhQAFAAAAAgAh07i&#10;QLChqlSxAQAAUQMAAA4AAAAAAAAAAQAgAAAAJgEAAGRycy9lMm9Eb2MueG1sUEsFBgAAAAAGAAYA&#10;WQEAAEk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ascii="仿宋" w:hAnsi="仿宋" w:eastAsia="仿宋" w:cs="仿宋"/>
          <w:b/>
          <w:bCs/>
          <w:color w:val="auto"/>
          <w:sz w:val="24"/>
          <w:szCs w:val="24"/>
          <w:highlight w:val="none"/>
        </w:rPr>
        <w:t xml:space="preserve">35.3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非承包人的原因造成暂停施工持续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天以上时，承包人可向监理工程师提交复工报审表要求复工；监理工程师应在收到复工报审表后的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天内准许复工。如果在上述期限内监理工程师未予准许，则承包人可以作如下选择：</w:t>
      </w:r>
    </w:p>
    <w:p>
      <w:pPr>
        <w:pStyle w:val="13"/>
        <w:numPr>
          <w:ilvl w:val="0"/>
          <w:numId w:val="18"/>
        </w:numPr>
        <w:tabs>
          <w:tab w:val="left" w:pos="1080"/>
        </w:tabs>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如果此项停工仅影响合同工程的一部分时，则根据第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款规定及时提出工程变更，取消该部分工程，并书面通知发包人，抄送监理工程师和造价工程师；</w:t>
      </w:r>
    </w:p>
    <w:p>
      <w:pPr>
        <w:pStyle w:val="13"/>
        <w:numPr>
          <w:ilvl w:val="0"/>
          <w:numId w:val="18"/>
        </w:numPr>
        <w:tabs>
          <w:tab w:val="left" w:pos="1080"/>
        </w:tabs>
        <w:adjustRightInd w:val="0"/>
        <w:snapToGrid w:val="0"/>
        <w:spacing w:line="360" w:lineRule="auto"/>
        <w:ind w:left="1618" w:leftChars="770"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如果此项停工影响整个合同工程时，则根据第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款规定解除合同。</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因承包人的原因引起暂停施工持续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天以上，承包人不采取有效的复工措施，造成工期延误的，发包人可根据第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w:t>
      </w:r>
    </w:p>
    <w:p>
      <w:pPr>
        <w:pStyle w:val="13"/>
        <w:tabs>
          <w:tab w:val="left" w:pos="216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35.4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536" name="文本框 53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upright="1"/>
                    </wps:wsp>
                  </a:graphicData>
                </a:graphic>
              </wp:anchor>
            </w:drawing>
          </mc:Choice>
          <mc:Fallback>
            <w:pict>
              <v:shape id="文本框 538" o:spid="_x0000_s1026" o:spt="202" type="#_x0000_t202" style="position:absolute;left:0pt;margin-left:-9pt;margin-top:0.05pt;height:62.4pt;width:72pt;z-index:251798528;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dqHS9QA&#10;AAAIAQAADwAAAAAAAAABACAAAAAiAAAAZHJzL2Rvd25yZXYueG1sUEsBAhQAFAAAAAgAh07iQF4S&#10;U0SxAQAAUQMAAA4AAAAAAAAAAQAgAAAAIwEAAGRycy9lMm9Eb2MueG1sUEsFBgAAAAAGAAYAWQEA&#10;AEY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ascii="仿宋" w:hAnsi="仿宋" w:eastAsia="仿宋" w:cs="仿宋"/>
          <w:color w:val="auto"/>
          <w:sz w:val="24"/>
          <w:szCs w:val="24"/>
          <w:highlight w:val="none"/>
        </w:rPr>
        <w:t>因发包人的原因造成暂停施工且引起工期延误的，承包人有权要求发包人增加由此发生的费用和（或）顺延工期，并支付合理利润。</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因承包人下列原因造成的暂停施工，增加的费用和（或）延误的工期由承包人承担：</w:t>
      </w:r>
    </w:p>
    <w:p>
      <w:pPr>
        <w:pStyle w:val="13"/>
        <w:numPr>
          <w:ilvl w:val="0"/>
          <w:numId w:val="19"/>
        </w:numPr>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工作失误或违约造成的；</w:t>
      </w:r>
    </w:p>
    <w:p>
      <w:pPr>
        <w:pStyle w:val="13"/>
        <w:numPr>
          <w:ilvl w:val="0"/>
          <w:numId w:val="19"/>
        </w:numPr>
        <w:adjustRightInd w:val="0"/>
        <w:snapToGrid w:val="0"/>
        <w:spacing w:line="360" w:lineRule="auto"/>
        <w:ind w:left="2157" w:leftChars="770" w:hanging="540" w:hangingChars="2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为合同工程合理施工和安全保障所必需的；</w:t>
      </w:r>
    </w:p>
    <w:p>
      <w:pPr>
        <w:pStyle w:val="13"/>
        <w:numPr>
          <w:ilvl w:val="0"/>
          <w:numId w:val="19"/>
        </w:numPr>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施工现场气候条件（除不可抗力停工外）导致的；</w:t>
      </w:r>
    </w:p>
    <w:p>
      <w:pPr>
        <w:pStyle w:val="13"/>
        <w:numPr>
          <w:ilvl w:val="0"/>
          <w:numId w:val="19"/>
        </w:numPr>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擅自停工的；</w:t>
      </w:r>
    </w:p>
    <w:p>
      <w:pPr>
        <w:pStyle w:val="13"/>
        <w:numPr>
          <w:ilvl w:val="0"/>
          <w:numId w:val="19"/>
        </w:numPr>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专用条款约定的其他原因。</w:t>
      </w:r>
    </w:p>
    <w:p>
      <w:pPr>
        <w:pStyle w:val="13"/>
        <w:tabs>
          <w:tab w:val="left" w:pos="1980"/>
        </w:tabs>
        <w:adjustRightInd w:val="0"/>
        <w:snapToGrid w:val="0"/>
        <w:spacing w:line="360" w:lineRule="auto"/>
        <w:ind w:left="1617" w:leftChars="77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因不可抗力因素造成暂停施工的，按照第</w:t>
      </w:r>
      <w:r>
        <w:rPr>
          <w:rFonts w:ascii="仿宋" w:hAnsi="仿宋" w:eastAsia="仿宋" w:cs="仿宋"/>
          <w:color w:val="auto"/>
          <w:sz w:val="24"/>
          <w:szCs w:val="24"/>
          <w:highlight w:val="none"/>
        </w:rPr>
        <w:t>31</w:t>
      </w:r>
      <w:r>
        <w:rPr>
          <w:rFonts w:hint="eastAsia" w:ascii="仿宋" w:hAnsi="仿宋" w:eastAsia="仿宋" w:cs="仿宋"/>
          <w:color w:val="auto"/>
          <w:sz w:val="24"/>
          <w:szCs w:val="24"/>
          <w:highlight w:val="none"/>
        </w:rPr>
        <w:t>条规定处理。</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35.5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537" name="文本框 53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upright="1"/>
                    </wps:wsp>
                  </a:graphicData>
                </a:graphic>
              </wp:anchor>
            </w:drawing>
          </mc:Choice>
          <mc:Fallback>
            <w:pict>
              <v:shape id="文本框 539" o:spid="_x0000_s1026" o:spt="202" type="#_x0000_t202" style="position:absolute;left:0pt;margin-left:-5.25pt;margin-top:0.5pt;height:54.6pt;width:72pt;z-index:251799552;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tUs3tQA&#10;AAAJAQAADwAAAAAAAAABACAAAAAiAAAAZHJzL2Rvd25yZXYueG1sUEsBAhQAFAAAAAgAh07iQJTu&#10;/hixAQAAUQMAAA4AAAAAAAAAAQAgAAAAIwEAAGRycy9lMm9Eb2MueG1sUEsFBgAAAAAGAAYAWQEA&#10;AEYFAA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ascii="仿宋" w:hAnsi="仿宋" w:eastAsia="仿宋" w:cs="仿宋"/>
          <w:color w:val="auto"/>
          <w:sz w:val="24"/>
          <w:szCs w:val="24"/>
          <w:highlight w:val="none"/>
        </w:rPr>
        <w:t>如果发包人未按照合同约定支付工程进度款，经催告后在</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天内仍未支付的，承包人可以暂停施工，直至收到包括第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款规定的应付利息在内的所欠全部款项。由此造成的暂停施工，视为是因发包人的原因引起的，并按照第</w:t>
      </w:r>
      <w:r>
        <w:rPr>
          <w:rFonts w:ascii="仿宋" w:hAnsi="仿宋" w:eastAsia="仿宋" w:cs="仿宋"/>
          <w:color w:val="auto"/>
          <w:sz w:val="24"/>
          <w:szCs w:val="24"/>
          <w:highlight w:val="none"/>
        </w:rPr>
        <w:t>35.4</w:t>
      </w:r>
      <w:r>
        <w:rPr>
          <w:rFonts w:hint="eastAsia" w:ascii="仿宋" w:hAnsi="仿宋" w:eastAsia="仿宋" w:cs="仿宋"/>
          <w:color w:val="auto"/>
          <w:sz w:val="24"/>
          <w:szCs w:val="24"/>
          <w:highlight w:val="none"/>
        </w:rPr>
        <w:t>款规定处理。</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35.6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538" name="文本框 54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upright="1"/>
                    </wps:wsp>
                  </a:graphicData>
                </a:graphic>
              </wp:anchor>
            </w:drawing>
          </mc:Choice>
          <mc:Fallback>
            <w:pict>
              <v:shape id="文本框 540" o:spid="_x0000_s1026" o:spt="202" type="#_x0000_t202" style="position:absolute;left:0pt;margin-left:-9pt;margin-top:0.05pt;height:31.2pt;width:72pt;z-index:251800576;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wb0t0wAAAAcB&#10;AAAPAAAAAAAAAAEAIAAAACIAAABkcnMvZG93bnJldi54bWxQSwECFAAUAAAACACHTuJAIKUAJ64B&#10;AABRAwAADgAAAAAAAAABACAAAAAiAQAAZHJzL2Uyb0RvYy54bWxQSwUGAAAAAAYABgBZAQAAQgUA&#10;AAAA&#10;">
                <v:fill on="f" focussize="0,0"/>
                <v:stroke on="f"/>
                <v:imagedata o:title=""/>
                <o:lock v:ext="edit" aspectratio="f"/>
                <v:textbox>
                  <w:txbxContent>
                    <w:p>
                      <w:pPr>
                        <w:spacing w:line="22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ascii="仿宋" w:hAnsi="仿宋" w:eastAsia="仿宋" w:cs="仿宋"/>
          <w:color w:val="auto"/>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w:t>
      </w:r>
      <w:r>
        <w:rPr>
          <w:rFonts w:ascii="仿宋" w:hAnsi="仿宋" w:eastAsia="仿宋" w:cs="仿宋"/>
          <w:color w:val="auto"/>
          <w:sz w:val="24"/>
          <w:szCs w:val="24"/>
          <w:highlight w:val="none"/>
        </w:rPr>
        <w:t>35.4</w:t>
      </w:r>
      <w:r>
        <w:rPr>
          <w:rFonts w:hint="eastAsia" w:ascii="仿宋" w:hAnsi="仿宋" w:eastAsia="仿宋" w:cs="仿宋"/>
          <w:color w:val="auto"/>
          <w:sz w:val="24"/>
          <w:szCs w:val="24"/>
          <w:highlight w:val="none"/>
        </w:rPr>
        <w:t>款规定处理。</w:t>
      </w:r>
    </w:p>
    <w:p>
      <w:pPr>
        <w:pStyle w:val="13"/>
        <w:adjustRightInd w:val="0"/>
        <w:snapToGrid w:val="0"/>
        <w:spacing w:line="360" w:lineRule="auto"/>
        <w:outlineLvl w:val="2"/>
        <w:rPr>
          <w:rFonts w:ascii="仿宋" w:hAnsi="仿宋" w:eastAsia="仿宋" w:cs="Times New Roman"/>
          <w:b/>
          <w:bCs/>
          <w:color w:val="auto"/>
          <w:sz w:val="24"/>
          <w:szCs w:val="24"/>
          <w:highlight w:val="none"/>
        </w:rPr>
      </w:pPr>
      <w:bookmarkStart w:id="322" w:name="_Toc469384018"/>
      <w:bookmarkStart w:id="323" w:name="_Toc2868"/>
      <w:bookmarkStart w:id="324" w:name="_Toc10624858"/>
      <w:bookmarkStart w:id="325" w:name="_Toc6745"/>
      <w:bookmarkStart w:id="326" w:name="_Toc4332"/>
      <w:bookmarkStart w:id="327" w:name="_Toc31718"/>
      <w:bookmarkStart w:id="328" w:name="_Toc17725"/>
      <w:r>
        <w:rPr>
          <w:rFonts w:ascii="仿宋" w:hAnsi="仿宋" w:eastAsia="仿宋" w:cs="仿宋"/>
          <w:b/>
          <w:bCs/>
          <w:color w:val="auto"/>
          <w:sz w:val="24"/>
          <w:szCs w:val="24"/>
          <w:highlight w:val="none"/>
        </w:rPr>
        <w:t xml:space="preserve">36  </w:t>
      </w:r>
      <w:r>
        <w:rPr>
          <w:rFonts w:hint="eastAsia" w:ascii="仿宋" w:hAnsi="仿宋" w:eastAsia="仿宋" w:cs="仿宋"/>
          <w:b/>
          <w:bCs/>
          <w:color w:val="auto"/>
          <w:sz w:val="24"/>
          <w:szCs w:val="24"/>
          <w:highlight w:val="none"/>
        </w:rPr>
        <w:t>工期和工期延误</w:t>
      </w:r>
      <w:bookmarkEnd w:id="322"/>
      <w:bookmarkEnd w:id="323"/>
      <w:bookmarkEnd w:id="324"/>
      <w:bookmarkEnd w:id="325"/>
      <w:bookmarkEnd w:id="326"/>
      <w:bookmarkEnd w:id="327"/>
      <w:bookmarkEnd w:id="328"/>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36.1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合同工程的工期，由合同双方当事人根据广东省建设工程工期定额等有关规定，结合合同工程拟实施的施工组织设计或施工方案等情况，科学合理地编制工期，并在合同中约定。</w:t>
      </w: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539" name="文本框 541"/>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pPr>
                              <w:rPr>
                                <w:rFonts w:cs="Times New Roman"/>
                              </w:rPr>
                            </w:pPr>
                          </w:p>
                        </w:txbxContent>
                      </wps:txbx>
                      <wps:bodyPr upright="1"/>
                    </wps:wsp>
                  </a:graphicData>
                </a:graphic>
              </wp:anchor>
            </w:drawing>
          </mc:Choice>
          <mc:Fallback>
            <w:pict>
              <v:shape id="文本框 541" o:spid="_x0000_s1026" o:spt="202" type="#_x0000_t202" style="position:absolute;left:0pt;margin-left:-9pt;margin-top:31pt;height:26.45pt;width:77pt;z-index:251801600;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f96I&#10;1wAAAAoBAAAPAAAAAAAAAAEAIAAAACIAAABkcnMvZG93bnJldi54bWxQSwECFAAUAAAACACHTuJA&#10;1YAyCLABAABRAwAADgAAAAAAAAABACAAAAAmAQAAZHJzL2Uyb0RvYy54bWxQSwUGAAAAAAYABgBZ&#10;AQAASAUAAAAA&#10;">
                <v:fill on="f" focussize="0,0"/>
                <v:stroke on="f"/>
                <v:imagedata o:title=""/>
                <o:lock v:ext="edit" aspectratio="f"/>
                <v:textbox>
                  <w:txbxContent>
                    <w:p>
                      <w:pPr>
                        <w:rPr>
                          <w:rFonts w:cs="Times New Roman"/>
                        </w:rPr>
                      </w:pPr>
                    </w:p>
                  </w:txbxContent>
                </v:textbox>
              </v:shape>
            </w:pict>
          </mc:Fallback>
        </mc:AlternateContent>
      </w: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540" name="文本框 542"/>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upright="1"/>
                    </wps:wsp>
                  </a:graphicData>
                </a:graphic>
              </wp:anchor>
            </w:drawing>
          </mc:Choice>
          <mc:Fallback>
            <w:pict>
              <v:shape id="文本框 542"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yCmINUAAAAI&#10;AQAADwAAAAAAAAABACAAAAAiAAAAZHJzL2Rvd25yZXYueG1sUEsBAhQAFAAAAAgAh07iQN58B1mt&#10;AQAAUQMAAA4AAAAAAAAAAQAgAAAAJAEAAGRycy9lMm9Eb2MueG1sUEsFBgAAAAAGAAYAWQEAAEMF&#10;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sz w:val="24"/>
          <w:szCs w:val="24"/>
          <w:highlight w:val="none"/>
        </w:rPr>
        <w:t>如合同工期与广东省建设工程工期定额规定不一致的，需说明与省工期定额规定不一致的原因，并制定保障措施，确保质量、施工安全。</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36.2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71" w:leftChars="771" w:hanging="52" w:hangingChars="25"/>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541" name="文本框 543"/>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upright="1"/>
                    </wps:wsp>
                  </a:graphicData>
                </a:graphic>
              </wp:anchor>
            </w:drawing>
          </mc:Choice>
          <mc:Fallback>
            <w:pict>
              <v:shape id="文本框 543" o:spid="_x0000_s1026" o:spt="202" type="#_x0000_t202" style="position:absolute;left:0pt;margin-left:-9pt;margin-top:2.5pt;height:36.2pt;width:63pt;z-index:251803648;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yCmINUA&#10;AAAIAQAADwAAAAAAAAABACAAAAAiAAAAZHJzL2Rvd25yZXYueG1sUEsBAhQAFAAAAAgAh07iQP2F&#10;efG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sz w:val="24"/>
          <w:szCs w:val="24"/>
          <w:highlight w:val="none"/>
        </w:rPr>
        <w:t>合同双方当事人应在专用条款中约定合同工程的工期，工期从开工日期开始计算。合同中包括有多个单位工程的，应在专用条款中约定各单位工程的工期。</w:t>
      </w:r>
    </w:p>
    <w:p>
      <w:pPr>
        <w:pStyle w:val="13"/>
        <w:adjustRightInd w:val="0"/>
        <w:snapToGrid w:val="0"/>
        <w:spacing w:line="360" w:lineRule="auto"/>
        <w:ind w:right="-2"/>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36.3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542" name="文本框 544"/>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upright="1"/>
                    </wps:wsp>
                  </a:graphicData>
                </a:graphic>
              </wp:anchor>
            </w:drawing>
          </mc:Choice>
          <mc:Fallback>
            <w:pict>
              <v:shape id="文本框 544" o:spid="_x0000_s1026" o:spt="202" type="#_x0000_t202" style="position:absolute;left:0pt;margin-left:-9pt;margin-top:1.3pt;height:20.6pt;width:63pt;z-index:251804672;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x24I1QAA&#10;AAgBAAAPAAAAAAAAAAEAIAAAACIAAABkcnMvZG93bnJldi54bWxQSwECFAAUAAAACACHTuJAHPHC&#10;zq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sz w:val="24"/>
          <w:szCs w:val="24"/>
          <w:highlight w:val="none"/>
        </w:rPr>
        <w:t>合同履行期间，由于下列原因造成工期延误的，承包人有权要求发包人增加由此发生的费用和（或）顺延工期，并支付合理利润。本款发生顺延的工期，由承包人提出，经监理工程师核实后由合同双方当事人协商确定；协商不能达成一致的，由监理工程师暂定，通知承包人并抄报发包人。构成争议的，由合同双方当事人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发包人未能按照专用条款的约定提供施工设计图纸及其它开工条件；</w:t>
      </w:r>
    </w:p>
    <w:p>
      <w:pPr>
        <w:pStyle w:val="13"/>
        <w:adjustRightInd w:val="0"/>
        <w:snapToGrid w:val="0"/>
        <w:spacing w:line="420" w:lineRule="exact"/>
        <w:ind w:left="1680" w:leftChars="8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）发包人未能按照专用条款约定的时间支付工程预付款、绿色施工安全防护费和进度款；</w:t>
      </w:r>
    </w:p>
    <w:p>
      <w:pPr>
        <w:pStyle w:val="13"/>
        <w:adjustRightInd w:val="0"/>
        <w:snapToGrid w:val="0"/>
        <w:spacing w:line="420" w:lineRule="exact"/>
        <w:ind w:left="1680" w:leftChars="8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发包人代表或施工现场发包人雇用的其他人员造成的人为因素；</w:t>
      </w:r>
    </w:p>
    <w:p>
      <w:pPr>
        <w:pStyle w:val="13"/>
        <w:adjustRightInd w:val="0"/>
        <w:snapToGrid w:val="0"/>
        <w:spacing w:line="420" w:lineRule="exact"/>
        <w:ind w:left="2339" w:leftChars="771" w:hanging="720" w:hangingChars="3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监理工程师未按照合同约定及时提供所需指令、回复等；</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工程变更（含增加合同工作内容、改变合同的任何一项工作等）；</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工程量增加；</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一周内非承包人原因停水、停电、停气造成停工累计超过</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小时；</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不可抗力；</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发包人风险事件；</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）因发包人的原因导致的暂停施工；</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）非承包人失误、违约，以及监理工程师同意的工期顺延。</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）发包人造成工期延误的其他原因。</w:t>
      </w:r>
    </w:p>
    <w:p>
      <w:pPr>
        <w:pStyle w:val="13"/>
        <w:adjustRightInd w:val="0"/>
        <w:snapToGrid w:val="0"/>
        <w:spacing w:line="360" w:lineRule="auto"/>
        <w:ind w:right="-2"/>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36.4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543" name="文本框 5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wps:txbx>
                      <wps:bodyPr upright="1"/>
                    </wps:wsp>
                  </a:graphicData>
                </a:graphic>
              </wp:anchor>
            </w:drawing>
          </mc:Choice>
          <mc:Fallback>
            <w:pict>
              <v:shape id="文本框 545" o:spid="_x0000_s1026" o:spt="202" type="#_x0000_t202" style="position:absolute;left:0pt;margin-left:-9pt;margin-top:4.9pt;height:31.2pt;width:72pt;z-index:251805696;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luZrV&#10;AAAACAEAAA8AAAAAAAAAAQAgAAAAIgAAAGRycy9kb3ducmV2LnhtbFBLAQIUABQAAAAIAIdO4kDK&#10;zhsnsQEAAFEDAAAOAAAAAAAAAAEAIAAAACQBAABkcnMvZTJvRG9jLnhtbFBLBQYAAAAABgAGAFkB&#10;AABHBQAAAAA=&#10;">
                <v:fill on="f" focussize="0,0"/>
                <v:stroke on="f"/>
                <v:imagedata o:title=""/>
                <o:lock v:ext="edit" aspectratio="f"/>
                <v:textbox>
                  <w:txbxContent>
                    <w:p>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rPr>
        <w:t>当第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款所述事件首次发生后，承包人应在</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天内向监理工程师发出工期顺延意向书，并抄送发包人。承包人应在发出工期顺延意向书后的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天内，向监理工程师提交工期顺延报告和有关详细资料。</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544" name="文本框 5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upright="1"/>
                    </wps:wsp>
                  </a:graphicData>
                </a:graphic>
              </wp:anchor>
            </w:drawing>
          </mc:Choice>
          <mc:Fallback>
            <w:pict>
              <v:shape id="文本框 546" o:spid="_x0000_s1026" o:spt="202" type="#_x0000_t202" style="position:absolute;left:0pt;margin-left:-9pt;margin-top:3.7pt;height:31.2pt;width:72pt;z-index:251806720;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9yQatUA&#10;AAAIAQAADwAAAAAAAAABACAAAAAiAAAAZHJzL2Rvd25yZXYueG1sUEsBAhQAFAAAAAgAh07iQNhF&#10;V2+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ascii="仿宋" w:hAnsi="仿宋" w:eastAsia="仿宋" w:cs="仿宋"/>
          <w:color w:val="auto"/>
          <w:sz w:val="24"/>
          <w:szCs w:val="24"/>
          <w:highlight w:val="none"/>
        </w:rPr>
        <w:t>如果工期顺延事件持续发生时，承包人应每隔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天向监理工程师发出工期顺延意向书，并在工期顺延事件终结后的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天内，向监理工程师提交最终工期顺延报告和详细资料。</w:t>
      </w:r>
    </w:p>
    <w:p>
      <w:pPr>
        <w:pStyle w:val="13"/>
        <w:adjustRightInd w:val="0"/>
        <w:snapToGrid w:val="0"/>
        <w:spacing w:line="360" w:lineRule="auto"/>
        <w:ind w:right="-2"/>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545" name="文本框 547"/>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upright="1"/>
                    </wps:wsp>
                  </a:graphicData>
                </a:graphic>
              </wp:anchor>
            </w:drawing>
          </mc:Choice>
          <mc:Fallback>
            <w:pict>
              <v:shape id="文本框 547"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l0PH&#10;1gAAAAgBAAAPAAAAAAAAAAEAIAAAACIAAABkcnMvZG93bnJldi54bWxQSwECFAAUAAAACACHTuJA&#10;4yslBr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rPr>
        <w:t>如果承包人未能在第</w:t>
      </w:r>
      <w:r>
        <w:rPr>
          <w:rFonts w:ascii="仿宋" w:hAnsi="仿宋" w:eastAsia="仿宋" w:cs="仿宋"/>
          <w:color w:val="auto"/>
          <w:sz w:val="24"/>
          <w:szCs w:val="24"/>
          <w:highlight w:val="none"/>
        </w:rPr>
        <w:t>36.4</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款（发生时）规定的时间内提交（最终）工期顺延报告和详细资料，则视为该事件不影响施工进度或承包人放弃顺延工期的权利。</w:t>
      </w:r>
      <w:r>
        <w:rPr>
          <w:rFonts w:ascii="仿宋" w:hAnsi="仿宋" w:eastAsia="仿宋" w:cs="仿宋"/>
          <w:color w:val="auto"/>
          <w:sz w:val="24"/>
          <w:szCs w:val="24"/>
          <w:highlight w:val="none"/>
        </w:rPr>
        <w:t xml:space="preserve"> </w:t>
      </w:r>
    </w:p>
    <w:p>
      <w:pPr>
        <w:pStyle w:val="13"/>
        <w:adjustRightInd w:val="0"/>
        <w:snapToGrid w:val="0"/>
        <w:spacing w:line="360" w:lineRule="auto"/>
        <w:ind w:right="-2"/>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546" name="文本框 548"/>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upright="1"/>
                    </wps:wsp>
                  </a:graphicData>
                </a:graphic>
              </wp:anchor>
            </w:drawing>
          </mc:Choice>
          <mc:Fallback>
            <w:pict>
              <v:shape id="文本框 548" o:spid="_x0000_s1026" o:spt="202" type="#_x0000_t202" style="position:absolute;left:0pt;margin-left:-9pt;margin-top:3.6pt;height:38.1pt;width:72pt;z-index:251808768;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l0PH&#10;1gAAAAgBAAAPAAAAAAAAAAEAIAAAACIAAABkcnMvZG93bnJldi54bWxQSwECFAAUAAAACACHTuJA&#10;DZjcFrEBAABRAwAADgAAAAAAAAABACAAAAAlAQAAZHJzL2Uyb0RvYy54bWxQSwUGAAAAAAYABgBZ&#10;AQAASAU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rPr>
        <w:t>监理工程师应在收到承包人按照第</w:t>
      </w:r>
      <w:r>
        <w:rPr>
          <w:rFonts w:ascii="仿宋" w:hAnsi="仿宋" w:eastAsia="仿宋" w:cs="仿宋"/>
          <w:color w:val="auto"/>
          <w:sz w:val="24"/>
          <w:szCs w:val="24"/>
          <w:highlight w:val="none"/>
        </w:rPr>
        <w:t>36.4</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36.5</w:t>
      </w:r>
      <w:r>
        <w:rPr>
          <w:rFonts w:hint="eastAsia" w:ascii="仿宋" w:hAnsi="仿宋" w:eastAsia="仿宋" w:cs="仿宋"/>
          <w:color w:val="auto"/>
          <w:sz w:val="24"/>
          <w:szCs w:val="24"/>
          <w:highlight w:val="none"/>
        </w:rPr>
        <w:t>款（发生时）规定提交（最终）工期顺延报告和详细资料后的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天内，按照第</w:t>
      </w:r>
      <w:r>
        <w:rPr>
          <w:rFonts w:ascii="仿宋" w:hAnsi="仿宋" w:eastAsia="仿宋" w:cs="仿宋"/>
          <w:color w:val="auto"/>
          <w:sz w:val="24"/>
          <w:szCs w:val="24"/>
          <w:highlight w:val="none"/>
        </w:rPr>
        <w:t>36.3</w:t>
      </w:r>
      <w:r>
        <w:rPr>
          <w:rFonts w:hint="eastAsia" w:ascii="仿宋" w:hAnsi="仿宋" w:eastAsia="仿宋" w:cs="仿宋"/>
          <w:color w:val="auto"/>
          <w:sz w:val="24"/>
          <w:szCs w:val="24"/>
          <w:highlight w:val="none"/>
        </w:rPr>
        <w:t>款规定予以核实，或要求承包人进一步补充顺延工期的理由。合同双方当事人一旦协商确定顺延的工期，发包人应承担由此增加的费用，并向承包人支付合理利润。</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如果监理工程师在收到上述报告和资料后的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天内未予核实也未对承包人作出进一步要求，则视为监理工程师已认可承包人上述报告中提出的顺延工期天数。</w:t>
      </w:r>
    </w:p>
    <w:p>
      <w:pPr>
        <w:pStyle w:val="13"/>
        <w:adjustRightInd w:val="0"/>
        <w:snapToGrid w:val="0"/>
        <w:spacing w:line="360" w:lineRule="auto"/>
        <w:ind w:left="1626" w:leftChars="1" w:hanging="1624" w:hangingChars="674"/>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547" name="文本框 549"/>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upright="1"/>
                    </wps:wsp>
                  </a:graphicData>
                </a:graphic>
              </wp:anchor>
            </w:drawing>
          </mc:Choice>
          <mc:Fallback>
            <w:pict>
              <v:shape id="文本框 549" o:spid="_x0000_s1026" o:spt="202" type="#_x0000_t202" style="position:absolute;left:0pt;margin-left:-9pt;margin-top:3.6pt;height:46.75pt;width:72pt;z-index:251809792;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4qOK/W&#10;AAAACQEAAA8AAAAAAAAAAQAgAAAAIgAAAGRycy9kb3ducmV2LnhtbFBLAQIUABQAAAAIAIdO4kCB&#10;SwgX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ascii="仿宋" w:hAnsi="仿宋" w:eastAsia="仿宋" w:cs="仿宋"/>
          <w:color w:val="auto"/>
          <w:sz w:val="24"/>
          <w:szCs w:val="24"/>
          <w:highlight w:val="none"/>
        </w:rPr>
        <w:t>承包人未能按照合同进度计划完成工作，或因承包人的原因造成工期延误，发包人可按照本条规定的时限和第</w:t>
      </w:r>
      <w:r>
        <w:rPr>
          <w:rFonts w:ascii="仿宋" w:hAnsi="仿宋" w:eastAsia="仿宋" w:cs="仿宋"/>
          <w:color w:val="auto"/>
          <w:sz w:val="24"/>
          <w:szCs w:val="24"/>
          <w:highlight w:val="none"/>
        </w:rPr>
        <w:t>66.2</w:t>
      </w:r>
      <w:r>
        <w:rPr>
          <w:rFonts w:hint="eastAsia" w:ascii="仿宋" w:hAnsi="仿宋" w:eastAsia="仿宋" w:cs="仿宋"/>
          <w:color w:val="auto"/>
          <w:sz w:val="24"/>
          <w:szCs w:val="24"/>
          <w:highlight w:val="none"/>
        </w:rPr>
        <w:t>款规定要求承包人支付该支付期的误期赔偿费。</w:t>
      </w:r>
    </w:p>
    <w:p>
      <w:pPr>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36.9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807" name="文本框 550"/>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文本框 550" o:spid="_x0000_s1026" o:spt="202" type="#_x0000_t202" style="position:absolute;left:0pt;margin-left:-5.1pt;margin-top:5.15pt;height:35.75pt;width:72.7pt;z-index:252076032;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a2K6PVAAAA&#10;CQEAAA8AAAAAAAAAAQAgAAAAIgAAAGRycy9kb3ducmV2LnhtbFBLAQIUABQAAAAIAIdO4kBskhah&#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pPr>
        <w:pStyle w:val="13"/>
        <w:tabs>
          <w:tab w:val="left" w:pos="540"/>
        </w:tabs>
        <w:adjustRightInd w:val="0"/>
        <w:snapToGrid w:val="0"/>
        <w:spacing w:before="312" w:beforeLines="100"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29" w:name="_Toc15114"/>
      <w:bookmarkStart w:id="330" w:name="_Toc19964"/>
      <w:bookmarkStart w:id="331" w:name="_Toc29757"/>
      <w:bookmarkStart w:id="332" w:name="_Toc18078"/>
      <w:bookmarkStart w:id="333" w:name="_Toc469384019"/>
      <w:bookmarkStart w:id="334" w:name="_Toc10624859"/>
      <w:bookmarkStart w:id="335" w:name="_Toc19234"/>
      <w:r>
        <w:rPr>
          <w:rFonts w:ascii="仿宋" w:hAnsi="仿宋" w:eastAsia="仿宋" w:cs="仿宋"/>
          <w:b/>
          <w:bCs/>
          <w:color w:val="auto"/>
          <w:sz w:val="24"/>
          <w:szCs w:val="24"/>
          <w:highlight w:val="none"/>
        </w:rPr>
        <w:t xml:space="preserve">37  </w:t>
      </w:r>
      <w:r>
        <w:rPr>
          <w:rFonts w:hint="eastAsia" w:ascii="仿宋" w:hAnsi="仿宋" w:eastAsia="仿宋" w:cs="仿宋"/>
          <w:b/>
          <w:bCs/>
          <w:color w:val="auto"/>
          <w:sz w:val="24"/>
          <w:szCs w:val="24"/>
          <w:highlight w:val="none"/>
        </w:rPr>
        <w:t>加快进度</w:t>
      </w:r>
      <w:bookmarkEnd w:id="329"/>
      <w:bookmarkEnd w:id="330"/>
      <w:bookmarkEnd w:id="331"/>
      <w:bookmarkEnd w:id="332"/>
      <w:bookmarkEnd w:id="333"/>
      <w:bookmarkEnd w:id="334"/>
      <w:bookmarkEnd w:id="335"/>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548" name="文本框 551"/>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upright="1"/>
                    </wps:wsp>
                  </a:graphicData>
                </a:graphic>
              </wp:anchor>
            </w:drawing>
          </mc:Choice>
          <mc:Fallback>
            <w:pict>
              <v:shape id="文本框 551" o:spid="_x0000_s1026" o:spt="202" type="#_x0000_t202" style="position:absolute;left:0pt;margin-left:-9pt;margin-top:12.65pt;height:42.55pt;width:72pt;z-index:251810816;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4NFGDX&#10;AAAACgEAAA8AAAAAAAAAAQAgAAAAIgAAAGRycy9kb3ducmV2LnhtbFBLAQIUABQAAAAIAIdO4kAz&#10;4OTUrwEAAFEDAAAOAAAAAAAAAAEAIAAAACYBAABkcnMvZTJvRG9jLnhtbFBLBQYAAAAABgAGAFkB&#10;AABHBQAAAAA=&#10;">
                <v:fill on="f" focussize="0,0"/>
                <v:stroke on="f"/>
                <v:imagedata o:title=""/>
                <o:lock v:ext="edit" aspectratio="f"/>
                <v:textbox>
                  <w:txbxContent>
                    <w:p>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ascii="仿宋" w:hAnsi="仿宋" w:eastAsia="仿宋" w:cs="仿宋"/>
          <w:b/>
          <w:bCs/>
          <w:color w:val="auto"/>
          <w:sz w:val="24"/>
          <w:szCs w:val="24"/>
          <w:highlight w:val="none"/>
        </w:rPr>
        <w:t xml:space="preserve">37.1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在非发包人延误工期的情况下，如果监理工程师书面指出承包人实施合同工程或其任何部分的进度过慢，迟于进度计划或不能按期竣工，则承包人应按照第</w:t>
      </w:r>
      <w:r>
        <w:rPr>
          <w:rFonts w:ascii="仿宋" w:hAnsi="仿宋" w:eastAsia="仿宋" w:cs="仿宋"/>
          <w:color w:val="auto"/>
          <w:sz w:val="24"/>
          <w:szCs w:val="24"/>
          <w:highlight w:val="none"/>
        </w:rPr>
        <w:t>33.4</w:t>
      </w:r>
      <w:r>
        <w:rPr>
          <w:rFonts w:hint="eastAsia" w:ascii="仿宋" w:hAnsi="仿宋" w:eastAsia="仿宋" w:cs="仿宋"/>
          <w:color w:val="auto"/>
          <w:sz w:val="24"/>
          <w:szCs w:val="24"/>
          <w:highlight w:val="none"/>
        </w:rPr>
        <w:t>款规定采取改进措施，加快工程进度。</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如果承包人在接到监理工程师通知后的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天内，未能采取加快工程进度的措施，致使实际进度进一步延迟；或承包人虽然采取了改进措施，仍无法按期竣工，监理工程师应立即报告发包人，并抄送承包人。发包人可按照第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ascii="仿宋" w:hAnsi="仿宋" w:eastAsia="仿宋" w:cs="仿宋"/>
          <w:color w:val="auto"/>
          <w:sz w:val="24"/>
          <w:szCs w:val="24"/>
          <w:highlight w:val="none"/>
        </w:rPr>
        <w:t xml:space="preserve"> </w:t>
      </w:r>
    </w:p>
    <w:p>
      <w:pPr>
        <w:pStyle w:val="13"/>
        <w:tabs>
          <w:tab w:val="left" w:pos="132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549" name="文本框 552"/>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upright="1"/>
                    </wps:wsp>
                  </a:graphicData>
                </a:graphic>
              </wp:anchor>
            </w:drawing>
          </mc:Choice>
          <mc:Fallback>
            <w:pict>
              <v:shape id="文本框 552" o:spid="_x0000_s1026" o:spt="202" type="#_x0000_t202" style="position:absolute;left:0pt;margin-left:-9pt;margin-top:21.9pt;height:38.95pt;width:72pt;z-index:251811840;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Wfa7zX&#10;AAAACgEAAA8AAAAAAAAAAQAgAAAAIgAAAGRycy9kb3ducmV2LnhtbFBLAQIUABQAAAAIAIdO4kBw&#10;I9I8rwEAAFEDAAAOAAAAAAAAAAEAIAAAACY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ascii="仿宋" w:hAnsi="仿宋" w:eastAsia="仿宋" w:cs="仿宋"/>
          <w:b/>
          <w:bCs/>
          <w:color w:val="auto"/>
          <w:sz w:val="24"/>
          <w:szCs w:val="24"/>
          <w:highlight w:val="none"/>
        </w:rPr>
        <w:t xml:space="preserve">37.2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天内完成编制并向发包人提交提前竣工建议书，该建议书的内容至少应包括：</w:t>
      </w:r>
    </w:p>
    <w:p>
      <w:pPr>
        <w:pStyle w:val="13"/>
        <w:numPr>
          <w:ilvl w:val="0"/>
          <w:numId w:val="20"/>
        </w:numPr>
        <w:tabs>
          <w:tab w:val="left" w:pos="198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加快进度拟采取的措施；</w:t>
      </w:r>
    </w:p>
    <w:p>
      <w:pPr>
        <w:pStyle w:val="13"/>
        <w:numPr>
          <w:ilvl w:val="0"/>
          <w:numId w:val="20"/>
        </w:numPr>
        <w:tabs>
          <w:tab w:val="left" w:pos="198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加快进度后的进度计划</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以及与原计划的对比；</w:t>
      </w:r>
    </w:p>
    <w:p>
      <w:pPr>
        <w:pStyle w:val="13"/>
        <w:numPr>
          <w:ilvl w:val="0"/>
          <w:numId w:val="20"/>
        </w:numPr>
        <w:tabs>
          <w:tab w:val="left" w:pos="198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加快进度所需的合同价款增加额（含第</w:t>
      </w:r>
      <w:r>
        <w:rPr>
          <w:rFonts w:ascii="仿宋" w:hAnsi="仿宋" w:eastAsia="仿宋" w:cs="仿宋"/>
          <w:color w:val="auto"/>
          <w:sz w:val="24"/>
          <w:szCs w:val="24"/>
          <w:highlight w:val="none"/>
        </w:rPr>
        <w:t>66.1</w:t>
      </w:r>
      <w:r>
        <w:rPr>
          <w:rFonts w:hint="eastAsia" w:ascii="仿宋" w:hAnsi="仿宋" w:eastAsia="仿宋" w:cs="仿宋"/>
          <w:color w:val="auto"/>
          <w:sz w:val="24"/>
          <w:szCs w:val="24"/>
          <w:highlight w:val="none"/>
        </w:rPr>
        <w:t>款规定的提前竣工奖）。该增加额按照第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72.5</w:t>
      </w:r>
      <w:r>
        <w:rPr>
          <w:rFonts w:hint="eastAsia" w:ascii="仿宋" w:hAnsi="仿宋" w:eastAsia="仿宋" w:cs="仿宋"/>
          <w:color w:val="auto"/>
          <w:sz w:val="24"/>
          <w:szCs w:val="24"/>
          <w:highlight w:val="none"/>
        </w:rPr>
        <w:t>款规定计算。</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发包人应在接到建议书后的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天内予以答复。如果发包人接受了该建议书，则监理工程师应以书面形式发出变更指令，相应调整工期；造价工程师应核实并相应调整合同价款。</w:t>
      </w:r>
    </w:p>
    <w:p>
      <w:pPr>
        <w:pStyle w:val="13"/>
        <w:adjustRightInd w:val="0"/>
        <w:snapToGrid w:val="0"/>
        <w:spacing w:line="240" w:lineRule="exact"/>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36" w:name="_Toc2510"/>
      <w:bookmarkStart w:id="337" w:name="_Toc10624860"/>
      <w:bookmarkStart w:id="338" w:name="_Toc24500"/>
      <w:bookmarkStart w:id="339" w:name="_Toc14171"/>
      <w:bookmarkStart w:id="340" w:name="_Toc469384020"/>
      <w:bookmarkStart w:id="341" w:name="_Toc12842"/>
      <w:bookmarkStart w:id="342" w:name="_Toc14052"/>
      <w:r>
        <w:rPr>
          <w:rFonts w:ascii="仿宋" w:hAnsi="仿宋" w:eastAsia="仿宋" w:cs="仿宋"/>
          <w:b/>
          <w:bCs/>
          <w:color w:val="auto"/>
          <w:sz w:val="24"/>
          <w:szCs w:val="24"/>
          <w:highlight w:val="none"/>
        </w:rPr>
        <w:t xml:space="preserve">38  </w:t>
      </w:r>
      <w:r>
        <w:rPr>
          <w:rFonts w:hint="eastAsia" w:ascii="仿宋" w:hAnsi="仿宋" w:eastAsia="仿宋" w:cs="仿宋"/>
          <w:b/>
          <w:bCs/>
          <w:color w:val="auto"/>
          <w:sz w:val="24"/>
          <w:szCs w:val="24"/>
          <w:highlight w:val="none"/>
        </w:rPr>
        <w:t>竣工日期</w:t>
      </w:r>
      <w:bookmarkEnd w:id="336"/>
      <w:bookmarkEnd w:id="337"/>
      <w:bookmarkEnd w:id="338"/>
      <w:bookmarkEnd w:id="339"/>
      <w:bookmarkEnd w:id="340"/>
      <w:bookmarkEnd w:id="341"/>
      <w:bookmarkEnd w:id="342"/>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550" name="文本框 55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upright="1"/>
                    </wps:wsp>
                  </a:graphicData>
                </a:graphic>
              </wp:anchor>
            </w:drawing>
          </mc:Choice>
          <mc:Fallback>
            <w:pict>
              <v:shape id="文本框 553" o:spid="_x0000_s1026" o:spt="202" type="#_x0000_t202" style="position:absolute;left:0pt;margin-left:-10.5pt;margin-top:10.7pt;height:31.2pt;width:77pt;z-index:251812864;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OHVX&#10;1wAAAAkBAAAPAAAAAAAAAAEAIAAAACIAAABkcnMvZG93bnJldi54bWxQSwECFAAUAAAACACHTuJA&#10;UP2Ppb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ascii="仿宋" w:hAnsi="仿宋" w:eastAsia="仿宋" w:cs="仿宋"/>
          <w:b/>
          <w:bCs/>
          <w:color w:val="auto"/>
          <w:sz w:val="24"/>
          <w:szCs w:val="24"/>
          <w:highlight w:val="none"/>
        </w:rPr>
        <w:t xml:space="preserve">38.1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合同双方当事人应在协议书和专用条款中约定合同工程的计划竣工日期。</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551" name="文本框 554"/>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upright="1"/>
                    </wps:wsp>
                  </a:graphicData>
                </a:graphic>
              </wp:anchor>
            </w:drawing>
          </mc:Choice>
          <mc:Fallback>
            <w:pict>
              <v:shape id="文本框 554" o:spid="_x0000_s1026" o:spt="202" type="#_x0000_t202" style="position:absolute;left:0pt;margin-left:-9pt;margin-top:0.45pt;height:31.2pt;width:77pt;z-index:25181388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CZocbV&#10;AAAABwEAAA8AAAAAAAAAAQAgAAAAIgAAAGRycy9kb3ducmV2LnhtbFBLAQIUABQAAAAIAIdO4kAW&#10;23QU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rPr>
        <w:t>除发生不可抗力事件致使发包人不能按时竣工验收外，实际竣工日期按照下列情况分别确定：</w:t>
      </w:r>
    </w:p>
    <w:p>
      <w:pPr>
        <w:pStyle w:val="13"/>
        <w:numPr>
          <w:ilvl w:val="0"/>
          <w:numId w:val="21"/>
        </w:numPr>
        <w:tabs>
          <w:tab w:val="left" w:pos="1980"/>
          <w:tab w:val="left" w:pos="216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工程经竣工验收合格的，以承包人提交竣工验收申请报告之日为实际竣工日期；</w:t>
      </w:r>
    </w:p>
    <w:p>
      <w:pPr>
        <w:pStyle w:val="13"/>
        <w:tabs>
          <w:tab w:val="left" w:pos="1980"/>
          <w:tab w:val="left" w:pos="2160"/>
        </w:tabs>
        <w:adjustRightInd w:val="0"/>
        <w:snapToGrid w:val="0"/>
        <w:spacing w:line="360" w:lineRule="auto"/>
        <w:ind w:left="1613"/>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承包人已按照第</w:t>
      </w:r>
      <w:r>
        <w:rPr>
          <w:rFonts w:ascii="仿宋" w:hAnsi="仿宋" w:eastAsia="仿宋" w:cs="仿宋"/>
          <w:color w:val="auto"/>
          <w:sz w:val="24"/>
          <w:szCs w:val="24"/>
          <w:highlight w:val="none"/>
        </w:rPr>
        <w:t>57.2</w:t>
      </w:r>
      <w:r>
        <w:rPr>
          <w:rFonts w:hint="eastAsia" w:ascii="仿宋" w:hAnsi="仿宋" w:eastAsia="仿宋" w:cs="仿宋"/>
          <w:color w:val="auto"/>
          <w:sz w:val="24"/>
          <w:szCs w:val="24"/>
          <w:highlight w:val="none"/>
        </w:rPr>
        <w:t>款规定提交竣工验收申请报告，但发包人未按照第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款规定完成合同工程验收的，以承包人提交竣工验收申请报告之日为实际竣工日期；</w:t>
      </w:r>
    </w:p>
    <w:p>
      <w:pPr>
        <w:pStyle w:val="13"/>
        <w:tabs>
          <w:tab w:val="left" w:pos="1980"/>
          <w:tab w:val="left" w:pos="2160"/>
        </w:tabs>
        <w:adjustRightInd w:val="0"/>
        <w:snapToGrid w:val="0"/>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工程未经竣工验收，发包人擅自使用的，以转移占有工程之日为实际竣工日期。</w:t>
      </w:r>
    </w:p>
    <w:p>
      <w:pPr>
        <w:pStyle w:val="13"/>
        <w:adjustRightInd w:val="0"/>
        <w:snapToGrid w:val="0"/>
        <w:spacing w:line="360" w:lineRule="auto"/>
        <w:ind w:left="1626" w:leftChars="1" w:hanging="1624" w:hangingChars="674"/>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38.3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552" name="文本框 555"/>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upright="1"/>
                    </wps:wsp>
                  </a:graphicData>
                </a:graphic>
              </wp:anchor>
            </w:drawing>
          </mc:Choice>
          <mc:Fallback>
            <w:pict>
              <v:shape id="文本框 555" o:spid="_x0000_s1026" o:spt="202" type="#_x0000_t202" style="position:absolute;left:0pt;margin-left:-9pt;margin-top:3.75pt;height:35.9pt;width:72pt;z-index:251814912;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BDNytUA&#10;AAAIAQAADwAAAAAAAAABACAAAAAiAAAAZHJzL2Rvd25yZXYueG1sUEsBAhQAFAAAAAgAh07iQPlN&#10;qXm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sz w:val="24"/>
          <w:szCs w:val="24"/>
          <w:highlight w:val="none"/>
        </w:rPr>
        <w:t>因发包人的原因导致实际竣工日期迟于计划竣工日期的，发包人应承担由此增加的费用和（或）延误的工期，并向承包人支付合理利润。</w:t>
      </w:r>
    </w:p>
    <w:p>
      <w:pPr>
        <w:spacing w:line="360" w:lineRule="auto"/>
        <w:ind w:left="1619" w:leftChars="771" w:firstLine="60" w:firstLineChars="25"/>
        <w:rPr>
          <w:rFonts w:ascii="仿宋" w:hAnsi="仿宋" w:eastAsia="仿宋" w:cs="Times New Roman"/>
          <w:caps/>
          <w:color w:val="auto"/>
          <w:sz w:val="24"/>
          <w:szCs w:val="24"/>
          <w:highlight w:val="none"/>
        </w:rPr>
      </w:pPr>
      <w:r>
        <w:rPr>
          <w:rFonts w:hint="eastAsia" w:ascii="仿宋" w:hAnsi="仿宋" w:eastAsia="仿宋" w:cs="仿宋"/>
          <w:color w:val="auto"/>
          <w:sz w:val="24"/>
          <w:szCs w:val="24"/>
          <w:highlight w:val="none"/>
        </w:rPr>
        <w:t>因承包人的原因导致实际竣工日期迟于计划竣工日期的，承包人应按照第</w:t>
      </w:r>
      <w:r>
        <w:rPr>
          <w:rFonts w:ascii="仿宋" w:hAnsi="仿宋" w:eastAsia="仿宋" w:cs="仿宋"/>
          <w:color w:val="auto"/>
          <w:sz w:val="24"/>
          <w:szCs w:val="24"/>
          <w:highlight w:val="none"/>
        </w:rPr>
        <w:t>40</w:t>
      </w:r>
      <w:r>
        <w:rPr>
          <w:rFonts w:hint="eastAsia" w:ascii="仿宋" w:hAnsi="仿宋" w:eastAsia="仿宋" w:cs="仿宋"/>
          <w:color w:val="auto"/>
          <w:sz w:val="24"/>
          <w:szCs w:val="24"/>
          <w:highlight w:val="none"/>
        </w:rPr>
        <w:t>条规定</w:t>
      </w:r>
      <w:r>
        <w:rPr>
          <w:rFonts w:hint="eastAsia" w:ascii="仿宋" w:hAnsi="仿宋" w:eastAsia="仿宋" w:cs="仿宋"/>
          <w:caps/>
          <w:color w:val="auto"/>
          <w:sz w:val="24"/>
          <w:szCs w:val="24"/>
          <w:highlight w:val="none"/>
        </w:rPr>
        <w:t>赔偿发包人由此造成的损失，并向发包人支付误期赔偿费。</w:t>
      </w:r>
    </w:p>
    <w:p>
      <w:pPr>
        <w:rPr>
          <w:rFonts w:ascii="仿宋" w:hAnsi="仿宋" w:eastAsia="仿宋" w:cs="仿宋"/>
          <w:caps/>
          <w:color w:val="auto"/>
          <w:sz w:val="24"/>
          <w:szCs w:val="24"/>
          <w:highlight w:val="none"/>
          <w:u w:val="single"/>
        </w:rPr>
      </w:pPr>
      <w:r>
        <w:rPr>
          <w:rFonts w:ascii="仿宋" w:hAnsi="仿宋" w:eastAsia="仿宋" w:cs="仿宋"/>
          <w:b/>
          <w:bCs/>
          <w:caps/>
          <w:color w:val="auto"/>
          <w:sz w:val="24"/>
          <w:szCs w:val="24"/>
          <w:highlight w:val="none"/>
          <w:u w:val="single"/>
        </w:rPr>
        <w:t xml:space="preserve">                                                                                    </w:t>
      </w:r>
      <w:r>
        <w:rPr>
          <w:rFonts w:ascii="仿宋" w:hAnsi="仿宋" w:eastAsia="仿宋" w:cs="仿宋"/>
          <w:cap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343" w:name="_Toc469384021"/>
      <w:bookmarkStart w:id="344" w:name="_Toc9738"/>
      <w:bookmarkStart w:id="345" w:name="_Toc28714"/>
      <w:bookmarkStart w:id="346" w:name="_Toc735"/>
      <w:bookmarkStart w:id="347" w:name="_Toc10624861"/>
      <w:bookmarkStart w:id="348" w:name="_Toc22790"/>
      <w:bookmarkStart w:id="349" w:name="_Toc16758"/>
      <w:r>
        <w:rPr>
          <w:rFonts w:ascii="仿宋" w:hAnsi="仿宋" w:eastAsia="仿宋" w:cs="仿宋"/>
          <w:b/>
          <w:bCs/>
          <w:color w:val="auto"/>
          <w:sz w:val="24"/>
          <w:szCs w:val="24"/>
          <w:highlight w:val="none"/>
        </w:rPr>
        <w:t xml:space="preserve">39  </w:t>
      </w:r>
      <w:r>
        <w:rPr>
          <w:rFonts w:hint="eastAsia" w:ascii="仿宋" w:hAnsi="仿宋" w:eastAsia="仿宋" w:cs="仿宋"/>
          <w:b/>
          <w:bCs/>
          <w:color w:val="auto"/>
          <w:sz w:val="24"/>
          <w:szCs w:val="24"/>
          <w:highlight w:val="none"/>
        </w:rPr>
        <w:t>提前竣工</w:t>
      </w:r>
      <w:bookmarkEnd w:id="343"/>
      <w:bookmarkEnd w:id="344"/>
      <w:bookmarkEnd w:id="345"/>
      <w:bookmarkEnd w:id="346"/>
      <w:bookmarkEnd w:id="347"/>
      <w:bookmarkEnd w:id="348"/>
      <w:bookmarkEnd w:id="349"/>
    </w:p>
    <w:p>
      <w:pPr>
        <w:pStyle w:val="13"/>
        <w:adjustRightInd w:val="0"/>
        <w:snapToGrid w:val="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39.1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553" name="文本框 55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upright="1"/>
                    </wps:wsp>
                  </a:graphicData>
                </a:graphic>
              </wp:anchor>
            </w:drawing>
          </mc:Choice>
          <mc:Fallback>
            <w:pict>
              <v:shape id="文本框 556" o:spid="_x0000_s1026" o:spt="202" type="#_x0000_t202" style="position:absolute;left:0pt;margin-left:-5.25pt;margin-top:2.4pt;height:31.2pt;width:77pt;z-index:251815936;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YdP4/V&#10;AAAACAEAAA8AAAAAAAAAAQAgAAAAIgAAAGRycy9kb3ducmV2LnhtbFBLAQIUABQAAAAIAIdO4kAR&#10;L/if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rPr>
        <w:t>发包人要求承包人提前竣工，或承包人按照第</w:t>
      </w:r>
      <w:r>
        <w:rPr>
          <w:rFonts w:ascii="仿宋" w:hAnsi="仿宋" w:eastAsia="仿宋" w:cs="仿宋"/>
          <w:color w:val="auto"/>
          <w:sz w:val="24"/>
          <w:szCs w:val="24"/>
          <w:highlight w:val="none"/>
        </w:rPr>
        <w:t>37.2</w:t>
      </w:r>
      <w:r>
        <w:rPr>
          <w:rFonts w:hint="eastAsia" w:ascii="仿宋" w:hAnsi="仿宋" w:eastAsia="仿宋" w:cs="仿宋"/>
          <w:color w:val="auto"/>
          <w:sz w:val="24"/>
          <w:szCs w:val="24"/>
          <w:highlight w:val="none"/>
        </w:rPr>
        <w:t>款规定提交提前竣工建议书为发包人接受的，监理工程师应与承包人商定采取加快工程进度的措施，并修订合同工程进度计划。</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39.2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554" name="文本框 55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upright="1"/>
                    </wps:wsp>
                  </a:graphicData>
                </a:graphic>
              </wp:anchor>
            </w:drawing>
          </mc:Choice>
          <mc:Fallback>
            <w:pict>
              <v:shape id="文本框 557" o:spid="_x0000_s1026" o:spt="202" type="#_x0000_t202" style="position:absolute;left:0pt;margin-left:-9pt;margin-top:0.45pt;height:31.2pt;width:77pt;z-index:251816960;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CZocbV&#10;AAAABwEAAA8AAAAAAAAAAQAgAAAAIgAAAGRycy9kb3ducmV2LnhtbFBLAQIUABQAAAAIAIdO4kAf&#10;E+dp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rPr>
        <w:t>提前竣工天数按照第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款规定确定的计划竣工天数减去实际竣工天数计算，其公式为：</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提前竣工天数</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计划竣工天数</w:t>
      </w:r>
      <w:r>
        <w:rPr>
          <w:rFonts w:ascii="仿宋" w:hAnsi="仿宋" w:eastAsia="仿宋" w:cs="仿宋"/>
          <w:color w:val="auto"/>
          <w:sz w:val="24"/>
          <w:szCs w:val="24"/>
          <w:highlight w:val="none"/>
        </w:rPr>
        <w:t xml:space="preserve"> — </w:t>
      </w:r>
      <w:r>
        <w:rPr>
          <w:rFonts w:hint="eastAsia" w:ascii="仿宋" w:hAnsi="仿宋" w:eastAsia="仿宋" w:cs="仿宋"/>
          <w:color w:val="auto"/>
          <w:sz w:val="24"/>
          <w:szCs w:val="24"/>
          <w:highlight w:val="none"/>
        </w:rPr>
        <w:t>实际竣工天数</w:t>
      </w:r>
    </w:p>
    <w:p>
      <w:pPr>
        <w:pStyle w:val="13"/>
        <w:tabs>
          <w:tab w:val="left" w:pos="1980"/>
          <w:tab w:val="left" w:pos="2160"/>
        </w:tabs>
        <w:adjustRightInd w:val="0"/>
        <w:snapToGrid w:val="0"/>
        <w:spacing w:line="360" w:lineRule="auto"/>
        <w:ind w:left="161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合同工程提前竣工，发包人应承担承包人由此增加的费用，并按照第</w:t>
      </w:r>
      <w:r>
        <w:rPr>
          <w:rFonts w:ascii="仿宋" w:hAnsi="仿宋" w:eastAsia="仿宋" w:cs="仿宋"/>
          <w:color w:val="auto"/>
          <w:sz w:val="24"/>
          <w:szCs w:val="24"/>
          <w:highlight w:val="none"/>
        </w:rPr>
        <w:t>66.1</w:t>
      </w:r>
      <w:r>
        <w:rPr>
          <w:rFonts w:hint="eastAsia" w:ascii="仿宋" w:hAnsi="仿宋" w:eastAsia="仿宋" w:cs="仿宋"/>
          <w:color w:val="auto"/>
          <w:sz w:val="24"/>
          <w:szCs w:val="24"/>
          <w:highlight w:val="none"/>
        </w:rPr>
        <w:t>款规定向承包人支付提前竣工奖。</w:t>
      </w:r>
    </w:p>
    <w:p>
      <w:pPr>
        <w:pStyle w:val="13"/>
        <w:tabs>
          <w:tab w:val="left" w:pos="540"/>
        </w:tabs>
        <w:adjustRightInd w:val="0"/>
        <w:snapToGrid w:val="0"/>
        <w:spacing w:before="312" w:beforeLines="100" w:line="240" w:lineRule="exact"/>
        <w:rPr>
          <w:rFonts w:ascii="仿宋" w:hAnsi="仿宋" w:eastAsia="仿宋" w:cs="仿宋"/>
          <w:b/>
          <w:bCs/>
          <w:caps/>
          <w:color w:val="auto"/>
          <w:sz w:val="24"/>
          <w:szCs w:val="24"/>
          <w:highlight w:val="none"/>
          <w:u w:val="single"/>
        </w:rPr>
      </w:pPr>
      <w:r>
        <w:rPr>
          <w:rFonts w:ascii="仿宋" w:hAnsi="仿宋" w:eastAsia="仿宋" w:cs="仿宋"/>
          <w:b/>
          <w:bCs/>
          <w:cap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350" w:name="_Toc18207"/>
      <w:bookmarkStart w:id="351" w:name="_Toc5594"/>
      <w:bookmarkStart w:id="352" w:name="_Toc3498"/>
      <w:bookmarkStart w:id="353" w:name="_Toc27550"/>
      <w:bookmarkStart w:id="354" w:name="_Toc14396"/>
      <w:bookmarkStart w:id="355" w:name="_Toc10624862"/>
      <w:bookmarkStart w:id="356" w:name="_Toc469384022"/>
      <w:r>
        <w:rPr>
          <w:rFonts w:ascii="仿宋" w:hAnsi="仿宋" w:eastAsia="仿宋" w:cs="仿宋"/>
          <w:b/>
          <w:bCs/>
          <w:color w:val="auto"/>
          <w:sz w:val="24"/>
          <w:szCs w:val="24"/>
          <w:highlight w:val="none"/>
        </w:rPr>
        <w:t xml:space="preserve">40  </w:t>
      </w:r>
      <w:r>
        <w:rPr>
          <w:rFonts w:hint="eastAsia" w:ascii="仿宋" w:hAnsi="仿宋" w:eastAsia="仿宋" w:cs="仿宋"/>
          <w:b/>
          <w:bCs/>
          <w:color w:val="auto"/>
          <w:sz w:val="24"/>
          <w:szCs w:val="24"/>
          <w:highlight w:val="none"/>
        </w:rPr>
        <w:t>误期赔偿</w:t>
      </w:r>
      <w:bookmarkEnd w:id="350"/>
      <w:bookmarkEnd w:id="351"/>
      <w:bookmarkEnd w:id="352"/>
      <w:bookmarkEnd w:id="353"/>
      <w:bookmarkEnd w:id="354"/>
      <w:bookmarkEnd w:id="355"/>
      <w:bookmarkEnd w:id="356"/>
    </w:p>
    <w:p>
      <w:pPr>
        <w:rPr>
          <w:rFonts w:ascii="仿宋" w:hAnsi="仿宋" w:eastAsia="仿宋" w:cs="Times New Roman"/>
          <w:b/>
          <w:bCs/>
          <w:caps/>
          <w:color w:val="auto"/>
          <w:sz w:val="24"/>
          <w:szCs w:val="24"/>
          <w:highlight w:val="none"/>
        </w:rPr>
      </w:pPr>
      <w:r>
        <w:rPr>
          <w:rFonts w:ascii="仿宋" w:hAnsi="仿宋" w:eastAsia="仿宋" w:cs="仿宋"/>
          <w:b/>
          <w:bCs/>
          <w:color w:val="auto"/>
          <w:sz w:val="24"/>
          <w:szCs w:val="24"/>
          <w:highlight w:val="none"/>
        </w:rPr>
        <w:t>40.1</w:t>
      </w:r>
    </w:p>
    <w:p>
      <w:pPr>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555" name="文本框 558"/>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upright="1"/>
                    </wps:wsp>
                  </a:graphicData>
                </a:graphic>
              </wp:anchor>
            </w:drawing>
          </mc:Choice>
          <mc:Fallback>
            <w:pict>
              <v:shape id="文本框 558" o:spid="_x0000_s1026" o:spt="202" type="#_x0000_t202" style="position:absolute;left:0pt;margin-left:-10.5pt;margin-top:8.2pt;height:25.85pt;width:77pt;z-index:251817984;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bURHW&#10;AAAACQEAAA8AAAAAAAAAAQAgAAAAIgAAAGRycy9kb3ducmV2LnhtbFBLAQIUABQAAAAIAIdO4kAG&#10;f7N3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sz w:val="24"/>
          <w:szCs w:val="24"/>
          <w:highlight w:val="none"/>
        </w:rPr>
        <w:t>如果承包人未按照第</w:t>
      </w:r>
      <w:r>
        <w:rPr>
          <w:rFonts w:ascii="仿宋" w:hAnsi="仿宋" w:eastAsia="仿宋" w:cs="仿宋"/>
          <w:caps/>
          <w:color w:val="auto"/>
          <w:sz w:val="24"/>
          <w:szCs w:val="24"/>
          <w:highlight w:val="none"/>
        </w:rPr>
        <w:t>33.4</w:t>
      </w:r>
      <w:r>
        <w:rPr>
          <w:rFonts w:hint="eastAsia" w:ascii="仿宋" w:hAnsi="仿宋" w:eastAsia="仿宋" w:cs="仿宋"/>
          <w:caps/>
          <w:color w:val="auto"/>
          <w:sz w:val="24"/>
          <w:szCs w:val="24"/>
          <w:highlight w:val="none"/>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pPr>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40.2  </w:t>
      </w:r>
      <w:r>
        <w:rPr>
          <w:rFonts w:ascii="仿宋" w:hAnsi="仿宋" w:eastAsia="仿宋" w:cs="仿宋"/>
          <w:b/>
          <w:bCs/>
          <w:color w:val="auto"/>
          <w:sz w:val="24"/>
          <w:szCs w:val="24"/>
          <w:highlight w:val="none"/>
          <w:u w:val="dotted"/>
        </w:rPr>
        <w:t xml:space="preserve">                                                                                                        </w:t>
      </w:r>
    </w:p>
    <w:p>
      <w:pPr>
        <w:spacing w:line="360" w:lineRule="auto"/>
        <w:ind w:left="1619" w:leftChars="771" w:firstLine="71" w:firstLineChars="34"/>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556" name="文本框 559"/>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upright="1"/>
                    </wps:wsp>
                  </a:graphicData>
                </a:graphic>
              </wp:anchor>
            </w:drawing>
          </mc:Choice>
          <mc:Fallback>
            <w:pict>
              <v:shape id="文本框 559" o:spid="_x0000_s1026" o:spt="202" type="#_x0000_t202" style="position:absolute;left:0pt;margin-left:-9pt;margin-top:2.5pt;height:62.35pt;width:84.35pt;z-index:251819008;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Z+4nW&#10;AAAACQEAAA8AAAAAAAAAAQAgAAAAIgAAAGRycy9kb3ducmV2LnhtbFBLAQIUABQAAAAIAIdO4kCc&#10;7yowsAEAAFI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仿宋" w:hAnsi="仿宋" w:eastAsia="仿宋" w:cs="仿宋"/>
          <w:caps/>
          <w:color w:val="auto"/>
          <w:sz w:val="24"/>
          <w:szCs w:val="24"/>
          <w:highlight w:val="none"/>
        </w:rPr>
        <w:t>误期（实际延误天数）按照实际施工天数减去计划施工天数计算，其公式为：</w:t>
      </w:r>
    </w:p>
    <w:p>
      <w:pPr>
        <w:spacing w:line="360" w:lineRule="auto"/>
        <w:ind w:firstLine="1680" w:firstLineChars="700"/>
        <w:rPr>
          <w:rFonts w:ascii="仿宋" w:hAnsi="仿宋" w:eastAsia="仿宋" w:cs="Times New Roman"/>
          <w:caps/>
          <w:color w:val="auto"/>
          <w:sz w:val="24"/>
          <w:szCs w:val="24"/>
          <w:highlight w:val="none"/>
        </w:rPr>
      </w:pPr>
      <w:r>
        <w:rPr>
          <w:rFonts w:hint="eastAsia" w:ascii="仿宋" w:hAnsi="仿宋" w:eastAsia="仿宋" w:cs="仿宋"/>
          <w:caps/>
          <w:color w:val="auto"/>
          <w:sz w:val="24"/>
          <w:szCs w:val="24"/>
          <w:highlight w:val="none"/>
        </w:rPr>
        <w:t>实际延误天数＝实际施工天数</w:t>
      </w:r>
      <w:r>
        <w:rPr>
          <w:rFonts w:ascii="仿宋" w:hAnsi="仿宋" w:eastAsia="仿宋" w:cs="仿宋"/>
          <w:caps/>
          <w:color w:val="auto"/>
          <w:sz w:val="24"/>
          <w:szCs w:val="24"/>
          <w:highlight w:val="none"/>
        </w:rPr>
        <w:t xml:space="preserve"> </w:t>
      </w:r>
      <w:r>
        <w:rPr>
          <w:rFonts w:hint="eastAsia" w:ascii="仿宋" w:hAnsi="仿宋" w:eastAsia="仿宋" w:cs="仿宋"/>
          <w:caps/>
          <w:color w:val="auto"/>
          <w:sz w:val="24"/>
          <w:szCs w:val="24"/>
          <w:highlight w:val="none"/>
        </w:rPr>
        <w:t>－</w:t>
      </w:r>
      <w:r>
        <w:rPr>
          <w:rFonts w:ascii="仿宋" w:hAnsi="仿宋" w:eastAsia="仿宋" w:cs="仿宋"/>
          <w:caps/>
          <w:color w:val="auto"/>
          <w:sz w:val="24"/>
          <w:szCs w:val="24"/>
          <w:highlight w:val="none"/>
        </w:rPr>
        <w:t xml:space="preserve"> </w:t>
      </w:r>
      <w:r>
        <w:rPr>
          <w:rFonts w:hint="eastAsia" w:ascii="仿宋" w:hAnsi="仿宋" w:eastAsia="仿宋" w:cs="仿宋"/>
          <w:caps/>
          <w:color w:val="auto"/>
          <w:sz w:val="24"/>
          <w:szCs w:val="24"/>
          <w:highlight w:val="none"/>
        </w:rPr>
        <w:t>计划施工天数</w:t>
      </w:r>
    </w:p>
    <w:p>
      <w:pPr>
        <w:spacing w:line="360" w:lineRule="auto"/>
        <w:ind w:left="1680" w:leftChars="800"/>
        <w:rPr>
          <w:rFonts w:ascii="仿宋" w:hAnsi="仿宋" w:eastAsia="仿宋" w:cs="Times New Roman"/>
          <w:caps/>
          <w:color w:val="auto"/>
          <w:sz w:val="24"/>
          <w:szCs w:val="24"/>
          <w:highlight w:val="none"/>
        </w:rPr>
      </w:pPr>
      <w:r>
        <w:rPr>
          <w:rFonts w:hint="eastAsia" w:ascii="仿宋" w:hAnsi="仿宋" w:eastAsia="仿宋" w:cs="仿宋"/>
          <w:caps/>
          <w:color w:val="auto"/>
          <w:sz w:val="24"/>
          <w:szCs w:val="24"/>
          <w:highlight w:val="none"/>
        </w:rPr>
        <w:t>合同工程发生误期，承包人应赔偿发包人由此造成的损失，并按照第</w:t>
      </w:r>
      <w:r>
        <w:rPr>
          <w:rFonts w:ascii="仿宋" w:hAnsi="仿宋" w:eastAsia="仿宋" w:cs="仿宋"/>
          <w:caps/>
          <w:color w:val="auto"/>
          <w:sz w:val="24"/>
          <w:szCs w:val="24"/>
          <w:highlight w:val="none"/>
        </w:rPr>
        <w:t>66.2</w:t>
      </w:r>
      <w:r>
        <w:rPr>
          <w:rFonts w:hint="eastAsia" w:ascii="仿宋" w:hAnsi="仿宋" w:eastAsia="仿宋" w:cs="仿宋"/>
          <w:caps/>
          <w:color w:val="auto"/>
          <w:sz w:val="24"/>
          <w:szCs w:val="24"/>
          <w:highlight w:val="none"/>
        </w:rPr>
        <w:t>款规定向发包人支付误期赔偿费。</w:t>
      </w:r>
    </w:p>
    <w:p>
      <w:pPr>
        <w:pStyle w:val="13"/>
        <w:adjustRightInd w:val="0"/>
        <w:snapToGrid w:val="0"/>
        <w:spacing w:line="360" w:lineRule="auto"/>
        <w:ind w:right="-238"/>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ind w:firstLine="2768" w:firstLineChars="1149"/>
        <w:outlineLvl w:val="1"/>
        <w:rPr>
          <w:rFonts w:ascii="仿宋" w:hAnsi="仿宋" w:eastAsia="仿宋" w:cs="Times New Roman"/>
          <w:b/>
          <w:bCs/>
          <w:color w:val="auto"/>
          <w:sz w:val="24"/>
          <w:szCs w:val="24"/>
          <w:highlight w:val="none"/>
        </w:rPr>
      </w:pPr>
      <w:bookmarkStart w:id="357" w:name="_Toc9929"/>
      <w:bookmarkStart w:id="358" w:name="_Toc24446"/>
      <w:bookmarkStart w:id="359" w:name="_Toc18966"/>
      <w:bookmarkStart w:id="360" w:name="_Toc10624863"/>
      <w:bookmarkStart w:id="361" w:name="_Toc32296"/>
      <w:bookmarkStart w:id="362" w:name="_Toc469384023"/>
      <w:bookmarkStart w:id="363" w:name="_Toc29391"/>
      <w:r>
        <w:rPr>
          <w:rFonts w:hint="eastAsia" w:ascii="仿宋" w:hAnsi="仿宋" w:eastAsia="仿宋" w:cs="仿宋"/>
          <w:b/>
          <w:bCs/>
          <w:color w:val="auto"/>
          <w:sz w:val="24"/>
          <w:szCs w:val="24"/>
          <w:highlight w:val="none"/>
        </w:rPr>
        <w:t>五、质量与安全</w:t>
      </w:r>
      <w:bookmarkEnd w:id="357"/>
      <w:bookmarkEnd w:id="358"/>
      <w:bookmarkEnd w:id="359"/>
      <w:bookmarkEnd w:id="360"/>
      <w:bookmarkEnd w:id="361"/>
      <w:bookmarkEnd w:id="362"/>
      <w:bookmarkEnd w:id="363"/>
    </w:p>
    <w:p>
      <w:pPr>
        <w:pStyle w:val="13"/>
        <w:adjustRightInd w:val="0"/>
        <w:snapToGrid w:val="0"/>
        <w:spacing w:line="360" w:lineRule="auto"/>
        <w:outlineLvl w:val="2"/>
        <w:rPr>
          <w:rFonts w:ascii="仿宋" w:hAnsi="仿宋" w:eastAsia="仿宋" w:cs="Times New Roman"/>
          <w:b/>
          <w:bCs/>
          <w:color w:val="auto"/>
          <w:sz w:val="24"/>
          <w:szCs w:val="24"/>
          <w:highlight w:val="none"/>
        </w:rPr>
      </w:pPr>
      <w:bookmarkStart w:id="364" w:name="_Toc10624864"/>
      <w:bookmarkStart w:id="365" w:name="_Toc22227"/>
      <w:bookmarkStart w:id="366" w:name="_Toc8582"/>
      <w:bookmarkStart w:id="367" w:name="_Toc12299"/>
      <w:bookmarkStart w:id="368" w:name="_Toc469384024"/>
      <w:bookmarkStart w:id="369" w:name="_Toc9449"/>
      <w:bookmarkStart w:id="370" w:name="_Toc28421"/>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41  </w:t>
      </w:r>
      <w:r>
        <w:rPr>
          <w:rFonts w:hint="eastAsia" w:ascii="仿宋" w:hAnsi="仿宋" w:eastAsia="仿宋" w:cs="仿宋"/>
          <w:b/>
          <w:bCs/>
          <w:color w:val="auto"/>
          <w:sz w:val="24"/>
          <w:szCs w:val="24"/>
          <w:highlight w:val="none"/>
        </w:rPr>
        <w:t>质量与安全管理</w:t>
      </w:r>
      <w:bookmarkEnd w:id="364"/>
      <w:bookmarkEnd w:id="365"/>
      <w:bookmarkEnd w:id="366"/>
      <w:bookmarkEnd w:id="367"/>
      <w:bookmarkEnd w:id="368"/>
      <w:bookmarkEnd w:id="369"/>
      <w:bookmarkEnd w:id="370"/>
    </w:p>
    <w:p>
      <w:pPr>
        <w:tabs>
          <w:tab w:val="left" w:pos="78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41.1 </w:t>
      </w:r>
      <w:r>
        <w:rPr>
          <w:rFonts w:ascii="仿宋" w:hAnsi="仿宋" w:eastAsia="仿宋" w:cs="仿宋"/>
          <w:b/>
          <w:bCs/>
          <w:color w:val="auto"/>
          <w:sz w:val="24"/>
          <w:szCs w:val="24"/>
          <w:highlight w:val="none"/>
        </w:rPr>
        <w:tab/>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557" name="文本框 560"/>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upright="1"/>
                    </wps:wsp>
                  </a:graphicData>
                </a:graphic>
              </wp:anchor>
            </w:drawing>
          </mc:Choice>
          <mc:Fallback>
            <w:pict>
              <v:shape id="文本框 560" o:spid="_x0000_s1026" o:spt="202" type="#_x0000_t202" style="position:absolute;left:0pt;margin-left:-9pt;margin-top:-0.5pt;height:41.45pt;width:72pt;z-index:251820032;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1nzT3VAAAA&#10;CQEAAA8AAAAAAAAAAQAgAAAAIgAAAGRycy9kb3ducmV2LnhtbFBLAQIUABQAAAAIAIdO4kDw6Qkq&#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rPr>
        <w:t>合同双方当事人应严格遵守国家、省有关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pPr>
        <w:pStyle w:val="7"/>
        <w:adjustRightInd w:val="0"/>
        <w:snapToGrid w:val="0"/>
        <w:spacing w:line="48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41.2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558" name="文本框 561"/>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upright="1"/>
                    </wps:wsp>
                  </a:graphicData>
                </a:graphic>
              </wp:anchor>
            </w:drawing>
          </mc:Choice>
          <mc:Fallback>
            <w:pict>
              <v:shape id="文本框 561" o:spid="_x0000_s1026" o:spt="202" type="#_x0000_t202" style="position:absolute;left:0pt;margin-left:-9pt;margin-top:2.8pt;height:32.3pt;width:72pt;z-index:251821056;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FLuJb1QAA&#10;AAgBAAAPAAAAAAAAAAEAIAAAACIAAABkcnMvZG93bnJldi54bWxQSwECFAAUAAAACACHTuJAdg4k&#10;r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pPr>
        <w:pStyle w:val="7"/>
        <w:adjustRightInd w:val="0"/>
        <w:snapToGrid w:val="0"/>
        <w:spacing w:line="480" w:lineRule="auto"/>
        <w:ind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559" name="文本框 56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upright="1"/>
                    </wps:wsp>
                  </a:graphicData>
                </a:graphic>
              </wp:anchor>
            </w:drawing>
          </mc:Choice>
          <mc:Fallback>
            <w:pict>
              <v:shape id="文本框 562" o:spid="_x0000_s1026" o:spt="202" type="#_x0000_t202" style="position:absolute;left:0pt;margin-left:-9pt;margin-top:21.85pt;height:27pt;width:72pt;z-index:251822080;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QM7vX&#10;AAAACQEAAA8AAAAAAAAAAQAgAAAAIgAAAGRycy9kb3ducmV2LnhtbFBLAQIUABQAAAAIAIdO4kB1&#10;rk9T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sz w:val="24"/>
          <w:szCs w:val="24"/>
          <w:highlight w:val="none"/>
        </w:rPr>
        <w:t xml:space="preserve">41.3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pPr>
        <w:pStyle w:val="7"/>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560" name="文本框 563"/>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upright="1"/>
                    </wps:wsp>
                  </a:graphicData>
                </a:graphic>
              </wp:anchor>
            </w:drawing>
          </mc:Choice>
          <mc:Fallback>
            <w:pict>
              <v:shape id="文本框 563" o:spid="_x0000_s1026" o:spt="202" type="#_x0000_t202" style="position:absolute;left:0pt;margin-left:-9.1pt;margin-top:22pt;height:30.7pt;width:72pt;z-index:251823104;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d2EEvW&#10;AAAACgEAAA8AAAAAAAAAAQAgAAAAIgAAAGRycy9kb3ducmV2LnhtbFBLAQIUABQAAAAIAIdO4kAx&#10;kLZ4sAEAAFEDAAAOAAAAAAAAAAEAIAAAACUBAABkcnMvZTJvRG9jLnhtbFBLBQYAAAAABgAGAFkB&#10;AABH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仿宋" w:hAnsi="仿宋" w:eastAsia="仿宋" w:cs="仿宋"/>
          <w:b/>
          <w:bCs/>
          <w:color w:val="auto"/>
          <w:sz w:val="24"/>
          <w:szCs w:val="24"/>
          <w:highlight w:val="none"/>
        </w:rPr>
        <w:t xml:space="preserve">41.4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pPr>
        <w:pStyle w:val="7"/>
        <w:adjustRightInd w:val="0"/>
        <w:snapToGrid w:val="0"/>
        <w:spacing w:line="360" w:lineRule="auto"/>
        <w:ind w:left="1619" w:leftChars="771" w:firstLine="0"/>
        <w:rPr>
          <w:rFonts w:ascii="仿宋" w:hAnsi="仿宋" w:eastAsia="仿宋"/>
          <w:color w:val="auto"/>
          <w:kern w:val="0"/>
          <w:sz w:val="24"/>
          <w:szCs w:val="24"/>
          <w:highlight w:val="none"/>
        </w:rPr>
      </w:pPr>
      <w:r>
        <w:rPr>
          <w:rFonts w:hint="eastAsia" w:ascii="仿宋" w:hAnsi="仿宋" w:eastAsia="仿宋" w:cs="仿宋"/>
          <w:color w:val="auto"/>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pPr>
        <w:pStyle w:val="7"/>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41.5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autoSpaceDE w:val="0"/>
        <w:autoSpaceDN w:val="0"/>
        <w:adjustRightInd w:val="0"/>
        <w:spacing w:line="360" w:lineRule="auto"/>
        <w:ind w:left="1495" w:leftChars="712"/>
        <w:jc w:val="left"/>
        <w:rPr>
          <w:rFonts w:ascii="仿宋" w:hAnsi="仿宋" w:eastAsia="仿宋" w:cs="Times New Roman"/>
          <w:color w:val="auto"/>
          <w:kern w:val="0"/>
          <w:sz w:val="24"/>
          <w:szCs w:val="24"/>
          <w:highlight w:val="none"/>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561" name="文本框 56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upright="1"/>
                    </wps:wsp>
                  </a:graphicData>
                </a:graphic>
              </wp:anchor>
            </w:drawing>
          </mc:Choice>
          <mc:Fallback>
            <w:pict>
              <v:shape id="文本框 564" o:spid="_x0000_s1026" o:spt="202" type="#_x0000_t202" style="position:absolute;left:0pt;margin-left:-9pt;margin-top:1.1pt;height:46.8pt;width:72pt;z-index:251824128;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bY0NLV&#10;AAAACAEAAA8AAAAAAAAAAQAgAAAAIgAAAGRycy9kb3ducmV2LnhtbFBLAQIUABQAAAAIAIdO4kDi&#10;9c3rsQEAAFEDAAAOAAAAAAAAAAEAIAAAACQBAABkcnMvZTJvRG9jLnhtbFBLBQYAAAAABgAGAFkB&#10;AABHBQAAAAA=&#10;">
                <v:fill on="f" focussize="0,0"/>
                <v:stroke on="f"/>
                <v:imagedata o:title=""/>
                <o:lock v:ext="edit" aspectratio="f"/>
                <v:textbox>
                  <w:txbxContent>
                    <w:p>
                      <w:pPr>
                        <w:spacing w:line="240" w:lineRule="exact"/>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仿宋" w:hAnsi="仿宋" w:eastAsia="仿宋" w:cs="仿宋"/>
          <w:color w:val="auto"/>
          <w:kern w:val="0"/>
          <w:sz w:val="24"/>
          <w:szCs w:val="24"/>
          <w:highlight w:val="none"/>
        </w:rPr>
        <w:t>因发包人原因造成工程质量未达到合同约定标准的，由发包人承担由此增加的费用和延误工期的责任，增加的费用按本合同相关条款以及投标报价或预算的计价原则计算。</w:t>
      </w:r>
    </w:p>
    <w:p>
      <w:pPr>
        <w:autoSpaceDE w:val="0"/>
        <w:autoSpaceDN w:val="0"/>
        <w:adjustRightInd w:val="0"/>
        <w:spacing w:line="360" w:lineRule="auto"/>
        <w:jc w:val="left"/>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41.6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autoSpaceDE w:val="0"/>
        <w:autoSpaceDN w:val="0"/>
        <w:adjustRightInd w:val="0"/>
        <w:spacing w:line="360" w:lineRule="auto"/>
        <w:ind w:left="1346" w:leftChars="641"/>
        <w:jc w:val="left"/>
        <w:rPr>
          <w:rFonts w:ascii="仿宋" w:hAnsi="仿宋" w:eastAsia="仿宋" w:cs="Times New Roman"/>
          <w:color w:val="auto"/>
          <w:kern w:val="0"/>
          <w:sz w:val="24"/>
          <w:szCs w:val="24"/>
          <w:highlight w:val="none"/>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562" name="文本框 565"/>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pPr>
                              <w:rPr>
                                <w:rFonts w:cs="Times New Roman"/>
                                <w:color w:val="FF0000"/>
                              </w:rPr>
                            </w:pPr>
                            <w:r>
                              <w:rPr>
                                <w:rFonts w:hint="eastAsia" w:ascii="楷体_GB2312" w:hAnsi="宋体" w:eastAsia="楷体_GB2312" w:cs="楷体_GB2312"/>
                                <w:b/>
                                <w:bCs/>
                                <w:sz w:val="18"/>
                                <w:szCs w:val="18"/>
                              </w:rPr>
                              <w:t>监理人的质量检查和检验</w:t>
                            </w:r>
                          </w:p>
                        </w:txbxContent>
                      </wps:txbx>
                      <wps:bodyPr upright="1"/>
                    </wps:wsp>
                  </a:graphicData>
                </a:graphic>
              </wp:anchor>
            </w:drawing>
          </mc:Choice>
          <mc:Fallback>
            <w:pict>
              <v:shape id="文本框 565" o:spid="_x0000_s1026" o:spt="202" type="#_x0000_t202" style="position:absolute;left:0pt;margin-left:-9pt;margin-top:1.3pt;height:39pt;width:63pt;z-index:251825152;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JGxBNQAAAAI&#10;AQAADwAAAAAAAAABACAAAAAiAAAAZHJzL2Rvd25yZXYueG1sUEsBAhQAFAAAAAgAh07iQNk4xESu&#10;AQAAUQMAAA4AAAAAAAAAAQAgAAAAIwEAAGRycy9lMm9Eb2MueG1sUEsFBgAAAAAGAAYAWQEAAEMF&#10;AAAAAA==&#10;">
                <v:fill on="f" focussize="0,0"/>
                <v:stroke on="f"/>
                <v:imagedata o:title=""/>
                <o:lock v:ext="edit" aspectratio="f"/>
                <v:textbox>
                  <w:txbxContent>
                    <w:p>
                      <w:pPr>
                        <w:rPr>
                          <w:rFonts w:cs="Times New Roman"/>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仿宋" w:hAnsi="仿宋" w:eastAsia="仿宋" w:cs="仿宋"/>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pStyle w:val="7"/>
        <w:adjustRightInd w:val="0"/>
        <w:snapToGrid w:val="0"/>
        <w:spacing w:line="360" w:lineRule="auto"/>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7"/>
        <w:adjustRightInd w:val="0"/>
        <w:snapToGrid w:val="0"/>
        <w:spacing w:line="360" w:lineRule="auto"/>
        <w:ind w:firstLine="0"/>
        <w:outlineLvl w:val="2"/>
        <w:rPr>
          <w:rFonts w:ascii="仿宋" w:hAnsi="仿宋" w:eastAsia="仿宋"/>
          <w:b/>
          <w:bCs/>
          <w:color w:val="auto"/>
          <w:sz w:val="24"/>
          <w:szCs w:val="24"/>
          <w:highlight w:val="none"/>
        </w:rPr>
      </w:pPr>
      <w:bookmarkStart w:id="371" w:name="_Toc22430"/>
      <w:bookmarkStart w:id="372" w:name="_Toc10624865"/>
      <w:bookmarkStart w:id="373" w:name="_Toc7564"/>
      <w:bookmarkStart w:id="374" w:name="_Toc21905"/>
      <w:bookmarkStart w:id="375" w:name="_Toc24848"/>
      <w:bookmarkStart w:id="376" w:name="_Toc2487"/>
      <w:bookmarkStart w:id="377" w:name="_Toc46938402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42  </w:t>
      </w:r>
      <w:r>
        <w:rPr>
          <w:rFonts w:hint="eastAsia" w:ascii="仿宋" w:hAnsi="仿宋" w:eastAsia="仿宋" w:cs="仿宋"/>
          <w:b/>
          <w:bCs/>
          <w:color w:val="auto"/>
          <w:sz w:val="24"/>
          <w:szCs w:val="24"/>
          <w:highlight w:val="none"/>
        </w:rPr>
        <w:t>质量标准</w:t>
      </w:r>
      <w:bookmarkEnd w:id="371"/>
      <w:bookmarkEnd w:id="372"/>
      <w:bookmarkEnd w:id="373"/>
      <w:bookmarkEnd w:id="374"/>
      <w:bookmarkEnd w:id="375"/>
      <w:bookmarkEnd w:id="376"/>
      <w:bookmarkEnd w:id="377"/>
    </w:p>
    <w:p>
      <w:pPr>
        <w:adjustRightInd w:val="0"/>
        <w:snapToGrid w:val="0"/>
        <w:spacing w:line="360" w:lineRule="auto"/>
        <w:jc w:val="lef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42.1 </w:t>
      </w:r>
    </w:p>
    <w:p>
      <w:pPr>
        <w:adjustRightInd w:val="0"/>
        <w:snapToGrid w:val="0"/>
        <w:spacing w:line="360" w:lineRule="auto"/>
        <w:ind w:left="1619" w:leftChars="771"/>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563" name="文本框 566"/>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upright="1"/>
                    </wps:wsp>
                  </a:graphicData>
                </a:graphic>
              </wp:anchor>
            </w:drawing>
          </mc:Choice>
          <mc:Fallback>
            <w:pict>
              <v:shape id="文本框 566" o:spid="_x0000_s1026" o:spt="202" type="#_x0000_t202" style="position:absolute;left:0pt;margin-left:-9pt;margin-top:0.65pt;height:30.7pt;width:72pt;z-index:251826176;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CMD/PV&#10;AAAACAEAAA8AAAAAAAAAAQAgAAAAIgAAAGRycy9kb3ducmV2LnhtbFBLAQIUABQAAAAIAIdO4kBw&#10;QsFCsQEAAFEDAAAOAAAAAAAAAAEAIAAAACQBAABkcnMvZTJvRG9jLnhtbFBLBQYAAAAABgAGAFkB&#10;AABH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仿宋" w:hAnsi="仿宋" w:eastAsia="仿宋" w:cs="仿宋"/>
          <w:color w:val="auto"/>
          <w:sz w:val="24"/>
          <w:szCs w:val="24"/>
          <w:highlight w:val="none"/>
        </w:rPr>
        <w:t>合同双方当事人应在专用条款中约定工程质量标准，但不得低于国家或行业的强制性标准。工程质量应当达到专用条款约定的质量标准。</w:t>
      </w:r>
    </w:p>
    <w:p>
      <w:pPr>
        <w:adjustRightInd w:val="0"/>
        <w:snapToGrid w:val="0"/>
        <w:spacing w:line="360" w:lineRule="auto"/>
        <w:ind w:left="1619" w:leftChars="771"/>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工程质量验收，按照合同约定的标准执行；合同没有约定的，按照国家或行业的质量验收标准执行。</w:t>
      </w:r>
    </w:p>
    <w:p>
      <w:pPr>
        <w:adjustRightInd w:val="0"/>
        <w:snapToGrid w:val="0"/>
        <w:spacing w:line="360" w:lineRule="auto"/>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564" name="文本框 567"/>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upright="1"/>
                    </wps:wsp>
                  </a:graphicData>
                </a:graphic>
              </wp:anchor>
            </w:drawing>
          </mc:Choice>
          <mc:Fallback>
            <w:pict>
              <v:shape id="文本框 567" o:spid="_x0000_s1026" o:spt="202" type="#_x0000_t202" style="position:absolute;left:0pt;margin-left:-9pt;margin-top:20.2pt;height:37.15pt;width:77pt;z-index:251827200;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1YIv&#10;1wAAAAoBAAAPAAAAAAAAAAEAIAAAACIAAABkcnMvZG93bnJldi54bWxQSwECFAAUAAAACACHTuJA&#10;xa3MVrABAABRAwAADgAAAAAAAAABACAAAAAmAQAAZHJzL2Uyb0RvYy54bWxQSwUGAAAAAAYABgBZ&#10;AQAASA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仿宋" w:hAnsi="仿宋" w:eastAsia="仿宋" w:cs="仿宋"/>
          <w:b/>
          <w:bCs/>
          <w:color w:val="auto"/>
          <w:sz w:val="24"/>
          <w:szCs w:val="24"/>
          <w:highlight w:val="none"/>
        </w:rPr>
        <w:t>42.2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20"/>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承包人对合同工程的质量向发包人负责，其职责包括但不限于下列内容：</w:t>
      </w:r>
    </w:p>
    <w:p>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编制施工技术方案，确定施工技术措施；</w:t>
      </w:r>
    </w:p>
    <w:p>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提供和组织足够的工程技术人员，检查和控制工程施工质量；</w:t>
      </w:r>
    </w:p>
    <w:p>
      <w:pPr>
        <w:adjustRightInd w:val="0"/>
        <w:snapToGrid w:val="0"/>
        <w:spacing w:line="360" w:lineRule="auto"/>
        <w:ind w:left="1621"/>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控制施工所用的材料和工程设备，使其符合标准与规范、设计要求及合同约定的标准；</w:t>
      </w:r>
    </w:p>
    <w:p>
      <w:pPr>
        <w:adjustRightInd w:val="0"/>
        <w:snapToGrid w:val="0"/>
        <w:spacing w:line="360" w:lineRule="auto"/>
        <w:ind w:left="1617"/>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负责合同工程施工中出现质量问题或竣工验收不合格的返修工作；</w:t>
      </w:r>
    </w:p>
    <w:p>
      <w:pPr>
        <w:adjustRightInd w:val="0"/>
        <w:snapToGrid w:val="0"/>
        <w:spacing w:line="360" w:lineRule="auto"/>
        <w:ind w:left="1617"/>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参加合同工程的所有验收工作，包括隐蔽验收、中间验收；参加竣工验收，组织分包人参加工程验收工作；</w:t>
      </w:r>
    </w:p>
    <w:p>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(6) </w:t>
      </w:r>
      <w:r>
        <w:rPr>
          <w:rFonts w:hint="eastAsia" w:ascii="仿宋" w:hAnsi="仿宋" w:eastAsia="仿宋" w:cs="仿宋"/>
          <w:color w:val="auto"/>
          <w:sz w:val="24"/>
          <w:szCs w:val="24"/>
          <w:highlight w:val="none"/>
        </w:rPr>
        <w:t>承担质量保修期的工程保修责任；</w:t>
      </w:r>
    </w:p>
    <w:p>
      <w:pPr>
        <w:adjustRightInd w:val="0"/>
        <w:snapToGrid w:val="0"/>
        <w:spacing w:line="360" w:lineRule="auto"/>
        <w:ind w:left="1620"/>
        <w:jc w:val="left"/>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(7) </w:t>
      </w:r>
      <w:r>
        <w:rPr>
          <w:rFonts w:hint="eastAsia" w:ascii="仿宋" w:hAnsi="仿宋" w:eastAsia="仿宋" w:cs="仿宋"/>
          <w:color w:val="auto"/>
          <w:sz w:val="24"/>
          <w:szCs w:val="24"/>
          <w:highlight w:val="none"/>
        </w:rPr>
        <w:t>承担其他工程质量责任。</w:t>
      </w:r>
    </w:p>
    <w:p>
      <w:pPr>
        <w:adjustRightInd w:val="0"/>
        <w:snapToGrid w:val="0"/>
        <w:spacing w:line="360" w:lineRule="auto"/>
        <w:jc w:val="left"/>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565" name="文本框 568"/>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upright="1"/>
                    </wps:wsp>
                  </a:graphicData>
                </a:graphic>
              </wp:anchor>
            </w:drawing>
          </mc:Choice>
          <mc:Fallback>
            <w:pict>
              <v:shape id="文本框 568" o:spid="_x0000_s1026" o:spt="202" type="#_x0000_t202" style="position:absolute;left:0pt;margin-left:-9pt;margin-top:22.95pt;height:19.35pt;width:81pt;z-index:251828224;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LMCsPW&#10;AAAACQEAAA8AAAAAAAAAAQAgAAAAIgAAAGRycy9kb3ducmV2LnhtbFBLAQIUABQAAAAIAIdO4kCW&#10;0XgjsAEAAFIDAAAOAAAAAAAAAAEAIAAAACUBAABkcnMvZTJvRG9jLnhtbFBLBQYAAAAABgAGAFkB&#10;AABH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仿宋" w:hAnsi="仿宋" w:eastAsia="仿宋" w:cs="仿宋"/>
          <w:b/>
          <w:bCs/>
          <w:color w:val="auto"/>
          <w:sz w:val="24"/>
          <w:szCs w:val="24"/>
          <w:highlight w:val="none"/>
        </w:rPr>
        <w:t xml:space="preserve">42.3 </w:t>
      </w:r>
      <w:r>
        <w:rPr>
          <w:rFonts w:ascii="仿宋" w:hAnsi="仿宋" w:eastAsia="仿宋" w:cs="仿宋"/>
          <w:b/>
          <w:bCs/>
          <w:color w:val="auto"/>
          <w:sz w:val="24"/>
          <w:szCs w:val="24"/>
          <w:highlight w:val="none"/>
          <w:u w:val="dotted"/>
        </w:rPr>
        <w:t xml:space="preserve">                                                                                                        </w:t>
      </w:r>
    </w:p>
    <w:p>
      <w:pPr>
        <w:pStyle w:val="22"/>
        <w:adjustRightInd w:val="0"/>
        <w:snapToGrid w:val="0"/>
        <w:ind w:left="1619" w:leftChars="771"/>
        <w:rPr>
          <w:rFonts w:ascii="仿宋" w:hAnsi="仿宋" w:eastAsia="仿宋"/>
          <w:color w:val="auto"/>
          <w:highlight w:val="none"/>
        </w:rPr>
      </w:pPr>
      <w:r>
        <w:rPr>
          <w:rFonts w:hint="eastAsia" w:ascii="仿宋" w:hAnsi="仿宋" w:eastAsia="仿宋" w:cs="仿宋"/>
          <w:color w:val="auto"/>
          <w:highlight w:val="none"/>
        </w:rPr>
        <w:t>承包人应建立健全完善的质量保证体系。</w:t>
      </w:r>
    </w:p>
    <w:p>
      <w:pPr>
        <w:autoSpaceDE w:val="0"/>
        <w:autoSpaceDN w:val="0"/>
        <w:adjustRightInd w:val="0"/>
        <w:spacing w:line="360" w:lineRule="auto"/>
        <w:ind w:left="1556" w:leftChars="741"/>
        <w:jc w:val="left"/>
        <w:rPr>
          <w:rFonts w:ascii="仿宋" w:hAnsi="仿宋" w:eastAsia="仿宋" w:cs="Times New Roman"/>
          <w:color w:val="auto"/>
          <w:kern w:val="0"/>
          <w:sz w:val="24"/>
          <w:szCs w:val="24"/>
          <w:highlight w:val="none"/>
        </w:rPr>
      </w:pPr>
      <w:r>
        <w:rPr>
          <w:rFonts w:hint="eastAsia" w:ascii="仿宋" w:hAnsi="仿宋" w:eastAsia="仿宋" w:cs="仿宋"/>
          <w:color w:val="auto"/>
          <w:kern w:val="0"/>
          <w:sz w:val="24"/>
          <w:szCs w:val="24"/>
          <w:highlight w:val="none"/>
        </w:rPr>
        <w:t>（</w:t>
      </w:r>
      <w:r>
        <w:rPr>
          <w:rFonts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rPr>
        <w:t>）承包人应向发包人和监理人提交工程质量保证体系及措施文件，建立完善的质量检查制度，并提交相应的工程质量文件。对于发包人和监理人违反法律规定和合同约定的错误指示，承包人有权拒绝实施。</w:t>
      </w:r>
    </w:p>
    <w:p>
      <w:pPr>
        <w:pStyle w:val="22"/>
        <w:adjustRightInd w:val="0"/>
        <w:snapToGrid w:val="0"/>
        <w:ind w:left="1418" w:leftChars="675"/>
        <w:rPr>
          <w:rFonts w:ascii="仿宋" w:hAnsi="仿宋" w:eastAsia="仿宋"/>
          <w:color w:val="auto"/>
          <w:kern w:val="0"/>
          <w:highlight w:val="none"/>
        </w:rPr>
      </w:pPr>
      <w:r>
        <w:rPr>
          <w:rFonts w:hint="eastAsia" w:ascii="仿宋" w:hAnsi="仿宋" w:eastAsia="仿宋" w:cs="仿宋"/>
          <w:color w:val="auto"/>
          <w:kern w:val="0"/>
          <w:highlight w:val="none"/>
        </w:rPr>
        <w:t>（</w:t>
      </w:r>
      <w:r>
        <w:rPr>
          <w:rFonts w:ascii="仿宋" w:hAnsi="仿宋" w:eastAsia="仿宋" w:cs="仿宋"/>
          <w:color w:val="auto"/>
          <w:kern w:val="0"/>
          <w:highlight w:val="none"/>
        </w:rPr>
        <w:t>2</w:t>
      </w:r>
      <w:r>
        <w:rPr>
          <w:rFonts w:hint="eastAsia" w:ascii="仿宋" w:hAnsi="仿宋" w:eastAsia="仿宋" w:cs="仿宋"/>
          <w:color w:val="auto"/>
          <w:kern w:val="0"/>
          <w:highlight w:val="none"/>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pPr>
        <w:adjustRightInd w:val="0"/>
        <w:snapToGrid w:val="0"/>
        <w:spacing w:line="360" w:lineRule="auto"/>
        <w:jc w:val="left"/>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566" name="文本框 569"/>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upright="1"/>
                    </wps:wsp>
                  </a:graphicData>
                </a:graphic>
              </wp:anchor>
            </w:drawing>
          </mc:Choice>
          <mc:Fallback>
            <w:pict>
              <v:shape id="文本框 569" o:spid="_x0000_s1026" o:spt="202" type="#_x0000_t202" style="position:absolute;left:0pt;margin-left:-9pt;margin-top:21.75pt;height:35.4pt;width:76.2pt;z-index:251829248;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GJ&#10;KsvYAAAACgEAAA8AAAAAAAAAAQAgAAAAIgAAAGRycy9kb3ducmV2LnhtbFBLAQIUABQAAAAIAIdO&#10;4kDn8f3isQEAAFEDAAAOAAAAAAAAAAEAIAAAACcBAABkcnMvZTJvRG9jLnhtbFBLBQYAAAAABgAG&#10;AFkBAABK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仿宋" w:hAnsi="仿宋" w:eastAsia="仿宋" w:cs="仿宋"/>
          <w:b/>
          <w:bCs/>
          <w:color w:val="auto"/>
          <w:sz w:val="24"/>
          <w:szCs w:val="24"/>
          <w:highlight w:val="none"/>
        </w:rPr>
        <w:t xml:space="preserve">42.4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合同双方当事人对工程质量有争议的，按照第</w:t>
      </w:r>
      <w:r>
        <w:rPr>
          <w:rFonts w:ascii="仿宋" w:hAnsi="仿宋" w:eastAsia="仿宋" w:cs="仿宋"/>
          <w:color w:val="auto"/>
          <w:sz w:val="24"/>
          <w:szCs w:val="24"/>
          <w:highlight w:val="none"/>
        </w:rPr>
        <w:t>86.4</w:t>
      </w:r>
      <w:r>
        <w:rPr>
          <w:rFonts w:hint="eastAsia" w:ascii="仿宋" w:hAnsi="仿宋" w:eastAsia="仿宋" w:cs="仿宋"/>
          <w:color w:val="auto"/>
          <w:sz w:val="24"/>
          <w:szCs w:val="24"/>
          <w:highlight w:val="none"/>
        </w:rPr>
        <w:t>款规定调解或认定，所需的费用及由此造成的损失，由责任方承担。双方均有责任的，由双方根据其责任划分分别承担。</w:t>
      </w:r>
    </w:p>
    <w:p>
      <w:pPr>
        <w:adjustRightInd w:val="0"/>
        <w:snapToGrid w:val="0"/>
        <w:spacing w:line="360" w:lineRule="auto"/>
        <w:ind w:left="1619" w:leftChars="771"/>
        <w:jc w:val="left"/>
        <w:rPr>
          <w:rFonts w:ascii="仿宋" w:hAnsi="仿宋" w:eastAsia="仿宋" w:cs="Times New Roman"/>
          <w:color w:val="auto"/>
          <w:sz w:val="24"/>
          <w:szCs w:val="24"/>
          <w:highlight w:val="none"/>
        </w:rPr>
      </w:pPr>
    </w:p>
    <w:p>
      <w:pPr>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color w:val="auto"/>
          <w:sz w:val="24"/>
          <w:szCs w:val="24"/>
          <w:highlight w:val="none"/>
        </w:rPr>
      </w:pPr>
      <w:bookmarkStart w:id="378" w:name="_Toc10624866"/>
      <w:bookmarkStart w:id="379" w:name="_Toc469384026"/>
      <w:bookmarkStart w:id="380" w:name="_Toc10652"/>
      <w:bookmarkStart w:id="381" w:name="_Toc27025"/>
      <w:bookmarkStart w:id="382" w:name="_Toc28733"/>
      <w:bookmarkStart w:id="383" w:name="_Toc32149"/>
      <w:bookmarkStart w:id="384" w:name="_Toc23649"/>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43  </w:t>
      </w:r>
      <w:r>
        <w:rPr>
          <w:rFonts w:hint="eastAsia" w:ascii="仿宋" w:hAnsi="仿宋" w:eastAsia="仿宋" w:cs="仿宋"/>
          <w:color w:val="auto"/>
          <w:sz w:val="24"/>
          <w:szCs w:val="24"/>
          <w:highlight w:val="none"/>
        </w:rPr>
        <w:t>工程质量创优</w:t>
      </w:r>
      <w:bookmarkEnd w:id="378"/>
      <w:bookmarkEnd w:id="379"/>
      <w:bookmarkEnd w:id="380"/>
      <w:bookmarkEnd w:id="381"/>
      <w:bookmarkEnd w:id="382"/>
      <w:bookmarkEnd w:id="383"/>
      <w:bookmarkEnd w:id="384"/>
    </w:p>
    <w:p>
      <w:pPr>
        <w:spacing w:line="360" w:lineRule="auto"/>
        <w:rPr>
          <w:rFonts w:ascii="仿宋" w:hAnsi="仿宋" w:eastAsia="仿宋" w:cs="Times New Roman"/>
          <w:b/>
          <w:bCs/>
          <w:caps/>
          <w:color w:val="auto"/>
          <w:sz w:val="24"/>
          <w:szCs w:val="24"/>
          <w:highlight w:val="none"/>
        </w:rPr>
      </w:pPr>
      <w:r>
        <w:rPr>
          <w:rFonts w:ascii="仿宋" w:hAnsi="仿宋" w:eastAsia="仿宋" w:cs="仿宋"/>
          <w:b/>
          <w:bCs/>
          <w:caps/>
          <w:color w:val="auto"/>
          <w:sz w:val="24"/>
          <w:szCs w:val="24"/>
          <w:highlight w:val="none"/>
        </w:rPr>
        <w:t>43.1</w:t>
      </w:r>
    </w:p>
    <w:p>
      <w:pPr>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567" name="文本框 570"/>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upright="1"/>
                    </wps:wsp>
                  </a:graphicData>
                </a:graphic>
              </wp:anchor>
            </w:drawing>
          </mc:Choice>
          <mc:Fallback>
            <w:pict>
              <v:shape id="文本框 570" o:spid="_x0000_s1026" o:spt="202" type="#_x0000_t202" style="position:absolute;left:0pt;margin-left:-9pt;margin-top:3pt;height:39pt;width:72pt;z-index:251830272;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ED77VAAAA&#10;CAEAAA8AAAAAAAAAAQAgAAAAIgAAAGRycy9kb3ducmV2LnhtbFBLAQIUABQAAAAIAIdO4kAIIgch&#10;rgEAAFEDAAAOAAAAAAAAAAEAIAAAACQBAABkcnMvZTJvRG9jLnhtbFBLBQYAAAAABgAGAFkBAABE&#10;BQ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caps/>
          <w:color w:val="auto"/>
          <w:sz w:val="24"/>
          <w:szCs w:val="24"/>
          <w:highlight w:val="none"/>
        </w:rPr>
        <w:t>发包人应配合承包人加强合同工程质量与施工安全管理，鼓励承包人实施合同工程质量创优。对于合同工程质量标准高于国家规定或合同约定的质量验收合格标准的，应按照第</w:t>
      </w:r>
      <w:r>
        <w:rPr>
          <w:rFonts w:ascii="仿宋" w:hAnsi="仿宋" w:eastAsia="仿宋" w:cs="仿宋"/>
          <w:caps/>
          <w:color w:val="auto"/>
          <w:sz w:val="24"/>
          <w:szCs w:val="24"/>
          <w:highlight w:val="none"/>
        </w:rPr>
        <w:t>67</w:t>
      </w:r>
      <w:r>
        <w:rPr>
          <w:rFonts w:hint="eastAsia" w:ascii="仿宋" w:hAnsi="仿宋" w:eastAsia="仿宋" w:cs="仿宋"/>
          <w:caps/>
          <w:color w:val="auto"/>
          <w:sz w:val="24"/>
          <w:szCs w:val="24"/>
          <w:highlight w:val="none"/>
        </w:rPr>
        <w:t>条规定向承包人支付工程优质费。</w:t>
      </w:r>
    </w:p>
    <w:p>
      <w:pPr>
        <w:spacing w:line="360" w:lineRule="auto"/>
        <w:rPr>
          <w:rFonts w:ascii="仿宋" w:hAnsi="仿宋" w:eastAsia="仿宋" w:cs="Times New Roman"/>
          <w:b/>
          <w:bCs/>
          <w:caps/>
          <w:color w:val="auto"/>
          <w:sz w:val="24"/>
          <w:szCs w:val="24"/>
          <w:highlight w:val="none"/>
        </w:rPr>
      </w:pPr>
      <w:r>
        <w:rPr>
          <w:rFonts w:ascii="仿宋" w:hAnsi="仿宋" w:eastAsia="仿宋" w:cs="仿宋"/>
          <w:b/>
          <w:bCs/>
          <w:color w:val="auto"/>
          <w:sz w:val="24"/>
          <w:szCs w:val="24"/>
          <w:highlight w:val="none"/>
        </w:rPr>
        <w:t xml:space="preserve">43.2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568" name="文本框 571"/>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upright="1"/>
                    </wps:wsp>
                  </a:graphicData>
                </a:graphic>
              </wp:anchor>
            </w:drawing>
          </mc:Choice>
          <mc:Fallback>
            <w:pict>
              <v:shape id="文本框 571" o:spid="_x0000_s1026" o:spt="202" type="#_x0000_t202" style="position:absolute;left:0pt;margin-left:-9pt;margin-top:13.45pt;height:39pt;width:72pt;z-index:251831296;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cNfN&#10;1wAAAAoBAAAPAAAAAAAAAAEAIAAAACIAAABkcnMvZG93bnJldi54bWxQSwECFAAUAAAACACHTuJA&#10;ahJlALABAABRAwAADgAAAAAAAAABACAAAAAmAQAAZHJzL2Uyb0RvYy54bWxQSwUGAAAAAAYABgBZ&#10;AQAASA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pPr>
        <w:tabs>
          <w:tab w:val="left" w:pos="1620"/>
        </w:tabs>
        <w:spacing w:line="360" w:lineRule="auto"/>
        <w:rPr>
          <w:rFonts w:ascii="仿宋" w:hAnsi="仿宋" w:eastAsia="仿宋" w:cs="Times New Roman"/>
          <w:b/>
          <w:bCs/>
          <w:color w:val="auto"/>
          <w:sz w:val="24"/>
          <w:szCs w:val="24"/>
          <w:highlight w:val="none"/>
          <w:u w:val="single"/>
        </w:rPr>
      </w:pPr>
      <w:r>
        <w:rPr>
          <w:rFonts w:ascii="仿宋" w:hAnsi="仿宋" w:eastAsia="仿宋" w:cs="仿宋"/>
          <w:b/>
          <w:bCs/>
          <w:cap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85" w:name="_Toc11632"/>
      <w:bookmarkStart w:id="386" w:name="_Toc25933"/>
      <w:bookmarkStart w:id="387" w:name="_Toc16459"/>
      <w:bookmarkStart w:id="388" w:name="_Toc469384027"/>
      <w:bookmarkStart w:id="389" w:name="_Toc8465"/>
      <w:bookmarkStart w:id="390" w:name="_Toc10624867"/>
      <w:bookmarkStart w:id="391" w:name="_Toc406"/>
      <w:r>
        <w:rPr>
          <w:rFonts w:ascii="仿宋" w:hAnsi="仿宋" w:eastAsia="仿宋" w:cs="仿宋"/>
          <w:b/>
          <w:bCs/>
          <w:color w:val="auto"/>
          <w:sz w:val="24"/>
          <w:szCs w:val="24"/>
          <w:highlight w:val="none"/>
        </w:rPr>
        <w:t xml:space="preserve">44  </w:t>
      </w:r>
      <w:r>
        <w:rPr>
          <w:rFonts w:hint="eastAsia" w:ascii="仿宋" w:hAnsi="仿宋" w:eastAsia="仿宋" w:cs="仿宋"/>
          <w:b/>
          <w:bCs/>
          <w:color w:val="auto"/>
          <w:sz w:val="24"/>
          <w:szCs w:val="24"/>
          <w:highlight w:val="none"/>
        </w:rPr>
        <w:t>工程的照管</w:t>
      </w:r>
      <w:bookmarkEnd w:id="385"/>
      <w:bookmarkEnd w:id="386"/>
      <w:bookmarkEnd w:id="387"/>
      <w:bookmarkEnd w:id="388"/>
      <w:bookmarkEnd w:id="389"/>
      <w:bookmarkEnd w:id="390"/>
      <w:bookmarkEnd w:id="391"/>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569" name="文本框 572"/>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upright="1"/>
                    </wps:wsp>
                  </a:graphicData>
                </a:graphic>
              </wp:anchor>
            </w:drawing>
          </mc:Choice>
          <mc:Fallback>
            <w:pict>
              <v:shape id="文本框 572" o:spid="_x0000_s1026" o:spt="202" type="#_x0000_t202" style="position:absolute;left:0pt;margin-left:-9pt;margin-top:20.8pt;height:20.2pt;width:63pt;z-index:251832320;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eCgxNUA&#10;AAAJAQAADwAAAAAAAAABACAAAAAiAAAAZHJzL2Rvd25yZXYueG1sUEsBAhQAFAAAAAgAh07iQHMA&#10;XXqwAQAAUQMAAA4AAAAAAAAAAQAgAAAAJAEAAGRycy9lMm9Eb2MueG1sUEsFBgAAAAAGAAYAWQEA&#10;AEYFA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仿宋" w:hAnsi="仿宋" w:eastAsia="仿宋" w:cs="仿宋"/>
          <w:b/>
          <w:bCs/>
          <w:color w:val="auto"/>
          <w:sz w:val="24"/>
          <w:szCs w:val="24"/>
          <w:highlight w:val="none"/>
        </w:rPr>
        <w:t xml:space="preserve">44.1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570" name="文本框 573"/>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upright="1"/>
                    </wps:wsp>
                  </a:graphicData>
                </a:graphic>
              </wp:anchor>
            </w:drawing>
          </mc:Choice>
          <mc:Fallback>
            <w:pict>
              <v:shape id="文本框 573" o:spid="_x0000_s1026" o:spt="202" type="#_x0000_t202" style="position:absolute;left:0pt;margin-left:-9pt;margin-top:21.8pt;height:56.55pt;width:72pt;z-index:251833344;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bKxc&#10;2AAAAAoBAAAPAAAAAAAAAAEAIAAAACIAAABkcnMvZG93bnJldi54bWxQSwECFAAUAAAACACHTuJA&#10;YfvM1q8BAABRAwAADgAAAAAAAAABACAAAAAnAQAAZHJzL2Uyb0RvYy54bWxQSwUGAAAAAAYABgBZ&#10;AQAASAUAAAAA&#10;">
                <v:fill on="f" focussize="0,0"/>
                <v:stroke on="f"/>
                <v:imagedata o:title=""/>
                <o:lock v:ext="edit" aspectratio="f"/>
                <v:textbox>
                  <w:txbxContent>
                    <w:p>
                      <w:pPr>
                        <w:spacing w:line="240" w:lineRule="exact"/>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仿宋" w:hAnsi="仿宋" w:eastAsia="仿宋" w:cs="仿宋"/>
          <w:b/>
          <w:bCs/>
          <w:color w:val="auto"/>
          <w:sz w:val="24"/>
          <w:szCs w:val="24"/>
          <w:highlight w:val="none"/>
        </w:rPr>
        <w:t>44.2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pPr>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92" w:name="_Toc469384028"/>
      <w:bookmarkStart w:id="393" w:name="_Toc28522"/>
      <w:bookmarkStart w:id="394" w:name="_Toc16835"/>
      <w:bookmarkStart w:id="395" w:name="_Toc19484"/>
      <w:bookmarkStart w:id="396" w:name="_Toc10624868"/>
      <w:bookmarkStart w:id="397" w:name="_Toc17031"/>
      <w:bookmarkStart w:id="398" w:name="_Toc784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45  </w:t>
      </w:r>
      <w:bookmarkEnd w:id="392"/>
      <w:r>
        <w:rPr>
          <w:rFonts w:hint="eastAsia" w:ascii="仿宋" w:hAnsi="仿宋" w:eastAsia="仿宋" w:cs="仿宋"/>
          <w:b/>
          <w:bCs/>
          <w:color w:val="auto"/>
          <w:sz w:val="24"/>
          <w:szCs w:val="24"/>
          <w:highlight w:val="none"/>
        </w:rPr>
        <w:t>绿色施工安全防护</w:t>
      </w:r>
      <w:bookmarkEnd w:id="393"/>
      <w:bookmarkEnd w:id="394"/>
      <w:bookmarkEnd w:id="395"/>
      <w:bookmarkEnd w:id="396"/>
      <w:bookmarkEnd w:id="397"/>
      <w:bookmarkEnd w:id="398"/>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571" name="文本框 574"/>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upright="1"/>
                    </wps:wsp>
                  </a:graphicData>
                </a:graphic>
              </wp:anchor>
            </w:drawing>
          </mc:Choice>
          <mc:Fallback>
            <w:pict>
              <v:shape id="文本框 574" o:spid="_x0000_s1026" o:spt="202" type="#_x0000_t202" style="position:absolute;left:0pt;margin-left:-9pt;margin-top:17.6pt;height:54.25pt;width:77pt;z-index:251834368;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r7R&#10;E9gAAAAKAQAADwAAAAAAAAABACAAAAAiAAAAZHJzL2Rvd25yZXYueG1sUEsBAhQAFAAAAAgAh07i&#10;QJCpmOmwAQAAUQMAAA4AAAAAAAAAAQAgAAAAJwEAAGRycy9lMm9Eb2MueG1sUEsFBgAAAAAGAAYA&#10;WQEAAEkF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仿宋" w:hAnsi="仿宋" w:eastAsia="仿宋" w:cs="仿宋"/>
          <w:b/>
          <w:bCs/>
          <w:color w:val="auto"/>
          <w:sz w:val="24"/>
          <w:szCs w:val="24"/>
          <w:highlight w:val="none"/>
        </w:rPr>
        <w:t xml:space="preserve">45.1 </w:t>
      </w:r>
      <w:r>
        <w:rPr>
          <w:rFonts w:ascii="仿宋" w:hAnsi="仿宋" w:eastAsia="仿宋" w:cs="仿宋"/>
          <w:b/>
          <w:bCs/>
          <w:color w:val="auto"/>
          <w:sz w:val="24"/>
          <w:szCs w:val="24"/>
          <w:highlight w:val="none"/>
        </w:rPr>
        <w:tab/>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发包人应组织承包人和有关单位进行安全检查，授权监理工程师按合同约定的绿色施工安全防护内容监督、检查承包人实施绿色施工安全防护，并按照第</w:t>
      </w:r>
      <w:r>
        <w:rPr>
          <w:rFonts w:ascii="仿宋" w:hAnsi="仿宋" w:eastAsia="仿宋" w:cs="仿宋"/>
          <w:color w:val="auto"/>
          <w:sz w:val="24"/>
          <w:szCs w:val="24"/>
          <w:highlight w:val="none"/>
        </w:rPr>
        <w:t xml:space="preserve"> 80 </w:t>
      </w:r>
      <w:r>
        <w:rPr>
          <w:rFonts w:hint="eastAsia" w:ascii="仿宋" w:hAnsi="仿宋" w:eastAsia="仿宋" w:cs="仿宋"/>
          <w:color w:val="auto"/>
          <w:sz w:val="24"/>
          <w:szCs w:val="24"/>
          <w:highlight w:val="none"/>
        </w:rPr>
        <w:t>条规定及时向承包人支付绿色施工安全防护费。</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pPr>
        <w:adjustRightInd w:val="0"/>
        <w:snapToGrid w:val="0"/>
        <w:ind w:left="1679" w:hanging="1679" w:hangingChars="697"/>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45.2  </w:t>
      </w:r>
      <w:r>
        <w:rPr>
          <w:rFonts w:ascii="仿宋" w:hAnsi="仿宋" w:eastAsia="仿宋" w:cs="仿宋"/>
          <w:b/>
          <w:bCs/>
          <w:color w:val="auto"/>
          <w:sz w:val="24"/>
          <w:szCs w:val="24"/>
          <w:highlight w:val="none"/>
          <w:u w:val="dotted"/>
        </w:rPr>
        <w:t xml:space="preserve">                                                                               </w:t>
      </w:r>
    </w:p>
    <w:p>
      <w:pPr>
        <w:adjustRightInd w:val="0"/>
        <w:snapToGrid w:val="0"/>
        <w:ind w:left="1679" w:hanging="1679" w:hangingChars="697"/>
        <w:rPr>
          <w:rFonts w:ascii="仿宋" w:hAnsi="仿宋" w:eastAsia="仿宋" w:cs="Times New Roman"/>
          <w:b/>
          <w:bCs/>
          <w:color w:val="auto"/>
          <w:sz w:val="24"/>
          <w:szCs w:val="24"/>
          <w:highlight w:val="none"/>
        </w:rPr>
      </w:pPr>
    </w:p>
    <w:p>
      <w:pPr>
        <w:adjustRightInd w:val="0"/>
        <w:snapToGrid w:val="0"/>
        <w:spacing w:line="360" w:lineRule="auto"/>
        <w:ind w:left="1739" w:leftChars="82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房屋建筑和市政基础设施工程应按国家、省、市住房城乡建设主管部门发布的有关用工实名制、工人工资支付分账管理办法、规定等文件要求实施用工实名制、工人工资支付分账。</w:t>
      </w:r>
      <w:r>
        <w:rPr>
          <w:rFonts w:ascii="楷体_GB2312" w:hAnsi="宋体" w:eastAsia="楷体_GB2312" w:cs="楷体_GB2312"/>
          <w:b/>
          <w:bCs/>
          <w:color w:val="auto"/>
          <w:sz w:val="18"/>
          <w:szCs w:val="18"/>
          <w:highlight w:val="none"/>
        </w:rPr>
        <w:t xml:space="preserve">                                                                            </w:t>
      </w:r>
      <w:r>
        <w:rPr>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814" name="文本框 575"/>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upright="1"/>
                    </wps:wsp>
                  </a:graphicData>
                </a:graphic>
              </wp:anchor>
            </w:drawing>
          </mc:Choice>
          <mc:Fallback>
            <w:pict>
              <v:shape id="文本框 575" o:spid="_x0000_s1026" o:spt="202" type="#_x0000_t202" style="position:absolute;left:0pt;margin-left:-9pt;margin-top:0.1pt;height:47.8pt;width:77pt;z-index:252083200;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faILDV&#10;AAAABwEAAA8AAAAAAAAAAQAgAAAAIgAAAGRycy9kb3ducmV2LnhtbFBLAQIUABQAAAAIAIdO4kBC&#10;HmpOsQEAAFEDAAAOAAAAAAAAAAEAIAAAACQBAABkcnMvZTJvRG9jLnhtbFBLBQYAAAAABgAGAFkB&#10;AABH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pPr>
        <w:adjustRightInd w:val="0"/>
        <w:snapToGrid w:val="0"/>
        <w:spacing w:line="360" w:lineRule="auto"/>
        <w:ind w:left="1739" w:leftChars="82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pPr>
        <w:adjustRightInd w:val="0"/>
        <w:snapToGrid w:val="0"/>
        <w:spacing w:line="360" w:lineRule="auto"/>
        <w:ind w:left="1739" w:leftChars="828"/>
        <w:jc w:val="left"/>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建筑施工实名制以建设项目为管理单位。施工总承包企业对实名制管理负总责；专业承包企业和劳务分包企业按照合同约定，对本企业施工范围的实名制管理负责。</w:t>
      </w:r>
    </w:p>
    <w:p>
      <w:pPr>
        <w:adjustRightInd w:val="0"/>
        <w:snapToGrid w:val="0"/>
        <w:spacing w:line="360" w:lineRule="auto"/>
        <w:ind w:left="1677" w:leftChars="570" w:hanging="480" w:hangingChars="200"/>
        <w:rPr>
          <w:rFonts w:ascii="仿宋" w:hAnsi="仿宋" w:eastAsia="仿宋" w:cs="Times New Roman"/>
          <w:b/>
          <w:bCs/>
          <w:color w:val="auto"/>
          <w:sz w:val="24"/>
          <w:szCs w:val="24"/>
          <w:highlight w:val="none"/>
          <w:u w:val="dotted"/>
        </w:rPr>
      </w:pP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建设单位、施工总承包企业、专业承包企业和劳务分包企业存在违反有关文件规定情形的，需承担相应的责任。</w:t>
      </w:r>
    </w:p>
    <w:p>
      <w:pPr>
        <w:adjustRightInd w:val="0"/>
        <w:snapToGrid w:val="0"/>
        <w:spacing w:line="360" w:lineRule="auto"/>
        <w:rPr>
          <w:rFonts w:ascii="仿宋" w:hAnsi="仿宋" w:eastAsia="仿宋" w:cs="Times New Roman"/>
          <w:color w:val="auto"/>
          <w:sz w:val="24"/>
          <w:szCs w:val="24"/>
          <w:highlight w:val="none"/>
        </w:rPr>
      </w:pPr>
    </w:p>
    <w:p>
      <w:pPr>
        <w:adjustRightInd w:val="0"/>
        <w:snapToGrid w:val="0"/>
        <w:ind w:left="1679" w:hanging="1679" w:hangingChars="697"/>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45.3  </w:t>
      </w:r>
      <w:r>
        <w:rPr>
          <w:rFonts w:ascii="仿宋" w:hAnsi="仿宋" w:eastAsia="仿宋" w:cs="仿宋"/>
          <w:b/>
          <w:bCs/>
          <w:color w:val="auto"/>
          <w:sz w:val="24"/>
          <w:szCs w:val="24"/>
          <w:highlight w:val="none"/>
          <w:u w:val="dotted"/>
        </w:rPr>
        <w:t xml:space="preserve">                                                                               </w:t>
      </w:r>
    </w:p>
    <w:p>
      <w:pPr>
        <w:adjustRightInd w:val="0"/>
        <w:snapToGrid w:val="0"/>
        <w:ind w:left="1679" w:hanging="1679" w:hangingChars="697"/>
        <w:rPr>
          <w:rFonts w:ascii="仿宋" w:hAnsi="仿宋" w:eastAsia="仿宋" w:cs="Times New Roman"/>
          <w:b/>
          <w:bCs/>
          <w:color w:val="auto"/>
          <w:sz w:val="24"/>
          <w:szCs w:val="24"/>
          <w:highlight w:val="none"/>
        </w:rPr>
      </w:pP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572" name="文本框 576"/>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upright="1"/>
                    </wps:wsp>
                  </a:graphicData>
                </a:graphic>
              </wp:anchor>
            </w:drawing>
          </mc:Choice>
          <mc:Fallback>
            <w:pict>
              <v:shape id="文本框 576" o:spid="_x0000_s1026" o:spt="202" type="#_x0000_t202" style="position:absolute;left:0pt;margin-left:-9pt;margin-top:0.1pt;height:31.2pt;width:77pt;z-index:251835392;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OUMidQA&#10;AAAHAQAADwAAAAAAAAABACAAAAAiAAAAZHJzL2Rvd25yZXYueG1sUEsBAhQAFAAAAAgAh07iQOsU&#10;QPaxAQAAUQMAAA4AAAAAAAAAAQAgAAAAIwEAAGRycy9lMm9Eb2MueG1sUEsFBgAAAAAGAAYAWQEA&#10;AEYFA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sz w:val="24"/>
          <w:szCs w:val="24"/>
          <w:highlight w:val="none"/>
        </w:rPr>
        <w:t>在合同工程实施、完成及保修期间，发包人承担下列责任：</w:t>
      </w:r>
    </w:p>
    <w:p>
      <w:pPr>
        <w:adjustRightInd w:val="0"/>
        <w:snapToGrid w:val="0"/>
        <w:spacing w:line="360" w:lineRule="auto"/>
        <w:ind w:left="1619" w:leftChars="771" w:firstLine="60" w:firstLine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）发包人应配合承包人做好绿色施工安全防护工作，定期对其现场机构雇佣的全部人员进行绿色施工安全防护教育和培训。</w:t>
      </w:r>
    </w:p>
    <w:p>
      <w:pPr>
        <w:adjustRightInd w:val="0"/>
        <w:snapToGrid w:val="0"/>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）发包人应对其现场机构雇佣的全部人员的安全事故承担责任，但由于承包人原因造成发包人人员安全事故的，应由承包人承担责任。</w:t>
      </w:r>
    </w:p>
    <w:p>
      <w:pPr>
        <w:adjustRightInd w:val="0"/>
        <w:snapToGrid w:val="0"/>
        <w:spacing w:line="360" w:lineRule="auto"/>
        <w:ind w:left="1574" w:leftChars="743" w:hanging="14" w:hangingChars="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）发包人有下列行为之一或由于发包人原因造成安全事故的，由发包人承担责任，由此增加的费用和延误的工期由发包人承担。</w:t>
      </w:r>
    </w:p>
    <w:p>
      <w:pPr>
        <w:tabs>
          <w:tab w:val="left" w:pos="1980"/>
        </w:tabs>
        <w:adjustRightInd w:val="0"/>
        <w:snapToGrid w:val="0"/>
        <w:spacing w:line="360" w:lineRule="auto"/>
        <w:ind w:firstLine="1680" w:firstLineChars="7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）要求承包人违反绿色施工安全防护操作规程施工的；</w:t>
      </w:r>
    </w:p>
    <w:p>
      <w:pPr>
        <w:tabs>
          <w:tab w:val="left" w:pos="1980"/>
        </w:tabs>
        <w:adjustRightInd w:val="0"/>
        <w:snapToGrid w:val="0"/>
        <w:spacing w:line="360" w:lineRule="auto"/>
        <w:ind w:left="1619" w:leftChars="771" w:firstLine="60" w:firstLineChars="2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）对承包人提出不符合国家、省有关安绿色施工安全防护全文明施工法律和强制性标准规定要求的；</w:t>
      </w:r>
    </w:p>
    <w:p>
      <w:pPr>
        <w:tabs>
          <w:tab w:val="left" w:pos="1980"/>
        </w:tabs>
        <w:adjustRightInd w:val="0"/>
        <w:snapToGrid w:val="0"/>
        <w:spacing w:line="360" w:lineRule="auto"/>
        <w:ind w:left="1676" w:leftChars="798"/>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）明示或暗示承包人购买、租赁、使用不符合安全施工要求的安全防护用具、机械设备、施工机具及配件、消防设施和器材的。</w:t>
      </w:r>
    </w:p>
    <w:p>
      <w:pPr>
        <w:tabs>
          <w:tab w:val="left" w:pos="1980"/>
        </w:tabs>
        <w:adjustRightInd w:val="0"/>
        <w:snapToGrid w:val="0"/>
        <w:spacing w:line="360" w:lineRule="auto"/>
        <w:ind w:left="1676" w:leftChars="798"/>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）发包人应负责赔偿下列情形造成的第三者人身伤亡和财产损失。</w:t>
      </w:r>
    </w:p>
    <w:p>
      <w:pPr>
        <w:tabs>
          <w:tab w:val="left" w:pos="1980"/>
        </w:tabs>
        <w:adjustRightInd w:val="0"/>
        <w:snapToGrid w:val="0"/>
        <w:spacing w:line="360" w:lineRule="auto"/>
        <w:ind w:left="1676" w:leftChars="798"/>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）工程或工程的任何部分对土地的占用所造成的第三者财产损失；</w:t>
      </w:r>
    </w:p>
    <w:p>
      <w:pPr>
        <w:adjustRightInd w:val="0"/>
        <w:snapToGrid w:val="0"/>
        <w:spacing w:line="360" w:lineRule="auto"/>
        <w:ind w:left="1796" w:leftChars="798" w:hanging="120" w:hangingChars="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）由于发包人原因在施工场地及其毗邻造成的第三者人身伤亡和财产损失。</w:t>
      </w:r>
    </w:p>
    <w:p>
      <w:pPr>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45.4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573" name="文本框 577"/>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upright="1"/>
                    </wps:wsp>
                  </a:graphicData>
                </a:graphic>
              </wp:anchor>
            </w:drawing>
          </mc:Choice>
          <mc:Fallback>
            <w:pict>
              <v:shape id="文本框 577" o:spid="_x0000_s1026" o:spt="202" type="#_x0000_t202" style="position:absolute;left:0pt;margin-left:-9pt;margin-top:15.6pt;height:44.65pt;width:81pt;z-index:251836416;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FmwW&#10;2AAAAAoBAAAPAAAAAAAAAAEAIAAAACIAAABkcnMvZG93bnJldi54bWxQSwECFAAUAAAACACHTuJA&#10;jAYVOK8BAABSAwAADgAAAAAAAAABACAAAAAn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在合同工程实施、完成及保修期间，承包人承担下列责任：</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）承包人应严格按照国家、省、市有关绿色施工安全防护的标准、内容与规范制定绿色施工安全防护操作规程，配备必要的安全生产和劳动保护设施，加强对承包人人员的施工安全教育和培训。</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）承包人应对合同工程的绿色施工安全防护负责，采取有效的安全措施消除安全事故隐患，并接受和配合依法实施的监督检查。</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）承包人应按监理工程师的指令制定应对灾害的紧急预案，并按预案做好安全检查，配置必要的救助物资和器材，切实保护好有关人员的人身和财产安全。</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）承包人违反本条规定或由于承包人原因造成安全事故的，由承包人承担责任，由此增加的费用和延误的工期由承包人承担。</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）承包人应对其履行合同所雇佣的全部人员，包括分包人人员的安全事故承担责任，但由于发包人原因造成承包人人员安全事故的，应由发包人承担责任。</w:t>
      </w:r>
    </w:p>
    <w:p>
      <w:pPr>
        <w:adjustRightInd w:val="0"/>
        <w:snapToGrid w:val="0"/>
        <w:spacing w:line="360" w:lineRule="auto"/>
        <w:ind w:left="1619" w:leftChars="771" w:firstLine="60" w:firstLineChars="2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）由于承包人原因在施工场地内及其毗邻造成的第三者人身伤亡和财产损失，由承包人负责赔偿。</w:t>
      </w:r>
    </w:p>
    <w:p>
      <w:pPr>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45.5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574" name="文本框 578"/>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upright="1"/>
                    </wps:wsp>
                  </a:graphicData>
                </a:graphic>
              </wp:anchor>
            </w:drawing>
          </mc:Choice>
          <mc:Fallback>
            <w:pict>
              <v:shape id="文本框 578" o:spid="_x0000_s1026" o:spt="202" type="#_x0000_t202" style="position:absolute;left:0pt;margin-left:-9pt;margin-top:17.3pt;height:37.75pt;width:75.15pt;z-index:251837440;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sewa&#10;1wAAAAoBAAAPAAAAAAAAAAEAIAAAACIAAABkcnMvZG93bnJldi54bWxQSwECFAAUAAAACACHTuJA&#10;cHh9WLABAABRAwAADgAAAAAAAAABACAAAAAm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小时内仍未整改的，监理工程师可在报经发包人批准后委托第三方采取措施。该款项经造价工程师核实后，由发包人从应付或将付给承包人的款项中扣除。</w:t>
      </w:r>
    </w:p>
    <w:p>
      <w:pPr>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45.6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575" name="文本框 579"/>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upright="1"/>
                    </wps:wsp>
                  </a:graphicData>
                </a:graphic>
              </wp:anchor>
            </w:drawing>
          </mc:Choice>
          <mc:Fallback>
            <w:pict>
              <v:shape id="文本框 579" o:spid="_x0000_s1026" o:spt="202" type="#_x0000_t202" style="position:absolute;left:0pt;margin-left:-6.6pt;margin-top:0.9pt;height:56.7pt;width:63pt;z-index:251838464;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2BGNHUAAAA&#10;CQEAAA8AAAAAAAAAAQAgAAAAIgAAAGRycy9kb3ducmV2LnhtbFBLAQIUABQAAAAIAIdO4kAydPI0&#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sz w:val="24"/>
          <w:szCs w:val="24"/>
          <w:highlight w:val="none"/>
        </w:rPr>
        <w:t>合同双方当事人不仅应协助现场治安管理机构或联防组织维护施工场地的社会治安，而且应做好包括有关人员现场生活、居住场所在内的施工场地内的治安保卫工作。</w:t>
      </w:r>
    </w:p>
    <w:p>
      <w:pPr>
        <w:adjustRightInd w:val="0"/>
        <w:snapToGrid w:val="0"/>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pPr>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45.7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576" name="文本框 580"/>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upright="1"/>
                    </wps:wsp>
                  </a:graphicData>
                </a:graphic>
              </wp:anchor>
            </w:drawing>
          </mc:Choice>
          <mc:Fallback>
            <w:pict>
              <v:shape id="文本框 580" o:spid="_x0000_s1026" o:spt="202" type="#_x0000_t202" style="position:absolute;left:0pt;margin-left:-5.8pt;margin-top:1.25pt;height:51.25pt;width:68.8pt;z-index:251839488;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8AZv1gAA&#10;AAkBAAAPAAAAAAAAAAEAIAAAACIAAABkcnMvZG93bnJldi54bWxQSwECFAAUAAAACACHTuJABRtk&#10;2q4BAABRAwAADgAAAAAAAAABACAAAAAlAQAAZHJzL2Uyb0RvYy54bWxQSwUGAAAAAAYABgBZAQAA&#10;RQ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仿宋" w:hAnsi="仿宋" w:eastAsia="仿宋" w:cs="仿宋"/>
          <w:color w:val="auto"/>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清理现场，运走全部施工设备、剩余材料和垃圾，保持施工场地和合同工程的清洁整齐。否则，发包人可自行处理或委托第三方处理留下的物品，所得金额在扣除由此发生的费用之后，将余额退还给承包人。</w:t>
      </w:r>
    </w:p>
    <w:p>
      <w:pPr>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45.8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aps/>
          <w:color w:val="auto"/>
          <w:sz w:val="24"/>
          <w:szCs w:val="24"/>
          <w:highlight w:val="none"/>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577" name="文本框 581"/>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upright="1"/>
                    </wps:wsp>
                  </a:graphicData>
                </a:graphic>
              </wp:anchor>
            </w:drawing>
          </mc:Choice>
          <mc:Fallback>
            <w:pict>
              <v:shape id="文本框 581" o:spid="_x0000_s1026" o:spt="202" type="#_x0000_t202" style="position:absolute;left:0pt;margin-left:0pt;margin-top:1.35pt;height:46.8pt;width:68.8pt;z-index:25184051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3p0w1AAA&#10;AAUBAAAPAAAAAAAAAAEAIAAAACIAAABkcnMvZG93bnJldi54bWxQSwECFAAUAAAACACHTuJAgVS0&#10;nrABAABR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仿宋" w:hAnsi="仿宋" w:eastAsia="仿宋" w:cs="仿宋"/>
          <w:caps/>
          <w:color w:val="auto"/>
          <w:sz w:val="24"/>
          <w:szCs w:val="24"/>
          <w:highlight w:val="none"/>
        </w:rPr>
        <w:t>发包人应配合承包人加强</w:t>
      </w:r>
      <w:r>
        <w:rPr>
          <w:rFonts w:hint="eastAsia" w:ascii="仿宋" w:hAnsi="仿宋" w:eastAsia="仿宋" w:cs="仿宋"/>
          <w:color w:val="auto"/>
          <w:sz w:val="24"/>
          <w:szCs w:val="24"/>
          <w:highlight w:val="none"/>
        </w:rPr>
        <w:t>绿色施工安全防护</w:t>
      </w:r>
      <w:r>
        <w:rPr>
          <w:rFonts w:hint="eastAsia" w:ascii="仿宋" w:hAnsi="仿宋" w:eastAsia="仿宋" w:cs="仿宋"/>
          <w:caps/>
          <w:color w:val="auto"/>
          <w:sz w:val="24"/>
          <w:szCs w:val="24"/>
          <w:highlight w:val="none"/>
        </w:rPr>
        <w:t>管理，鼓励承包人实施省、市级或其它级别文明工地。对于工程获得省、市级或其它级别文明工地的，应按照第</w:t>
      </w:r>
      <w:r>
        <w:rPr>
          <w:rFonts w:ascii="仿宋" w:hAnsi="仿宋" w:eastAsia="仿宋" w:cs="仿宋"/>
          <w:caps/>
          <w:color w:val="auto"/>
          <w:sz w:val="24"/>
          <w:szCs w:val="24"/>
          <w:highlight w:val="none"/>
        </w:rPr>
        <w:t>80</w:t>
      </w:r>
      <w:r>
        <w:rPr>
          <w:rFonts w:hint="eastAsia" w:ascii="仿宋" w:hAnsi="仿宋" w:eastAsia="仿宋" w:cs="仿宋"/>
          <w:caps/>
          <w:color w:val="auto"/>
          <w:sz w:val="24"/>
          <w:szCs w:val="24"/>
          <w:highlight w:val="none"/>
        </w:rPr>
        <w:t>条规定向承包人支付文明工地增加费。</w:t>
      </w:r>
    </w:p>
    <w:p>
      <w:pPr>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45.9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仿宋"/>
          <w:caps/>
          <w:color w:val="auto"/>
          <w:sz w:val="24"/>
          <w:szCs w:val="24"/>
          <w:highlight w:val="none"/>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808" name="文本框 582"/>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upright="1"/>
                    </wps:wsp>
                  </a:graphicData>
                </a:graphic>
              </wp:anchor>
            </w:drawing>
          </mc:Choice>
          <mc:Fallback>
            <w:pict>
              <v:shape id="文本框 582" o:spid="_x0000_s1026" o:spt="202" type="#_x0000_t202" style="position:absolute;left:0pt;margin-left:0pt;margin-top:1.35pt;height:46.8pt;width:68.8pt;z-index:252077056;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7enTDUAAAA&#10;BQEAAA8AAAAAAAAAAQAgAAAAIgAAAGRycy9kb3ducmV2LnhtbFBLAQIUABQAAAAIAIdO4kAMcWRv&#10;rwEAAFEDAAAOAAAAAAAAAAEAIAAAACMBAABkcnMvZTJvRG9jLnhtbFBLBQYAAAAABgAGAFkBAABE&#10;BQ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aps/>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adjustRightInd w:val="0"/>
        <w:snapToGrid w:val="0"/>
        <w:spacing w:line="360" w:lineRule="auto"/>
        <w:ind w:left="1619" w:leftChars="771"/>
        <w:rPr>
          <w:rFonts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实施爆破作业，在放射、毒害性环境中施工（含储存、运输、使用）及使用毒害性、腐蚀性物品施工时，承包人应在施工前</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天以书面通知发包人和监理人，并报送相应的安全防护措施，经发包人认可后实施。</w:t>
      </w:r>
    </w:p>
    <w:p>
      <w:pPr>
        <w:adjustRightInd w:val="0"/>
        <w:snapToGrid w:val="0"/>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需单独编制危险性较大分部分项专项工程施工方案的，及要求进行专家论证的超过一定规模的危险性较大的分部分项工程，承包人应及时编制和组织论证。</w:t>
      </w:r>
    </w:p>
    <w:p>
      <w:pPr>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399" w:name="_Toc11889"/>
      <w:bookmarkStart w:id="400" w:name="_Toc469384029"/>
      <w:bookmarkStart w:id="401" w:name="_Toc7003"/>
      <w:bookmarkStart w:id="402" w:name="_Toc10624869"/>
      <w:bookmarkStart w:id="403" w:name="_Toc18953"/>
      <w:bookmarkStart w:id="404" w:name="_Toc19217"/>
      <w:bookmarkStart w:id="405" w:name="_Toc19410"/>
      <w:r>
        <w:rPr>
          <w:rFonts w:ascii="仿宋" w:hAnsi="仿宋" w:eastAsia="仿宋" w:cs="仿宋"/>
          <w:b/>
          <w:bCs/>
          <w:color w:val="auto"/>
          <w:sz w:val="24"/>
          <w:szCs w:val="24"/>
          <w:highlight w:val="none"/>
        </w:rPr>
        <w:t xml:space="preserve">46  </w:t>
      </w:r>
      <w:r>
        <w:rPr>
          <w:rFonts w:hint="eastAsia" w:ascii="仿宋" w:hAnsi="仿宋" w:eastAsia="仿宋" w:cs="仿宋"/>
          <w:b/>
          <w:bCs/>
          <w:color w:val="auto"/>
          <w:sz w:val="24"/>
          <w:szCs w:val="24"/>
          <w:highlight w:val="none"/>
        </w:rPr>
        <w:t>测量放线</w:t>
      </w:r>
      <w:bookmarkEnd w:id="399"/>
      <w:bookmarkEnd w:id="400"/>
      <w:bookmarkEnd w:id="401"/>
      <w:bookmarkEnd w:id="402"/>
      <w:bookmarkEnd w:id="403"/>
      <w:bookmarkEnd w:id="404"/>
      <w:bookmarkEnd w:id="405"/>
    </w:p>
    <w:p>
      <w:pPr>
        <w:pStyle w:val="7"/>
        <w:tabs>
          <w:tab w:val="left" w:pos="1202"/>
        </w:tabs>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578" name="文本框 583"/>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wps:txbx>
                      <wps:bodyPr upright="1"/>
                    </wps:wsp>
                  </a:graphicData>
                </a:graphic>
              </wp:anchor>
            </w:drawing>
          </mc:Choice>
          <mc:Fallback>
            <w:pict>
              <v:shape id="文本框 583" o:spid="_x0000_s1026" o:spt="202" type="#_x0000_t202" style="position:absolute;left:0pt;margin-left:-9pt;margin-top:22.55pt;height:43pt;width:72pt;z-index:251841536;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et63nX&#10;AAAACgEAAA8AAAAAAAAAAQAgAAAAIgAAAGRycy9kb3ducmV2LnhtbFBLAQIUABQAAAAIAIdO4kD7&#10;utEKrwEAAFEDAAAOAAAAAAAAAAEAIAAAACYBAABkcnMvZTJvRG9jLnhtbFBLBQYAAAAABgAGAFkB&#10;AABHBQAAAAA=&#10;">
                <v:fill on="f" focussize="0,0"/>
                <v:stroke on="f"/>
                <v:imagedata o:title=""/>
                <o:lock v:ext="edit" aspectratio="f"/>
                <v:textbox>
                  <w:txbxContent>
                    <w:p>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仿宋" w:hAnsi="仿宋" w:eastAsia="仿宋" w:cs="仿宋"/>
          <w:b/>
          <w:bCs/>
          <w:color w:val="auto"/>
          <w:sz w:val="24"/>
          <w:szCs w:val="24"/>
          <w:highlight w:val="none"/>
        </w:rPr>
        <w:t>46.1</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监理工程师应在发出开工令后的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pPr>
        <w:adjustRightInd w:val="0"/>
        <w:snapToGrid w:val="0"/>
        <w:spacing w:line="360" w:lineRule="auto"/>
        <w:ind w:left="1619" w:leftChars="771"/>
        <w:rPr>
          <w:rFonts w:ascii="仿宋" w:hAnsi="仿宋" w:eastAsia="仿宋" w:cs="Times New Roman"/>
          <w:color w:val="auto"/>
          <w:sz w:val="24"/>
          <w:szCs w:val="24"/>
          <w:highlight w:val="none"/>
        </w:rPr>
      </w:pPr>
    </w:p>
    <w:p>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46.2  </w:t>
      </w:r>
      <w:r>
        <w:rPr>
          <w:rFonts w:ascii="仿宋" w:hAnsi="仿宋" w:eastAsia="仿宋" w:cs="仿宋"/>
          <w:b/>
          <w:bCs/>
          <w:color w:val="auto"/>
          <w:sz w:val="24"/>
          <w:szCs w:val="24"/>
          <w:highlight w:val="none"/>
          <w:u w:val="dotted"/>
        </w:rPr>
        <w:t xml:space="preserve">                                                                              </w:t>
      </w:r>
    </w:p>
    <w:p>
      <w:pPr>
        <w:adjustRightInd w:val="0"/>
        <w:snapToGrid w:val="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579" name="文本框 584"/>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upright="1"/>
                    </wps:wsp>
                  </a:graphicData>
                </a:graphic>
              </wp:anchor>
            </w:drawing>
          </mc:Choice>
          <mc:Fallback>
            <w:pict>
              <v:shape id="文本框 584" o:spid="_x0000_s1026" o:spt="202" type="#_x0000_t202" style="position:absolute;left:0pt;margin-left:-9pt;margin-top:16.9pt;height:53.35pt;width:72pt;z-index:251842560;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k0tp&#10;1wAAAAoBAAAPAAAAAAAAAAEAIAAAACIAAABkcnMvZG93bnJldi54bWxQSwECFAAUAAAACACHTuJA&#10;5QCGlrABAABRAwAADgAAAAAAAAABACAAAAAmAQAAZHJzL2Uyb0RvYy54bWxQSwUGAAAAAAYABgBZ&#10;AQAASAU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监理工程师需要使用施工控制网的，承包人应提供必要的协助，发包人无需为此支付任何费用。</w:t>
      </w:r>
    </w:p>
    <w:p>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46.3  </w:t>
      </w:r>
      <w:r>
        <w:rPr>
          <w:rFonts w:ascii="仿宋" w:hAnsi="仿宋" w:eastAsia="仿宋" w:cs="仿宋"/>
          <w:b/>
          <w:bCs/>
          <w:color w:val="auto"/>
          <w:sz w:val="24"/>
          <w:szCs w:val="24"/>
          <w:highlight w:val="none"/>
          <w:u w:val="dotted"/>
        </w:rPr>
        <w:t xml:space="preserve">                                                                              </w:t>
      </w:r>
    </w:p>
    <w:p>
      <w:pPr>
        <w:adjustRightInd w:val="0"/>
        <w:snapToGrid w:val="0"/>
        <w:rPr>
          <w:rFonts w:ascii="仿宋" w:hAnsi="仿宋" w:eastAsia="仿宋" w:cs="Times New Roman"/>
          <w:color w:val="auto"/>
          <w:sz w:val="24"/>
          <w:szCs w:val="24"/>
          <w:highlight w:val="none"/>
        </w:rPr>
      </w:pP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580" name="文本框 585"/>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upright="1"/>
                    </wps:wsp>
                  </a:graphicData>
                </a:graphic>
              </wp:anchor>
            </w:drawing>
          </mc:Choice>
          <mc:Fallback>
            <w:pict>
              <v:shape id="文本框 585" o:spid="_x0000_s1026" o:spt="202" type="#_x0000_t202" style="position:absolute;left:0pt;margin-left:-9pt;margin-top:-0.5pt;height:42.6pt;width:72pt;z-index:251843584;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LLC81QAA&#10;AAkBAAAPAAAAAAAAAAEAIAAAACIAAABkcnMvZG93bnJldi54bWxQSwECFAAUAAAACACHTuJAvwPw&#10;B68BAABRAwAADgAAAAAAAAABACAAAAAkAQAAZHJzL2Uyb0RvYy54bWxQSwUGAAAAAAYABgBZAQAA&#10;RQUAAAAA&#10;">
                <v:fill on="f" focussize="0,0"/>
                <v:stroke on="f"/>
                <v:imagedata o:title=""/>
                <o:lock v:ext="edit" aspectratio="f"/>
                <v:textbox>
                  <w:txbxContent>
                    <w:p>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pPr>
        <w:pStyle w:val="7"/>
        <w:tabs>
          <w:tab w:val="left" w:pos="720"/>
          <w:tab w:val="left" w:pos="1080"/>
        </w:tabs>
        <w:adjustRightInd w:val="0"/>
        <w:snapToGrid w:val="0"/>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46.4 </w:t>
      </w:r>
      <w:r>
        <w:rPr>
          <w:rFonts w:ascii="仿宋" w:hAnsi="仿宋" w:eastAsia="仿宋" w:cs="仿宋"/>
          <w:b/>
          <w:bCs/>
          <w:color w:val="auto"/>
          <w:sz w:val="24"/>
          <w:szCs w:val="24"/>
          <w:highlight w:val="none"/>
          <w:u w:val="dotted"/>
        </w:rPr>
        <w:t xml:space="preserve">                                                                               </w:t>
      </w:r>
    </w:p>
    <w:p>
      <w:pPr>
        <w:rPr>
          <w:color w:val="auto"/>
          <w:highlight w:val="none"/>
        </w:rPr>
      </w:pP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581" name="文本框 586"/>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upright="1"/>
                    </wps:wsp>
                  </a:graphicData>
                </a:graphic>
              </wp:anchor>
            </w:drawing>
          </mc:Choice>
          <mc:Fallback>
            <w:pict>
              <v:shape id="文本框 586" o:spid="_x0000_s1026" o:spt="202" type="#_x0000_t202" style="position:absolute;left:0pt;margin-left:-5.25pt;margin-top:0.65pt;height:29.6pt;width:72pt;z-index:251844608;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ssAs0wAA&#10;AAgBAAAPAAAAAAAAAAEAIAAAACIAAABkcnMvZG93bnJldi54bWxQSwECFAAUAAAACACHTuJAm/7J&#10;F7EBAABRAwAADgAAAAAAAAABACAAAAAi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pPr>
        <w:pStyle w:val="7"/>
        <w:tabs>
          <w:tab w:val="left" w:pos="720"/>
          <w:tab w:val="left" w:pos="1080"/>
        </w:tabs>
        <w:adjustRightInd w:val="0"/>
        <w:snapToGrid w:val="0"/>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46.5 </w:t>
      </w:r>
      <w:r>
        <w:rPr>
          <w:rFonts w:ascii="仿宋" w:hAnsi="仿宋" w:eastAsia="仿宋" w:cs="仿宋"/>
          <w:b/>
          <w:bCs/>
          <w:color w:val="auto"/>
          <w:sz w:val="24"/>
          <w:szCs w:val="24"/>
          <w:highlight w:val="none"/>
          <w:u w:val="dotted"/>
        </w:rPr>
        <w:t xml:space="preserve">                                                                         </w:t>
      </w: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582" name="文本框 587"/>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upright="1"/>
                    </wps:wsp>
                  </a:graphicData>
                </a:graphic>
              </wp:anchor>
            </w:drawing>
          </mc:Choice>
          <mc:Fallback>
            <w:pict>
              <v:shape id="文本框 587" o:spid="_x0000_s1026" o:spt="202" type="#_x0000_t202" style="position:absolute;left:0pt;margin-left:-9pt;margin-top:21.9pt;height:35.3pt;width:72pt;z-index:251845632;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Eup&#10;T9cAAAAKAQAADwAAAAAAAAABACAAAAAiAAAAZHJzL2Rvd25yZXYueG1sUEsBAhQAFAAAAAgAh07i&#10;QKXIbS2xAQAAUQMAAA4AAAAAAAAAAQAgAAAAJgEAAGRycy9lMm9Eb2MueG1sUEsFBgAAAAAGAAYA&#10;WQEAAEk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pPr>
        <w:pStyle w:val="7"/>
        <w:tabs>
          <w:tab w:val="left" w:pos="2070"/>
        </w:tabs>
        <w:adjustRightInd w:val="0"/>
        <w:snapToGrid w:val="0"/>
        <w:spacing w:line="240" w:lineRule="exact"/>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06" w:name="_Toc28919"/>
      <w:bookmarkStart w:id="407" w:name="_Toc10624870"/>
      <w:bookmarkStart w:id="408" w:name="_Toc6472"/>
      <w:bookmarkStart w:id="409" w:name="_Toc469384030"/>
      <w:bookmarkStart w:id="410" w:name="_Toc959"/>
      <w:bookmarkStart w:id="411" w:name="_Toc6305"/>
      <w:bookmarkStart w:id="412" w:name="_Toc30852"/>
      <w:r>
        <w:rPr>
          <w:rFonts w:ascii="仿宋" w:hAnsi="仿宋" w:eastAsia="仿宋" w:cs="仿宋"/>
          <w:b/>
          <w:bCs/>
          <w:color w:val="auto"/>
          <w:sz w:val="24"/>
          <w:szCs w:val="24"/>
          <w:highlight w:val="none"/>
        </w:rPr>
        <w:t xml:space="preserve">47  </w:t>
      </w:r>
      <w:r>
        <w:rPr>
          <w:rFonts w:hint="eastAsia" w:ascii="仿宋" w:hAnsi="仿宋" w:eastAsia="仿宋" w:cs="仿宋"/>
          <w:b/>
          <w:bCs/>
          <w:color w:val="auto"/>
          <w:sz w:val="24"/>
          <w:szCs w:val="24"/>
          <w:highlight w:val="none"/>
        </w:rPr>
        <w:t>钻孔与勘探性开挖</w:t>
      </w:r>
      <w:bookmarkEnd w:id="406"/>
      <w:bookmarkEnd w:id="407"/>
      <w:bookmarkEnd w:id="408"/>
      <w:bookmarkEnd w:id="409"/>
      <w:bookmarkEnd w:id="410"/>
      <w:bookmarkEnd w:id="411"/>
      <w:bookmarkEnd w:id="412"/>
    </w:p>
    <w:p>
      <w:pPr>
        <w:pStyle w:val="7"/>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583" name="文本框 588"/>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upright="1"/>
                    </wps:wsp>
                  </a:graphicData>
                </a:graphic>
              </wp:anchor>
            </w:drawing>
          </mc:Choice>
          <mc:Fallback>
            <w:pict>
              <v:shape id="文本框 588" o:spid="_x0000_s1026" o:spt="202" type="#_x0000_t202" style="position:absolute;left:0pt;margin-left:-10.5pt;margin-top:22.45pt;height:51.05pt;width:72pt;z-index:251846656;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i2aq&#10;1wAAAAoBAAAPAAAAAAAAAAEAIAAAACIAAABkcnMvZG93bnJldi54bWxQSwECFAAUAAAACACHTuJA&#10;kZnKPrABAABRAwAADgAAAAAAAAABACAAAAAm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仿宋" w:hAnsi="仿宋" w:eastAsia="仿宋" w:cs="仿宋"/>
          <w:b/>
          <w:bCs/>
          <w:color w:val="auto"/>
          <w:sz w:val="24"/>
          <w:szCs w:val="24"/>
          <w:highlight w:val="none"/>
        </w:rPr>
        <w:t>47.1</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在施工过程中，如果需要承包人进行钻孔或勘探性开挖（含疏浚工作在内）工作的，监理工程师应就此项工作按照第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条规定书面发出专项指令。承包人在接到监理工程师指令后，应及时实施相关工作。</w:t>
      </w:r>
    </w:p>
    <w:p>
      <w:pPr>
        <w:pStyle w:val="7"/>
        <w:tabs>
          <w:tab w:val="left" w:pos="720"/>
          <w:tab w:val="left" w:pos="1080"/>
        </w:tabs>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584" name="文本框 589"/>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rFonts w:cs="Times New Roman"/>
                                <w:sz w:val="18"/>
                                <w:szCs w:val="18"/>
                              </w:rPr>
                            </w:pPr>
                          </w:p>
                        </w:txbxContent>
                      </wps:txbx>
                      <wps:bodyPr upright="1"/>
                    </wps:wsp>
                  </a:graphicData>
                </a:graphic>
              </wp:anchor>
            </w:drawing>
          </mc:Choice>
          <mc:Fallback>
            <w:pict>
              <v:shape id="文本框 589" o:spid="_x0000_s1026" o:spt="202" type="#_x0000_t202" style="position:absolute;left:0pt;margin-left:-10.5pt;margin-top:15.7pt;height:55.05pt;width:72pt;z-index:251847680;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QzzG&#10;1wAAAAoBAAAPAAAAAAAAAAEAIAAAACIAAABkcnMvZG93bnJldi54bWxQSwECFAAUAAAACACHTuJA&#10;aS3bSrABAABRAwAADgAAAAAAAAABACAAAAAm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pPr>
                        <w:spacing w:line="200" w:lineRule="exact"/>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47.2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除工程量清单中已列有此类工作的支付项目和额度外，此项工作所发生的一切费用，经造价工程师核实后，由合同双方当事人按照第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条规定办理。</w:t>
      </w:r>
    </w:p>
    <w:p>
      <w:pPr>
        <w:pStyle w:val="13"/>
        <w:tabs>
          <w:tab w:val="left" w:pos="540"/>
        </w:tabs>
        <w:adjustRightInd w:val="0"/>
        <w:snapToGrid w:val="0"/>
        <w:spacing w:before="312" w:beforeLines="100" w:line="240" w:lineRule="exac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7"/>
        <w:adjustRightInd w:val="0"/>
        <w:snapToGrid w:val="0"/>
        <w:spacing w:line="360" w:lineRule="auto"/>
        <w:ind w:firstLine="0"/>
        <w:outlineLvl w:val="2"/>
        <w:rPr>
          <w:rFonts w:ascii="仿宋" w:hAnsi="仿宋" w:eastAsia="仿宋"/>
          <w:b/>
          <w:bCs/>
          <w:color w:val="auto"/>
          <w:sz w:val="24"/>
          <w:szCs w:val="24"/>
          <w:highlight w:val="none"/>
        </w:rPr>
      </w:pPr>
      <w:bookmarkStart w:id="413" w:name="_Toc23730"/>
      <w:bookmarkStart w:id="414" w:name="_Toc28416"/>
      <w:bookmarkStart w:id="415" w:name="_Toc12929"/>
      <w:bookmarkStart w:id="416" w:name="_Toc30066"/>
      <w:bookmarkStart w:id="417" w:name="_Toc10624871"/>
      <w:bookmarkStart w:id="418" w:name="_Toc469384031"/>
      <w:bookmarkStart w:id="419" w:name="_Toc15334"/>
      <w:r>
        <w:rPr>
          <w:rFonts w:ascii="仿宋" w:hAnsi="仿宋" w:eastAsia="仿宋" w:cs="仿宋"/>
          <w:b/>
          <w:bCs/>
          <w:color w:val="auto"/>
          <w:sz w:val="24"/>
          <w:szCs w:val="24"/>
          <w:highlight w:val="none"/>
        </w:rPr>
        <w:t xml:space="preserve">48  </w:t>
      </w:r>
      <w:r>
        <w:rPr>
          <w:rFonts w:hint="eastAsia" w:ascii="仿宋" w:hAnsi="仿宋" w:eastAsia="仿宋" w:cs="仿宋"/>
          <w:b/>
          <w:bCs/>
          <w:color w:val="auto"/>
          <w:sz w:val="24"/>
          <w:szCs w:val="24"/>
          <w:highlight w:val="none"/>
        </w:rPr>
        <w:t>发包人供应材料和工程设备</w:t>
      </w:r>
      <w:bookmarkEnd w:id="413"/>
      <w:bookmarkEnd w:id="414"/>
      <w:bookmarkEnd w:id="415"/>
      <w:bookmarkEnd w:id="416"/>
      <w:bookmarkEnd w:id="417"/>
      <w:bookmarkEnd w:id="418"/>
      <w:bookmarkEnd w:id="419"/>
    </w:p>
    <w:p>
      <w:pPr>
        <w:pStyle w:val="7"/>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585" name="文本框 590"/>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upright="1"/>
                    </wps:wsp>
                  </a:graphicData>
                </a:graphic>
              </wp:anchor>
            </w:drawing>
          </mc:Choice>
          <mc:Fallback>
            <w:pict>
              <v:shape id="文本框 590" o:spid="_x0000_s1026" o:spt="202" type="#_x0000_t202" style="position:absolute;left:0pt;margin-left:-9pt;margin-top:21.95pt;height:40.55pt;width:72pt;z-index:251848704;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OhIONcA&#10;AAAKAQAADwAAAAAAAAABACAAAAAiAAAAZHJzL2Rvd25yZXYueG1sUEsBAhQAFAAAAAgAh07iQDD9&#10;oSOuAQAAUQMAAA4AAAAAAAAAAQAgAAAAJg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仿宋" w:hAnsi="仿宋" w:eastAsia="仿宋" w:cs="仿宋"/>
          <w:b/>
          <w:bCs/>
          <w:color w:val="auto"/>
          <w:sz w:val="24"/>
          <w:szCs w:val="24"/>
          <w:highlight w:val="none"/>
        </w:rPr>
        <w:t>48.1</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pPr>
        <w:pStyle w:val="7"/>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48.2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7"/>
        <w:adjustRightInd w:val="0"/>
        <w:snapToGrid w:val="0"/>
        <w:spacing w:line="360" w:lineRule="auto"/>
        <w:ind w:left="1575" w:leftChars="750"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586" name="文本框 591"/>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upright="1"/>
                    </wps:wsp>
                  </a:graphicData>
                </a:graphic>
              </wp:anchor>
            </w:drawing>
          </mc:Choice>
          <mc:Fallback>
            <w:pict>
              <v:shape id="文本框 591" o:spid="_x0000_s1026" o:spt="202" type="#_x0000_t202" style="position:absolute;left:0pt;margin-left:-5.25pt;margin-top:3.75pt;height:40.55pt;width:72pt;z-index:251849728;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0Z4C81QAA&#10;AAgBAAAPAAAAAAAAAAEAIAAAACIAAABkcnMvZG93bnJldi54bWxQSwECFAAUAAAACACHTuJACEcA&#10;vq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sz w:val="24"/>
          <w:szCs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pPr>
        <w:pStyle w:val="7"/>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48.3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587" name="文本框 592"/>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upright="1"/>
                    </wps:wsp>
                  </a:graphicData>
                </a:graphic>
              </wp:anchor>
            </w:drawing>
          </mc:Choice>
          <mc:Fallback>
            <w:pict>
              <v:shape id="文本框 592" o:spid="_x0000_s1026" o:spt="202" type="#_x0000_t202" style="position:absolute;left:0pt;margin-left:-9pt;margin-top:0.2pt;height:35.65pt;width:76.2pt;z-index:251850752;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813xdUA&#10;AAAHAQAADwAAAAAAAAABACAAAAAiAAAAZHJzL2Rvd25yZXYueG1sUEsBAhQAFAAAAAgAh07iQLy7&#10;BAKwAQAAUQ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仿宋" w:hAnsi="仿宋" w:eastAsia="仿宋" w:cs="仿宋"/>
          <w:color w:val="auto"/>
          <w:sz w:val="24"/>
          <w:szCs w:val="24"/>
          <w:highlight w:val="none"/>
        </w:rPr>
        <w:t>发包人应按照一览表内容和第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款交货日期向承包人供应材料和工程设备，并提供产品质量合格证明文件，对材料和工程设备质量负责。发包人应在材料和工程设备到货前至少提前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小时，以书面形式通知承包人和监理工程师，并在监理工程师的见证下与承包人共同清点，同时在施工现场内合理堆放。</w:t>
      </w:r>
    </w:p>
    <w:p>
      <w:pPr>
        <w:pStyle w:val="7"/>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48.4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588" name="文本框 59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upright="1"/>
                    </wps:wsp>
                  </a:graphicData>
                </a:graphic>
              </wp:anchor>
            </w:drawing>
          </mc:Choice>
          <mc:Fallback>
            <w:pict>
              <v:shape id="文本框 593" o:spid="_x0000_s1026" o:spt="202" type="#_x0000_t202" style="position:absolute;left:0pt;margin-left:-9pt;margin-top:0.7pt;height:80.25pt;width:72pt;z-index:251851776;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nwNh9UA&#10;AAAJAQAADwAAAAAAAAABACAAAAAiAAAAZHJzL2Rvd25yZXYueG1sUEsBAhQAFAAAAAgAh07iQChS&#10;AiCwAQAAUg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仿宋" w:hAnsi="仿宋" w:eastAsia="仿宋" w:cs="仿宋"/>
          <w:color w:val="auto"/>
          <w:sz w:val="24"/>
          <w:szCs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pPr>
        <w:pStyle w:val="7"/>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48.5  </w:t>
      </w:r>
      <w:r>
        <w:rPr>
          <w:rFonts w:ascii="仿宋" w:hAnsi="仿宋" w:eastAsia="仿宋" w:cs="仿宋"/>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589" name="文本框 594"/>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upright="1"/>
                    </wps:wsp>
                  </a:graphicData>
                </a:graphic>
              </wp:anchor>
            </w:drawing>
          </mc:Choice>
          <mc:Fallback>
            <w:pict>
              <v:shape id="文本框 594" o:spid="_x0000_s1026" o:spt="202" type="#_x0000_t202" style="position:absolute;left:0pt;margin-left:-9pt;margin-top:0.7pt;height:46.8pt;width:72pt;z-index:251852800;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DdBI1AAA&#10;AAgBAAAPAAAAAAAAAAEAIAAAACIAAABkcnMvZG93bnJldi54bWxQSwECFAAUAAAACACHTuJAVTyA&#10;WLABAABRAwAADgAAAAAAAAABACAAAAAj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仿宋" w:hAnsi="仿宋" w:eastAsia="仿宋" w:cs="仿宋"/>
          <w:color w:val="auto"/>
          <w:sz w:val="24"/>
          <w:szCs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pPr>
        <w:pStyle w:val="7"/>
        <w:adjustRightInd w:val="0"/>
        <w:snapToGrid w:val="0"/>
        <w:spacing w:line="360" w:lineRule="auto"/>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48.6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590" name="文本框 595"/>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upright="1"/>
                    </wps:wsp>
                  </a:graphicData>
                </a:graphic>
              </wp:anchor>
            </w:drawing>
          </mc:Choice>
          <mc:Fallback>
            <w:pict>
              <v:shape id="文本框 595" o:spid="_x0000_s1026" o:spt="202" type="#_x0000_t202" style="position:absolute;left:0pt;margin-left:-9pt;margin-top:1.45pt;height:71.55pt;width:72pt;z-index:251853824;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8qiMj1QAA&#10;AAkBAAAPAAAAAAAAAAEAIAAAACIAAABkcnMvZG93bnJldi54bWxQSwECFAAUAAAACACHTuJAEbdO&#10;76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仿宋" w:hAnsi="仿宋" w:eastAsia="仿宋" w:cs="仿宋"/>
          <w:color w:val="auto"/>
          <w:sz w:val="24"/>
          <w:szCs w:val="24"/>
          <w:highlight w:val="none"/>
        </w:rPr>
        <w:t>发包人供应的材料和工程设备与一览表不符时，发包人应按照下列规定承担相应责任：</w:t>
      </w:r>
    </w:p>
    <w:p>
      <w:pPr>
        <w:pStyle w:val="7"/>
        <w:numPr>
          <w:ilvl w:val="0"/>
          <w:numId w:val="22"/>
        </w:numPr>
        <w:tabs>
          <w:tab w:val="left" w:pos="1080"/>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材料和工程设备的单价与一览表不符，由发包人承担所有价差；</w:t>
      </w:r>
    </w:p>
    <w:p>
      <w:pPr>
        <w:pStyle w:val="7"/>
        <w:numPr>
          <w:ilvl w:val="0"/>
          <w:numId w:val="22"/>
        </w:numPr>
        <w:tabs>
          <w:tab w:val="left" w:pos="1080"/>
          <w:tab w:val="left" w:pos="1620"/>
        </w:tabs>
        <w:adjustRightInd w:val="0"/>
        <w:snapToGrid w:val="0"/>
        <w:spacing w:line="360" w:lineRule="auto"/>
        <w:ind w:left="1617" w:leftChars="769" w:hanging="2" w:hangingChars="1"/>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材料和工程设备的品种、规格、型号、质量标准与一览表不符，承包人可以拒绝接受保管，由发包人运出施工场地并重新采购；</w:t>
      </w:r>
    </w:p>
    <w:p>
      <w:pPr>
        <w:pStyle w:val="7"/>
        <w:numPr>
          <w:ilvl w:val="0"/>
          <w:numId w:val="22"/>
        </w:numPr>
        <w:tabs>
          <w:tab w:val="left" w:pos="1080"/>
          <w:tab w:val="left" w:pos="1620"/>
        </w:tabs>
        <w:adjustRightInd w:val="0"/>
        <w:snapToGrid w:val="0"/>
        <w:spacing w:line="360" w:lineRule="auto"/>
        <w:ind w:left="1617" w:leftChars="769" w:hanging="2" w:hangingChars="1"/>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材料和工程设备的品种、规格、型号、质量标准与一览表不符，经发包人同意，承包人可代为调剂替换，由发包人承担相应费用；</w:t>
      </w:r>
    </w:p>
    <w:p>
      <w:pPr>
        <w:pStyle w:val="7"/>
        <w:numPr>
          <w:ilvl w:val="0"/>
          <w:numId w:val="22"/>
        </w:numPr>
        <w:tabs>
          <w:tab w:val="left" w:pos="1620"/>
        </w:tabs>
        <w:adjustRightInd w:val="0"/>
        <w:snapToGrid w:val="0"/>
        <w:spacing w:line="360" w:lineRule="auto"/>
        <w:ind w:left="1618" w:leftChars="770" w:hanging="1"/>
        <w:rPr>
          <w:rFonts w:ascii="仿宋" w:hAnsi="仿宋" w:eastAsia="仿宋"/>
          <w:color w:val="auto"/>
          <w:sz w:val="24"/>
          <w:szCs w:val="24"/>
          <w:highlight w:val="none"/>
        </w:rPr>
      </w:pPr>
      <w:r>
        <w:rPr>
          <w:rFonts w:hint="eastAsia" w:ascii="仿宋" w:hAnsi="仿宋" w:eastAsia="仿宋" w:cs="仿宋"/>
          <w:color w:val="auto"/>
          <w:sz w:val="24"/>
          <w:szCs w:val="24"/>
          <w:highlight w:val="none"/>
        </w:rPr>
        <w:t>交货地点与一览表不符，除合同双方当事人协商确定外，由发包人重新运至一览表指定地点，并承担由此增加的费用和（或）延误的工期；</w:t>
      </w:r>
    </w:p>
    <w:p>
      <w:pPr>
        <w:pStyle w:val="7"/>
        <w:tabs>
          <w:tab w:val="left" w:pos="2160"/>
        </w:tabs>
        <w:adjustRightInd w:val="0"/>
        <w:snapToGrid w:val="0"/>
        <w:spacing w:line="360" w:lineRule="auto"/>
        <w:ind w:left="1678" w:leftChars="750" w:hanging="103" w:hangingChars="43"/>
        <w:rPr>
          <w:rFonts w:ascii="仿宋" w:hAnsi="仿宋" w:eastAsia="仿宋"/>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供应数量少于一览表约定的数量时，由发包人补齐；多于一览表约定的数量时，发包人应将多出的部分运出施工场地；</w:t>
      </w:r>
    </w:p>
    <w:p>
      <w:pPr>
        <w:pStyle w:val="7"/>
        <w:tabs>
          <w:tab w:val="left" w:pos="1980"/>
        </w:tabs>
        <w:adjustRightInd w:val="0"/>
        <w:snapToGrid w:val="0"/>
        <w:spacing w:line="360" w:lineRule="auto"/>
        <w:ind w:left="1680" w:leftChars="800" w:firstLine="0"/>
        <w:rPr>
          <w:rFonts w:ascii="仿宋" w:hAnsi="仿宋" w:eastAsia="仿宋"/>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交货时间早于一览表约定计划和第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款交货日期，由发包人承担由此发生的保管费；交货时间迟于一览表约定计划和第</w:t>
      </w:r>
      <w:r>
        <w:rPr>
          <w:rFonts w:ascii="仿宋" w:hAnsi="仿宋" w:eastAsia="仿宋" w:cs="仿宋"/>
          <w:color w:val="auto"/>
          <w:sz w:val="24"/>
          <w:szCs w:val="24"/>
          <w:highlight w:val="none"/>
        </w:rPr>
        <w:t>48.2</w:t>
      </w:r>
      <w:r>
        <w:rPr>
          <w:rFonts w:hint="eastAsia" w:ascii="仿宋" w:hAnsi="仿宋" w:eastAsia="仿宋" w:cs="仿宋"/>
          <w:color w:val="auto"/>
          <w:sz w:val="24"/>
          <w:szCs w:val="24"/>
          <w:highlight w:val="none"/>
        </w:rPr>
        <w:t>款交货日期，由发包人承担由此增加的费用和（或）延误的工期。</w:t>
      </w:r>
    </w:p>
    <w:p>
      <w:pPr>
        <w:pStyle w:val="7"/>
        <w:tabs>
          <w:tab w:val="left" w:pos="216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48.7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591" name="文本框 596"/>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upright="1"/>
                    </wps:wsp>
                  </a:graphicData>
                </a:graphic>
              </wp:anchor>
            </w:drawing>
          </mc:Choice>
          <mc:Fallback>
            <w:pict>
              <v:shape id="文本框 596" o:spid="_x0000_s1026" o:spt="202" type="#_x0000_t202" style="position:absolute;left:0pt;margin-left:-9pt;margin-top:1.35pt;height:48.15pt;width:72pt;z-index:251854848;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6dGel1QAA&#10;AAgBAAAPAAAAAAAAAAEAIAAAACIAAABkcnMvZG93bnJldi54bWxQSwECFAAUAAAACACHTuJA+OK5&#10;rq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仿宋" w:hAnsi="仿宋" w:eastAsia="仿宋" w:cs="仿宋"/>
          <w:color w:val="auto"/>
          <w:sz w:val="24"/>
          <w:szCs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pPr>
        <w:pStyle w:val="7"/>
        <w:adjustRightInd w:val="0"/>
        <w:snapToGrid w:val="0"/>
        <w:spacing w:before="156" w:beforeLines="50"/>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48.8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592" name="文本框 59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upright="1"/>
                    </wps:wsp>
                  </a:graphicData>
                </a:graphic>
              </wp:anchor>
            </w:drawing>
          </mc:Choice>
          <mc:Fallback>
            <w:pict>
              <v:shape id="文本框 597" o:spid="_x0000_s1026" o:spt="202" type="#_x0000_t202" style="position:absolute;left:0pt;margin-left:-9pt;margin-top:0.6pt;height:23.4pt;width:81pt;z-index:251855872;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WJoN1AAA&#10;AAgBAAAPAAAAAAAAAAEAIAAAACIAAABkcnMvZG93bnJldi54bWxQSwECFAAUAAAACACHTuJA+RIS&#10;erABAABSAwAADgAAAAAAAAABACAAAAAj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sz w:val="24"/>
          <w:szCs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pPr>
        <w:pStyle w:val="7"/>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7"/>
        <w:adjustRightInd w:val="0"/>
        <w:snapToGrid w:val="0"/>
        <w:spacing w:line="360" w:lineRule="auto"/>
        <w:ind w:firstLine="0"/>
        <w:outlineLvl w:val="2"/>
        <w:rPr>
          <w:rFonts w:ascii="仿宋" w:hAnsi="仿宋" w:eastAsia="仿宋"/>
          <w:b/>
          <w:bCs/>
          <w:color w:val="auto"/>
          <w:sz w:val="24"/>
          <w:szCs w:val="24"/>
          <w:highlight w:val="none"/>
        </w:rPr>
      </w:pPr>
      <w:bookmarkStart w:id="420" w:name="_Toc23910"/>
      <w:bookmarkStart w:id="421" w:name="_Toc10624872"/>
      <w:bookmarkStart w:id="422" w:name="_Toc22557"/>
      <w:bookmarkStart w:id="423" w:name="_Toc30308"/>
      <w:bookmarkStart w:id="424" w:name="_Toc469384032"/>
      <w:bookmarkStart w:id="425" w:name="_Toc2627"/>
      <w:bookmarkStart w:id="426" w:name="_Toc21400"/>
      <w:r>
        <w:rPr>
          <w:rFonts w:ascii="仿宋" w:hAnsi="仿宋" w:eastAsia="仿宋" w:cs="仿宋"/>
          <w:b/>
          <w:bCs/>
          <w:color w:val="auto"/>
          <w:sz w:val="24"/>
          <w:szCs w:val="24"/>
          <w:highlight w:val="none"/>
        </w:rPr>
        <w:t xml:space="preserve">49  </w:t>
      </w:r>
      <w:r>
        <w:rPr>
          <w:rFonts w:hint="eastAsia" w:ascii="仿宋" w:hAnsi="仿宋" w:eastAsia="仿宋" w:cs="仿宋"/>
          <w:b/>
          <w:bCs/>
          <w:color w:val="auto"/>
          <w:sz w:val="24"/>
          <w:szCs w:val="24"/>
          <w:highlight w:val="none"/>
        </w:rPr>
        <w:t>承包人采购材料和工程设备</w:t>
      </w:r>
      <w:bookmarkEnd w:id="420"/>
      <w:bookmarkEnd w:id="421"/>
      <w:bookmarkEnd w:id="422"/>
      <w:bookmarkEnd w:id="423"/>
      <w:bookmarkEnd w:id="424"/>
      <w:bookmarkEnd w:id="425"/>
      <w:bookmarkEnd w:id="426"/>
    </w:p>
    <w:p>
      <w:pPr>
        <w:pStyle w:val="7"/>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49.1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593" name="文本框 598"/>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upright="1"/>
                    </wps:wsp>
                  </a:graphicData>
                </a:graphic>
              </wp:anchor>
            </w:drawing>
          </mc:Choice>
          <mc:Fallback>
            <w:pict>
              <v:shape id="文本框 598"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v7V&#10;1gAAAAgBAAAPAAAAAAAAAAEAIAAAACIAAABkcnMvZG93bnJldi54bWxQSwECFAAUAAAACACHTuJA&#10;8cN4ybEBAABRAwAADgAAAAAAAAABACAAAAAl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仿宋" w:hAnsi="仿宋" w:eastAsia="仿宋" w:cs="仿宋"/>
          <w:color w:val="auto"/>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pPr>
        <w:pStyle w:val="7"/>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49.2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594" name="文本框 599"/>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upright="1"/>
                    </wps:wsp>
                  </a:graphicData>
                </a:graphic>
              </wp:anchor>
            </w:drawing>
          </mc:Choice>
          <mc:Fallback>
            <w:pict>
              <v:shape id="文本框 599" o:spid="_x0000_s1026" o:spt="202" type="#_x0000_t202" style="position:absolute;left:0pt;margin-left:-9pt;margin-top:1.35pt;height:38.3pt;width:72pt;z-index:251857920;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P+/tXW&#10;AAAACAEAAA8AAAAAAAAAAQAgAAAAIgAAAGRycy9kb3ducmV2LnhtbFBLAQIUABQAAAAIAIdO4kD/&#10;/2c/sAEAAFEDAAAOAAAAAAAAAAEAIAAAACUBAABkcnMvZTJvRG9jLnhtbFBLBQYAAAAABgAGAFkB&#10;AABH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小时，以书面形式通知发包人和监理工程师，并在监理工程师的见证下与发包人共同清点。</w:t>
      </w:r>
    </w:p>
    <w:p>
      <w:pPr>
        <w:pStyle w:val="7"/>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49.3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595" name="文本框 600"/>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upright="1"/>
                    </wps:wsp>
                  </a:graphicData>
                </a:graphic>
              </wp:anchor>
            </w:drawing>
          </mc:Choice>
          <mc:Fallback>
            <w:pict>
              <v:shape id="文本框 600" o:spid="_x0000_s1026" o:spt="202" type="#_x0000_t202" style="position:absolute;left:0pt;margin-left:-9pt;margin-top:0.1pt;height:62.4pt;width:72pt;z-index:251858944;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kPCqtQAAAAI&#10;AQAADwAAAAAAAAABACAAAAAiAAAAZHJzL2Rvd25yZXYueG1sUEsBAhQAFAAAAAgAh07iQB5PFsWu&#10;AQAAUQMAAA4AAAAAAAAAAQAgAAAAIwEAAGRycy9lMm9Eb2MueG1sUEsFBgAAAAAGAAYAWQEAAEMF&#10;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仿宋" w:hAnsi="仿宋" w:eastAsia="仿宋" w:cs="仿宋"/>
          <w:color w:val="auto"/>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pPr>
        <w:pStyle w:val="7"/>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49.4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596" name="文本框 60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upright="1"/>
                    </wps:wsp>
                  </a:graphicData>
                </a:graphic>
              </wp:anchor>
            </w:drawing>
          </mc:Choice>
          <mc:Fallback>
            <w:pict>
              <v:shape id="文本框 601" o:spid="_x0000_s1026" o:spt="202" type="#_x0000_t202" style="position:absolute;left:0pt;margin-left:-9pt;margin-top:-0.4pt;height:62.4pt;width:72pt;z-index:251859968;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uL1AAA&#10;AAkBAAAPAAAAAAAAAAEAIAAAACIAAABkcnMvZG93bnJldi54bWxQSwECFAAUAAAACACHTuJAJvW3&#10;WLABAABRAwAADgAAAAAAAAABACAAAAAj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仿宋" w:hAnsi="仿宋" w:eastAsia="仿宋" w:cs="仿宋"/>
          <w:color w:val="auto"/>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pPr>
        <w:pStyle w:val="7"/>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597" name="文本框 602"/>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upright="1"/>
                    </wps:wsp>
                  </a:graphicData>
                </a:graphic>
              </wp:anchor>
            </w:drawing>
          </mc:Choice>
          <mc:Fallback>
            <w:pict>
              <v:shape id="文本框 602" o:spid="_x0000_s1026" o:spt="202" type="#_x0000_t202" style="position:absolute;left:0pt;margin-left:-9pt;margin-top:19.1pt;height:34.8pt;width:72pt;z-index:251860992;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93mNR&#10;1wAAAAoBAAAPAAAAAAAAAAEAIAAAACIAAABkcnMvZG93bnJldi54bWxQSwECFAAUAAAACACHTuJA&#10;FGTgHLABAABRAwAADgAAAAAAAAABACAAAAAm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仿宋" w:hAnsi="仿宋" w:eastAsia="仿宋" w:cs="仿宋"/>
          <w:b/>
          <w:bCs/>
          <w:color w:val="auto"/>
          <w:sz w:val="24"/>
          <w:szCs w:val="24"/>
          <w:highlight w:val="none"/>
        </w:rPr>
        <w:t xml:space="preserve">49.5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如果承包人不执行监理工程师依据第</w:t>
      </w:r>
      <w:r>
        <w:rPr>
          <w:rFonts w:ascii="仿宋" w:hAnsi="仿宋" w:eastAsia="仿宋" w:cs="仿宋"/>
          <w:color w:val="auto"/>
          <w:sz w:val="24"/>
          <w:szCs w:val="24"/>
          <w:highlight w:val="none"/>
        </w:rPr>
        <w:t>49.3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49.4</w:t>
      </w:r>
      <w:r>
        <w:rPr>
          <w:rFonts w:hint="eastAsia" w:ascii="仿宋" w:hAnsi="仿宋" w:eastAsia="仿宋" w:cs="仿宋"/>
          <w:color w:val="auto"/>
          <w:sz w:val="24"/>
          <w:szCs w:val="24"/>
          <w:highlight w:val="none"/>
        </w:rPr>
        <w:t>款规定发出的指令</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则发包人可自行或委托第三方执行该指令，由此发生的费用由承包人承担。该笔款项经造价工程师核实后，由发包人从应付或将付给或将付给承包人的工程款中扣除。</w:t>
      </w:r>
    </w:p>
    <w:p>
      <w:pPr>
        <w:pStyle w:val="7"/>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49.6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7"/>
        <w:tabs>
          <w:tab w:val="left" w:pos="1260"/>
        </w:tabs>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598" name="文本框 603"/>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upright="1"/>
                    </wps:wsp>
                  </a:graphicData>
                </a:graphic>
              </wp:anchor>
            </w:drawing>
          </mc:Choice>
          <mc:Fallback>
            <w:pict>
              <v:shape id="文本框 603" o:spid="_x0000_s1026" o:spt="202" type="#_x0000_t202" style="position:absolute;left:0pt;margin-left:-9pt;margin-top:3.6pt;height:32.35pt;width:72pt;z-index:251862016;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f+s3bUAAAA&#10;CAEAAA8AAAAAAAAAAQAgAAAAIgAAAGRycy9kb3ducmV2LnhtbFBLAQIUABQAAAAIAIdO4kDfKxZj&#10;rwEAAFEDAAAOAAAAAAAAAAEAIAAAACM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仿宋" w:hAnsi="仿宋" w:eastAsia="仿宋" w:cs="仿宋"/>
          <w:color w:val="auto"/>
          <w:sz w:val="24"/>
          <w:szCs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pPr>
        <w:pStyle w:val="7"/>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49.7  </w:t>
      </w:r>
      <w:r>
        <w:rPr>
          <w:rFonts w:ascii="仿宋" w:hAnsi="仿宋" w:eastAsia="仿宋" w:cs="仿宋"/>
          <w:b/>
          <w:bCs/>
          <w:color w:val="auto"/>
          <w:sz w:val="24"/>
          <w:szCs w:val="24"/>
          <w:highlight w:val="none"/>
          <w:u w:val="dotted"/>
        </w:rPr>
        <w:t xml:space="preserve">                                                                                                       </w:t>
      </w:r>
    </w:p>
    <w:p>
      <w:pPr>
        <w:pStyle w:val="7"/>
        <w:tabs>
          <w:tab w:val="left" w:pos="1800"/>
        </w:tabs>
        <w:adjustRightInd w:val="0"/>
        <w:snapToGrid w:val="0"/>
        <w:spacing w:before="156" w:beforeLines="50"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599" name="文本框 604"/>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upright="1"/>
                    </wps:wsp>
                  </a:graphicData>
                </a:graphic>
              </wp:anchor>
            </w:drawing>
          </mc:Choice>
          <mc:Fallback>
            <w:pict>
              <v:shape id="文本框 604" o:spid="_x0000_s1026" o:spt="202" type="#_x0000_t202" style="position:absolute;left:0pt;margin-left:-9pt;margin-top:2.4pt;height:64.5pt;width:72pt;z-index:251863040;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2z3PW&#10;AAAACQEAAA8AAAAAAAAAAQAgAAAAIgAAAGRycy9kb3ducmV2LnhtbFBLAQIUABQAAAAIAIdO4kC7&#10;ujCpsAEAAFEDAAAOAAAAAAAAAAEAIAAAACUBAABkcnMvZTJvRG9jLnhtbFBLBQYAAAAABgAGAFkB&#10;AABH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仿宋" w:hAnsi="仿宋" w:eastAsia="仿宋" w:cs="仿宋"/>
          <w:color w:val="auto"/>
          <w:sz w:val="24"/>
          <w:szCs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pPr>
        <w:pStyle w:val="7"/>
        <w:adjustRightInd w:val="0"/>
        <w:snapToGrid w:val="0"/>
        <w:spacing w:line="360" w:lineRule="auto"/>
        <w:ind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600" name="文本框 605"/>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upright="1"/>
                    </wps:wsp>
                  </a:graphicData>
                </a:graphic>
              </wp:anchor>
            </w:drawing>
          </mc:Choice>
          <mc:Fallback>
            <w:pict>
              <v:shape id="文本框 605" o:spid="_x0000_s1026" o:spt="202" type="#_x0000_t202" style="position:absolute;left:0pt;margin-left:-9pt;margin-top:16.3pt;height:56.05pt;width:72pt;z-index:251864064;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5Q/rbX&#10;AAAACgEAAA8AAAAAAAAAAQAgAAAAIgAAAGRycy9kb3ducmV2LnhtbFBLAQIUABQAAAAIAIdO4kBI&#10;CpjvrwEAAFEDAAAOAAAAAAAAAAEAIAAAACYBAABkcnMvZTJvRG9jLnhtbFBLBQYAAAAABgAGAFkB&#10;AABH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仿宋" w:hAnsi="仿宋" w:eastAsia="仿宋" w:cs="仿宋"/>
          <w:b/>
          <w:bCs/>
          <w:color w:val="auto"/>
          <w:sz w:val="24"/>
          <w:szCs w:val="24"/>
          <w:highlight w:val="none"/>
        </w:rPr>
        <w:t xml:space="preserve">49.8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承包人采购材料和工程设备的，除专用条款另有约定外，发包人不得指定生产厂家或供应商。</w:t>
      </w:r>
    </w:p>
    <w:p>
      <w:pPr>
        <w:pStyle w:val="7"/>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427" w:name="_Toc469384033"/>
      <w:bookmarkStart w:id="428" w:name="_Toc16768"/>
      <w:bookmarkStart w:id="429" w:name="_Toc7936"/>
      <w:bookmarkStart w:id="430" w:name="_Toc21646"/>
      <w:bookmarkStart w:id="431" w:name="_Toc1191"/>
      <w:bookmarkStart w:id="432" w:name="_Toc25027"/>
      <w:bookmarkStart w:id="433" w:name="_Toc10624873"/>
      <w:r>
        <w:rPr>
          <w:rFonts w:ascii="仿宋" w:hAnsi="仿宋" w:eastAsia="仿宋" w:cs="仿宋"/>
          <w:b/>
          <w:bCs/>
          <w:color w:val="auto"/>
          <w:sz w:val="24"/>
          <w:szCs w:val="24"/>
          <w:highlight w:val="none"/>
        </w:rPr>
        <w:t xml:space="preserve">50  </w:t>
      </w:r>
      <w:r>
        <w:rPr>
          <w:rFonts w:hint="eastAsia" w:ascii="仿宋" w:hAnsi="仿宋" w:eastAsia="仿宋" w:cs="仿宋"/>
          <w:b/>
          <w:bCs/>
          <w:color w:val="auto"/>
          <w:sz w:val="24"/>
          <w:szCs w:val="24"/>
          <w:highlight w:val="none"/>
        </w:rPr>
        <w:t>材料和工程设备的检验试验</w:t>
      </w:r>
      <w:bookmarkEnd w:id="427"/>
      <w:bookmarkEnd w:id="428"/>
      <w:bookmarkEnd w:id="429"/>
      <w:bookmarkEnd w:id="430"/>
      <w:bookmarkEnd w:id="431"/>
      <w:bookmarkEnd w:id="432"/>
      <w:bookmarkEnd w:id="433"/>
    </w:p>
    <w:p>
      <w:pPr>
        <w:pStyle w:val="7"/>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50.1</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601" name="文本框 606"/>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upright="1"/>
                    </wps:wsp>
                  </a:graphicData>
                </a:graphic>
              </wp:anchor>
            </w:drawing>
          </mc:Choice>
          <mc:Fallback>
            <w:pict>
              <v:shape id="文本框 606" o:spid="_x0000_s1026" o:spt="202" type="#_x0000_t202" style="position:absolute;left:0pt;margin-left:-9pt;margin-top:0.05pt;height:39.85pt;width:72pt;z-index:251865088;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ZJPrfUAAAA&#10;BwEAAA8AAAAAAAAAAQAgAAAAIgAAAGRycy9kb3ducmV2LnhtbFBLAQIUABQAAAAIAIdO4kD8re11&#10;rwEAAFEDAAAOAAAAAAAAAAEAIAAAACM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pPr>
        <w:pStyle w:val="7"/>
        <w:tabs>
          <w:tab w:val="left" w:pos="360"/>
          <w:tab w:val="left" w:pos="720"/>
        </w:tabs>
        <w:adjustRightInd w:val="0"/>
        <w:snapToGrid w:val="0"/>
        <w:spacing w:line="360" w:lineRule="auto"/>
        <w:ind w:firstLine="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50.2  </w:t>
      </w:r>
      <w:r>
        <w:rPr>
          <w:rFonts w:ascii="仿宋" w:hAnsi="仿宋" w:eastAsia="仿宋" w:cs="仿宋"/>
          <w:b/>
          <w:bCs/>
          <w:color w:val="auto"/>
          <w:sz w:val="24"/>
          <w:szCs w:val="24"/>
          <w:highlight w:val="none"/>
          <w:u w:val="dotted"/>
        </w:rPr>
        <w:t xml:space="preserve">                                                                              </w:t>
      </w:r>
    </w:p>
    <w:p>
      <w:pPr>
        <w:rPr>
          <w:color w:val="auto"/>
          <w:highlight w:val="none"/>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602" name="文本框 607"/>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upright="1"/>
                    </wps:wsp>
                  </a:graphicData>
                </a:graphic>
              </wp:anchor>
            </w:drawing>
          </mc:Choice>
          <mc:Fallback>
            <w:pict>
              <v:shape id="文本框 607" o:spid="_x0000_s1026" o:spt="202" type="#_x0000_t202" style="position:absolute;left:0pt;margin-left:-9pt;margin-top:12.15pt;height:45.1pt;width:72pt;z-index:251866112;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ZuT&#10;dNgAAAAKAQAADwAAAAAAAAABACAAAAAiAAAAZHJzL2Rvd25yZXYueG1sUEsBAhQAFAAAAAgAh07i&#10;QDNyVk2wAQAAUQMAAA4AAAAAAAAAAQAgAAAAJwEAAGRycy9lMm9Eb2MueG1sUEsFBgAAAAAGAAYA&#10;WQEAAEk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材料和工程设备等产品的检验试验，包括见证取样和不见证取样两种情形：</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标准与规范、涉及结构安全有要求或合同有约定进行见证取样检验试验的材料和工程设备等产品，承包人应在取样前至少提前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小时通知监理工程师参加，并在监理工程师的见证下现场取样，同时送至具有相应资质等级的质量检测机构进行检验试验。</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小时发出延期检验试验指令并书面说明理由，延期不得超过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pPr>
        <w:pStyle w:val="7"/>
        <w:adjustRightInd w:val="0"/>
        <w:snapToGrid w:val="0"/>
        <w:spacing w:line="360" w:lineRule="auto"/>
        <w:ind w:left="1619" w:leftChars="1" w:hanging="1617" w:hangingChars="671"/>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50.3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575" w:leftChars="750"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603" name="文本框 608"/>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upright="1"/>
                    </wps:wsp>
                  </a:graphicData>
                </a:graphic>
              </wp:anchor>
            </w:drawing>
          </mc:Choice>
          <mc:Fallback>
            <w:pict>
              <v:shape id="文本框 608" o:spid="_x0000_s1026" o:spt="202" type="#_x0000_t202" style="position:absolute;left:0pt;margin-left:-5.25pt;margin-top:0.9pt;height:43.9pt;width:72pt;z-index:251867136;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h+lsNQA&#10;AAAIAQAADwAAAAAAAAABACAAAAAiAAAAZHJzL2Rvd25yZXYueG1sUEsBAhQAFAAAAAgAh07iQB2z&#10;N5OxAQAAUQMAAA4AAAAAAAAAAQAgAAAAIw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仿宋" w:hAnsi="仿宋" w:eastAsia="仿宋" w:cs="仿宋"/>
          <w:color w:val="auto"/>
          <w:sz w:val="24"/>
          <w:szCs w:val="24"/>
          <w:highlight w:val="none"/>
        </w:rPr>
        <w:t>材料和工程设备等产品检验试验合格的，可在合同工程中使用。材料和工程设备等产品检验试验不合格的，禁止在合同工程中使用，并及时清出施工场地。</w:t>
      </w:r>
    </w:p>
    <w:p>
      <w:pPr>
        <w:pStyle w:val="7"/>
        <w:tabs>
          <w:tab w:val="left" w:pos="540"/>
        </w:tabs>
        <w:adjustRightInd w:val="0"/>
        <w:snapToGrid w:val="0"/>
        <w:spacing w:line="360" w:lineRule="auto"/>
        <w:ind w:firstLine="0"/>
        <w:rPr>
          <w:rFonts w:ascii="仿宋" w:hAnsi="仿宋" w:eastAsia="仿宋"/>
          <w:color w:val="auto"/>
          <w:sz w:val="24"/>
          <w:szCs w:val="24"/>
          <w:highlight w:val="none"/>
          <w:u w:val="dotted"/>
        </w:rPr>
      </w:pPr>
      <w:r>
        <w:rPr>
          <w:rFonts w:ascii="仿宋" w:hAnsi="仿宋" w:eastAsia="仿宋" w:cs="仿宋"/>
          <w:b/>
          <w:bCs/>
          <w:color w:val="auto"/>
          <w:sz w:val="24"/>
          <w:szCs w:val="24"/>
          <w:highlight w:val="none"/>
        </w:rPr>
        <w:t xml:space="preserve">50.4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604" name="文本框 60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upright="1"/>
                    </wps:wsp>
                  </a:graphicData>
                </a:graphic>
              </wp:anchor>
            </w:drawing>
          </mc:Choice>
          <mc:Fallback>
            <w:pict>
              <v:shape id="文本框 609" o:spid="_x0000_s1026" o:spt="202" type="#_x0000_t202" style="position:absolute;left:0pt;margin-left:-9pt;margin-top:1.2pt;height:43.75pt;width:72pt;z-index:251868160;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ER6A1QAA&#10;AAgBAAAPAAAAAAAAAAEAIAAAACIAAABkcnMvZG93bnJldi54bWxQSwECFAAUAAAACACHTuJAgfJ3&#10;VK8BAABRAwAADgAAAAAAAAABACAAAAAkAQAAZHJzL2Uyb0RvYy54bWxQSwUGAAAAAAYABgBZAQAA&#10;RQ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仿宋" w:hAnsi="仿宋" w:eastAsia="仿宋" w:cs="仿宋"/>
          <w:color w:val="auto"/>
          <w:sz w:val="24"/>
          <w:szCs w:val="24"/>
          <w:highlight w:val="none"/>
        </w:rPr>
        <w:t>除合同价款已包括外，材料和工程设备等产品的检验试验费，按照实际发生的费用计算。</w:t>
      </w:r>
    </w:p>
    <w:p>
      <w:pPr>
        <w:pStyle w:val="7"/>
        <w:tabs>
          <w:tab w:val="left" w:pos="1620"/>
          <w:tab w:val="left" w:pos="1980"/>
          <w:tab w:val="left" w:pos="2160"/>
        </w:tabs>
        <w:adjustRightInd w:val="0"/>
        <w:snapToGrid w:val="0"/>
        <w:spacing w:line="360" w:lineRule="auto"/>
        <w:ind w:left="1617"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）现场使用前材料和工程设备等产品的检验试验，发包人供应的，检验试验费由发包人承担；承包人采购的，检验试验费由承包人承担。</w:t>
      </w:r>
    </w:p>
    <w:p>
      <w:pPr>
        <w:pStyle w:val="7"/>
        <w:tabs>
          <w:tab w:val="left" w:pos="1620"/>
          <w:tab w:val="left" w:pos="2160"/>
          <w:tab w:val="left" w:pos="2520"/>
        </w:tabs>
        <w:adjustRightInd w:val="0"/>
        <w:snapToGrid w:val="0"/>
        <w:spacing w:line="360" w:lineRule="auto"/>
        <w:ind w:left="1619" w:firstLine="0"/>
        <w:rPr>
          <w:rFonts w:ascii="仿宋" w:hAnsi="仿宋" w:eastAsia="仿宋"/>
          <w:b/>
          <w:bCs/>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）施工过程中材料和工程设备等产品的检验试验，合格的，检验试验费由发包人承担。不合格的，发包人供应的，检验试验费由发包人承担；承包人采购的，检验试验费由承包人承担。</w:t>
      </w:r>
    </w:p>
    <w:p>
      <w:pPr>
        <w:pStyle w:val="7"/>
        <w:tabs>
          <w:tab w:val="left" w:pos="1620"/>
          <w:tab w:val="left" w:pos="1980"/>
          <w:tab w:val="left" w:pos="2520"/>
          <w:tab w:val="left" w:pos="270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50.5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605" name="文本框 6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upright="1"/>
                    </wps:wsp>
                  </a:graphicData>
                </a:graphic>
              </wp:anchor>
            </w:drawing>
          </mc:Choice>
          <mc:Fallback>
            <w:pict>
              <v:shape id="文本框 610" o:spid="_x0000_s1026" o:spt="202" type="#_x0000_t202" style="position:absolute;left:0pt;margin-left:-9pt;margin-top:0.65pt;height:31.2pt;width:72pt;z-index:251869184;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a3aJbVAAAA&#10;CAEAAA8AAAAAAAAAAQAgAAAAIgAAAGRycy9kb3ducmV2LnhtbFBLAQIUABQAAAAIAIdO4kDqtSzi&#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仿宋" w:hAnsi="仿宋" w:eastAsia="仿宋" w:cs="仿宋"/>
          <w:color w:val="auto"/>
          <w:sz w:val="24"/>
          <w:szCs w:val="24"/>
          <w:highlight w:val="none"/>
        </w:rPr>
        <w:t>监理工程师对承包人自行检验试验结果有疑问的，或重新查验检验试验结果的，可要求承包人共同对材料和工程设备等产品再次检验试验。</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）合格的，再次检验试验费和（或）延误的工期由发包人承担，并向承包人支付合理利润。</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）不合格的，发包人供应的，再次检验试验费和（或）延误的工期由发包人承担，并向承包人支付合理利润；承包人采购的，再次检验试验费和（或）延误的工期由承包人承担。</w:t>
      </w:r>
    </w:p>
    <w:p>
      <w:pPr>
        <w:pStyle w:val="7"/>
        <w:tabs>
          <w:tab w:val="left" w:pos="54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50.6 </w:t>
      </w:r>
      <w:r>
        <w:rPr>
          <w:rFonts w:ascii="仿宋" w:hAnsi="仿宋" w:eastAsia="仿宋" w:cs="仿宋"/>
          <w:b/>
          <w:bCs/>
          <w:color w:val="auto"/>
          <w:sz w:val="24"/>
          <w:szCs w:val="24"/>
          <w:highlight w:val="none"/>
          <w:u w:val="dotted"/>
        </w:rPr>
        <w:t xml:space="preserve">                                                                           </w:t>
      </w: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606" name="文本框 611"/>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upright="1"/>
                    </wps:wsp>
                  </a:graphicData>
                </a:graphic>
              </wp:anchor>
            </w:drawing>
          </mc:Choice>
          <mc:Fallback>
            <w:pict>
              <v:shape id="文本框 611" o:spid="_x0000_s1026" o:spt="202" type="#_x0000_t202" style="position:absolute;left:0pt;margin-left:-9pt;margin-top:19.3pt;height:54.35pt;width:72pt;z-index:251870208;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UXPofY&#10;AAAACgEAAA8AAAAAAAAAAQAgAAAAIgAAAGRycy9kb3ducmV2LnhtbFBLAQIUABQAAAAIAIdO4kAi&#10;6iuhrgEAAFEDAAAOAAAAAAAAAAEAIAAAACcBAABkcnMvZTJvRG9jLnhtbFBLBQYAAAAABgAGAFkB&#10;AABH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合同双方当事人对材料和工程设备等产品质量有争议的，所需的检验试验费由责任方承担。双方均有责任的，由双方根据其责任划分分别承担。</w:t>
      </w:r>
    </w:p>
    <w:p>
      <w:pPr>
        <w:pStyle w:val="7"/>
        <w:adjustRightInd w:val="0"/>
        <w:snapToGrid w:val="0"/>
        <w:spacing w:line="360" w:lineRule="auto"/>
        <w:ind w:firstLine="0"/>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pStyle w:val="7"/>
        <w:adjustRightInd w:val="0"/>
        <w:snapToGrid w:val="0"/>
        <w:spacing w:line="360" w:lineRule="auto"/>
        <w:ind w:firstLine="0"/>
        <w:outlineLvl w:val="2"/>
        <w:rPr>
          <w:rFonts w:ascii="仿宋" w:hAnsi="仿宋" w:eastAsia="仿宋"/>
          <w:b/>
          <w:bCs/>
          <w:color w:val="auto"/>
          <w:sz w:val="24"/>
          <w:szCs w:val="24"/>
          <w:highlight w:val="none"/>
        </w:rPr>
      </w:pPr>
      <w:bookmarkStart w:id="434" w:name="_Toc10624874"/>
      <w:bookmarkStart w:id="435" w:name="_Toc17707"/>
      <w:bookmarkStart w:id="436" w:name="_Toc25763"/>
      <w:bookmarkStart w:id="437" w:name="_Toc20126"/>
      <w:bookmarkStart w:id="438" w:name="_Toc469384034"/>
      <w:bookmarkStart w:id="439" w:name="_Toc14764"/>
      <w:bookmarkStart w:id="440" w:name="_Toc19221"/>
      <w:r>
        <w:rPr>
          <w:rFonts w:ascii="仿宋" w:hAnsi="仿宋" w:eastAsia="仿宋" w:cs="仿宋"/>
          <w:b/>
          <w:bCs/>
          <w:color w:val="auto"/>
          <w:sz w:val="24"/>
          <w:szCs w:val="24"/>
          <w:highlight w:val="none"/>
        </w:rPr>
        <w:t xml:space="preserve">51  </w:t>
      </w:r>
      <w:r>
        <w:rPr>
          <w:rFonts w:hint="eastAsia" w:ascii="仿宋" w:hAnsi="仿宋" w:eastAsia="仿宋" w:cs="仿宋"/>
          <w:b/>
          <w:bCs/>
          <w:color w:val="auto"/>
          <w:sz w:val="24"/>
          <w:szCs w:val="24"/>
          <w:highlight w:val="none"/>
        </w:rPr>
        <w:t>施工设备和临时设施</w:t>
      </w:r>
      <w:bookmarkEnd w:id="434"/>
      <w:bookmarkEnd w:id="435"/>
      <w:bookmarkEnd w:id="436"/>
      <w:bookmarkEnd w:id="437"/>
      <w:bookmarkEnd w:id="438"/>
      <w:bookmarkEnd w:id="439"/>
      <w:bookmarkEnd w:id="440"/>
    </w:p>
    <w:p>
      <w:pPr>
        <w:pStyle w:val="7"/>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51.1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607" name="文本框 612"/>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upright="1"/>
                    </wps:wsp>
                  </a:graphicData>
                </a:graphic>
              </wp:anchor>
            </w:drawing>
          </mc:Choice>
          <mc:Fallback>
            <w:pict>
              <v:shape id="文本框 612" o:spid="_x0000_s1026" o:spt="202" type="#_x0000_t202" style="position:absolute;left:0pt;margin-left:-5.8pt;margin-top:0.45pt;height:59.3pt;width:77.8pt;z-index:251871232;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tbrHNUA&#10;AAAIAQAADwAAAAAAAAABACAAAAAiAAAAZHJzL2Rvd25yZXYueG1sUEsBAhQAFAAAAAgAh07iQN09&#10;y1OwAQAAUQ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仿宋" w:hAnsi="仿宋" w:eastAsia="仿宋" w:cs="仿宋"/>
          <w:color w:val="auto"/>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进入施工场地的承包人施工设备，需经监理工程师核查后才能投入使用。承包人更换合同约定自身施工设备的，应经监理工程师同意并由其报发包人批准后方可实施。</w:t>
      </w:r>
    </w:p>
    <w:p>
      <w:pPr>
        <w:pStyle w:val="7"/>
        <w:tabs>
          <w:tab w:val="left" w:pos="540"/>
        </w:tabs>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608" name="文本框 613"/>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rFonts w:cs="Times New Roman"/>
                                <w:sz w:val="18"/>
                                <w:szCs w:val="18"/>
                              </w:rPr>
                            </w:pPr>
                          </w:p>
                        </w:txbxContent>
                      </wps:txbx>
                      <wps:bodyPr upright="1"/>
                    </wps:wsp>
                  </a:graphicData>
                </a:graphic>
              </wp:anchor>
            </w:drawing>
          </mc:Choice>
          <mc:Fallback>
            <w:pict>
              <v:shape id="文本框 613" o:spid="_x0000_s1026" o:spt="202" type="#_x0000_t202" style="position:absolute;left:0pt;margin-left:-5.25pt;margin-top:17pt;height:54pt;width:68.8pt;z-index:251872256;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iT7A9&#10;1wAAAAoBAAAPAAAAAAAAAAEAIAAAACIAAABkcnMvZG93bnJldi54bWxQSwECFAAUAAAACACHTuJA&#10;Ns4Lm7ABAABRAwAADgAAAAAAAAABACAAAAAmAQAAZHJzL2Uyb0RvYy54bWxQSwUGAAAAAAYABgBZ&#10;AQAASAU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pPr>
                        <w:spacing w:line="240" w:lineRule="exact"/>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51.2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如果发包人提供施工设备或临时设施的，合同双方当事人应在专用条款中约定施工设备或临时设施的品种、规格、型号和提供的时间、地点等内容。</w:t>
      </w:r>
    </w:p>
    <w:p>
      <w:pPr>
        <w:pStyle w:val="7"/>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51.3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609" name="文本框 614"/>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upright="1"/>
                    </wps:wsp>
                  </a:graphicData>
                </a:graphic>
              </wp:anchor>
            </w:drawing>
          </mc:Choice>
          <mc:Fallback>
            <w:pict>
              <v:shape id="文本框 614" o:spid="_x0000_s1026" o:spt="202" type="#_x0000_t202" style="position:absolute;left:0pt;margin-left:-5.8pt;margin-top:0.7pt;height:51.95pt;width:68.8pt;z-index:251873280;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FIAdUA&#10;AAAJAQAADwAAAAAAAAABACAAAAAiAAAAZHJzL2Rvd25yZXYueG1sUEsBAhQAFAAAAAgAh07iQCbb&#10;QCqwAQAAUQ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仿宋" w:hAnsi="仿宋" w:eastAsia="仿宋" w:cs="仿宋"/>
          <w:color w:val="auto"/>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pPr>
        <w:pStyle w:val="7"/>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51.4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610" name="文本框 615"/>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upright="1"/>
                    </wps:wsp>
                  </a:graphicData>
                </a:graphic>
              </wp:anchor>
            </w:drawing>
          </mc:Choice>
          <mc:Fallback>
            <w:pict>
              <v:shape id="文本框 615" o:spid="_x0000_s1026" o:spt="202" type="#_x0000_t202" style="position:absolute;left:0pt;margin-left:-9pt;margin-top:3.65pt;height:51.9pt;width:72pt;z-index:251874304;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o6pSNUA&#10;AAAJAQAADwAAAAAAAAABACAAAAAiAAAAZHJzL2Rvd25yZXYueG1sUEsBAhQAFAAAAAgAh07iQOyA&#10;gWuwAQAAUQMAAA4AAAAAAAAAAQAgAAAAJAEAAGRycy9lMm9Eb2MueG1sUEsFBgAAAAAGAAYAWQEA&#10;AEYFA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仿宋" w:hAnsi="仿宋" w:eastAsia="仿宋" w:cs="仿宋"/>
          <w:color w:val="auto"/>
          <w:sz w:val="24"/>
          <w:szCs w:val="24"/>
          <w:highlight w:val="none"/>
        </w:rPr>
        <w:t>外，承包人不得将上述施工设备和临时设施中的任何部分运出施工场地或挪作他用。</w:t>
      </w:r>
    </w:p>
    <w:p>
      <w:pPr>
        <w:pStyle w:val="13"/>
        <w:tabs>
          <w:tab w:val="left" w:pos="540"/>
        </w:tabs>
        <w:adjustRightInd w:val="0"/>
        <w:snapToGrid w:val="0"/>
        <w:spacing w:before="312" w:beforeLines="100"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41" w:name="_Toc11444"/>
      <w:bookmarkStart w:id="442" w:name="_Toc30177"/>
      <w:bookmarkStart w:id="443" w:name="_Toc7558"/>
      <w:bookmarkStart w:id="444" w:name="_Toc10624875"/>
      <w:bookmarkStart w:id="445" w:name="_Toc469384035"/>
      <w:bookmarkStart w:id="446" w:name="_Toc7607"/>
      <w:bookmarkStart w:id="447" w:name="_Toc355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52  </w:t>
      </w:r>
      <w:r>
        <w:rPr>
          <w:rFonts w:hint="eastAsia" w:ascii="仿宋" w:hAnsi="仿宋" w:eastAsia="仿宋" w:cs="仿宋"/>
          <w:b/>
          <w:bCs/>
          <w:color w:val="auto"/>
          <w:sz w:val="24"/>
          <w:szCs w:val="24"/>
          <w:highlight w:val="none"/>
        </w:rPr>
        <w:t>工程质量检查</w:t>
      </w:r>
      <w:bookmarkEnd w:id="441"/>
      <w:bookmarkEnd w:id="442"/>
      <w:bookmarkEnd w:id="443"/>
      <w:bookmarkEnd w:id="444"/>
      <w:bookmarkEnd w:id="445"/>
      <w:bookmarkEnd w:id="446"/>
      <w:bookmarkEnd w:id="447"/>
    </w:p>
    <w:p>
      <w:pPr>
        <w:pStyle w:val="7"/>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52.1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611" name="文本框 616"/>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upright="1"/>
                    </wps:wsp>
                  </a:graphicData>
                </a:graphic>
              </wp:anchor>
            </w:drawing>
          </mc:Choice>
          <mc:Fallback>
            <w:pict>
              <v:shape id="文本框 616" o:spid="_x0000_s1026" o:spt="202" type="#_x0000_t202" style="position:absolute;left:0pt;margin-left:-5.8pt;margin-top:0.45pt;height:41.15pt;width:77.8pt;z-index:251875328;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m76VHVAAAA&#10;BwEAAA8AAAAAAAAAAQAgAAAAIgAAAGRycy9kb3ducmV2LnhtbFBLAQIUABQAAAAIAIdO4kCTv15h&#10;rgEAAFEDAAAOAAAAAAAAAAEAIAAAACQBAABkcnMvZTJvRG9jLnhtbFBLBQYAAAAABgAGAFkBAABE&#10;BQAAAAA=&#10;">
                <v:fill on="f" focussize="0,0"/>
                <v:stroke on="f"/>
                <v:imagedata o:title=""/>
                <o:lock v:ext="edit" aspectratio="f"/>
                <v:textbox>
                  <w:txbxContent>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pPr>
                        <w:spacing w:line="20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仿宋" w:hAnsi="仿宋" w:eastAsia="仿宋" w:cs="仿宋"/>
          <w:color w:val="auto"/>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pPr>
        <w:pStyle w:val="7"/>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52.2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612" name="文本框 617"/>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upright="1"/>
                    </wps:wsp>
                  </a:graphicData>
                </a:graphic>
              </wp:anchor>
            </w:drawing>
          </mc:Choice>
          <mc:Fallback>
            <w:pict>
              <v:shape id="文本框 617" o:spid="_x0000_s1026" o:spt="202" type="#_x0000_t202" style="position:absolute;left:0pt;margin-left:-5.8pt;margin-top:0.7pt;height:35.3pt;width:68.8pt;z-index:251876352;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Gpak9UA&#10;AAAIAQAADwAAAAAAAAABACAAAAAiAAAAZHJzL2Rvd25yZXYueG1sUEsBAhQAFAAAAAgAh07iQH5m&#10;ngK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pPr>
        <w:adjustRightInd w:val="0"/>
        <w:snapToGrid w:val="0"/>
        <w:spacing w:line="360" w:lineRule="auto"/>
        <w:ind w:left="1619" w:leftChars="771"/>
        <w:rPr>
          <w:rFonts w:ascii="仿宋" w:hAnsi="仿宋" w:eastAsia="仿宋" w:cs="Times New Roman"/>
          <w:color w:val="auto"/>
          <w:sz w:val="24"/>
          <w:szCs w:val="24"/>
          <w:highlight w:val="none"/>
        </w:rPr>
      </w:pPr>
    </w:p>
    <w:p>
      <w:pPr>
        <w:pStyle w:val="7"/>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52.3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613" name="文本框 618"/>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upright="1"/>
                    </wps:wsp>
                  </a:graphicData>
                </a:graphic>
              </wp:anchor>
            </w:drawing>
          </mc:Choice>
          <mc:Fallback>
            <w:pict>
              <v:shape id="文本框 618" o:spid="_x0000_s1026" o:spt="202" type="#_x0000_t202" style="position:absolute;left:0pt;margin-left:-5.8pt;margin-top:0.7pt;height:51.95pt;width:68.8pt;z-index:25187737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mFIAdUA&#10;AAAJAQAADwAAAAAAAAABACAAAAAiAAAAZHJzL2Rvd25yZXYueG1sUEsBAhQAFAAAAAgAh07iQOyi&#10;eVO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仿宋" w:hAnsi="仿宋" w:eastAsia="仿宋" w:cs="仿宋"/>
          <w:color w:val="auto"/>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pPr>
        <w:pStyle w:val="7"/>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52.4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614" name="文本框 619"/>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upright="1"/>
                    </wps:wsp>
                  </a:graphicData>
                </a:graphic>
              </wp:anchor>
            </w:drawing>
          </mc:Choice>
          <mc:Fallback>
            <w:pict>
              <v:shape id="文本框 619"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PGhhB1AAAAAgB&#10;AAAPAAAAAAAAAAEAIAAAACIAAABkcnMvZG93bnJldi54bWxQSwECFAAUAAAACACHTuJAfdyNu60B&#10;AABRAwAADgAAAAAAAAABACAAAAAjAQAAZHJzL2Uyb0RvYy54bWxQSwUGAAAAAAYABgBZAQAAQgUA&#10;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pPr>
        <w:pStyle w:val="7"/>
        <w:tabs>
          <w:tab w:val="left" w:pos="54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52.5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615" name="文本框 620"/>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upright="1"/>
                    </wps:wsp>
                  </a:graphicData>
                </a:graphic>
              </wp:anchor>
            </w:drawing>
          </mc:Choice>
          <mc:Fallback>
            <w:pict>
              <v:shape id="文本框 620" o:spid="_x0000_s1026" o:spt="202" type="#_x0000_t202" style="position:absolute;left:0pt;margin-left:-9pt;margin-top:3.65pt;height:34.65pt;width:72pt;z-index:251879424;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8aGEHUAAAACAEA&#10;AA8AAAAAAAAAAQAgAAAAIgAAAGRycy9kb3ducmV2LnhtbFBLAQIUABQAAAAIAIdO4kDpe86ZrAEA&#10;AFEDAAAOAAAAAAAAAAEAIAAAACMBAABkcnMvZTJvRG9jLnhtbFBLBQYAAAAABgAGAFkBAABBBQAA&#10;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pPr>
        <w:pStyle w:val="7"/>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48" w:name="_Toc23716"/>
      <w:bookmarkStart w:id="449" w:name="_Toc469384036"/>
      <w:bookmarkStart w:id="450" w:name="_Toc3697"/>
      <w:bookmarkStart w:id="451" w:name="_Toc7765"/>
      <w:bookmarkStart w:id="452" w:name="_Toc2264"/>
      <w:bookmarkStart w:id="453" w:name="_Toc10624876"/>
      <w:bookmarkStart w:id="454" w:name="_Toc264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53  </w:t>
      </w:r>
      <w:r>
        <w:rPr>
          <w:rFonts w:hint="eastAsia" w:ascii="仿宋" w:hAnsi="仿宋" w:eastAsia="仿宋" w:cs="仿宋"/>
          <w:b/>
          <w:bCs/>
          <w:color w:val="auto"/>
          <w:sz w:val="24"/>
          <w:szCs w:val="24"/>
          <w:highlight w:val="none"/>
        </w:rPr>
        <w:t>隐蔽工程和中间验收</w:t>
      </w:r>
      <w:bookmarkEnd w:id="448"/>
      <w:bookmarkEnd w:id="449"/>
      <w:bookmarkEnd w:id="450"/>
      <w:bookmarkEnd w:id="451"/>
      <w:bookmarkEnd w:id="452"/>
      <w:bookmarkEnd w:id="453"/>
      <w:bookmarkEnd w:id="454"/>
    </w:p>
    <w:p>
      <w:pPr>
        <w:pStyle w:val="7"/>
        <w:tabs>
          <w:tab w:val="left" w:pos="1320"/>
        </w:tabs>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53.1</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616" name="文本框 621"/>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upright="1"/>
                    </wps:wsp>
                  </a:graphicData>
                </a:graphic>
              </wp:anchor>
            </w:drawing>
          </mc:Choice>
          <mc:Fallback>
            <w:pict>
              <v:shape id="文本框 621" o:spid="_x0000_s1026" o:spt="202" type="#_x0000_t202" style="position:absolute;left:0pt;margin-left:-5.8pt;margin-top:1.4pt;height:35.8pt;width:68.8pt;z-index:251880448;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osgOzUAAAA&#10;CAEAAA8AAAAAAAAAAQAgAAAAIgAAAGRycy9kb3ducmV2LnhtbFBLAQIUABQAAAAIAIdO4kDZFXkq&#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仿宋" w:hAnsi="仿宋" w:eastAsia="仿宋" w:cs="仿宋"/>
          <w:color w:val="auto"/>
          <w:sz w:val="24"/>
          <w:szCs w:val="24"/>
          <w:highlight w:val="none"/>
        </w:rPr>
        <w:t>没有经监理工程师验收同意，任何工程均不得覆盖或隐蔽。隐蔽工程覆盖前或中间验收部位具备专用条款约定的验收条件时，承包人应进行自检，并在隐蔽或中间验收前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pPr>
        <w:pStyle w:val="7"/>
        <w:tabs>
          <w:tab w:val="left" w:pos="72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53.2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617" name="文本框 622"/>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upright="1"/>
                    </wps:wsp>
                  </a:graphicData>
                </a:graphic>
              </wp:anchor>
            </w:drawing>
          </mc:Choice>
          <mc:Fallback>
            <w:pict>
              <v:shape id="文本框 622" o:spid="_x0000_s1026" o:spt="202" type="#_x0000_t202" style="position:absolute;left:0pt;margin-left:-9pt;margin-top:4.1pt;height:36.75pt;width:72pt;z-index:251881472;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qNPRtUA&#10;AAAIAQAADwAAAAAAAAABACAAAAAiAAAAZHJzL2Rvd25yZXYueG1sUEsBAhQAFAAAAAgAh07iQKqQ&#10;8ji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color w:val="auto"/>
          <w:sz w:val="24"/>
          <w:szCs w:val="24"/>
          <w:highlight w:val="none"/>
        </w:rPr>
        <w:t>如果监理工程师不能按时参加验收，应至少提前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小时发出延期验收指令并书面说明理由，延期不得超过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仿宋" w:hAnsi="仿宋" w:eastAsia="仿宋" w:cs="仿宋"/>
          <w:color w:val="auto"/>
          <w:sz w:val="24"/>
          <w:szCs w:val="24"/>
          <w:highlight w:val="none"/>
        </w:rPr>
        <w:t>54.1</w:t>
      </w:r>
      <w:r>
        <w:rPr>
          <w:rFonts w:hint="eastAsia" w:ascii="仿宋" w:hAnsi="仿宋" w:eastAsia="仿宋" w:cs="仿宋"/>
          <w:color w:val="auto"/>
          <w:sz w:val="24"/>
          <w:szCs w:val="24"/>
          <w:highlight w:val="none"/>
        </w:rPr>
        <w:t>款规定重新验收。</w:t>
      </w:r>
    </w:p>
    <w:p>
      <w:pPr>
        <w:pStyle w:val="7"/>
        <w:tabs>
          <w:tab w:val="left" w:pos="720"/>
        </w:tabs>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53.3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7"/>
        <w:tabs>
          <w:tab w:val="left" w:pos="2160"/>
        </w:tabs>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618" name="文本框 623"/>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upright="1"/>
                    </wps:wsp>
                  </a:graphicData>
                </a:graphic>
              </wp:anchor>
            </w:drawing>
          </mc:Choice>
          <mc:Fallback>
            <w:pict>
              <v:shape id="文本框 623" o:spid="_x0000_s1026" o:spt="202" type="#_x0000_t202" style="position:absolute;left:0pt;margin-left:-9pt;margin-top:0.3pt;height:37.5pt;width:72pt;z-index:251882496;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SQcWs1AAA&#10;AAcBAAAPAAAAAAAAAAEAIAAAACIAAABkcnMvZG93bnJldi54bWxQSwECFAAUAAAACACHTuJAMoCd&#10;Ir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color w:val="auto"/>
          <w:sz w:val="24"/>
          <w:szCs w:val="24"/>
          <w:highlight w:val="none"/>
        </w:rPr>
        <w:t>验收合格的，监理工程师应在验收记录上签字，并形成验收文件，承包人可进行隐蔽或继续施工。验收合格</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小时后，监理工程师仍不在验收记录上签字，视为监理工程师已认可验收记录。</w:t>
      </w:r>
    </w:p>
    <w:p>
      <w:pPr>
        <w:pStyle w:val="7"/>
        <w:tabs>
          <w:tab w:val="left" w:pos="2160"/>
        </w:tabs>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验收不合格的，承包人应按照监理工程师的指令修改后重新验收，由此增加的费用和（或）延误的工期由承包人承担。</w:t>
      </w:r>
    </w:p>
    <w:p>
      <w:pPr>
        <w:pStyle w:val="7"/>
        <w:tabs>
          <w:tab w:val="left" w:pos="540"/>
        </w:tabs>
        <w:adjustRightInd w:val="0"/>
        <w:snapToGrid w:val="0"/>
        <w:spacing w:line="360" w:lineRule="auto"/>
        <w:ind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619" name="文本框 62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upright="1"/>
                    </wps:wsp>
                  </a:graphicData>
                </a:graphic>
              </wp:anchor>
            </w:drawing>
          </mc:Choice>
          <mc:Fallback>
            <w:pict>
              <v:shape id="文本框 624"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IIsrLX&#10;AAAACgEAAA8AAAAAAAAAAQAgAAAAIgAAAGRycy9kb3ducmV2LnhtbFBLAQIUABQAAAAIAIdO4kC6&#10;V0lP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仿宋" w:hAnsi="仿宋" w:eastAsia="仿宋" w:cs="仿宋"/>
          <w:b/>
          <w:bCs/>
          <w:color w:val="auto"/>
          <w:sz w:val="24"/>
          <w:szCs w:val="24"/>
          <w:highlight w:val="none"/>
        </w:rPr>
        <w:t xml:space="preserve">53.4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如监理工程师有指令，承包人应对隐蔽工程进行拍摄或照相，保证监理工程师能充分检查和测量隐蔽的工程。</w:t>
      </w:r>
    </w:p>
    <w:p>
      <w:pPr>
        <w:pStyle w:val="7"/>
        <w:tabs>
          <w:tab w:val="left" w:pos="540"/>
        </w:tabs>
        <w:adjustRightInd w:val="0"/>
        <w:snapToGrid w:val="0"/>
        <w:spacing w:line="360" w:lineRule="auto"/>
        <w:ind w:firstLine="0"/>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620" name="文本框 62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wps:txbx>
                      <wps:bodyPr upright="1"/>
                    </wps:wsp>
                  </a:graphicData>
                </a:graphic>
              </wp:anchor>
            </w:drawing>
          </mc:Choice>
          <mc:Fallback>
            <w:pict>
              <v:shape id="文本框 625" o:spid="_x0000_s1026" o:spt="202" type="#_x0000_t202" style="position:absolute;left:0pt;margin-left:-9pt;margin-top:19.3pt;height:31.2pt;width:72pt;z-index:251884544;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CLKy&#10;1wAAAAoBAAAPAAAAAAAAAAEAIAAAACIAAABkcnMvZG93bnJldi54bWxQSwECFAAUAAAACACHTuJA&#10;LTyKErABAABRAwAADgAAAAAAAAABACAAAAAmAQAAZHJzL2Uyb0RvYy54bWxQSwUGAAAAAAYABgBZ&#10;AQAASAU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仿宋" w:hAnsi="仿宋" w:eastAsia="仿宋" w:cs="仿宋"/>
          <w:b/>
          <w:bCs/>
          <w:color w:val="auto"/>
          <w:sz w:val="24"/>
          <w:szCs w:val="24"/>
          <w:highlight w:val="none"/>
        </w:rPr>
        <w:t xml:space="preserve">53.5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u w:val="single"/>
        </w:rPr>
      </w:pPr>
      <w:r>
        <w:rPr>
          <w:rFonts w:hint="eastAsia" w:ascii="仿宋" w:hAnsi="仿宋" w:eastAsia="仿宋" w:cs="仿宋"/>
          <w:color w:val="auto"/>
          <w:sz w:val="24"/>
          <w:szCs w:val="24"/>
          <w:highlight w:val="none"/>
        </w:rPr>
        <w:t>承包人未通知监理工程师到场验收，私自将隐蔽工程覆盖的，监理工程师有权指令承包人进行钻孔探测或剥露验收，由此增加的费用和（或）延误的工期由承包人承担。</w:t>
      </w:r>
    </w:p>
    <w:p>
      <w:pPr>
        <w:pStyle w:val="7"/>
        <w:adjustRightInd w:val="0"/>
        <w:snapToGrid w:val="0"/>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55" w:name="_Toc7006"/>
      <w:bookmarkStart w:id="456" w:name="_Toc5048"/>
      <w:bookmarkStart w:id="457" w:name="_Toc469384037"/>
      <w:bookmarkStart w:id="458" w:name="_Toc20491"/>
      <w:bookmarkStart w:id="459" w:name="_Toc20065"/>
      <w:bookmarkStart w:id="460" w:name="_Toc10624877"/>
      <w:bookmarkStart w:id="461" w:name="_Toc2474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54  </w:t>
      </w:r>
      <w:r>
        <w:rPr>
          <w:rFonts w:hint="eastAsia" w:ascii="仿宋" w:hAnsi="仿宋" w:eastAsia="仿宋" w:cs="仿宋"/>
          <w:b/>
          <w:bCs/>
          <w:color w:val="auto"/>
          <w:sz w:val="24"/>
          <w:szCs w:val="24"/>
          <w:highlight w:val="none"/>
        </w:rPr>
        <w:t>重新验收和额外检查检验</w:t>
      </w:r>
      <w:bookmarkEnd w:id="455"/>
      <w:bookmarkEnd w:id="456"/>
      <w:bookmarkEnd w:id="457"/>
      <w:bookmarkEnd w:id="458"/>
      <w:bookmarkEnd w:id="459"/>
      <w:bookmarkEnd w:id="460"/>
      <w:bookmarkEnd w:id="461"/>
    </w:p>
    <w:p>
      <w:pPr>
        <w:pStyle w:val="7"/>
        <w:adjustRightInd w:val="0"/>
        <w:snapToGrid w:val="0"/>
        <w:spacing w:line="360" w:lineRule="auto"/>
        <w:ind w:firstLine="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621" name="文本框 626"/>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upright="1"/>
                    </wps:wsp>
                  </a:graphicData>
                </a:graphic>
              </wp:anchor>
            </w:drawing>
          </mc:Choice>
          <mc:Fallback>
            <w:pict>
              <v:shape id="文本框 626" o:spid="_x0000_s1026" o:spt="202" type="#_x0000_t202" style="position:absolute;left:0pt;margin-left:-9pt;margin-top:19.4pt;height:22.5pt;width:63pt;z-index:251885568;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3HCFvVAAAA&#10;CQEAAA8AAAAAAAAAAQAgAAAAIgAAAGRycy9kb3ducmV2LnhtbFBLAQIUABQAAAAIAIdO4kDprthL&#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仿宋" w:hAnsi="仿宋" w:eastAsia="仿宋" w:cs="仿宋"/>
          <w:b/>
          <w:bCs/>
          <w:color w:val="auto"/>
          <w:sz w:val="24"/>
          <w:szCs w:val="24"/>
          <w:highlight w:val="none"/>
        </w:rPr>
        <w:t>54.1</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pPr>
        <w:pStyle w:val="7"/>
        <w:tabs>
          <w:tab w:val="left" w:pos="540"/>
          <w:tab w:val="left" w:pos="720"/>
        </w:tabs>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54.2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622" name="文本框 627"/>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upright="1"/>
                    </wps:wsp>
                  </a:graphicData>
                </a:graphic>
              </wp:anchor>
            </w:drawing>
          </mc:Choice>
          <mc:Fallback>
            <w:pict>
              <v:shape id="文本框 627" o:spid="_x0000_s1026" o:spt="202" type="#_x0000_t202" style="position:absolute;left:0pt;margin-left:-9pt;margin-top:0.6pt;height:49.4pt;width:76.4pt;z-index:251886592;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xgWidUAAAAJ&#10;AQAADwAAAAAAAAABACAAAAAiAAAAZHJzL2Rvd25yZXYueG1sUEsBAhQAFAAAAAgAh07iQJIySz+t&#10;AQAAUQMAAA4AAAAAAAAAAQAgAAAAJA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w:t>
      </w:r>
      <w:r>
        <w:rPr>
          <w:rFonts w:ascii="仿宋" w:hAnsi="仿宋" w:eastAsia="仿宋" w:cs="仿宋"/>
          <w:color w:val="auto"/>
          <w:sz w:val="24"/>
          <w:szCs w:val="24"/>
          <w:highlight w:val="none"/>
        </w:rPr>
        <w:t>50.5</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52.3</w:t>
      </w:r>
      <w:r>
        <w:rPr>
          <w:rFonts w:hint="eastAsia" w:ascii="仿宋" w:hAnsi="仿宋" w:eastAsia="仿宋" w:cs="仿宋"/>
          <w:color w:val="auto"/>
          <w:sz w:val="24"/>
          <w:szCs w:val="24"/>
          <w:highlight w:val="none"/>
        </w:rPr>
        <w:t>款规定处理；没有缺陷的，检查检验的费用和（或）延误的工期由发包人承担，并向承包人支付合理利润。</w:t>
      </w:r>
    </w:p>
    <w:p>
      <w:pPr>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62" w:name="_Toc10624878"/>
      <w:bookmarkStart w:id="463" w:name="_Toc19540"/>
      <w:bookmarkStart w:id="464" w:name="_Toc22766"/>
      <w:bookmarkStart w:id="465" w:name="_Toc6389"/>
      <w:bookmarkStart w:id="466" w:name="_Toc19175"/>
      <w:bookmarkStart w:id="467" w:name="_Toc469384038"/>
      <w:bookmarkStart w:id="468" w:name="_Toc30337"/>
      <w:r>
        <w:rPr>
          <w:rFonts w:ascii="仿宋" w:hAnsi="仿宋" w:eastAsia="仿宋" w:cs="仿宋"/>
          <w:b/>
          <w:bCs/>
          <w:color w:val="auto"/>
          <w:sz w:val="24"/>
          <w:szCs w:val="24"/>
          <w:highlight w:val="none"/>
        </w:rPr>
        <w:t xml:space="preserve">55  </w:t>
      </w:r>
      <w:r>
        <w:rPr>
          <w:rFonts w:hint="eastAsia" w:ascii="仿宋" w:hAnsi="仿宋" w:eastAsia="仿宋" w:cs="仿宋"/>
          <w:b/>
          <w:bCs/>
          <w:color w:val="auto"/>
          <w:sz w:val="24"/>
          <w:szCs w:val="24"/>
          <w:highlight w:val="none"/>
        </w:rPr>
        <w:t>工程试车</w:t>
      </w:r>
      <w:bookmarkEnd w:id="462"/>
      <w:bookmarkEnd w:id="463"/>
      <w:bookmarkEnd w:id="464"/>
      <w:bookmarkEnd w:id="465"/>
      <w:bookmarkEnd w:id="466"/>
      <w:bookmarkEnd w:id="467"/>
      <w:bookmarkEnd w:id="468"/>
    </w:p>
    <w:p>
      <w:pPr>
        <w:adjustRightInd w:val="0"/>
        <w:snapToGrid w:val="0"/>
        <w:spacing w:line="360" w:lineRule="auto"/>
        <w:ind w:left="-2" w:leftChars="-1" w:firstLine="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55.1 </w:t>
      </w:r>
    </w:p>
    <w:p>
      <w:pPr>
        <w:adjustRightInd w:val="0"/>
        <w:snapToGrid w:val="0"/>
        <w:spacing w:line="360" w:lineRule="auto"/>
        <w:ind w:left="162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623" name="文本框 628"/>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upright="1"/>
                    </wps:wsp>
                  </a:graphicData>
                </a:graphic>
              </wp:anchor>
            </w:drawing>
          </mc:Choice>
          <mc:Fallback>
            <w:pict>
              <v:shape id="文本框 628" o:spid="_x0000_s1026" o:spt="202" type="#_x0000_t202" style="position:absolute;left:0pt;margin-left:-9pt;margin-top:1.3pt;height:23.4pt;width:63pt;z-index:251887616;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Heyv9QAAAAI&#10;AQAADwAAAAAAAAABACAAAAAiAAAAZHJzL2Rvd25yZXYueG1sUEsBAhQAFAAAAAgAh07iQOSqS9iu&#10;AQAAUQMAAA4AAAAAAAAAAQAgAAAAIwEAAGRycy9lMm9Eb2MueG1sUEsFBgAAAAAGAAYAWQEAAEMF&#10;A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sz w:val="24"/>
          <w:szCs w:val="24"/>
          <w:highlight w:val="none"/>
        </w:rPr>
        <w:t>按照合同约定需要试车的，试车的内容应与承包人承包的安装范围相一致。</w:t>
      </w:r>
    </w:p>
    <w:p>
      <w:pPr>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55.2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624" name="文本框 629"/>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upright="1"/>
                    </wps:wsp>
                  </a:graphicData>
                </a:graphic>
              </wp:anchor>
            </w:drawing>
          </mc:Choice>
          <mc:Fallback>
            <w:pict>
              <v:shape id="文本框 629" o:spid="_x0000_s1026" o:spt="202" type="#_x0000_t202" style="position:absolute;left:0pt;margin-left:-9pt;margin-top:0.25pt;height:36.95pt;width:72pt;z-index:251888640;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sH9tnUAAAA&#10;BwEAAA8AAAAAAAAAAQAgAAAAIgAAAGRycy9kb3ducmV2LnhtbFBLAQIUABQAAAAIAIdO4kCEwshu&#10;rwEAAFEDAAAOAAAAAAAAAAEAIAAAACMBAABkcnMvZTJvRG9jLnhtbFBLBQYAAAAABgAGAFkBAABE&#10;BQ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sz w:val="24"/>
          <w:szCs w:val="24"/>
          <w:highlight w:val="none"/>
        </w:rPr>
        <w:t>设备安装工程具备单机无负荷试车条件时，承包人应组织试车，并在试车前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小时以书面形式通知监理工程师。通知包括试车内容、时间和地点。承包人应自行准备试车记录，发包人应为承包人试车提供便利和协助。</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监理工程师不能按时参加试车的，应在开始试车前至少提前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小时发出延期试车指令并书面说明理由，延期不能超过</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小时。监理工程师未发出延期试车指令也未能按时参加试车的，承包人可自行试车，并认为试车是经监理工程师同意下完成的。试车完成后，承包人应立即向监理工程师提交试车记录，监理工程师应予认可。</w:t>
      </w:r>
    </w:p>
    <w:p>
      <w:pPr>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55.3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625" name="文本框 630"/>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upright="1"/>
                    </wps:wsp>
                  </a:graphicData>
                </a:graphic>
              </wp:anchor>
            </w:drawing>
          </mc:Choice>
          <mc:Fallback>
            <w:pict>
              <v:shape id="文本框 630" o:spid="_x0000_s1026" o:spt="202" type="#_x0000_t202" style="position:absolute;left:0pt;margin-left:-5.8pt;margin-top:0.05pt;height:37.15pt;width:68.8pt;z-index:251889664;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oCzoPUAAAA&#10;BwEAAA8AAAAAAAAAAQAgAAAAIgAAAGRycy9kb3ducmV2LnhtbFBLAQIUABQAAAAIAIdO4kCddIJr&#10;rwEAAFEDAAAOAAAAAAAAAAEAIAAAACMBAABkcnMvZTJvRG9jLnhtbFBLBQYAAAAABgAGAFkBAABE&#10;BQ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sz w:val="24"/>
          <w:szCs w:val="24"/>
          <w:highlight w:val="none"/>
        </w:rPr>
        <w:t>单机试车合格，监理工程师应在试车记录上签字，承包人可继续施工或申请办理竣工验收手续。单机试车合格</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小时后，监理工程师仍不在试车记录上签字的，视为监理工程师已认可试车记录。</w:t>
      </w:r>
    </w:p>
    <w:p>
      <w:pPr>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55.4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626" name="文本框 631"/>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upright="1"/>
                    </wps:wsp>
                  </a:graphicData>
                </a:graphic>
              </wp:anchor>
            </w:drawing>
          </mc:Choice>
          <mc:Fallback>
            <w:pict>
              <v:shape id="文本框 631" o:spid="_x0000_s1026" o:spt="202" type="#_x0000_t202" style="position:absolute;left:0pt;margin-left:-5.8pt;margin-top:0.9pt;height:38.8pt;width:68.8pt;z-index:251890688;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cVsADVAAAA&#10;CAEAAA8AAAAAAAAAAQAgAAAAIgAAAGRycy9kb3ducmV2LnhtbFBLAQIUABQAAAAIAIdO4kBNXufq&#10;rgEAAFEDAAAOAAAAAAAAAAEAIAAAACQBAABkcnMvZTJvRG9jLnhtbFBLBQYAAAAABgAGAFkBAABE&#10;BQAAAAA=&#10;">
                <v:fill on="f" focussize="0,0"/>
                <v:stroke on="f"/>
                <v:imagedata o:title=""/>
                <o:lock v:ext="edit" aspectratio="f"/>
                <v:textbox>
                  <w:txbxContent>
                    <w:p>
                      <w:pPr>
                        <w:jc w:val="lef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仿宋" w:hAnsi="仿宋" w:eastAsia="仿宋" w:cs="仿宋"/>
          <w:color w:val="auto"/>
          <w:sz w:val="24"/>
          <w:szCs w:val="24"/>
          <w:highlight w:val="none"/>
        </w:rPr>
        <w:t>设备安装工程具备联动无负荷试车条件时，发包人应组织试车，并在试车前</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小时以书面形式通知承包人。通知包括试车内容、时间、地点和对承包人的要求，承包人应按照要求做好准备工作。试车合格，合同双方当事人均应在试车记录上签字。</w:t>
      </w:r>
    </w:p>
    <w:p>
      <w:pPr>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55.5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20"/>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627" name="文本框 632"/>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upright="1"/>
                    </wps:wsp>
                  </a:graphicData>
                </a:graphic>
              </wp:anchor>
            </w:drawing>
          </mc:Choice>
          <mc:Fallback>
            <w:pict>
              <v:shape id="文本框 632" o:spid="_x0000_s1026" o:spt="202" type="#_x0000_t202" style="position:absolute;left:0pt;margin-left:-9pt;margin-top:-0.5pt;height:33.7pt;width:69.6pt;z-index:251891712;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gmHzh&#10;1gAAAAkBAAAPAAAAAAAAAAEAIAAAACIAAABkcnMvZG93bnJldi54bWxQSwECFAAUAAAACACHTuJA&#10;52p0KL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仿宋" w:hAnsi="仿宋" w:eastAsia="仿宋" w:cs="仿宋"/>
          <w:color w:val="auto"/>
          <w:sz w:val="24"/>
          <w:szCs w:val="24"/>
          <w:highlight w:val="none"/>
        </w:rPr>
        <w:t>试车费用，除已含在合同价款外，由发包人承担。试车达不到验收要求的，按照下列规定处理：</w:t>
      </w:r>
      <w:r>
        <w:rPr>
          <w:rFonts w:ascii="仿宋" w:hAnsi="仿宋" w:eastAsia="仿宋" w:cs="仿宋"/>
          <w:color w:val="auto"/>
          <w:sz w:val="24"/>
          <w:szCs w:val="24"/>
          <w:highlight w:val="none"/>
        </w:rPr>
        <w:t xml:space="preserve"> </w:t>
      </w:r>
    </w:p>
    <w:p>
      <w:pPr>
        <w:numPr>
          <w:ilvl w:val="0"/>
          <w:numId w:val="23"/>
        </w:numPr>
        <w:tabs>
          <w:tab w:val="left" w:pos="1080"/>
          <w:tab w:val="left" w:pos="162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由于设计原因试车达不到验收要求，发包人应要求设计人修改设计，承包人按照修改后的设计重新安装。发包人承担修改设计、拆除及重新安装的全部费用和延误的工期。</w:t>
      </w:r>
    </w:p>
    <w:p>
      <w:pPr>
        <w:numPr>
          <w:ilvl w:val="0"/>
          <w:numId w:val="23"/>
        </w:numPr>
        <w:tabs>
          <w:tab w:val="left" w:pos="1080"/>
          <w:tab w:val="left" w:pos="1620"/>
        </w:tabs>
        <w:adjustRightInd w:val="0"/>
        <w:snapToGrid w:val="0"/>
        <w:spacing w:line="360" w:lineRule="auto"/>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pPr>
        <w:numPr>
          <w:ilvl w:val="0"/>
          <w:numId w:val="23"/>
        </w:numPr>
        <w:tabs>
          <w:tab w:val="left" w:pos="1080"/>
          <w:tab w:val="left" w:pos="1980"/>
        </w:tabs>
        <w:adjustRightInd w:val="0"/>
        <w:snapToGrid w:val="0"/>
        <w:spacing w:line="360" w:lineRule="auto"/>
        <w:ind w:left="1617" w:leftChars="77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由于承包人施工原因试车达不到验收要求，承包人应按照监理工程师要求重新安装和试车，并承担拆除、重新安装和重新试车的费用和延误的工期。</w:t>
      </w:r>
    </w:p>
    <w:p>
      <w:pPr>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55.6  </w:t>
      </w:r>
      <w:r>
        <w:rPr>
          <w:rFonts w:ascii="仿宋" w:hAnsi="仿宋" w:eastAsia="仿宋" w:cs="仿宋"/>
          <w:b/>
          <w:bCs/>
          <w:color w:val="auto"/>
          <w:sz w:val="24"/>
          <w:szCs w:val="24"/>
          <w:highlight w:val="none"/>
          <w:u w:val="dotted"/>
        </w:rPr>
        <w:t xml:space="preserve">                                                                               </w:t>
      </w:r>
    </w:p>
    <w:p>
      <w:pPr>
        <w:adjustRightInd w:val="0"/>
        <w:snapToGrid w:val="0"/>
        <w:rPr>
          <w:rFonts w:ascii="仿宋" w:hAnsi="仿宋" w:eastAsia="仿宋" w:cs="仿宋"/>
          <w:b/>
          <w:bCs/>
          <w:color w:val="auto"/>
          <w:sz w:val="24"/>
          <w:szCs w:val="24"/>
          <w:highlight w:val="none"/>
          <w:u w:val="dotted"/>
        </w:rPr>
      </w:pPr>
    </w:p>
    <w:p>
      <w:pPr>
        <w:pStyle w:val="22"/>
        <w:adjustRightInd w:val="0"/>
        <w:snapToGrid w:val="0"/>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628" name="文本框 63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wps:txbx>
                      <wps:bodyPr upright="1"/>
                    </wps:wsp>
                  </a:graphicData>
                </a:graphic>
              </wp:anchor>
            </w:drawing>
          </mc:Choice>
          <mc:Fallback>
            <w:pict>
              <v:shape id="文本框 633" o:spid="_x0000_s1026" o:spt="202" type="#_x0000_t202" style="position:absolute;left:0pt;margin-left:-9pt;margin-top:0.8pt;height:23.4pt;width:63pt;z-index:251892736;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ZztIDUAAAA&#10;CAEAAA8AAAAAAAAAAQAgAAAAIgAAAGRycy9kb3ducmV2LnhtbFBLAQIUABQAAAAIAIdO4kDj+kay&#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rPr>
        <w:t>投料试车应在永久工程竣工验收后，由发包人负责。如果发包人要求在永久工程竣工验收前进行试车或需要承包人配合时，应事先取得承包人同意，并另行签订补充协议。</w:t>
      </w:r>
    </w:p>
    <w:p>
      <w:pPr>
        <w:pStyle w:val="7"/>
        <w:adjustRightInd w:val="0"/>
        <w:snapToGrid w:val="0"/>
        <w:spacing w:line="240" w:lineRule="exact"/>
        <w:ind w:firstLine="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69" w:name="_Toc15554"/>
      <w:bookmarkStart w:id="470" w:name="_Toc4767"/>
      <w:bookmarkStart w:id="471" w:name="_Toc11"/>
      <w:bookmarkStart w:id="472" w:name="_Toc16801"/>
      <w:bookmarkStart w:id="473" w:name="_Toc10624879"/>
      <w:bookmarkStart w:id="474" w:name="_Toc469384039"/>
      <w:bookmarkStart w:id="475" w:name="_Toc2018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56  </w:t>
      </w:r>
      <w:r>
        <w:rPr>
          <w:rFonts w:hint="eastAsia" w:ascii="仿宋" w:hAnsi="仿宋" w:eastAsia="仿宋" w:cs="仿宋"/>
          <w:b/>
          <w:bCs/>
          <w:color w:val="auto"/>
          <w:sz w:val="24"/>
          <w:szCs w:val="24"/>
          <w:highlight w:val="none"/>
        </w:rPr>
        <w:t>工程变更</w:t>
      </w:r>
      <w:bookmarkEnd w:id="469"/>
      <w:bookmarkEnd w:id="470"/>
      <w:bookmarkEnd w:id="471"/>
      <w:bookmarkEnd w:id="472"/>
      <w:bookmarkEnd w:id="473"/>
      <w:bookmarkEnd w:id="474"/>
      <w:bookmarkEnd w:id="475"/>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56.1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629" name="文本框 634"/>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upright="1"/>
                    </wps:wsp>
                  </a:graphicData>
                </a:graphic>
              </wp:anchor>
            </w:drawing>
          </mc:Choice>
          <mc:Fallback>
            <w:pict>
              <v:shape id="文本框 634" o:spid="_x0000_s1026" o:spt="202" type="#_x0000_t202" style="position:absolute;left:0pt;margin-left:-9pt;margin-top:0.1pt;height:23.4pt;width:81pt;z-index:251893760;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zJMq0wAA&#10;AAcBAAAPAAAAAAAAAAEAIAAAACIAAABkcnMvZG93bnJldi54bWxQSwECFAAUAAAACACHTuJA26lG&#10;gLEBAABSAwAADgAAAAAAAAABACAAAAAi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rPr>
        <w:t>合同履行期间，经发包人批准，监理工程师可按照第</w:t>
      </w:r>
      <w:r>
        <w:rPr>
          <w:rFonts w:ascii="仿宋" w:hAnsi="仿宋" w:eastAsia="仿宋" w:cs="仿宋"/>
          <w:color w:val="auto"/>
          <w:sz w:val="24"/>
          <w:szCs w:val="24"/>
          <w:highlight w:val="none"/>
        </w:rPr>
        <w:t>56.3</w:t>
      </w:r>
      <w:r>
        <w:rPr>
          <w:rFonts w:hint="eastAsia" w:ascii="仿宋" w:hAnsi="仿宋" w:eastAsia="仿宋" w:cs="仿宋"/>
          <w:color w:val="auto"/>
          <w:sz w:val="24"/>
          <w:szCs w:val="24"/>
          <w:highlight w:val="none"/>
        </w:rPr>
        <w:t>款约定的变更程序向承包人发出变更指令，承包人应按照合同约定实施变更工作。</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没有经发包人批准也没有监理工程师的工程变更指令，承包人应按照合同约定施工，无权对合同工程作出任何变更。</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工程量偏差不属于工程变更，该项工程量增减不需要任何指令。</w:t>
      </w:r>
    </w:p>
    <w:p>
      <w:pPr>
        <w:pStyle w:val="13"/>
        <w:adjustRightInd w:val="0"/>
        <w:snapToGrid w:val="0"/>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56.2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rPr>
          <w:rFonts w:ascii="仿宋" w:hAnsi="仿宋" w:eastAsia="仿宋" w:cs="Times New Roman"/>
          <w:color w:val="auto"/>
          <w:sz w:val="24"/>
          <w:szCs w:val="24"/>
          <w:highlight w:val="none"/>
        </w:rPr>
      </w:pP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630" name="文本框 63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upright="1"/>
                    </wps:wsp>
                  </a:graphicData>
                </a:graphic>
              </wp:anchor>
            </w:drawing>
          </mc:Choice>
          <mc:Fallback>
            <w:pict>
              <v:shape id="文本框 635" o:spid="_x0000_s1026" o:spt="202" type="#_x0000_t202" style="position:absolute;left:0pt;margin-left:-9pt;margin-top:5.5pt;height:31.2pt;width:72pt;z-index:251894784;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D6XtXW&#10;AAAACQEAAA8AAAAAAAAAAQAgAAAAIgAAAGRycy9kb3ducmV2LnhtbFBLAQIUABQAAAAIAIdO4kCm&#10;M0Ww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color w:val="auto"/>
          <w:sz w:val="24"/>
          <w:szCs w:val="24"/>
          <w:highlight w:val="none"/>
        </w:rPr>
        <w:t>合同履行期间，发包人可对合同工程或其任何部分的形式、质量或数量作出变更。发生下列情形之一，应按照本条规定进行变更。</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改变合同工程中任何工程数量（不含工程量的偏差）；</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删减任何工作，但删减的工作不能转由发包人或其他人实施；</w:t>
      </w:r>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改变任何工作内容的性质、质量或其他特征；</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改变工程任何部分的标高、基线、位置和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或</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尺寸；</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为完成永久工程所必须的任何额外工作；</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但对合同工程工期、质量标准等实质性变更的，应在作出变更前，与承包人签订补充协议书，作为本合同的补充文件。</w:t>
      </w:r>
    </w:p>
    <w:p>
      <w:pPr>
        <w:pStyle w:val="13"/>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56.3  </w:t>
      </w:r>
      <w:r>
        <w:rPr>
          <w:rFonts w:ascii="仿宋" w:hAnsi="仿宋" w:eastAsia="仿宋" w:cs="仿宋"/>
          <w:b/>
          <w:bCs/>
          <w:color w:val="auto"/>
          <w:sz w:val="24"/>
          <w:szCs w:val="24"/>
          <w:highlight w:val="none"/>
          <w:u w:val="dotted"/>
        </w:rPr>
        <w:t xml:space="preserve">                                                                               </w:t>
      </w:r>
    </w:p>
    <w:p>
      <w:pPr>
        <w:pStyle w:val="13"/>
        <w:adjustRightInd w:val="0"/>
        <w:snapToGrid w:val="0"/>
        <w:rPr>
          <w:rFonts w:ascii="仿宋" w:hAnsi="仿宋" w:eastAsia="仿宋" w:cs="Times New Roman"/>
          <w:b/>
          <w:bCs/>
          <w:color w:val="auto"/>
          <w:sz w:val="24"/>
          <w:szCs w:val="24"/>
          <w:highlight w:val="none"/>
        </w:rPr>
      </w:pP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631" name="文本框 636"/>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upright="1"/>
                    </wps:wsp>
                  </a:graphicData>
                </a:graphic>
              </wp:anchor>
            </w:drawing>
          </mc:Choice>
          <mc:Fallback>
            <w:pict>
              <v:shape id="文本框 636" o:spid="_x0000_s1026" o:spt="202" type="#_x0000_t202" style="position:absolute;left:0pt;margin-left:-9pt;margin-top:1.25pt;height:43.85pt;width:72pt;z-index:251895808;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DD/2NUA&#10;AAAIAQAADwAAAAAAAAABACAAAAAiAAAAZHJzL2Rvd25yZXYueG1sUEsBAhQAFAAAAAgAh07iQPp+&#10;Sqa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476" w:name="OLE_LINK1"/>
      <w:r>
        <w:rPr>
          <w:rFonts w:hint="eastAsia" w:ascii="仿宋" w:hAnsi="仿宋" w:eastAsia="仿宋" w:cs="仿宋"/>
          <w:color w:val="auto"/>
          <w:sz w:val="24"/>
          <w:szCs w:val="24"/>
          <w:highlight w:val="none"/>
        </w:rPr>
        <w:t>合同工程发生变更</w:t>
      </w:r>
      <w:bookmarkEnd w:id="476"/>
      <w:r>
        <w:rPr>
          <w:rFonts w:hint="eastAsia" w:ascii="仿宋" w:hAnsi="仿宋" w:eastAsia="仿宋" w:cs="仿宋"/>
          <w:color w:val="auto"/>
          <w:sz w:val="24"/>
          <w:szCs w:val="24"/>
          <w:highlight w:val="none"/>
        </w:rPr>
        <w:t>，合同双方当事人以及监理工程师、造价工程师应遵循下列程序实施工程变更的相关工作。</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合同工程可能发生或发生工程变更时，监理工程师或承包人可依据下列情况及时提出。</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）合同工程可能发生第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款所列情形的，监理工程师可向承包人发出变更意向书，并附必要的施工设计图纸及其说明等资料。承包人应在收到变更意向书后的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天内，向监理工程师书面提交包括拟实施变更工作的计划、措施、竣工时间、修改内容和所需金额等在内的实施方案。发包人应在收到实施方案后的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天内予以答复；同意承包人提交的实施方案的，监理工程师应在收到实施方案后的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天内发出变更指令。</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）合同工程发生第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款所列情形的，监理工程师应至少提前</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天以书面形式向承包人发出变更指令，并提供变更的施工设计图纸及其说明等资料。</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）承包人收到发包人为实施合同工程所提供的施工设计图纸和文件，经检查认为存在第</w:t>
      </w:r>
      <w:r>
        <w:rPr>
          <w:rFonts w:ascii="仿宋" w:hAnsi="仿宋" w:eastAsia="仿宋" w:cs="仿宋"/>
          <w:color w:val="auto"/>
          <w:sz w:val="24"/>
          <w:szCs w:val="24"/>
          <w:highlight w:val="none"/>
        </w:rPr>
        <w:t>56.2</w:t>
      </w:r>
      <w:r>
        <w:rPr>
          <w:rFonts w:hint="eastAsia" w:ascii="仿宋" w:hAnsi="仿宋" w:eastAsia="仿宋" w:cs="仿宋"/>
          <w:color w:val="auto"/>
          <w:sz w:val="24"/>
          <w:szCs w:val="24"/>
          <w:highlight w:val="none"/>
        </w:rPr>
        <w:t>款所列情形的，可向监理工程师提出书面建议。监理工程师收到承包人书面建议后，应提出确认意见并报发包人审批；确认存在变更的，监理工程师应在收到承包人书面建议后的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天内发出变更指令。不同意作为变更的，应由监理工程师书面答复承包人。</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）若承包人收到监理工程师的变更意向书后认为难以实施此项变更的，应立即通知监理工程师，说明原因并附详细依据。监理工程师与合同双方当事人协商后确定撤销、改变或不改变原变更意向书。</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）承包人应在收到监理工程师发出变更指令或变更意向书后的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天内，向发包人提交工程变更报告，并抄送监理工程师、造价工程师。报告内容应包括变更原因、根据第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条约定详细开列变更工作的价格组成和依据，并附变更的施工设计图纸及其相关说明。</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变更工作影响工期的，承包人应提出调整工期的要求。发包人认为有必要时，可要求承包人提交提前或者延长工期的施工进度计划或相应施工措施等资料。</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发包人在收到承包人工程变更报告后，应通知监理工程师、造价工程师及时对报告内容予以核实，并在收到报告后的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天内予以确定或提出修改意见。发包人在收到承包人工程变更报告后的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天内未确定也未提出修改意见的，视为承包人提交的工程变更报告已被认可。</w:t>
      </w:r>
    </w:p>
    <w:p>
      <w:pPr>
        <w:pStyle w:val="13"/>
        <w:adjustRightInd w:val="0"/>
        <w:snapToGrid w:val="0"/>
        <w:spacing w:line="360" w:lineRule="auto"/>
        <w:ind w:left="1575" w:leftChars="750"/>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承包人应在发包人确定工程变更报告后的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天内，按照监理工程师发出的变更指令及时组织实施变更工作。否则，由此引起的损失和（或）延误的工期由承包人承担。</w:t>
      </w:r>
    </w:p>
    <w:p>
      <w:pPr>
        <w:pStyle w:val="13"/>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56.4  </w:t>
      </w:r>
      <w:r>
        <w:rPr>
          <w:rFonts w:ascii="仿宋" w:hAnsi="仿宋" w:eastAsia="仿宋" w:cs="仿宋"/>
          <w:b/>
          <w:bCs/>
          <w:color w:val="auto"/>
          <w:sz w:val="24"/>
          <w:szCs w:val="24"/>
          <w:highlight w:val="none"/>
          <w:u w:val="dotted"/>
        </w:rPr>
        <w:t xml:space="preserve">                                                                               </w:t>
      </w:r>
    </w:p>
    <w:p>
      <w:pPr>
        <w:pStyle w:val="13"/>
        <w:adjustRightInd w:val="0"/>
        <w:snapToGrid w:val="0"/>
        <w:rPr>
          <w:rFonts w:ascii="仿宋" w:hAnsi="仿宋" w:eastAsia="仿宋" w:cs="Times New Roman"/>
          <w:b/>
          <w:bCs/>
          <w:color w:val="auto"/>
          <w:sz w:val="24"/>
          <w:szCs w:val="24"/>
          <w:highlight w:val="none"/>
        </w:rPr>
      </w:pP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632" name="文本框 637"/>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upright="1"/>
                    </wps:wsp>
                  </a:graphicData>
                </a:graphic>
              </wp:anchor>
            </w:drawing>
          </mc:Choice>
          <mc:Fallback>
            <w:pict>
              <v:shape id="文本框 637" o:spid="_x0000_s1026" o:spt="202" type="#_x0000_t202" style="position:absolute;left:0pt;margin-left:-9pt;margin-top:0.6pt;height:32.45pt;width:72pt;z-index:251896832;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4TrXUAAAA&#10;CAEAAA8AAAAAAAAAAQAgAAAAIgAAAGRycy9kb3ducmV2LnhtbFBLAQIUABQAAAAIAIdO4kDVbFLr&#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ascii="仿宋" w:hAnsi="仿宋" w:eastAsia="仿宋" w:cs="仿宋"/>
          <w:color w:val="auto"/>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ascii="仿宋" w:hAnsi="仿宋" w:eastAsia="仿宋" w:cs="仿宋"/>
          <w:color w:val="auto"/>
          <w:sz w:val="24"/>
          <w:szCs w:val="24"/>
          <w:highlight w:val="none"/>
        </w:rPr>
        <w:t>56.3</w:t>
      </w:r>
      <w:r>
        <w:rPr>
          <w:rFonts w:hint="eastAsia" w:ascii="仿宋" w:hAnsi="仿宋" w:eastAsia="仿宋" w:cs="仿宋"/>
          <w:color w:val="auto"/>
          <w:sz w:val="24"/>
          <w:szCs w:val="24"/>
          <w:highlight w:val="none"/>
        </w:rPr>
        <w:t>款规定向承包人发出变更指令。</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发包人采纳承包人的建议，给发包人带来降低合同价款、缩短工期或提交工程经济效益等利益的，发包人应按照国家有关规定并在专用条款中约定的计算方法予以奖励。</w:t>
      </w:r>
    </w:p>
    <w:p>
      <w:pPr>
        <w:pStyle w:val="13"/>
        <w:adjustRightInd w:val="0"/>
        <w:snapToGrid w:val="0"/>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56.5  </w:t>
      </w:r>
      <w:r>
        <w:rPr>
          <w:rFonts w:ascii="仿宋" w:hAnsi="仿宋" w:eastAsia="仿宋" w:cs="仿宋"/>
          <w:b/>
          <w:bCs/>
          <w:color w:val="auto"/>
          <w:sz w:val="24"/>
          <w:szCs w:val="24"/>
          <w:highlight w:val="none"/>
          <w:u w:val="dotted"/>
        </w:rPr>
        <w:t xml:space="preserve">                                                                                </w:t>
      </w:r>
    </w:p>
    <w:p>
      <w:pPr>
        <w:pStyle w:val="13"/>
        <w:adjustRightInd w:val="0"/>
        <w:snapToGrid w:val="0"/>
        <w:rPr>
          <w:rFonts w:ascii="仿宋" w:hAnsi="仿宋" w:eastAsia="仿宋" w:cs="Times New Roman"/>
          <w:b/>
          <w:bCs/>
          <w:color w:val="auto"/>
          <w:sz w:val="24"/>
          <w:szCs w:val="24"/>
          <w:highlight w:val="none"/>
        </w:rPr>
      </w:pP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633" name="文本框 638"/>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upright="1"/>
                    </wps:wsp>
                  </a:graphicData>
                </a:graphic>
              </wp:anchor>
            </w:drawing>
          </mc:Choice>
          <mc:Fallback>
            <w:pict>
              <v:shape id="文本框 638" o:spid="_x0000_s1026" o:spt="202" type="#_x0000_t202" style="position:absolute;left:0pt;margin-left:-9pt;margin-top:1.2pt;height:46.3pt;width:72pt;z-index:251897856;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MrES1QAA&#10;AAgBAAAPAAAAAAAAAAEAIAAAACIAAABkcnMvZG93bnJldi54bWxQSwECFAAUAAAACACHTuJAgur4&#10;Q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ascii="仿宋" w:hAnsi="仿宋" w:eastAsia="仿宋" w:cs="仿宋"/>
          <w:color w:val="auto"/>
          <w:sz w:val="24"/>
          <w:szCs w:val="24"/>
          <w:highlight w:val="none"/>
        </w:rPr>
        <w:t>工程变更不应使合同作废或无效。工程变更应按照第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条规定确定变更的工程款；影响工期的，工期应相应调整。但由于下列原因引起的变更，承包人无权要求任何额外或附加的费用，工期不予顺延：</w:t>
      </w:r>
    </w:p>
    <w:p>
      <w:pPr>
        <w:pStyle w:val="13"/>
        <w:numPr>
          <w:ilvl w:val="0"/>
          <w:numId w:val="24"/>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为了便于组织施工而采取的技术措施变更或临时工程变更；</w:t>
      </w:r>
    </w:p>
    <w:p>
      <w:pPr>
        <w:pStyle w:val="13"/>
        <w:numPr>
          <w:ilvl w:val="0"/>
          <w:numId w:val="24"/>
        </w:numPr>
        <w:adjustRightInd w:val="0"/>
        <w:snapToGrid w:val="0"/>
        <w:spacing w:line="360" w:lineRule="auto"/>
        <w:ind w:left="1620"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为了施工安全、避免干扰等原因而采取的技术措施变更或临时工程变更；</w:t>
      </w:r>
    </w:p>
    <w:p>
      <w:pPr>
        <w:pStyle w:val="13"/>
        <w:numPr>
          <w:ilvl w:val="0"/>
          <w:numId w:val="24"/>
        </w:numPr>
        <w:adjustRightInd w:val="0"/>
        <w:snapToGrid w:val="0"/>
        <w:spacing w:line="360" w:lineRule="auto"/>
        <w:ind w:left="1620"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因承包人违约、过错或承包人引起的其他变更。</w:t>
      </w:r>
    </w:p>
    <w:p>
      <w:pPr>
        <w:pStyle w:val="13"/>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477" w:name="_Toc469384040"/>
      <w:bookmarkStart w:id="478" w:name="_Toc22688"/>
      <w:bookmarkStart w:id="479" w:name="_Toc10624880"/>
      <w:bookmarkStart w:id="480" w:name="_Toc9979"/>
      <w:bookmarkStart w:id="481" w:name="_Toc3640"/>
      <w:bookmarkStart w:id="482" w:name="_Toc29976"/>
      <w:bookmarkStart w:id="483" w:name="_Toc18607"/>
      <w:r>
        <w:rPr>
          <w:rFonts w:ascii="仿宋" w:hAnsi="仿宋" w:eastAsia="仿宋" w:cs="仿宋"/>
          <w:b/>
          <w:bCs/>
          <w:color w:val="auto"/>
          <w:sz w:val="24"/>
          <w:szCs w:val="24"/>
          <w:highlight w:val="none"/>
        </w:rPr>
        <w:t xml:space="preserve">57  </w:t>
      </w:r>
      <w:r>
        <w:rPr>
          <w:rFonts w:hint="eastAsia" w:ascii="仿宋" w:hAnsi="仿宋" w:eastAsia="仿宋" w:cs="仿宋"/>
          <w:b/>
          <w:bCs/>
          <w:color w:val="auto"/>
          <w:sz w:val="24"/>
          <w:szCs w:val="24"/>
          <w:highlight w:val="none"/>
        </w:rPr>
        <w:t>竣工验收条件</w:t>
      </w:r>
      <w:bookmarkEnd w:id="477"/>
      <w:bookmarkEnd w:id="478"/>
      <w:bookmarkEnd w:id="479"/>
      <w:bookmarkEnd w:id="480"/>
      <w:bookmarkEnd w:id="481"/>
      <w:bookmarkEnd w:id="482"/>
      <w:bookmarkEnd w:id="483"/>
    </w:p>
    <w:p>
      <w:pPr>
        <w:pStyle w:val="7"/>
        <w:adjustRightInd w:val="0"/>
        <w:snapToGrid w:val="0"/>
        <w:spacing w:line="360" w:lineRule="auto"/>
        <w:ind w:firstLine="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57.1</w:t>
      </w:r>
    </w:p>
    <w:p>
      <w:pPr>
        <w:spacing w:line="360" w:lineRule="auto"/>
        <w:ind w:left="1618" w:hanging="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634" name="文本框 63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upright="1"/>
                    </wps:wsp>
                  </a:graphicData>
                </a:graphic>
              </wp:anchor>
            </w:drawing>
          </mc:Choice>
          <mc:Fallback>
            <w:pict>
              <v:shape id="文本框 639"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Oh5TdUA&#10;AAAIAQAADwAAAAAAAAABACAAAAAiAAAAZHJzL2Rvd25yZXYueG1sUEsBAhQAFAAAAAgAh07iQJq7&#10;Cdq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sz w:val="24"/>
          <w:szCs w:val="24"/>
          <w:highlight w:val="none"/>
        </w:rPr>
        <w:t>承包人实施、完成合同工程的全部工作内容，经自检评定并符合下列条件的，则认为合同工程已具备竣工验收条件。</w:t>
      </w:r>
    </w:p>
    <w:p>
      <w:pPr>
        <w:spacing w:line="360" w:lineRule="auto"/>
        <w:ind w:left="1618" w:hanging="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）除监理工程师同意列入缺陷责任期内完成的尾工（甩项）工程和缺陷修补工作外，包括合同约定的试验、检验和验收等工作在内的合同范围内全部工作均已完成，并符合施工设计图纸和合同约定的要求；</w:t>
      </w:r>
    </w:p>
    <w:p>
      <w:pPr>
        <w:spacing w:line="360" w:lineRule="auto"/>
        <w:ind w:left="1680" w:leftChars="8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）已按照合同约定的内容和份数备齐了符合国家或行业、省要求的竣工资料（质量控制资料、竣工结算文件等）；</w:t>
      </w:r>
    </w:p>
    <w:p>
      <w:pPr>
        <w:spacing w:line="360" w:lineRule="auto"/>
        <w:ind w:left="1618" w:hanging="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）已按照监理工程师的指令编制了在缺陷责任期内完成的尾工（甩项）工程和缺陷修补工作清单，以及相应的实施计划；</w:t>
      </w:r>
    </w:p>
    <w:p>
      <w:pPr>
        <w:spacing w:line="360" w:lineRule="auto"/>
        <w:ind w:firstLine="1620" w:firstLineChars="6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）监理工程师要求在竣工验收前应完成的其他工作：</w:t>
      </w:r>
    </w:p>
    <w:p>
      <w:pPr>
        <w:spacing w:line="360" w:lineRule="auto"/>
        <w:ind w:firstLine="1620" w:firstLineChars="6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）监理工程师要求提交的竣工验收资料清单。</w:t>
      </w:r>
    </w:p>
    <w:p>
      <w:pPr>
        <w:pStyle w:val="7"/>
        <w:adjustRightInd w:val="0"/>
        <w:snapToGrid w:val="0"/>
        <w:spacing w:line="360" w:lineRule="auto"/>
        <w:ind w:firstLine="0"/>
        <w:rPr>
          <w:rFonts w:ascii="仿宋" w:hAnsi="仿宋" w:eastAsia="仿宋"/>
          <w:color w:val="auto"/>
          <w:sz w:val="24"/>
          <w:szCs w:val="24"/>
          <w:highlight w:val="none"/>
        </w:rPr>
      </w:pPr>
      <w:r>
        <w:rPr>
          <w:rFonts w:ascii="仿宋" w:hAnsi="仿宋" w:eastAsia="仿宋" w:cs="仿宋"/>
          <w:b/>
          <w:bCs/>
          <w:color w:val="auto"/>
          <w:sz w:val="24"/>
          <w:szCs w:val="24"/>
          <w:highlight w:val="none"/>
        </w:rPr>
        <w:t xml:space="preserve">57.2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承包人</w:t>
      </w: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635" name="文本框 640"/>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upright="1"/>
                    </wps:wsp>
                  </a:graphicData>
                </a:graphic>
              </wp:anchor>
            </w:drawing>
          </mc:Choice>
          <mc:Fallback>
            <w:pict>
              <v:shape id="文本框 640" o:spid="_x0000_s1026" o:spt="202" type="#_x0000_t202" style="position:absolute;left:0pt;margin-left:-9pt;margin-top:1pt;height:33.3pt;width:72pt;z-index:251899904;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oeU3VAAAA&#10;CAEAAA8AAAAAAAAAAQAgAAAAIgAAAGRycy9kb3ducmV2LnhtbFBLAQIUABQAAAAIAIdO4kD+AzTR&#10;rgEAAFEDAAAOAAAAAAAAAAEAIAAAACQBAABkcnMvZTJvRG9jLnhtbFBLBQYAAAAABgAGAFkBAABE&#10;BQ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sz w:val="24"/>
          <w:szCs w:val="24"/>
          <w:highlight w:val="none"/>
        </w:rPr>
        <w:t>认为合同工程具备竣工验收条件的，应按照国家或行业、省规定的工程竣工验收技术资料格式和要求，及时向发包人提交竣工验收申请报告和符合要求的完整竣工资料，合同双方当事人应按照第</w:t>
      </w:r>
      <w:r>
        <w:rPr>
          <w:rFonts w:ascii="仿宋" w:hAnsi="仿宋" w:eastAsia="仿宋" w:cs="仿宋"/>
          <w:color w:val="auto"/>
          <w:sz w:val="24"/>
          <w:szCs w:val="24"/>
          <w:highlight w:val="none"/>
        </w:rPr>
        <w:t>58</w:t>
      </w:r>
      <w:r>
        <w:rPr>
          <w:rFonts w:hint="eastAsia" w:ascii="仿宋" w:hAnsi="仿宋" w:eastAsia="仿宋" w:cs="仿宋"/>
          <w:color w:val="auto"/>
          <w:sz w:val="24"/>
          <w:szCs w:val="24"/>
          <w:highlight w:val="none"/>
        </w:rPr>
        <w:t>条规定进行验收。</w:t>
      </w:r>
    </w:p>
    <w:p>
      <w:pPr>
        <w:pStyle w:val="7"/>
        <w:adjustRightInd w:val="0"/>
        <w:snapToGrid w:val="0"/>
        <w:spacing w:line="360" w:lineRule="auto"/>
        <w:ind w:firstLine="0"/>
        <w:rPr>
          <w:rFonts w:ascii="仿宋" w:hAnsi="仿宋" w:eastAsia="仿宋"/>
          <w:b/>
          <w:bCs/>
          <w:color w:val="auto"/>
          <w:sz w:val="24"/>
          <w:szCs w:val="24"/>
          <w:highlight w:val="none"/>
        </w:rPr>
      </w:pPr>
      <w:r>
        <w:rPr>
          <w:rFonts w:ascii="仿宋" w:hAnsi="仿宋" w:eastAsia="仿宋" w:cs="仿宋"/>
          <w:b/>
          <w:bCs/>
          <w:color w:val="auto"/>
          <w:sz w:val="24"/>
          <w:szCs w:val="24"/>
          <w:highlight w:val="none"/>
        </w:rPr>
        <w:t xml:space="preserve">57.3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636" name="文本框 641"/>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upright="1"/>
                    </wps:wsp>
                  </a:graphicData>
                </a:graphic>
              </wp:anchor>
            </w:drawing>
          </mc:Choice>
          <mc:Fallback>
            <w:pict>
              <v:shape id="文本框 641" o:spid="_x0000_s1026" o:spt="202" type="#_x0000_t202" style="position:absolute;left:0pt;margin-left:-9pt;margin-top:3.05pt;height:32.05pt;width:68.8pt;z-index:251900928;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B/ETdUA&#10;AAAIAQAADwAAAAAAAAABACAAAAAiAAAAZHJzL2Rvd25yZXYueG1sUEsBAhQAFAAAAAgAh07iQHC6&#10;UHG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sz w:val="24"/>
          <w:szCs w:val="24"/>
          <w:highlight w:val="none"/>
        </w:rPr>
        <w:t>如果承包人不按照规定提交竣工资料或提交的资料不符合要求，则认为合同工程尚未具备竣工验收条件。</w:t>
      </w:r>
    </w:p>
    <w:p>
      <w:pPr>
        <w:adjustRightInd w:val="0"/>
        <w:snapToGrid w:val="0"/>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484" w:name="_Toc23771"/>
      <w:bookmarkStart w:id="485" w:name="_Toc14686"/>
      <w:bookmarkStart w:id="486" w:name="_Toc28691"/>
      <w:bookmarkStart w:id="487" w:name="_Toc469384041"/>
      <w:bookmarkStart w:id="488" w:name="_Toc18784"/>
      <w:bookmarkStart w:id="489" w:name="_Toc13280"/>
      <w:bookmarkStart w:id="490" w:name="_Toc10624881"/>
      <w:r>
        <w:rPr>
          <w:rFonts w:ascii="仿宋" w:hAnsi="仿宋" w:eastAsia="仿宋" w:cs="仿宋"/>
          <w:b/>
          <w:bCs/>
          <w:color w:val="auto"/>
          <w:sz w:val="24"/>
          <w:szCs w:val="24"/>
          <w:highlight w:val="none"/>
        </w:rPr>
        <w:t xml:space="preserve">58  </w:t>
      </w:r>
      <w:r>
        <w:rPr>
          <w:rFonts w:hint="eastAsia" w:ascii="仿宋" w:hAnsi="仿宋" w:eastAsia="仿宋" w:cs="仿宋"/>
          <w:b/>
          <w:bCs/>
          <w:color w:val="auto"/>
          <w:sz w:val="24"/>
          <w:szCs w:val="24"/>
          <w:highlight w:val="none"/>
        </w:rPr>
        <w:t>竣工验收</w:t>
      </w:r>
      <w:bookmarkEnd w:id="484"/>
      <w:bookmarkEnd w:id="485"/>
      <w:bookmarkEnd w:id="486"/>
      <w:bookmarkEnd w:id="487"/>
      <w:bookmarkEnd w:id="488"/>
      <w:bookmarkEnd w:id="489"/>
      <w:bookmarkEnd w:id="490"/>
    </w:p>
    <w:p>
      <w:pPr>
        <w:tabs>
          <w:tab w:val="left" w:pos="1620"/>
        </w:tabs>
        <w:adjustRightInd w:val="0"/>
        <w:snapToGrid w:val="0"/>
        <w:spacing w:line="360" w:lineRule="auto"/>
        <w:rPr>
          <w:rFonts w:ascii="仿宋" w:hAnsi="仿宋" w:eastAsia="仿宋" w:cs="Times New Roman"/>
          <w:b/>
          <w:bCs/>
          <w:color w:val="auto"/>
          <w:sz w:val="24"/>
          <w:szCs w:val="24"/>
          <w:highlight w:val="none"/>
        </w:rPr>
      </w:pPr>
      <w:r>
        <w:rPr>
          <w:rFonts w:hint="eastAsia" w:ascii="仿宋" w:hAnsi="仿宋" w:eastAsia="仿宋" w:cs="仿宋"/>
          <w:b/>
          <w:bCs/>
          <w:color w:val="auto"/>
          <w:sz w:val="24"/>
          <w:szCs w:val="24"/>
          <w:highlight w:val="none"/>
        </w:rPr>
        <w:t>★</w:t>
      </w: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637" name="文本框 642"/>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upright="1"/>
                    </wps:wsp>
                  </a:graphicData>
                </a:graphic>
              </wp:anchor>
            </w:drawing>
          </mc:Choice>
          <mc:Fallback>
            <w:pict>
              <v:shape id="文本框 642"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nskQjW&#10;AAAACgEAAA8AAAAAAAAAAQAgAAAAIgAAAGRycy9kb3ducmV2LnhtbFBLAQIUABQAAAAIAIdO4kDt&#10;NpKC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仿宋" w:hAnsi="仿宋" w:eastAsia="仿宋" w:cs="仿宋"/>
          <w:b/>
          <w:bCs/>
          <w:color w:val="auto"/>
          <w:sz w:val="24"/>
          <w:szCs w:val="24"/>
          <w:highlight w:val="none"/>
        </w:rPr>
        <w:t>58.1</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合同双方当事人应在专用条款中约定合同工程竣工验收标准，但约定的竣工验收标准应符合国家或行业、省的有关规定。</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合同工程需要进行国家验收的，竣工验收是国家验收的一部分。</w:t>
      </w:r>
    </w:p>
    <w:p>
      <w:pPr>
        <w:tabs>
          <w:tab w:val="left" w:pos="1620"/>
        </w:tabs>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638" name="文本框 643"/>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upright="1"/>
                    </wps:wsp>
                  </a:graphicData>
                </a:graphic>
              </wp:anchor>
            </w:drawing>
          </mc:Choice>
          <mc:Fallback>
            <w:pict>
              <v:shape id="文本框 643"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nskQjW&#10;AAAACgEAAA8AAAAAAAAAAQAgAAAAIgAAAGRycy9kb3ducmV2LnhtbFBLAQIUABQAAAAIAIdO4kCP&#10;BvCj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仿宋" w:hAnsi="仿宋" w:eastAsia="仿宋" w:cs="仿宋"/>
          <w:b/>
          <w:bCs/>
          <w:color w:val="auto"/>
          <w:sz w:val="24"/>
          <w:szCs w:val="24"/>
          <w:highlight w:val="none"/>
        </w:rPr>
        <w:t>58.2</w:t>
      </w:r>
      <w:r>
        <w:rPr>
          <w:rFonts w:ascii="仿宋" w:hAnsi="仿宋" w:eastAsia="仿宋" w:cs="仿宋"/>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发包人收到承包人按照第</w:t>
      </w:r>
      <w:r>
        <w:rPr>
          <w:rFonts w:ascii="仿宋" w:hAnsi="仿宋" w:eastAsia="仿宋" w:cs="仿宋"/>
          <w:color w:val="auto"/>
          <w:sz w:val="24"/>
          <w:szCs w:val="24"/>
          <w:highlight w:val="none"/>
        </w:rPr>
        <w:t xml:space="preserve">57.2 </w:t>
      </w:r>
      <w:r>
        <w:rPr>
          <w:rFonts w:hint="eastAsia" w:ascii="仿宋" w:hAnsi="仿宋" w:eastAsia="仿宋" w:cs="仿宋"/>
          <w:color w:val="auto"/>
          <w:sz w:val="24"/>
          <w:szCs w:val="24"/>
          <w:highlight w:val="none"/>
        </w:rPr>
        <w:t>款规定提交的竣工验收申请报告后，应及时通知监理工程师核查合同工程是否具备竣工验收条件。</w:t>
      </w:r>
    </w:p>
    <w:p>
      <w:pPr>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）经核查未具备竣工验收条件的，监理工程师应在收到竣工验收申请报告后的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天内通知承包人，指出在颁发接收证书前承包人应进一步完成的工作内容。承包人完成监理工程师通知的全部工作内容后，应再次提交竣工验收申请报告，直至监理工程师同意为止。</w:t>
      </w:r>
    </w:p>
    <w:p>
      <w:pPr>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）经核查已具备竣工验收条件的，监理工程师应在收到竣工验收申请报告后的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天内书面提请发包人组织合同工程验收。</w:t>
      </w:r>
    </w:p>
    <w:p>
      <w:pPr>
        <w:tabs>
          <w:tab w:val="left" w:pos="1620"/>
        </w:tabs>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639" name="文本框 64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upright="1"/>
                    </wps:wsp>
                  </a:graphicData>
                </a:graphic>
              </wp:anchor>
            </w:drawing>
          </mc:Choice>
          <mc:Fallback>
            <w:pict>
              <v:shape id="文本框 644" o:spid="_x0000_s1026" o:spt="202" type="#_x0000_t202" style="position:absolute;left:0pt;margin-left:-9pt;margin-top:20.3pt;height:32.1pt;width:68.8pt;z-index:25190400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7JEI&#10;1gAAAAoBAAAPAAAAAAAAAAEAIAAAACIAAABkcnMvZG93bnJldi54bWxQSwECFAAUAAAACACHTuJA&#10;ySALEr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仿宋" w:hAnsi="仿宋" w:eastAsia="仿宋" w:cs="仿宋"/>
          <w:b/>
          <w:bCs/>
          <w:color w:val="auto"/>
          <w:sz w:val="24"/>
          <w:szCs w:val="24"/>
          <w:highlight w:val="none"/>
        </w:rPr>
        <w:t xml:space="preserve">58.3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经监理工程师按照第</w:t>
      </w:r>
      <w:r>
        <w:rPr>
          <w:rFonts w:ascii="仿宋" w:hAnsi="仿宋" w:eastAsia="仿宋" w:cs="仿宋"/>
          <w:color w:val="auto"/>
          <w:sz w:val="24"/>
          <w:szCs w:val="24"/>
          <w:highlight w:val="none"/>
        </w:rPr>
        <w:t xml:space="preserve">58.2 </w:t>
      </w:r>
      <w:r>
        <w:rPr>
          <w:rFonts w:hint="eastAsia" w:ascii="仿宋" w:hAnsi="仿宋" w:eastAsia="仿宋" w:cs="仿宋"/>
          <w:color w:val="auto"/>
          <w:sz w:val="24"/>
          <w:szCs w:val="24"/>
          <w:highlight w:val="none"/>
        </w:rPr>
        <w:t>款规定核查合同工程已具备竣工验收条件的，发包人应在收到监理工程师书面提请后的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天内，根据合同约定的竣工验收标准和施工设计图纸等文件，按照第</w:t>
      </w:r>
      <w:r>
        <w:rPr>
          <w:rFonts w:ascii="仿宋" w:hAnsi="仿宋" w:eastAsia="仿宋" w:cs="仿宋"/>
          <w:color w:val="auto"/>
          <w:sz w:val="24"/>
          <w:szCs w:val="24"/>
          <w:highlight w:val="none"/>
        </w:rPr>
        <w:t>19.5</w:t>
      </w:r>
      <w:r>
        <w:rPr>
          <w:rFonts w:hint="eastAsia" w:ascii="仿宋" w:hAnsi="仿宋" w:eastAsia="仿宋" w:cs="仿宋"/>
          <w:color w:val="auto"/>
          <w:sz w:val="24"/>
          <w:szCs w:val="24"/>
          <w:highlight w:val="none"/>
        </w:rPr>
        <w:t>款规定组织参加验收各方完成合同工程验收，并在竣工验收后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天内予以确认或提出修改意见。</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pPr>
        <w:adjustRightInd w:val="0"/>
        <w:snapToGrid w:val="0"/>
        <w:spacing w:line="480" w:lineRule="auto"/>
        <w:ind w:left="1626" w:leftChars="1" w:hanging="1624" w:hangingChars="674"/>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58.4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640" name="文本框 645"/>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upright="1"/>
                    </wps:wsp>
                  </a:graphicData>
                </a:graphic>
              </wp:anchor>
            </w:drawing>
          </mc:Choice>
          <mc:Fallback>
            <w:pict>
              <v:shape id="文本框 645" o:spid="_x0000_s1026" o:spt="202" type="#_x0000_t202" style="position:absolute;left:0pt;margin-left:-9pt;margin-top:1.55pt;height:35.55pt;width:68.8pt;z-index:251905024;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W1iu3W&#10;AAAACAEAAA8AAAAAAAAAAQAgAAAAIgAAAGRycy9kb3ducmV2LnhtbFBLAQIUABQAAAAIAIdO4kBX&#10;lQx4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款规定完成合同工程验收，或验收后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天内未予确认也未提出修改意见，视为承包人提交的竣工验收申请报告已被认可。</w:t>
      </w:r>
    </w:p>
    <w:p>
      <w:pPr>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竣工验收申请报告被认可，则表明已完成合同工程，视为竣工验收合格，但由于不可抗力事件致使发包人不能完成验收的除外。</w:t>
      </w:r>
    </w:p>
    <w:p>
      <w:pPr>
        <w:tabs>
          <w:tab w:val="left" w:pos="1620"/>
        </w:tabs>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58.5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641" name="文本框 64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upright="1"/>
                    </wps:wsp>
                  </a:graphicData>
                </a:graphic>
              </wp:anchor>
            </w:drawing>
          </mc:Choice>
          <mc:Fallback>
            <w:pict>
              <v:shape id="文本框 646" o:spid="_x0000_s1026" o:spt="202" type="#_x0000_t202" style="position:absolute;left:0pt;margin-left:-9pt;margin-top:1.55pt;height:31.2pt;width:72pt;z-index:251906048;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qv+TdUA&#10;AAAIAQAADwAAAAAAAAABACAAAAAiAAAAZHJzL2Rvd25yZXYueG1sUEsBAhQAFAAAAAgAh07iQKpf&#10;53y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58.3</w:t>
      </w:r>
      <w:r>
        <w:rPr>
          <w:rFonts w:hint="eastAsia" w:ascii="仿宋" w:hAnsi="仿宋" w:eastAsia="仿宋" w:cs="仿宋"/>
          <w:color w:val="auto"/>
          <w:sz w:val="24"/>
          <w:szCs w:val="24"/>
          <w:highlight w:val="none"/>
        </w:rPr>
        <w:t>款规定完成合同工程验收，从收到监理工程师书面提请后的第</w:t>
      </w:r>
      <w:r>
        <w:rPr>
          <w:rFonts w:ascii="仿宋" w:hAnsi="仿宋" w:eastAsia="仿宋" w:cs="仿宋"/>
          <w:color w:val="auto"/>
          <w:sz w:val="24"/>
          <w:szCs w:val="24"/>
          <w:highlight w:val="none"/>
        </w:rPr>
        <w:t>29</w:t>
      </w:r>
      <w:r>
        <w:rPr>
          <w:rFonts w:hint="eastAsia" w:ascii="仿宋" w:hAnsi="仿宋" w:eastAsia="仿宋" w:cs="仿宋"/>
          <w:color w:val="auto"/>
          <w:sz w:val="24"/>
          <w:szCs w:val="24"/>
          <w:highlight w:val="none"/>
        </w:rPr>
        <w:t>天起承担合同工程照管责任和其他一切意外责任。</w:t>
      </w:r>
    </w:p>
    <w:p>
      <w:pPr>
        <w:tabs>
          <w:tab w:val="left" w:pos="16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58.6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w:t>
      </w:r>
      <w:r>
        <w:rPr>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642" name="文本框 647"/>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upright="1"/>
                    </wps:wsp>
                  </a:graphicData>
                </a:graphic>
              </wp:anchor>
            </w:drawing>
          </mc:Choice>
          <mc:Fallback>
            <w:pict>
              <v:shape id="文本框 647"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fgJC/1AAA&#10;AAcBAAAPAAAAAAAAAAEAIAAAACIAAABkcnMvZG93bnJldi54bWxQSwECFAAUAAAACACHTuJAZFOj&#10;5L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sz w:val="24"/>
          <w:szCs w:val="24"/>
          <w:highlight w:val="none"/>
        </w:rPr>
        <w:t>验收合格的，发包人应接收工程，并在收到承包人提交的竣工验收申请报告后的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天内向承包人颁发工程接收证书。</w:t>
      </w:r>
    </w:p>
    <w:p>
      <w:pPr>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pPr>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pPr>
        <w:tabs>
          <w:tab w:val="left" w:pos="16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58.7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643" name="文本框 648"/>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wps:txbx>
                      <wps:bodyPr upright="1"/>
                    </wps:wsp>
                  </a:graphicData>
                </a:graphic>
              </wp:anchor>
            </w:drawing>
          </mc:Choice>
          <mc:Fallback>
            <w:pict>
              <v:shape id="文本框 648" o:spid="_x0000_s1026" o:spt="202" type="#_x0000_t202" style="position:absolute;left:0pt;margin-left:-9pt;margin-top:0.35pt;height:31.15pt;width:72pt;z-index:251908096;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fgJC/1AAA&#10;AAcBAAAPAAAAAAAAAAEAIAAAACIAAABkcnMvZG93bnJldi54bWxQSwECFAAUAAAACACHTuJAkaOF&#10;wbABAABRAwAADgAAAAAAAAABACAAAAAjAQAAZHJzL2Uyb0RvYy54bWxQSwUGAAAAAAYABgBZAQAA&#10;RQUAAAAA&#10;">
                <v:fill on="f" focussize="0,0"/>
                <v:stroke on="f"/>
                <v:imagedata o:title=""/>
                <o:lock v:ext="edit" aspectratio="f"/>
                <v:textbox>
                  <w:txbxContent>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sz w:val="24"/>
          <w:szCs w:val="24"/>
          <w:highlight w:val="none"/>
        </w:rPr>
        <w:t>竣工验收合格的合同工程，发包人应按照第</w:t>
      </w:r>
      <w:r>
        <w:rPr>
          <w:rFonts w:ascii="仿宋" w:hAnsi="仿宋" w:eastAsia="仿宋" w:cs="仿宋"/>
          <w:color w:val="auto"/>
          <w:sz w:val="24"/>
          <w:szCs w:val="24"/>
          <w:highlight w:val="none"/>
        </w:rPr>
        <w:t>38.2</w:t>
      </w:r>
      <w:r>
        <w:rPr>
          <w:rFonts w:hint="eastAsia" w:ascii="仿宋" w:hAnsi="仿宋" w:eastAsia="仿宋" w:cs="仿宋"/>
          <w:color w:val="auto"/>
          <w:sz w:val="24"/>
          <w:szCs w:val="24"/>
          <w:highlight w:val="none"/>
        </w:rPr>
        <w:t>款规定在工程接收证书上写明合同工程的实际竣工日期。</w:t>
      </w:r>
    </w:p>
    <w:p>
      <w:pPr>
        <w:tabs>
          <w:tab w:val="left" w:pos="16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58.8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644" name="文本框 649"/>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upright="1"/>
                    </wps:wsp>
                  </a:graphicData>
                </a:graphic>
              </wp:anchor>
            </w:drawing>
          </mc:Choice>
          <mc:Fallback>
            <w:pict>
              <v:shape id="文本框 649" o:spid="_x0000_s1026" o:spt="202" type="#_x0000_t202" style="position:absolute;left:0pt;margin-left:-9pt;margin-top:0.35pt;height:98.65pt;width:72pt;z-index:251909120;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o/crNUA&#10;AAAIAQAADwAAAAAAAAABACAAAAAiAAAAZHJzL2Rvd25yZXYueG1sUEsBAhQAFAAAAAgAh07iQMl3&#10;pbW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仿宋" w:hAnsi="仿宋" w:eastAsia="仿宋" w:cs="仿宋"/>
          <w:color w:val="auto"/>
          <w:sz w:val="24"/>
          <w:szCs w:val="24"/>
          <w:highlight w:val="none"/>
        </w:rPr>
        <w:t>发包人要求某一单位工程或任一工程部位提前办理竣工验收的，应与承包人签订单位工程或工程部位竣工验收协议，作为本合同的附件。</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）发包人根据合同进度计划安排，在全部工程竣工前需要使用已经竣工的单位工程或工程部位时，或承包人提出经发包人同意时，可进行单位工程或工程部位验收。验收的程序可参照第</w:t>
      </w:r>
      <w:r>
        <w:rPr>
          <w:rFonts w:ascii="仿宋" w:hAnsi="仿宋" w:eastAsia="仿宋" w:cs="仿宋"/>
          <w:color w:val="auto"/>
          <w:sz w:val="24"/>
          <w:szCs w:val="24"/>
          <w:highlight w:val="none"/>
        </w:rPr>
        <w:t>57</w:t>
      </w:r>
      <w:r>
        <w:rPr>
          <w:rFonts w:hint="eastAsia" w:ascii="仿宋" w:hAnsi="仿宋" w:eastAsia="仿宋" w:cs="仿宋"/>
          <w:color w:val="auto"/>
          <w:sz w:val="24"/>
          <w:szCs w:val="24"/>
          <w:highlight w:val="none"/>
        </w:rPr>
        <w:t>条和本条上述相关条款规定进行。验收合格后，发包人应向承包人颁发单位工程或工程部位接收证书，并负责照管。单位工程或工程部位的验收成果和结论，作为全部工程竣工验收申请报告的附件。</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）发包人在全部工程竣工前，使用已接收的单位工程或工程部位导致承包人费用增加的，发包人应承担由此增加的费用和（或）延误的工期，并向承包人支付合理利润。</w:t>
      </w:r>
    </w:p>
    <w:p>
      <w:pPr>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58.9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645" name="文本框 6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upright="1"/>
                    </wps:wsp>
                  </a:graphicData>
                </a:graphic>
              </wp:anchor>
            </w:drawing>
          </mc:Choice>
          <mc:Fallback>
            <w:pict>
              <v:shape id="文本框 650"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9Ap+9QAAAAH&#10;AQAADwAAAAAAAAABACAAAAAiAAAAZHJzL2Rvd25yZXYueG1sUEsBAhQAFAAAAAgAh07iQBLzPOGu&#10;AQAAUQMAAA4AAAAAAAAAAQAgAAAAIwEAAGRycy9lMm9Eb2MueG1sUEsFBgAAAAAGAAYAWQEAAEMF&#10;AAAAAA==&#10;">
                <v:fill on="f" focussize="0,0"/>
                <v:stroke on="f"/>
                <v:imagedata o:title=""/>
                <o:lock v:ext="edit" aspectratio="f"/>
                <v:textbox>
                  <w:txbxContent>
                    <w:p>
                      <w:pPr>
                        <w:spacing w:line="240" w:lineRule="exact"/>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仿宋" w:hAnsi="仿宋" w:eastAsia="仿宋" w:cs="仿宋"/>
          <w:color w:val="auto"/>
          <w:sz w:val="24"/>
          <w:szCs w:val="24"/>
          <w:highlight w:val="none"/>
        </w:rPr>
        <w:t>合同工程尚未全部竣工（其中某项或某几项单位工程或工程部位已竣工），根据合同约定需要在施工期运行的，应由发包人按照第</w:t>
      </w:r>
      <w:r>
        <w:rPr>
          <w:rFonts w:ascii="仿宋" w:hAnsi="仿宋" w:eastAsia="仿宋" w:cs="仿宋"/>
          <w:color w:val="auto"/>
          <w:sz w:val="24"/>
          <w:szCs w:val="24"/>
          <w:highlight w:val="none"/>
        </w:rPr>
        <w:t>58.8</w:t>
      </w:r>
      <w:r>
        <w:rPr>
          <w:rFonts w:hint="eastAsia" w:ascii="仿宋" w:hAnsi="仿宋" w:eastAsia="仿宋" w:cs="仿宋"/>
          <w:color w:val="auto"/>
          <w:sz w:val="24"/>
          <w:szCs w:val="24"/>
          <w:highlight w:val="none"/>
        </w:rPr>
        <w:t>款规定验收合格，并确保安全后，才能投入施工期运行。</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在施工期运行中，发现单位工程或工程部位存在缺陷或损坏的，由承包人按照第</w:t>
      </w:r>
      <w:r>
        <w:rPr>
          <w:rFonts w:ascii="仿宋" w:hAnsi="仿宋" w:eastAsia="仿宋" w:cs="仿宋"/>
          <w:color w:val="auto"/>
          <w:sz w:val="24"/>
          <w:szCs w:val="24"/>
          <w:highlight w:val="none"/>
        </w:rPr>
        <w:t>59.3</w:t>
      </w:r>
      <w:r>
        <w:rPr>
          <w:rFonts w:hint="eastAsia" w:ascii="仿宋" w:hAnsi="仿宋" w:eastAsia="仿宋" w:cs="仿宋"/>
          <w:color w:val="auto"/>
          <w:sz w:val="24"/>
          <w:szCs w:val="24"/>
          <w:highlight w:val="none"/>
        </w:rPr>
        <w:t>款规定进行修复。</w:t>
      </w:r>
    </w:p>
    <w:p>
      <w:pPr>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58.10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646" name="文本框 651"/>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upright="1"/>
                    </wps:wsp>
                  </a:graphicData>
                </a:graphic>
              </wp:anchor>
            </w:drawing>
          </mc:Choice>
          <mc:Fallback>
            <w:pict>
              <v:shape id="文本框 651"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30Cn71AAA&#10;AAcBAAAPAAAAAAAAAAEAIAAAACIAAABkcnMvZG93bnJldi54bWxQSwECFAAUAAAACACHTuJAKkmd&#10;fL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sz w:val="24"/>
          <w:szCs w:val="24"/>
          <w:highlight w:val="none"/>
        </w:rPr>
        <w:t>专用条款没有约定的，工程接收证书颁发后，承包人应按照下列要求对施工场地进行清理，直至监理工程师检验合格为止。竣工清场费用由承包人承担。</w:t>
      </w:r>
    </w:p>
    <w:p>
      <w:pPr>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）施工场地内残留的垃圾已全部清除出场；</w:t>
      </w:r>
    </w:p>
    <w:p>
      <w:pPr>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）临时设施已拆除，场地已按照合同要求进行清理、平整或复原；</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）按照合同约定应撤离的承包人设备和剩余的材料，包括废弃的施工设备和材料，已按照计划撤离施工场地；</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）建筑物周边及其附近道路、河道的施工堆积物，已按照监理工程师指令全部清理；</w:t>
      </w:r>
    </w:p>
    <w:p>
      <w:pPr>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）监理工程师指令的其他场地清理工作已全部完成。</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如承包人未按照监理工程师的要求恢复临时占地，或者场地清理未达到合同约定的，发包人可自行或委托第三方恢复或清理，所发生的费用从应支付或将支付给承包人的款项中扣除。</w:t>
      </w:r>
    </w:p>
    <w:p>
      <w:pPr>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58.11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647" name="文本框 65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upright="1"/>
                    </wps:wsp>
                  </a:graphicData>
                </a:graphic>
              </wp:anchor>
            </w:drawing>
          </mc:Choice>
          <mc:Fallback>
            <w:pict>
              <v:shape id="文本框 652" o:spid="_x0000_s1026" o:spt="202" type="#_x0000_t202" style="position:absolute;left:0pt;margin-left:-9pt;margin-top:0.3pt;height:46.5pt;width:72pt;z-index:251912192;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30Cn71AAA&#10;AAcBAAAPAAAAAAAAAAEAIAAAACIAAABkcnMvZG93bnJldi54bWxQSwECFAAUAAAACACHTuJAFQew&#10;ar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sz w:val="24"/>
          <w:szCs w:val="24"/>
          <w:highlight w:val="none"/>
        </w:rPr>
        <w:t>工程接收证书颁发后的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pPr>
        <w:tabs>
          <w:tab w:val="left" w:pos="1620"/>
        </w:tabs>
        <w:adjustRightInd w:val="0"/>
        <w:snapToGrid w:val="0"/>
        <w:spacing w:line="480" w:lineRule="auto"/>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913216"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648" name="文本框 65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upright="1"/>
                    </wps:wsp>
                  </a:graphicData>
                </a:graphic>
              </wp:anchor>
            </w:drawing>
          </mc:Choice>
          <mc:Fallback>
            <w:pict>
              <v:shape id="文本框 653" o:spid="_x0000_s1026" o:spt="202" type="#_x0000_t202" style="position:absolute;left:0pt;margin-left:-5.25pt;margin-top:23.55pt;height:46.55pt;width:72pt;z-index:251913216;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UacUR&#10;1wAAAAoBAAAPAAAAAAAAAAEAIAAAACIAAABkcnMvZG93bnJldi54bWxQSwECFAAUAAAACACHTuJA&#10;MGHgZ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仿宋" w:hAnsi="仿宋" w:eastAsia="仿宋" w:cs="仿宋"/>
          <w:b/>
          <w:bCs/>
          <w:color w:val="auto"/>
          <w:sz w:val="24"/>
          <w:szCs w:val="24"/>
          <w:highlight w:val="none"/>
        </w:rPr>
        <w:t>58.12</w:t>
      </w:r>
      <w:r>
        <w:rPr>
          <w:rFonts w:ascii="仿宋" w:hAnsi="仿宋" w:eastAsia="仿宋" w:cs="仿宋"/>
          <w:color w:val="auto"/>
          <w:sz w:val="24"/>
          <w:szCs w:val="24"/>
          <w:highlight w:val="none"/>
          <w:u w:val="dotted"/>
        </w:rPr>
        <w:t xml:space="preserve">                                                                                                       </w:t>
      </w:r>
      <w:r>
        <w:rPr>
          <w:rFonts w:ascii="仿宋" w:hAnsi="仿宋" w:eastAsia="仿宋" w:cs="仿宋"/>
          <w:color w:val="auto"/>
          <w:sz w:val="24"/>
          <w:szCs w:val="24"/>
          <w:highlight w:val="none"/>
        </w:rPr>
        <w:t xml:space="preserve"> </w:t>
      </w:r>
    </w:p>
    <w:p>
      <w:pPr>
        <w:pStyle w:val="22"/>
        <w:adjustRightInd w:val="0"/>
        <w:snapToGrid w:val="0"/>
        <w:ind w:left="1619" w:leftChars="771"/>
        <w:rPr>
          <w:rFonts w:ascii="仿宋" w:hAnsi="仿宋" w:eastAsia="仿宋"/>
          <w:color w:val="auto"/>
          <w:highlight w:val="none"/>
        </w:rPr>
      </w:pPr>
      <w:r>
        <w:rPr>
          <w:rFonts w:hint="eastAsia" w:ascii="仿宋" w:hAnsi="仿宋" w:eastAsia="仿宋" w:cs="仿宋"/>
          <w:color w:val="auto"/>
          <w:highlight w:val="none"/>
        </w:rPr>
        <w:t>合同工程未经竣工验收或竣工验收不合格的，发包人不得使用。发包人强行使用的，由此发生的质量问题及其他问题，由发包人承担责任。</w:t>
      </w:r>
    </w:p>
    <w:p>
      <w:pPr>
        <w:tabs>
          <w:tab w:val="left" w:pos="1620"/>
        </w:tabs>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58.13</w:t>
      </w:r>
      <w:r>
        <w:rPr>
          <w:rFonts w:ascii="仿宋" w:hAnsi="仿宋" w:eastAsia="仿宋" w:cs="仿宋"/>
          <w:b/>
          <w:bCs/>
          <w:color w:val="auto"/>
          <w:sz w:val="24"/>
          <w:szCs w:val="24"/>
          <w:highlight w:val="none"/>
          <w:u w:val="dotted"/>
        </w:rPr>
        <w:t xml:space="preserve">                                                                                                       </w:t>
      </w:r>
    </w:p>
    <w:p>
      <w:pPr>
        <w:pStyle w:val="22"/>
        <w:adjustRightInd w:val="0"/>
        <w:snapToGrid w:val="0"/>
        <w:ind w:left="1619" w:leftChars="771"/>
        <w:rPr>
          <w:rFonts w:ascii="仿宋" w:hAnsi="仿宋" w:eastAsia="仿宋"/>
          <w:color w:val="auto"/>
          <w:highlight w:val="none"/>
        </w:rPr>
      </w:pPr>
      <w:r>
        <w:rPr>
          <w:color w:val="auto"/>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649" name="文本框 654"/>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upright="1"/>
                    </wps:wsp>
                  </a:graphicData>
                </a:graphic>
              </wp:anchor>
            </w:drawing>
          </mc:Choice>
          <mc:Fallback>
            <w:pict>
              <v:shape id="文本框 654" o:spid="_x0000_s1026" o:spt="202" type="#_x0000_t202" style="position:absolute;left:0pt;margin-left:-9pt;margin-top:1.05pt;height:32pt;width:72pt;z-index:251914240;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H8z4vVAAAA&#10;CAEAAA8AAAAAAAAAAQAgAAAAIgAAAGRycy9kb3ducmV2LnhtbFBLAQIUABQAAAAIAIdO4kB2Jswq&#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仿宋" w:hAnsi="仿宋" w:eastAsia="仿宋" w:cs="仿宋"/>
          <w:color w:val="auto"/>
          <w:highlight w:val="none"/>
        </w:rPr>
        <w:t>合同工程竣工验收时发生工程质量争议，经第</w:t>
      </w:r>
      <w:r>
        <w:rPr>
          <w:rFonts w:ascii="仿宋" w:hAnsi="仿宋" w:eastAsia="仿宋" w:cs="仿宋"/>
          <w:color w:val="auto"/>
          <w:highlight w:val="none"/>
        </w:rPr>
        <w:t>86.4</w:t>
      </w:r>
      <w:r>
        <w:rPr>
          <w:rFonts w:hint="eastAsia" w:ascii="仿宋" w:hAnsi="仿宋" w:eastAsia="仿宋" w:cs="仿宋"/>
          <w:color w:val="auto"/>
          <w:highlight w:val="none"/>
        </w:rPr>
        <w:t>款规定调解或认定工程质量符合合同要求的，由发包人承担由此增加的费用和（或）延误的工期。</w:t>
      </w:r>
    </w:p>
    <w:p>
      <w:pPr>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468" w:beforeLines="150" w:line="360" w:lineRule="auto"/>
        <w:outlineLvl w:val="2"/>
        <w:rPr>
          <w:rFonts w:ascii="仿宋" w:hAnsi="仿宋" w:eastAsia="仿宋" w:cs="Times New Roman"/>
          <w:b/>
          <w:bCs/>
          <w:color w:val="auto"/>
          <w:sz w:val="24"/>
          <w:szCs w:val="24"/>
          <w:highlight w:val="none"/>
        </w:rPr>
      </w:pPr>
      <w:bookmarkStart w:id="491" w:name="_Toc16149"/>
      <w:bookmarkStart w:id="492" w:name="_Toc559"/>
      <w:bookmarkStart w:id="493" w:name="_Toc17488"/>
      <w:bookmarkStart w:id="494" w:name="_Toc9735"/>
      <w:bookmarkStart w:id="495" w:name="_Toc7437"/>
      <w:bookmarkStart w:id="496" w:name="_Toc10624882"/>
      <w:bookmarkStart w:id="497" w:name="_Toc469384042"/>
      <w:r>
        <w:rPr>
          <w:rFonts w:ascii="仿宋" w:hAnsi="仿宋" w:eastAsia="仿宋" w:cs="仿宋"/>
          <w:b/>
          <w:bCs/>
          <w:color w:val="auto"/>
          <w:sz w:val="24"/>
          <w:szCs w:val="24"/>
          <w:highlight w:val="none"/>
        </w:rPr>
        <w:t xml:space="preserve">59  </w:t>
      </w:r>
      <w:r>
        <w:rPr>
          <w:rFonts w:hint="eastAsia" w:ascii="仿宋" w:hAnsi="仿宋" w:eastAsia="仿宋" w:cs="仿宋"/>
          <w:b/>
          <w:bCs/>
          <w:color w:val="auto"/>
          <w:sz w:val="24"/>
          <w:szCs w:val="24"/>
          <w:highlight w:val="none"/>
        </w:rPr>
        <w:t>缺陷责任与质量保修</w:t>
      </w:r>
      <w:bookmarkEnd w:id="491"/>
      <w:bookmarkEnd w:id="492"/>
      <w:bookmarkEnd w:id="493"/>
      <w:bookmarkEnd w:id="494"/>
      <w:bookmarkEnd w:id="495"/>
      <w:bookmarkEnd w:id="496"/>
      <w:bookmarkEnd w:id="497"/>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0" name="文本框 655"/>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wps:txbx>
                      <wps:bodyPr upright="1"/>
                    </wps:wsp>
                  </a:graphicData>
                </a:graphic>
              </wp:anchor>
            </w:drawing>
          </mc:Choice>
          <mc:Fallback>
            <w:pict>
              <v:shape id="文本框 655"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CjANK6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仿宋" w:hAnsi="仿宋" w:eastAsia="仿宋" w:cs="仿宋"/>
          <w:b/>
          <w:bCs/>
          <w:color w:val="auto"/>
          <w:sz w:val="24"/>
          <w:szCs w:val="24"/>
          <w:highlight w:val="none"/>
        </w:rPr>
        <w:t xml:space="preserve">59.1  </w:t>
      </w:r>
    </w:p>
    <w:p>
      <w:pPr>
        <w:spacing w:line="360" w:lineRule="auto"/>
        <w:ind w:firstLine="1574" w:firstLineChars="65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合同双方当事人应在专用条款中约定缺陷责任期。</w:t>
      </w:r>
    </w:p>
    <w:p>
      <w:pPr>
        <w:adjustRightInd w:val="0"/>
        <w:snapToGrid w:val="0"/>
        <w:spacing w:line="360" w:lineRule="auto"/>
        <w:ind w:left="1575" w:leftChars="750"/>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缺陷责任期自实际竣工之日起计算。在全部工程竣工验收前，已经发包人提前验收的单位工程，其缺陷责任期的起算日期相应提前。</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1" name="文本框 656"/>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upright="1"/>
                    </wps:wsp>
                  </a:graphicData>
                </a:graphic>
              </wp:anchor>
            </w:drawing>
          </mc:Choice>
          <mc:Fallback>
            <w:pict>
              <v:shape id="文本框 65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BeOGbi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仿宋" w:hAnsi="仿宋" w:eastAsia="仿宋" w:cs="仿宋"/>
          <w:b/>
          <w:bCs/>
          <w:color w:val="auto"/>
          <w:sz w:val="24"/>
          <w:szCs w:val="24"/>
          <w:highlight w:val="none"/>
        </w:rPr>
        <w:t xml:space="preserve">59.2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年。</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2" name="文本框 6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upright="1"/>
                    </wps:wsp>
                  </a:graphicData>
                </a:graphic>
              </wp:anchor>
            </w:drawing>
          </mc:Choice>
          <mc:Fallback>
            <w:pict>
              <v:shape id="文本框 657"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C80uCW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仿宋" w:hAnsi="仿宋" w:eastAsia="仿宋" w:cs="仿宋"/>
          <w:b/>
          <w:bCs/>
          <w:color w:val="auto"/>
          <w:sz w:val="24"/>
          <w:szCs w:val="24"/>
          <w:highlight w:val="none"/>
        </w:rPr>
        <w:t xml:space="preserve">59.3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合同工程存在某项缺陷或损坏的，合同双方当事人应按照下列规定承担缺陷责任以及由此产生的费用。</w:t>
      </w:r>
    </w:p>
    <w:p>
      <w:pPr>
        <w:adjustRightInd w:val="0"/>
        <w:snapToGrid w:val="0"/>
        <w:spacing w:line="360" w:lineRule="auto"/>
        <w:ind w:firstLine="1680" w:firstLineChars="7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（1）承包人应在缺陷责任期内对已交付使用的工程承担缺陷责任。</w:t>
      </w:r>
    </w:p>
    <w:p>
      <w:pPr>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天内派人修复，直至检验合格为止。承包人未能在规定时间内修复的，发包人可自行或委托第三方修复，所需费用和利润按照本款第（</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）点规定办理。</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3" name="文本框 658"/>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upright="1"/>
                    </wps:wsp>
                  </a:graphicData>
                </a:graphic>
              </wp:anchor>
            </w:drawing>
          </mc:Choice>
          <mc:Fallback>
            <w:pict>
              <v:shape id="文本框 658"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Fm&#10;/p3YAAAACgEAAA8AAAAAAAAAAQAgAAAAIgAAAGRycy9kb3ducmV2LnhtbFBLAQIUABQAAAAIAIdO&#10;4kDaxJ4AsQEAAFEDAAAOAAAAAAAAAAEAIAAAACcBAABkcnMvZTJvRG9jLnhtbFBLBQYAAAAABgAG&#10;AFkBAABKBQ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仿宋" w:hAnsi="仿宋" w:eastAsia="仿宋" w:cs="仿宋"/>
          <w:b/>
          <w:bCs/>
          <w:color w:val="auto"/>
          <w:sz w:val="24"/>
          <w:szCs w:val="24"/>
          <w:highlight w:val="none"/>
        </w:rPr>
        <w:t xml:space="preserve">59.4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任何一项缺陷或损坏修复后，经检查证明其影响了工程或工程设备的使用性能，承包人应按照第</w:t>
      </w:r>
      <w:r>
        <w:rPr>
          <w:rFonts w:ascii="仿宋" w:hAnsi="仿宋" w:eastAsia="仿宋" w:cs="仿宋"/>
          <w:color w:val="auto"/>
          <w:sz w:val="24"/>
          <w:szCs w:val="24"/>
          <w:highlight w:val="none"/>
        </w:rPr>
        <w:t>54</w:t>
      </w:r>
      <w:r>
        <w:rPr>
          <w:rFonts w:hint="eastAsia" w:ascii="仿宋" w:hAnsi="仿宋" w:eastAsia="仿宋" w:cs="仿宋"/>
          <w:color w:val="auto"/>
          <w:sz w:val="24"/>
          <w:szCs w:val="24"/>
          <w:highlight w:val="none"/>
        </w:rPr>
        <w:t>条规定重新检（试）验，重新检（试）验的费用由责任方承担。</w:t>
      </w:r>
    </w:p>
    <w:p>
      <w:pPr>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4" name="文本框 659"/>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upright="1"/>
                    </wps:wsp>
                  </a:graphicData>
                </a:graphic>
              </wp:anchor>
            </w:drawing>
          </mc:Choice>
          <mc:Fallback>
            <w:pict>
              <v:shape id="文本框 659"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NT4gfa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仿宋" w:hAnsi="仿宋" w:eastAsia="仿宋" w:cs="仿宋"/>
          <w:b/>
          <w:bCs/>
          <w:color w:val="auto"/>
          <w:sz w:val="24"/>
          <w:szCs w:val="24"/>
          <w:highlight w:val="none"/>
        </w:rPr>
        <w:t xml:space="preserve">59.5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缺陷责任期内承包人为缺陷修复工作需要，有权进入工程现场，但应遵守发包人的保安和保密等规定。</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5" name="文本框 6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upright="1"/>
                    </wps:wsp>
                  </a:graphicData>
                </a:graphic>
              </wp:anchor>
            </w:drawing>
          </mc:Choice>
          <mc:Fallback>
            <w:pict>
              <v:shape id="文本框 660"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Zv6d&#10;2AAAAAoBAAAPAAAAAAAAAAEAIAAAACIAAABkcnMvZG93bnJldi54bWxQSwECFAAUAAAACACHTuJA&#10;QF/C1K8BAABRAwAADgAAAAAAAAABACAAAAAn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仿宋" w:hAnsi="仿宋" w:eastAsia="仿宋" w:cs="仿宋"/>
          <w:b/>
          <w:bCs/>
          <w:color w:val="auto"/>
          <w:sz w:val="24"/>
          <w:szCs w:val="24"/>
          <w:highlight w:val="none"/>
        </w:rPr>
        <w:t xml:space="preserve">59.6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在专用条款约定的缺陷责任期（包括第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款延长的期限）终止后的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天内，发包人应向承包人颁发缺陷责任期终止证书。</w:t>
      </w:r>
    </w:p>
    <w:p>
      <w:pPr>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6" name="文本框 6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upright="1"/>
                    </wps:wsp>
                  </a:graphicData>
                </a:graphic>
              </wp:anchor>
            </w:drawing>
          </mc:Choice>
          <mc:Fallback>
            <w:pict>
              <v:shape id="文本框 661"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HjlY0m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仿宋" w:hAnsi="仿宋" w:eastAsia="仿宋" w:cs="仿宋"/>
          <w:b/>
          <w:bCs/>
          <w:color w:val="auto"/>
          <w:sz w:val="24"/>
          <w:szCs w:val="24"/>
          <w:highlight w:val="none"/>
        </w:rPr>
        <w:t xml:space="preserve">59.7  </w:t>
      </w:r>
      <w:r>
        <w:rPr>
          <w:rFonts w:ascii="仿宋" w:hAnsi="仿宋" w:eastAsia="仿宋" w:cs="仿宋"/>
          <w:b/>
          <w:bCs/>
          <w:color w:val="auto"/>
          <w:sz w:val="24"/>
          <w:szCs w:val="24"/>
          <w:highlight w:val="none"/>
          <w:u w:val="dotted"/>
        </w:rPr>
        <w:t xml:space="preserve">                                                                            </w:t>
      </w:r>
    </w:p>
    <w:p>
      <w:pPr>
        <w:pStyle w:val="22"/>
        <w:adjustRightInd w:val="0"/>
        <w:snapToGrid w:val="0"/>
        <w:ind w:left="1619" w:leftChars="771"/>
        <w:rPr>
          <w:rFonts w:ascii="仿宋" w:hAnsi="仿宋" w:eastAsia="仿宋"/>
          <w:color w:val="auto"/>
          <w:highlight w:val="none"/>
        </w:rPr>
      </w:pPr>
      <w:r>
        <w:rPr>
          <w:rFonts w:hint="eastAsia" w:ascii="仿宋" w:hAnsi="仿宋" w:eastAsia="仿宋" w:cs="仿宋"/>
          <w:color w:val="auto"/>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pPr>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57" name="文本框 66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upright="1"/>
                    </wps:wsp>
                  </a:graphicData>
                </a:graphic>
              </wp:anchor>
            </w:drawing>
          </mc:Choice>
          <mc:Fallback>
            <w:pict>
              <v:shape id="文本框 662" o:spid="_x0000_s1026" o:spt="202" type="#_x0000_t202" style="position:absolute;left:0pt;margin-left:-9pt;margin-top:22.6pt;height:33.85pt;width:76.2pt;z-index:25192243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Wb+&#10;ndgAAAAKAQAADwAAAAAAAAABACAAAAAiAAAAZHJzL2Rvd25yZXYueG1sUEsBAhQAFAAAAAgAh07i&#10;QEerTl+wAQAAUQMAAA4AAAAAAAAAAQAgAAAAJwEAAGRycy9lMm9Eb2MueG1sUEsFBgAAAAAGAAYA&#10;WQEAAEkFAAAAAA==&#10;">
                <v:fill on="f" focussize="0,0"/>
                <v:stroke on="f"/>
                <v:imagedata o:title=""/>
                <o:lock v:ext="edit" aspectratio="f"/>
                <v:textbox>
                  <w:txbxContent>
                    <w:p>
                      <w:pPr>
                        <w:spacing w:line="240" w:lineRule="exact"/>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仿宋" w:hAnsi="仿宋" w:eastAsia="仿宋" w:cs="仿宋"/>
          <w:b/>
          <w:bCs/>
          <w:color w:val="auto"/>
          <w:sz w:val="24"/>
          <w:szCs w:val="24"/>
          <w:highlight w:val="none"/>
        </w:rPr>
        <w:t xml:space="preserve">59.8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合同双方当事人应在专用条款和合同工程质量保修书中约定质量保修期。</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质量保修期自实际竣工之日起计算。在全部工程竣工验收前，已经发包人提前验收的单位工程，其质量保修期的起算日期相应提前。</w:t>
      </w:r>
    </w:p>
    <w:p>
      <w:pPr>
        <w:tabs>
          <w:tab w:val="left" w:pos="360"/>
          <w:tab w:val="left" w:pos="90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59.9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658" name="文本框 663"/>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upright="1"/>
                    </wps:wsp>
                  </a:graphicData>
                </a:graphic>
              </wp:anchor>
            </w:drawing>
          </mc:Choice>
          <mc:Fallback>
            <w:pict>
              <v:shape id="文本框 663" o:spid="_x0000_s1026" o:spt="202" type="#_x0000_t202" style="position:absolute;left:0pt;margin-left:-5.8pt;margin-top:1.2pt;height:28.8pt;width:77.8pt;z-index:251923456;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ViiUO1QAA&#10;AAgBAAAPAAAAAAAAAAEAIAAAACIAAABkcnMvZG93bnJldi54bWxQSwECFAAUAAAACACHTuJAaora&#10;Jq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sz w:val="24"/>
          <w:szCs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pPr>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659" name="文本框 664"/>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upright="1"/>
                    </wps:wsp>
                  </a:graphicData>
                </a:graphic>
              </wp:anchor>
            </w:drawing>
          </mc:Choice>
          <mc:Fallback>
            <w:pict>
              <v:shape id="文本框 664" o:spid="_x0000_s1026" o:spt="202" type="#_x0000_t202" style="position:absolute;left:0pt;margin-left:-5.25pt;margin-top:20.4pt;height:35.6pt;width:75.55pt;z-index:251924480;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yHGZ6&#10;1gAAAAoBAAAPAAAAAAAAAAEAIAAAACIAAABkcnMvZG93bnJldi54bWxQSwECFAAUAAAACACHTuJA&#10;TA5uPbEBAABRAwAADgAAAAAAAAABACAAAAAlAQAAZHJzL2Uyb0RvYy54bWxQSwUGAAAAAAYABgBZ&#10;AQAASAUAAAAA&#10;">
                <v:fill on="f" focussize="0,0"/>
                <v:stroke on="f"/>
                <v:imagedata o:title=""/>
                <o:lock v:ext="edit" aspectratio="f"/>
                <v:textbox>
                  <w:txbxContent>
                    <w:p>
                      <w:pPr>
                        <w:rPr>
                          <w:rFonts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仿宋" w:hAnsi="仿宋" w:eastAsia="仿宋" w:cs="仿宋"/>
          <w:b/>
          <w:bCs/>
          <w:color w:val="auto"/>
          <w:sz w:val="24"/>
          <w:szCs w:val="24"/>
          <w:highlight w:val="none"/>
        </w:rPr>
        <w:t xml:space="preserve">59.10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adjustRightInd w:val="0"/>
        <w:snapToGrid w:val="0"/>
        <w:spacing w:line="360" w:lineRule="auto"/>
        <w:ind w:firstLine="1574" w:firstLineChars="656"/>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承包人修复属于质量缺陷以外的费用，由责任方承担。</w:t>
      </w:r>
    </w:p>
    <w:p>
      <w:pPr>
        <w:adjustRightInd w:val="0"/>
        <w:snapToGrid w:val="0"/>
        <w:spacing w:line="360" w:lineRule="auto"/>
        <w:rPr>
          <w:rFonts w:ascii="仿宋" w:hAnsi="仿宋" w:eastAsia="仿宋" w:cs="仿宋"/>
          <w:color w:val="auto"/>
          <w:sz w:val="24"/>
          <w:szCs w:val="24"/>
          <w:highlight w:val="none"/>
          <w:u w:val="single"/>
        </w:rPr>
      </w:pPr>
      <w:r>
        <w:rPr>
          <w:rFonts w:ascii="仿宋" w:hAnsi="仿宋" w:eastAsia="仿宋" w:cs="仿宋"/>
          <w:b/>
          <w:bCs/>
          <w:color w:val="auto"/>
          <w:sz w:val="24"/>
          <w:szCs w:val="24"/>
          <w:highlight w:val="none"/>
          <w:u w:val="single"/>
        </w:rPr>
        <w:t xml:space="preserve">                                                                                 </w:t>
      </w:r>
      <w:r>
        <w:rPr>
          <w:rFonts w:ascii="仿宋" w:hAnsi="仿宋" w:eastAsia="仿宋" w:cs="仿宋"/>
          <w:color w:val="auto"/>
          <w:sz w:val="24"/>
          <w:szCs w:val="24"/>
          <w:highlight w:val="none"/>
          <w:u w:val="single"/>
        </w:rPr>
        <w:t xml:space="preserve">     </w:t>
      </w:r>
    </w:p>
    <w:p>
      <w:pPr>
        <w:tabs>
          <w:tab w:val="left" w:pos="1620"/>
        </w:tabs>
        <w:adjustRightInd w:val="0"/>
        <w:snapToGrid w:val="0"/>
        <w:spacing w:line="360" w:lineRule="auto"/>
        <w:jc w:val="center"/>
        <w:outlineLvl w:val="1"/>
        <w:rPr>
          <w:rFonts w:ascii="仿宋" w:hAnsi="仿宋" w:eastAsia="仿宋" w:cs="Times New Roman"/>
          <w:b/>
          <w:bCs/>
          <w:color w:val="auto"/>
          <w:sz w:val="24"/>
          <w:szCs w:val="24"/>
          <w:highlight w:val="none"/>
        </w:rPr>
      </w:pPr>
      <w:bookmarkStart w:id="498" w:name="_Toc1801"/>
      <w:bookmarkStart w:id="499" w:name="_Toc9524"/>
      <w:bookmarkStart w:id="500" w:name="_Toc10624883"/>
      <w:bookmarkStart w:id="501" w:name="_Toc5660"/>
      <w:bookmarkStart w:id="502" w:name="_Toc15411"/>
      <w:bookmarkStart w:id="503" w:name="_Toc23065"/>
      <w:bookmarkStart w:id="504" w:name="_Toc469384043"/>
      <w:r>
        <w:rPr>
          <w:rFonts w:hint="eastAsia" w:ascii="仿宋" w:hAnsi="仿宋" w:eastAsia="仿宋" w:cs="仿宋"/>
          <w:b/>
          <w:bCs/>
          <w:color w:val="auto"/>
          <w:sz w:val="24"/>
          <w:szCs w:val="24"/>
          <w:highlight w:val="none"/>
        </w:rPr>
        <w:t>六、造</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价</w:t>
      </w:r>
      <w:bookmarkEnd w:id="498"/>
      <w:bookmarkEnd w:id="499"/>
      <w:bookmarkEnd w:id="500"/>
      <w:bookmarkEnd w:id="501"/>
      <w:bookmarkEnd w:id="502"/>
      <w:bookmarkEnd w:id="503"/>
      <w:bookmarkEnd w:id="504"/>
    </w:p>
    <w:p>
      <w:pPr>
        <w:pStyle w:val="5"/>
        <w:tabs>
          <w:tab w:val="left" w:pos="420"/>
          <w:tab w:val="left" w:pos="1287"/>
        </w:tabs>
        <w:rPr>
          <w:rFonts w:ascii="仿宋" w:hAnsi="仿宋" w:eastAsia="仿宋"/>
          <w:color w:val="auto"/>
          <w:sz w:val="24"/>
          <w:szCs w:val="24"/>
          <w:highlight w:val="none"/>
        </w:rPr>
      </w:pPr>
      <w:bookmarkStart w:id="505" w:name="_Toc10624884"/>
      <w:bookmarkStart w:id="506" w:name="_Toc469384044"/>
      <w:bookmarkStart w:id="507" w:name="_Toc17059"/>
      <w:bookmarkStart w:id="508" w:name="_Toc18375"/>
      <w:bookmarkStart w:id="509" w:name="_Toc24060"/>
      <w:bookmarkStart w:id="510" w:name="_Toc17088"/>
      <w:bookmarkStart w:id="511" w:name="_Toc11515"/>
      <w:r>
        <w:rPr>
          <w:rFonts w:ascii="仿宋" w:hAnsi="仿宋" w:eastAsia="仿宋" w:cs="仿宋"/>
          <w:color w:val="auto"/>
          <w:sz w:val="24"/>
          <w:szCs w:val="24"/>
          <w:highlight w:val="none"/>
        </w:rPr>
        <w:t xml:space="preserve">60  </w:t>
      </w:r>
      <w:r>
        <w:rPr>
          <w:rFonts w:hint="eastAsia" w:ascii="仿宋" w:hAnsi="仿宋" w:eastAsia="仿宋" w:cs="仿宋"/>
          <w:color w:val="auto"/>
          <w:sz w:val="24"/>
          <w:szCs w:val="24"/>
          <w:highlight w:val="none"/>
        </w:rPr>
        <w:t>资金计划和安排</w:t>
      </w:r>
      <w:bookmarkEnd w:id="505"/>
      <w:bookmarkEnd w:id="506"/>
      <w:bookmarkEnd w:id="507"/>
      <w:bookmarkEnd w:id="508"/>
      <w:bookmarkEnd w:id="509"/>
      <w:bookmarkEnd w:id="510"/>
      <w:bookmarkEnd w:id="511"/>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60.1</w:t>
      </w:r>
    </w:p>
    <w:p>
      <w:pPr>
        <w:pStyle w:val="13"/>
        <w:adjustRightInd w:val="0"/>
        <w:snapToGrid w:val="0"/>
        <w:spacing w:line="360" w:lineRule="auto"/>
        <w:ind w:left="1579" w:leftChars="752"/>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660" name="文本框 665"/>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upright="1"/>
                    </wps:wsp>
                  </a:graphicData>
                </a:graphic>
              </wp:anchor>
            </w:drawing>
          </mc:Choice>
          <mc:Fallback>
            <w:pict>
              <v:shape id="文本框 665" o:spid="_x0000_s1026" o:spt="202" type="#_x0000_t202" style="position:absolute;left:0pt;margin-left:-10.5pt;margin-top:5.4pt;height:34pt;width:72pt;z-index:251925504;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Qv9z9YA&#10;AAAJAQAADwAAAAAAAAABACAAAAAiAAAAZHJzL2Rvd25yZXYueG1sUEsBAhQAFAAAAAgAh07iQOIG&#10;2zevAQAAUQMAAA4AAAAAAAAAAQAgAAAAJQEAAGRycy9lMm9Eb2MueG1sUEsFBgAAAAAGAAYAWQEA&#10;AEYFA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ascii="仿宋" w:hAnsi="仿宋" w:eastAsia="仿宋" w:cs="仿宋"/>
          <w:color w:val="auto"/>
          <w:sz w:val="24"/>
          <w:szCs w:val="24"/>
          <w:highlight w:val="none"/>
        </w:rPr>
        <w:t>工程进度计划被批准后，承包人应向发包人提交一份合同工程资金需求计划书；工程进度计划更新后，承包人应及时向发包人提交一份更新后的工程资金需求计划书。</w:t>
      </w:r>
    </w:p>
    <w:p>
      <w:pPr>
        <w:pStyle w:val="13"/>
        <w:adjustRightInd w:val="0"/>
        <w:snapToGrid w:val="0"/>
        <w:ind w:left="1619" w:leftChars="1" w:hanging="1617" w:hangingChars="671"/>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60.2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661" name="文本框 666"/>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upright="1"/>
                    </wps:wsp>
                  </a:graphicData>
                </a:graphic>
              </wp:anchor>
            </w:drawing>
          </mc:Choice>
          <mc:Fallback>
            <w:pict>
              <v:shape id="文本框 666" o:spid="_x0000_s1026" o:spt="202" type="#_x0000_t202" style="position:absolute;left:0pt;margin-left:-9pt;margin-top:2.7pt;height:36.6pt;width:72pt;z-index:251926528;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sHe1QAA&#10;AAgBAAAPAAAAAAAAAAEAIAAAACIAAABkcnMvZG93bnJldi54bWxQSwECFAAUAAAACACHTuJAtfVL&#10;Eq8BAABRAwAADgAAAAAAAAABACAAAAAkAQAAZHJzL2Uyb0RvYy54bWxQSwUGAAAAAAYABgBZAQAA&#10;RQU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ascii="仿宋" w:hAnsi="仿宋" w:eastAsia="仿宋" w:cs="仿宋"/>
          <w:color w:val="auto"/>
          <w:sz w:val="24"/>
          <w:szCs w:val="24"/>
          <w:highlight w:val="none"/>
        </w:rPr>
        <w:t>发包人在收到承包人提交的工程资金需求计划书后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天内，应根据合同约定提供已做出资金安排的合理证据，表明自己有能力按照第</w:t>
      </w:r>
      <w:r>
        <w:rPr>
          <w:rFonts w:ascii="仿宋" w:hAnsi="仿宋" w:eastAsia="仿宋" w:cs="仿宋"/>
          <w:color w:val="auto"/>
          <w:sz w:val="24"/>
          <w:szCs w:val="24"/>
          <w:highlight w:val="none"/>
        </w:rPr>
        <w:t>78</w:t>
      </w:r>
      <w:r>
        <w:rPr>
          <w:rFonts w:hint="eastAsia" w:ascii="仿宋" w:hAnsi="仿宋" w:eastAsia="仿宋" w:cs="仿宋"/>
          <w:color w:val="auto"/>
          <w:sz w:val="24"/>
          <w:szCs w:val="24"/>
          <w:highlight w:val="none"/>
        </w:rPr>
        <w:t>条规定支付合同价款。如果发包人对资金安排作出任何变更时，应及时将变更的详情通知承包人。</w:t>
      </w:r>
    </w:p>
    <w:p>
      <w:pPr>
        <w:pStyle w:val="13"/>
        <w:tabs>
          <w:tab w:val="left" w:pos="1800"/>
        </w:tabs>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512" w:name="_Toc26984"/>
      <w:bookmarkStart w:id="513" w:name="_Toc26533"/>
      <w:bookmarkStart w:id="514" w:name="_Toc10624885"/>
      <w:bookmarkStart w:id="515" w:name="_Toc24149"/>
      <w:bookmarkStart w:id="516" w:name="_Toc20221"/>
      <w:bookmarkStart w:id="517" w:name="_Toc9386"/>
      <w:bookmarkStart w:id="518" w:name="_Toc46938404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61  </w:t>
      </w:r>
      <w:r>
        <w:rPr>
          <w:rFonts w:hint="eastAsia" w:ascii="仿宋" w:hAnsi="仿宋" w:eastAsia="仿宋" w:cs="仿宋"/>
          <w:b/>
          <w:bCs/>
          <w:color w:val="auto"/>
          <w:sz w:val="24"/>
          <w:szCs w:val="24"/>
          <w:highlight w:val="none"/>
        </w:rPr>
        <w:t>工程量</w:t>
      </w:r>
      <w:bookmarkEnd w:id="512"/>
      <w:bookmarkEnd w:id="513"/>
      <w:bookmarkEnd w:id="514"/>
      <w:bookmarkEnd w:id="515"/>
      <w:bookmarkEnd w:id="516"/>
      <w:bookmarkEnd w:id="517"/>
      <w:bookmarkEnd w:id="518"/>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61.1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w:t>
      </w: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662" name="文本框 667"/>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upright="1"/>
                    </wps:wsp>
                  </a:graphicData>
                </a:graphic>
              </wp:anchor>
            </w:drawing>
          </mc:Choice>
          <mc:Fallback>
            <w:pict>
              <v:shape id="文本框 667" o:spid="_x0000_s1026" o:spt="202" type="#_x0000_t202" style="position:absolute;left:0pt;margin-left:-9pt;margin-top:0.9pt;height:37.5pt;width:72pt;z-index:251927552;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uOd11AAA&#10;AAgBAAAPAAAAAAAAAAEAIAAAACIAAABkcnMvZG93bnJldi54bWxQSwECFAAUAAAACACHTuJACw2G&#10;o7ABAABRAwAADgAAAAAAAAABACAAAAAjAQAAZHJzL2Uyb0RvYy54bWxQSwUGAAAAAAYABgBZAQAA&#10;RQU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ascii="仿宋" w:hAnsi="仿宋" w:eastAsia="仿宋" w:cs="仿宋"/>
          <w:color w:val="auto"/>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ascii="仿宋" w:hAnsi="仿宋" w:eastAsia="仿宋" w:cs="仿宋"/>
          <w:color w:val="auto"/>
          <w:sz w:val="24"/>
          <w:szCs w:val="24"/>
          <w:highlight w:val="none"/>
        </w:rPr>
        <w:t>72</w:t>
      </w:r>
      <w:r>
        <w:rPr>
          <w:rFonts w:hint="eastAsia" w:ascii="仿宋" w:hAnsi="仿宋" w:eastAsia="仿宋" w:cs="仿宋"/>
          <w:color w:val="auto"/>
          <w:sz w:val="24"/>
          <w:szCs w:val="24"/>
          <w:highlight w:val="none"/>
        </w:rPr>
        <w:t>条规定确定合同价款的增加额。</w:t>
      </w:r>
    </w:p>
    <w:p>
      <w:pPr>
        <w:pStyle w:val="13"/>
        <w:adjustRightInd w:val="0"/>
        <w:snapToGrid w:val="0"/>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663" name="文本框 668"/>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upright="1"/>
                    </wps:wsp>
                  </a:graphicData>
                </a:graphic>
              </wp:anchor>
            </w:drawing>
          </mc:Choice>
          <mc:Fallback>
            <w:pict>
              <v:shape id="文本框 668" o:spid="_x0000_s1026" o:spt="202" type="#_x0000_t202" style="position:absolute;left:0pt;margin-left:-9pt;margin-top:0.9pt;height:28.5pt;width:81pt;z-index:251928576;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2NEa1AAA&#10;AAgBAAAPAAAAAAAAAAEAIAAAACIAAABkcnMvZG93bnJldi54bWxQSwECFAAUAAAACACHTuJAKESw&#10;FbABAABSAwAADgAAAAAAAAABACAAAAAjAQAAZHJzL2Uyb0RvYy54bWxQSwUGAAAAAAYABgBZAQAA&#10;RQU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sz w:val="24"/>
          <w:szCs w:val="24"/>
          <w:highlight w:val="none"/>
        </w:rPr>
        <w:t>工程量清单中开列的工程量是根据合同工程施工设计图纸提供的预计工程量，不能作为承包人履行合同义务中应予完成合同工程的实际和准确工程量。</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发包人应按照承包人实际完成的应予计量的工程量与其在工程量清单中填报的单价或合价的乘积向承包人支付工程款。</w:t>
      </w:r>
    </w:p>
    <w:p>
      <w:pPr>
        <w:pStyle w:val="13"/>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19" w:name="_Toc24780"/>
      <w:bookmarkStart w:id="520" w:name="_Toc27028"/>
      <w:bookmarkStart w:id="521" w:name="_Toc27789"/>
      <w:bookmarkStart w:id="522" w:name="_Toc10624886"/>
      <w:bookmarkStart w:id="523" w:name="_Toc469384046"/>
      <w:bookmarkStart w:id="524" w:name="_Toc18860"/>
      <w:bookmarkStart w:id="525" w:name="_Toc783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62  </w:t>
      </w:r>
      <w:r>
        <w:rPr>
          <w:rFonts w:hint="eastAsia" w:ascii="仿宋" w:hAnsi="仿宋" w:eastAsia="仿宋" w:cs="仿宋"/>
          <w:b/>
          <w:bCs/>
          <w:color w:val="auto"/>
          <w:sz w:val="24"/>
          <w:szCs w:val="24"/>
          <w:highlight w:val="none"/>
        </w:rPr>
        <w:t>工程计量和计价</w:t>
      </w:r>
      <w:bookmarkEnd w:id="519"/>
      <w:bookmarkEnd w:id="520"/>
      <w:bookmarkEnd w:id="521"/>
      <w:bookmarkEnd w:id="522"/>
      <w:bookmarkEnd w:id="523"/>
      <w:bookmarkEnd w:id="524"/>
      <w:bookmarkEnd w:id="525"/>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62.1</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664" name="文本框 66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upright="1"/>
                    </wps:wsp>
                  </a:graphicData>
                </a:graphic>
              </wp:anchor>
            </w:drawing>
          </mc:Choice>
          <mc:Fallback>
            <w:pict>
              <v:shape id="文本框 669" o:spid="_x0000_s1026" o:spt="202" type="#_x0000_t202" style="position:absolute;left:0pt;margin-left:-9pt;margin-top:1pt;height:32.75pt;width:72pt;z-index:251929600;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B6wktYA&#10;AAAIAQAADwAAAAAAAAABACAAAAAiAAAAZHJzL2Rvd25yZXYueG1sUEsBAhQAFAAAAAgAh07iQHus&#10;uACvAQAAUQMAAA4AAAAAAAAAAQAgAAAAJQEAAGRycy9lMm9Eb2MueG1sUEsFBgAAAAAGAAYAWQEA&#10;AEYFA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color w:val="auto"/>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665" name="文本框 67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upright="1"/>
                    </wps:wsp>
                  </a:graphicData>
                </a:graphic>
              </wp:anchor>
            </w:drawing>
          </mc:Choice>
          <mc:Fallback>
            <w:pict>
              <v:shape id="文本框 670" o:spid="_x0000_s1026" o:spt="202" type="#_x0000_t202" style="position:absolute;left:0pt;margin-left:-9pt;margin-top:4pt;height:32.75pt;width:72pt;z-index:251930624;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vOwRdYA&#10;AAAIAQAADwAAAAAAAAABACAAAAAiAAAAZHJzL2Rvd25yZXYueG1sUEsBAhQAFAAAAAgAh07iQBcE&#10;RDavAQAAUQMAAA4AAAAAAAAAAQAgAAAAJQEAAGRycy9lMm9Eb2MueG1sUEsFBgAAAAAGAAYAWQEA&#10;AEYFAAAAAA==&#10;">
                <v:fill on="f" focussize="0,0"/>
                <v:stroke on="f"/>
                <v:imagedata o:title=""/>
                <o:lock v:ext="edit" aspectratio="f"/>
                <v:textbox>
                  <w:txbxContent>
                    <w:p>
                      <w:pPr>
                        <w:pStyle w:val="11"/>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color w:val="auto"/>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造价工程师负责工程计量和计价的核实工作。</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666" name="文本框 671"/>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upright="1"/>
                    </wps:wsp>
                  </a:graphicData>
                </a:graphic>
              </wp:anchor>
            </w:drawing>
          </mc:Choice>
          <mc:Fallback>
            <w:pict>
              <v:shape id="文本框 671" o:spid="_x0000_s1026" o:spt="202" type="#_x0000_t202" style="position:absolute;left:0pt;margin-left:-9pt;margin-top:-0.15pt;height:43.15pt;width:72pt;z-index:251931648;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5H2vTUAAAA&#10;CAEAAA8AAAAAAAAAAQAgAAAAIgAAAGRycy9kb3ducmV2LnhtbFBLAQIUABQAAAAIAIdO4kBOIHt+&#10;rwEAAFEDAAAOAAAAAAAAAAEAIAAAACM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ascii="仿宋" w:hAnsi="仿宋" w:eastAsia="仿宋" w:cs="仿宋"/>
          <w:color w:val="auto"/>
          <w:sz w:val="24"/>
          <w:szCs w:val="24"/>
          <w:highlight w:val="none"/>
        </w:rPr>
        <w:t>承包人应按照第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款规定向造价工程师提交已完工程款额报告。造价工程师应在收到报告后的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天内核实工程量，并将核实结果通知承包人、抄报发包人，作为工程计价和工程款支付的依据。</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667" name="文本框 672"/>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pPr>
                              <w:rPr>
                                <w:rFonts w:ascii="宋体" w:cs="Times New Roman"/>
                                <w:sz w:val="18"/>
                                <w:szCs w:val="18"/>
                              </w:rPr>
                            </w:pPr>
                            <w:r>
                              <w:rPr>
                                <w:rFonts w:hint="eastAsia" w:hAnsi="宋体"/>
                                <w:b/>
                                <w:bCs/>
                                <w:color w:val="000000"/>
                                <w:sz w:val="18"/>
                                <w:szCs w:val="18"/>
                              </w:rPr>
                              <w:t>现场计量</w:t>
                            </w:r>
                          </w:p>
                        </w:txbxContent>
                      </wps:txbx>
                      <wps:bodyPr upright="1"/>
                    </wps:wsp>
                  </a:graphicData>
                </a:graphic>
              </wp:anchor>
            </w:drawing>
          </mc:Choice>
          <mc:Fallback>
            <w:pict>
              <v:shape id="文本框 672" o:spid="_x0000_s1026" o:spt="202" type="#_x0000_t202" style="position:absolute;left:0pt;margin-left:-9pt;margin-top:3.95pt;height:27.9pt;width:63pt;z-index:251932672;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OGbdUA&#10;AAAIAQAADwAAAAAAAAABACAAAAAiAAAAZHJzL2Rvd25yZXYueG1sUEsBAhQAFAAAAAgAh07iQAzu&#10;UEuwAQAAUQMAAA4AAAAAAAAAAQAgAAAAJAEAAGRycy9lMm9Eb2MueG1sUEsFBgAAAAAGAAYAWQEA&#10;AEYFAAAAAA==&#10;">
                <v:fill on="f" focussize="0,0"/>
                <v:stroke on="f"/>
                <v:imagedata o:title=""/>
                <o:lock v:ext="edit" aspectratio="f"/>
                <v:textbox>
                  <w:txbxContent>
                    <w:p>
                      <w:pPr>
                        <w:rPr>
                          <w:rFonts w:ascii="宋体" w:cs="Times New Roman"/>
                          <w:sz w:val="18"/>
                          <w:szCs w:val="18"/>
                        </w:rPr>
                      </w:pPr>
                      <w:r>
                        <w:rPr>
                          <w:rFonts w:hint="eastAsia" w:hAnsi="宋体"/>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rPr>
        <w:t>当造价工程师进行现场计量时，应在计量前</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小时通知承包人，承包人应为计量提供便利条件并派人参加。承包人收到通知后不派人参加计量，视为认可计量结果。造价工程师不按照约定时间通知承包人，致使承包人未能派人参加计量，计量结果无效。</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668" name="文本框 673"/>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upright="1"/>
                    </wps:wsp>
                  </a:graphicData>
                </a:graphic>
              </wp:anchor>
            </w:drawing>
          </mc:Choice>
          <mc:Fallback>
            <w:pict>
              <v:shape id="文本框 673" o:spid="_x0000_s1026" o:spt="202" type="#_x0000_t202" style="position:absolute;left:0pt;margin-left:-9pt;margin-top:3.5pt;height:47.5pt;width:72pt;z-index:251933696;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v9Z9dUA&#10;AAAJAQAADwAAAAAAAAABACAAAAAiAAAAZHJzL2Rvd25yZXYueG1sUEsBAhQAFAAAAAgAh07iQO+Z&#10;JaW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ascii="仿宋" w:hAnsi="仿宋" w:eastAsia="仿宋" w:cs="仿宋"/>
          <w:color w:val="auto"/>
          <w:sz w:val="24"/>
          <w:szCs w:val="24"/>
          <w:highlight w:val="none"/>
        </w:rPr>
        <w:t>造价工程师收到承包人按照第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款规定提交的已完工程款额报告后</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天内，未进行计量或未向承包人通知计量结果的，从第</w:t>
      </w:r>
      <w:r>
        <w:rPr>
          <w:rFonts w:ascii="仿宋" w:hAnsi="仿宋" w:eastAsia="仿宋" w:cs="仿宋"/>
          <w:color w:val="auto"/>
          <w:sz w:val="24"/>
          <w:szCs w:val="24"/>
          <w:highlight w:val="none"/>
        </w:rPr>
        <w:t>15</w:t>
      </w:r>
      <w:r>
        <w:rPr>
          <w:rFonts w:hint="eastAsia" w:ascii="仿宋" w:hAnsi="仿宋" w:eastAsia="仿宋" w:cs="仿宋"/>
          <w:color w:val="auto"/>
          <w:sz w:val="24"/>
          <w:szCs w:val="24"/>
          <w:highlight w:val="none"/>
        </w:rPr>
        <w:t>天起，承包人报告中开列的工程量即视为被确认，作为工程计价和工程款支付的依据。</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669" name="文本框 674"/>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upright="1"/>
                    </wps:wsp>
                  </a:graphicData>
                </a:graphic>
              </wp:anchor>
            </w:drawing>
          </mc:Choice>
          <mc:Fallback>
            <w:pict>
              <v:shape id="文本框 674" o:spid="_x0000_s1026" o:spt="202" type="#_x0000_t202" style="position:absolute;left:0pt;margin-left:-9pt;margin-top:3.6pt;height:23.4pt;width:72pt;z-index:251934720;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K+Z9UA&#10;AAAIAQAADwAAAAAAAAABACAAAAAiAAAAZHJzL2Rvd25yZXYueG1sUEsBAhQAFAAAAAgAh07iQAti&#10;mO6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rPr>
        <w:t>如果承包人认为造价工程师的计量结果有误，应在收到计量结果通知后的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670" name="文本框 67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upright="1"/>
                    </wps:wsp>
                  </a:graphicData>
                </a:graphic>
              </wp:anchor>
            </w:drawing>
          </mc:Choice>
          <mc:Fallback>
            <w:pict>
              <v:shape id="文本框 675" o:spid="_x0000_s1026" o:spt="202" type="#_x0000_t202" style="position:absolute;left:0pt;margin-left:-9pt;margin-top:2.85pt;height:23.4pt;width:63pt;z-index:251935744;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FK6ZNQAAAAI&#10;AQAADwAAAAAAAAABACAAAAAiAAAAZHJzL2Rvd25yZXYueG1sUEsBAhQAFAAAAAgAh07iQHKVgTKu&#10;AQAAUQMAAA4AAAAAAAAAAQAgAAAAIwEAAGRycy9lMm9Eb2MueG1sUEsFBgAAAAAGAAYAWQEAAEMF&#10;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rPr>
        <w:t>对承包人超出施工设计图纸范围或因承包人的原因造成返工的工程量，造价工程师均不予计量。</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62.8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671" name="文本框 676"/>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upright="1"/>
                    </wps:wsp>
                  </a:graphicData>
                </a:graphic>
              </wp:anchor>
            </w:drawing>
          </mc:Choice>
          <mc:Fallback>
            <w:pict>
              <v:shape id="文本框 676" o:spid="_x0000_s1026" o:spt="202" type="#_x0000_t202" style="position:absolute;left:0pt;margin-left:-9pt;margin-top:1.9pt;height:38.9pt;width:72pt;z-index:251936768;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a9altQA&#10;AAAIAQAADwAAAAAAAAABACAAAAAiAAAAZHJzL2Rvd25yZXYueG1sUEsBAhQAFAAAAAgAh07iQHg+&#10;R3exAQAAUQMAAA4AAAAAAAAAAQAgAAAAIw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rPr>
        <w:t>除按照第</w:t>
      </w:r>
      <w:r>
        <w:rPr>
          <w:rFonts w:ascii="仿宋" w:hAnsi="仿宋" w:eastAsia="仿宋" w:cs="仿宋"/>
          <w:color w:val="auto"/>
          <w:sz w:val="24"/>
          <w:szCs w:val="24"/>
          <w:highlight w:val="none"/>
        </w:rPr>
        <w:t>69</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73</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条规定所做的调整外，每项工作所适用的单价</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费率</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pPr>
        <w:pStyle w:val="13"/>
        <w:tabs>
          <w:tab w:val="left" w:pos="1620"/>
        </w:tabs>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dstrike/>
          <w:color w:val="auto"/>
          <w:sz w:val="24"/>
          <w:szCs w:val="24"/>
          <w:highlight w:val="none"/>
        </w:rPr>
      </w:pPr>
      <w:bookmarkStart w:id="526" w:name="_Toc24407"/>
      <w:bookmarkStart w:id="527" w:name="_Toc220"/>
      <w:bookmarkStart w:id="528" w:name="_Toc820"/>
      <w:bookmarkStart w:id="529" w:name="_Toc12333"/>
      <w:bookmarkStart w:id="530" w:name="_Toc5538"/>
      <w:bookmarkStart w:id="531" w:name="_Toc469384047"/>
      <w:bookmarkStart w:id="532" w:name="_Toc10624887"/>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63  </w:t>
      </w:r>
      <w:r>
        <w:rPr>
          <w:rFonts w:hint="eastAsia" w:ascii="仿宋" w:hAnsi="仿宋" w:eastAsia="仿宋" w:cs="仿宋"/>
          <w:b/>
          <w:bCs/>
          <w:color w:val="auto"/>
          <w:sz w:val="24"/>
          <w:szCs w:val="24"/>
          <w:highlight w:val="none"/>
        </w:rPr>
        <w:t>暂列金额</w:t>
      </w:r>
      <w:bookmarkEnd w:id="526"/>
      <w:bookmarkEnd w:id="527"/>
      <w:bookmarkEnd w:id="528"/>
      <w:bookmarkEnd w:id="529"/>
      <w:bookmarkEnd w:id="530"/>
      <w:bookmarkEnd w:id="531"/>
      <w:bookmarkEnd w:id="532"/>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63.1</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672" name="文本框 677"/>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upright="1"/>
                    </wps:wsp>
                  </a:graphicData>
                </a:graphic>
              </wp:anchor>
            </w:drawing>
          </mc:Choice>
          <mc:Fallback>
            <w:pict>
              <v:shape id="文本框 677" o:spid="_x0000_s1026" o:spt="202" type="#_x0000_t202" style="position:absolute;left:0pt;margin-left:-18pt;margin-top:7.5pt;height:54.2pt;width:90pt;z-index:251937792;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4CMM9UA&#10;AAAKAQAADwAAAAAAAAABACAAAAAiAAAAZHJzL2Rvd25yZXYueG1sUEsBAhQAFAAAAAgAh07iQDKV&#10;9yewAQAAUg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仿宋" w:hAnsi="仿宋" w:eastAsia="仿宋" w:cs="仿宋"/>
          <w:color w:val="auto"/>
          <w:sz w:val="24"/>
          <w:szCs w:val="24"/>
          <w:highlight w:val="none"/>
        </w:rPr>
        <w:t>合同双方当事人应在专用条款中明确工程量清单中开列的已标价的暂列金额。</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575" w:leftChars="75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673" name="文本框 678"/>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upright="1"/>
                    </wps:wsp>
                  </a:graphicData>
                </a:graphic>
              </wp:anchor>
            </w:drawing>
          </mc:Choice>
          <mc:Fallback>
            <w:pict>
              <v:shape id="文本框 678" o:spid="_x0000_s1026" o:spt="202" type="#_x0000_t202" style="position:absolute;left:0pt;margin-left:-10.5pt;margin-top:7.85pt;height:43.55pt;width:81pt;z-index:251938816;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LfJn9YA&#10;AAAKAQAADwAAAAAAAAABACAAAAAiAAAAZHJzL2Rvd25yZXYueG1sUEsBAhQAFAAAAAgAh07iQOA0&#10;PNCvAQAAUg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ascii="仿宋" w:hAnsi="仿宋" w:eastAsia="仿宋" w:cs="仿宋"/>
          <w:color w:val="auto"/>
          <w:sz w:val="24"/>
          <w:szCs w:val="24"/>
          <w:highlight w:val="none"/>
        </w:rPr>
        <w:t>经发包人批准后，监理工程师应就承包人实施第</w:t>
      </w:r>
      <w:r>
        <w:rPr>
          <w:rFonts w:ascii="仿宋" w:hAnsi="仿宋" w:eastAsia="仿宋" w:cs="仿宋"/>
          <w:color w:val="auto"/>
          <w:sz w:val="24"/>
          <w:szCs w:val="24"/>
          <w:highlight w:val="none"/>
        </w:rPr>
        <w:t>63.1</w:t>
      </w:r>
      <w:r>
        <w:rPr>
          <w:rFonts w:hint="eastAsia" w:ascii="仿宋" w:hAnsi="仿宋" w:eastAsia="仿宋" w:cs="仿宋"/>
          <w:color w:val="auto"/>
          <w:sz w:val="24"/>
          <w:szCs w:val="24"/>
          <w:highlight w:val="none"/>
        </w:rPr>
        <w:t>款规定的工作发出书面指令。承包人应就此项指令提出所需价款，经造价工程师核实并由其报发包人确认后，向承包人支付相关款项。</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63.3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74" name="文本框 67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upright="1"/>
                    </wps:wsp>
                  </a:graphicData>
                </a:graphic>
              </wp:anchor>
            </w:drawing>
          </mc:Choice>
          <mc:Fallback>
            <w:pict>
              <v:shape id="文本框 679" o:spid="_x0000_s1026" o:spt="202" type="#_x0000_t202" style="position:absolute;left:0pt;margin-left:-9pt;margin-top:1.25pt;height:31.2pt;width:72pt;z-index:25193984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LU/&#10;Xw6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rPr>
        <w:t>造价工程师有要求时，承包人应提供使用暂列金额支付项目的所有报价单、发票、账单或收据。</w:t>
      </w:r>
    </w:p>
    <w:p>
      <w:pPr>
        <w:pStyle w:val="13"/>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dstrike/>
          <w:color w:val="auto"/>
          <w:sz w:val="24"/>
          <w:szCs w:val="24"/>
          <w:highlight w:val="none"/>
        </w:rPr>
      </w:pPr>
      <w:bookmarkStart w:id="533" w:name="_Toc10545"/>
      <w:bookmarkStart w:id="534" w:name="_Toc10624888"/>
      <w:bookmarkStart w:id="535" w:name="_Toc21599"/>
      <w:bookmarkStart w:id="536" w:name="_Toc30842"/>
      <w:bookmarkStart w:id="537" w:name="_Toc30257"/>
      <w:bookmarkStart w:id="538" w:name="_Toc469384048"/>
      <w:bookmarkStart w:id="539" w:name="_Toc917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64  </w:t>
      </w:r>
      <w:r>
        <w:rPr>
          <w:rFonts w:hint="eastAsia" w:ascii="仿宋" w:hAnsi="仿宋" w:eastAsia="仿宋" w:cs="仿宋"/>
          <w:b/>
          <w:bCs/>
          <w:color w:val="auto"/>
          <w:sz w:val="24"/>
          <w:szCs w:val="24"/>
          <w:highlight w:val="none"/>
        </w:rPr>
        <w:t>计日工</w:t>
      </w:r>
      <w:bookmarkEnd w:id="533"/>
      <w:bookmarkEnd w:id="534"/>
      <w:bookmarkEnd w:id="535"/>
      <w:bookmarkEnd w:id="536"/>
      <w:bookmarkEnd w:id="537"/>
      <w:bookmarkEnd w:id="538"/>
      <w:bookmarkEnd w:id="539"/>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64.1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675" name="文本框 680"/>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upright="1"/>
                    </wps:wsp>
                  </a:graphicData>
                </a:graphic>
              </wp:anchor>
            </w:drawing>
          </mc:Choice>
          <mc:Fallback>
            <w:pict>
              <v:shape id="文本框 680" o:spid="_x0000_s1026" o:spt="202" type="#_x0000_t202" style="position:absolute;left:0pt;margin-left:-9pt;margin-top:1.25pt;height:30.55pt;width:72pt;z-index:251940864;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yvS1QAA&#10;AAgBAAAPAAAAAAAAAAEAIAAAACIAAABkcnMvZG93bnJldi54bWxQSwECFAAUAAAACACHTuJAWq9o&#10;K68BAABRAwAADgAAAAAAAAABACAAAAAkAQAAZHJzL2Uyb0RvYy54bWxQSwUGAAAAAAYABgBZAQAA&#10;RQ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rPr>
        <w:t>承包人投标文件中填报的计日工单价或价格是用于实施发包人要求的合同以外零星工作项目所需的人工单价、材料、工程设备价格和施工设备机械台班单价。</w:t>
      </w:r>
    </w:p>
    <w:p>
      <w:pPr>
        <w:pStyle w:val="13"/>
        <w:adjustRightInd w:val="0"/>
        <w:snapToGrid w:val="0"/>
        <w:spacing w:line="48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64.2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经发包人批准后，监理工程师应就使用计日工项目发出书面指令。</w:t>
      </w: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676" name="文本框 68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upright="1"/>
                    </wps:wsp>
                  </a:graphicData>
                </a:graphic>
              </wp:anchor>
            </w:drawing>
          </mc:Choice>
          <mc:Fallback>
            <w:pict>
              <v:shape id="文本框 681" o:spid="_x0000_s1026" o:spt="202" type="#_x0000_t202" style="position:absolute;left:0pt;margin-left:-9pt;margin-top:1.15pt;height:32.5pt;width:72pt;z-index:251941888;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boxr&#10;1gAAAAgBAAAPAAAAAAAAAAEAIAAAACIAAABkcnMvZG93bnJldi54bWxQSwECFAAUAAAACACHTuJA&#10;32tL/7EBAABRAwAADgAAAAAAAAABACAAAAAlAQAAZHJzL2Uyb0RvYy54bWxQSwUGAAAAAAYABgBZ&#10;AQAASA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rPr>
        <w:t>任一按照计日工方式计价的工作，承包人应在该项工作实施结束后的</w:t>
      </w:r>
      <w:r>
        <w:rPr>
          <w:rFonts w:ascii="仿宋" w:hAnsi="仿宋" w:eastAsia="仿宋" w:cs="仿宋"/>
          <w:color w:val="auto"/>
          <w:sz w:val="24"/>
          <w:szCs w:val="24"/>
          <w:highlight w:val="none"/>
        </w:rPr>
        <w:t>24</w:t>
      </w:r>
      <w:r>
        <w:rPr>
          <w:rFonts w:hint="eastAsia" w:ascii="仿宋" w:hAnsi="仿宋" w:eastAsia="仿宋" w:cs="仿宋"/>
          <w:color w:val="auto"/>
          <w:sz w:val="24"/>
          <w:szCs w:val="24"/>
          <w:highlight w:val="none"/>
        </w:rPr>
        <w:t>小时内，向监理工程师提交有计日工记录的现场签证报告一式两份。</w:t>
      </w:r>
    </w:p>
    <w:p>
      <w:pPr>
        <w:pStyle w:val="13"/>
        <w:adjustRightInd w:val="0"/>
        <w:snapToGrid w:val="0"/>
        <w:spacing w:line="360" w:lineRule="auto"/>
        <w:ind w:left="1575" w:left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当此工作持续进行时，承包人应每天向监理工程师提交当天计日工记录完毕的现场签证报告。监理工程师在收到承包人提交现场签证报告后的</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天内予以确认并由其报发包人批准后，将其中一份返还给承包人，作为计日工计价和支付的依据。监理工程师逾期未确认也未提出修改意见的，视为承包人提交的现场签证报告已被认可。</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677" name="文本框 68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upright="1"/>
                    </wps:wsp>
                  </a:graphicData>
                </a:graphic>
              </wp:anchor>
            </w:drawing>
          </mc:Choice>
          <mc:Fallback>
            <w:pict>
              <v:shape id="文本框 682" o:spid="_x0000_s1026" o:spt="202" type="#_x0000_t202" style="position:absolute;left:0pt;margin-left:-9pt;margin-top:0.4pt;height:31.2pt;width:72pt;z-index:251942912;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RQ059QA&#10;AAAHAQAADwAAAAAAAAABACAAAAAiAAAAZHJzL2Rvd25yZXYueG1sUEsBAhQAFAAAAAgAh07iQDZM&#10;EtyxAQAAUQMAAA4AAAAAAAAAAQAgAAAAIw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每个支付期末，承包人应按照第</w:t>
      </w:r>
      <w:r>
        <w:rPr>
          <w:rFonts w:ascii="仿宋" w:hAnsi="仿宋" w:eastAsia="仿宋" w:cs="仿宋"/>
          <w:color w:val="auto"/>
          <w:sz w:val="24"/>
          <w:szCs w:val="24"/>
          <w:highlight w:val="none"/>
        </w:rPr>
        <w:t>81.1</w:t>
      </w:r>
      <w:r>
        <w:rPr>
          <w:rFonts w:hint="eastAsia" w:ascii="仿宋" w:hAnsi="仿宋" w:eastAsia="仿宋" w:cs="仿宋"/>
          <w:color w:val="auto"/>
          <w:sz w:val="24"/>
          <w:szCs w:val="24"/>
          <w:highlight w:val="none"/>
        </w:rPr>
        <w:t>款规定向发包人提交本期间所有计日工记录的签证汇总表，以说明本期间自己认为有权得到的计日工费用。</w:t>
      </w:r>
      <w:r>
        <w:rPr>
          <w:rFonts w:ascii="仿宋" w:hAnsi="仿宋" w:eastAsia="仿宋" w:cs="仿宋"/>
          <w:color w:val="auto"/>
          <w:sz w:val="24"/>
          <w:szCs w:val="24"/>
          <w:highlight w:val="none"/>
        </w:rPr>
        <w:t xml:space="preserve"> </w:t>
      </w:r>
    </w:p>
    <w:p>
      <w:pPr>
        <w:pStyle w:val="13"/>
        <w:tabs>
          <w:tab w:val="left" w:pos="540"/>
        </w:tabs>
        <w:adjustRightInd w:val="0"/>
        <w:snapToGrid w:val="0"/>
        <w:spacing w:before="312" w:beforeLines="100"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dstrike/>
          <w:color w:val="auto"/>
          <w:sz w:val="24"/>
          <w:szCs w:val="24"/>
          <w:highlight w:val="none"/>
        </w:rPr>
      </w:pPr>
      <w:bookmarkStart w:id="540" w:name="_Toc12513"/>
      <w:bookmarkStart w:id="541" w:name="_Toc23608"/>
      <w:bookmarkStart w:id="542" w:name="_Toc25136"/>
      <w:bookmarkStart w:id="543" w:name="_Toc31756"/>
      <w:bookmarkStart w:id="544" w:name="_Toc8255"/>
      <w:bookmarkStart w:id="545" w:name="_Toc10624889"/>
      <w:bookmarkStart w:id="546" w:name="_Toc46938404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65  </w:t>
      </w:r>
      <w:r>
        <w:rPr>
          <w:rFonts w:hint="eastAsia" w:ascii="仿宋" w:hAnsi="仿宋" w:eastAsia="仿宋" w:cs="仿宋"/>
          <w:b/>
          <w:bCs/>
          <w:color w:val="auto"/>
          <w:sz w:val="24"/>
          <w:szCs w:val="24"/>
          <w:highlight w:val="none"/>
        </w:rPr>
        <w:t>暂估价</w:t>
      </w:r>
      <w:bookmarkEnd w:id="540"/>
      <w:bookmarkEnd w:id="541"/>
      <w:bookmarkEnd w:id="542"/>
      <w:bookmarkEnd w:id="543"/>
      <w:bookmarkEnd w:id="544"/>
      <w:bookmarkEnd w:id="545"/>
      <w:bookmarkEnd w:id="546"/>
    </w:p>
    <w:p>
      <w:pPr>
        <w:pStyle w:val="13"/>
        <w:adjustRightInd w:val="0"/>
        <w:snapToGrid w:val="0"/>
        <w:spacing w:line="360" w:lineRule="auto"/>
        <w:ind w:left="1470" w:hanging="1470" w:hangingChars="7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678" name="文本框 683"/>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cs="Times New Roman"/>
                                <w:b/>
                                <w:bCs/>
                                <w:color w:val="000000"/>
                                <w:sz w:val="18"/>
                                <w:szCs w:val="18"/>
                              </w:rPr>
                            </w:pPr>
                          </w:p>
                          <w:p>
                            <w:pPr>
                              <w:rPr>
                                <w:rFonts w:cs="Times New Roman"/>
                                <w:sz w:val="18"/>
                                <w:szCs w:val="18"/>
                              </w:rPr>
                            </w:pPr>
                          </w:p>
                        </w:txbxContent>
                      </wps:txbx>
                      <wps:bodyPr upright="1"/>
                    </wps:wsp>
                  </a:graphicData>
                </a:graphic>
              </wp:anchor>
            </w:drawing>
          </mc:Choice>
          <mc:Fallback>
            <w:pict>
              <v:shape id="文本框 683" o:spid="_x0000_s1026" o:spt="202" type="#_x0000_t202" style="position:absolute;left:0pt;margin-left:-10.5pt;margin-top:25.2pt;height:38.1pt;width:82.5pt;z-index:251943936;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f4&#10;+NcAAAAKAQAADwAAAAAAAAABACAAAAAiAAAAZHJzL2Rvd25yZXYueG1sUEsBAhQAFAAAAAgAh07i&#10;QDph39yxAQAAUgMAAA4AAAAAAAAAAQAgAAAAJgEAAGRycy9lMm9Eb2MueG1sUEsFBgAAAAAGAAYA&#10;WQEAAEk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pPr>
                        <w:rPr>
                          <w:rFonts w:ascii="楷体_GB2312" w:hAnsi="宋体" w:eastAsia="楷体_GB2312" w:cs="Times New Roman"/>
                          <w:b/>
                          <w:bCs/>
                          <w:color w:val="000000"/>
                          <w:sz w:val="18"/>
                          <w:szCs w:val="18"/>
                        </w:rPr>
                      </w:pP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65.1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679" name="文本框 684"/>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rFonts w:cs="Times New Roman"/>
                                <w:sz w:val="18"/>
                                <w:szCs w:val="18"/>
                              </w:rPr>
                            </w:pPr>
                          </w:p>
                        </w:txbxContent>
                      </wps:txbx>
                      <wps:bodyPr upright="1"/>
                    </wps:wsp>
                  </a:graphicData>
                </a:graphic>
              </wp:anchor>
            </w:drawing>
          </mc:Choice>
          <mc:Fallback>
            <w:pict>
              <v:shape id="文本框 684" o:spid="_x0000_s1026" o:spt="202" type="#_x0000_t202" style="position:absolute;left:0pt;margin-left:-9pt;margin-top:19.55pt;height:75.3pt;width:81pt;z-index:251944960;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DBS&#10;ttcAAAAKAQAADwAAAAAAAAABACAAAAAiAAAAZHJzL2Rvd25yZXYueG1sUEsBAhQAFAAAAAgAh07i&#10;QExguRKxAQAAUgMAAA4AAAAAAAAAAQAgAAAAJgEAAGRycy9lMm9Eb2MueG1sUEsFBgAAAAAGAAYA&#10;WQEAAEk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pPr>
                        <w:rPr>
                          <w:rFonts w:cs="Times New Roman"/>
                          <w:sz w:val="18"/>
                          <w:szCs w:val="18"/>
                        </w:rPr>
                      </w:pPr>
                    </w:p>
                  </w:txbxContent>
                </v:textbox>
              </v:shape>
            </w:pict>
          </mc:Fallback>
        </mc:AlternateContent>
      </w:r>
      <w:r>
        <w:rPr>
          <w:rFonts w:ascii="仿宋" w:hAnsi="仿宋" w:eastAsia="仿宋" w:cs="仿宋"/>
          <w:b/>
          <w:bCs/>
          <w:color w:val="auto"/>
          <w:sz w:val="24"/>
          <w:szCs w:val="24"/>
          <w:highlight w:val="none"/>
        </w:rPr>
        <w:t xml:space="preserve">65.2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发包人在工程量清单中给定暂估价的材料和工程设备，未达到依法必须招标的规模、标准的，由承包人按照第</w:t>
      </w:r>
      <w:r>
        <w:rPr>
          <w:rFonts w:ascii="仿宋" w:hAnsi="仿宋" w:eastAsia="仿宋" w:cs="仿宋"/>
          <w:color w:val="auto"/>
          <w:sz w:val="24"/>
          <w:szCs w:val="24"/>
          <w:highlight w:val="none"/>
        </w:rPr>
        <w:t>49</w:t>
      </w:r>
      <w:r>
        <w:rPr>
          <w:rFonts w:hint="eastAsia" w:ascii="仿宋" w:hAnsi="仿宋" w:eastAsia="仿宋" w:cs="仿宋"/>
          <w:color w:val="auto"/>
          <w:sz w:val="24"/>
          <w:szCs w:val="24"/>
          <w:highlight w:val="none"/>
        </w:rPr>
        <w:t>条规定采购。经造价工程师确认的材料和工程设备价格与工程量清单中所列的暂估价的差额以及相应的规费、税金等其他费用，应列入合同价款。</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65.3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680" name="文本框 685"/>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文本框 685" o:spid="_x0000_s1026" o:spt="202" type="#_x0000_t202" style="position:absolute;left:0pt;margin-left:-18pt;margin-top:5.65pt;height:68pt;width:81pt;z-index:251945984;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N/+j9cA&#10;AAAKAQAADwAAAAAAAAABACAAAAAiAAAAZHJzL2Rvd25yZXYueG1sUEsBAhQAFAAAAAgAh07iQE+C&#10;oSquAQAAUgMAAA4AAAAAAAAAAQAgAAAAJg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ascii="仿宋" w:hAnsi="仿宋" w:eastAsia="仿宋" w:cs="仿宋"/>
          <w:color w:val="auto"/>
          <w:sz w:val="24"/>
          <w:szCs w:val="24"/>
          <w:highlight w:val="none"/>
        </w:rPr>
        <w:t>发包人在工程量清单中给定暂估价的专业工程，未达到依法必须招标的规模及标准的，除专用条款另有约定外，在合同双方当事人同意下，由造价工程师与分包人按照第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款规定确定专业工程款。经确认的专业工程款与工程量清单中所列的暂估价的差额以及相应的规费、税金等其他费用，应列入合同价款。</w:t>
      </w:r>
      <w:r>
        <w:rPr>
          <w:rFonts w:ascii="仿宋" w:hAnsi="仿宋" w:eastAsia="仿宋" w:cs="仿宋"/>
          <w:color w:val="auto"/>
          <w:sz w:val="24"/>
          <w:szCs w:val="24"/>
          <w:highlight w:val="none"/>
        </w:rPr>
        <w:t xml:space="preserve"> </w:t>
      </w:r>
    </w:p>
    <w:p>
      <w:pPr>
        <w:pStyle w:val="13"/>
        <w:tabs>
          <w:tab w:val="left" w:pos="3038"/>
        </w:tabs>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47" w:name="_Toc469384050"/>
      <w:bookmarkStart w:id="548" w:name="_Toc7597"/>
      <w:bookmarkStart w:id="549" w:name="_Toc19098"/>
      <w:bookmarkStart w:id="550" w:name="_Toc19502"/>
      <w:bookmarkStart w:id="551" w:name="_Toc25332"/>
      <w:bookmarkStart w:id="552" w:name="_Toc30049"/>
      <w:bookmarkStart w:id="553" w:name="_Toc10624890"/>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66  </w:t>
      </w:r>
      <w:r>
        <w:rPr>
          <w:rFonts w:hint="eastAsia" w:ascii="仿宋" w:hAnsi="仿宋" w:eastAsia="仿宋" w:cs="仿宋"/>
          <w:b/>
          <w:bCs/>
          <w:color w:val="auto"/>
          <w:sz w:val="24"/>
          <w:szCs w:val="24"/>
          <w:highlight w:val="none"/>
        </w:rPr>
        <w:t>提前竣工奖与误期赔偿费</w:t>
      </w:r>
      <w:bookmarkEnd w:id="547"/>
      <w:bookmarkEnd w:id="548"/>
      <w:bookmarkEnd w:id="549"/>
      <w:bookmarkEnd w:id="550"/>
      <w:bookmarkEnd w:id="551"/>
      <w:bookmarkEnd w:id="552"/>
      <w:bookmarkEnd w:id="553"/>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66.1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681" name="文本框 686"/>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upright="1"/>
                    </wps:wsp>
                  </a:graphicData>
                </a:graphic>
              </wp:anchor>
            </w:drawing>
          </mc:Choice>
          <mc:Fallback>
            <w:pict>
              <v:shape id="文本框 686" o:spid="_x0000_s1026" o:spt="202" type="#_x0000_t202" style="position:absolute;left:0pt;margin-left:-9pt;margin-top:2.4pt;height:31.9pt;width:81pt;z-index:251947008;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0RG9UA&#10;AAAIAQAADwAAAAAAAAABACAAAAAiAAAAZHJzL2Rvd25yZXYueG1sUEsBAhQAFAAAAAgAh07iQK3u&#10;UHqwAQAAUg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。提前竣工奖列入竣工结算文件中，与结算款一并支付。</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66.2  </w:t>
      </w:r>
      <w:r>
        <w:rPr>
          <w:rFonts w:ascii="仿宋" w:hAnsi="仿宋" w:eastAsia="仿宋" w:cs="仿宋"/>
          <w:b/>
          <w:bCs/>
          <w:color w:val="auto"/>
          <w:sz w:val="24"/>
          <w:szCs w:val="24"/>
          <w:highlight w:val="none"/>
          <w:u w:val="dotted"/>
        </w:rPr>
        <w:t xml:space="preserve">                                                                                                        </w:t>
      </w:r>
    </w:p>
    <w:p>
      <w:pPr>
        <w:pStyle w:val="13"/>
        <w:adjustRightInd w:val="0"/>
        <w:snapToGrid w:val="0"/>
        <w:spacing w:line="460" w:lineRule="exact"/>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682" name="文本框 687"/>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upright="1"/>
                    </wps:wsp>
                  </a:graphicData>
                </a:graphic>
              </wp:anchor>
            </w:drawing>
          </mc:Choice>
          <mc:Fallback>
            <w:pict>
              <v:shape id="文本框 687" o:spid="_x0000_s1026" o:spt="202" type="#_x0000_t202" style="position:absolute;left:0pt;margin-left:-9pt;margin-top:1.3pt;height:29.75pt;width:72pt;z-index:251948032;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NJKZ1AAA&#10;AAgBAAAPAAAAAAAAAAEAIAAAACIAAABkcnMvZG93bnJldi54bWxQSwECFAAUAAAACACHTuJA1VLq&#10;+rABAABRAwAADgAAAAAAAAABACAAAAAjAQAAZHJzL2Uyb0RvYy54bWxQSwUGAAAAAAYABgBZAQAA&#10;RQ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。误期赔偿费列入进度支付文件或竣工结算文件中，在进度款或结算款中扣除。</w:t>
      </w:r>
    </w:p>
    <w:p>
      <w:pPr>
        <w:pStyle w:val="13"/>
        <w:adjustRightInd w:val="0"/>
        <w:snapToGrid w:val="0"/>
        <w:spacing w:line="46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pPr>
        <w:pStyle w:val="13"/>
        <w:adjustRightInd w:val="0"/>
        <w:snapToGrid w:val="0"/>
        <w:spacing w:line="360" w:lineRule="auto"/>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outlineLvl w:val="2"/>
        <w:rPr>
          <w:rFonts w:ascii="仿宋" w:hAnsi="仿宋" w:eastAsia="仿宋" w:cs="Times New Roman"/>
          <w:b/>
          <w:bCs/>
          <w:color w:val="auto"/>
          <w:sz w:val="24"/>
          <w:szCs w:val="24"/>
          <w:highlight w:val="none"/>
        </w:rPr>
      </w:pPr>
      <w:bookmarkStart w:id="554" w:name="_Toc17619"/>
      <w:bookmarkStart w:id="555" w:name="_Toc30557"/>
      <w:bookmarkStart w:id="556" w:name="_Toc10624891"/>
      <w:bookmarkStart w:id="557" w:name="_Toc31364"/>
      <w:bookmarkStart w:id="558" w:name="_Toc7244"/>
      <w:bookmarkStart w:id="559" w:name="_Toc3861"/>
      <w:bookmarkStart w:id="560" w:name="_Toc469384051"/>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67  </w:t>
      </w:r>
      <w:r>
        <w:rPr>
          <w:rFonts w:hint="eastAsia" w:ascii="仿宋" w:hAnsi="仿宋" w:eastAsia="仿宋" w:cs="仿宋"/>
          <w:b/>
          <w:bCs/>
          <w:color w:val="auto"/>
          <w:sz w:val="24"/>
          <w:szCs w:val="24"/>
          <w:highlight w:val="none"/>
        </w:rPr>
        <w:t>工程优质费</w:t>
      </w:r>
      <w:bookmarkEnd w:id="554"/>
      <w:bookmarkEnd w:id="555"/>
      <w:bookmarkEnd w:id="556"/>
      <w:bookmarkEnd w:id="557"/>
      <w:bookmarkEnd w:id="558"/>
      <w:bookmarkEnd w:id="559"/>
      <w:bookmarkEnd w:id="560"/>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67.1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683" name="文本框 688"/>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upright="1"/>
                    </wps:wsp>
                  </a:graphicData>
                </a:graphic>
              </wp:anchor>
            </w:drawing>
          </mc:Choice>
          <mc:Fallback>
            <w:pict>
              <v:shape id="文本框 688" o:spid="_x0000_s1026" o:spt="202" type="#_x0000_t202" style="position:absolute;left:0pt;margin-left:-9pt;margin-top:2.4pt;height:41.3pt;width:81pt;z-index:251949056;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Xf1wNQA&#10;AAAIAQAADwAAAAAAAAABACAAAAAiAAAAZHJzL2Rvd25yZXYueG1sUEsBAhQAFAAAAAgAh07iQM6B&#10;N6axAQAAUgMAAA4AAAAAAAAAAQAgAAAAIw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ascii="仿宋" w:hAnsi="仿宋" w:eastAsia="仿宋" w:cs="仿宋"/>
          <w:color w:val="auto"/>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pPr>
        <w:pStyle w:val="13"/>
        <w:adjustRightInd w:val="0"/>
        <w:snapToGrid w:val="0"/>
        <w:spacing w:line="48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684" name="文本框 689"/>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upright="1"/>
                    </wps:wsp>
                  </a:graphicData>
                </a:graphic>
              </wp:anchor>
            </w:drawing>
          </mc:Choice>
          <mc:Fallback>
            <w:pict>
              <v:shape id="文本框 689" o:spid="_x0000_s1026" o:spt="202" type="#_x0000_t202" style="position:absolute;left:0pt;margin-left:-9pt;margin-top:18.45pt;height:48.9pt;width:72pt;z-index:251950080;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O89&#10;bNgAAAAKAQAADwAAAAAAAAABACAAAAAiAAAAZHJzL2Rvd25yZXYueG1sUEsBAhQAFAAAAAgAh07i&#10;QHIqBX+wAQAAUQMAAA4AAAAAAAAAAQAgAAAAJwEAAGRycy9lMm9Eb2MueG1sUEsFBgAAAAAGAAYA&#10;WQEAAEk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ascii="仿宋" w:hAnsi="仿宋" w:eastAsia="仿宋" w:cs="仿宋"/>
          <w:b/>
          <w:bCs/>
          <w:color w:val="auto"/>
          <w:sz w:val="24"/>
          <w:szCs w:val="24"/>
          <w:highlight w:val="none"/>
        </w:rPr>
        <w:t xml:space="preserve">67.2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条款另有约定外，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当合同工程同时获得上述多个奖项的，工程优质费只按最高奖项的额度计算。工程优质费列入竣工结算文件中，与竣工结算款一并支付。在竣工结算后获得优质奖项的，发包人应在获得奖项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w:t>
      </w:r>
    </w:p>
    <w:p>
      <w:pPr>
        <w:pStyle w:val="13"/>
        <w:adjustRightInd w:val="0"/>
        <w:snapToGrid w:val="0"/>
        <w:spacing w:line="240" w:lineRule="exact"/>
        <w:jc w:val="left"/>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61" w:name="_Toc9270"/>
      <w:bookmarkStart w:id="562" w:name="_Toc10624892"/>
      <w:bookmarkStart w:id="563" w:name="_Toc16024"/>
      <w:bookmarkStart w:id="564" w:name="_Toc1813"/>
      <w:bookmarkStart w:id="565" w:name="_Toc8103"/>
      <w:bookmarkStart w:id="566" w:name="_Toc469384052"/>
      <w:bookmarkStart w:id="567" w:name="_Toc2899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68  </w:t>
      </w:r>
      <w:r>
        <w:rPr>
          <w:rFonts w:hint="eastAsia" w:ascii="仿宋" w:hAnsi="仿宋" w:eastAsia="仿宋" w:cs="仿宋"/>
          <w:b/>
          <w:bCs/>
          <w:color w:val="auto"/>
          <w:sz w:val="24"/>
          <w:szCs w:val="24"/>
          <w:highlight w:val="none"/>
        </w:rPr>
        <w:t>合同价款的约定与调整</w:t>
      </w:r>
      <w:bookmarkEnd w:id="561"/>
      <w:bookmarkEnd w:id="562"/>
      <w:bookmarkEnd w:id="563"/>
      <w:bookmarkEnd w:id="564"/>
      <w:bookmarkEnd w:id="565"/>
      <w:bookmarkEnd w:id="566"/>
      <w:bookmarkEnd w:id="567"/>
    </w:p>
    <w:p>
      <w:pPr>
        <w:pStyle w:val="13"/>
        <w:adjustRightInd w:val="0"/>
        <w:snapToGrid w:val="0"/>
        <w:spacing w:line="360" w:lineRule="auto"/>
        <w:ind w:left="1446" w:hanging="1446" w:hangingChars="600"/>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68.1       </w:t>
      </w:r>
    </w:p>
    <w:p>
      <w:pPr>
        <w:pStyle w:val="13"/>
        <w:adjustRightInd w:val="0"/>
        <w:snapToGrid w:val="0"/>
        <w:spacing w:line="480" w:lineRule="auto"/>
        <w:ind w:left="1438" w:leftChars="685" w:firstLine="25" w:firstLineChars="1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685" name="文本框 690"/>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upright="1"/>
                    </wps:wsp>
                  </a:graphicData>
                </a:graphic>
              </wp:anchor>
            </w:drawing>
          </mc:Choice>
          <mc:Fallback>
            <w:pict>
              <v:shape id="文本框 690" o:spid="_x0000_s1026" o:spt="202" type="#_x0000_t202" style="position:absolute;left:0pt;margin-left:-9pt;margin-top:4.5pt;height:24.65pt;width:79.5pt;z-index:251951104;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lVkIb1QAA&#10;AAgBAAAPAAAAAAAAAAEAIAAAACIAAABkcnMvZG93bnJldi54bWxQSwECFAAUAAAACACHTuJAxTMx&#10;qK8BAABSAwAADgAAAAAAAAABACAAAAAkAQAAZHJzL2Uyb0RvYy54bWxQSwUGAAAAAAYABgBZAQAA&#10;RQ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ascii="仿宋" w:hAnsi="仿宋" w:eastAsia="仿宋" w:cs="仿宋"/>
          <w:color w:val="auto"/>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pPr>
        <w:pStyle w:val="13"/>
        <w:adjustRightInd w:val="0"/>
        <w:snapToGrid w:val="0"/>
        <w:spacing w:line="480" w:lineRule="auto"/>
        <w:rPr>
          <w:rFonts w:ascii="仿宋" w:hAnsi="仿宋" w:eastAsia="仿宋" w:cs="仿宋"/>
          <w:color w:val="auto"/>
          <w:sz w:val="24"/>
          <w:szCs w:val="24"/>
          <w:highlight w:val="none"/>
          <w:u w:val="dotted"/>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686" name="文本框 691"/>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pPr>
                              <w:pStyle w:val="10"/>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upright="1"/>
                    </wps:wsp>
                  </a:graphicData>
                </a:graphic>
              </wp:anchor>
            </w:drawing>
          </mc:Choice>
          <mc:Fallback>
            <w:pict>
              <v:shape id="文本框 691" o:spid="_x0000_s1026" o:spt="202" type="#_x0000_t202" style="position:absolute;left:0pt;margin-left:-14.05pt;margin-top:17.3pt;height:38.05pt;width:57.2pt;z-index:251952128;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IsXW&#10;1wAAAAkBAAAPAAAAAAAAAAEAIAAAACIAAABkcnMvZG93bnJldi54bWxQSwECFAAUAAAACACHTuJA&#10;KrmIkrABAABRAwAADgAAAAAAAAABACAAAAAmAQAAZHJzL2Uyb0RvYy54bWxQSwUGAAAAAAYABgBZ&#10;AQAASAUAAAAA&#10;">
                <v:fill on="f" focussize="0,0"/>
                <v:stroke on="f"/>
                <v:imagedata o:title=""/>
                <o:lock v:ext="edit" aspectratio="f"/>
                <v:textbox>
                  <w:txbxContent>
                    <w:p>
                      <w:pPr>
                        <w:pStyle w:val="10"/>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ascii="仿宋" w:hAnsi="仿宋" w:eastAsia="仿宋" w:cs="仿宋"/>
          <w:color w:val="auto"/>
          <w:sz w:val="24"/>
          <w:szCs w:val="24"/>
          <w:highlight w:val="none"/>
        </w:rPr>
        <w:t xml:space="preserve">68.2  </w:t>
      </w:r>
      <w:r>
        <w:rPr>
          <w:rFonts w:ascii="仿宋" w:hAnsi="仿宋" w:eastAsia="仿宋" w:cs="仿宋"/>
          <w:color w:val="auto"/>
          <w:sz w:val="24"/>
          <w:szCs w:val="24"/>
          <w:highlight w:val="none"/>
          <w:u w:val="dotted"/>
        </w:rPr>
        <w:t xml:space="preserve">                                                                                 </w:t>
      </w:r>
    </w:p>
    <w:p>
      <w:pPr>
        <w:pStyle w:val="13"/>
        <w:adjustRightInd w:val="0"/>
        <w:snapToGrid w:val="0"/>
        <w:spacing w:line="480" w:lineRule="auto"/>
        <w:ind w:left="1438" w:leftChars="685" w:firstLine="28" w:firstLineChars="1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下列各种确定合同价款的方式，双方可在专用条款内约定采用其中一种：</w:t>
      </w:r>
    </w:p>
    <w:p>
      <w:pPr>
        <w:pStyle w:val="13"/>
        <w:adjustRightInd w:val="0"/>
        <w:snapToGrid w:val="0"/>
        <w:spacing w:line="480" w:lineRule="auto"/>
        <w:ind w:left="1535" w:hanging="1535" w:hangingChars="637"/>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总价合同</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ascii="仿宋" w:hAnsi="仿宋" w:eastAsia="仿宋" w:cs="仿宋"/>
          <w:color w:val="auto"/>
          <w:sz w:val="24"/>
          <w:szCs w:val="24"/>
          <w:highlight w:val="none"/>
        </w:rPr>
        <w:t>。</w:t>
      </w:r>
    </w:p>
    <w:p>
      <w:pPr>
        <w:pStyle w:val="13"/>
        <w:adjustRightInd w:val="0"/>
        <w:snapToGrid w:val="0"/>
        <w:spacing w:line="480" w:lineRule="auto"/>
        <w:ind w:left="1401" w:leftChars="66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单价合同</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ascii="仿宋" w:hAnsi="仿宋" w:eastAsia="仿宋" w:cs="仿宋"/>
          <w:color w:val="auto"/>
          <w:sz w:val="24"/>
          <w:szCs w:val="24"/>
          <w:highlight w:val="none"/>
        </w:rPr>
        <w:t>。</w:t>
      </w:r>
    </w:p>
    <w:p>
      <w:pPr>
        <w:spacing w:line="480" w:lineRule="auto"/>
        <w:ind w:left="1535" w:leftChars="674" w:hanging="120" w:hangingChars="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（3）按实结算</w:t>
      </w:r>
      <w:r>
        <w:rPr>
          <w:rFonts w:ascii="仿宋" w:hAnsi="仿宋" w:eastAsia="仿宋" w:cs="仿宋"/>
          <w:color w:val="auto"/>
          <w:sz w:val="24"/>
          <w:szCs w:val="24"/>
          <w:highlight w:val="none"/>
        </w:rPr>
        <w:t>合同</w:t>
      </w:r>
      <w:r>
        <w:rPr>
          <w:rFonts w:hint="eastAsia" w:ascii="仿宋" w:hAnsi="仿宋" w:eastAsia="仿宋" w:cs="仿宋"/>
          <w:color w:val="auto"/>
          <w:sz w:val="24"/>
          <w:szCs w:val="24"/>
          <w:highlight w:val="none"/>
        </w:rPr>
        <w:t>。承包方根据相关资料编制预算，合同价款是暂定价，双方在专用条款内</w:t>
      </w:r>
      <w:r>
        <w:rPr>
          <w:rFonts w:ascii="仿宋" w:hAnsi="仿宋" w:eastAsia="仿宋" w:cs="仿宋"/>
          <w:color w:val="auto"/>
          <w:sz w:val="24"/>
          <w:szCs w:val="24"/>
          <w:highlight w:val="none"/>
        </w:rPr>
        <w:t>约定</w:t>
      </w:r>
      <w:r>
        <w:rPr>
          <w:rFonts w:hint="eastAsia" w:ascii="仿宋" w:hAnsi="仿宋" w:eastAsia="仿宋" w:cs="仿宋"/>
          <w:color w:val="auto"/>
          <w:sz w:val="24"/>
          <w:szCs w:val="24"/>
          <w:highlight w:val="none"/>
        </w:rPr>
        <w:t>合同价款调整方法</w:t>
      </w:r>
      <w:r>
        <w:rPr>
          <w:rFonts w:ascii="仿宋" w:hAnsi="仿宋" w:eastAsia="仿宋" w:cs="仿宋"/>
          <w:color w:val="auto"/>
          <w:sz w:val="24"/>
          <w:szCs w:val="24"/>
          <w:highlight w:val="none"/>
        </w:rPr>
        <w:t>。</w:t>
      </w:r>
    </w:p>
    <w:p>
      <w:pPr>
        <w:pStyle w:val="13"/>
        <w:adjustRightInd w:val="0"/>
        <w:snapToGrid w:val="0"/>
        <w:spacing w:line="480" w:lineRule="auto"/>
        <w:ind w:left="1401" w:leftChars="66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ascii="仿宋" w:hAnsi="仿宋" w:eastAsia="仿宋" w:cs="仿宋"/>
          <w:color w:val="auto"/>
          <w:sz w:val="24"/>
          <w:szCs w:val="24"/>
          <w:highlight w:val="none"/>
        </w:rPr>
        <w:t>其它价格形式</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合同当事人可在专用条款中约定其他合同价格形式。</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68.3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687" name="文本框 692"/>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upright="1"/>
                    </wps:wsp>
                  </a:graphicData>
                </a:graphic>
              </wp:anchor>
            </w:drawing>
          </mc:Choice>
          <mc:Fallback>
            <w:pict>
              <v:shape id="文本框 692"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O4a/vTAAAA&#10;BwEAAA8AAAAAAAAAAQAgAAAAIgAAAGRycy9kb3ducmV2LnhtbFBLAQIUABQAAAAIAIdO4kA/8QwX&#10;sAEAAFEDAAAOAAAAAAAAAAEAIAAAACI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ascii="仿宋" w:hAnsi="仿宋" w:eastAsia="仿宋" w:cs="仿宋"/>
          <w:b/>
          <w:bCs/>
          <w:color w:val="auto"/>
          <w:sz w:val="24"/>
          <w:szCs w:val="24"/>
          <w:highlight w:val="none"/>
        </w:rPr>
        <w:t>合同双方当事人应明确合同价款的调整事件。除专用条款另有约定外，调整事件应包括：</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后继法律变化事件；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项目特征描述不符事件；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分部分项工程量清单缺项漏项事件；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工程变更事件；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工程量偏差事件；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费用索赔事件；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现场签证事件；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物价涨落事件；</w:t>
      </w:r>
    </w:p>
    <w:p>
      <w:pPr>
        <w:pStyle w:val="13"/>
        <w:numPr>
          <w:ilvl w:val="0"/>
          <w:numId w:val="25"/>
        </w:numPr>
        <w:adjustRightInd w:val="0"/>
        <w:snapToGrid w:val="0"/>
        <w:spacing w:line="360" w:lineRule="auto"/>
        <w:ind w:firstLine="42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专用条款约定的其他事件。</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本款</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至</w:t>
      </w: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调整事件应分别按照第</w:t>
      </w:r>
      <w:r>
        <w:rPr>
          <w:rFonts w:ascii="仿宋" w:hAnsi="仿宋" w:eastAsia="仿宋" w:cs="仿宋"/>
          <w:color w:val="auto"/>
          <w:sz w:val="24"/>
          <w:szCs w:val="24"/>
          <w:highlight w:val="none"/>
        </w:rPr>
        <w:t>69</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条的规定调整合同价款。</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68.4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688" name="文本框 693"/>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pPr>
                              <w:pStyle w:val="10"/>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wps:txbx>
                      <wps:bodyPr upright="1"/>
                    </wps:wsp>
                  </a:graphicData>
                </a:graphic>
              </wp:anchor>
            </w:drawing>
          </mc:Choice>
          <mc:Fallback>
            <w:pict>
              <v:shape id="文本框 693" o:spid="_x0000_s1026" o:spt="202" type="#_x0000_t202" style="position:absolute;left:0pt;margin-left:-9pt;margin-top:0.4pt;height:41.05pt;width:72pt;z-index:25195417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O4a/vTAAAA&#10;BwEAAA8AAAAAAAAAAQAgAAAAIgAAAGRycy9kb3ducmV2LnhtbFBLAQIUABQAAAAIAIdO4kBdwW42&#10;sAEAAFEDAAAOAAAAAAAAAAEAIAAAACIBAABkcnMvZTJvRG9jLnhtbFBLBQYAAAAABgAGAFkBAABE&#10;BQAAAAA=&#10;">
                <v:fill on="f" focussize="0,0"/>
                <v:stroke on="f"/>
                <v:imagedata o:title=""/>
                <o:lock v:ext="edit" aspectratio="f"/>
                <v:textbox>
                  <w:txbxContent>
                    <w:p>
                      <w:pPr>
                        <w:pStyle w:val="10"/>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ascii="仿宋" w:hAnsi="仿宋" w:eastAsia="仿宋" w:cs="仿宋"/>
          <w:color w:val="auto"/>
          <w:sz w:val="24"/>
          <w:szCs w:val="24"/>
          <w:highlight w:val="none"/>
        </w:rPr>
        <w:t>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款规定调整合同价款事件的，合同双方当事人应调整合同价款。除费用索赔、现场签证事件分别按照第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条规定外，调整合同价款的提出、核实、确认与支付等事项，由合同双方当事人按照第</w:t>
      </w:r>
      <w:r>
        <w:rPr>
          <w:rFonts w:ascii="仿宋" w:hAnsi="仿宋" w:eastAsia="仿宋" w:cs="仿宋"/>
          <w:color w:val="auto"/>
          <w:sz w:val="24"/>
          <w:szCs w:val="24"/>
          <w:highlight w:val="none"/>
        </w:rPr>
        <w:t>77</w:t>
      </w:r>
      <w:r>
        <w:rPr>
          <w:rFonts w:hint="eastAsia" w:ascii="仿宋" w:hAnsi="仿宋" w:eastAsia="仿宋" w:cs="仿宋"/>
          <w:color w:val="auto"/>
          <w:sz w:val="24"/>
          <w:szCs w:val="24"/>
          <w:highlight w:val="none"/>
        </w:rPr>
        <w:t>条规定办理。</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款规定事件调整合同价款，如果是按照第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条规定由发包人自行供应或发包人招标、承包人采购材料和工程设备的，均不应考虑第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款规定的承包人报价下浮率因素。</w:t>
      </w:r>
    </w:p>
    <w:p>
      <w:pPr>
        <w:pStyle w:val="13"/>
        <w:tabs>
          <w:tab w:val="left" w:pos="3480"/>
        </w:tabs>
        <w:adjustRightInd w:val="0"/>
        <w:snapToGrid w:val="0"/>
        <w:spacing w:line="36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color w:val="auto"/>
          <w:sz w:val="24"/>
          <w:szCs w:val="24"/>
          <w:highlight w:val="none"/>
        </w:rPr>
      </w:pPr>
      <w:bookmarkStart w:id="568" w:name="_Toc20330"/>
      <w:bookmarkStart w:id="569" w:name="_Toc469384053"/>
      <w:bookmarkStart w:id="570" w:name="_Toc8095"/>
      <w:bookmarkStart w:id="571" w:name="_Toc10624893"/>
      <w:bookmarkStart w:id="572" w:name="_Toc2840"/>
      <w:bookmarkStart w:id="573" w:name="_Toc5696"/>
      <w:bookmarkStart w:id="574" w:name="_Toc11297"/>
      <w:r>
        <w:rPr>
          <w:rFonts w:hint="eastAsia" w:ascii="仿宋" w:hAnsi="仿宋" w:eastAsia="仿宋" w:cs="仿宋"/>
          <w:b w:val="0"/>
          <w:bCs w:val="0"/>
          <w:color w:val="auto"/>
          <w:sz w:val="24"/>
          <w:szCs w:val="24"/>
          <w:highlight w:val="none"/>
        </w:rPr>
        <w:t>★</w:t>
      </w:r>
      <w:r>
        <w:rPr>
          <w:rFonts w:ascii="仿宋" w:hAnsi="仿宋" w:eastAsia="仿宋" w:cs="仿宋"/>
          <w:color w:val="auto"/>
          <w:sz w:val="24"/>
          <w:szCs w:val="24"/>
          <w:highlight w:val="none"/>
        </w:rPr>
        <w:t xml:space="preserve">69  </w:t>
      </w:r>
      <w:r>
        <w:rPr>
          <w:rFonts w:hint="eastAsia" w:ascii="仿宋" w:hAnsi="仿宋" w:eastAsia="仿宋" w:cs="仿宋"/>
          <w:color w:val="auto"/>
          <w:sz w:val="24"/>
          <w:szCs w:val="24"/>
          <w:highlight w:val="none"/>
        </w:rPr>
        <w:t>后继法律变化事件</w:t>
      </w:r>
      <w:bookmarkEnd w:id="568"/>
      <w:bookmarkEnd w:id="569"/>
      <w:bookmarkEnd w:id="570"/>
      <w:bookmarkEnd w:id="571"/>
      <w:bookmarkEnd w:id="572"/>
      <w:bookmarkEnd w:id="573"/>
      <w:bookmarkEnd w:id="574"/>
    </w:p>
    <w:p>
      <w:pPr>
        <w:pStyle w:val="13"/>
        <w:adjustRightInd w:val="0"/>
        <w:snapToGrid w:val="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689" name="文本框 69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upright="1"/>
                    </wps:wsp>
                  </a:graphicData>
                </a:graphic>
              </wp:anchor>
            </w:drawing>
          </mc:Choice>
          <mc:Fallback>
            <w:pict>
              <v:shape id="文本框 694" o:spid="_x0000_s1026" o:spt="202" type="#_x0000_t202" style="position:absolute;left:0pt;margin-left:-10.5pt;margin-top:21.55pt;height:48.75pt;width:72pt;z-index:251955200;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92ABzX&#10;AAAACgEAAA8AAAAAAAAAAQAgAAAAIgAAAGRycy9kb3ducmV2LnhtbFBLAQIUABQAAAAIAIdO4kAb&#10;oD8NrwEAAFEDAAAOAAAAAAAAAAEAIAAAACY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ascii="仿宋" w:hAnsi="仿宋" w:eastAsia="仿宋" w:cs="仿宋"/>
          <w:b/>
          <w:bCs/>
          <w:color w:val="auto"/>
          <w:sz w:val="24"/>
          <w:szCs w:val="24"/>
          <w:highlight w:val="none"/>
        </w:rPr>
        <w:t xml:space="preserve">69.1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合同履行期间，出现国家或省颁布的法律和政策在合同工程基准日期后发生变化，且因执行上述法律和政策引起除第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条规定以外的工程造价增减事件的，合同双方当事人应调整合同价款。</w:t>
      </w:r>
    </w:p>
    <w:p>
      <w:pPr>
        <w:pStyle w:val="13"/>
        <w:tabs>
          <w:tab w:val="left" w:pos="540"/>
        </w:tabs>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69.2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690" name="文本框 69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upright="1"/>
                    </wps:wsp>
                  </a:graphicData>
                </a:graphic>
              </wp:anchor>
            </w:drawing>
          </mc:Choice>
          <mc:Fallback>
            <w:pict>
              <v:shape id="文本框 695" o:spid="_x0000_s1026" o:spt="202" type="#_x0000_t202" style="position:absolute;left:0pt;margin-left:-9pt;margin-top:1.25pt;height:48.75pt;width:72pt;z-index:25195622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PIDAfVAAAA&#10;CQEAAA8AAAAAAAAAAQAgAAAAIgAAAGRycy9kb3ducmV2LnhtbFBLAQIUABQAAAAIAIdO4kAj3aza&#10;rgEAAFEDAAAOAAAAAAAAAAEAIAAAACQ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rPr>
        <w:t>发生第</w:t>
      </w:r>
      <w:r>
        <w:rPr>
          <w:rFonts w:ascii="仿宋" w:hAnsi="仿宋" w:eastAsia="仿宋" w:cs="仿宋"/>
          <w:color w:val="auto"/>
          <w:sz w:val="24"/>
          <w:szCs w:val="24"/>
          <w:highlight w:val="none"/>
        </w:rPr>
        <w:t>69.1</w:t>
      </w:r>
      <w:r>
        <w:rPr>
          <w:rFonts w:hint="eastAsia" w:ascii="仿宋" w:hAnsi="仿宋" w:eastAsia="仿宋" w:cs="仿宋"/>
          <w:color w:val="auto"/>
          <w:sz w:val="24"/>
          <w:szCs w:val="24"/>
          <w:highlight w:val="none"/>
        </w:rPr>
        <w:t>款情况的，应根据合同工程实际情况，按照上述法律和政策规定计算调整的合同价款。</w:t>
      </w:r>
    </w:p>
    <w:p>
      <w:pPr>
        <w:tabs>
          <w:tab w:val="left" w:pos="1620"/>
        </w:tabs>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b w:val="0"/>
          <w:bCs w:val="0"/>
          <w:color w:val="auto"/>
          <w:sz w:val="24"/>
          <w:szCs w:val="24"/>
          <w:highlight w:val="none"/>
        </w:rPr>
      </w:pPr>
      <w:bookmarkStart w:id="575" w:name="_Toc13136"/>
      <w:bookmarkStart w:id="576" w:name="_Toc18051"/>
      <w:bookmarkStart w:id="577" w:name="_Toc16196"/>
      <w:bookmarkStart w:id="578" w:name="_Toc31018"/>
      <w:bookmarkStart w:id="579" w:name="_Toc10624894"/>
      <w:bookmarkStart w:id="580" w:name="_Toc469384054"/>
      <w:bookmarkStart w:id="581" w:name="_Toc24692"/>
      <w:r>
        <w:rPr>
          <w:rFonts w:hint="eastAsia" w:ascii="仿宋" w:hAnsi="仿宋" w:eastAsia="仿宋" w:cs="仿宋"/>
          <w:b w:val="0"/>
          <w:bCs w:val="0"/>
          <w:color w:val="auto"/>
          <w:sz w:val="24"/>
          <w:szCs w:val="24"/>
          <w:highlight w:val="none"/>
        </w:rPr>
        <w:t>★</w:t>
      </w:r>
      <w:r>
        <w:rPr>
          <w:rFonts w:ascii="仿宋" w:hAnsi="仿宋" w:eastAsia="仿宋" w:cs="仿宋"/>
          <w:bCs w:val="0"/>
          <w:color w:val="auto"/>
          <w:sz w:val="24"/>
          <w:szCs w:val="24"/>
          <w:highlight w:val="none"/>
        </w:rPr>
        <w:t xml:space="preserve">70  </w:t>
      </w:r>
      <w:r>
        <w:rPr>
          <w:rFonts w:hint="eastAsia" w:ascii="仿宋" w:hAnsi="仿宋" w:eastAsia="仿宋" w:cs="仿宋"/>
          <w:bCs w:val="0"/>
          <w:color w:val="auto"/>
          <w:sz w:val="24"/>
          <w:szCs w:val="24"/>
          <w:highlight w:val="none"/>
        </w:rPr>
        <w:t>项目特征描述不符事件</w:t>
      </w:r>
      <w:bookmarkEnd w:id="575"/>
      <w:bookmarkEnd w:id="576"/>
      <w:bookmarkEnd w:id="577"/>
      <w:bookmarkEnd w:id="578"/>
      <w:bookmarkEnd w:id="579"/>
      <w:bookmarkEnd w:id="580"/>
      <w:bookmarkEnd w:id="581"/>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70.1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691" name="文本框 69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upright="1"/>
                    </wps:wsp>
                  </a:graphicData>
                </a:graphic>
              </wp:anchor>
            </w:drawing>
          </mc:Choice>
          <mc:Fallback>
            <w:pict>
              <v:shape id="文本框 696" o:spid="_x0000_s1026" o:spt="202" type="#_x0000_t202" style="position:absolute;left:0pt;margin-left:-9pt;margin-top:2.7pt;height:48.75pt;width:72pt;z-index:251957248;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ySmF1gAA&#10;AAkBAAAPAAAAAAAAAAEAIAAAACIAAABkcnMvZG93bnJldi54bWxQSwECFAAUAAAACACHTuJAHJOB&#10;zK4BAABRAwAADgAAAAAAAAABACAAAAAlAQAAZHJzL2Uyb0RvYy54bWxQSwUGAAAAAAYABgBZAQAA&#10;RQ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ascii="仿宋" w:hAnsi="仿宋" w:eastAsia="仿宋" w:cs="仿宋"/>
          <w:color w:val="auto"/>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70.2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692" name="文本框 69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23"/>
                              <w:spacing w:line="200" w:lineRule="exact"/>
                              <w:rPr>
                                <w:sz w:val="18"/>
                                <w:szCs w:val="18"/>
                              </w:rPr>
                            </w:pPr>
                          </w:p>
                        </w:txbxContent>
                      </wps:txbx>
                      <wps:bodyPr upright="1"/>
                    </wps:wsp>
                  </a:graphicData>
                </a:graphic>
              </wp:anchor>
            </w:drawing>
          </mc:Choice>
          <mc:Fallback>
            <w:pict>
              <v:shape id="文本框 697"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53/+R1AAA&#10;AAcBAAAPAAAAAAAAAAEAIAAAACIAAABkcnMvZG93bnJldi54bWxQSwECFAAUAAAACACHTuJAJCkg&#10;UbABAABRAwAADgAAAAAAAAABACAAAAAjAQAAZHJzL2Uyb0RvYy54bWxQSwUGAAAAAAYABgBZAQAA&#10;RQ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pPr>
                        <w:pStyle w:val="23"/>
                        <w:spacing w:line="200" w:lineRule="exact"/>
                        <w:rPr>
                          <w:sz w:val="18"/>
                          <w:szCs w:val="18"/>
                        </w:rPr>
                      </w:pPr>
                    </w:p>
                  </w:txbxContent>
                </v:textbox>
              </v:shape>
            </w:pict>
          </mc:Fallback>
        </mc:AlternateContent>
      </w:r>
      <w:r>
        <w:rPr>
          <w:rFonts w:hint="eastAsia" w:ascii="仿宋" w:hAnsi="仿宋" w:eastAsia="仿宋" w:cs="仿宋"/>
          <w:color w:val="auto"/>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pPr>
        <w:pStyle w:val="13"/>
        <w:adjustRightInd w:val="0"/>
        <w:snapToGrid w:val="0"/>
        <w:spacing w:line="48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70.3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693" name="文本框 698"/>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0"/>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23"/>
                              <w:spacing w:line="200" w:lineRule="exact"/>
                              <w:rPr>
                                <w:sz w:val="18"/>
                                <w:szCs w:val="18"/>
                              </w:rPr>
                            </w:pPr>
                          </w:p>
                        </w:txbxContent>
                      </wps:txbx>
                      <wps:bodyPr upright="1"/>
                    </wps:wsp>
                  </a:graphicData>
                </a:graphic>
              </wp:anchor>
            </w:drawing>
          </mc:Choice>
          <mc:Fallback>
            <w:pict>
              <v:shape id="文本框 698" o:spid="_x0000_s1026" o:spt="202" type="#_x0000_t202" style="position:absolute;left:0pt;margin-left:-9pt;margin-top:0.45pt;height:48.75pt;width:72pt;z-index:251959296;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53/+R1AAA&#10;AAcBAAAPAAAAAAAAAAEAIAAAACIAAABkcnMvZG93bnJldi54bWxQSwECFAAUAAAACACHTuJA0dkG&#10;dLABAABRAwAADgAAAAAAAAABACAAAAAjAQAAZHJzL2Uyb0RvYy54bWxQSwUGAAAAAAYABgBZAQAA&#10;RQUAAAAA&#10;">
                <v:fill on="f" focussize="0,0"/>
                <v:stroke on="f"/>
                <v:imagedata o:title=""/>
                <o:lock v:ext="edit" aspectratio="f"/>
                <v:textbox>
                  <w:txbxContent>
                    <w:p>
                      <w:pPr>
                        <w:pStyle w:val="10"/>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pPr>
                        <w:pStyle w:val="23"/>
                        <w:spacing w:line="200" w:lineRule="exact"/>
                        <w:rPr>
                          <w:sz w:val="18"/>
                          <w:szCs w:val="18"/>
                        </w:rPr>
                      </w:pPr>
                    </w:p>
                  </w:txbxContent>
                </v:textbox>
              </v:shape>
            </w:pict>
          </mc:Fallback>
        </mc:AlternateContent>
      </w:r>
      <w:r>
        <w:rPr>
          <w:rFonts w:hint="eastAsia" w:ascii="仿宋" w:hAnsi="仿宋" w:eastAsia="仿宋" w:cs="仿宋"/>
          <w:color w:val="auto"/>
          <w:sz w:val="24"/>
          <w:szCs w:val="24"/>
          <w:highlight w:val="none"/>
        </w:rPr>
        <w:t>发生第</w:t>
      </w:r>
      <w:r>
        <w:rPr>
          <w:rFonts w:ascii="仿宋" w:hAnsi="仿宋" w:eastAsia="仿宋" w:cs="仿宋"/>
          <w:color w:val="auto"/>
          <w:sz w:val="24"/>
          <w:szCs w:val="24"/>
          <w:highlight w:val="none"/>
        </w:rPr>
        <w:t>70.2</w:t>
      </w:r>
      <w:r>
        <w:rPr>
          <w:rFonts w:hint="eastAsia" w:ascii="仿宋" w:hAnsi="仿宋" w:eastAsia="仿宋" w:cs="仿宋"/>
          <w:color w:val="auto"/>
          <w:sz w:val="24"/>
          <w:szCs w:val="24"/>
          <w:highlight w:val="none"/>
        </w:rPr>
        <w:t>款情况的，应按照实际施工的项目特征重新确定相应工程量清单项目的综合单价，计算调整的合同价款。</w:t>
      </w:r>
    </w:p>
    <w:p>
      <w:pPr>
        <w:pStyle w:val="13"/>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outlineLvl w:val="2"/>
        <w:rPr>
          <w:rFonts w:ascii="仿宋" w:hAnsi="仿宋" w:eastAsia="仿宋" w:cs="Times New Roman"/>
          <w:color w:val="auto"/>
          <w:sz w:val="24"/>
          <w:szCs w:val="24"/>
          <w:highlight w:val="none"/>
        </w:rPr>
      </w:pPr>
      <w:bookmarkStart w:id="582" w:name="_Toc29361"/>
      <w:bookmarkStart w:id="583" w:name="_Toc896"/>
      <w:bookmarkStart w:id="584" w:name="_Toc6100"/>
      <w:bookmarkStart w:id="585" w:name="_Toc28056"/>
      <w:bookmarkStart w:id="586" w:name="_Toc17880"/>
      <w:bookmarkStart w:id="587" w:name="_Toc10624895"/>
      <w:bookmarkStart w:id="588" w:name="_Toc469384055"/>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71  </w:t>
      </w:r>
      <w:r>
        <w:rPr>
          <w:rFonts w:hint="eastAsia" w:ascii="仿宋" w:hAnsi="仿宋" w:eastAsia="仿宋" w:cs="仿宋"/>
          <w:b/>
          <w:bCs/>
          <w:color w:val="auto"/>
          <w:sz w:val="24"/>
          <w:szCs w:val="24"/>
          <w:highlight w:val="none"/>
        </w:rPr>
        <w:t>分部分项工程量清单缺项漏项事件</w:t>
      </w:r>
      <w:bookmarkEnd w:id="582"/>
      <w:bookmarkEnd w:id="583"/>
      <w:bookmarkEnd w:id="584"/>
      <w:bookmarkEnd w:id="585"/>
      <w:bookmarkEnd w:id="586"/>
      <w:bookmarkEnd w:id="587"/>
      <w:bookmarkEnd w:id="588"/>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71.1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694" name="文本框 69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upright="1"/>
                    </wps:wsp>
                  </a:graphicData>
                </a:graphic>
              </wp:anchor>
            </w:drawing>
          </mc:Choice>
          <mc:Fallback>
            <w:pict>
              <v:shape id="文本框 699" o:spid="_x0000_s1026" o:spt="202" type="#_x0000_t202" style="position:absolute;left:0pt;margin-left:-10.5pt;margin-top:0.5pt;height:54.5pt;width:72pt;z-index:251960320;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ZN4w1AAA&#10;AAkBAAAPAAAAAAAAAAEAIAAAACIAAABkcnMvZG93bnJldi54bWxQSwECFAAUAAAACACHTuJA8OXJ&#10;j7ABAABRAwAADgAAAAAAAAABACAAAAAjAQAAZHJzL2Uyb0RvYy54bWxQSwUGAAAAAAYABgBZAQAA&#10;RQ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695" name="文本框 70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rPr>
                                <w:rFonts w:cs="Times New Roman"/>
                              </w:rPr>
                            </w:pPr>
                          </w:p>
                        </w:txbxContent>
                      </wps:txbx>
                      <wps:bodyPr upright="1"/>
                    </wps:wsp>
                  </a:graphicData>
                </a:graphic>
              </wp:anchor>
            </w:drawing>
          </mc:Choice>
          <mc:Fallback>
            <w:pict>
              <v:shape id="文本框 700" o:spid="_x0000_s1026" o:spt="202" type="#_x0000_t202" style="position:absolute;left:0pt;margin-left:-10.5pt;margin-top:0.5pt;height:54.6pt;width:72pt;z-index:251961344;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BiakTUAAAA&#10;CQEAAA8AAAAAAAAAAQAgAAAAIgAAAGRycy9kb3ducmV2LnhtbFBLAQIUABQAAAAIAIdO4kA/Me4N&#10;rwEAAFEDAAAOAAAAAAAAAAEAIAAAACMBAABkcnMvZTJvRG9jLnhtbFBLBQYAAAAABgAGAFkBAABE&#10;BQAAAAA=&#10;">
                <v:fill on="f" focussize="0,0"/>
                <v:stroke on="f"/>
                <v:imagedata o:title=""/>
                <o:lock v:ext="edit" aspectratio="f"/>
                <v:textbox>
                  <w:txbxContent>
                    <w:p>
                      <w:pPr>
                        <w:rPr>
                          <w:rFonts w:cs="Times New Roman"/>
                        </w:rPr>
                      </w:pPr>
                    </w:p>
                  </w:txbxContent>
                </v:textbox>
              </v:shape>
            </w:pict>
          </mc:Fallback>
        </mc:AlternateContent>
      </w:r>
      <w:r>
        <w:rPr>
          <w:rFonts w:hint="eastAsia" w:ascii="仿宋" w:hAnsi="仿宋" w:eastAsia="仿宋" w:cs="仿宋"/>
          <w:color w:val="auto"/>
          <w:sz w:val="24"/>
          <w:szCs w:val="24"/>
          <w:highlight w:val="none"/>
        </w:rPr>
        <w:t>合同履行期间，出现工程量清单中分部分项工程缺项漏项事件的，合同双方当事人应调整合同价款。</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firstLine="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696" name="文本框 701"/>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rFonts w:cs="Times New Roman"/>
                                <w:sz w:val="18"/>
                                <w:szCs w:val="18"/>
                              </w:rPr>
                            </w:pPr>
                          </w:p>
                        </w:txbxContent>
                      </wps:txbx>
                      <wps:bodyPr upright="1"/>
                    </wps:wsp>
                  </a:graphicData>
                </a:graphic>
              </wp:anchor>
            </w:drawing>
          </mc:Choice>
          <mc:Fallback>
            <w:pict>
              <v:shape id="文本框 701" o:spid="_x0000_s1026" o:spt="202" type="#_x0000_t202" style="position:absolute;left:0pt;margin-left:-5.25pt;margin-top:0.7pt;height:54.5pt;width:72pt;z-index:251962368;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iKMt1AAA&#10;AAkBAAAPAAAAAAAAAAEAIAAAACIAAABkcnMvZG93bnJldi54bWxQSwECFAAUAAAACACHTuJA9Clp&#10;wrABAABRAwAADgAAAAAAAAABACAAAAAjAQAAZHJzL2Uyb0RvYy54bWxQSwUGAAAAAAYABgBZAQAA&#10;RQU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pPr>
                        <w:spacing w:line="240" w:lineRule="exact"/>
                        <w:rPr>
                          <w:rFonts w:cs="Times New Roman"/>
                          <w:sz w:val="18"/>
                          <w:szCs w:val="18"/>
                        </w:rPr>
                      </w:pPr>
                    </w:p>
                  </w:txbxContent>
                </v:textbox>
              </v:shape>
            </w:pict>
          </mc:Fallback>
        </mc:AlternateContent>
      </w:r>
      <w:r>
        <w:rPr>
          <w:rFonts w:hint="eastAsia" w:ascii="仿宋" w:hAnsi="仿宋" w:eastAsia="仿宋" w:cs="仿宋"/>
          <w:color w:val="auto"/>
          <w:sz w:val="24"/>
          <w:szCs w:val="24"/>
          <w:highlight w:val="none"/>
        </w:rPr>
        <w:t>工程量清单中分部分项工程出现缺项漏项，造成新增工程量清单项目的，应按照第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款规定计算调整的分部分项工程费。</w:t>
      </w:r>
    </w:p>
    <w:p>
      <w:pPr>
        <w:pStyle w:val="13"/>
        <w:tabs>
          <w:tab w:val="left" w:pos="540"/>
        </w:tabs>
        <w:adjustRightInd w:val="0"/>
        <w:snapToGrid w:val="0"/>
        <w:spacing w:before="312" w:beforeLines="100"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71.3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697" name="文本框 702"/>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rFonts w:cs="Times New Roman"/>
                                <w:sz w:val="18"/>
                                <w:szCs w:val="18"/>
                              </w:rPr>
                            </w:pPr>
                          </w:p>
                        </w:txbxContent>
                      </wps:txbx>
                      <wps:bodyPr upright="1"/>
                    </wps:wsp>
                  </a:graphicData>
                </a:graphic>
              </wp:anchor>
            </w:drawing>
          </mc:Choice>
          <mc:Fallback>
            <w:pict>
              <v:shape id="文本框 702" o:spid="_x0000_s1026" o:spt="202" type="#_x0000_t202" style="position:absolute;left:0pt;margin-left:-10.5pt;margin-top:0.4pt;height:54.5pt;width:72pt;z-index:251963392;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98cOdUA&#10;AAAIAQAADwAAAAAAAAABACAAAAAiAAAAZHJzL2Rvd25yZXYueG1sUEsBAhQAFAAAAAgAh07iQMtn&#10;RNS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pPr>
                        <w:spacing w:line="240" w:lineRule="exact"/>
                        <w:rPr>
                          <w:rFonts w:cs="Times New Roman"/>
                          <w:sz w:val="18"/>
                          <w:szCs w:val="18"/>
                        </w:rPr>
                      </w:pPr>
                    </w:p>
                  </w:txbxContent>
                </v:textbox>
              </v:shape>
            </w:pict>
          </mc:Fallback>
        </mc:AlternateContent>
      </w:r>
      <w:r>
        <w:rPr>
          <w:rFonts w:hint="eastAsia" w:ascii="仿宋" w:hAnsi="仿宋" w:eastAsia="仿宋" w:cs="仿宋"/>
          <w:color w:val="auto"/>
          <w:sz w:val="24"/>
          <w:szCs w:val="24"/>
          <w:highlight w:val="none"/>
        </w:rPr>
        <w:t>工程量清单中分部分项工程出现缺项漏项，引起增加措施项目的，应按照第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款规定在提交的实施方案被批准后计算调整的措施项目费。</w:t>
      </w:r>
    </w:p>
    <w:p>
      <w:pPr>
        <w:pStyle w:val="13"/>
        <w:adjustRightInd w:val="0"/>
        <w:snapToGrid w:val="0"/>
        <w:spacing w:line="38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89" w:name="_Toc18327"/>
      <w:bookmarkStart w:id="590" w:name="_Toc20907"/>
      <w:bookmarkStart w:id="591" w:name="_Toc32461"/>
      <w:bookmarkStart w:id="592" w:name="_Toc2797"/>
      <w:bookmarkStart w:id="593" w:name="_Toc13464"/>
      <w:bookmarkStart w:id="594" w:name="_Toc10624896"/>
      <w:bookmarkStart w:id="595" w:name="_Toc46938405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72  </w:t>
      </w:r>
      <w:r>
        <w:rPr>
          <w:rFonts w:hint="eastAsia" w:ascii="仿宋" w:hAnsi="仿宋" w:eastAsia="仿宋" w:cs="仿宋"/>
          <w:b/>
          <w:bCs/>
          <w:color w:val="auto"/>
          <w:sz w:val="24"/>
          <w:szCs w:val="24"/>
          <w:highlight w:val="none"/>
        </w:rPr>
        <w:t>工程变更事件</w:t>
      </w:r>
      <w:bookmarkEnd w:id="589"/>
      <w:bookmarkEnd w:id="590"/>
      <w:bookmarkEnd w:id="591"/>
      <w:bookmarkEnd w:id="592"/>
      <w:bookmarkEnd w:id="593"/>
      <w:bookmarkEnd w:id="594"/>
      <w:bookmarkEnd w:id="595"/>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698" name="文本框 70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文本框 703" o:spid="_x0000_s1026" o:spt="202" type="#_x0000_t202" style="position:absolute;left:0pt;margin-left:-9pt;margin-top:14.6pt;height:31.2pt;width:81pt;z-index:251964416;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K4/&#10;StcAAAAJAQAADwAAAAAAAAABACAAAAAiAAAAZHJzL2Rvd25yZXYueG1sUEsBAhQAFAAAAAgAh07i&#10;QFsd2/SxAQAAUgMAAA4AAAAAAAAAAQAgAAAAJgEAAGRycy9lMm9Eb2MueG1sUEsFBgAAAAAGAAYA&#10;WQEAAEk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ascii="仿宋" w:hAnsi="仿宋" w:eastAsia="仿宋" w:cs="仿宋"/>
          <w:b/>
          <w:bCs/>
          <w:color w:val="auto"/>
          <w:sz w:val="24"/>
          <w:szCs w:val="24"/>
          <w:highlight w:val="none"/>
        </w:rPr>
        <w:t xml:space="preserve">72.1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条工程变更事件的，合同双方当事人应调整合同价款。</w:t>
      </w:r>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72.2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2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699" name="文本框 704"/>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文本框 704" o:spid="_x0000_s1026" o:spt="202" type="#_x0000_t202" style="position:absolute;left:0pt;margin-left:-9pt;margin-top:0.5pt;height:46.7pt;width:72pt;z-index:251965440;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GOP/NUA&#10;AAAIAQAADwAAAAAAAAABACAAAAAiAAAAZHJzL2Rvd25yZXYueG1sUEsBAhQAFAAAAAgAh07iQDTx&#10;hfq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auto"/>
          <w:sz w:val="24"/>
          <w:szCs w:val="24"/>
          <w:highlight w:val="none"/>
        </w:rPr>
        <w:t>工程变更引起分部分项工程项目发生变化，属于第</w:t>
      </w:r>
      <w:r>
        <w:rPr>
          <w:rFonts w:ascii="仿宋" w:hAnsi="仿宋" w:eastAsia="仿宋" w:cs="仿宋"/>
          <w:color w:val="auto"/>
          <w:sz w:val="24"/>
          <w:szCs w:val="24"/>
          <w:highlight w:val="none"/>
        </w:rPr>
        <w:t>73.2</w:t>
      </w:r>
      <w:r>
        <w:rPr>
          <w:rFonts w:hint="eastAsia" w:ascii="仿宋" w:hAnsi="仿宋" w:eastAsia="仿宋" w:cs="仿宋"/>
          <w:color w:val="auto"/>
          <w:sz w:val="24"/>
          <w:szCs w:val="24"/>
          <w:highlight w:val="none"/>
        </w:rPr>
        <w:t>款规定情况的，按照其规定调整；否则按照下列规定调整分部分项工程费：</w:t>
      </w:r>
    </w:p>
    <w:p>
      <w:pPr>
        <w:pStyle w:val="13"/>
        <w:tabs>
          <w:tab w:val="left" w:pos="1380"/>
          <w:tab w:val="left" w:pos="2160"/>
        </w:tabs>
        <w:adjustRightInd w:val="0"/>
        <w:snapToGrid w:val="0"/>
        <w:spacing w:line="360" w:lineRule="auto"/>
        <w:ind w:left="1380" w:leftChars="657" w:firstLine="240" w:firstLineChars="100"/>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合同中有适用于变更工程项目的，按照该项目的单价或合价调整</w:t>
      </w:r>
      <w:r>
        <w:rPr>
          <w:rFonts w:ascii="仿宋" w:hAnsi="仿宋" w:eastAsia="仿宋" w:cs="仿宋"/>
          <w:color w:val="auto"/>
          <w:sz w:val="24"/>
          <w:szCs w:val="24"/>
          <w:highlight w:val="none"/>
        </w:rPr>
        <w:t>;</w:t>
      </w:r>
    </w:p>
    <w:p>
      <w:pPr>
        <w:pStyle w:val="13"/>
        <w:tabs>
          <w:tab w:val="left" w:pos="1620"/>
          <w:tab w:val="left" w:pos="2160"/>
        </w:tabs>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合同中没有适用、只有类似于变更工程项目的，可在合理范围内参照类似项目的单价或合价调整</w:t>
      </w:r>
      <w:r>
        <w:rPr>
          <w:rFonts w:ascii="仿宋" w:hAnsi="仿宋" w:eastAsia="仿宋" w:cs="仿宋"/>
          <w:color w:val="auto"/>
          <w:sz w:val="24"/>
          <w:szCs w:val="24"/>
          <w:highlight w:val="none"/>
        </w:rPr>
        <w:t>;</w:t>
      </w:r>
    </w:p>
    <w:p>
      <w:pPr>
        <w:pStyle w:val="13"/>
        <w:tabs>
          <w:tab w:val="left" w:pos="1380"/>
          <w:tab w:val="left" w:pos="2160"/>
        </w:tabs>
        <w:adjustRightInd w:val="0"/>
        <w:snapToGrid w:val="0"/>
        <w:spacing w:line="360" w:lineRule="auto"/>
        <w:ind w:left="1619"/>
        <w:rPr>
          <w:rFonts w:ascii="仿宋" w:hAnsi="仿宋" w:eastAsia="仿宋" w:cs="仿宋"/>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ascii="仿宋" w:hAnsi="仿宋" w:eastAsia="仿宋" w:cs="仿宋"/>
          <w:color w:val="auto"/>
          <w:sz w:val="24"/>
          <w:szCs w:val="24"/>
          <w:highlight w:val="none"/>
        </w:rPr>
        <w:t>;</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其中，招标工程：承包人报价浮动率</w:t>
      </w: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中标价格</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招标控制价）×</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非招标工程：承包人报价浮动率</w:t>
      </w: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报价值</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施工图预算）×</w:t>
      </w:r>
      <w:r>
        <w:rPr>
          <w:rFonts w:ascii="仿宋" w:hAnsi="仿宋" w:eastAsia="仿宋" w:cs="仿宋"/>
          <w:color w:val="auto"/>
          <w:sz w:val="24"/>
          <w:szCs w:val="24"/>
          <w:highlight w:val="none"/>
        </w:rPr>
        <w:t>100%</w:t>
      </w:r>
      <w:r>
        <w:rPr>
          <w:rFonts w:hint="eastAsia" w:ascii="仿宋" w:hAnsi="仿宋" w:eastAsia="仿宋" w:cs="仿宋"/>
          <w:color w:val="auto"/>
          <w:sz w:val="24"/>
          <w:szCs w:val="24"/>
          <w:highlight w:val="none"/>
        </w:rPr>
        <w:t>。</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式中：中标价格、招标控制价或报价值、施工图预算，均不含绿色施工安全防护费。</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合同中没有适用也没有类似于变更工程项目，且施工相应时期工程造价管理机构发布的价格信息缺项的，根据变更工程资料、计量规则、计价办法和通过市场调查等的有合法依据的市场价格提出变更工程项目的单价或合价，经合同双方当事人确认后调整。</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72.3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700" name="文本框 70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文本框 705" o:spid="_x0000_s1026" o:spt="202" type="#_x0000_t202" style="position:absolute;left:0pt;margin-left:-9pt;margin-top:3.6pt;height:31.2pt;width:72pt;z-index:251966464;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T0tN9UA&#10;AAAIAQAADwAAAAAAAAABACAAAAAiAAAAZHJzL2Rvd25yZXYueG1sUEsBAhQAFAAAAAgAh07iQN2w&#10;rfa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auto"/>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绿色施工安全防护费，按照实际发生变化的措施项目调整，不得浮动。</w:t>
      </w:r>
    </w:p>
    <w:p>
      <w:pPr>
        <w:pStyle w:val="13"/>
        <w:adjustRightInd w:val="0"/>
        <w:snapToGrid w:val="0"/>
        <w:spacing w:line="360" w:lineRule="auto"/>
        <w:ind w:left="1630" w:leftChars="776"/>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凡可计算工程量的措施项目费，按照实际发生变化的措施项目的工程量乘以第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款规定的单价或合价调整。</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凡按系数计算的措施项目费，除本款第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点情形外，按照实际发生变化的措施项目调整，但应考虑承包人报价浮动因素，即调整金额按照实际调整金额乘以第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款规定的承包人报价浮动率计算。</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如果不利一方当事人未按本款规定事先将拟实施的方案提交给另一方当事人，则认为工程变更不引起措施项目费的调整或不利一方当事人放弃调整措施项目费的权利。</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72.4  </w:t>
      </w:r>
      <w:r>
        <w:rPr>
          <w:rFonts w:ascii="仿宋" w:hAnsi="仿宋" w:eastAsia="仿宋" w:cs="仿宋"/>
          <w:b/>
          <w:bCs/>
          <w:color w:val="auto"/>
          <w:sz w:val="24"/>
          <w:szCs w:val="24"/>
          <w:highlight w:val="none"/>
          <w:u w:val="dotted"/>
        </w:rPr>
        <w:t xml:space="preserve">                                                                                                       </w:t>
      </w:r>
    </w:p>
    <w:p>
      <w:pPr>
        <w:spacing w:line="360" w:lineRule="auto"/>
        <w:ind w:left="1676" w:leftChars="798"/>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701" name="文本框 706"/>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upright="1"/>
                    </wps:wsp>
                  </a:graphicData>
                </a:graphic>
              </wp:anchor>
            </w:drawing>
          </mc:Choice>
          <mc:Fallback>
            <w:pict>
              <v:shape id="文本框 706" o:spid="_x0000_s1026" o:spt="202" type="#_x0000_t202" style="position:absolute;left:0pt;margin-left:-9pt;margin-top:1.05pt;height:60.35pt;width:81pt;z-index:251967488;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Ay5AdYA&#10;AAAJAQAADwAAAAAAAAABACAAAAAiAAAAZHJzL2Rvd25yZXYueG1sUEsBAhQAFAAAAAgAh07iQJaj&#10;LI6vAQAAUg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仿宋" w:hAnsi="仿宋" w:eastAsia="仿宋" w:cs="仿宋"/>
          <w:color w:val="auto"/>
          <w:sz w:val="24"/>
          <w:szCs w:val="24"/>
          <w:highlight w:val="none"/>
        </w:rPr>
        <w:t>工程量发生变化的分部分项工程项目，如承包人投标价分部分项清单项目填报的综合单价与发包人招标控制价或预算价相应清单项目的综合单价偏差超过一定幅度时，合同双方当事人应调整合同价款。调整工程价款时，合同双方当事人不利一方应事先向另一方提出，经合同双方当事人确认后执行。除专用条款另有约定外，应按照下列规定调整分部分项工程费：</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 xml:space="preserve">0 </w:t>
      </w:r>
      <w:r>
        <w:rPr>
          <w:rFonts w:ascii="仿宋" w:hAnsi="仿宋" w:eastAsia="仿宋" w:cs="仿宋"/>
          <w:color w:val="auto"/>
          <w:sz w:val="24"/>
          <w:szCs w:val="24"/>
          <w:highlight w:val="none"/>
        </w:rPr>
        <w:t>&lt;P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时，该类项目的综合单价按照</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(1-L)</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调整。</w:t>
      </w:r>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 xml:space="preserve">0 </w:t>
      </w:r>
      <w:r>
        <w:rPr>
          <w:rFonts w:ascii="仿宋" w:hAnsi="仿宋" w:eastAsia="仿宋" w:cs="仿宋"/>
          <w:color w:val="auto"/>
          <w:sz w:val="24"/>
          <w:szCs w:val="24"/>
          <w:highlight w:val="none"/>
        </w:rPr>
        <w:t>&gt;P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 xml:space="preserve"> (1+15%)</w:t>
      </w:r>
      <w:r>
        <w:rPr>
          <w:rFonts w:hint="eastAsia" w:ascii="仿宋" w:hAnsi="仿宋" w:eastAsia="仿宋" w:cs="仿宋"/>
          <w:color w:val="auto"/>
          <w:sz w:val="24"/>
          <w:szCs w:val="24"/>
          <w:highlight w:val="none"/>
        </w:rPr>
        <w:t>时，该类项目的综合单价按照</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1+15%)</w:t>
      </w:r>
      <w:r>
        <w:rPr>
          <w:rFonts w:hint="eastAsia" w:ascii="仿宋" w:hAnsi="仿宋" w:eastAsia="仿宋" w:cs="仿宋"/>
          <w:color w:val="auto"/>
          <w:sz w:val="24"/>
          <w:szCs w:val="24"/>
          <w:highlight w:val="none"/>
        </w:rPr>
        <w:t>调整。</w:t>
      </w:r>
      <w:r>
        <w:rPr>
          <w:rFonts w:ascii="仿宋" w:hAnsi="仿宋" w:eastAsia="仿宋" w:cs="仿宋"/>
          <w:color w:val="auto"/>
          <w:sz w:val="24"/>
          <w:szCs w:val="24"/>
          <w:highlight w:val="none"/>
        </w:rPr>
        <w:t xml:space="preserve"> </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承包人在工程量清单中填报的综合单价。</w:t>
      </w:r>
    </w:p>
    <w:p>
      <w:pPr>
        <w:pStyle w:val="13"/>
        <w:adjustRightInd w:val="0"/>
        <w:snapToGrid w:val="0"/>
        <w:spacing w:line="360" w:lineRule="auto"/>
        <w:ind w:firstLine="2340" w:firstLineChars="975"/>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发包人招标控制价或施工预算相应清单项目的综合单价。</w:t>
      </w:r>
    </w:p>
    <w:p>
      <w:pPr>
        <w:pStyle w:val="13"/>
        <w:adjustRightInd w:val="0"/>
        <w:snapToGrid w:val="0"/>
        <w:spacing w:line="360" w:lineRule="auto"/>
        <w:ind w:firstLine="2340" w:firstLineChars="975"/>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L——</w:t>
      </w: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72.2</w:t>
      </w:r>
      <w:r>
        <w:rPr>
          <w:rFonts w:hint="eastAsia" w:ascii="仿宋" w:hAnsi="仿宋" w:eastAsia="仿宋" w:cs="仿宋"/>
          <w:color w:val="auto"/>
          <w:sz w:val="24"/>
          <w:szCs w:val="24"/>
          <w:highlight w:val="none"/>
        </w:rPr>
        <w:t>款规定的承包人报价浮动率。</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72.5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702" name="文本框 70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upright="1"/>
                    </wps:wsp>
                  </a:graphicData>
                </a:graphic>
              </wp:anchor>
            </w:drawing>
          </mc:Choice>
          <mc:Fallback>
            <w:pict>
              <v:shape id="文本框 707" o:spid="_x0000_s1026" o:spt="202" type="#_x0000_t202" style="position:absolute;left:0pt;margin-left:-9pt;margin-top:3.6pt;height:31.2pt;width:72pt;z-index:251968512;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T0tN9UA&#10;AAAIAQAADwAAAAAAAAABACAAAAAiAAAAZHJzL2Rvd25yZXYueG1sUEsBAhQAFAAAAAgAh07iQNpE&#10;IX2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rPr>
        <w:t>如果因为非承包人原因删减了合同中的某项原定工作或工程，致使承包人发生的费用或</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和</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得到的收益不能被包括在其他已支付或应支付的项目中，也未被包含在任何替代的工作或工程中，则承包人有权按照本条规定提出并得到补偿。</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596" w:name="_Toc10624897"/>
      <w:bookmarkStart w:id="597" w:name="_Toc3036"/>
      <w:bookmarkStart w:id="598" w:name="_Toc623"/>
      <w:bookmarkStart w:id="599" w:name="_Toc3595"/>
      <w:bookmarkStart w:id="600" w:name="_Toc5223"/>
      <w:bookmarkStart w:id="601" w:name="_Toc469384057"/>
      <w:bookmarkStart w:id="602" w:name="_Toc6669"/>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73  </w:t>
      </w:r>
      <w:r>
        <w:rPr>
          <w:rFonts w:hint="eastAsia" w:ascii="仿宋" w:hAnsi="仿宋" w:eastAsia="仿宋" w:cs="仿宋"/>
          <w:b/>
          <w:bCs/>
          <w:color w:val="auto"/>
          <w:sz w:val="24"/>
          <w:szCs w:val="24"/>
          <w:highlight w:val="none"/>
        </w:rPr>
        <w:t>工程量偏差事件</w:t>
      </w:r>
      <w:bookmarkEnd w:id="596"/>
      <w:bookmarkEnd w:id="597"/>
      <w:bookmarkEnd w:id="598"/>
      <w:bookmarkEnd w:id="599"/>
      <w:bookmarkEnd w:id="600"/>
      <w:bookmarkEnd w:id="601"/>
      <w:bookmarkEnd w:id="602"/>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73.1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703" name="文本框 708"/>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文本框 708" o:spid="_x0000_s1026" o:spt="202" type="#_x0000_t202" style="position:absolute;left:0pt;margin-left:-9pt;margin-top:0.15pt;height:59.85pt;width:81pt;z-index:251969536;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589U7UAAAA&#10;CAEAAA8AAAAAAAAAAQAgAAAAIgAAAGRycy9kb3ducmV2LnhtbFBLAQIUABQAAAAIAIdO4kDlGCLa&#10;rwEAAFIDAAAOAAAAAAAAAAEAIAAAACM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ascii="仿宋" w:hAnsi="仿宋" w:eastAsia="仿宋" w:cs="仿宋"/>
          <w:color w:val="auto"/>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合同履行期间，出现工程量偏差，且符合第</w:t>
      </w:r>
      <w:r>
        <w:rPr>
          <w:rFonts w:ascii="仿宋" w:hAnsi="仿宋" w:eastAsia="仿宋" w:cs="仿宋"/>
          <w:color w:val="auto"/>
          <w:sz w:val="24"/>
          <w:szCs w:val="24"/>
          <w:highlight w:val="none"/>
        </w:rPr>
        <w:t>73.2</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73.3</w:t>
      </w:r>
      <w:r>
        <w:rPr>
          <w:rFonts w:hint="eastAsia" w:ascii="仿宋" w:hAnsi="仿宋" w:eastAsia="仿宋" w:cs="仿宋"/>
          <w:color w:val="auto"/>
          <w:sz w:val="24"/>
          <w:szCs w:val="24"/>
          <w:highlight w:val="none"/>
        </w:rPr>
        <w:t>款规定事件的，合同双方当事人应调整合同价款。调整合同价款时，出现第</w:t>
      </w:r>
      <w:r>
        <w:rPr>
          <w:rFonts w:ascii="仿宋" w:hAnsi="仿宋" w:eastAsia="仿宋" w:cs="仿宋"/>
          <w:color w:val="auto"/>
          <w:sz w:val="24"/>
          <w:szCs w:val="24"/>
          <w:highlight w:val="none"/>
        </w:rPr>
        <w:t>72.4</w:t>
      </w:r>
      <w:r>
        <w:rPr>
          <w:rFonts w:hint="eastAsia" w:ascii="仿宋" w:hAnsi="仿宋" w:eastAsia="仿宋" w:cs="仿宋"/>
          <w:color w:val="auto"/>
          <w:sz w:val="24"/>
          <w:szCs w:val="24"/>
          <w:highlight w:val="none"/>
        </w:rPr>
        <w:t>款情形的，应先按照其规定调整，再按照本条规定调整。</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704" name="文本框 709"/>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pPr>
                              <w:pStyle w:val="10"/>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文本框 709" o:spid="_x0000_s1026" o:spt="202" type="#_x0000_t202" style="position:absolute;left:0pt;margin-left:-9pt;margin-top:2.1pt;height:35pt;width:72pt;z-index:251970560;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SKr63VAAAA&#10;CAEAAA8AAAAAAAAAAQAgAAAAIgAAAGRycy9kb3ducmV2LnhtbFBLAQIUABQAAAAIAIdO4kDIw2yk&#10;rgEAAFEDAAAOAAAAAAAAAAEAIAAAACQBAABkcnMvZTJvRG9jLnhtbFBLBQYAAAAABgAGAFkBAABE&#10;BQAAAAA=&#10;">
                <v:fill on="f" focussize="0,0"/>
                <v:stroke on="f"/>
                <v:imagedata o:title=""/>
                <o:lock v:ext="edit" aspectratio="f"/>
                <v:textbox>
                  <w:txbxContent>
                    <w:p>
                      <w:pPr>
                        <w:pStyle w:val="10"/>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ascii="仿宋" w:hAnsi="仿宋" w:eastAsia="仿宋" w:cs="仿宋"/>
          <w:color w:val="auto"/>
          <w:sz w:val="24"/>
          <w:szCs w:val="24"/>
          <w:highlight w:val="none"/>
        </w:rPr>
        <w:t>对于某一分部分项工程项目，如果因本条规定工程量偏差和第</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条规定工程变更等原因导致工程量偏差超过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，且该变化使其分部分项工程费变化超过</w:t>
      </w:r>
      <w:r>
        <w:rPr>
          <w:rFonts w:ascii="仿宋" w:hAnsi="仿宋" w:eastAsia="仿宋" w:cs="仿宋"/>
          <w:color w:val="auto"/>
          <w:sz w:val="24"/>
          <w:szCs w:val="24"/>
          <w:highlight w:val="none"/>
        </w:rPr>
        <w:t>0.1%</w:t>
      </w:r>
      <w:r>
        <w:rPr>
          <w:rFonts w:hint="eastAsia" w:ascii="仿宋" w:hAnsi="仿宋" w:eastAsia="仿宋" w:cs="仿宋"/>
          <w:color w:val="auto"/>
          <w:sz w:val="24"/>
          <w:szCs w:val="24"/>
          <w:highlight w:val="none"/>
        </w:rPr>
        <w:t>，则超过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部分的综合单价应予调整。除专用条款另有约定外，应按照下列规定调整该分部分项工程费结算价：</w:t>
      </w:r>
    </w:p>
    <w:p>
      <w:pPr>
        <w:pStyle w:val="13"/>
        <w:adjustRightInd w:val="0"/>
        <w:snapToGrid w:val="0"/>
        <w:spacing w:line="360" w:lineRule="auto"/>
        <w:ind w:left="2145" w:leftChars="707" w:hanging="660" w:hangingChars="2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S=1.1Q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-1.1Q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p>
    <w:p>
      <w:pPr>
        <w:pStyle w:val="13"/>
        <w:adjustRightInd w:val="0"/>
        <w:snapToGrid w:val="0"/>
        <w:spacing w:line="360" w:lineRule="auto"/>
        <w:ind w:left="2057" w:leftChars="694" w:hanging="600" w:hangingChars="250"/>
        <w:rPr>
          <w:rFonts w:ascii="仿宋" w:hAnsi="仿宋" w:eastAsia="仿宋" w:cs="仿宋"/>
          <w:color w:val="auto"/>
          <w:sz w:val="24"/>
          <w:szCs w:val="24"/>
          <w:highlight w:val="none"/>
          <w:vertAlign w:val="subscript"/>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S=0.9Q</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0.9Q</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S——</w:t>
      </w:r>
      <w:r>
        <w:rPr>
          <w:rFonts w:hint="eastAsia" w:ascii="仿宋" w:hAnsi="仿宋" w:eastAsia="仿宋" w:cs="仿宋"/>
          <w:color w:val="auto"/>
          <w:sz w:val="24"/>
          <w:szCs w:val="24"/>
          <w:highlight w:val="none"/>
        </w:rPr>
        <w:t>调整后的某一分部分项工程费结算价；</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最终完成的工程量；</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Q</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工程量清单中开列的工程量；</w:t>
      </w:r>
    </w:p>
    <w:p>
      <w:pPr>
        <w:pStyle w:val="13"/>
        <w:adjustRightInd w:val="0"/>
        <w:snapToGrid w:val="0"/>
        <w:spacing w:line="360" w:lineRule="auto"/>
        <w:ind w:firstLine="2160" w:firstLineChars="9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按照最终完成工程量重新调整后的综合单价；</w:t>
      </w:r>
    </w:p>
    <w:p>
      <w:pPr>
        <w:pStyle w:val="13"/>
        <w:adjustRightInd w:val="0"/>
        <w:snapToGrid w:val="0"/>
        <w:spacing w:line="360" w:lineRule="auto"/>
        <w:ind w:firstLine="2160" w:firstLineChars="900"/>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P</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承包人在工程量清单中填报的综合单价。</w:t>
      </w:r>
    </w:p>
    <w:p>
      <w:pPr>
        <w:pStyle w:val="13"/>
        <w:adjustRightInd w:val="0"/>
        <w:snapToGrid w:val="0"/>
        <w:spacing w:line="48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73.3</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705" name="文本框 710"/>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文本框 710" o:spid="_x0000_s1026" o:spt="202" type="#_x0000_t202" style="position:absolute;left:0pt;margin-left:-9pt;margin-top:4.05pt;height:39.8pt;width:72pt;z-index:251971584;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VFjKbUAAAA&#10;CAEAAA8AAAAAAAAAAQAgAAAAIgAAAGRycy9kb3ducmV2LnhtbFBLAQIUABQAAAAIAIdO4kCqQ+JT&#10;rwEAAFEDAAAOAAAAAAAAAAEAIAAAACM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ascii="仿宋" w:hAnsi="仿宋" w:eastAsia="仿宋" w:cs="仿宋"/>
          <w:color w:val="auto"/>
          <w:sz w:val="24"/>
          <w:szCs w:val="24"/>
          <w:highlight w:val="none"/>
        </w:rPr>
        <w:t>如果因本条规定工程量偏差使某一分部分项工程费的变化超过</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，且该变化引起措施项目相应发生变化，则发生变化部分的措施项目费应按照第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款规定调整。除专用条款另有约定外，应按照下列规定调整发生变化的措施项目费结算价：</w:t>
      </w:r>
    </w:p>
    <w:p>
      <w:pPr>
        <w:pStyle w:val="13"/>
        <w:tabs>
          <w:tab w:val="left" w:pos="900"/>
        </w:tabs>
        <w:adjustRightInd w:val="0"/>
        <w:snapToGrid w:val="0"/>
        <w:spacing w:line="360" w:lineRule="auto"/>
        <w:ind w:left="2240" w:leftChars="781" w:hanging="600" w:hanging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1.1S</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M</w:t>
      </w:r>
    </w:p>
    <w:p>
      <w:pPr>
        <w:pStyle w:val="13"/>
        <w:adjustRightInd w:val="0"/>
        <w:snapToGrid w:val="0"/>
        <w:spacing w:line="360" w:lineRule="auto"/>
        <w:ind w:left="2240" w:leftChars="781" w:hanging="600" w:hangingChars="2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）当</w:t>
      </w: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0.9S</w:t>
      </w:r>
      <w:r>
        <w:rPr>
          <w:rFonts w:ascii="仿宋" w:hAnsi="仿宋" w:eastAsia="仿宋" w:cs="仿宋"/>
          <w:color w:val="auto"/>
          <w:sz w:val="24"/>
          <w:szCs w:val="24"/>
          <w:highlight w:val="none"/>
          <w:vertAlign w:val="subscript"/>
        </w:rPr>
        <w:t>0</w:t>
      </w:r>
      <w:r>
        <w:rPr>
          <w:rFonts w:hint="eastAsia" w:ascii="仿宋" w:hAnsi="仿宋" w:eastAsia="仿宋" w:cs="仿宋"/>
          <w:color w:val="auto"/>
          <w:sz w:val="24"/>
          <w:szCs w:val="24"/>
          <w:highlight w:val="none"/>
        </w:rPr>
        <w:t>时，</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M</w:t>
      </w:r>
    </w:p>
    <w:p>
      <w:pPr>
        <w:pStyle w:val="13"/>
        <w:adjustRightInd w:val="0"/>
        <w:snapToGrid w:val="0"/>
        <w:spacing w:line="360" w:lineRule="auto"/>
        <w:ind w:firstLine="1800" w:firstLineChars="75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式中</w:t>
      </w: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调整后的发生变化措施项目费结算价；</w:t>
      </w:r>
    </w:p>
    <w:p>
      <w:pPr>
        <w:pStyle w:val="13"/>
        <w:adjustRightInd w:val="0"/>
        <w:snapToGrid w:val="0"/>
        <w:spacing w:line="360" w:lineRule="auto"/>
        <w:ind w:firstLine="2280" w:firstLineChars="9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M</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承包人在工程量清单中填报的措施项目费；</w:t>
      </w:r>
    </w:p>
    <w:p>
      <w:pPr>
        <w:pStyle w:val="13"/>
        <w:adjustRightInd w:val="0"/>
        <w:snapToGrid w:val="0"/>
        <w:spacing w:line="360" w:lineRule="auto"/>
        <w:ind w:left="960" w:leftChars="457" w:firstLine="1320" w:firstLineChars="550"/>
        <w:rPr>
          <w:rFonts w:ascii="仿宋" w:hAnsi="仿宋" w:eastAsia="仿宋" w:cs="Times New Roman"/>
          <w:color w:val="auto"/>
          <w:sz w:val="24"/>
          <w:szCs w:val="24"/>
          <w:highlight w:val="none"/>
        </w:rPr>
      </w:pPr>
      <w:r>
        <w:rPr>
          <w:rFonts w:ascii="Courier New" w:eastAsia="仿宋" w:cs="Courier New"/>
          <w:color w:val="auto"/>
          <w:sz w:val="24"/>
          <w:szCs w:val="24"/>
          <w:highlight w:val="none"/>
        </w:rPr>
        <w:t>∆</w:t>
      </w:r>
      <w:r>
        <w:rPr>
          <w:rFonts w:ascii="仿宋" w:hAnsi="仿宋" w:eastAsia="仿宋" w:cs="仿宋"/>
          <w:color w:val="auto"/>
          <w:sz w:val="24"/>
          <w:szCs w:val="24"/>
          <w:highlight w:val="none"/>
        </w:rPr>
        <w:t>M——</w:t>
      </w: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72.3</w:t>
      </w:r>
      <w:r>
        <w:rPr>
          <w:rFonts w:hint="eastAsia" w:ascii="仿宋" w:hAnsi="仿宋" w:eastAsia="仿宋" w:cs="仿宋"/>
          <w:color w:val="auto"/>
          <w:sz w:val="24"/>
          <w:szCs w:val="24"/>
          <w:highlight w:val="none"/>
        </w:rPr>
        <w:t>款规定调整的发生变化部分的措施项目费；</w:t>
      </w:r>
    </w:p>
    <w:p>
      <w:pPr>
        <w:pStyle w:val="13"/>
        <w:adjustRightInd w:val="0"/>
        <w:snapToGrid w:val="0"/>
        <w:spacing w:line="360" w:lineRule="auto"/>
        <w:ind w:firstLine="2280" w:firstLineChars="9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1</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调整后的某一分部分项工程费结算价；</w:t>
      </w:r>
    </w:p>
    <w:p>
      <w:pPr>
        <w:pStyle w:val="13"/>
        <w:adjustRightInd w:val="0"/>
        <w:snapToGrid w:val="0"/>
        <w:spacing w:line="360" w:lineRule="auto"/>
        <w:ind w:firstLine="2280" w:firstLineChars="9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S</w:t>
      </w:r>
      <w:r>
        <w:rPr>
          <w:rFonts w:ascii="仿宋" w:hAnsi="仿宋" w:eastAsia="仿宋" w:cs="仿宋"/>
          <w:color w:val="auto"/>
          <w:sz w:val="24"/>
          <w:szCs w:val="24"/>
          <w:highlight w:val="none"/>
          <w:vertAlign w:val="subscript"/>
        </w:rPr>
        <w:t>0</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承包人报价文件对应的某一分部分项工程费。</w:t>
      </w:r>
    </w:p>
    <w:p>
      <w:pPr>
        <w:tabs>
          <w:tab w:val="left" w:pos="1620"/>
        </w:tabs>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03" w:name="_Toc10624898"/>
      <w:bookmarkStart w:id="604" w:name="_Toc20589"/>
      <w:bookmarkStart w:id="605" w:name="_Toc15892"/>
      <w:bookmarkStart w:id="606" w:name="_Toc3273"/>
      <w:bookmarkStart w:id="607" w:name="_Toc6846"/>
      <w:bookmarkStart w:id="608" w:name="_Toc1113"/>
      <w:bookmarkStart w:id="609" w:name="_Toc46938405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74  </w:t>
      </w:r>
      <w:r>
        <w:rPr>
          <w:rFonts w:hint="eastAsia" w:ascii="仿宋" w:hAnsi="仿宋" w:eastAsia="仿宋" w:cs="仿宋"/>
          <w:b/>
          <w:bCs/>
          <w:color w:val="auto"/>
          <w:sz w:val="24"/>
          <w:szCs w:val="24"/>
          <w:highlight w:val="none"/>
        </w:rPr>
        <w:t>费用索赔事件</w:t>
      </w:r>
      <w:bookmarkEnd w:id="603"/>
      <w:bookmarkEnd w:id="604"/>
      <w:bookmarkEnd w:id="605"/>
      <w:bookmarkEnd w:id="606"/>
      <w:bookmarkEnd w:id="607"/>
      <w:bookmarkEnd w:id="608"/>
      <w:bookmarkEnd w:id="609"/>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74.1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6" name="文本框 71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upright="1"/>
                    </wps:wsp>
                  </a:graphicData>
                </a:graphic>
              </wp:anchor>
            </w:drawing>
          </mc:Choice>
          <mc:Fallback>
            <w:pict>
              <v:shape id="文本框 711"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HWa&#10;RQW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color w:val="auto"/>
          <w:sz w:val="24"/>
          <w:szCs w:val="24"/>
          <w:highlight w:val="none"/>
        </w:rPr>
        <w:t>费用索赔是指合同履行期间，对于非自己过错而应由对方当事人承担责任的情况造成的损失，向对方当事人提出经济补偿要求的行为。</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合同履行期间，出现费用索赔事件的，合同双方当事人应调整合同价款。</w:t>
      </w:r>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74.2  </w:t>
      </w:r>
      <w:r>
        <w:rPr>
          <w:rFonts w:ascii="仿宋" w:hAnsi="仿宋" w:eastAsia="仿宋" w:cs="仿宋"/>
          <w:b/>
          <w:bCs/>
          <w:color w:val="auto"/>
          <w:sz w:val="24"/>
          <w:szCs w:val="24"/>
          <w:highlight w:val="none"/>
          <w:u w:val="dotted"/>
        </w:rPr>
        <w:t xml:space="preserve">                                                                                      </w:t>
      </w:r>
      <w:r>
        <w:rPr>
          <w:rFonts w:ascii="仿宋" w:hAnsi="仿宋" w:eastAsia="仿宋" w:cs="仿宋"/>
          <w:b/>
          <w:bCs/>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07" name="文本框 71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upright="1"/>
                    </wps:wsp>
                  </a:graphicData>
                </a:graphic>
              </wp:anchor>
            </w:drawing>
          </mc:Choice>
          <mc:Fallback>
            <w:pict>
              <v:shape id="文本框 712" o:spid="_x0000_s1026" o:spt="202" type="#_x0000_t202" style="position:absolute;left:0pt;margin-left:-9pt;margin-top:1.25pt;height:31.2pt;width:72pt;z-index:2519736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ErU&#10;aBO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rPr>
        <w:t>如果承包人根据合同约定提出任何费用或其它形式的损失索赔时，应在该索赔事件首次发生之后的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天内向造价工程师发出索赔意向书，并抄送发包人。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708" name="文本框 713"/>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upright="1"/>
                    </wps:wsp>
                  </a:graphicData>
                </a:graphic>
              </wp:anchor>
            </w:drawing>
          </mc:Choice>
          <mc:Fallback>
            <w:pict>
              <v:shape id="文本框 713" o:spid="_x0000_s1026" o:spt="202" type="#_x0000_t202" style="position:absolute;left:0pt;margin-left:-9pt;margin-top:0.05pt;height:41.15pt;width:72pt;z-index:251974656;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dNkCnTAAAA&#10;BwEAAA8AAAAAAAAAAQAgAAAAIgAAAGRycy9kb3ducmV2LnhtbFBLAQIUABQAAAAIAIdO4kD6FX6L&#10;sAEAAFEDAAAOAAAAAAAAAAEAIAAAACI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74.4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709" name="文本框 714"/>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upright="1"/>
                    </wps:wsp>
                  </a:graphicData>
                </a:graphic>
              </wp:anchor>
            </w:drawing>
          </mc:Choice>
          <mc:Fallback>
            <w:pict>
              <v:shape id="文本框 714" o:spid="_x0000_s1026" o:spt="202" type="#_x0000_t202" style="position:absolute;left:0pt;margin-left:-9pt;margin-top:0.4pt;height:37.8pt;width:81pt;z-index:251975680;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hmslzTAAAA&#10;BwEAAA8AAAAAAAAAAQAgAAAAIgAAAGRycy9kb3ducmV2LnhtbFBLAQIUABQAAAAIAIdO4kBfXSJ1&#10;sAEAAFIDAAAOAAAAAAAAAAEAIAAAACI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ascii="仿宋" w:hAnsi="仿宋" w:eastAsia="仿宋" w:cs="仿宋"/>
          <w:color w:val="auto"/>
          <w:sz w:val="24"/>
          <w:szCs w:val="24"/>
          <w:highlight w:val="none"/>
        </w:rPr>
        <w:t>在发出索赔意向书后的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天内，承包人应向造价工程师提交费用索赔报告和有关资料。如果索赔事件持续进行，承包人应每隔</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天向造价工程师发出索赔意向书，在索赔事件终结后的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天内，提交最终费用索赔报告和有关资料。</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710" name="文本框 715"/>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upright="1"/>
                    </wps:wsp>
                  </a:graphicData>
                </a:graphic>
              </wp:anchor>
            </w:drawing>
          </mc:Choice>
          <mc:Fallback>
            <w:pict>
              <v:shape id="文本框 715" o:spid="_x0000_s1026" o:spt="202" type="#_x0000_t202" style="position:absolute;left:0pt;margin-left:-9pt;margin-top:19.75pt;height:25.55pt;width:63pt;z-index:251976704;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DV2otYA&#10;AAAJAQAADwAAAAAAAAABACAAAAAiAAAAZHJzL2Rvd25yZXYueG1sUEsBAhQAFAAAAAgAh07iQLwq&#10;HN2vAQAAUQ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ascii="仿宋" w:hAnsi="仿宋" w:eastAsia="仿宋" w:cs="仿宋"/>
          <w:b/>
          <w:bCs/>
          <w:color w:val="auto"/>
          <w:sz w:val="24"/>
          <w:szCs w:val="24"/>
          <w:highlight w:val="none"/>
        </w:rPr>
        <w:t xml:space="preserve">74.5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如果承包人提出的索赔未能遵守第</w:t>
      </w:r>
      <w:r>
        <w:rPr>
          <w:rFonts w:ascii="仿宋" w:hAnsi="仿宋" w:eastAsia="仿宋" w:cs="仿宋"/>
          <w:color w:val="auto"/>
          <w:sz w:val="24"/>
          <w:szCs w:val="24"/>
          <w:highlight w:val="none"/>
        </w:rPr>
        <w:t>74.2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74.4</w:t>
      </w:r>
      <w:r>
        <w:rPr>
          <w:rFonts w:hint="eastAsia" w:ascii="仿宋" w:hAnsi="仿宋" w:eastAsia="仿宋" w:cs="仿宋"/>
          <w:color w:val="auto"/>
          <w:sz w:val="24"/>
          <w:szCs w:val="24"/>
          <w:highlight w:val="none"/>
        </w:rPr>
        <w:t>款规定，则承包人无权获得索赔或只限于获得由造价工程师按照提供记录予以核实的部分款额。</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74.6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711" name="文本框 716"/>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upright="1"/>
                    </wps:wsp>
                  </a:graphicData>
                </a:graphic>
              </wp:anchor>
            </w:drawing>
          </mc:Choice>
          <mc:Fallback>
            <w:pict>
              <v:shape id="文本框 716" o:spid="_x0000_s1026" o:spt="202" type="#_x0000_t202" style="position:absolute;left:0pt;margin-left:-9pt;margin-top:0.65pt;height:34.55pt;width:72pt;z-index:251977728;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9NBdUA&#10;AAAIAQAADwAAAAAAAAABACAAAAAiAAAAZHJzL2Rvd25yZXYueG1sUEsBAhQAFAAAAAgAh07iQH5k&#10;7v2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ascii="仿宋" w:hAnsi="仿宋" w:eastAsia="仿宋" w:cs="仿宋"/>
          <w:color w:val="auto"/>
          <w:sz w:val="24"/>
          <w:szCs w:val="24"/>
          <w:highlight w:val="none"/>
        </w:rPr>
        <w:t>造价工程师应在收到承包人提交的费用索赔报告和有关资料后的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74.7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712" name="文本框 717"/>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upright="1"/>
                    </wps:wsp>
                  </a:graphicData>
                </a:graphic>
              </wp:anchor>
            </w:drawing>
          </mc:Choice>
          <mc:Fallback>
            <w:pict>
              <v:shape id="文本框 717" o:spid="_x0000_s1026" o:spt="202" type="#_x0000_t202" style="position:absolute;left:0pt;margin-left:-9pt;margin-top:3.05pt;height:27.55pt;width:63pt;z-index:251978752;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6SadMAAAAI&#10;AQAADwAAAAAAAAABACAAAAAiAAAAZHJzL2Rvd25yZXYueG1sUEsBAhQAFAAAAAgAh07iQJ3niuuv&#10;AQAAUQMAAA4AAAAAAAAAAQAgAAAAIgEAAGRycy9lMm9Eb2MueG1sUEsFBgAAAAAGAAYAWQEAAEMF&#10;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rPr>
        <w:t>承包人未能按照合同约定履行各项义务或发生错误，给发包人造成损失，发包人可按照本条规定的时限和要求向承包人提出索赔。</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74.8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713" name="文本框 718"/>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upright="1"/>
                    </wps:wsp>
                  </a:graphicData>
                </a:graphic>
              </wp:anchor>
            </w:drawing>
          </mc:Choice>
          <mc:Fallback>
            <w:pict>
              <v:shape id="文本框 718" o:spid="_x0000_s1026" o:spt="202" type="#_x0000_t202" style="position:absolute;left:0pt;margin-left:-9pt;margin-top:1.45pt;height:49pt;width:72pt;z-index:251979776;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666a9YA&#10;AAAJAQAADwAAAAAAAAABACAAAAAiAAAAZHJzL2Rvd25yZXYueG1sUEsBAhQAFAAAAAgAh07iQJwI&#10;IbavAQAAUQ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ascii="仿宋" w:hAnsi="仿宋" w:eastAsia="仿宋" w:cs="仿宋"/>
          <w:color w:val="auto"/>
          <w:sz w:val="24"/>
          <w:szCs w:val="24"/>
          <w:highlight w:val="none"/>
        </w:rPr>
        <w:t>费用索赔报告被认可，则表明该事件已索赔成功，合同双方当事人应确认由此引起调整的合同价款，并作为追加（减）合同价款，与工程进度款或结算款同期支付。</w:t>
      </w:r>
    </w:p>
    <w:p>
      <w:pPr>
        <w:pStyle w:val="13"/>
        <w:adjustRightInd w:val="0"/>
        <w:snapToGrid w:val="0"/>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10" w:name="_Toc469384059"/>
      <w:bookmarkStart w:id="611" w:name="_Toc12627"/>
      <w:bookmarkStart w:id="612" w:name="_Toc17971"/>
      <w:bookmarkStart w:id="613" w:name="_Toc22253"/>
      <w:bookmarkStart w:id="614" w:name="_Toc27641"/>
      <w:bookmarkStart w:id="615" w:name="_Toc10624899"/>
      <w:bookmarkStart w:id="616" w:name="_Toc2244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75  </w:t>
      </w:r>
      <w:r>
        <w:rPr>
          <w:rFonts w:hint="eastAsia" w:ascii="仿宋" w:hAnsi="仿宋" w:eastAsia="仿宋" w:cs="仿宋"/>
          <w:b/>
          <w:bCs/>
          <w:color w:val="auto"/>
          <w:sz w:val="24"/>
          <w:szCs w:val="24"/>
          <w:highlight w:val="none"/>
        </w:rPr>
        <w:t>现场签证事件</w:t>
      </w:r>
      <w:bookmarkEnd w:id="610"/>
      <w:bookmarkEnd w:id="611"/>
      <w:bookmarkEnd w:id="612"/>
      <w:bookmarkEnd w:id="613"/>
      <w:bookmarkEnd w:id="614"/>
      <w:bookmarkEnd w:id="615"/>
      <w:bookmarkEnd w:id="616"/>
    </w:p>
    <w:p>
      <w:pPr>
        <w:pStyle w:val="13"/>
        <w:adjustRightInd w:val="0"/>
        <w:snapToGrid w:val="0"/>
        <w:spacing w:line="360" w:lineRule="auto"/>
        <w:rPr>
          <w:rFonts w:ascii="仿宋" w:hAnsi="仿宋" w:eastAsia="仿宋" w:cs="Times New Roman"/>
          <w:b/>
          <w:bCs/>
          <w:color w:val="auto"/>
          <w:sz w:val="24"/>
          <w:szCs w:val="24"/>
          <w:highlight w:val="none"/>
          <w:u w:val="dotted"/>
        </w:rPr>
      </w:pPr>
      <w:r>
        <w:rPr>
          <w:rFonts w:ascii="仿宋" w:hAnsi="仿宋" w:eastAsia="仿宋" w:cs="仿宋"/>
          <w:b/>
          <w:bCs/>
          <w:color w:val="auto"/>
          <w:sz w:val="24"/>
          <w:szCs w:val="24"/>
          <w:highlight w:val="none"/>
        </w:rPr>
        <w:t xml:space="preserve">75.1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714" name="文本框 719"/>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rPr>
                                <w:rFonts w:cs="Times New Roman"/>
                              </w:rPr>
                            </w:pPr>
                          </w:p>
                        </w:txbxContent>
                      </wps:txbx>
                      <wps:bodyPr upright="1"/>
                    </wps:wsp>
                  </a:graphicData>
                </a:graphic>
              </wp:anchor>
            </w:drawing>
          </mc:Choice>
          <mc:Fallback>
            <w:pict>
              <v:shape id="文本框 719" o:spid="_x0000_s1026" o:spt="202" type="#_x0000_t202" style="position:absolute;left:0pt;margin-left:-9pt;margin-top:0.4pt;height:40.2pt;width:72pt;z-index:251980800;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VuNf7TAAAA&#10;BwEAAA8AAAAAAAAAAQAgAAAAIgAAAGRycy9kb3ducmV2LnhtbFBLAQIUABQAAAAIAIdO4kBpjDwM&#10;sAEAAFEDAAAOAAAAAAAAAAEAIAAAACI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pPr>
                        <w:rPr>
                          <w:rFonts w:cs="Times New Roman"/>
                        </w:rPr>
                      </w:pPr>
                    </w:p>
                  </w:txbxContent>
                </v:textbox>
              </v:shape>
            </w:pict>
          </mc:Fallback>
        </mc:AlternateContent>
      </w:r>
      <w:r>
        <w:rPr>
          <w:rFonts w:hint="eastAsia" w:ascii="仿宋" w:hAnsi="仿宋" w:eastAsia="仿宋" w:cs="仿宋"/>
          <w:color w:val="auto"/>
          <w:sz w:val="24"/>
          <w:szCs w:val="24"/>
          <w:highlight w:val="none"/>
        </w:rPr>
        <w:t>现场签证是指合同双方当事人就施工过程中涉及的责任事件所作的签认证明。</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合同履行期间，出现现场签证事件的，合同双方当事人应调整合同价款。</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75.2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7" w:leftChars="770" w:firstLine="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715" name="文本框 720"/>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rPr>
                                <w:rFonts w:cs="Times New Roman"/>
                              </w:rPr>
                            </w:pPr>
                          </w:p>
                        </w:txbxContent>
                      </wps:txbx>
                      <wps:bodyPr upright="1"/>
                    </wps:wsp>
                  </a:graphicData>
                </a:graphic>
              </wp:anchor>
            </w:drawing>
          </mc:Choice>
          <mc:Fallback>
            <w:pict>
              <v:shape id="文本框 720" o:spid="_x0000_s1026" o:spt="202" type="#_x0000_t202" style="position:absolute;left:0pt;margin-left:-9pt;margin-top:1.45pt;height:40.2pt;width:72pt;z-index:251981824;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GXnnfVAAAA&#10;CAEAAA8AAAAAAAAAAQAgAAAAIgAAAGRycy9kb3ducmV2LnhtbFBLAQIUABQAAAAIAIdO4kD9K38u&#10;rgEAAFEDAAAOAAAAAAAAAAEAIAAAACQ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pPr>
                        <w:rPr>
                          <w:rFonts w:cs="Times New Roman"/>
                        </w:rPr>
                      </w:pPr>
                    </w:p>
                  </w:txbxContent>
                </v:textbox>
              </v:shape>
            </w:pict>
          </mc:Fallback>
        </mc:AlternateContent>
      </w:r>
      <w:r>
        <w:rPr>
          <w:rFonts w:hint="eastAsia" w:ascii="仿宋" w:hAnsi="仿宋" w:eastAsia="仿宋" w:cs="仿宋"/>
          <w:color w:val="auto"/>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75.3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716" name="文本框 721"/>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rPr>
                                <w:rFonts w:cs="Times New Roman"/>
                              </w:rPr>
                            </w:pPr>
                          </w:p>
                        </w:txbxContent>
                      </wps:txbx>
                      <wps:bodyPr upright="1"/>
                    </wps:wsp>
                  </a:graphicData>
                </a:graphic>
              </wp:anchor>
            </w:drawing>
          </mc:Choice>
          <mc:Fallback>
            <w:pict>
              <v:shape id="文本框 721" o:spid="_x0000_s1026" o:spt="202" type="#_x0000_t202" style="position:absolute;left:0pt;margin-left:-9pt;margin-top:0.4pt;height:40.2pt;width:72pt;z-index:251982848;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VuNf7TAAAA&#10;BwEAAA8AAAAAAAAAAQAgAAAAIgAAAGRycy9kb3ducmV2LnhtbFBLAQIUABQAAAAIAIdO4kDFkd6z&#10;sAEAAFEDAAAOAAAAAAAAAAEAIAAAACIBAABkcnMvZTJvRG9jLnhtbFBLBQYAAAAABgAGAFkBAABE&#10;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pPr>
                        <w:rPr>
                          <w:rFonts w:cs="Times New Roman"/>
                        </w:rPr>
                      </w:pPr>
                    </w:p>
                  </w:txbxContent>
                </v:textbox>
              </v:shape>
            </w:pict>
          </mc:Fallback>
        </mc:AlternateContent>
      </w:r>
      <w:r>
        <w:rPr>
          <w:rFonts w:hint="eastAsia" w:ascii="仿宋" w:hAnsi="仿宋" w:eastAsia="仿宋" w:cs="仿宋"/>
          <w:color w:val="auto"/>
          <w:sz w:val="24"/>
          <w:szCs w:val="24"/>
          <w:highlight w:val="none"/>
        </w:rPr>
        <w:t>除专用条款另有约定外，承包人应在收到监理工程师书面通知后的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天内，向发包人提交现场签证报告，并抄送监理工程师、造价工程师。发包人在收到承包人的现场签证报告后，应通知监理工程师、造价工程师对报告内容予以核实，并在收到现场签证报告后的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小时内予以确认或提出修改意见。发包人在收到承包人现场签证报告后的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小时内未确认也未提出修改意见的，视为承包人提交的现场签证报告已被认可。</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75.4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717" name="文本框 72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wps:txbx>
                      <wps:bodyPr upright="1"/>
                    </wps:wsp>
                  </a:graphicData>
                </a:graphic>
              </wp:anchor>
            </w:drawing>
          </mc:Choice>
          <mc:Fallback>
            <w:pict>
              <v:shape id="文本框 722" o:spid="_x0000_s1026" o:spt="202" type="#_x0000_t202" style="position:absolute;left:0pt;margin-left:-9pt;margin-top:2.7pt;height:37.8pt;width:72pt;z-index:251983872;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zO099UA&#10;AAAIAQAADwAAAAAAAAABACAAAAAiAAAAZHJzL2Rvd25yZXYueG1sUEsBAhQAFAAAAAgAh07iQFft&#10;xIKwAQAAUQMAAA4AAAAAAAAAAQAgAAAAJA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v:textbox>
              </v:shape>
            </w:pict>
          </mc:Fallback>
        </mc:AlternateContent>
      </w:r>
      <w:r>
        <w:rPr>
          <w:rFonts w:hint="eastAsia" w:ascii="仿宋" w:hAnsi="仿宋" w:eastAsia="仿宋" w:cs="仿宋"/>
          <w:color w:val="auto"/>
          <w:sz w:val="24"/>
          <w:szCs w:val="24"/>
          <w:highlight w:val="none"/>
        </w:rPr>
        <w:t>计日工有相应单价或合同中有适用单价的项目，合同双方当事人仅在现场签证报告中列明完成该类项目所需的人工、材料、工程设备和施工设备机械台班的数量。</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75.5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718" name="文本框 72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3"/>
                              <w:adjustRightInd w:val="0"/>
                              <w:snapToGrid w:val="0"/>
                              <w:rPr>
                                <w:rFonts w:ascii="Times New Roman" w:hAnsi="Times New Roman" w:eastAsia="楷体_GB2312" w:cs="Times New Roman"/>
                                <w:b/>
                                <w:bCs/>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wps:txbx>
                      <wps:bodyPr upright="1"/>
                    </wps:wsp>
                  </a:graphicData>
                </a:graphic>
              </wp:anchor>
            </w:drawing>
          </mc:Choice>
          <mc:Fallback>
            <w:pict>
              <v:shape id="文本框 723"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enpzW&#10;AAAACQEAAA8AAAAAAAAAAQAgAAAAIgAAAGRycy9kb3ducmV2LnhtbFBLAQIUABQAAAAIAIdO4kA1&#10;3aajsAEAAFEDAAAOAAAAAAAAAAEAIAAAACU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pPr>
                        <w:pStyle w:val="13"/>
                        <w:adjustRightInd w:val="0"/>
                        <w:snapToGrid w:val="0"/>
                        <w:rPr>
                          <w:rFonts w:ascii="Times New Roman" w:hAnsi="Times New Roman" w:eastAsia="楷体_GB2312" w:cs="Times New Roman"/>
                          <w:b/>
                          <w:bCs/>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v:textbox>
              </v:shape>
            </w:pict>
          </mc:Fallback>
        </mc:AlternateContent>
      </w:r>
      <w:r>
        <w:rPr>
          <w:rFonts w:hint="eastAsia" w:ascii="仿宋" w:hAnsi="仿宋" w:eastAsia="仿宋" w:cs="仿宋"/>
          <w:color w:val="auto"/>
          <w:sz w:val="24"/>
          <w:szCs w:val="24"/>
          <w:highlight w:val="none"/>
        </w:rPr>
        <w:t>承包人应在发包人确认现场签证报告后的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小时内，按照监理工程师发出的工作指令及时组织实施相关工作。否则，由此引起的损失和（或）延误的工期由承包人承担。</w:t>
      </w:r>
    </w:p>
    <w:p>
      <w:pPr>
        <w:pStyle w:val="13"/>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75.6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719" name="文本框 724"/>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0"/>
                              <w:spacing w:line="200" w:lineRule="exact"/>
                              <w:rPr>
                                <w:rFonts w:ascii="楷体_GB2312" w:hAnsi="宋体" w:eastAsia="楷体_GB2312"/>
                                <w:b/>
                                <w:bCs/>
                                <w:color w:val="000000"/>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wps:txbx>
                      <wps:bodyPr upright="1"/>
                    </wps:wsp>
                  </a:graphicData>
                </a:graphic>
              </wp:anchor>
            </w:drawing>
          </mc:Choice>
          <mc:Fallback>
            <w:pict>
              <v:shape id="文本框 724"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enpzW&#10;AAAACQEAAA8AAAAAAAAAAQAgAAAAIgAAAGRycy9kb3ducmV2LnhtbFBLAQIUABQAAAAIAIdO4kBz&#10;+10SsAEAAFEDAAAOAAAAAAAAAAEAIAAAACU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pPr>
                        <w:pStyle w:val="10"/>
                        <w:spacing w:line="200" w:lineRule="exact"/>
                        <w:rPr>
                          <w:rFonts w:ascii="楷体_GB2312" w:hAnsi="宋体" w:eastAsia="楷体_GB2312"/>
                          <w:b/>
                          <w:bCs/>
                          <w:color w:val="000000"/>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v:textbox>
              </v:shape>
            </w:pict>
          </mc:Fallback>
        </mc:AlternateContent>
      </w:r>
      <w:r>
        <w:rPr>
          <w:rFonts w:hint="eastAsia" w:ascii="仿宋" w:hAnsi="仿宋" w:eastAsia="仿宋" w:cs="仿宋"/>
          <w:color w:val="auto"/>
          <w:sz w:val="24"/>
          <w:szCs w:val="24"/>
          <w:highlight w:val="none"/>
        </w:rPr>
        <w:t>合同工程发生现场签证事件，未经发包人签证、确认，承包人便擅自实施相关工作的，除非征得发包人同意，否则发生的费用由承包人承担。</w:t>
      </w:r>
    </w:p>
    <w:p>
      <w:pPr>
        <w:pStyle w:val="13"/>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75.7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720" name="文本框 72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3"/>
                              <w:adjustRightInd w:val="0"/>
                              <w:snapToGrid w:val="0"/>
                              <w:rPr>
                                <w:rFonts w:ascii="Times New Roman" w:hAnsi="Times New Roman" w:eastAsia="楷体_GB2312" w:cs="Times New Roman"/>
                                <w:b/>
                                <w:bCs/>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wps:txbx>
                      <wps:bodyPr upright="1"/>
                    </wps:wsp>
                  </a:graphicData>
                </a:graphic>
              </wp:anchor>
            </w:drawing>
          </mc:Choice>
          <mc:Fallback>
            <w:pict>
              <v:shape id="文本框 725" o:spid="_x0000_s1026" o:spt="202" type="#_x0000_t202" style="position:absolute;left:0pt;margin-left:-9pt;margin-top:6.1pt;height:37.8pt;width:72pt;z-index:251986944;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enpzW&#10;AAAACQEAAA8AAAAAAAAAAQAgAAAAIgAAAGRycy9kb3ducmV2LnhtbFBLAQIUABQAAAAIAIdO4kDk&#10;kJ5PsAEAAFEDAAAOAAAAAAAAAAEAIAAAACU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pPr>
                        <w:pStyle w:val="13"/>
                        <w:adjustRightInd w:val="0"/>
                        <w:snapToGrid w:val="0"/>
                        <w:rPr>
                          <w:rFonts w:ascii="Times New Roman" w:hAnsi="Times New Roman" w:eastAsia="楷体_GB2312" w:cs="Times New Roman"/>
                          <w:b/>
                          <w:bCs/>
                          <w:sz w:val="18"/>
                          <w:szCs w:val="18"/>
                        </w:rPr>
                      </w:pPr>
                    </w:p>
                    <w:p>
                      <w:pPr>
                        <w:pStyle w:val="13"/>
                        <w:adjustRightInd w:val="0"/>
                        <w:snapToGrid w:val="0"/>
                        <w:spacing w:line="360" w:lineRule="auto"/>
                        <w:rPr>
                          <w:rFonts w:ascii="Times New Roman" w:hAnsi="Times New Roman" w:eastAsia="楷体_GB2312" w:cs="Times New Roman"/>
                          <w:b/>
                          <w:bCs/>
                          <w:sz w:val="18"/>
                          <w:szCs w:val="18"/>
                        </w:rPr>
                      </w:pPr>
                    </w:p>
                    <w:p>
                      <w:pPr>
                        <w:rPr>
                          <w:rFonts w:cs="Times New Roman"/>
                        </w:rPr>
                      </w:pPr>
                    </w:p>
                  </w:txbxContent>
                </v:textbox>
              </v:shape>
            </w:pict>
          </mc:Fallback>
        </mc:AlternateContent>
      </w:r>
      <w:r>
        <w:rPr>
          <w:rFonts w:hint="eastAsia" w:ascii="仿宋" w:hAnsi="仿宋" w:eastAsia="仿宋" w:cs="仿宋"/>
          <w:color w:val="auto"/>
          <w:sz w:val="24"/>
          <w:szCs w:val="24"/>
          <w:highlight w:val="none"/>
        </w:rPr>
        <w:t>现场签证工作完成后的</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小时内，合同双方当事人应确认由此引起调整的合同价款，并作为追加合同价款，与工程进度款同期支付。</w:t>
      </w:r>
    </w:p>
    <w:p>
      <w:pPr>
        <w:pStyle w:val="13"/>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17" w:name="_Toc3620"/>
      <w:bookmarkStart w:id="618" w:name="_Toc29594"/>
      <w:bookmarkStart w:id="619" w:name="_Toc469384060"/>
      <w:bookmarkStart w:id="620" w:name="_Toc10624900"/>
      <w:bookmarkStart w:id="621" w:name="_Toc1218"/>
      <w:bookmarkStart w:id="622" w:name="_Toc17472"/>
      <w:bookmarkStart w:id="623" w:name="_Toc1564"/>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76  </w:t>
      </w:r>
      <w:r>
        <w:rPr>
          <w:rFonts w:hint="eastAsia" w:ascii="仿宋" w:hAnsi="仿宋" w:eastAsia="仿宋" w:cs="仿宋"/>
          <w:b/>
          <w:bCs/>
          <w:color w:val="auto"/>
          <w:sz w:val="24"/>
          <w:szCs w:val="24"/>
          <w:highlight w:val="none"/>
        </w:rPr>
        <w:t>物价涨落事件</w:t>
      </w:r>
      <w:bookmarkEnd w:id="617"/>
      <w:bookmarkEnd w:id="618"/>
      <w:bookmarkEnd w:id="619"/>
      <w:bookmarkEnd w:id="620"/>
      <w:bookmarkEnd w:id="621"/>
      <w:bookmarkEnd w:id="622"/>
      <w:bookmarkEnd w:id="623"/>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721" name="文本框 726"/>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upright="1"/>
                    </wps:wsp>
                  </a:graphicData>
                </a:graphic>
              </wp:anchor>
            </w:drawing>
          </mc:Choice>
          <mc:Fallback>
            <w:pict>
              <v:shape id="文本框 726" o:spid="_x0000_s1026" o:spt="202" type="#_x0000_t202" style="position:absolute;left:0pt;margin-left:-9pt;margin-top:21.6pt;height:46.55pt;width:72pt;z-index:251987968;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yqi3X&#10;AAAACgEAAA8AAAAAAAAAAQAgAAAAIgAAAGRycy9kb3ducmV2LnhtbFBLAQIUABQAAAAIAIdO4kDl&#10;w+K3rwEAAFEDAAAOAAAAAAAAAAEAIAAAACY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ascii="仿宋" w:hAnsi="仿宋" w:eastAsia="仿宋" w:cs="仿宋"/>
          <w:b/>
          <w:bCs/>
          <w:color w:val="auto"/>
          <w:sz w:val="24"/>
          <w:szCs w:val="24"/>
          <w:highlight w:val="none"/>
        </w:rPr>
        <w:t xml:space="preserve">76.1      </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合同履行期间，除专用合同条款另有约定外，市场价格波动超过合同当事人约定的范围，合同价格应当调整。合同当事人可以在专用条款中约定按通用条款</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款选择一种方式对合同价格进行调整。</w:t>
      </w:r>
    </w:p>
    <w:p>
      <w:pPr>
        <w:spacing w:line="360" w:lineRule="auto"/>
        <w:ind w:firstLine="420" w:firstLineChars="200"/>
        <w:rPr>
          <w:rFonts w:ascii="仿宋" w:hAnsi="仿宋" w:eastAsia="仿宋" w:cs="Times New Roman"/>
          <w:color w:val="auto"/>
          <w:sz w:val="24"/>
          <w:szCs w:val="24"/>
          <w:highlight w:val="none"/>
        </w:rPr>
      </w:pPr>
      <w:r>
        <w:rPr>
          <w:color w:val="auto"/>
          <w:highlight w:val="none"/>
        </w:rPr>
        <w:t xml:space="preserve">            </w:t>
      </w:r>
    </w:p>
    <w:p>
      <w:pPr>
        <w:pStyle w:val="13"/>
        <w:tabs>
          <w:tab w:val="left" w:pos="540"/>
        </w:tabs>
        <w:adjustRightInd w:val="0"/>
        <w:snapToGrid w:val="0"/>
        <w:spacing w:line="360" w:lineRule="auto"/>
        <w:rPr>
          <w:rFonts w:ascii="仿宋" w:hAnsi="仿宋" w:eastAsia="仿宋" w:cs="仿宋"/>
          <w:b/>
          <w:bCs/>
          <w:color w:val="auto"/>
          <w:sz w:val="24"/>
          <w:szCs w:val="24"/>
          <w:highlight w:val="none"/>
          <w:u w:val="dotted"/>
        </w:rPr>
      </w:pPr>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722" name="文本框 727"/>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upright="1"/>
                    </wps:wsp>
                  </a:graphicData>
                </a:graphic>
              </wp:anchor>
            </w:drawing>
          </mc:Choice>
          <mc:Fallback>
            <w:pict>
              <v:shape id="文本框 727" o:spid="_x0000_s1026" o:spt="202" type="#_x0000_t202" style="position:absolute;left:0pt;margin-left:-10.5pt;margin-top:19.5pt;height:48.75pt;width:72pt;z-index:251988992;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nPrZfX&#10;AAAACgEAAA8AAAAAAAAAAQAgAAAAIgAAAGRycy9kb3ducmV2LnhtbFBLAQIUABQAAAAIAIdO4kDA&#10;xecBrwEAAFEDAAAOAAAAAAAAAAEAIAAAACY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ascii="仿宋" w:hAnsi="仿宋" w:eastAsia="仿宋" w:cs="仿宋"/>
          <w:b/>
          <w:bCs/>
          <w:color w:val="auto"/>
          <w:sz w:val="24"/>
          <w:szCs w:val="24"/>
          <w:highlight w:val="none"/>
        </w:rPr>
        <w:t xml:space="preserve">76.2  </w:t>
      </w:r>
      <w:r>
        <w:rPr>
          <w:rFonts w:ascii="仿宋" w:hAnsi="仿宋" w:eastAsia="仿宋" w:cs="仿宋"/>
          <w:b/>
          <w:bCs/>
          <w:color w:val="auto"/>
          <w:sz w:val="24"/>
          <w:szCs w:val="24"/>
          <w:highlight w:val="none"/>
          <w:u w:val="dotted"/>
        </w:rPr>
        <w:t xml:space="preserve">                                                                                                        </w:t>
      </w:r>
    </w:p>
    <w:p>
      <w:pPr>
        <w:pStyle w:val="13"/>
        <w:adjustRightInd w:val="0"/>
        <w:snapToGrid w:val="0"/>
        <w:spacing w:line="420" w:lineRule="exact"/>
        <w:ind w:left="1619" w:leftChars="771"/>
        <w:rPr>
          <w:rFonts w:cs="Times New Roman"/>
          <w:color w:val="auto"/>
          <w:highlight w:val="none"/>
        </w:rPr>
      </w:pPr>
      <w:r>
        <w:rPr>
          <w:rFonts w:hint="eastAsia" w:ascii="仿宋" w:hAnsi="仿宋" w:eastAsia="仿宋" w:cs="仿宋"/>
          <w:color w:val="auto"/>
          <w:sz w:val="24"/>
          <w:szCs w:val="24"/>
          <w:highlight w:val="none"/>
        </w:rPr>
        <w:t>执行第</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种方式：采用造价信息进行价格调整”规定的，</w:t>
      </w:r>
      <w:r>
        <w:rPr>
          <w:color w:val="auto"/>
          <w:highlight w:val="none"/>
        </w:rPr>
        <w:t xml:space="preserve">                </w:t>
      </w:r>
      <w:r>
        <w:rPr>
          <w:rFonts w:hint="eastAsia" w:ascii="仿宋" w:hAnsi="仿宋" w:eastAsia="仿宋" w:cs="仿宋"/>
          <w:color w:val="auto"/>
          <w:sz w:val="24"/>
          <w:szCs w:val="24"/>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pPr>
        <w:pStyle w:val="13"/>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76.3  </w:t>
      </w:r>
      <w:r>
        <w:rPr>
          <w:rFonts w:ascii="仿宋" w:hAnsi="仿宋" w:eastAsia="仿宋" w:cs="仿宋"/>
          <w:b/>
          <w:bCs/>
          <w:color w:val="auto"/>
          <w:sz w:val="24"/>
          <w:szCs w:val="24"/>
          <w:highlight w:val="none"/>
          <w:u w:val="dotted"/>
        </w:rPr>
        <w:t xml:space="preserve">                                                                                                        </w:t>
      </w:r>
    </w:p>
    <w:p>
      <w:pPr>
        <w:spacing w:line="360" w:lineRule="auto"/>
        <w:ind w:firstLine="420" w:firstLineChars="200"/>
        <w:rPr>
          <w:rFonts w:eastAsia="仿宋_GB2312" w:cs="Times New Roman"/>
          <w:color w:val="auto"/>
          <w:sz w:val="30"/>
          <w:szCs w:val="30"/>
          <w:highlight w:val="none"/>
        </w:rPr>
      </w:pPr>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723" name="文本框 728"/>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upright="1"/>
                    </wps:wsp>
                  </a:graphicData>
                </a:graphic>
              </wp:anchor>
            </w:drawing>
          </mc:Choice>
          <mc:Fallback>
            <w:pict>
              <v:shape id="文本框 728" o:spid="_x0000_s1026" o:spt="202" type="#_x0000_t202" style="position:absolute;left:0pt;margin-left:-9pt;margin-top:1.25pt;height:79pt;width:72pt;z-index:251990016;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0C7z9YA&#10;AAAJAQAADwAAAAAAAAABACAAAAAiAAAAZHJzL2Rvd25yZXYueG1sUEsBAhQAFAAAAAgAh07iQJvD&#10;JXSvAQAAUgMAAA4AAAAAAAAAAQAgAAAAJQEAAGRycy9lMm9Eb2MueG1sUEsFBgAAAAAGAAYAWQEA&#10;AEYFA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w:t>
      </w:r>
    </w:p>
    <w:p>
      <w:pPr>
        <w:spacing w:line="360" w:lineRule="auto"/>
        <w:ind w:left="1438" w:leftChars="685"/>
        <w:rPr>
          <w:rFonts w:cs="Times New Roman"/>
          <w:color w:val="auto"/>
          <w:highlight w:val="none"/>
        </w:rPr>
      </w:pPr>
      <w:r>
        <w:rPr>
          <w:rFonts w:hint="eastAsia" w:ascii="仿宋" w:hAnsi="仿宋" w:eastAsia="仿宋" w:cs="仿宋"/>
          <w:color w:val="auto"/>
          <w:sz w:val="24"/>
          <w:szCs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pPr>
        <w:spacing w:line="360" w:lineRule="auto"/>
        <w:ind w:left="1559" w:leftChars="628" w:hanging="240" w:hanging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）材料、工程设备价格变化的价款调整按照发包人提供的基准价格，按以下风险范围规定执行</w:t>
      </w:r>
      <w:r>
        <w:rPr>
          <w:rFonts w:ascii="仿宋" w:hAnsi="仿宋" w:eastAsia="仿宋" w:cs="仿宋"/>
          <w:color w:val="auto"/>
          <w:sz w:val="24"/>
          <w:szCs w:val="24"/>
          <w:highlight w:val="none"/>
        </w:rPr>
        <w:t>:</w:t>
      </w:r>
    </w:p>
    <w:p>
      <w:pPr>
        <w:spacing w:line="360" w:lineRule="auto"/>
        <w:ind w:left="1514" w:leftChars="72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①承包人在已标价工程量清单或预算书中载明材料单价低于基准价格的：除专用合同条款另有约定外，合同履行期间材料单价涨幅以基准价格为基础超</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时，或材料单价跌幅以在已标价工程量清单或预算书中载明材料单价为基础超过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pPr>
        <w:spacing w:line="360" w:lineRule="auto"/>
        <w:ind w:left="1514" w:leftChars="72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②承包人在已标价工程量清单或预算书中载明材料单价高于基准价格的：除专用合同条款另有约定外，合同履行期间材料单价跌幅以基准价格为基础超过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时，材料单价涨 幅以在已标价工程量清单或预算书中载明材料单价为基础超过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pPr>
        <w:spacing w:line="360" w:lineRule="auto"/>
        <w:ind w:left="1514" w:leftChars="721"/>
        <w:rPr>
          <w:rFonts w:eastAsia="仿宋_GB2312" w:cs="Times New Roman"/>
          <w:color w:val="auto"/>
          <w:sz w:val="30"/>
          <w:szCs w:val="30"/>
          <w:highlight w:val="none"/>
        </w:rPr>
      </w:pPr>
      <w:r>
        <w:rPr>
          <w:rFonts w:hint="eastAsia" w:ascii="仿宋" w:hAnsi="仿宋" w:eastAsia="仿宋" w:cs="仿宋"/>
          <w:color w:val="auto"/>
          <w:sz w:val="24"/>
          <w:szCs w:val="24"/>
          <w:highlight w:val="none"/>
        </w:rPr>
        <w:t>③承包人在已标价工程量清单或预算书中载明材料单价等于基准价格的：除专用合同条款另有约定外，合同履行期间材料单价涨跌幅以基准价格为基础超过±</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时，其超过部分据实调整。</w:t>
      </w:r>
    </w:p>
    <w:p>
      <w:pPr>
        <w:spacing w:line="360" w:lineRule="auto"/>
        <w:ind w:left="1529" w:leftChars="728"/>
        <w:rPr>
          <w:rFonts w:eastAsia="仿宋_GB2312" w:cs="Times New Roman"/>
          <w:color w:val="auto"/>
          <w:sz w:val="30"/>
          <w:szCs w:val="30"/>
          <w:highlight w:val="none"/>
        </w:rPr>
      </w:pPr>
      <w:r>
        <w:rPr>
          <w:rFonts w:hint="eastAsia" w:ascii="仿宋" w:hAnsi="仿宋" w:eastAsia="仿宋" w:cs="仿宋"/>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ind w:left="1470" w:left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）施工机械台班单价或施工机械使用费发生变化超过省级或行业建设主管部门或其授权的工程造价管理机构规定的范围时，按规定调整合同价格。</w:t>
      </w:r>
    </w:p>
    <w:p>
      <w:pPr>
        <w:rPr>
          <w:rFonts w:ascii="仿宋" w:hAnsi="仿宋" w:eastAsia="仿宋" w:cs="Times New Roman"/>
          <w:color w:val="auto"/>
          <w:sz w:val="24"/>
          <w:szCs w:val="24"/>
          <w:highlight w:val="none"/>
        </w:rPr>
      </w:pPr>
    </w:p>
    <w:p>
      <w:pPr>
        <w:ind w:firstLine="1680" w:firstLineChars="700"/>
        <w:rPr>
          <w:rFonts w:cs="Times New Roman"/>
          <w:color w:val="auto"/>
          <w:highlight w:val="none"/>
        </w:rPr>
      </w:pPr>
      <w:r>
        <w:rPr>
          <w:rFonts w:hint="eastAsia" w:ascii="仿宋" w:hAnsi="仿宋" w:eastAsia="仿宋" w:cs="仿宋"/>
          <w:color w:val="auto"/>
          <w:sz w:val="24"/>
          <w:szCs w:val="24"/>
          <w:highlight w:val="none"/>
        </w:rPr>
        <w:t>第</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种方式：专用合同条款约定的其他方式。</w:t>
      </w:r>
    </w:p>
    <w:p>
      <w:pPr>
        <w:rPr>
          <w:rFonts w:cs="Times New Roman"/>
          <w:color w:val="auto"/>
          <w:highlight w:val="none"/>
        </w:rPr>
      </w:pPr>
      <w:r>
        <w:rPr>
          <w:color w:val="auto"/>
          <w:highlight w:val="none"/>
        </w:rPr>
        <w:t xml:space="preserve">                </w:t>
      </w:r>
    </w:p>
    <w:p>
      <w:pPr>
        <w:pStyle w:val="13"/>
        <w:tabs>
          <w:tab w:val="left" w:pos="540"/>
        </w:tabs>
        <w:adjustRightInd w:val="0"/>
        <w:snapToGrid w:val="0"/>
        <w:spacing w:line="48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76.4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执行第</w:t>
      </w:r>
      <w:r>
        <w:rPr>
          <w:rFonts w:ascii="仿宋" w:hAnsi="仿宋" w:eastAsia="仿宋" w:cs="仿宋"/>
          <w:color w:val="auto"/>
          <w:sz w:val="24"/>
          <w:szCs w:val="24"/>
          <w:highlight w:val="none"/>
        </w:rPr>
        <w:t>76.3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种方式：采用造价信息进行价格调整”规定的，承包人应在采购材料前将采购数量和新的材料单价报发包人核对，发包人确认用于工程时，发包人应确认采购材料的数量和单价。发包人在收到承包人报送的确认资料后</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天内不予答复的视为认可，作为调整合同价格的依据。未经发包人事先核对，承包人自行采购材料的，发包人有权不予调整合同价格。发包人同意的，可以调整合同价格。</w:t>
      </w:r>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724" name="文本框 729"/>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upright="1"/>
                    </wps:wsp>
                  </a:graphicData>
                </a:graphic>
              </wp:anchor>
            </w:drawing>
          </mc:Choice>
          <mc:Fallback>
            <w:pict>
              <v:shape id="文本框 729" o:spid="_x0000_s1026" o:spt="202" type="#_x0000_t202" style="position:absolute;left:0pt;margin-left:-5.25pt;margin-top:2.45pt;height:56.05pt;width:72pt;z-index:251991040;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jPssHW&#10;AAAACQEAAA8AAAAAAAAAAQAgAAAAIgAAAGRycy9kb3ducmV2LnhtbFBLAQIUABQAAAAIAIdO4kBE&#10;vgpTsAEAAFEDAAAOAAAAAAAAAAEAIAAAACUBAABkcnMvZTJvRG9jLnhtbFBLBQYAAAAABgAGAFkB&#10;AABHBQAAAAA=&#10;">
                <v:fill on="f" focussize="0,0"/>
                <v:stroke on="f"/>
                <v:imagedata o:title=""/>
                <o:lock v:ext="edit" aspectratio="f"/>
                <v:textbox>
                  <w:txbxContent>
                    <w:p>
                      <w:pPr>
                        <w:pStyle w:val="10"/>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pPr>
        <w:pStyle w:val="13"/>
        <w:tabs>
          <w:tab w:val="left" w:pos="540"/>
        </w:tabs>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76.5 </w:t>
      </w:r>
      <w:r>
        <w:rPr>
          <w:rFonts w:ascii="仿宋" w:hAnsi="仿宋" w:eastAsia="仿宋" w:cs="仿宋"/>
          <w:b/>
          <w:bCs/>
          <w:color w:val="auto"/>
          <w:sz w:val="24"/>
          <w:szCs w:val="24"/>
          <w:highlight w:val="none"/>
          <w:u w:val="dotted"/>
        </w:rPr>
        <w:t xml:space="preserve">                                                                                                        </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725" name="文本框 73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wps:txbx>
                      <wps:bodyPr upright="1"/>
                    </wps:wsp>
                  </a:graphicData>
                </a:graphic>
              </wp:anchor>
            </w:drawing>
          </mc:Choice>
          <mc:Fallback>
            <w:pict>
              <v:shape id="文本框 730" o:spid="_x0000_s1026" o:spt="202" type="#_x0000_t202" style="position:absolute;left:0pt;margin-left:-9pt;margin-top:1.25pt;height:48.75pt;width:72pt;z-index:25199206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PIDAfVAAAA&#10;CQEAAA8AAAAAAAAAAQAgAAAAIgAAAGRycy9kb3ducmV2LnhtbFBLAQIUABQAAAAIAIdO4kBXoSLk&#10;rgEAAFEDAAAOAAAAAAAAAAEAIAAAACQBAABkcnMvZTJvRG9jLnhtbFBLBQYAAAAABgAGAFkBAABE&#10;BQ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发包人供应材料设备的价款调整</w:t>
                      </w:r>
                    </w:p>
                  </w:txbxContent>
                </v:textbox>
              </v:shape>
            </w:pict>
          </mc:Fallback>
        </mc:AlternateContent>
      </w:r>
      <w:r>
        <w:rPr>
          <w:rFonts w:hint="eastAsia" w:ascii="仿宋" w:hAnsi="仿宋" w:eastAsia="仿宋" w:cs="仿宋"/>
          <w:color w:val="auto"/>
          <w:sz w:val="24"/>
          <w:szCs w:val="24"/>
          <w:highlight w:val="none"/>
        </w:rPr>
        <w:t>发包人供应材料和工程设备的，由发包人按照实际变化调整，列入合同工程的工程造价内。</w:t>
      </w:r>
    </w:p>
    <w:p>
      <w:pPr>
        <w:pStyle w:val="13"/>
        <w:adjustRightInd w:val="0"/>
        <w:snapToGrid w:val="0"/>
        <w:ind w:right="-238"/>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b w:val="0"/>
          <w:bCs w:val="0"/>
          <w:color w:val="auto"/>
          <w:sz w:val="24"/>
          <w:szCs w:val="24"/>
          <w:highlight w:val="none"/>
        </w:rPr>
      </w:pPr>
      <w:bookmarkStart w:id="624" w:name="_Toc29386"/>
      <w:bookmarkStart w:id="625" w:name="_Toc12231"/>
      <w:bookmarkStart w:id="626" w:name="_Toc10624901"/>
      <w:bookmarkStart w:id="627" w:name="_Toc17172"/>
      <w:bookmarkStart w:id="628" w:name="_Toc29418"/>
      <w:bookmarkStart w:id="629" w:name="_Toc32230"/>
      <w:bookmarkStart w:id="630" w:name="_Toc469384061"/>
      <w:r>
        <w:rPr>
          <w:rFonts w:hint="eastAsia" w:ascii="仿宋" w:hAnsi="仿宋" w:eastAsia="仿宋" w:cs="仿宋"/>
          <w:b w:val="0"/>
          <w:bCs w:val="0"/>
          <w:color w:val="auto"/>
          <w:sz w:val="24"/>
          <w:szCs w:val="24"/>
          <w:highlight w:val="none"/>
        </w:rPr>
        <w:t>★</w:t>
      </w:r>
      <w:r>
        <w:rPr>
          <w:rFonts w:ascii="仿宋" w:hAnsi="仿宋" w:eastAsia="仿宋" w:cs="仿宋"/>
          <w:bCs w:val="0"/>
          <w:color w:val="auto"/>
          <w:sz w:val="24"/>
          <w:szCs w:val="24"/>
          <w:highlight w:val="none"/>
        </w:rPr>
        <w:t xml:space="preserve">77  </w:t>
      </w:r>
      <w:r>
        <w:rPr>
          <w:rFonts w:hint="eastAsia" w:ascii="仿宋" w:hAnsi="仿宋" w:eastAsia="仿宋" w:cs="仿宋"/>
          <w:bCs w:val="0"/>
          <w:color w:val="auto"/>
          <w:sz w:val="24"/>
          <w:szCs w:val="24"/>
          <w:highlight w:val="none"/>
        </w:rPr>
        <w:t>合同价款调整程序</w:t>
      </w:r>
      <w:bookmarkEnd w:id="624"/>
      <w:bookmarkEnd w:id="625"/>
      <w:bookmarkEnd w:id="626"/>
      <w:bookmarkEnd w:id="627"/>
      <w:bookmarkEnd w:id="628"/>
      <w:bookmarkEnd w:id="629"/>
      <w:bookmarkEnd w:id="630"/>
    </w:p>
    <w:p>
      <w:pPr>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77.1</w:t>
      </w:r>
    </w:p>
    <w:p>
      <w:pPr>
        <w:spacing w:line="360" w:lineRule="auto"/>
        <w:ind w:left="1619" w:leftChars="771"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726" name="文本框 731"/>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pStyle w:val="23"/>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upright="1"/>
                    </wps:wsp>
                  </a:graphicData>
                </a:graphic>
              </wp:anchor>
            </w:drawing>
          </mc:Choice>
          <mc:Fallback>
            <w:pict>
              <v:shape id="文本框 731" o:spid="_x0000_s1026" o:spt="202" type="#_x0000_t202" style="position:absolute;left:0pt;margin-left:-9pt;margin-top:1.25pt;height:54.6pt;width:72pt;z-index:25199308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4+3&#10;1gAAAAkBAAAPAAAAAAAAAAEAIAAAACIAAABkcnMvZG93bnJldi54bWxQSwECFAAUAAAACACHTuJA&#10;s7l1JrEBAABRAwAADgAAAAAAAAABACAAAAAlAQAAZHJzL2Uyb0RvYy54bWxQSwUGAAAAAAYABgBZ&#10;AQAASAUAAAAA&#10;">
                <v:fill on="f" focussize="0,0"/>
                <v:stroke on="f"/>
                <v:imagedata o:title=""/>
                <o:lock v:ext="edit" aspectratio="f"/>
                <v:textbox>
                  <w:txbxContent>
                    <w:p>
                      <w:pPr>
                        <w:pStyle w:val="23"/>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仿宋" w:hAnsi="仿宋" w:eastAsia="仿宋" w:cs="仿宋"/>
          <w:color w:val="auto"/>
          <w:sz w:val="24"/>
          <w:szCs w:val="24"/>
          <w:highlight w:val="none"/>
        </w:rPr>
        <w:t>合同履行期间，出现第</w:t>
      </w:r>
      <w:r>
        <w:rPr>
          <w:rFonts w:ascii="仿宋" w:hAnsi="仿宋" w:eastAsia="仿宋" w:cs="仿宋"/>
          <w:color w:val="auto"/>
          <w:sz w:val="24"/>
          <w:szCs w:val="24"/>
          <w:highlight w:val="none"/>
        </w:rPr>
        <w:t>68.2</w:t>
      </w:r>
      <w:r>
        <w:rPr>
          <w:rFonts w:hint="eastAsia" w:ascii="仿宋" w:hAnsi="仿宋" w:eastAsia="仿宋" w:cs="仿宋"/>
          <w:color w:val="auto"/>
          <w:sz w:val="24"/>
          <w:szCs w:val="24"/>
          <w:highlight w:val="none"/>
        </w:rPr>
        <w:t>款规定调整合同价款事件的，除费用索赔、现场签证事件分别按照第</w:t>
      </w:r>
      <w:r>
        <w:rPr>
          <w:rFonts w:ascii="仿宋" w:hAnsi="仿宋" w:eastAsia="仿宋" w:cs="仿宋"/>
          <w:color w:val="auto"/>
          <w:sz w:val="24"/>
          <w:szCs w:val="24"/>
          <w:highlight w:val="none"/>
        </w:rPr>
        <w:t>74</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75</w:t>
      </w:r>
      <w:r>
        <w:rPr>
          <w:rFonts w:hint="eastAsia" w:ascii="仿宋" w:hAnsi="仿宋" w:eastAsia="仿宋" w:cs="仿宋"/>
          <w:color w:val="auto"/>
          <w:sz w:val="24"/>
          <w:szCs w:val="24"/>
          <w:highlight w:val="none"/>
        </w:rPr>
        <w:t>条规定程序外，合同双方当事人应按照本条规定程序调整合同价款。</w:t>
      </w:r>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727" name="文本框 732"/>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23"/>
                              <w:spacing w:line="200" w:lineRule="exact"/>
                              <w:rPr>
                                <w:rFonts w:ascii="宋体" w:hAnsi="宋体" w:eastAsia="宋体"/>
                                <w:sz w:val="18"/>
                                <w:szCs w:val="18"/>
                              </w:rPr>
                            </w:pPr>
                          </w:p>
                        </w:txbxContent>
                      </wps:txbx>
                      <wps:bodyPr upright="1"/>
                    </wps:wsp>
                  </a:graphicData>
                </a:graphic>
              </wp:anchor>
            </w:drawing>
          </mc:Choice>
          <mc:Fallback>
            <w:pict>
              <v:shape id="文本框 732" o:spid="_x0000_s1026" o:spt="202" type="#_x0000_t202" style="position:absolute;left:0pt;margin-left:-4.6pt;margin-top:19.4pt;height:48.75pt;width:72pt;z-index:251994112;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C8H/tUA&#10;AAAJAQAADwAAAAAAAAABACAAAAAiAAAAZHJzL2Rvd25yZXYueG1sUEsBAhQAFAAAAAgAh07iQFBV&#10;rm+wAQAAUQMAAA4AAAAAAAAAAQAgAAAAJAEAAGRycy9lMm9Eb2MueG1sUEsFBgAAAAAGAAYAWQEA&#10;AEYFA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合同价款调增报告的提出</w:t>
                      </w:r>
                    </w:p>
                    <w:p>
                      <w:pPr>
                        <w:pStyle w:val="23"/>
                        <w:spacing w:line="200" w:lineRule="exact"/>
                        <w:rPr>
                          <w:rFonts w:ascii="宋体" w:hAnsi="宋体" w:eastAsia="宋体"/>
                          <w:sz w:val="18"/>
                          <w:szCs w:val="18"/>
                        </w:rPr>
                      </w:pPr>
                    </w:p>
                  </w:txbxContent>
                </v:textbox>
              </v:shape>
            </w:pict>
          </mc:Fallback>
        </mc:AlternateContent>
      </w:r>
      <w:r>
        <w:rPr>
          <w:rFonts w:ascii="仿宋" w:hAnsi="仿宋" w:eastAsia="仿宋" w:cs="仿宋"/>
          <w:b/>
          <w:bCs/>
          <w:color w:val="auto"/>
          <w:sz w:val="24"/>
          <w:szCs w:val="24"/>
          <w:highlight w:val="none"/>
        </w:rPr>
        <w:t xml:space="preserve">77.2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出现合同价款调增事件后的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天内，承包人应向造价工程师提交合同价款调增报告。并附上相关资料。如承包人在出现合同价款调增事件后的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天内未提交合同价款调增报告的，则造价工程师可在报发包人批准后，根据实际情况决定是否调整合同价款以及调整的金额。</w:t>
      </w:r>
    </w:p>
    <w:p>
      <w:pPr>
        <w:pStyle w:val="13"/>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77.3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28" name="文本框 733"/>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调增价款的核</w:t>
                            </w:r>
                          </w:p>
                          <w:p>
                            <w:pPr>
                              <w:pStyle w:val="23"/>
                              <w:spacing w:line="200" w:lineRule="exact"/>
                              <w:rPr>
                                <w:rFonts w:ascii="楷体_GB2312" w:hAnsi="宋体"/>
                                <w:sz w:val="18"/>
                                <w:szCs w:val="18"/>
                              </w:rPr>
                            </w:pPr>
                            <w:r>
                              <w:rPr>
                                <w:rFonts w:hint="eastAsia" w:ascii="楷体_GB2312" w:hAnsi="宋体" w:cs="楷体_GB2312"/>
                                <w:sz w:val="18"/>
                                <w:szCs w:val="18"/>
                              </w:rPr>
                              <w:t>实</w:t>
                            </w:r>
                          </w:p>
                        </w:txbxContent>
                      </wps:txbx>
                      <wps:bodyPr upright="1"/>
                    </wps:wsp>
                  </a:graphicData>
                </a:graphic>
              </wp:anchor>
            </w:drawing>
          </mc:Choice>
          <mc:Fallback>
            <w:pict>
              <v:shape id="文本框 733"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6YhhG1QAA&#10;AAgBAAAPAAAAAAAAAAEAIAAAACIAAABkcnMvZG93bnJldi54bWxQSwECFAAUAAAACACHTuJAVBeM&#10;Oa8BAABSAwAADgAAAAAAAAABACAAAAAkAQAAZHJzL2Uyb0RvYy54bWxQSwUGAAAAAAYABgBZAQAA&#10;RQU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调增价款的核</w:t>
                      </w:r>
                    </w:p>
                    <w:p>
                      <w:pPr>
                        <w:pStyle w:val="23"/>
                        <w:spacing w:line="200" w:lineRule="exact"/>
                        <w:rPr>
                          <w:rFonts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ascii="仿宋" w:hAnsi="仿宋" w:eastAsia="仿宋" w:cs="仿宋"/>
          <w:color w:val="auto"/>
          <w:sz w:val="24"/>
          <w:szCs w:val="24"/>
          <w:highlight w:val="none"/>
        </w:rPr>
        <w:t>造价工程师应在收到合同价款调增报告及相关资料之日起</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天内对其核实，并予以确认或提出协商意见。造价工程师在收到合同价款调增报告之日起</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天内未确认也未提出协商意见的，视为承包人提交的合同价款调增报告已被认可。造价工程师提出协商意见的，合同双方当事人应在承包人收到协商意见后的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77.4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729" name="文本框 73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调增价款的支</w:t>
                            </w:r>
                          </w:p>
                          <w:p>
                            <w:pPr>
                              <w:pStyle w:val="23"/>
                              <w:spacing w:line="200" w:lineRule="exact"/>
                              <w:rPr>
                                <w:rFonts w:ascii="楷体_GB2312" w:hAnsi="宋体"/>
                                <w:sz w:val="18"/>
                                <w:szCs w:val="18"/>
                              </w:rPr>
                            </w:pPr>
                            <w:r>
                              <w:rPr>
                                <w:rFonts w:hint="eastAsia" w:ascii="楷体_GB2312" w:hAnsi="宋体" w:cs="楷体_GB2312"/>
                                <w:sz w:val="18"/>
                                <w:szCs w:val="18"/>
                              </w:rPr>
                              <w:t>付</w:t>
                            </w:r>
                          </w:p>
                        </w:txbxContent>
                      </wps:txbx>
                      <wps:bodyPr upright="1"/>
                    </wps:wsp>
                  </a:graphicData>
                </a:graphic>
              </wp:anchor>
            </w:drawing>
          </mc:Choice>
          <mc:Fallback>
            <w:pict>
              <v:shape id="文本框 734" o:spid="_x0000_s1026" o:spt="202" type="#_x0000_t202" style="position:absolute;left:0pt;margin-left:-9pt;margin-top:2.7pt;height:39pt;width:81pt;z-index:251996160;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IYRtUA&#10;AAAIAQAADwAAAAAAAAABACAAAAAiAAAAZHJzL2Rvd25yZXYueG1sUEsBAhQAFAAAAAgAh07iQNcI&#10;gqawAQAAUgMAAA4AAAAAAAAAAQAgAAAAJAEAAGRycy9lMm9Eb2MueG1sUEsFBgAAAAAGAAYAWQEA&#10;AEYFA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调增价款的支</w:t>
                      </w:r>
                    </w:p>
                    <w:p>
                      <w:pPr>
                        <w:pStyle w:val="23"/>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ascii="仿宋" w:hAnsi="仿宋" w:eastAsia="仿宋" w:cs="仿宋"/>
          <w:color w:val="auto"/>
          <w:sz w:val="24"/>
          <w:szCs w:val="24"/>
          <w:highlight w:val="none"/>
        </w:rPr>
        <w:t>经合同双方当事人确认或造价工程师暂定调增的合同价款，作为追加合同价款，与工程进度款或结算款同期支付。</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77.5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06" w:leftChars="765"/>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730" name="文本框 735"/>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合同价款调减</w:t>
                            </w:r>
                          </w:p>
                          <w:p>
                            <w:pPr>
                              <w:pStyle w:val="23"/>
                              <w:spacing w:line="200" w:lineRule="exact"/>
                              <w:rPr>
                                <w:rFonts w:ascii="楷体_GB2312" w:hAnsi="宋体"/>
                                <w:sz w:val="18"/>
                                <w:szCs w:val="18"/>
                              </w:rPr>
                            </w:pPr>
                            <w:r>
                              <w:rPr>
                                <w:rFonts w:hint="eastAsia" w:ascii="楷体_GB2312" w:hAnsi="宋体" w:cs="楷体_GB2312"/>
                                <w:sz w:val="18"/>
                                <w:szCs w:val="18"/>
                              </w:rPr>
                              <w:t>事件的处理</w:t>
                            </w:r>
                          </w:p>
                        </w:txbxContent>
                      </wps:txbx>
                      <wps:bodyPr upright="1"/>
                    </wps:wsp>
                  </a:graphicData>
                </a:graphic>
              </wp:anchor>
            </w:drawing>
          </mc:Choice>
          <mc:Fallback>
            <w:pict>
              <v:shape id="文本框 735" o:spid="_x0000_s1026" o:spt="202" type="#_x0000_t202" style="position:absolute;left:0pt;margin-left:-5.25pt;margin-top:0.45pt;height:39pt;width:90pt;z-index:251997184;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al450wAAAAcB&#10;AAAPAAAAAAAAAAEAIAAAACIAAABkcnMvZG93bnJldi54bWxQSwECFAAUAAAACACHTuJAJqz8664B&#10;AABSAwAADgAAAAAAAAABACAAAAAiAQAAZHJzL2Uyb0RvYy54bWxQSwUGAAAAAAYABgBZAQAAQgUA&#10;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合同价款调减</w:t>
                      </w:r>
                    </w:p>
                    <w:p>
                      <w:pPr>
                        <w:pStyle w:val="23"/>
                        <w:spacing w:line="200" w:lineRule="exact"/>
                        <w:rPr>
                          <w:rFonts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ascii="仿宋" w:hAnsi="仿宋" w:eastAsia="仿宋" w:cs="仿宋"/>
          <w:color w:val="auto"/>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pPr>
        <w:pStyle w:val="13"/>
        <w:adjustRightInd w:val="0"/>
        <w:snapToGrid w:val="0"/>
        <w:ind w:left="1626" w:right="-238" w:hanging="1626" w:hangingChars="675"/>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5"/>
        <w:tabs>
          <w:tab w:val="left" w:pos="420"/>
          <w:tab w:val="left" w:pos="1287"/>
        </w:tabs>
        <w:rPr>
          <w:rFonts w:ascii="仿宋" w:hAnsi="仿宋" w:eastAsia="仿宋"/>
          <w:color w:val="auto"/>
          <w:sz w:val="24"/>
          <w:szCs w:val="24"/>
          <w:highlight w:val="none"/>
        </w:rPr>
      </w:pPr>
      <w:bookmarkStart w:id="631" w:name="_Toc5354"/>
      <w:bookmarkStart w:id="632" w:name="_Toc10624902"/>
      <w:bookmarkStart w:id="633" w:name="_Toc11484"/>
      <w:bookmarkStart w:id="634" w:name="_Toc30778"/>
      <w:bookmarkStart w:id="635" w:name="_Toc860"/>
      <w:bookmarkStart w:id="636" w:name="_Toc18348"/>
      <w:bookmarkStart w:id="637" w:name="_Toc469384062"/>
      <w:r>
        <w:rPr>
          <w:rFonts w:hint="eastAsia" w:ascii="仿宋" w:hAnsi="仿宋" w:eastAsia="仿宋" w:cs="仿宋"/>
          <w:b w:val="0"/>
          <w:bCs w:val="0"/>
          <w:color w:val="auto"/>
          <w:sz w:val="24"/>
          <w:szCs w:val="24"/>
          <w:highlight w:val="none"/>
        </w:rPr>
        <w:t>★</w:t>
      </w:r>
      <w:r>
        <w:rPr>
          <w:rFonts w:ascii="仿宋" w:hAnsi="仿宋" w:eastAsia="仿宋" w:cs="仿宋"/>
          <w:color w:val="auto"/>
          <w:sz w:val="24"/>
          <w:szCs w:val="24"/>
          <w:highlight w:val="none"/>
        </w:rPr>
        <w:t xml:space="preserve">78  </w:t>
      </w:r>
      <w:r>
        <w:rPr>
          <w:rFonts w:hint="eastAsia" w:ascii="仿宋" w:hAnsi="仿宋" w:eastAsia="仿宋" w:cs="仿宋"/>
          <w:color w:val="auto"/>
          <w:sz w:val="24"/>
          <w:szCs w:val="24"/>
          <w:highlight w:val="none"/>
        </w:rPr>
        <w:t>支付事项</w:t>
      </w:r>
      <w:bookmarkEnd w:id="631"/>
      <w:bookmarkEnd w:id="632"/>
      <w:bookmarkEnd w:id="633"/>
      <w:bookmarkEnd w:id="634"/>
      <w:bookmarkEnd w:id="635"/>
      <w:bookmarkEnd w:id="636"/>
      <w:bookmarkEnd w:id="637"/>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78.1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731" name="文本框 736"/>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支付工程款项</w:t>
                            </w:r>
                          </w:p>
                        </w:txbxContent>
                      </wps:txbx>
                      <wps:bodyPr upright="1"/>
                    </wps:wsp>
                  </a:graphicData>
                </a:graphic>
              </wp:anchor>
            </w:drawing>
          </mc:Choice>
          <mc:Fallback>
            <w:pict>
              <v:shape id="文本框 736" o:spid="_x0000_s1026" o:spt="202" type="#_x0000_t202" style="position:absolute;left:0pt;margin-left:-9pt;margin-top:1.7pt;height:24.75pt;width:90pt;z-index:251998208;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aF9MvVAAAA&#10;CAEAAA8AAAAAAAAAAQAgAAAAIgAAAGRycy9kb3ducmV2LnhtbFBLAQIUABQAAAAIAIdO4kC10Vmq&#10;rgEAAFIDAAAOAAAAAAAAAAEAIAAAACQBAABkcnMvZTJvRG9jLnhtbFBLBQYAAAAABgAGAFkBAABE&#10;BQ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ascii="仿宋" w:hAnsi="仿宋" w:eastAsia="仿宋" w:cs="仿宋"/>
          <w:color w:val="auto"/>
          <w:sz w:val="24"/>
          <w:szCs w:val="24"/>
          <w:highlight w:val="none"/>
        </w:rPr>
        <w:t>发包人应按照下列规定向承包人支付工程款及其他各种款项：</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预付款按照第</w:t>
      </w:r>
      <w:r>
        <w:rPr>
          <w:rFonts w:ascii="仿宋" w:hAnsi="仿宋" w:eastAsia="仿宋" w:cs="仿宋"/>
          <w:color w:val="auto"/>
          <w:sz w:val="24"/>
          <w:szCs w:val="24"/>
          <w:highlight w:val="none"/>
        </w:rPr>
        <w:t>79</w:t>
      </w:r>
      <w:r>
        <w:rPr>
          <w:rFonts w:hint="eastAsia" w:ascii="仿宋" w:hAnsi="仿宋" w:eastAsia="仿宋" w:cs="仿宋"/>
          <w:color w:val="auto"/>
          <w:sz w:val="24"/>
          <w:szCs w:val="24"/>
          <w:highlight w:val="none"/>
        </w:rPr>
        <w:t>条的规定支付；</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绿色施工安全防护费按照第</w:t>
      </w:r>
      <w:r>
        <w:rPr>
          <w:rFonts w:ascii="仿宋" w:hAnsi="仿宋" w:eastAsia="仿宋" w:cs="仿宋"/>
          <w:color w:val="auto"/>
          <w:sz w:val="24"/>
          <w:szCs w:val="24"/>
          <w:highlight w:val="none"/>
        </w:rPr>
        <w:t>80</w:t>
      </w:r>
      <w:r>
        <w:rPr>
          <w:rFonts w:hint="eastAsia" w:ascii="仿宋" w:hAnsi="仿宋" w:eastAsia="仿宋" w:cs="仿宋"/>
          <w:color w:val="auto"/>
          <w:sz w:val="24"/>
          <w:szCs w:val="24"/>
          <w:highlight w:val="none"/>
        </w:rPr>
        <w:t>条规定支付；</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进度款按照第</w:t>
      </w:r>
      <w:r>
        <w:rPr>
          <w:rFonts w:ascii="仿宋" w:hAnsi="仿宋" w:eastAsia="仿宋" w:cs="仿宋"/>
          <w:color w:val="auto"/>
          <w:sz w:val="24"/>
          <w:szCs w:val="24"/>
          <w:highlight w:val="none"/>
        </w:rPr>
        <w:t>81</w:t>
      </w:r>
      <w:r>
        <w:rPr>
          <w:rFonts w:hint="eastAsia" w:ascii="仿宋" w:hAnsi="仿宋" w:eastAsia="仿宋" w:cs="仿宋"/>
          <w:color w:val="auto"/>
          <w:sz w:val="24"/>
          <w:szCs w:val="24"/>
          <w:highlight w:val="none"/>
        </w:rPr>
        <w:t>条的规定支付；</w:t>
      </w:r>
    </w:p>
    <w:p>
      <w:pPr>
        <w:pStyle w:val="13"/>
        <w:adjustRightInd w:val="0"/>
        <w:snapToGrid w:val="0"/>
        <w:spacing w:line="360" w:lineRule="auto"/>
        <w:ind w:left="481" w:leftChars="229" w:firstLine="1320" w:firstLineChars="55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(4)</w:t>
      </w:r>
      <w:r>
        <w:rPr>
          <w:rFonts w:hint="eastAsia" w:ascii="仿宋" w:hAnsi="仿宋" w:eastAsia="仿宋" w:cs="仿宋"/>
          <w:color w:val="auto"/>
          <w:sz w:val="24"/>
          <w:szCs w:val="24"/>
          <w:highlight w:val="none"/>
        </w:rPr>
        <w:t>结算款按照第</w:t>
      </w:r>
      <w:r>
        <w:rPr>
          <w:rFonts w:ascii="仿宋" w:hAnsi="仿宋" w:eastAsia="仿宋" w:cs="仿宋"/>
          <w:color w:val="auto"/>
          <w:sz w:val="24"/>
          <w:szCs w:val="24"/>
          <w:highlight w:val="none"/>
        </w:rPr>
        <w:t>83</w:t>
      </w:r>
      <w:r>
        <w:rPr>
          <w:rFonts w:hint="eastAsia" w:ascii="仿宋" w:hAnsi="仿宋" w:eastAsia="仿宋" w:cs="仿宋"/>
          <w:color w:val="auto"/>
          <w:sz w:val="24"/>
          <w:szCs w:val="24"/>
          <w:highlight w:val="none"/>
        </w:rPr>
        <w:t>条的规定支付；</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质量保证金按照第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条的规定支付；</w:t>
      </w:r>
    </w:p>
    <w:p>
      <w:pPr>
        <w:pStyle w:val="13"/>
        <w:adjustRightInd w:val="0"/>
        <w:snapToGrid w:val="0"/>
        <w:spacing w:line="360" w:lineRule="auto"/>
        <w:ind w:left="1079" w:leftChars="514" w:firstLine="720" w:firstLineChars="3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(6)</w:t>
      </w:r>
      <w:r>
        <w:rPr>
          <w:rFonts w:hint="eastAsia" w:ascii="仿宋" w:hAnsi="仿宋" w:eastAsia="仿宋" w:cs="仿宋"/>
          <w:color w:val="auto"/>
          <w:sz w:val="24"/>
          <w:szCs w:val="24"/>
          <w:highlight w:val="none"/>
        </w:rPr>
        <w:t>最终清算款按照第</w:t>
      </w:r>
      <w:r>
        <w:rPr>
          <w:rFonts w:ascii="仿宋" w:hAnsi="仿宋" w:eastAsia="仿宋" w:cs="仿宋"/>
          <w:color w:val="auto"/>
          <w:sz w:val="24"/>
          <w:szCs w:val="24"/>
          <w:highlight w:val="none"/>
        </w:rPr>
        <w:t>85</w:t>
      </w:r>
      <w:r>
        <w:rPr>
          <w:rFonts w:hint="eastAsia" w:ascii="仿宋" w:hAnsi="仿宋" w:eastAsia="仿宋" w:cs="仿宋"/>
          <w:color w:val="auto"/>
          <w:sz w:val="24"/>
          <w:szCs w:val="24"/>
          <w:highlight w:val="none"/>
        </w:rPr>
        <w:t>条的规定支付。</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732" name="文本框 737"/>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upright="1"/>
                    </wps:wsp>
                  </a:graphicData>
                </a:graphic>
              </wp:anchor>
            </w:drawing>
          </mc:Choice>
          <mc:Fallback>
            <w:pict>
              <v:shape id="文本框 737" o:spid="_x0000_s1026" o:spt="202" type="#_x0000_t202" style="position:absolute;left:0pt;margin-left:-9pt;margin-top:3.45pt;height:31.35pt;width:72pt;z-index:251999232;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q4J2j1AAA&#10;AAgBAAAPAAAAAAAAAAEAIAAAACIAAABkcnMvZG93bnJldi54bWxQSwECFAAUAAAACACHTuJAH2k8&#10;6bABAABRAwAADgAAAAAAAAABACAAAAAjAQAAZHJzL2Uyb0RvYy54bWxQSwUGAAAAAAYABgBZAQAA&#10;RQU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78.3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733" name="文本框 738"/>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upright="1"/>
                    </wps:wsp>
                  </a:graphicData>
                </a:graphic>
              </wp:anchor>
            </w:drawing>
          </mc:Choice>
          <mc:Fallback>
            <w:pict>
              <v:shape id="文本框 738" o:spid="_x0000_s1026" o:spt="202" type="#_x0000_t202" style="position:absolute;left:0pt;margin-left:-9pt;margin-top:0.35pt;height:34.5pt;width:72pt;z-index:252000256;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qu7otQA&#10;AAAHAQAADwAAAAAAAAABACAAAAAiAAAAZHJzL2Rvd25yZXYueG1sUEsBAhQAFAAAAAgAh07iQALO&#10;wNCxAQAAUQMAAA4AAAAAAAAAAQAgAAAAIwEAAGRycy9lMm9Eb2MueG1sUEsFBgAAAAAGAAYAWQEA&#10;AEYFA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78.4  </w:t>
      </w:r>
      <w:r>
        <w:rPr>
          <w:rFonts w:ascii="仿宋" w:hAnsi="仿宋" w:eastAsia="仿宋" w:cs="仿宋"/>
          <w:b/>
          <w:bCs/>
          <w:color w:val="auto"/>
          <w:sz w:val="24"/>
          <w:szCs w:val="24"/>
          <w:highlight w:val="none"/>
          <w:u w:val="dotted"/>
        </w:rPr>
        <w:t xml:space="preserve">                                                                                                       </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734" name="文本框 739"/>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wps:txbx>
                      <wps:bodyPr upright="1"/>
                    </wps:wsp>
                  </a:graphicData>
                </a:graphic>
              </wp:anchor>
            </w:drawing>
          </mc:Choice>
          <mc:Fallback>
            <w:pict>
              <v:shape id="文本框 739" o:spid="_x0000_s1026" o:spt="202" type="#_x0000_t202" style="position:absolute;left:0pt;margin-left:-9pt;margin-top:1.75pt;height:39.7pt;width:72pt;z-index:252001280;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VJ7KfV&#10;AAAACAEAAA8AAAAAAAAAAQAgAAAAIgAAAGRycy9kb3ducmV2LnhtbFBLAQIUABQAAAAIAIdO4kDb&#10;8EaCsQEAAFEDAAAOAAAAAAAAAAEAIAAAACQBAABkcnMvZTJvRG9jLnhtbFBLBQYAAAAABgAGAFkB&#10;AABHBQ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ascii="仿宋" w:hAnsi="仿宋" w:eastAsia="仿宋" w:cs="仿宋"/>
          <w:color w:val="auto"/>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天内，承包人仍未采取措施补救的，发包人可在不损害承包人其他权利的前提下，实施下列工作：</w:t>
      </w:r>
    </w:p>
    <w:p>
      <w:pPr>
        <w:pStyle w:val="13"/>
        <w:numPr>
          <w:ilvl w:val="0"/>
          <w:numId w:val="26"/>
        </w:numPr>
        <w:tabs>
          <w:tab w:val="left" w:pos="2160"/>
        </w:tabs>
        <w:adjustRightInd w:val="0"/>
        <w:snapToGrid w:val="0"/>
        <w:spacing w:line="420" w:lineRule="exact"/>
        <w:ind w:left="1619" w:leftChars="771"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立即停止向承包人支付应付的款项；</w:t>
      </w:r>
    </w:p>
    <w:p>
      <w:pPr>
        <w:pStyle w:val="13"/>
        <w:numPr>
          <w:ilvl w:val="0"/>
          <w:numId w:val="26"/>
        </w:numPr>
        <w:tabs>
          <w:tab w:val="left" w:pos="2160"/>
        </w:tabs>
        <w:adjustRightInd w:val="0"/>
        <w:snapToGrid w:val="0"/>
        <w:spacing w:line="420" w:lineRule="exact"/>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在相应支付期应付的工程款范围内，直接向雇员、分包人和材料设备供应商支付承包人应付的款项。</w:t>
      </w:r>
    </w:p>
    <w:p>
      <w:pPr>
        <w:pStyle w:val="13"/>
        <w:adjustRightInd w:val="0"/>
        <w:snapToGrid w:val="0"/>
        <w:spacing w:line="420" w:lineRule="exact"/>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发包人在实施上述工作后的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天内应以书面形式通知承包人，抄送造价工程师。造价工程师在签发下期支付证书时，应扣除已由发包人直接支付的款项。由于上述工作原因发生的费用由承包人承担；给发包人造成损失的，承包人应予赔偿。</w:t>
      </w:r>
    </w:p>
    <w:p>
      <w:pPr>
        <w:pStyle w:val="13"/>
        <w:adjustRightInd w:val="0"/>
        <w:snapToGrid w:val="0"/>
        <w:spacing w:line="240" w:lineRule="exact"/>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240" w:lineRule="exact"/>
        <w:ind w:firstLine="482"/>
        <w:rPr>
          <w:rFonts w:ascii="仿宋" w:hAnsi="仿宋" w:eastAsia="仿宋" w:cs="Times New Roman"/>
          <w:b/>
          <w:bCs/>
          <w:color w:val="auto"/>
          <w:sz w:val="24"/>
          <w:szCs w:val="24"/>
          <w:highlight w:val="none"/>
        </w:rPr>
      </w:pP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38" w:name="_Toc25038"/>
      <w:bookmarkStart w:id="639" w:name="_Toc30735"/>
      <w:bookmarkStart w:id="640" w:name="_Toc19627"/>
      <w:bookmarkStart w:id="641" w:name="_Toc23594"/>
      <w:bookmarkStart w:id="642" w:name="_Toc10624903"/>
      <w:bookmarkStart w:id="643" w:name="_Toc27071"/>
      <w:bookmarkStart w:id="644" w:name="_Toc46938406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79  </w:t>
      </w:r>
      <w:r>
        <w:rPr>
          <w:rFonts w:hint="eastAsia" w:ascii="仿宋" w:hAnsi="仿宋" w:eastAsia="仿宋" w:cs="仿宋"/>
          <w:b/>
          <w:bCs/>
          <w:color w:val="auto"/>
          <w:sz w:val="24"/>
          <w:szCs w:val="24"/>
          <w:highlight w:val="none"/>
        </w:rPr>
        <w:t>预付款</w:t>
      </w:r>
      <w:bookmarkEnd w:id="638"/>
      <w:bookmarkEnd w:id="639"/>
      <w:bookmarkEnd w:id="640"/>
      <w:bookmarkEnd w:id="641"/>
      <w:bookmarkEnd w:id="642"/>
      <w:bookmarkEnd w:id="643"/>
      <w:bookmarkEnd w:id="644"/>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735" name="文本框 740"/>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预付款的约定</w:t>
                            </w:r>
                          </w:p>
                          <w:p>
                            <w:pPr>
                              <w:pStyle w:val="23"/>
                              <w:spacing w:line="200" w:lineRule="exact"/>
                              <w:rPr>
                                <w:rFonts w:ascii="楷体_GB2312" w:hAnsi="宋体"/>
                                <w:sz w:val="18"/>
                                <w:szCs w:val="18"/>
                              </w:rPr>
                            </w:pPr>
                            <w:r>
                              <w:rPr>
                                <w:rFonts w:hint="eastAsia" w:ascii="楷体_GB2312" w:hAnsi="宋体" w:cs="楷体_GB2312"/>
                                <w:sz w:val="18"/>
                                <w:szCs w:val="18"/>
                              </w:rPr>
                              <w:t>及管理</w:t>
                            </w:r>
                          </w:p>
                        </w:txbxContent>
                      </wps:txbx>
                      <wps:bodyPr upright="1"/>
                    </wps:wsp>
                  </a:graphicData>
                </a:graphic>
              </wp:anchor>
            </w:drawing>
          </mc:Choice>
          <mc:Fallback>
            <w:pict>
              <v:shape id="文本框 740" o:spid="_x0000_s1026" o:spt="202" type="#_x0000_t202" style="position:absolute;left:0pt;margin-left:-9pt;margin-top:17.85pt;height:44.15pt;width:108pt;z-index:252002304;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ho/39cA&#10;AAAKAQAADwAAAAAAAAABACAAAAAiAAAAZHJzL2Rvd25yZXYueG1sUEsBAhQAFAAAAAgAh07iQJf7&#10;KXauAQAAUgMAAA4AAAAAAAAAAQAgAAAAJgEAAGRycy9lMm9Eb2MueG1sUEsFBgAAAAAGAAYAWQEA&#10;AEYFA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预付款的约定</w:t>
                      </w:r>
                    </w:p>
                    <w:p>
                      <w:pPr>
                        <w:pStyle w:val="23"/>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ascii="仿宋" w:hAnsi="仿宋" w:eastAsia="仿宋" w:cs="仿宋"/>
          <w:b/>
          <w:bCs/>
          <w:color w:val="auto"/>
          <w:sz w:val="24"/>
          <w:szCs w:val="24"/>
          <w:highlight w:val="none"/>
        </w:rPr>
        <w:t xml:space="preserve">79.1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除专用条款另有约定外，合同双方当事人应约定预付款，并在专用条款中明确预付款金额、支付办法和抵扣方式。</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预付比例不低于合同价款（扣除暂列金额）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，不高于合同价款（扣除暂列金额）的</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736" name="文本框 741"/>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wps:txbx>
                      <wps:bodyPr upright="1"/>
                    </wps:wsp>
                  </a:graphicData>
                </a:graphic>
              </wp:anchor>
            </w:drawing>
          </mc:Choice>
          <mc:Fallback>
            <w:pict>
              <v:shape id="文本框 741" o:spid="_x0000_s1026" o:spt="202" type="#_x0000_t202" style="position:absolute;left:0pt;margin-left:-9pt;margin-top:1.55pt;height:46.55pt;width:72pt;z-index:252003328;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eJ85NUA&#10;AAAIAQAADwAAAAAAAAABACAAAAAiAAAAZHJzL2Rvd25yZXYueG1sUEsBAhQAFAAAAAgAh07iQPG4&#10;Kc2wAQAAUQMAAA4AAAAAAAAAAQAgAAAAJAEAAGRycy9lMm9Eb2MueG1sUEsFBgAAAAAGAAYAWQEA&#10;AEYFA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ascii="仿宋" w:hAnsi="仿宋" w:eastAsia="仿宋" w:cs="仿宋"/>
          <w:color w:val="auto"/>
          <w:sz w:val="24"/>
          <w:szCs w:val="24"/>
          <w:highlight w:val="none"/>
        </w:rPr>
        <w:t>承包人在完成下列工作后，应按照专用条款约定的期限内向造价工程师提交预付款支付申请，并抄送发包人。</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）签订本合同；</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28.1</w:t>
      </w:r>
      <w:r>
        <w:rPr>
          <w:rFonts w:hint="eastAsia" w:ascii="仿宋" w:hAnsi="仿宋" w:eastAsia="仿宋" w:cs="仿宋"/>
          <w:color w:val="auto"/>
          <w:sz w:val="24"/>
          <w:szCs w:val="24"/>
          <w:highlight w:val="none"/>
        </w:rPr>
        <w:t>款规定提供履约担保；</w:t>
      </w:r>
    </w:p>
    <w:p>
      <w:pPr>
        <w:pStyle w:val="13"/>
        <w:adjustRightInd w:val="0"/>
        <w:snapToGrid w:val="0"/>
        <w:spacing w:line="360" w:lineRule="auto"/>
        <w:ind w:firstLine="1620" w:firstLineChars="67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）向发包人提供与预付款等额的预付款保函的正本。</w:t>
      </w:r>
    </w:p>
    <w:p>
      <w:pPr>
        <w:pStyle w:val="13"/>
        <w:adjustRightInd w:val="0"/>
        <w:snapToGrid w:val="0"/>
        <w:spacing w:line="360" w:lineRule="auto"/>
        <w:ind w:left="1619" w:leftChars="771"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造价工程师应对支付申请进行核实，并在收到支付申请后的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天内报发包人确认后向发包人发出支付证书，同时抄送承包人。</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发包人在造价工程师签发支付证书后的</w:t>
      </w:r>
      <w:r>
        <w:rPr>
          <w:rFonts w:ascii="仿宋" w:hAnsi="仿宋" w:eastAsia="仿宋" w:cs="仿宋"/>
          <w:color w:val="auto"/>
          <w:sz w:val="24"/>
          <w:szCs w:val="24"/>
          <w:highlight w:val="none"/>
        </w:rPr>
        <w:t>30</w:t>
      </w:r>
      <w:r>
        <w:rPr>
          <w:rFonts w:hint="eastAsia" w:ascii="仿宋" w:hAnsi="仿宋" w:eastAsia="仿宋" w:cs="仿宋"/>
          <w:color w:val="auto"/>
          <w:sz w:val="24"/>
          <w:szCs w:val="24"/>
          <w:highlight w:val="none"/>
        </w:rPr>
        <w:t>天内向承包人支付预付款，并通知造价工程师。</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79.3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737" name="文本框 742"/>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upright="1"/>
                    </wps:wsp>
                  </a:graphicData>
                </a:graphic>
              </wp:anchor>
            </w:drawing>
          </mc:Choice>
          <mc:Fallback>
            <w:pict>
              <v:shape id="文本框 742" o:spid="_x0000_s1026" o:spt="202" type="#_x0000_t202" style="position:absolute;left:0pt;margin-left:-9pt;margin-top:0.85pt;height:31.55pt;width:72pt;z-index:25200435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3+MM1QAA&#10;AAgBAAAPAAAAAAAAAAEAIAAAACIAAABkcnMvZG93bnJldi54bWxQSwECFAAUAAAACACHTuJALkOo&#10;FK8BAABRAwAADgAAAAAAAAABACAAAAAkAQAAZHJzL2Uyb0RvYy54bWxQSwUGAAAAAAYABgBZAQAA&#10;RQU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rPr>
        <w:t>发包人没有按时支付预付款的，承包人应在付款期满后的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天向发包人发出要求支付的通知；发包人收到通知后仍不按要求支付，承包人可在发出通知</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天后暂停施工。发包人可与承包人协商签订延期支付协议，经承包人同意后可延期支付，承包人有权按照第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款规定获得延期支付的利息。发包方承担由此增加的费用和（或）延误的工期，并向承包人支付合理利润。</w:t>
      </w: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79.4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738" name="文本框 743"/>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upright="1"/>
                    </wps:wsp>
                  </a:graphicData>
                </a:graphic>
              </wp:anchor>
            </w:drawing>
          </mc:Choice>
          <mc:Fallback>
            <w:pict>
              <v:shape id="文本框 743" o:spid="_x0000_s1026" o:spt="202" type="#_x0000_t202" style="position:absolute;left:0pt;margin-left:-9pt;margin-top:3.65pt;height:23.95pt;width:81pt;z-index:252005376;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lxF3HW&#10;AAAACAEAAA8AAAAAAAAAAQAgAAAAIgAAAGRycy9kb3ducmV2LnhtbFBLAQIUABQAAAAIAIdO4kD3&#10;nCMxsAEAAFIDAAAOAAAAAAAAAAEAIAAAACUBAABkcnMvZTJvRG9jLnhtbFBLBQYAAAAABgAGAFkB&#10;AABHBQ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79.5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739" name="文本框 744"/>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wps:txbx>
                      <wps:bodyPr upright="1"/>
                    </wps:wsp>
                  </a:graphicData>
                </a:graphic>
              </wp:anchor>
            </w:drawing>
          </mc:Choice>
          <mc:Fallback>
            <w:pict>
              <v:shape id="文本框 744" o:spid="_x0000_s1026" o:spt="202" type="#_x0000_t202" style="position:absolute;left:0pt;margin-left:-9pt;margin-top:1.05pt;height:32.15pt;width:72pt;z-index:252006400;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3FFtdUA&#10;AAAIAQAADwAAAAAAAAABACAAAAAiAAAAZHJzL2Rvd25yZXYueG1sUEsBAhQAFAAAAAgAh07iQEQ+&#10;4JawAQAAUQMAAA4AAAAAAAAAAQAgAAAAJAEAAGRycy9lMm9Eb2MueG1sUEsFBgAAAAAGAAYAWQEA&#10;AEYFA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ascii="仿宋" w:hAnsi="仿宋" w:eastAsia="仿宋" w:cs="仿宋"/>
          <w:color w:val="auto"/>
          <w:sz w:val="24"/>
          <w:szCs w:val="24"/>
          <w:highlight w:val="none"/>
        </w:rPr>
        <w:t>承包人应保持预付款保函在预付款全部扣回之前一直有效。发包人应在预付款扣完后的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天内将预付款保函退还承包人，并不得向承包人收取预付款的任何利息。</w:t>
      </w:r>
    </w:p>
    <w:p>
      <w:pPr>
        <w:pStyle w:val="13"/>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240" w:lineRule="exact"/>
        <w:ind w:firstLine="482"/>
        <w:rPr>
          <w:rFonts w:ascii="仿宋" w:hAnsi="仿宋" w:eastAsia="仿宋" w:cs="Times New Roman"/>
          <w:b/>
          <w:bCs/>
          <w:color w:val="auto"/>
          <w:sz w:val="24"/>
          <w:szCs w:val="24"/>
          <w:highlight w:val="none"/>
        </w:rPr>
      </w:pP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45" w:name="_Toc15866"/>
      <w:bookmarkStart w:id="646" w:name="_Toc26106"/>
      <w:bookmarkStart w:id="647" w:name="_Toc10624904"/>
      <w:bookmarkStart w:id="648" w:name="_Toc469384064"/>
      <w:bookmarkStart w:id="649" w:name="_Toc7827"/>
      <w:bookmarkStart w:id="650" w:name="_Toc29773"/>
      <w:bookmarkStart w:id="651" w:name="_Toc2110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80  </w:t>
      </w:r>
      <w:r>
        <w:rPr>
          <w:rFonts w:hint="eastAsia" w:ascii="仿宋" w:hAnsi="仿宋" w:eastAsia="仿宋" w:cs="仿宋"/>
          <w:b/>
          <w:bCs/>
          <w:color w:val="auto"/>
          <w:sz w:val="24"/>
          <w:szCs w:val="24"/>
          <w:highlight w:val="none"/>
        </w:rPr>
        <w:t>绿色施工安全防护费</w:t>
      </w:r>
      <w:bookmarkEnd w:id="645"/>
      <w:bookmarkEnd w:id="646"/>
      <w:bookmarkEnd w:id="647"/>
      <w:bookmarkEnd w:id="648"/>
      <w:bookmarkEnd w:id="649"/>
      <w:bookmarkEnd w:id="650"/>
      <w:bookmarkEnd w:id="651"/>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80.1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740" name="文本框 745"/>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内容、范围和</w:t>
                            </w:r>
                          </w:p>
                          <w:p>
                            <w:pPr>
                              <w:pStyle w:val="23"/>
                              <w:spacing w:line="200" w:lineRule="exact"/>
                              <w:rPr>
                                <w:rFonts w:ascii="楷体_GB2312" w:hAnsi="宋体"/>
                                <w:sz w:val="18"/>
                                <w:szCs w:val="18"/>
                              </w:rPr>
                            </w:pPr>
                            <w:r>
                              <w:rPr>
                                <w:rFonts w:hint="eastAsia" w:ascii="楷体_GB2312" w:hAnsi="宋体" w:cs="楷体_GB2312"/>
                                <w:sz w:val="18"/>
                                <w:szCs w:val="18"/>
                              </w:rPr>
                              <w:t>金额</w:t>
                            </w:r>
                          </w:p>
                        </w:txbxContent>
                      </wps:txbx>
                      <wps:bodyPr upright="1"/>
                    </wps:wsp>
                  </a:graphicData>
                </a:graphic>
              </wp:anchor>
            </w:drawing>
          </mc:Choice>
          <mc:Fallback>
            <w:pict>
              <v:shape id="文本框 745" o:spid="_x0000_s1026" o:spt="202" type="#_x0000_t202" style="position:absolute;left:0pt;margin-left:-9pt;margin-top:1.4pt;height:34.65pt;width:81pt;z-index:252007424;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7bIi3UAAAA&#10;CAEAAA8AAAAAAAAAAQAgAAAAIgAAAGRycy9kb3ducmV2LnhtbFBLAQIUABQAAAAIAIdO4kDYRCL9&#10;rwEAAFIDAAAOAAAAAAAAAAEAIAAAACMBAABkcnMvZTJvRG9jLnhtbFBLBQYAAAAABgAGAFkBAABE&#10;BQ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内容、范围和</w:t>
                      </w:r>
                    </w:p>
                    <w:p>
                      <w:pPr>
                        <w:pStyle w:val="23"/>
                        <w:spacing w:line="200" w:lineRule="exact"/>
                        <w:rPr>
                          <w:rFonts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ascii="仿宋" w:hAnsi="仿宋" w:eastAsia="仿宋" w:cs="仿宋"/>
          <w:color w:val="auto"/>
          <w:sz w:val="24"/>
          <w:szCs w:val="24"/>
          <w:highlight w:val="none"/>
        </w:rPr>
        <w:t>合同双方当事人应在专用条款中约定绿色施工安全防护费的内容、范围和金额，并按照第</w:t>
      </w:r>
      <w:r>
        <w:rPr>
          <w:rFonts w:ascii="仿宋" w:hAnsi="仿宋" w:eastAsia="仿宋" w:cs="仿宋"/>
          <w:color w:val="auto"/>
          <w:sz w:val="24"/>
          <w:szCs w:val="24"/>
          <w:highlight w:val="none"/>
        </w:rPr>
        <w:t>45</w:t>
      </w:r>
      <w:r>
        <w:rPr>
          <w:rFonts w:hint="eastAsia" w:ascii="仿宋" w:hAnsi="仿宋" w:eastAsia="仿宋" w:cs="仿宋"/>
          <w:color w:val="auto"/>
          <w:sz w:val="24"/>
          <w:szCs w:val="24"/>
          <w:highlight w:val="none"/>
        </w:rPr>
        <w:t>条规定实施绿色施工安全防护。除专用条款另有约定外，绿色施工安全防护费的内容和范围，应以现行广东省统一工程计价依据、省市造价管理部门发布管理文件的规定为准。</w:t>
      </w:r>
    </w:p>
    <w:p>
      <w:pPr>
        <w:pStyle w:val="13"/>
        <w:adjustRightInd w:val="0"/>
        <w:snapToGrid w:val="0"/>
        <w:spacing w:line="360" w:lineRule="auto"/>
        <w:rPr>
          <w:rFonts w:ascii="仿宋" w:hAnsi="仿宋" w:eastAsia="仿宋" w:cs="仿宋"/>
          <w:color w:val="auto"/>
          <w:sz w:val="24"/>
          <w:szCs w:val="24"/>
          <w:highlight w:val="none"/>
          <w:u w:val="dotted"/>
        </w:rPr>
      </w:pPr>
      <w:r>
        <w:rPr>
          <w:rFonts w:ascii="仿宋" w:hAnsi="仿宋" w:eastAsia="仿宋" w:cs="仿宋"/>
          <w:b/>
          <w:bCs/>
          <w:color w:val="auto"/>
          <w:sz w:val="24"/>
          <w:szCs w:val="24"/>
          <w:highlight w:val="none"/>
        </w:rPr>
        <w:t xml:space="preserve">80.2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741" name="文本框 746"/>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pPr>
                              <w:pStyle w:val="23"/>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upright="1"/>
                    </wps:wsp>
                  </a:graphicData>
                </a:graphic>
              </wp:anchor>
            </w:drawing>
          </mc:Choice>
          <mc:Fallback>
            <w:pict>
              <v:shape id="文本框 746" o:spid="_x0000_s1026" o:spt="202" type="#_x0000_t202" style="position:absolute;left:0pt;margin-left:-9pt;margin-top:2.7pt;height:62.15pt;width:72pt;z-index:252008448;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JF4sfW&#10;AAAACQEAAA8AAAAAAAAAAQAgAAAAIgAAAGRycy9kb3ducmV2LnhtbFBLAQIUABQAAAAIAIdO4kC8&#10;htRasAEAAFEDAAAOAAAAAAAAAAEAIAAAACUBAABkcnMvZTJvRG9jLnhtbFBLBQYAAAAABgAGAFkB&#10;AABHBQAAAAA=&#10;">
                <v:fill on="f" focussize="0,0"/>
                <v:stroke on="f"/>
                <v:imagedata o:title=""/>
                <o:lock v:ext="edit" aspectratio="f"/>
                <v:textbox>
                  <w:txbxContent>
                    <w:p>
                      <w:pPr>
                        <w:pStyle w:val="23"/>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rPr>
        <w:t>专用条款没有约定的，承包人应在接到监理工程师按照第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款规定发出开工令后的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天内向造价工程师提交绿色施工安全防护费支付申请，并抄送发包人。造价工程师应对支付申请进行核实，并在收到支付申请后的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天内报发包人确认后向发包人发出支付证书，同时抄送承包人。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80.3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合同双方当事人应按照建设行政主管部门的规定，在专用条款中约定绿色施工安全防护费的支付办法和抵扣方式。除专用条款另有约定外，</w:t>
      </w:r>
      <w:r>
        <w:rPr>
          <w:color w:val="auto"/>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742" name="文本框 747"/>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upright="1"/>
                    </wps:wsp>
                  </a:graphicData>
                </a:graphic>
              </wp:anchor>
            </w:drawing>
          </mc:Choice>
          <mc:Fallback>
            <w:pict>
              <v:shape id="文本框 747" o:spid="_x0000_s1026" o:spt="202" type="#_x0000_t202" style="position:absolute;left:0pt;margin-left:-9pt;margin-top:5.65pt;height:27.75pt;width:81pt;z-index:252009472;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gtd9UA&#10;AAAJAQAADwAAAAAAAAABACAAAAAiAAAAZHJzL2Rvd25yZXYueG1sUEsBAhQAFAAAAAgAh07iQGnT&#10;IRKwAQAAUg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rPr>
        <w:t>发包人应在造价工程师签发支付证书后的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天内向承包人支付绿色施工安全防护费，并保证在工程开工后的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天内支付绿色施工安全防护费金额的</w:t>
      </w:r>
      <w:r>
        <w:rPr>
          <w:rFonts w:ascii="仿宋" w:hAnsi="仿宋" w:eastAsia="仿宋" w:cs="仿宋"/>
          <w:color w:val="auto"/>
          <w:sz w:val="24"/>
          <w:szCs w:val="24"/>
          <w:highlight w:val="none"/>
        </w:rPr>
        <w:t>50%</w:t>
      </w:r>
      <w:r>
        <w:rPr>
          <w:rFonts w:hint="eastAsia" w:ascii="仿宋" w:hAnsi="仿宋" w:eastAsia="仿宋" w:cs="仿宋"/>
          <w:color w:val="auto"/>
          <w:sz w:val="24"/>
          <w:szCs w:val="24"/>
          <w:highlight w:val="none"/>
        </w:rPr>
        <w:t>，同时通知造价工程师。其余部分与进度款同期支付。</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80.4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743" name="文本框 748"/>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upright="1"/>
                    </wps:wsp>
                  </a:graphicData>
                </a:graphic>
              </wp:anchor>
            </w:drawing>
          </mc:Choice>
          <mc:Fallback>
            <w:pict>
              <v:shape id="文本框 748" o:spid="_x0000_s1026" o:spt="202" type="#_x0000_t202" style="position:absolute;left:0pt;margin-left:-9pt;margin-top:0.85pt;height:31.55pt;width:72pt;z-index:252010496;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3+MM1QAA&#10;AAgBAAAPAAAAAAAAAAEAIAAAACIAAABkcnMvZG93bnJldi54bWxQSwECFAAUAAAACACHTuJAcBGJ&#10;uK8BAABR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rPr>
        <w:t>发包人没有按时支付绿色施工安全防护费的，承包人应在付款期满后的</w:t>
      </w: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天向发包人发出要求支付的通知；发包人收到通知后仍不按要求支付，承包人可在发出通知</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天后暂停施工。发包人应承担由此增加的费用和（或）延误的工期，并向承包人支付合理利润。</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80.5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744" name="文本框 749"/>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pPr>
                              <w:spacing w:line="240" w:lineRule="exact"/>
                              <w:rPr>
                                <w:rFonts w:ascii="宋体" w:cs="Times New Roman"/>
                              </w:rPr>
                            </w:pPr>
                            <w:r>
                              <w:rPr>
                                <w:rFonts w:hint="eastAsia" w:ascii="楷体_GB2312" w:hAnsi="宋体" w:eastAsia="楷体_GB2312" w:cs="楷体_GB2312"/>
                                <w:b/>
                                <w:bCs/>
                                <w:sz w:val="18"/>
                                <w:szCs w:val="18"/>
                              </w:rPr>
                              <w:t>管理要求</w:t>
                            </w:r>
                          </w:p>
                        </w:txbxContent>
                      </wps:txbx>
                      <wps:bodyPr upright="1"/>
                    </wps:wsp>
                  </a:graphicData>
                </a:graphic>
              </wp:anchor>
            </w:drawing>
          </mc:Choice>
          <mc:Fallback>
            <w:pict>
              <v:shape id="文本框 749" o:spid="_x0000_s1026" o:spt="202" type="#_x0000_t202" style="position:absolute;left:0pt;margin-left:-9pt;margin-top:0.15pt;height:37.1pt;width:72pt;z-index:252011520;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3DUx9UA&#10;AAAHAQAADwAAAAAAAAABACAAAAAiAAAAZHJzL2Rvd25yZXYueG1sUEsBAhQAFAAAAAgAh07iQI6D&#10;8FewAQAAUQMAAA4AAAAAAAAAAQAgAAAAJAEAAGRycy9lMm9Eb2MueG1sUEsFBgAAAAAGAAYAWQEA&#10;AEYFAAAAAA==&#10;">
                <v:fill on="f" focussize="0,0"/>
                <v:stroke on="f"/>
                <v:imagedata o:title=""/>
                <o:lock v:ext="edit" aspectratio="f"/>
                <v:textbox>
                  <w:txbxContent>
                    <w:p>
                      <w:pPr>
                        <w:spacing w:line="240" w:lineRule="exact"/>
                        <w:rPr>
                          <w:rFonts w:ascii="宋体" w:cs="Times New Roman"/>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rPr>
        <w:t>绿色施工安全防护费专款专用，承包人应在财务账目中单独列项备查，不得挪作他用，否则造价工程师有权责令其限期改正；逾期未改正的，可以责令其暂停施工，由此造成的损失和延误的工期由承包人承担。</w:t>
      </w:r>
    </w:p>
    <w:p>
      <w:pPr>
        <w:pStyle w:val="13"/>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2544"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745" name="文本框 750"/>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pPr>
                              <w:pStyle w:val="10"/>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upright="1"/>
                    </wps:wsp>
                  </a:graphicData>
                </a:graphic>
              </wp:anchor>
            </w:drawing>
          </mc:Choice>
          <mc:Fallback>
            <w:pict>
              <v:shape id="文本框 750" o:spid="_x0000_s1026" o:spt="202" type="#_x0000_t202" style="position:absolute;left:0pt;margin-left:0pt;margin-top:23.5pt;height:48pt;width:72pt;z-index:252012544;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OGMh7SAAAABwEA&#10;AA8AAAAAAAAAAQAgAAAAIgAAAGRycy9kb3ducmV2LnhtbFBLAQIUABQAAAAIAIdO4kCBLkQtrgEA&#10;AFEDAAAOAAAAAAAAAAEAIAAAACEBAABkcnMvZTJvRG9jLnhtbFBLBQYAAAAABgAGAFkBAABBBQAA&#10;AAA=&#10;">
                <v:fill on="f" focussize="0,0"/>
                <v:stroke on="f"/>
                <v:imagedata o:title=""/>
                <o:lock v:ext="edit" aspectratio="f"/>
                <v:textbox>
                  <w:txbxContent>
                    <w:p>
                      <w:pPr>
                        <w:pStyle w:val="10"/>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ascii="仿宋" w:hAnsi="仿宋" w:eastAsia="仿宋" w:cs="仿宋"/>
          <w:b/>
          <w:bCs/>
          <w:color w:val="auto"/>
          <w:sz w:val="24"/>
          <w:szCs w:val="24"/>
          <w:highlight w:val="none"/>
        </w:rPr>
        <w:t xml:space="preserve">80.6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除专用条款另有约定外，</w:t>
      </w:r>
      <w:r>
        <w:rPr>
          <w:rFonts w:hint="eastAsia" w:ascii="仿宋" w:hAnsi="仿宋" w:eastAsia="仿宋" w:cs="仿宋"/>
          <w:caps/>
          <w:color w:val="auto"/>
          <w:sz w:val="24"/>
          <w:szCs w:val="24"/>
          <w:highlight w:val="none"/>
        </w:rPr>
        <w:t>获得省、市级或其它级别文明工地的文明工地增加费</w:t>
      </w:r>
      <w:r>
        <w:rPr>
          <w:rFonts w:hint="eastAsia" w:ascii="仿宋" w:hAnsi="仿宋" w:eastAsia="仿宋" w:cs="仿宋"/>
          <w:color w:val="auto"/>
          <w:sz w:val="24"/>
          <w:szCs w:val="24"/>
          <w:highlight w:val="none"/>
        </w:rPr>
        <w:t>，招标工程的根据中标通知书日期，非招标工程的根据合同签订日期的同时期执行的广东省建设工程计价依据</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、广州市住房和城乡建设局发布的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、广州市建设工程造价管理站发布的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计算。当合同工程同时获得上述多个奖项的，</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只按最高奖项的额度计算。</w:t>
      </w:r>
      <w:r>
        <w:rPr>
          <w:rFonts w:hint="eastAsia" w:ascii="仿宋" w:hAnsi="仿宋" w:eastAsia="仿宋" w:cs="仿宋"/>
          <w:caps/>
          <w:color w:val="auto"/>
          <w:sz w:val="24"/>
          <w:szCs w:val="24"/>
          <w:highlight w:val="none"/>
        </w:rPr>
        <w:t>文明工地增加费</w:t>
      </w:r>
      <w:r>
        <w:rPr>
          <w:rFonts w:hint="eastAsia" w:ascii="仿宋" w:hAnsi="仿宋" w:eastAsia="仿宋" w:cs="仿宋"/>
          <w:color w:val="auto"/>
          <w:sz w:val="24"/>
          <w:szCs w:val="24"/>
          <w:highlight w:val="none"/>
        </w:rPr>
        <w:t>列入竣工结算文件中，与竣工结算款一并支付。在竣工结算后获得奖项的，发包人应在获得奖项后的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天内支付。</w:t>
      </w:r>
    </w:p>
    <w:p>
      <w:pPr>
        <w:pStyle w:val="13"/>
        <w:tabs>
          <w:tab w:val="left" w:pos="1620"/>
        </w:tabs>
        <w:adjustRightInd w:val="0"/>
        <w:snapToGrid w:val="0"/>
        <w:spacing w:line="36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52" w:name="_Toc19262"/>
      <w:bookmarkStart w:id="653" w:name="_Toc31146"/>
      <w:bookmarkStart w:id="654" w:name="_Toc469384065"/>
      <w:bookmarkStart w:id="655" w:name="_Toc30542"/>
      <w:bookmarkStart w:id="656" w:name="_Toc10624905"/>
      <w:bookmarkStart w:id="657" w:name="_Toc30933"/>
      <w:bookmarkStart w:id="658" w:name="_Toc16198"/>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81  </w:t>
      </w:r>
      <w:r>
        <w:rPr>
          <w:rFonts w:hint="eastAsia" w:ascii="仿宋" w:hAnsi="仿宋" w:eastAsia="仿宋" w:cs="仿宋"/>
          <w:b/>
          <w:bCs/>
          <w:color w:val="auto"/>
          <w:sz w:val="24"/>
          <w:szCs w:val="24"/>
          <w:highlight w:val="none"/>
        </w:rPr>
        <w:t>进度款</w:t>
      </w:r>
      <w:bookmarkEnd w:id="652"/>
      <w:bookmarkEnd w:id="653"/>
      <w:bookmarkEnd w:id="654"/>
      <w:bookmarkEnd w:id="655"/>
      <w:bookmarkEnd w:id="656"/>
      <w:bookmarkEnd w:id="657"/>
      <w:bookmarkEnd w:id="658"/>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81.1</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746" name="文本框 751"/>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upright="1"/>
                    </wps:wsp>
                  </a:graphicData>
                </a:graphic>
              </wp:anchor>
            </w:drawing>
          </mc:Choice>
          <mc:Fallback>
            <w:pict>
              <v:shape id="文本框 751" o:spid="_x0000_s1026" o:spt="202" type="#_x0000_t202" style="position:absolute;left:0pt;margin-left:-9pt;margin-top:0.65pt;height:54.05pt;width:72pt;z-index:252013568;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lby79UA&#10;AAAJAQAADwAAAAAAAAABACAAAAAiAAAAZHJzL2Rvd25yZXYueG1sUEsBAhQAFAAAAAgAh07iQN8z&#10;ZQWwAQAAUQMAAA4AAAAAAAAAAQAgAAAAJAEAAGRycy9lMm9Eb2MueG1sUEsFBgAAAAAGAAYAWQEA&#10;AEY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4592"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747" name="文本框 752"/>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pPr>
                              <w:spacing w:line="240" w:lineRule="exact"/>
                              <w:rPr>
                                <w:rFonts w:eastAsia="楷体_GB2312" w:cs="Times New Roman"/>
                                <w:b/>
                                <w:bCs/>
                                <w:sz w:val="18"/>
                                <w:szCs w:val="18"/>
                              </w:rPr>
                            </w:pPr>
                            <w:r>
                              <w:rPr>
                                <w:rFonts w:hint="eastAsia" w:eastAsia="楷体_GB2312" w:cs="楷体_GB2312"/>
                                <w:b/>
                                <w:bCs/>
                                <w:sz w:val="18"/>
                                <w:szCs w:val="18"/>
                              </w:rPr>
                              <w:t>安全文明施工费</w:t>
                            </w:r>
                          </w:p>
                          <w:p>
                            <w:pPr>
                              <w:spacing w:line="240" w:lineRule="exact"/>
                              <w:rPr>
                                <w:rFonts w:eastAsia="楷体_GB2312" w:cs="Times New Roman"/>
                                <w:b/>
                                <w:bCs/>
                                <w:sz w:val="18"/>
                                <w:szCs w:val="18"/>
                              </w:rPr>
                            </w:pPr>
                            <w:r>
                              <w:rPr>
                                <w:rFonts w:hint="eastAsia" w:eastAsia="楷体_GB2312" w:cs="楷体_GB2312"/>
                                <w:b/>
                                <w:bCs/>
                                <w:sz w:val="18"/>
                                <w:szCs w:val="18"/>
                              </w:rPr>
                              <w:t>支付申请的提交、</w:t>
                            </w:r>
                          </w:p>
                          <w:p>
                            <w:pPr>
                              <w:spacing w:line="240" w:lineRule="exact"/>
                              <w:rPr>
                                <w:rFonts w:eastAsia="楷体_GB2312" w:cs="Times New Roman"/>
                                <w:b/>
                                <w:bCs/>
                                <w:sz w:val="18"/>
                                <w:szCs w:val="18"/>
                              </w:rPr>
                            </w:pPr>
                            <w:r>
                              <w:rPr>
                                <w:rFonts w:hint="eastAsia" w:eastAsia="楷体_GB2312" w:cs="楷体_GB2312"/>
                                <w:b/>
                                <w:bCs/>
                                <w:sz w:val="18"/>
                                <w:szCs w:val="18"/>
                              </w:rPr>
                              <w:t>核实与支付</w:t>
                            </w:r>
                          </w:p>
                          <w:p>
                            <w:pPr>
                              <w:rPr>
                                <w:rFonts w:eastAsia="楷体_GB2312" w:cs="Times New Roman"/>
                                <w:b/>
                                <w:bCs/>
                                <w:sz w:val="18"/>
                                <w:szCs w:val="18"/>
                              </w:rPr>
                            </w:pPr>
                          </w:p>
                        </w:txbxContent>
                      </wps:txbx>
                      <wps:bodyPr upright="1"/>
                    </wps:wsp>
                  </a:graphicData>
                </a:graphic>
              </wp:anchor>
            </w:drawing>
          </mc:Choice>
          <mc:Fallback>
            <w:pict>
              <v:shape id="文本框 752" o:spid="_x0000_s1026" o:spt="202" type="#_x0000_t202" style="position:absolute;left:0pt;margin-left:-18pt;margin-top:737pt;height:47.05pt;width:111pt;z-index:252014592;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YDi1&#10;1wAAAA0BAAAPAAAAAAAAAAEAIAAAACIAAABkcnMvZG93bnJldi54bWxQSwECFAAUAAAACACHTuJA&#10;kPw1KbABAABSAwAADgAAAAAAAAABACAAAAAmAQAAZHJzL2Uyb0RvYy54bWxQSwUGAAAAAAYABgBZ&#10;AQAASAUAAAAA&#10;">
                <v:fill on="f" focussize="0,0"/>
                <v:stroke on="f"/>
                <v:imagedata o:title=""/>
                <o:lock v:ext="edit" aspectratio="f"/>
                <v:textbox>
                  <w:txbxContent>
                    <w:p>
                      <w:pPr>
                        <w:spacing w:line="240" w:lineRule="exact"/>
                        <w:rPr>
                          <w:rFonts w:eastAsia="楷体_GB2312" w:cs="Times New Roman"/>
                          <w:b/>
                          <w:bCs/>
                          <w:sz w:val="18"/>
                          <w:szCs w:val="18"/>
                        </w:rPr>
                      </w:pPr>
                      <w:r>
                        <w:rPr>
                          <w:rFonts w:hint="eastAsia" w:eastAsia="楷体_GB2312" w:cs="楷体_GB2312"/>
                          <w:b/>
                          <w:bCs/>
                          <w:sz w:val="18"/>
                          <w:szCs w:val="18"/>
                        </w:rPr>
                        <w:t>安全文明施工费</w:t>
                      </w:r>
                    </w:p>
                    <w:p>
                      <w:pPr>
                        <w:spacing w:line="240" w:lineRule="exact"/>
                        <w:rPr>
                          <w:rFonts w:eastAsia="楷体_GB2312" w:cs="Times New Roman"/>
                          <w:b/>
                          <w:bCs/>
                          <w:sz w:val="18"/>
                          <w:szCs w:val="18"/>
                        </w:rPr>
                      </w:pPr>
                      <w:r>
                        <w:rPr>
                          <w:rFonts w:hint="eastAsia" w:eastAsia="楷体_GB2312" w:cs="楷体_GB2312"/>
                          <w:b/>
                          <w:bCs/>
                          <w:sz w:val="18"/>
                          <w:szCs w:val="18"/>
                        </w:rPr>
                        <w:t>支付申请的提交、</w:t>
                      </w:r>
                    </w:p>
                    <w:p>
                      <w:pPr>
                        <w:spacing w:line="240" w:lineRule="exact"/>
                        <w:rPr>
                          <w:rFonts w:eastAsia="楷体_GB2312" w:cs="Times New Roman"/>
                          <w:b/>
                          <w:bCs/>
                          <w:sz w:val="18"/>
                          <w:szCs w:val="18"/>
                        </w:rPr>
                      </w:pPr>
                      <w:r>
                        <w:rPr>
                          <w:rFonts w:hint="eastAsia" w:eastAsia="楷体_GB2312" w:cs="楷体_GB2312"/>
                          <w:b/>
                          <w:bCs/>
                          <w:sz w:val="18"/>
                          <w:szCs w:val="18"/>
                        </w:rPr>
                        <w:t>核实与支付</w:t>
                      </w:r>
                    </w:p>
                    <w:p>
                      <w:pPr>
                        <w:rPr>
                          <w:rFonts w:eastAsia="楷体_GB2312" w:cs="Times New Roman"/>
                          <w:b/>
                          <w:bCs/>
                          <w:sz w:val="18"/>
                          <w:szCs w:val="18"/>
                        </w:rPr>
                      </w:pPr>
                    </w:p>
                  </w:txbxContent>
                </v:textbox>
              </v:shape>
            </w:pict>
          </mc:Fallback>
        </mc:AlternateContent>
      </w:r>
      <w:r>
        <w:rPr>
          <w:rFonts w:hint="eastAsia" w:ascii="仿宋" w:hAnsi="仿宋" w:eastAsia="仿宋" w:cs="仿宋"/>
          <w:color w:val="auto"/>
          <w:sz w:val="24"/>
          <w:szCs w:val="24"/>
          <w:highlight w:val="none"/>
        </w:rPr>
        <w:t>承包人应在每个支付期结束后的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天内向造价工程师提交由承包人代表签署的支付申请和已完工程款额报告一式四份，详细说明此支付期间自己认为有权得到的款项，包括分包人已完工程款，同时抄送发包人。该支付申请的内容包括：</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已完工程款；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已实际支付的工程款；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本期间完成的工程款；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本期间完成的计日工费用；</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本期间应支付的暂列金额价款；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66</w:t>
      </w:r>
      <w:r>
        <w:rPr>
          <w:rFonts w:hint="eastAsia" w:ascii="仿宋" w:hAnsi="仿宋" w:eastAsia="仿宋" w:cs="仿宋"/>
          <w:color w:val="auto"/>
          <w:sz w:val="24"/>
          <w:szCs w:val="24"/>
          <w:highlight w:val="none"/>
        </w:rPr>
        <w:t>条规定本期间应扣除的误期赔偿费；</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68</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76</w:t>
      </w:r>
      <w:r>
        <w:rPr>
          <w:rFonts w:hint="eastAsia" w:ascii="仿宋" w:hAnsi="仿宋" w:eastAsia="仿宋" w:cs="仿宋"/>
          <w:color w:val="auto"/>
          <w:sz w:val="24"/>
          <w:szCs w:val="24"/>
          <w:highlight w:val="none"/>
        </w:rPr>
        <w:t>条规定本期间应支付的调整工程款；</w:t>
      </w:r>
    </w:p>
    <w:p>
      <w:pPr>
        <w:pStyle w:val="13"/>
        <w:numPr>
          <w:ilvl w:val="0"/>
          <w:numId w:val="27"/>
        </w:numPr>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79</w:t>
      </w:r>
      <w:r>
        <w:rPr>
          <w:rFonts w:hint="eastAsia" w:ascii="仿宋" w:hAnsi="仿宋" w:eastAsia="仿宋" w:cs="仿宋"/>
          <w:color w:val="auto"/>
          <w:sz w:val="24"/>
          <w:szCs w:val="24"/>
          <w:highlight w:val="none"/>
        </w:rPr>
        <w:t>条本期间应扣回的预付款；</w:t>
      </w:r>
    </w:p>
    <w:p>
      <w:pPr>
        <w:pStyle w:val="13"/>
        <w:numPr>
          <w:ilvl w:val="0"/>
          <w:numId w:val="27"/>
        </w:numPr>
        <w:tabs>
          <w:tab w:val="left" w:pos="216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80</w:t>
      </w:r>
      <w:r>
        <w:rPr>
          <w:rFonts w:hint="eastAsia" w:ascii="仿宋" w:hAnsi="仿宋" w:eastAsia="仿宋" w:cs="仿宋"/>
          <w:color w:val="auto"/>
          <w:sz w:val="24"/>
          <w:szCs w:val="24"/>
          <w:highlight w:val="none"/>
        </w:rPr>
        <w:t>条规定本期间应支付或扣回的绿色施工安全防护费；</w:t>
      </w:r>
    </w:p>
    <w:p>
      <w:pPr>
        <w:pStyle w:val="13"/>
        <w:numPr>
          <w:ilvl w:val="0"/>
          <w:numId w:val="27"/>
        </w:numPr>
        <w:tabs>
          <w:tab w:val="left" w:pos="216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条本期间应扣留的质量保证金；</w:t>
      </w:r>
    </w:p>
    <w:p>
      <w:pPr>
        <w:pStyle w:val="13"/>
        <w:numPr>
          <w:ilvl w:val="0"/>
          <w:numId w:val="27"/>
        </w:numPr>
        <w:tabs>
          <w:tab w:val="left" w:pos="216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根据合同约定，本期间应支付或扣留（回）的其他款项；</w:t>
      </w:r>
    </w:p>
    <w:p>
      <w:pPr>
        <w:pStyle w:val="13"/>
        <w:numPr>
          <w:ilvl w:val="0"/>
          <w:numId w:val="27"/>
        </w:numPr>
        <w:tabs>
          <w:tab w:val="left" w:pos="2160"/>
        </w:tabs>
        <w:adjustRightInd w:val="0"/>
        <w:snapToGrid w:val="0"/>
        <w:spacing w:line="360" w:lineRule="auto"/>
        <w:ind w:left="1620" w:firstLine="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本期间应支付的工程款。</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81.2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748" name="文本框 753"/>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upright="1"/>
                    </wps:wsp>
                  </a:graphicData>
                </a:graphic>
              </wp:anchor>
            </w:drawing>
          </mc:Choice>
          <mc:Fallback>
            <w:pict>
              <v:shape id="文本框 753" o:spid="_x0000_s1026" o:spt="202" type="#_x0000_t202" style="position:absolute;left:0pt;margin-left:-9pt;margin-top:0pt;height:52.8pt;width:72pt;z-index:252015616;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YUsJ1AAA&#10;AAgBAAAPAAAAAAAAAAEAIAAAACIAAABkcnMvZG93bnJldi54bWxQSwECFAAUAAAACACHTuJARshP&#10;07ABAABRAwAADgAAAAAAAAABACAAAAAjAQAAZHJzL2Uyb0RvYy54bWxQSwUGAAAAAAYABgBZAQAA&#10;RQ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rPr>
        <w:t>造价工程师在收到上述资料后，应按照第</w:t>
      </w:r>
      <w:r>
        <w:rPr>
          <w:rFonts w:ascii="仿宋" w:hAnsi="仿宋" w:eastAsia="仿宋" w:cs="仿宋"/>
          <w:color w:val="auto"/>
          <w:sz w:val="24"/>
          <w:szCs w:val="24"/>
          <w:highlight w:val="none"/>
        </w:rPr>
        <w:t>62</w:t>
      </w:r>
      <w:r>
        <w:rPr>
          <w:rFonts w:hint="eastAsia" w:ascii="仿宋" w:hAnsi="仿宋" w:eastAsia="仿宋" w:cs="仿宋"/>
          <w:color w:val="auto"/>
          <w:sz w:val="24"/>
          <w:szCs w:val="24"/>
          <w:highlight w:val="none"/>
        </w:rPr>
        <w:t>条的规定进行计量，并根据计量结果和合同约定对资料内容予以核实。在收到上述资料后的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天内报发包人确认后向发包人签发期中支付证书，同时抄送承包人。</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造价工程师签发期中支付证书，不应视为发包人已同意、批准或接受了承包人完成该部分工作。</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81.3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749" name="文本框 754"/>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upright="1"/>
                    </wps:wsp>
                  </a:graphicData>
                </a:graphic>
              </wp:anchor>
            </w:drawing>
          </mc:Choice>
          <mc:Fallback>
            <w:pict>
              <v:shape id="文本框 754" o:spid="_x0000_s1026" o:spt="202" type="#_x0000_t202" style="position:absolute;left:0pt;margin-left:-9pt;margin-top:0.5pt;height:21.1pt;width:81pt;z-index:252016640;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GrMutQA&#10;AAAIAQAADwAAAAAAAAABACAAAAAiAAAAZHJzL2Rvd25yZXYueG1sUEsBAhQAFAAAAAgAh07iQJc4&#10;kcixAQAAUgMAAA4AAAAAAAAAAQAgAAAAIwEAAGRycy9lMm9Eb2MueG1sUEsFBgAAAAAGAAYAWQEA&#10;AEYFA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rPr>
        <w:t>发包人应在造价工程师签发期中支付证书后的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天内，按照期中支付证书列明的金额向承包人支付进度款，并通知造价工程师。</w:t>
      </w: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81.4</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750" name="文本框 755"/>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upright="1"/>
                    </wps:wsp>
                  </a:graphicData>
                </a:graphic>
              </wp:anchor>
            </w:drawing>
          </mc:Choice>
          <mc:Fallback>
            <w:pict>
              <v:shape id="文本框 755" o:spid="_x0000_s1026" o:spt="202" type="#_x0000_t202" style="position:absolute;left:0pt;margin-left:-9pt;margin-top:0.65pt;height:51pt;width:72pt;z-index:252017664;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Xfdny1QAA&#10;AAkBAAAPAAAAAAAAAAEAIAAAACIAAABkcnMvZG93bnJldi54bWxQSwECFAAUAAAACACHTuJA3m15&#10;IK8BAABRAwAADgAAAAAAAAABACAAAAAkAQAAZHJzL2Uyb0RvYy54bWxQSwUGAAAAAAYABgBZAQAA&#10;RQUAAAAA&#10;">
                <v:fill on="f" focussize="0,0"/>
                <v:stroke on="f"/>
                <v:imagedata o:title=""/>
                <o:lock v:ext="edit" aspectratio="f"/>
                <v:textbo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81.2</w:t>
      </w:r>
      <w:r>
        <w:rPr>
          <w:rFonts w:hint="eastAsia" w:ascii="仿宋" w:hAnsi="仿宋" w:eastAsia="仿宋" w:cs="仿宋"/>
          <w:color w:val="auto"/>
          <w:sz w:val="24"/>
          <w:szCs w:val="24"/>
          <w:highlight w:val="none"/>
        </w:rPr>
        <w:t>款规定的期限内签发期中支付证书的，则视为承包人提交的支付申请已被认可，承包人应及时向发包人发出要求支付的通知。发包人应在收到通知后的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天内，按照承包人支付申请列明的金额向承包人支付进度款。</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81.5  </w:t>
      </w:r>
      <w:r>
        <w:rPr>
          <w:rFonts w:ascii="仿宋" w:hAnsi="仿宋" w:eastAsia="仿宋" w:cs="仿宋"/>
          <w:b/>
          <w:bCs/>
          <w:color w:val="auto"/>
          <w:sz w:val="24"/>
          <w:szCs w:val="24"/>
          <w:highlight w:val="none"/>
          <w:u w:val="dotted"/>
        </w:rPr>
        <w:t xml:space="preserve">                                                                                                        </w:t>
      </w:r>
    </w:p>
    <w:p>
      <w:pPr>
        <w:pStyle w:val="7"/>
        <w:adjustRightInd w:val="0"/>
        <w:snapToGrid w:val="0"/>
        <w:spacing w:line="360" w:lineRule="auto"/>
        <w:ind w:left="1619" w:leftChars="771" w:firstLine="0"/>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751" name="文本框 756"/>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upright="1"/>
                    </wps:wsp>
                  </a:graphicData>
                </a:graphic>
              </wp:anchor>
            </w:drawing>
          </mc:Choice>
          <mc:Fallback>
            <w:pict>
              <v:shape id="文本框 756" o:spid="_x0000_s1026" o:spt="202" type="#_x0000_t202" style="position:absolute;left:0pt;margin-left:-9pt;margin-top:0.95pt;height:50.95pt;width:72pt;z-index:252018688;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mMZXtUA&#10;AAAJAQAADwAAAAAAAAABACAAAAAiAAAAZHJzL2Rvd25yZXYueG1sUEsBAhQAFAAAAAgAh07iQDLq&#10;VaWwAQAAUQMAAA4AAAAAAAAAAQAgAAAAJAEAAGRycy9lMm9Eb2MueG1sUEsFBgAAAAAGAAYAWQEA&#10;AEYFAAAAAA==&#10;">
                <v:fill on="f" focussize="0,0"/>
                <v:stroke on="f"/>
                <v:imagedata o:title=""/>
                <o:lock v:ext="edit" aspectratio="f"/>
                <v:textbox>
                  <w:txbxContent>
                    <w:p>
                      <w:pPr>
                        <w:jc w:val="left"/>
                        <w:rPr>
                          <w:rFonts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81.3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81.4</w:t>
      </w:r>
      <w:r>
        <w:rPr>
          <w:rFonts w:hint="eastAsia" w:ascii="仿宋" w:hAnsi="仿宋" w:eastAsia="仿宋" w:cs="仿宋"/>
          <w:color w:val="auto"/>
          <w:sz w:val="24"/>
          <w:szCs w:val="24"/>
          <w:highlight w:val="none"/>
        </w:rPr>
        <w:t>款规定支付进度款的，承包人应及时向发包人发出要求支付的通知；发包人收到通知后仍不按要求支付的，可与承包人协商签订延期支付协议，经承包人同意后可延期支付，承包人有权按照第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w:t>
      </w:r>
    </w:p>
    <w:p>
      <w:pPr>
        <w:pStyle w:val="7"/>
        <w:adjustRightInd w:val="0"/>
        <w:snapToGrid w:val="0"/>
        <w:spacing w:line="360" w:lineRule="auto"/>
        <w:ind w:left="1640" w:leftChars="781" w:firstLine="0"/>
        <w:rPr>
          <w:rFonts w:ascii="仿宋" w:hAnsi="仿宋" w:eastAsia="仿宋"/>
          <w:color w:val="auto"/>
          <w:sz w:val="24"/>
          <w:szCs w:val="24"/>
          <w:highlight w:val="none"/>
        </w:rPr>
      </w:pPr>
      <w:r>
        <w:rPr>
          <w:rFonts w:hint="eastAsia" w:ascii="仿宋" w:hAnsi="仿宋" w:eastAsia="仿宋" w:cs="仿宋"/>
          <w:color w:val="auto"/>
          <w:sz w:val="24"/>
          <w:szCs w:val="24"/>
          <w:highlight w:val="none"/>
        </w:rPr>
        <w:t>发包人未按照按照合同约定支付进度款，合同双方当事人又未达成延期支付协议，导致无法施工的，承包人可停止施工。发包人应承担由此增加的费用和（或）延误的工期，并向承包人支付合理利润。</w:t>
      </w: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81.6</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752" name="文本框 757"/>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upright="1"/>
                    </wps:wsp>
                  </a:graphicData>
                </a:graphic>
              </wp:anchor>
            </w:drawing>
          </mc:Choice>
          <mc:Fallback>
            <w:pict>
              <v:shape id="文本框 757" o:spid="_x0000_s1026" o:spt="202" type="#_x0000_t202" style="position:absolute;left:0pt;margin-left:-9pt;margin-top:1.25pt;height:20.95pt;width:81pt;z-index:252019712;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dBUx1QAA&#10;AAgBAAAPAAAAAAAAAAEAIAAAACIAAABkcnMvZG93bnJldi54bWxQSwECFAAUAAAACACHTuJAygyg&#10;Z68BAABSAwAADgAAAAAAAAABACAAAAAkAQAAZHJzL2Uyb0RvYy54bWxQSwUGAAAAAAYABgBZAQAA&#10;RQUAAAAA&#10;">
                <v:fill on="f" focussize="0,0"/>
                <v:stroke on="f"/>
                <v:imagedata o:title=""/>
                <o:lock v:ext="edit" aspectratio="f"/>
                <v:textbox>
                  <w:txbxContent>
                    <w:p>
                      <w:pPr>
                        <w:rPr>
                          <w:rFonts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pPr>
        <w:pStyle w:val="13"/>
        <w:adjustRightInd w:val="0"/>
        <w:snapToGrid w:val="0"/>
        <w:spacing w:line="240" w:lineRule="exact"/>
        <w:ind w:right="-238"/>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59" w:name="_Toc15541"/>
      <w:bookmarkStart w:id="660" w:name="_Toc10624906"/>
      <w:bookmarkStart w:id="661" w:name="_Toc21863"/>
      <w:bookmarkStart w:id="662" w:name="_Toc4954"/>
      <w:bookmarkStart w:id="663" w:name="_Toc469384066"/>
      <w:bookmarkStart w:id="664" w:name="_Toc5092"/>
      <w:bookmarkStart w:id="665" w:name="_Toc17716"/>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82  </w:t>
      </w:r>
      <w:r>
        <w:rPr>
          <w:rFonts w:hint="eastAsia" w:ascii="仿宋" w:hAnsi="仿宋" w:eastAsia="仿宋" w:cs="仿宋"/>
          <w:b/>
          <w:bCs/>
          <w:color w:val="auto"/>
          <w:sz w:val="24"/>
          <w:szCs w:val="24"/>
          <w:highlight w:val="none"/>
        </w:rPr>
        <w:t>竣工结算</w:t>
      </w:r>
      <w:bookmarkEnd w:id="659"/>
      <w:bookmarkEnd w:id="660"/>
      <w:bookmarkEnd w:id="661"/>
      <w:bookmarkEnd w:id="662"/>
      <w:bookmarkEnd w:id="663"/>
      <w:bookmarkEnd w:id="664"/>
      <w:bookmarkEnd w:id="665"/>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82.1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753" name="文本框 75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upright="1"/>
                    </wps:wsp>
                  </a:graphicData>
                </a:graphic>
              </wp:anchor>
            </w:drawing>
          </mc:Choice>
          <mc:Fallback>
            <w:pict>
              <v:shape id="文本框 758" o:spid="_x0000_s1026" o:spt="202" type="#_x0000_t202" style="position:absolute;left:0pt;margin-left:-9pt;margin-top:3.05pt;height:31.2pt;width:72pt;z-index:252020736;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wMFdQA&#10;AAAIAQAADwAAAAAAAAABACAAAAAiAAAAZHJzL2Rvd25yZXYueG1sUEsBAhQAFAAAAAgAh07iQEuP&#10;ZxyxAQAAUQMAAA4AAAAAAAAAAQAgAAAAIw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rPr>
        <w:t>合同双方当事人应按照国家标准《建设工程工程量清单计价规范》（</w:t>
      </w:r>
      <w:r>
        <w:rPr>
          <w:rFonts w:ascii="仿宋" w:hAnsi="仿宋" w:eastAsia="仿宋" w:cs="仿宋"/>
          <w:color w:val="auto"/>
          <w:sz w:val="24"/>
          <w:szCs w:val="24"/>
          <w:highlight w:val="none"/>
        </w:rPr>
        <w:t>GB50500-2013</w:t>
      </w:r>
      <w:r>
        <w:rPr>
          <w:rFonts w:hint="eastAsia" w:ascii="仿宋" w:hAnsi="仿宋" w:eastAsia="仿宋" w:cs="仿宋"/>
          <w:color w:val="auto"/>
          <w:sz w:val="24"/>
          <w:szCs w:val="24"/>
          <w:highlight w:val="none"/>
        </w:rPr>
        <w:t>）规定在专用条款中明确办理竣工结算的程序和时限。专用条款没有约定的，竣工结算按照第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82.5</w:t>
      </w:r>
      <w:r>
        <w:rPr>
          <w:rFonts w:hint="eastAsia" w:ascii="仿宋" w:hAnsi="仿宋" w:eastAsia="仿宋" w:cs="仿宋"/>
          <w:color w:val="auto"/>
          <w:sz w:val="24"/>
          <w:szCs w:val="24"/>
          <w:highlight w:val="none"/>
        </w:rPr>
        <w:t>款规定办理。</w:t>
      </w:r>
    </w:p>
    <w:p>
      <w:pPr>
        <w:spacing w:line="360" w:lineRule="auto"/>
        <w:ind w:left="1680" w:hanging="1680" w:hangingChars="800"/>
        <w:rPr>
          <w:rFonts w:ascii="仿宋" w:hAnsi="仿宋" w:eastAsia="仿宋" w:cs="Times New Roman"/>
          <w:color w:val="auto"/>
          <w:sz w:val="24"/>
          <w:szCs w:val="24"/>
          <w:highlight w:val="none"/>
        </w:rPr>
      </w:pPr>
      <w:r>
        <w:rPr>
          <w:color w:val="auto"/>
          <w:highlight w:val="none"/>
        </w:rPr>
        <w:t xml:space="preserve">                </w:t>
      </w:r>
      <w:r>
        <w:rPr>
          <w:rFonts w:hint="eastAsia" w:ascii="仿宋" w:hAnsi="仿宋" w:eastAsia="仿宋" w:cs="仿宋"/>
          <w:color w:val="auto"/>
          <w:sz w:val="24"/>
          <w:szCs w:val="24"/>
          <w:highlight w:val="none"/>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在办理竣工结算期间，发包人按照第</w:t>
      </w:r>
      <w:r>
        <w:rPr>
          <w:rFonts w:ascii="仿宋" w:hAnsi="仿宋" w:eastAsia="仿宋" w:cs="仿宋"/>
          <w:color w:val="auto"/>
          <w:sz w:val="24"/>
          <w:szCs w:val="24"/>
          <w:highlight w:val="none"/>
        </w:rPr>
        <w:t>78</w:t>
      </w:r>
      <w:r>
        <w:rPr>
          <w:rFonts w:hint="eastAsia" w:ascii="仿宋" w:hAnsi="仿宋" w:eastAsia="仿宋" w:cs="仿宋"/>
          <w:color w:val="auto"/>
          <w:sz w:val="24"/>
          <w:szCs w:val="24"/>
          <w:highlight w:val="none"/>
        </w:rPr>
        <w:t>条规定应向承包人支付的工程款及其他款项不停止。</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82.2  </w:t>
      </w:r>
      <w:r>
        <w:rPr>
          <w:rFonts w:ascii="仿宋" w:hAnsi="仿宋" w:eastAsia="仿宋" w:cs="仿宋"/>
          <w:b/>
          <w:bCs/>
          <w:color w:val="auto"/>
          <w:sz w:val="24"/>
          <w:szCs w:val="24"/>
          <w:highlight w:val="none"/>
          <w:u w:val="dotted"/>
        </w:rPr>
        <w:t xml:space="preserve">                                                                                                       </w:t>
      </w:r>
    </w:p>
    <w:p>
      <w:pPr>
        <w:pStyle w:val="13"/>
        <w:tabs>
          <w:tab w:val="left" w:pos="2641"/>
        </w:tabs>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754" name="文本框 75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upright="1"/>
                    </wps:wsp>
                  </a:graphicData>
                </a:graphic>
              </wp:anchor>
            </w:drawing>
          </mc:Choice>
          <mc:Fallback>
            <w:pict>
              <v:shape id="文本框 759" o:spid="_x0000_s1026" o:spt="202" type="#_x0000_t202" style="position:absolute;left:0pt;margin-left:-9pt;margin-top:1.85pt;height:36.15pt;width:72pt;z-index:252021760;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B/HitUA&#10;AAAIAQAADwAAAAAAAAABACAAAAAiAAAAZHJzL2Rvd25yZXYueG1sUEsBAhQAFAAAAAgAh07iQO8s&#10;Jf6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pPr>
        <w:pStyle w:val="13"/>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rPr>
        <w:t xml:space="preserve">82.3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仿宋"/>
          <w:color w:val="auto"/>
          <w:sz w:val="24"/>
          <w:szCs w:val="24"/>
          <w:highlight w:val="none"/>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755" name="文本框 760"/>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upright="1"/>
                    </wps:wsp>
                  </a:graphicData>
                </a:graphic>
              </wp:anchor>
            </w:drawing>
          </mc:Choice>
          <mc:Fallback>
            <w:pict>
              <v:shape id="文本框 760" o:spid="_x0000_s1026" o:spt="202" type="#_x0000_t202" style="position:absolute;left:0pt;margin-left:-9pt;margin-top:3.05pt;height:32.95pt;width:72pt;z-index:252022784;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CSePVAAAA&#10;CAEAAA8AAAAAAAAAAQAgAAAAIgAAAGRycy9kb3ducmV2LnhtbFBLAQIUABQAAAAIAIdO4kAvS+ao&#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rPr>
        <w:t>造价工程师应在收到承包人按照第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款规定递交的竣工结算文件后的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天内按照造价工程师提出的合理要求补充资料，修改竣工结算文件，并再次递交给造价工程师。</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造价工程师在收到竣工结算文件后的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天内，不核实竣工结算或未提出核实意见的，视为承包人递交的竣工结算已被认可。</w:t>
      </w:r>
    </w:p>
    <w:p>
      <w:pPr>
        <w:pStyle w:val="13"/>
        <w:adjustRightInd w:val="0"/>
        <w:snapToGrid w:val="0"/>
        <w:spacing w:line="360" w:lineRule="auto"/>
        <w:ind w:left="1619" w:leftChars="771"/>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承包人在收到造价工程师提出的核实意见后的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天内，不确认也未提出异议的，视为造价工程师提出的核实意见已被认可，竣工结算办理完毕。</w:t>
      </w:r>
    </w:p>
    <w:p>
      <w:pPr>
        <w:pStyle w:val="13"/>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rPr>
        <w:t xml:space="preserve">82.4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u w:val="single"/>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756" name="文本框 761"/>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upright="1"/>
                    </wps:wsp>
                  </a:graphicData>
                </a:graphic>
              </wp:anchor>
            </w:drawing>
          </mc:Choice>
          <mc:Fallback>
            <w:pict>
              <v:shape id="文本框 761" o:spid="_x0000_s1026" o:spt="202" type="#_x0000_t202" style="position:absolute;left:0pt;margin-left:-9pt;margin-top:1.25pt;height:56.55pt;width:72pt;z-index:252023808;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GQgC7W&#10;AAAACQEAAA8AAAAAAAAAAQAgAAAAIgAAAGRycy9kb3ducmV2LnhtbFBLAQIUABQAAAAIAIdO4kBN&#10;M2BD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rPr>
        <w:t>造价工程师应在收到承包人按照第</w:t>
      </w:r>
      <w:r>
        <w:rPr>
          <w:rFonts w:ascii="仿宋" w:hAnsi="仿宋" w:eastAsia="仿宋" w:cs="仿宋"/>
          <w:color w:val="auto"/>
          <w:sz w:val="24"/>
          <w:szCs w:val="24"/>
          <w:highlight w:val="none"/>
        </w:rPr>
        <w:t>82.3</w:t>
      </w:r>
      <w:r>
        <w:rPr>
          <w:rFonts w:hint="eastAsia" w:ascii="仿宋" w:hAnsi="仿宋" w:eastAsia="仿宋" w:cs="仿宋"/>
          <w:color w:val="auto"/>
          <w:sz w:val="24"/>
          <w:szCs w:val="24"/>
          <w:highlight w:val="none"/>
        </w:rPr>
        <w:t>款规定再次递交的竣工结算文件后的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天内予以复核，并将复核结果通知承包人、抄报发包人。</w:t>
      </w:r>
    </w:p>
    <w:p>
      <w:pPr>
        <w:pStyle w:val="13"/>
        <w:adjustRightInd w:val="0"/>
        <w:snapToGrid w:val="0"/>
        <w:spacing w:line="360" w:lineRule="auto"/>
        <w:ind w:left="1615"/>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）经复核无误的，除属于第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条规定的争议外，发包人应在</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天内在竣工结算文件上签字确认，竣工结算办理完毕。</w:t>
      </w:r>
    </w:p>
    <w:p>
      <w:pPr>
        <w:pStyle w:val="13"/>
        <w:adjustRightInd w:val="0"/>
        <w:snapToGrid w:val="0"/>
        <w:spacing w:line="360" w:lineRule="auto"/>
        <w:ind w:left="1615"/>
        <w:rPr>
          <w:rFonts w:ascii="仿宋" w:hAnsi="仿宋" w:eastAsia="仿宋" w:cs="Times New Roman"/>
          <w:color w:val="auto"/>
          <w:sz w:val="24"/>
          <w:szCs w:val="24"/>
          <w:highlight w:val="none"/>
          <w:u w:val="singl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）经复核认为有误的：无误部分按照本款第</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点规定办理不完全竣工结算；有误部分由造价工程师与合同双方当事人协商解决，或按照第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82.5</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757" name="文本框 76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upright="1"/>
                    </wps:wsp>
                  </a:graphicData>
                </a:graphic>
              </wp:anchor>
            </w:drawing>
          </mc:Choice>
          <mc:Fallback>
            <w:pict>
              <v:shape id="文本框 762" o:spid="_x0000_s1026" o:spt="202" type="#_x0000_t202" style="position:absolute;left:0pt;margin-left:-9pt;margin-top:0.45pt;height:31.2pt;width:72pt;z-index:252024832;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RApqXV&#10;AAAABwEAAA8AAAAAAAAAAQAgAAAAIgAAAGRycy9kb3ducmV2LnhtbFBLAQIUABQAAAAIAIdO4kDW&#10;4LdD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rPr>
        <w:t>发包人应在已核实无误的竣工结算文件上签名确认，拒不签认的，承包人可不交付竣工工程。</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承包人未及时递交竣工结算文件的，发包人要求交付竣工工程，承包人应当交付；发包人不要求交付竣工工程，承包人承担照管永久工程责任。</w:t>
      </w:r>
    </w:p>
    <w:p>
      <w:pPr>
        <w:pStyle w:val="13"/>
        <w:adjustRightInd w:val="0"/>
        <w:snapToGrid w:val="0"/>
        <w:spacing w:line="240" w:lineRule="exact"/>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66" w:name="_Toc10624907"/>
      <w:bookmarkStart w:id="667" w:name="_Toc14307"/>
      <w:bookmarkStart w:id="668" w:name="_Toc469384067"/>
      <w:bookmarkStart w:id="669" w:name="_Toc22839"/>
      <w:bookmarkStart w:id="670" w:name="_Toc25728"/>
      <w:bookmarkStart w:id="671" w:name="_Toc5073"/>
      <w:bookmarkStart w:id="672" w:name="_Toc1132"/>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83  </w:t>
      </w:r>
      <w:r>
        <w:rPr>
          <w:rFonts w:hint="eastAsia" w:ascii="仿宋" w:hAnsi="仿宋" w:eastAsia="仿宋" w:cs="仿宋"/>
          <w:b/>
          <w:bCs/>
          <w:color w:val="auto"/>
          <w:sz w:val="24"/>
          <w:szCs w:val="24"/>
          <w:highlight w:val="none"/>
        </w:rPr>
        <w:t>结算款</w:t>
      </w:r>
      <w:bookmarkEnd w:id="666"/>
      <w:bookmarkEnd w:id="667"/>
      <w:bookmarkEnd w:id="668"/>
      <w:bookmarkEnd w:id="669"/>
      <w:bookmarkEnd w:id="670"/>
      <w:bookmarkEnd w:id="671"/>
      <w:bookmarkEnd w:id="672"/>
    </w:p>
    <w:p>
      <w:pPr>
        <w:pStyle w:val="13"/>
        <w:adjustRightInd w:val="0"/>
        <w:snapToGrid w:val="0"/>
        <w:spacing w:line="360" w:lineRule="auto"/>
        <w:rPr>
          <w:rFonts w:ascii="仿宋" w:hAnsi="仿宋" w:eastAsia="仿宋" w:cs="仿宋"/>
          <w:color w:val="auto"/>
          <w:sz w:val="24"/>
          <w:szCs w:val="24"/>
          <w:highlight w:val="none"/>
        </w:rPr>
      </w:pPr>
      <w:r>
        <w:rPr>
          <w:rFonts w:ascii="仿宋" w:hAnsi="仿宋" w:eastAsia="仿宋" w:cs="仿宋"/>
          <w:b/>
          <w:bCs/>
          <w:color w:val="auto"/>
          <w:sz w:val="24"/>
          <w:szCs w:val="24"/>
          <w:highlight w:val="none"/>
        </w:rPr>
        <w:t xml:space="preserve">83.1 </w:t>
      </w:r>
      <w:r>
        <w:rPr>
          <w:rFonts w:ascii="仿宋" w:hAnsi="仿宋" w:eastAsia="仿宋" w:cs="仿宋"/>
          <w:color w:val="auto"/>
          <w:sz w:val="24"/>
          <w:szCs w:val="24"/>
          <w:highlight w:val="none"/>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758" name="文本框 763"/>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upright="1"/>
                    </wps:wsp>
                  </a:graphicData>
                </a:graphic>
              </wp:anchor>
            </w:drawing>
          </mc:Choice>
          <mc:Fallback>
            <w:pict>
              <v:shape id="文本框 763" o:spid="_x0000_s1026" o:spt="202" type="#_x0000_t202" style="position:absolute;left:0pt;margin-left:-9pt;margin-top:2.85pt;height:36.15pt;width:72pt;z-index:252025856;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yr9J9UA&#10;AAAIAQAADwAAAAAAAAABACAAAAAiAAAAZHJzL2Rvd25yZXYueG1sUEsBAhQAFAAAAAgAh07iQB5P&#10;iHa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合同双方当事人应在专用条款中明确结算款的支付时限。专用条款没有约定的，结算款支付按照第</w:t>
      </w:r>
      <w:r>
        <w:rPr>
          <w:rFonts w:ascii="仿宋" w:hAnsi="仿宋" w:eastAsia="仿宋" w:cs="仿宋"/>
          <w:color w:val="auto"/>
          <w:sz w:val="24"/>
          <w:szCs w:val="24"/>
          <w:highlight w:val="none"/>
        </w:rPr>
        <w:t>83.2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83.5</w:t>
      </w:r>
      <w:r>
        <w:rPr>
          <w:rFonts w:hint="eastAsia" w:ascii="仿宋" w:hAnsi="仿宋" w:eastAsia="仿宋" w:cs="仿宋"/>
          <w:color w:val="auto"/>
          <w:sz w:val="24"/>
          <w:szCs w:val="24"/>
          <w:highlight w:val="none"/>
        </w:rPr>
        <w:t>款规定办理。涉及政府投资资金的工程</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支付期、支付方法等需调整的，应在专用条款中约定。</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承包人应按照第</w:t>
      </w:r>
      <w:r>
        <w:rPr>
          <w:rFonts w:ascii="仿宋" w:hAnsi="仿宋" w:eastAsia="仿宋" w:cs="仿宋"/>
          <w:color w:val="auto"/>
          <w:sz w:val="24"/>
          <w:szCs w:val="24"/>
          <w:highlight w:val="none"/>
        </w:rPr>
        <w:t>82.2</w:t>
      </w:r>
      <w:r>
        <w:rPr>
          <w:rFonts w:hint="eastAsia" w:ascii="仿宋" w:hAnsi="仿宋" w:eastAsia="仿宋" w:cs="仿宋"/>
          <w:color w:val="auto"/>
          <w:sz w:val="24"/>
          <w:szCs w:val="24"/>
          <w:highlight w:val="none"/>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pPr>
        <w:pStyle w:val="13"/>
        <w:tabs>
          <w:tab w:val="left" w:pos="2641"/>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1</w:t>
      </w:r>
      <w:r>
        <w:rPr>
          <w:rFonts w:hint="eastAsia" w:ascii="仿宋" w:hAnsi="仿宋" w:eastAsia="仿宋" w:cs="仿宋"/>
          <w:color w:val="auto"/>
          <w:sz w:val="24"/>
          <w:szCs w:val="24"/>
          <w:highlight w:val="none"/>
        </w:rPr>
        <w:t>）根据合同完成全部或所有工程的总造价；</w:t>
      </w:r>
    </w:p>
    <w:p>
      <w:pPr>
        <w:pStyle w:val="13"/>
        <w:tabs>
          <w:tab w:val="left" w:pos="2641"/>
        </w:tabs>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）根据合同约定发包人应付的所有款项。</w:t>
      </w:r>
    </w:p>
    <w:p>
      <w:pPr>
        <w:pStyle w:val="13"/>
        <w:tabs>
          <w:tab w:val="left" w:pos="2641"/>
        </w:tabs>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rPr>
        <w:t xml:space="preserve">83.2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u w:val="single"/>
        </w:rPr>
      </w:pPr>
      <w:r>
        <w:rPr>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759" name="文本框 764"/>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upright="1"/>
                    </wps:wsp>
                  </a:graphicData>
                </a:graphic>
              </wp:anchor>
            </w:drawing>
          </mc:Choice>
          <mc:Fallback>
            <w:pict>
              <v:shape id="文本框 764" o:spid="_x0000_s1026" o:spt="202" type="#_x0000_t202" style="position:absolute;left:0pt;margin-left:-9pt;margin-top:1.25pt;height:56.55pt;width:72pt;z-index:252026880;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GQgC7W&#10;AAAACQEAAA8AAAAAAAAAAQAgAAAAIgAAAGRycy9kb3ducmV2LnhtbFBLAQIUABQAAAAIAIdO4kBW&#10;a9TF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rPr>
        <w:t>造价工程师在收到上述资料后，应按照第</w:t>
      </w:r>
      <w:r>
        <w:rPr>
          <w:rFonts w:ascii="仿宋" w:hAnsi="仿宋" w:eastAsia="仿宋" w:cs="仿宋"/>
          <w:color w:val="auto"/>
          <w:sz w:val="24"/>
          <w:szCs w:val="24"/>
          <w:highlight w:val="none"/>
        </w:rPr>
        <w:t>82.3</w:t>
      </w:r>
      <w:r>
        <w:rPr>
          <w:rFonts w:hint="eastAsia" w:ascii="仿宋" w:hAnsi="仿宋" w:eastAsia="仿宋" w:cs="仿宋"/>
          <w:color w:val="auto"/>
          <w:sz w:val="24"/>
          <w:szCs w:val="24"/>
          <w:highlight w:val="none"/>
        </w:rPr>
        <w:t>款、第</w:t>
      </w:r>
      <w:r>
        <w:rPr>
          <w:rFonts w:ascii="仿宋" w:hAnsi="仿宋" w:eastAsia="仿宋" w:cs="仿宋"/>
          <w:color w:val="auto"/>
          <w:sz w:val="24"/>
          <w:szCs w:val="24"/>
          <w:highlight w:val="none"/>
        </w:rPr>
        <w:t>82.4</w:t>
      </w:r>
      <w:r>
        <w:rPr>
          <w:rFonts w:hint="eastAsia" w:ascii="仿宋" w:hAnsi="仿宋" w:eastAsia="仿宋" w:cs="仿宋"/>
          <w:color w:val="auto"/>
          <w:sz w:val="24"/>
          <w:szCs w:val="24"/>
          <w:highlight w:val="none"/>
        </w:rPr>
        <w:t>款规定核实竣工结算文件，并在发包人签字确认竣工结算文件后的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天内，向发包人签发竣工结算支付证书，同时抄送承包人。</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83.3</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760" name="文本框 76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upright="1"/>
                    </wps:wsp>
                  </a:graphicData>
                </a:graphic>
              </wp:anchor>
            </w:drawing>
          </mc:Choice>
          <mc:Fallback>
            <w:pict>
              <v:shape id="文本框 765" o:spid="_x0000_s1026" o:spt="202" type="#_x0000_t202" style="position:absolute;left:0pt;margin-left:-9pt;margin-top:0.45pt;height:31.2pt;width:72pt;z-index:252027904;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ECmpdUA&#10;AAAHAQAADwAAAAAAAAABACAAAAAiAAAAZHJzL2Rvd25yZXYueG1sUEsBAhQAFAAAAAgAh07iQGWd&#10;7Y6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rPr>
        <w:t>发包人应在造价工程师签发竣工结算支付证书后的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天内，按照竣工结算支付证书列明的金额向承包人支付结算款，并通知造价工程师。</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83.4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78" w:leftChars="799" w:firstLine="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761" name="文本框 766"/>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upright="1"/>
                    </wps:wsp>
                  </a:graphicData>
                </a:graphic>
              </wp:anchor>
            </w:drawing>
          </mc:Choice>
          <mc:Fallback>
            <w:pict>
              <v:shape id="文本框 766" o:spid="_x0000_s1026" o:spt="202" type="#_x0000_t202" style="position:absolute;left:0pt;margin-left:-5.25pt;margin-top:0.95pt;height:65.3pt;width:82.5pt;z-index:252028928;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TQap3V&#10;AAAACQEAAA8AAAAAAAAAAQAgAAAAIgAAAGRycy9kb3ducmV2LnhtbFBLAQIUABQAAAAIAIdO4kD6&#10;EXWCsQEAAFI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83.2</w:t>
      </w:r>
      <w:r>
        <w:rPr>
          <w:rFonts w:hint="eastAsia" w:ascii="仿宋" w:hAnsi="仿宋" w:eastAsia="仿宋" w:cs="仿宋"/>
          <w:color w:val="auto"/>
          <w:sz w:val="24"/>
          <w:szCs w:val="24"/>
          <w:highlight w:val="none"/>
        </w:rPr>
        <w:t>款规定的期限内签发竣工结算支付证书的，则视为承包人提交的竣工支付申请已被认可，承包人应及时向发包人发出要求支付竣工结算款的通知。发包人应在收到通知后的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天内，按照承包人支付申请列明的金额向承包人支付竣工结算款。</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83.5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80" w:leftChars="8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762" name="文本框 767"/>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upright="1"/>
                    </wps:wsp>
                  </a:graphicData>
                </a:graphic>
              </wp:anchor>
            </w:drawing>
          </mc:Choice>
          <mc:Fallback>
            <w:pict>
              <v:shape id="文本框 767" o:spid="_x0000_s1026" o:spt="202" type="#_x0000_t202" style="position:absolute;left:0pt;margin-left:-9pt;margin-top:4.6pt;height:32.1pt;width:72pt;z-index:252029952;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ssy49YA&#10;AAAIAQAADwAAAAAAAAABACAAAAAiAAAAZHJzL2Rvd25yZXYueG1sUEsBAhQAFAAAAAgAh07iQJBo&#10;+Pu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83.3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83.4</w:t>
      </w:r>
      <w:r>
        <w:rPr>
          <w:rFonts w:hint="eastAsia" w:ascii="仿宋" w:hAnsi="仿宋" w:eastAsia="仿宋" w:cs="仿宋"/>
          <w:color w:val="auto"/>
          <w:sz w:val="24"/>
          <w:szCs w:val="24"/>
          <w:highlight w:val="none"/>
        </w:rPr>
        <w:t>款规定支付竣工结算款的，承包人可催告发包人支付竣工结算款，如双方达成延期支付协议，承包人有权按照第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w:t>
      </w:r>
    </w:p>
    <w:p>
      <w:pPr>
        <w:pStyle w:val="13"/>
        <w:adjustRightInd w:val="0"/>
        <w:snapToGrid w:val="0"/>
        <w:spacing w:line="360" w:lineRule="auto"/>
        <w:ind w:left="1680" w:leftChars="8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发包人在收到竣工结算支付证书后的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pPr>
        <w:pStyle w:val="13"/>
        <w:adjustRightInd w:val="0"/>
        <w:snapToGrid w:val="0"/>
        <w:spacing w:line="360" w:lineRule="auto"/>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tabs>
          <w:tab w:val="left" w:pos="1620"/>
        </w:tabs>
        <w:spacing w:before="100" w:line="360" w:lineRule="auto"/>
        <w:rPr>
          <w:rFonts w:ascii="仿宋" w:hAnsi="仿宋" w:eastAsia="仿宋" w:cs="Times New Roman"/>
          <w:b/>
          <w:bCs/>
          <w:color w:val="auto"/>
          <w:sz w:val="24"/>
          <w:szCs w:val="24"/>
          <w:highlight w:val="none"/>
        </w:rPr>
      </w:pP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73" w:name="_Toc8695"/>
      <w:bookmarkStart w:id="674" w:name="_Toc10624908"/>
      <w:bookmarkStart w:id="675" w:name="_Toc3703"/>
      <w:bookmarkStart w:id="676" w:name="_Toc1141"/>
      <w:bookmarkStart w:id="677" w:name="_Toc469384068"/>
      <w:bookmarkStart w:id="678" w:name="_Toc16645"/>
      <w:bookmarkStart w:id="679" w:name="_Toc28553"/>
      <w:r>
        <w:rPr>
          <w:rFonts w:hint="eastAsia" w:ascii="仿宋" w:hAnsi="仿宋" w:eastAsia="仿宋" w:cs="仿宋"/>
          <w:b/>
          <w:bCs/>
          <w:color w:val="auto"/>
          <w:sz w:val="24"/>
          <w:szCs w:val="24"/>
          <w:highlight w:val="none"/>
        </w:rPr>
        <w:t>★</w:t>
      </w:r>
      <w:r>
        <w:rPr>
          <w:rFonts w:ascii="仿宋" w:hAnsi="仿宋" w:eastAsia="仿宋" w:cs="仿宋"/>
          <w:b/>
          <w:bCs/>
          <w:color w:val="auto"/>
          <w:sz w:val="24"/>
          <w:szCs w:val="24"/>
          <w:highlight w:val="none"/>
        </w:rPr>
        <w:t xml:space="preserve">84  </w:t>
      </w:r>
      <w:r>
        <w:rPr>
          <w:rFonts w:hint="eastAsia" w:ascii="仿宋" w:hAnsi="仿宋" w:eastAsia="仿宋" w:cs="仿宋"/>
          <w:b/>
          <w:bCs/>
          <w:color w:val="auto"/>
          <w:sz w:val="24"/>
          <w:szCs w:val="24"/>
          <w:highlight w:val="none"/>
        </w:rPr>
        <w:t>质量保证金</w:t>
      </w:r>
      <w:bookmarkEnd w:id="673"/>
      <w:bookmarkEnd w:id="674"/>
      <w:bookmarkEnd w:id="675"/>
      <w:bookmarkEnd w:id="676"/>
      <w:bookmarkEnd w:id="677"/>
      <w:bookmarkEnd w:id="678"/>
      <w:bookmarkEnd w:id="679"/>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84.1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763" name="文本框 76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upright="1"/>
                    </wps:wsp>
                  </a:graphicData>
                </a:graphic>
              </wp:anchor>
            </w:drawing>
          </mc:Choice>
          <mc:Fallback>
            <w:pict>
              <v:shape id="文本框 768" o:spid="_x0000_s1026" o:spt="202" type="#_x0000_t202" style="position:absolute;left:0pt;margin-left:-9pt;margin-top:0.65pt;height:31.2pt;width:72pt;z-index:25203097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a3aJbV&#10;AAAACAEAAA8AAAAAAAAAAQAgAAAAIgAAAGRycy9kb3ducmV2LnhtbFBLAQIUABQAAAAIAIdO4kCX&#10;mUcg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ascii="仿宋" w:hAnsi="仿宋" w:eastAsia="仿宋" w:cs="仿宋"/>
          <w:color w:val="auto"/>
          <w:sz w:val="24"/>
          <w:szCs w:val="24"/>
          <w:highlight w:val="none"/>
        </w:rPr>
        <w:t>质量保证金用于承包人对合同工程质量的担保。承包人未按照法律有关规定和合同约定履行质量保修义务的，发包人有权从质量保证金中扣留用于质量保修的各项支出。</w:t>
      </w:r>
    </w:p>
    <w:p>
      <w:pPr>
        <w:pStyle w:val="13"/>
        <w:tabs>
          <w:tab w:val="left" w:pos="90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84.2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合同双方当事人应在专用条款中约定质量保证金金额</w:t>
      </w: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764" name="文本框 769"/>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upright="1"/>
                    </wps:wsp>
                  </a:graphicData>
                </a:graphic>
              </wp:anchor>
            </w:drawing>
          </mc:Choice>
          <mc:Fallback>
            <w:pict>
              <v:shape id="文本框 769" o:spid="_x0000_s1026" o:spt="202" type="#_x0000_t202" style="position:absolute;left:0pt;margin-left:-9pt;margin-top:1.6pt;height:40.9pt;width:72pt;z-index:252032000;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JRW8TV&#10;AAAACAEAAA8AAAAAAAAAAQAgAAAAIgAAAGRycy9kb3ducmV2LnhtbFBLAQIUABQAAAAIAIdO4kBI&#10;6xum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ascii="仿宋" w:hAnsi="仿宋" w:eastAsia="仿宋" w:cs="仿宋"/>
          <w:color w:val="auto"/>
          <w:sz w:val="24"/>
          <w:szCs w:val="24"/>
          <w:highlight w:val="none"/>
        </w:rPr>
        <w:t>。除专用条款另有约定外，质量保证金为合同价款的</w:t>
      </w:r>
      <w:r>
        <w:rPr>
          <w:rFonts w:ascii="仿宋" w:hAnsi="仿宋" w:eastAsia="仿宋" w:cs="仿宋"/>
          <w:color w:val="auto"/>
          <w:sz w:val="24"/>
          <w:szCs w:val="24"/>
          <w:highlight w:val="none"/>
        </w:rPr>
        <w:t>3</w:t>
      </w:r>
      <w:r>
        <w:rPr>
          <w:rFonts w:hint="eastAsia" w:ascii="仿宋" w:hAnsi="仿宋" w:eastAsia="仿宋" w:cs="仿宋"/>
          <w:color w:val="auto"/>
          <w:sz w:val="24"/>
          <w:szCs w:val="24"/>
          <w:highlight w:val="none"/>
        </w:rPr>
        <w:t>％（采取银行保函）。发包人应按照该比例从每支付期应支付给承包人的进度款或结算款中扣留，直到扣留的质量保证金总额达到专用条款约定的的金额为止。</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765" name="文本框 77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upright="1"/>
                    </wps:wsp>
                  </a:graphicData>
                </a:graphic>
              </wp:anchor>
            </w:drawing>
          </mc:Choice>
          <mc:Fallback>
            <w:pict>
              <v:shape id="文本框 770"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V2BW1QAA&#10;AAgBAAAPAAAAAAAAAAEAIAAAACIAAABkcnMvZG93bnJldi54bWxQSwECFAAUAAAACACHTuJAExuo&#10;E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rPr>
        <w:t>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天内将剩余的质量保证金返还给承包人。剩余质量保证金的返还，并不能免除承包人按照合同约定应承担的质量保修责任和应履行的质量保修义务。</w:t>
      </w:r>
      <w:r>
        <w:rPr>
          <w:rFonts w:hint="eastAsia" w:eastAsia="仿宋_GB2312" w:cs="仿宋_GB2312"/>
          <w:color w:val="auto"/>
          <w:kern w:val="0"/>
          <w:sz w:val="24"/>
          <w:szCs w:val="24"/>
          <w:highlight w:val="none"/>
        </w:rPr>
        <w:t>发包人在退还质量保证金的同时按照中国人民银行发布的同期同类贷款基准利率支付利息。</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84.4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766" name="文本框 771"/>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upright="1"/>
                    </wps:wsp>
                  </a:graphicData>
                </a:graphic>
              </wp:anchor>
            </w:drawing>
          </mc:Choice>
          <mc:Fallback>
            <w:pict>
              <v:shape id="文本框 771" o:spid="_x0000_s1026" o:spt="202" type="#_x0000_t202" style="position:absolute;left:0pt;margin-left:-9pt;margin-top:3.6pt;height:36.45pt;width:72pt;z-index:25203404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V2BW1QAA&#10;AAgBAAAPAAAAAAAAAAEAIAAAACIAAABkcnMvZG93bnJldi54bWxQSwECFAAUAAAACACHTuJAK6EJ&#10;j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rPr>
        <w:t>缺陷责任期（包括第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款延长的期限）满时，承包人没有完成缺陷责任的，发包人有权扣留承包人未完成缺陷责任剩余工作所需的部分质量保证金余额，并有权根据第</w:t>
      </w:r>
      <w:r>
        <w:rPr>
          <w:rFonts w:ascii="仿宋" w:hAnsi="仿宋" w:eastAsia="仿宋" w:cs="仿宋"/>
          <w:color w:val="auto"/>
          <w:sz w:val="24"/>
          <w:szCs w:val="24"/>
          <w:highlight w:val="none"/>
        </w:rPr>
        <w:t>59.2</w:t>
      </w:r>
      <w:r>
        <w:rPr>
          <w:rFonts w:hint="eastAsia" w:ascii="仿宋" w:hAnsi="仿宋" w:eastAsia="仿宋" w:cs="仿宋"/>
          <w:color w:val="auto"/>
          <w:sz w:val="24"/>
          <w:szCs w:val="24"/>
          <w:highlight w:val="none"/>
        </w:rPr>
        <w:t>款约定要求延长缺陷责任期，直到完成剩余工作为止。</w:t>
      </w:r>
    </w:p>
    <w:p>
      <w:pPr>
        <w:pStyle w:val="13"/>
        <w:adjustRightInd w:val="0"/>
        <w:snapToGrid w:val="0"/>
        <w:spacing w:line="240" w:lineRule="exact"/>
        <w:ind w:right="-238"/>
        <w:rPr>
          <w:rFonts w:ascii="仿宋" w:hAnsi="仿宋" w:eastAsia="仿宋" w:cs="Times New Roman"/>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80" w:name="_Toc10624909"/>
      <w:bookmarkStart w:id="681" w:name="_Toc9730"/>
      <w:bookmarkStart w:id="682" w:name="_Toc30286"/>
      <w:bookmarkStart w:id="683" w:name="_Toc15433"/>
      <w:bookmarkStart w:id="684" w:name="_Toc18433"/>
      <w:bookmarkStart w:id="685" w:name="_Toc16204"/>
      <w:r>
        <w:rPr>
          <w:rFonts w:ascii="仿宋" w:hAnsi="仿宋" w:eastAsia="仿宋" w:cs="仿宋"/>
          <w:b/>
          <w:bCs/>
          <w:color w:val="auto"/>
          <w:sz w:val="24"/>
          <w:szCs w:val="24"/>
          <w:highlight w:val="none"/>
        </w:rPr>
        <w:t xml:space="preserve">85  </w:t>
      </w:r>
      <w:r>
        <w:rPr>
          <w:rFonts w:hint="eastAsia" w:ascii="仿宋" w:hAnsi="仿宋" w:eastAsia="仿宋" w:cs="仿宋"/>
          <w:b/>
          <w:bCs/>
          <w:color w:val="auto"/>
          <w:sz w:val="24"/>
          <w:szCs w:val="24"/>
          <w:highlight w:val="none"/>
        </w:rPr>
        <w:t>最终清算款</w:t>
      </w:r>
      <w:bookmarkEnd w:id="680"/>
      <w:bookmarkEnd w:id="681"/>
      <w:bookmarkEnd w:id="682"/>
      <w:bookmarkEnd w:id="683"/>
      <w:bookmarkEnd w:id="684"/>
      <w:bookmarkEnd w:id="685"/>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85.1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767" name="文本框 77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upright="1"/>
                    </wps:wsp>
                  </a:graphicData>
                </a:graphic>
              </wp:anchor>
            </w:drawing>
          </mc:Choice>
          <mc:Fallback>
            <w:pict>
              <v:shape id="文本框 772" o:spid="_x0000_s1026" o:spt="202" type="#_x0000_t202" style="position:absolute;left:0pt;margin-left:-9pt;margin-top:5.85pt;height:31.2pt;width:72pt;z-index:252035072;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DyIFbW&#10;AAAACQEAAA8AAAAAAAAAAQAgAAAAIgAAAGRycy9kb3ducmV2LnhtbFBLAQIUABQAAAAIAIdO4kDy&#10;+Shr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sz w:val="24"/>
          <w:szCs w:val="24"/>
          <w:highlight w:val="none"/>
        </w:rPr>
        <w:t>合同双方当事人应在专用条款中明确最终清算款的支付时限。专用条款没有约定的</w:t>
      </w:r>
      <w:r>
        <w:rPr>
          <w:rFonts w:ascii="仿宋" w:hAnsi="仿宋" w:eastAsia="仿宋" w:cs="仿宋"/>
          <w:color w:val="auto"/>
          <w:sz w:val="24"/>
          <w:szCs w:val="24"/>
          <w:highlight w:val="none"/>
        </w:rPr>
        <w:t>,</w:t>
      </w:r>
      <w:r>
        <w:rPr>
          <w:rFonts w:hint="eastAsia" w:ascii="仿宋" w:hAnsi="仿宋" w:eastAsia="仿宋" w:cs="仿宋"/>
          <w:color w:val="auto"/>
          <w:sz w:val="24"/>
          <w:szCs w:val="24"/>
          <w:highlight w:val="none"/>
        </w:rPr>
        <w:t>最终清算款按照第</w:t>
      </w:r>
      <w:r>
        <w:rPr>
          <w:rFonts w:ascii="仿宋" w:hAnsi="仿宋" w:eastAsia="仿宋" w:cs="仿宋"/>
          <w:color w:val="auto"/>
          <w:sz w:val="24"/>
          <w:szCs w:val="24"/>
          <w:highlight w:val="none"/>
        </w:rPr>
        <w:t>85.2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85.5</w:t>
      </w:r>
      <w:r>
        <w:rPr>
          <w:rFonts w:hint="eastAsia" w:ascii="仿宋" w:hAnsi="仿宋" w:eastAsia="仿宋" w:cs="仿宋"/>
          <w:color w:val="auto"/>
          <w:sz w:val="24"/>
          <w:szCs w:val="24"/>
          <w:highlight w:val="none"/>
        </w:rPr>
        <w:t>款规定办理。涉及政府投资资金的工程，支付期、支付方法等需调整的，应在专用条款中约定。</w:t>
      </w:r>
    </w:p>
    <w:p>
      <w:pPr>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pPr>
        <w:pStyle w:val="13"/>
        <w:tabs>
          <w:tab w:val="left" w:pos="90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85.2</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u w:val="single"/>
        </w:rPr>
      </w:pPr>
      <w:r>
        <w:rPr>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768" name="文本框 773"/>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wps:txbx>
                      <wps:bodyPr upright="1"/>
                    </wps:wsp>
                  </a:graphicData>
                </a:graphic>
              </wp:anchor>
            </w:drawing>
          </mc:Choice>
          <mc:Fallback>
            <w:pict>
              <v:shape id="文本框 773" o:spid="_x0000_s1026" o:spt="202" type="#_x0000_t202" style="position:absolute;left:0pt;margin-left:-9pt;margin-top:0.7pt;height:36.45pt;width:81pt;z-index:252036096;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5Ykz9UA&#10;AAAIAQAADwAAAAAAAAABACAAAAAiAAAAZHJzL2Rvd25yZXYueG1sUEsBAhQAFAAAAAgAh07iQMcW&#10;Pvq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ascii="仿宋" w:hAnsi="仿宋" w:eastAsia="仿宋" w:cs="仿宋"/>
          <w:color w:val="auto"/>
          <w:sz w:val="24"/>
          <w:szCs w:val="24"/>
          <w:highlight w:val="none"/>
        </w:rPr>
        <w:t>造价工程师应在收到最终清算支付申请后的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天内予以计量、核实，并将核实结果通知承包人、抄报发包人。发包人应在收到核实结果后的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天内在最终清算文件上签字确认。造价工程师应在发包人签字确认最终清算文件后的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天内，向发包人签发最终清算支付证书，同时抄送承包人。</w:t>
      </w:r>
    </w:p>
    <w:p>
      <w:pPr>
        <w:pStyle w:val="13"/>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769" name="文本框 774"/>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文本框 774" o:spid="_x0000_s1026" o:spt="202" type="#_x0000_t202" style="position:absolute;left:0pt;margin-left:-9pt;margin-top:18.15pt;height:36.45pt;width:72pt;z-index:252037120;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Y8+Z&#10;2AAAAAoBAAAPAAAAAAAAAAEAIAAAACIAAABkcnMvZG93bnJldi54bWxQSwECFAAUAAAACACHTuJA&#10;MPm9Ca8BAABRAwAADgAAAAAAAAABACAAAAAnAQAAZHJzL2Uyb0RvYy54bWxQSwUGAAAAAAYABgBZ&#10;AQAASAUAAAAA&#10;">
                <v:fill on="f" focussize="0,0"/>
                <v:stroke on="f"/>
                <v:imagedata o:title=""/>
                <o:lock v:ext="edit" aspectratio="f"/>
                <v:textbo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ascii="仿宋" w:hAnsi="仿宋" w:eastAsia="仿宋" w:cs="仿宋"/>
          <w:b/>
          <w:bCs/>
          <w:color w:val="auto"/>
          <w:sz w:val="24"/>
          <w:szCs w:val="24"/>
          <w:highlight w:val="none"/>
        </w:rPr>
        <w:t>85.3</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发包人应在造价工程师签发最终清算支付证书后的</w:t>
      </w:r>
      <w:r>
        <w:rPr>
          <w:rFonts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rPr>
        <w:t>天内，按照最终清算支付证书列明的金额向承包人支付最终清算款，并通知造价工程师。</w:t>
      </w:r>
    </w:p>
    <w:p>
      <w:pPr>
        <w:pStyle w:val="13"/>
        <w:adjustRightInd w:val="0"/>
        <w:snapToGrid w:val="0"/>
        <w:spacing w:line="48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770" name="文本框 77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upright="1"/>
                    </wps:wsp>
                  </a:graphicData>
                </a:graphic>
              </wp:anchor>
            </w:drawing>
          </mc:Choice>
          <mc:Fallback>
            <w:pict>
              <v:shape id="文本框 775" o:spid="_x0000_s1026" o:spt="202" type="#_x0000_t202" style="position:absolute;left:0pt;margin-left:-9pt;margin-top:18.45pt;height:36.45pt;width:72pt;z-index:252038144;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P3t&#10;4tgAAAAKAQAADwAAAAAAAAABACAAAAAiAAAAZHJzL2Rvd25yZXYueG1sUEsBAhQAFAAAAAgAh07i&#10;QAiELt6wAQAAUQMAAA4AAAAAAAAAAQAgAAAAJwEAAGRycy9lMm9Eb2MueG1sUEsFBgAAAAAGAAYA&#10;WQEAAEkFAAAAAA==&#10;">
                <v:fill on="f" focussize="0,0"/>
                <v:stroke on="f"/>
                <v:imagedata o:title=""/>
                <o:lock v:ext="edit" aspectratio="f"/>
                <v:textbo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ascii="仿宋" w:hAnsi="仿宋" w:eastAsia="仿宋" w:cs="仿宋"/>
          <w:b/>
          <w:bCs/>
          <w:color w:val="auto"/>
          <w:sz w:val="24"/>
          <w:szCs w:val="24"/>
          <w:highlight w:val="none"/>
        </w:rPr>
        <w:t xml:space="preserve">85.4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576" w:leftChars="75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如果造价工程师未在第</w:t>
      </w:r>
      <w:r>
        <w:rPr>
          <w:rFonts w:ascii="仿宋" w:hAnsi="仿宋" w:eastAsia="仿宋" w:cs="仿宋"/>
          <w:color w:val="auto"/>
          <w:sz w:val="24"/>
          <w:szCs w:val="24"/>
          <w:highlight w:val="none"/>
        </w:rPr>
        <w:t>85.2</w:t>
      </w:r>
      <w:r>
        <w:rPr>
          <w:rFonts w:hint="eastAsia" w:ascii="仿宋" w:hAnsi="仿宋" w:eastAsia="仿宋" w:cs="仿宋"/>
          <w:color w:val="auto"/>
          <w:sz w:val="24"/>
          <w:szCs w:val="24"/>
          <w:highlight w:val="none"/>
        </w:rPr>
        <w:t>款规定的期限内签发最终清算支付证书的，则视为承包人提交的最终清算支付申请已被认可，承包人应及时向发包人发出要求支付最终清算款的通知。发包人应在收到通知后的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天内，按照承包人提交最终清算支付申请列明的金额向承包人支付最终清算款。</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85.5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576" w:leftChars="750" w:hanging="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771" name="文本框 776"/>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upright="1"/>
                    </wps:wsp>
                  </a:graphicData>
                </a:graphic>
              </wp:anchor>
            </w:drawing>
          </mc:Choice>
          <mc:Fallback>
            <w:pict>
              <v:shape id="文本框 776" o:spid="_x0000_s1026" o:spt="202" type="#_x0000_t202" style="position:absolute;left:0pt;margin-left:-9pt;margin-top:0.65pt;height:32.1pt;width:81pt;z-index:252039168;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BvX01QAA&#10;AAgBAAAPAAAAAAAAAAEAIAAAACIAAABkcnMvZG93bnJldi54bWxQSwECFAAUAAAACACHTuJAwDUA&#10;968BAABS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85.3</w:t>
      </w:r>
      <w:r>
        <w:rPr>
          <w:rFonts w:hint="eastAsia" w:ascii="仿宋" w:hAnsi="仿宋" w:eastAsia="仿宋" w:cs="仿宋"/>
          <w:color w:val="auto"/>
          <w:sz w:val="24"/>
          <w:szCs w:val="24"/>
          <w:highlight w:val="none"/>
        </w:rPr>
        <w:t>款和第</w:t>
      </w:r>
      <w:r>
        <w:rPr>
          <w:rFonts w:ascii="仿宋" w:hAnsi="仿宋" w:eastAsia="仿宋" w:cs="仿宋"/>
          <w:color w:val="auto"/>
          <w:sz w:val="24"/>
          <w:szCs w:val="24"/>
          <w:highlight w:val="none"/>
        </w:rPr>
        <w:t>85.4</w:t>
      </w:r>
      <w:r>
        <w:rPr>
          <w:rFonts w:hint="eastAsia" w:ascii="仿宋" w:hAnsi="仿宋" w:eastAsia="仿宋" w:cs="仿宋"/>
          <w:color w:val="auto"/>
          <w:sz w:val="24"/>
          <w:szCs w:val="24"/>
          <w:highlight w:val="none"/>
        </w:rPr>
        <w:t>款规定支付最终清算款的，承包人可催告发包人支付最终清算款，如双方达成延期支付协议，承包人有权按照第</w:t>
      </w:r>
      <w:r>
        <w:rPr>
          <w:rFonts w:ascii="仿宋" w:hAnsi="仿宋" w:eastAsia="仿宋" w:cs="仿宋"/>
          <w:color w:val="auto"/>
          <w:sz w:val="24"/>
          <w:szCs w:val="24"/>
          <w:highlight w:val="none"/>
        </w:rPr>
        <w:t>78.2</w:t>
      </w:r>
      <w:r>
        <w:rPr>
          <w:rFonts w:hint="eastAsia" w:ascii="仿宋" w:hAnsi="仿宋" w:eastAsia="仿宋" w:cs="仿宋"/>
          <w:color w:val="auto"/>
          <w:sz w:val="24"/>
          <w:szCs w:val="24"/>
          <w:highlight w:val="none"/>
        </w:rPr>
        <w:t>款规定获得延期支付的利息。若该永久工程按照第</w:t>
      </w:r>
      <w:r>
        <w:rPr>
          <w:rFonts w:ascii="仿宋" w:hAnsi="仿宋" w:eastAsia="仿宋" w:cs="仿宋"/>
          <w:color w:val="auto"/>
          <w:sz w:val="24"/>
          <w:szCs w:val="24"/>
          <w:highlight w:val="none"/>
        </w:rPr>
        <w:t>83.5</w:t>
      </w:r>
      <w:r>
        <w:rPr>
          <w:rFonts w:hint="eastAsia" w:ascii="仿宋" w:hAnsi="仿宋" w:eastAsia="仿宋" w:cs="仿宋"/>
          <w:color w:val="auto"/>
          <w:sz w:val="24"/>
          <w:szCs w:val="24"/>
          <w:highlight w:val="none"/>
        </w:rPr>
        <w:t>款规定进行折价或依法拍卖的，承包人就该工程折价或拍卖的价款优先受偿。</w:t>
      </w:r>
    </w:p>
    <w:p>
      <w:pPr>
        <w:pStyle w:val="13"/>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85.6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772" name="文本框 777"/>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upright="1"/>
                    </wps:wsp>
                  </a:graphicData>
                </a:graphic>
              </wp:anchor>
            </w:drawing>
          </mc:Choice>
          <mc:Fallback>
            <w:pict>
              <v:shape id="文本框 777" o:spid="_x0000_s1026" o:spt="202" type="#_x0000_t202" style="position:absolute;left:0pt;margin-left:-9pt;margin-top:3.6pt;height:36.45pt;width:72pt;z-index:25204019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ldgVtUA&#10;AAAIAQAADwAAAAAAAAABACAAAAAiAAAAZHJzL2Rvd25yZXYueG1sUEsBAhQAFAAAAAgAh07iQA9w&#10;olW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color w:val="auto"/>
          <w:sz w:val="24"/>
          <w:szCs w:val="24"/>
          <w:highlight w:val="none"/>
        </w:rPr>
        <w:t>承包人对发包人支付的最终清算款有异议的，按照第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条约定的争议处理。</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jc w:val="center"/>
        <w:outlineLvl w:val="1"/>
        <w:rPr>
          <w:rFonts w:ascii="仿宋" w:hAnsi="仿宋" w:eastAsia="仿宋" w:cs="Times New Roman"/>
          <w:b/>
          <w:bCs/>
          <w:color w:val="auto"/>
          <w:sz w:val="24"/>
          <w:szCs w:val="24"/>
          <w:highlight w:val="none"/>
        </w:rPr>
      </w:pPr>
      <w:bookmarkStart w:id="686" w:name="_Toc6132"/>
      <w:bookmarkStart w:id="687" w:name="_Toc16715"/>
      <w:bookmarkStart w:id="688" w:name="_Toc11965"/>
      <w:bookmarkStart w:id="689" w:name="_Toc29334"/>
      <w:bookmarkStart w:id="690" w:name="_Toc10624910"/>
      <w:bookmarkStart w:id="691" w:name="_Toc32022"/>
      <w:bookmarkStart w:id="692" w:name="_Toc469384069"/>
      <w:r>
        <w:rPr>
          <w:rFonts w:hint="eastAsia" w:ascii="仿宋" w:hAnsi="仿宋" w:eastAsia="仿宋" w:cs="仿宋"/>
          <w:b/>
          <w:bCs/>
          <w:color w:val="auto"/>
          <w:sz w:val="24"/>
          <w:szCs w:val="24"/>
          <w:highlight w:val="none"/>
        </w:rPr>
        <w:t>七、合同争议、解除与终止</w:t>
      </w:r>
      <w:bookmarkEnd w:id="686"/>
      <w:bookmarkEnd w:id="687"/>
      <w:bookmarkEnd w:id="688"/>
      <w:bookmarkEnd w:id="689"/>
      <w:bookmarkEnd w:id="690"/>
      <w:bookmarkEnd w:id="691"/>
      <w:bookmarkEnd w:id="692"/>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693" w:name="_Toc16270"/>
      <w:bookmarkStart w:id="694" w:name="_Toc5680"/>
      <w:bookmarkStart w:id="695" w:name="_Toc469384070"/>
      <w:bookmarkStart w:id="696" w:name="_Toc27328"/>
      <w:bookmarkStart w:id="697" w:name="_Toc16140"/>
      <w:bookmarkStart w:id="698" w:name="_Toc15024"/>
      <w:bookmarkStart w:id="699" w:name="_Toc10624911"/>
      <w:r>
        <w:rPr>
          <w:rFonts w:ascii="仿宋" w:hAnsi="仿宋" w:eastAsia="仿宋" w:cs="仿宋"/>
          <w:b/>
          <w:bCs/>
          <w:color w:val="auto"/>
          <w:sz w:val="24"/>
          <w:szCs w:val="24"/>
          <w:highlight w:val="none"/>
        </w:rPr>
        <w:t xml:space="preserve">86  </w:t>
      </w:r>
      <w:r>
        <w:rPr>
          <w:rFonts w:hint="eastAsia" w:ascii="仿宋" w:hAnsi="仿宋" w:eastAsia="仿宋" w:cs="仿宋"/>
          <w:b/>
          <w:bCs/>
          <w:color w:val="auto"/>
          <w:sz w:val="24"/>
          <w:szCs w:val="24"/>
          <w:highlight w:val="none"/>
        </w:rPr>
        <w:t>合同争议</w:t>
      </w:r>
      <w:bookmarkEnd w:id="693"/>
      <w:bookmarkEnd w:id="694"/>
      <w:bookmarkEnd w:id="695"/>
      <w:bookmarkEnd w:id="696"/>
      <w:bookmarkEnd w:id="697"/>
      <w:bookmarkEnd w:id="698"/>
      <w:bookmarkEnd w:id="699"/>
    </w:p>
    <w:p>
      <w:pPr>
        <w:pStyle w:val="13"/>
        <w:adjustRightInd w:val="0"/>
        <w:snapToGrid w:val="0"/>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773" name="文本框 77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upright="1"/>
                    </wps:wsp>
                  </a:graphicData>
                </a:graphic>
              </wp:anchor>
            </w:drawing>
          </mc:Choice>
          <mc:Fallback>
            <w:pict>
              <v:shape id="文本框 778" o:spid="_x0000_s1026" o:spt="202" type="#_x0000_t202" style="position:absolute;left:0pt;margin-left:-9pt;margin-top:22.4pt;height:37pt;width:72pt;z-index:252041216;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CbDmrX&#10;AAAACgEAAA8AAAAAAAAAAQAgAAAAIgAAAGRycy9kb3ducmV2LnhtbFBLAQIUABQAAAAIAIdO4kAC&#10;Erd0rwEAAFEDAAAOAAAAAAAAAAEAIAAAACY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ascii="仿宋" w:hAnsi="仿宋" w:eastAsia="仿宋" w:cs="仿宋"/>
          <w:b/>
          <w:bCs/>
          <w:color w:val="auto"/>
          <w:sz w:val="24"/>
          <w:szCs w:val="24"/>
          <w:highlight w:val="none"/>
        </w:rPr>
        <w:t xml:space="preserve">86.1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本合同履行期间，合同双方当事人应在收到监理工程师或造价工程师依据合同约定作出暂定结果之后的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合同双方当事人在收到监理工程师或造价工程师的暂定结果之日起，超过</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天，未对暂定结果予以确认也未提出意见的，视为合同双方当事人已认可暂定结果。</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86.2  </w:t>
      </w:r>
      <w:r>
        <w:rPr>
          <w:rFonts w:ascii="仿宋" w:hAnsi="仿宋" w:eastAsia="仿宋" w:cs="仿宋"/>
          <w:b/>
          <w:bCs/>
          <w:color w:val="auto"/>
          <w:sz w:val="24"/>
          <w:szCs w:val="24"/>
          <w:highlight w:val="none"/>
          <w:u w:val="dotted"/>
        </w:rPr>
        <w:t xml:space="preserve">                                                                                                        </w:t>
      </w:r>
    </w:p>
    <w:p>
      <w:pPr>
        <w:pStyle w:val="13"/>
        <w:tabs>
          <w:tab w:val="left" w:pos="1320"/>
        </w:tabs>
        <w:adjustRightInd w:val="0"/>
        <w:snapToGrid w:val="0"/>
        <w:spacing w:line="360" w:lineRule="auto"/>
        <w:ind w:left="1680" w:leftChars="800"/>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774" name="文本框 779"/>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upright="1"/>
                    </wps:wsp>
                  </a:graphicData>
                </a:graphic>
              </wp:anchor>
            </w:drawing>
          </mc:Choice>
          <mc:Fallback>
            <w:pict>
              <v:shape id="文本框 779" o:spid="_x0000_s1026" o:spt="202" type="#_x0000_t202" style="position:absolute;left:0pt;margin-left:-9pt;margin-top:2.1pt;height:29.4pt;width:63pt;z-index:252042240;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b9mWnUAAAA&#10;CAEAAA8AAAAAAAAAAQAgAAAAIgAAAGRycy9kb3ducmV2LnhtbFBLAQIUABQAAAAIAIdO4kAvx4Te&#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rPr>
        <w:t>争议发生后的</w:t>
      </w:r>
      <w:r>
        <w:rPr>
          <w:rFonts w:ascii="仿宋" w:hAnsi="仿宋" w:eastAsia="仿宋" w:cs="仿宋"/>
          <w:color w:val="auto"/>
          <w:sz w:val="24"/>
          <w:szCs w:val="24"/>
          <w:highlight w:val="none"/>
        </w:rPr>
        <w:t>14</w:t>
      </w:r>
      <w:r>
        <w:rPr>
          <w:rFonts w:hint="eastAsia" w:ascii="仿宋" w:hAnsi="仿宋" w:eastAsia="仿宋" w:cs="仿宋"/>
          <w:color w:val="auto"/>
          <w:sz w:val="24"/>
          <w:szCs w:val="24"/>
          <w:highlight w:val="none"/>
        </w:rPr>
        <w:t>天内，合同双方当事人可进一步进行协商。协商达成一致的，合同双方当事人应签订书面协议，并将结果抄送监理工程师或造价工程师；协商仍不能达成一致的，按照第</w:t>
      </w:r>
      <w:r>
        <w:rPr>
          <w:rFonts w:ascii="仿宋" w:hAnsi="仿宋" w:eastAsia="仿宋" w:cs="仿宋"/>
          <w:color w:val="auto"/>
          <w:sz w:val="24"/>
          <w:szCs w:val="24"/>
          <w:highlight w:val="none"/>
        </w:rPr>
        <w:t>86.3</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86.6</w:t>
      </w:r>
      <w:r>
        <w:rPr>
          <w:rFonts w:hint="eastAsia" w:ascii="仿宋" w:hAnsi="仿宋" w:eastAsia="仿宋" w:cs="仿宋"/>
          <w:color w:val="auto"/>
          <w:sz w:val="24"/>
          <w:szCs w:val="24"/>
          <w:highlight w:val="none"/>
        </w:rPr>
        <w:t>款规定进行调解或认定、仲裁或诉讼。</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775" name="文本框 780"/>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upright="1"/>
                    </wps:wsp>
                  </a:graphicData>
                </a:graphic>
              </wp:anchor>
            </w:drawing>
          </mc:Choice>
          <mc:Fallback>
            <w:pict>
              <v:shape id="文本框 780" o:spid="_x0000_s1026" o:spt="202" type="#_x0000_t202" style="position:absolute;left:0pt;margin-left:-9pt;margin-top:0.9pt;height:25.6pt;width:81pt;z-index:252043264;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1eAiHUAAAA&#10;CAEAAA8AAAAAAAAAAQAgAAAAIgAAAGRycy9kb3ducmV2LnhtbFBLAQIUABQAAAAIAIdO4kCCOEYa&#10;rwEAAFI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rPr>
        <w:t>合同双方当事人没有按照第</w:t>
      </w:r>
      <w:r>
        <w:rPr>
          <w:rFonts w:ascii="仿宋" w:hAnsi="仿宋" w:eastAsia="仿宋" w:cs="仿宋"/>
          <w:color w:val="auto"/>
          <w:sz w:val="24"/>
          <w:szCs w:val="24"/>
          <w:highlight w:val="none"/>
        </w:rPr>
        <w:t>86.2</w:t>
      </w:r>
      <w:r>
        <w:rPr>
          <w:rFonts w:hint="eastAsia" w:ascii="仿宋" w:hAnsi="仿宋" w:eastAsia="仿宋" w:cs="仿宋"/>
          <w:color w:val="auto"/>
          <w:sz w:val="24"/>
          <w:szCs w:val="24"/>
          <w:highlight w:val="none"/>
        </w:rPr>
        <w:t>款规定进一步协商的，或虽然协商但未在规定期限内达成一致的，合同双方或一方当事人可在争议发生后的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天内，将争议提交争议调解或认定机构处理，或直接按照专用条款第</w:t>
      </w:r>
      <w:r>
        <w:rPr>
          <w:rFonts w:ascii="仿宋" w:hAnsi="仿宋" w:eastAsia="仿宋" w:cs="仿宋"/>
          <w:color w:val="auto"/>
          <w:sz w:val="24"/>
          <w:szCs w:val="24"/>
          <w:highlight w:val="none"/>
        </w:rPr>
        <w:t>86.6</w:t>
      </w:r>
      <w:r>
        <w:rPr>
          <w:rFonts w:hint="eastAsia" w:ascii="仿宋" w:hAnsi="仿宋" w:eastAsia="仿宋" w:cs="仿宋"/>
          <w:color w:val="auto"/>
          <w:sz w:val="24"/>
          <w:szCs w:val="24"/>
          <w:highlight w:val="none"/>
        </w:rPr>
        <w:t>款规定提请仲裁或诉讼。</w:t>
      </w: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86.4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776" name="文本框 781"/>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upright="1"/>
                    </wps:wsp>
                  </a:graphicData>
                </a:graphic>
              </wp:anchor>
            </w:drawing>
          </mc:Choice>
          <mc:Fallback>
            <w:pict>
              <v:shape id="文本框 781" o:spid="_x0000_s1026" o:spt="202" type="#_x0000_t202" style="position:absolute;left:0pt;margin-left:-9pt;margin-top:4.7pt;height:29.8pt;width:81pt;z-index:252044288;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zhfmdUA&#10;AAAIAQAADwAAAAAAAAABACAAAAAiAAAAZHJzL2Rvd25yZXYueG1sUEsBAhQAFAAAAAgAh07iQMcn&#10;qxG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建设工程安全监督机构，负责有关工程安全方面争议的调解或认定；</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建设工程质量监督机构，负责有关工程质量方面争议的调解或认定；</w:t>
      </w:r>
    </w:p>
    <w:p>
      <w:pPr>
        <w:pStyle w:val="13"/>
        <w:adjustRightInd w:val="0"/>
        <w:snapToGrid w:val="0"/>
        <w:spacing w:line="360" w:lineRule="auto"/>
        <w:ind w:left="1620"/>
        <w:rPr>
          <w:rFonts w:ascii="仿宋" w:hAnsi="仿宋" w:eastAsia="仿宋" w:cs="Times New Roman"/>
          <w:b/>
          <w:bCs/>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建设工程造价管理机构，负责有关工程造价方面争议的调解或认定。</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777" name="文本框 782"/>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upright="1"/>
                    </wps:wsp>
                  </a:graphicData>
                </a:graphic>
              </wp:anchor>
            </w:drawing>
          </mc:Choice>
          <mc:Fallback>
            <w:pict>
              <v:shape id="文本框 782" o:spid="_x0000_s1026" o:spt="202" type="#_x0000_t202" style="position:absolute;left:0pt;margin-left:-9pt;margin-top:2.55pt;height:36.6pt;width:72pt;z-index:252045312;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ltrTdUA&#10;AAAIAQAADwAAAAAAAAABACAAAAAiAAAAZHJzL2Rvd25yZXYueG1sUEsBAhQAFAAAAAgAh07iQNlq&#10;mVa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rPr>
        <w:t>合同双方当事人应在收到争议调解或认定机构书面结果后的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天内，对调解或认定结果以书面形式予以确认。</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778" name="文本框 783"/>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upright="1"/>
                    </wps:wsp>
                  </a:graphicData>
                </a:graphic>
              </wp:anchor>
            </w:drawing>
          </mc:Choice>
          <mc:Fallback>
            <w:pict>
              <v:shape id="文本框 783" o:spid="_x0000_s1026" o:spt="202" type="#_x0000_t202" style="position:absolute;left:0pt;margin-left:-9pt;margin-top:0.95pt;height:26.35pt;width:81pt;z-index:252046336;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CfqyNUA&#10;AAAIAQAADwAAAAAAAAABACAAAAAiAAAAZHJzL2Rvd25yZXYueG1sUEsBAhQAFAAAAAgAh07iQLxY&#10;ulywAQAAUg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rPr>
        <w:t>若合同双方或一方当事人在收到争议调解或认定机构的书面结果后明确表示不同意，或在</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天内没有书面确认，任何一方均可按照专用条款约定的下列任一种方式解决争议：</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向约定的仲裁委员会申请仲裁；</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向有管辖权的人民法院提起诉讼。</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86.7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779" name="文本框 784"/>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upright="1"/>
                    </wps:wsp>
                  </a:graphicData>
                </a:graphic>
              </wp:anchor>
            </w:drawing>
          </mc:Choice>
          <mc:Fallback>
            <w:pict>
              <v:shape id="文本框 784" o:spid="_x0000_s1026" o:spt="202" type="#_x0000_t202" style="position:absolute;left:0pt;margin-left:-9pt;margin-top:1.25pt;height:36.25pt;width:72pt;z-index:252047360;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uoOVNUA&#10;AAAIAQAADwAAAAAAAAABACAAAAAiAAAAZHJzL2Rvd25yZXYueG1sUEsBAhQAFAAAAAgAh07iQIcz&#10;XOm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rPr>
        <w:t>争议期间，除下列情况停止施工外，合同双方当事人都应继续履行合同，保持工程连续施工，保护好已完工程：</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rPr>
        <w:t>合同双方当事人协商同意；</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rPr>
        <w:t>合同一方当事人违约导致合同无法履行；</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rPr>
        <w:t>工程造价管理机构调解需要，且合同双方当事人同意；</w:t>
      </w:r>
    </w:p>
    <w:p>
      <w:pPr>
        <w:pStyle w:val="13"/>
        <w:adjustRightInd w:val="0"/>
        <w:snapToGrid w:val="0"/>
        <w:spacing w:line="360" w:lineRule="auto"/>
        <w:ind w:left="162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rPr>
        <w:t>仲裁委员会仲裁需要，且合同双方当事人同意：</w:t>
      </w:r>
    </w:p>
    <w:p>
      <w:pPr>
        <w:pStyle w:val="13"/>
        <w:adjustRightInd w:val="0"/>
        <w:snapToGrid w:val="0"/>
        <w:spacing w:line="360" w:lineRule="auto"/>
        <w:ind w:firstLine="1680" w:firstLineChars="7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 xml:space="preserve">(5) </w:t>
      </w:r>
      <w:r>
        <w:rPr>
          <w:rFonts w:hint="eastAsia" w:ascii="仿宋" w:hAnsi="仿宋" w:eastAsia="仿宋" w:cs="仿宋"/>
          <w:color w:val="auto"/>
          <w:sz w:val="24"/>
          <w:szCs w:val="24"/>
          <w:highlight w:val="none"/>
        </w:rPr>
        <w:t>人民法院诉讼需要。</w:t>
      </w:r>
    </w:p>
    <w:p>
      <w:pPr>
        <w:pStyle w:val="13"/>
        <w:tabs>
          <w:tab w:val="left" w:pos="1620"/>
        </w:tabs>
        <w:adjustRightInd w:val="0"/>
        <w:snapToGrid w:val="0"/>
        <w:spacing w:line="240" w:lineRule="exact"/>
        <w:ind w:right="-24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00" w:name="_Toc469384071"/>
      <w:bookmarkStart w:id="701" w:name="_Toc13234"/>
      <w:bookmarkStart w:id="702" w:name="_Toc1685"/>
      <w:bookmarkStart w:id="703" w:name="_Toc10624912"/>
      <w:bookmarkStart w:id="704" w:name="_Toc29662"/>
      <w:bookmarkStart w:id="705" w:name="_Toc3936"/>
      <w:bookmarkStart w:id="706" w:name="_Toc31214"/>
      <w:r>
        <w:rPr>
          <w:rFonts w:ascii="仿宋" w:hAnsi="仿宋" w:eastAsia="仿宋" w:cs="仿宋"/>
          <w:b/>
          <w:bCs/>
          <w:color w:val="auto"/>
          <w:sz w:val="24"/>
          <w:szCs w:val="24"/>
          <w:highlight w:val="none"/>
        </w:rPr>
        <w:t xml:space="preserve">87  </w:t>
      </w:r>
      <w:r>
        <w:rPr>
          <w:rFonts w:hint="eastAsia" w:ascii="仿宋" w:hAnsi="仿宋" w:eastAsia="仿宋" w:cs="仿宋"/>
          <w:b/>
          <w:bCs/>
          <w:color w:val="auto"/>
          <w:sz w:val="24"/>
          <w:szCs w:val="24"/>
          <w:highlight w:val="none"/>
        </w:rPr>
        <w:t>合同解除</w:t>
      </w:r>
      <w:bookmarkEnd w:id="700"/>
      <w:bookmarkEnd w:id="701"/>
      <w:bookmarkEnd w:id="702"/>
      <w:bookmarkEnd w:id="703"/>
      <w:bookmarkEnd w:id="704"/>
      <w:bookmarkEnd w:id="705"/>
      <w:bookmarkEnd w:id="706"/>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87.1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780" name="文本框 785"/>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upright="1"/>
                    </wps:wsp>
                  </a:graphicData>
                </a:graphic>
              </wp:anchor>
            </w:drawing>
          </mc:Choice>
          <mc:Fallback>
            <w:pict>
              <v:shape id="文本框 785" o:spid="_x0000_s1026" o:spt="202" type="#_x0000_t202" style="position:absolute;left:0pt;margin-left:-9pt;margin-top:-0.3pt;height:20.75pt;width:81pt;z-index:252048384;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rsm6bUAAAA&#10;CAEAAA8AAAAAAAAAAQAgAAAAIgAAAGRycy9kb3ducmV2LnhtbFBLAQIUABQAAAAIAIdO4kCf3sB8&#10;rwEAAFI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color w:val="auto"/>
          <w:sz w:val="24"/>
          <w:szCs w:val="24"/>
          <w:highlight w:val="none"/>
        </w:rPr>
        <w:t>合同双方当事人协商一致，可以解除合同。</w:t>
      </w:r>
    </w:p>
    <w:p>
      <w:pPr>
        <w:rPr>
          <w:rFonts w:cs="Times New Roman"/>
          <w:color w:val="auto"/>
          <w:highlight w:val="none"/>
        </w:rPr>
      </w:pP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781" name="文本框 78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upright="1"/>
                    </wps:wsp>
                  </a:graphicData>
                </a:graphic>
              </wp:anchor>
            </w:drawing>
          </mc:Choice>
          <mc:Fallback>
            <w:pict>
              <v:shape id="文本框 786" o:spid="_x0000_s1026" o:spt="202" type="#_x0000_t202" style="position:absolute;left:0pt;margin-left:-9pt;margin-top:22.95pt;height:39pt;width:72pt;z-index:252049408;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Pj5&#10;1wAAAAoBAAAPAAAAAAAAAAEAIAAAACIAAABkcnMvZG93bnJldi54bWxQSwECFAAUAAAACACHTuJA&#10;1dZC97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ascii="仿宋" w:hAnsi="仿宋" w:eastAsia="仿宋" w:cs="仿宋"/>
          <w:b/>
          <w:bCs/>
          <w:color w:val="auto"/>
          <w:sz w:val="24"/>
          <w:szCs w:val="24"/>
          <w:highlight w:val="none"/>
        </w:rPr>
        <w:t xml:space="preserve">87.2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因不可抗力事件致使合同无法继续履行的，合同双方当事人可以解除合同。</w:t>
      </w:r>
    </w:p>
    <w:p>
      <w:pPr>
        <w:rPr>
          <w:rFonts w:cs="Times New Roman"/>
          <w:color w:val="auto"/>
          <w:highlight w:val="none"/>
        </w:rPr>
      </w:pPr>
    </w:p>
    <w:p>
      <w:pPr>
        <w:pStyle w:val="13"/>
        <w:tabs>
          <w:tab w:val="left" w:pos="1320"/>
        </w:tabs>
        <w:adjustRightInd w:val="0"/>
        <w:snapToGrid w:val="0"/>
        <w:spacing w:line="36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87.3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782" name="文本框 787"/>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upright="1"/>
                    </wps:wsp>
                  </a:graphicData>
                </a:graphic>
              </wp:anchor>
            </w:drawing>
          </mc:Choice>
          <mc:Fallback>
            <w:pict>
              <v:shape id="文本框 787" o:spid="_x0000_s1026" o:spt="202" type="#_x0000_t202" style="position:absolute;left:0pt;margin-left:-9pt;margin-top:2.95pt;height:31.85pt;width:72pt;z-index:252050432;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3/z51QAA&#10;AAgBAAAPAAAAAAAAAAEAIAAAACIAAABkcnMvZG93bnJldi54bWxQSwECFAAUAAAACACHTuJAU94n&#10;9q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rPr>
        <w:t>承包人有下列情形之一者，发包人可以解除合同：</w:t>
      </w:r>
    </w:p>
    <w:p>
      <w:pPr>
        <w:pStyle w:val="13"/>
        <w:numPr>
          <w:ilvl w:val="0"/>
          <w:numId w:val="28"/>
        </w:numPr>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承包人未能按照第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款规定的开工期限内开工，经监理工程师催告后的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天内仍未开工的；</w:t>
      </w:r>
    </w:p>
    <w:p>
      <w:pPr>
        <w:pStyle w:val="13"/>
        <w:numPr>
          <w:ilvl w:val="0"/>
          <w:numId w:val="28"/>
        </w:numPr>
        <w:adjustRightInd w:val="0"/>
        <w:snapToGrid w:val="0"/>
        <w:spacing w:line="360" w:lineRule="auto"/>
        <w:ind w:left="1621" w:leftChars="771" w:hanging="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33</w:t>
      </w:r>
      <w:r>
        <w:rPr>
          <w:rFonts w:hint="eastAsia" w:ascii="仿宋" w:hAnsi="仿宋" w:eastAsia="仿宋" w:cs="仿宋"/>
          <w:color w:val="auto"/>
          <w:sz w:val="24"/>
          <w:szCs w:val="24"/>
          <w:highlight w:val="none"/>
        </w:rPr>
        <w:t>条规定的进度计划未表明有停工且监理工程师也未按照第</w:t>
      </w:r>
      <w:r>
        <w:rPr>
          <w:rFonts w:ascii="仿宋" w:hAnsi="仿宋" w:eastAsia="仿宋" w:cs="仿宋"/>
          <w:color w:val="auto"/>
          <w:sz w:val="24"/>
          <w:szCs w:val="24"/>
          <w:highlight w:val="none"/>
        </w:rPr>
        <w:t>35.1</w:t>
      </w:r>
      <w:r>
        <w:rPr>
          <w:rFonts w:hint="eastAsia" w:ascii="仿宋" w:hAnsi="仿宋" w:eastAsia="仿宋" w:cs="仿宋"/>
          <w:color w:val="auto"/>
          <w:sz w:val="24"/>
          <w:szCs w:val="24"/>
          <w:highlight w:val="none"/>
        </w:rPr>
        <w:t>款规定发出暂停施工令，但承包人停止施工时间持续达</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天或累计停止施工时间达</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天的；</w:t>
      </w:r>
    </w:p>
    <w:p>
      <w:pPr>
        <w:pStyle w:val="13"/>
        <w:numPr>
          <w:ilvl w:val="0"/>
          <w:numId w:val="28"/>
        </w:numPr>
        <w:tabs>
          <w:tab w:val="left" w:pos="1680"/>
        </w:tabs>
        <w:adjustRightInd w:val="0"/>
        <w:snapToGrid w:val="0"/>
        <w:spacing w:line="360" w:lineRule="auto"/>
        <w:ind w:left="1659" w:leftChars="770" w:hanging="4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承包人违反第</w:t>
      </w:r>
      <w:r>
        <w:rPr>
          <w:rFonts w:ascii="仿宋" w:hAnsi="仿宋" w:eastAsia="仿宋" w:cs="仿宋"/>
          <w:color w:val="auto"/>
          <w:sz w:val="24"/>
          <w:szCs w:val="24"/>
          <w:highlight w:val="none"/>
        </w:rPr>
        <w:t>18.1</w:t>
      </w:r>
      <w:r>
        <w:rPr>
          <w:rFonts w:hint="eastAsia" w:ascii="仿宋" w:hAnsi="仿宋" w:eastAsia="仿宋" w:cs="仿宋"/>
          <w:color w:val="auto"/>
          <w:sz w:val="24"/>
          <w:szCs w:val="24"/>
          <w:highlight w:val="none"/>
        </w:rPr>
        <w:t>款或第</w:t>
      </w:r>
      <w:r>
        <w:rPr>
          <w:rFonts w:ascii="仿宋" w:hAnsi="仿宋" w:eastAsia="仿宋" w:cs="仿宋"/>
          <w:color w:val="auto"/>
          <w:sz w:val="24"/>
          <w:szCs w:val="24"/>
          <w:highlight w:val="none"/>
        </w:rPr>
        <w:t>51.4</w:t>
      </w:r>
      <w:r>
        <w:rPr>
          <w:rFonts w:hint="eastAsia" w:ascii="仿宋" w:hAnsi="仿宋" w:eastAsia="仿宋" w:cs="仿宋"/>
          <w:color w:val="auto"/>
          <w:sz w:val="24"/>
          <w:szCs w:val="24"/>
          <w:highlight w:val="none"/>
        </w:rPr>
        <w:t>款规定未经监理工程师批准，私自将已按照合同约定进入施工现场的施工设备、临时设施或材料运出施工现场的；</w:t>
      </w:r>
    </w:p>
    <w:p>
      <w:pPr>
        <w:pStyle w:val="13"/>
        <w:numPr>
          <w:ilvl w:val="0"/>
          <w:numId w:val="28"/>
        </w:numPr>
        <w:adjustRightInd w:val="0"/>
        <w:snapToGrid w:val="0"/>
        <w:spacing w:line="360" w:lineRule="auto"/>
        <w:ind w:left="1678" w:leftChars="799" w:firstLine="2"/>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承包人拖延完工且能偿付的误期赔偿费已达到专用条款约定最高限额的；</w:t>
      </w:r>
      <w:r>
        <w:rPr>
          <w:rFonts w:ascii="仿宋" w:hAnsi="仿宋" w:eastAsia="仿宋" w:cs="仿宋"/>
          <w:color w:val="auto"/>
          <w:sz w:val="24"/>
          <w:szCs w:val="24"/>
          <w:highlight w:val="none"/>
        </w:rPr>
        <w:t xml:space="preserve"> </w:t>
      </w:r>
    </w:p>
    <w:p>
      <w:pPr>
        <w:pStyle w:val="13"/>
        <w:numPr>
          <w:ilvl w:val="0"/>
          <w:numId w:val="28"/>
        </w:numPr>
        <w:adjustRightInd w:val="0"/>
        <w:snapToGrid w:val="0"/>
        <w:spacing w:line="360" w:lineRule="auto"/>
        <w:ind w:left="2096" w:leftChars="771" w:hanging="477" w:hangingChars="19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承包人转包工程、违法分包或未经许可擅自分包工程的；</w:t>
      </w:r>
    </w:p>
    <w:p>
      <w:pPr>
        <w:pStyle w:val="13"/>
        <w:numPr>
          <w:ilvl w:val="0"/>
          <w:numId w:val="28"/>
        </w:numPr>
        <w:adjustRightInd w:val="0"/>
        <w:snapToGrid w:val="0"/>
        <w:spacing w:line="360" w:lineRule="auto"/>
        <w:ind w:left="1617" w:leftChars="770" w:firstLine="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承包人未按照合同约定或监理工程师的指令，经监理工程师书面指出后仍未按要求改正的；</w:t>
      </w:r>
    </w:p>
    <w:p>
      <w:pPr>
        <w:pStyle w:val="13"/>
        <w:numPr>
          <w:ilvl w:val="0"/>
          <w:numId w:val="28"/>
        </w:numPr>
        <w:adjustRightInd w:val="0"/>
        <w:snapToGrid w:val="0"/>
        <w:spacing w:line="360" w:lineRule="auto"/>
        <w:ind w:left="2096" w:leftChars="771" w:hanging="477" w:hangingChars="19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承包人履行合同期间有欺诈行为的；</w:t>
      </w:r>
    </w:p>
    <w:p>
      <w:pPr>
        <w:pStyle w:val="13"/>
        <w:numPr>
          <w:ilvl w:val="0"/>
          <w:numId w:val="28"/>
        </w:numPr>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承包人向任何人付给或企图付给任何贿赂、礼品、赏金、回扣或其他贵重物品，以引诱或报偿他人，但付给承包人相关人员的奖励则属例外；</w:t>
      </w:r>
    </w:p>
    <w:p>
      <w:pPr>
        <w:pStyle w:val="13"/>
        <w:adjustRightInd w:val="0"/>
        <w:snapToGrid w:val="0"/>
        <w:spacing w:line="360" w:lineRule="auto"/>
        <w:ind w:left="1617"/>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承包人在缺陷责任期内未能对发生的缺陷进行修复，且又拒绝按照监理工程师指令再进行修补的；</w:t>
      </w:r>
    </w:p>
    <w:p>
      <w:pPr>
        <w:pStyle w:val="13"/>
        <w:adjustRightInd w:val="0"/>
        <w:snapToGrid w:val="0"/>
        <w:spacing w:line="360" w:lineRule="auto"/>
        <w:ind w:left="1680" w:leftChars="80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(10)</w:t>
      </w:r>
      <w:r>
        <w:rPr>
          <w:rFonts w:hint="eastAsia" w:ascii="仿宋" w:hAnsi="仿宋" w:eastAsia="仿宋" w:cs="仿宋"/>
          <w:color w:val="auto"/>
          <w:sz w:val="24"/>
          <w:szCs w:val="24"/>
          <w:highlight w:val="none"/>
        </w:rPr>
        <w:t>承包人无法继续履行、明确表示或以行为表明不履行合同约定主要义务的；</w:t>
      </w:r>
    </w:p>
    <w:p>
      <w:pPr>
        <w:pStyle w:val="13"/>
        <w:adjustRightInd w:val="0"/>
        <w:snapToGrid w:val="0"/>
        <w:spacing w:line="360" w:lineRule="auto"/>
        <w:ind w:left="1680"/>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(11)</w:t>
      </w:r>
      <w:r>
        <w:rPr>
          <w:rFonts w:hint="eastAsia" w:ascii="仿宋" w:hAnsi="仿宋" w:eastAsia="仿宋" w:cs="仿宋"/>
          <w:color w:val="auto"/>
          <w:sz w:val="24"/>
          <w:szCs w:val="24"/>
          <w:highlight w:val="none"/>
        </w:rPr>
        <w:t>承包人延迟履行合同约定主要义务，经催告后在合理期限内仍未履行的；</w:t>
      </w:r>
    </w:p>
    <w:p>
      <w:pPr>
        <w:pStyle w:val="13"/>
        <w:adjustRightInd w:val="0"/>
        <w:snapToGrid w:val="0"/>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(12)</w:t>
      </w:r>
      <w:r>
        <w:rPr>
          <w:rFonts w:hint="eastAsia" w:ascii="仿宋" w:hAnsi="仿宋" w:eastAsia="仿宋" w:cs="仿宋"/>
          <w:color w:val="auto"/>
          <w:sz w:val="24"/>
          <w:szCs w:val="24"/>
          <w:highlight w:val="none"/>
        </w:rPr>
        <w:t>承包人破产或清偿的，但以机构重组或联合为目的的除外；</w:t>
      </w:r>
    </w:p>
    <w:p>
      <w:pPr>
        <w:spacing w:line="360" w:lineRule="auto"/>
        <w:ind w:left="1680" w:hanging="1680" w:hangingChars="800"/>
        <w:rPr>
          <w:rFonts w:ascii="仿宋" w:hAnsi="仿宋" w:eastAsia="仿宋" w:cs="Times New Roman"/>
          <w:color w:val="auto"/>
          <w:sz w:val="24"/>
          <w:szCs w:val="24"/>
          <w:highlight w:val="none"/>
        </w:rPr>
      </w:pPr>
      <w:r>
        <w:rPr>
          <w:color w:val="auto"/>
          <w:highlight w:val="none"/>
        </w:rPr>
        <w:t xml:space="preserve">               </w:t>
      </w:r>
      <w:r>
        <w:rPr>
          <w:rFonts w:ascii="仿宋" w:hAnsi="仿宋" w:eastAsia="仿宋" w:cs="仿宋"/>
          <w:color w:val="auto"/>
          <w:sz w:val="24"/>
          <w:szCs w:val="24"/>
          <w:highlight w:val="none"/>
        </w:rPr>
        <w:t>(13)</w:t>
      </w:r>
      <w:r>
        <w:rPr>
          <w:rFonts w:hint="eastAsia" w:ascii="仿宋" w:hAnsi="仿宋" w:eastAsia="仿宋" w:cs="仿宋"/>
          <w:color w:val="auto"/>
          <w:sz w:val="24"/>
          <w:szCs w:val="24"/>
          <w:highlight w:val="none"/>
        </w:rPr>
        <w:t>承包人被认为是严重违反合同的其他违约行为。</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rFonts w:hint="eastAsia" w:ascii="仿宋" w:hAnsi="仿宋" w:eastAsia="仿宋" w:cs="仿宋"/>
          <w:color w:val="auto"/>
          <w:sz w:val="24"/>
          <w:szCs w:val="24"/>
          <w:highlight w:val="none"/>
        </w:rPr>
        <w:t>在这种情况下，发包人可自行或委托第三方实施、完成合同工程或其任何部分，并可使用根据第</w:t>
      </w:r>
      <w:r>
        <w:rPr>
          <w:rFonts w:ascii="仿宋" w:hAnsi="仿宋" w:eastAsia="仿宋" w:cs="仿宋"/>
          <w:color w:val="auto"/>
          <w:sz w:val="24"/>
          <w:szCs w:val="24"/>
          <w:highlight w:val="none"/>
        </w:rPr>
        <w:t>18.2</w:t>
      </w:r>
      <w:r>
        <w:rPr>
          <w:rFonts w:hint="eastAsia" w:ascii="仿宋" w:hAnsi="仿宋" w:eastAsia="仿宋" w:cs="仿宋"/>
          <w:color w:val="auto"/>
          <w:sz w:val="24"/>
          <w:szCs w:val="24"/>
          <w:highlight w:val="none"/>
        </w:rPr>
        <w:t>款留下的承包人临时工程，直至永久工程完工为止。</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87.4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783" name="文本框 788"/>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upright="1"/>
                    </wps:wsp>
                  </a:graphicData>
                </a:graphic>
              </wp:anchor>
            </w:drawing>
          </mc:Choice>
          <mc:Fallback>
            <w:pict>
              <v:shape id="文本框 788" o:spid="_x0000_s1026" o:spt="202" type="#_x0000_t202" style="position:absolute;left:0pt;margin-left:-9pt;margin-top:2.35pt;height:39.65pt;width:72pt;z-index:252051456;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Y8uONUA&#10;AAAIAQAADwAAAAAAAAABACAAAAAiAAAAZHJzL2Rvd25yZXYueG1sUEsBAhQAFAAAAAgAh07iQPkd&#10;YYe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rPr>
        <w:t>发包人有下列情形之一者，承包人可以解除合同：</w:t>
      </w:r>
    </w:p>
    <w:p>
      <w:pPr>
        <w:pStyle w:val="13"/>
        <w:numPr>
          <w:ilvl w:val="0"/>
          <w:numId w:val="29"/>
        </w:numPr>
        <w:tabs>
          <w:tab w:val="left" w:pos="2160"/>
        </w:tabs>
        <w:adjustRightInd w:val="0"/>
        <w:snapToGrid w:val="0"/>
        <w:spacing w:line="360" w:lineRule="auto"/>
        <w:ind w:left="1619" w:leftChars="771" w:firstLine="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非承包人原因未按照第</w:t>
      </w:r>
      <w:r>
        <w:rPr>
          <w:rFonts w:ascii="仿宋" w:hAnsi="仿宋" w:eastAsia="仿宋" w:cs="仿宋"/>
          <w:color w:val="auto"/>
          <w:sz w:val="24"/>
          <w:szCs w:val="24"/>
          <w:highlight w:val="none"/>
        </w:rPr>
        <w:t>34.2</w:t>
      </w:r>
      <w:r>
        <w:rPr>
          <w:rFonts w:hint="eastAsia" w:ascii="仿宋" w:hAnsi="仿宋" w:eastAsia="仿宋" w:cs="仿宋"/>
          <w:color w:val="auto"/>
          <w:sz w:val="24"/>
          <w:szCs w:val="24"/>
          <w:highlight w:val="none"/>
        </w:rPr>
        <w:t>款规定期限内发出开工令，经承包人催告后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天内仍未发出开工令的；</w:t>
      </w:r>
    </w:p>
    <w:p>
      <w:pPr>
        <w:pStyle w:val="13"/>
        <w:numPr>
          <w:ilvl w:val="0"/>
          <w:numId w:val="29"/>
        </w:numPr>
        <w:tabs>
          <w:tab w:val="left" w:pos="2160"/>
        </w:tabs>
        <w:adjustRightInd w:val="0"/>
        <w:snapToGrid w:val="0"/>
        <w:spacing w:line="360" w:lineRule="auto"/>
        <w:ind w:left="1620" w:leftChars="771"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按照第</w:t>
      </w:r>
      <w:r>
        <w:rPr>
          <w:rFonts w:ascii="仿宋" w:hAnsi="仿宋" w:eastAsia="仿宋" w:cs="仿宋"/>
          <w:color w:val="auto"/>
          <w:sz w:val="24"/>
          <w:szCs w:val="24"/>
          <w:highlight w:val="none"/>
        </w:rPr>
        <w:t>35.3</w:t>
      </w:r>
      <w:r>
        <w:rPr>
          <w:rFonts w:hint="eastAsia" w:ascii="仿宋" w:hAnsi="仿宋" w:eastAsia="仿宋" w:cs="仿宋"/>
          <w:color w:val="auto"/>
          <w:sz w:val="24"/>
          <w:szCs w:val="24"/>
          <w:highlight w:val="none"/>
        </w:rPr>
        <w:t>款规定非承包人原因造成暂停施工持续</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天以上或累计停工时间超过了</w:t>
      </w:r>
      <w:r>
        <w:rPr>
          <w:rFonts w:ascii="仿宋" w:hAnsi="仿宋" w:eastAsia="仿宋" w:cs="仿宋"/>
          <w:color w:val="auto"/>
          <w:sz w:val="24"/>
          <w:szCs w:val="24"/>
          <w:highlight w:val="none"/>
        </w:rPr>
        <w:t>70</w:t>
      </w:r>
      <w:r>
        <w:rPr>
          <w:rFonts w:hint="eastAsia" w:ascii="仿宋" w:hAnsi="仿宋" w:eastAsia="仿宋" w:cs="仿宋"/>
          <w:color w:val="auto"/>
          <w:sz w:val="24"/>
          <w:szCs w:val="24"/>
          <w:highlight w:val="none"/>
        </w:rPr>
        <w:t>天的；</w:t>
      </w:r>
      <w:r>
        <w:rPr>
          <w:rFonts w:ascii="仿宋" w:hAnsi="仿宋" w:eastAsia="仿宋" w:cs="仿宋"/>
          <w:color w:val="auto"/>
          <w:sz w:val="24"/>
          <w:szCs w:val="24"/>
          <w:highlight w:val="none"/>
        </w:rPr>
        <w:t xml:space="preserve">           </w:t>
      </w:r>
    </w:p>
    <w:p>
      <w:pPr>
        <w:pStyle w:val="13"/>
        <w:numPr>
          <w:ilvl w:val="0"/>
          <w:numId w:val="29"/>
        </w:numPr>
        <w:tabs>
          <w:tab w:val="left" w:pos="1800"/>
        </w:tabs>
        <w:adjustRightInd w:val="0"/>
        <w:snapToGrid w:val="0"/>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发包人按照第</w:t>
      </w:r>
      <w:r>
        <w:rPr>
          <w:rFonts w:ascii="仿宋" w:hAnsi="仿宋" w:eastAsia="仿宋" w:cs="仿宋"/>
          <w:color w:val="auto"/>
          <w:sz w:val="24"/>
          <w:szCs w:val="24"/>
          <w:highlight w:val="none"/>
        </w:rPr>
        <w:t>5</w:t>
      </w:r>
      <w:r>
        <w:rPr>
          <w:rFonts w:hint="eastAsia" w:ascii="仿宋" w:hAnsi="仿宋" w:eastAsia="仿宋" w:cs="仿宋"/>
          <w:color w:val="auto"/>
          <w:sz w:val="24"/>
          <w:szCs w:val="24"/>
          <w:highlight w:val="none"/>
        </w:rPr>
        <w:t>条规定提供的施工设计图纸存在缺陷或按照第</w:t>
      </w:r>
      <w:r>
        <w:rPr>
          <w:rFonts w:ascii="仿宋" w:hAnsi="仿宋" w:eastAsia="仿宋" w:cs="仿宋"/>
          <w:color w:val="auto"/>
          <w:sz w:val="24"/>
          <w:szCs w:val="24"/>
          <w:highlight w:val="none"/>
        </w:rPr>
        <w:t>48</w:t>
      </w:r>
      <w:r>
        <w:rPr>
          <w:rFonts w:hint="eastAsia" w:ascii="仿宋" w:hAnsi="仿宋" w:eastAsia="仿宋" w:cs="仿宋"/>
          <w:color w:val="auto"/>
          <w:sz w:val="24"/>
          <w:szCs w:val="24"/>
          <w:highlight w:val="none"/>
        </w:rPr>
        <w:t>条规定供应的材料和工程设备不符合强制性标准，致使承包人无法施工，经承包人催告后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天内仍未修正或更换的；</w:t>
      </w:r>
    </w:p>
    <w:p>
      <w:pPr>
        <w:pStyle w:val="13"/>
        <w:numPr>
          <w:ilvl w:val="0"/>
          <w:numId w:val="29"/>
        </w:numPr>
        <w:tabs>
          <w:tab w:val="left" w:pos="2160"/>
        </w:tabs>
        <w:adjustRightInd w:val="0"/>
        <w:snapToGrid w:val="0"/>
        <w:spacing w:line="360" w:lineRule="auto"/>
        <w:ind w:left="1620" w:leftChars="771" w:hanging="1"/>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监理工程师未按照合同约定及时发出工作指令，导致承包人无法继续施工的；</w:t>
      </w:r>
      <w:r>
        <w:rPr>
          <w:rFonts w:ascii="仿宋" w:hAnsi="仿宋" w:eastAsia="仿宋" w:cs="仿宋"/>
          <w:color w:val="auto"/>
          <w:sz w:val="24"/>
          <w:szCs w:val="24"/>
          <w:highlight w:val="none"/>
        </w:rPr>
        <w:t xml:space="preserve"> </w:t>
      </w:r>
    </w:p>
    <w:p>
      <w:pPr>
        <w:pStyle w:val="13"/>
        <w:numPr>
          <w:ilvl w:val="0"/>
          <w:numId w:val="29"/>
        </w:numPr>
        <w:tabs>
          <w:tab w:val="left" w:pos="2160"/>
        </w:tabs>
        <w:adjustRightInd w:val="0"/>
        <w:snapToGrid w:val="0"/>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发包人未按照第</w:t>
      </w:r>
      <w:r>
        <w:rPr>
          <w:rFonts w:ascii="仿宋" w:hAnsi="仿宋" w:eastAsia="仿宋" w:cs="仿宋"/>
          <w:color w:val="auto"/>
          <w:sz w:val="24"/>
          <w:szCs w:val="24"/>
          <w:highlight w:val="none"/>
        </w:rPr>
        <w:t>78.1</w:t>
      </w:r>
      <w:r>
        <w:rPr>
          <w:rFonts w:hint="eastAsia" w:ascii="仿宋" w:hAnsi="仿宋" w:eastAsia="仿宋" w:cs="仿宋"/>
          <w:color w:val="auto"/>
          <w:sz w:val="24"/>
          <w:szCs w:val="24"/>
          <w:highlight w:val="none"/>
        </w:rPr>
        <w:t>款规定向承包人支付工程款，经承包人催告后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天内仍未支付的；</w:t>
      </w:r>
    </w:p>
    <w:p>
      <w:pPr>
        <w:pStyle w:val="13"/>
        <w:numPr>
          <w:ilvl w:val="0"/>
          <w:numId w:val="29"/>
        </w:numPr>
        <w:tabs>
          <w:tab w:val="left" w:pos="2160"/>
        </w:tabs>
        <w:adjustRightInd w:val="0"/>
        <w:snapToGrid w:val="0"/>
        <w:spacing w:line="360" w:lineRule="auto"/>
        <w:ind w:left="1620" w:leftChars="771"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发包人无法继续履行、明确表示或以行为表明不履行合同约定主要义务的；</w:t>
      </w:r>
    </w:p>
    <w:p>
      <w:pPr>
        <w:pStyle w:val="13"/>
        <w:tabs>
          <w:tab w:val="left" w:pos="2160"/>
        </w:tabs>
        <w:adjustRightInd w:val="0"/>
        <w:snapToGrid w:val="0"/>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发包人延迟履行合同约定主要义务，经催告后在合理期限内仍未履行的；</w:t>
      </w:r>
    </w:p>
    <w:p>
      <w:pPr>
        <w:pStyle w:val="13"/>
        <w:tabs>
          <w:tab w:val="left" w:pos="2160"/>
        </w:tabs>
        <w:adjustRightInd w:val="0"/>
        <w:snapToGrid w:val="0"/>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(8)</w:t>
      </w:r>
      <w:r>
        <w:rPr>
          <w:rFonts w:hint="eastAsia" w:ascii="仿宋" w:hAnsi="仿宋" w:eastAsia="仿宋" w:cs="仿宋"/>
          <w:color w:val="auto"/>
          <w:sz w:val="24"/>
          <w:szCs w:val="24"/>
          <w:highlight w:val="none"/>
        </w:rPr>
        <w:t>发包人破产或清偿的，但以机构重组或联合为目的的除外；</w:t>
      </w:r>
    </w:p>
    <w:p>
      <w:pPr>
        <w:pStyle w:val="13"/>
        <w:tabs>
          <w:tab w:val="left" w:pos="2160"/>
        </w:tabs>
        <w:adjustRightInd w:val="0"/>
        <w:snapToGrid w:val="0"/>
        <w:spacing w:line="360" w:lineRule="auto"/>
        <w:ind w:left="1619"/>
        <w:rPr>
          <w:rFonts w:ascii="仿宋" w:hAnsi="仿宋" w:eastAsia="仿宋" w:cs="Times New Roman"/>
          <w:color w:val="auto"/>
          <w:sz w:val="24"/>
          <w:szCs w:val="24"/>
          <w:highlight w:val="none"/>
        </w:rPr>
      </w:pPr>
      <w:r>
        <w:rPr>
          <w:rFonts w:ascii="仿宋" w:hAnsi="仿宋" w:eastAsia="仿宋" w:cs="仿宋"/>
          <w:color w:val="auto"/>
          <w:sz w:val="24"/>
          <w:szCs w:val="24"/>
          <w:highlight w:val="none"/>
        </w:rPr>
        <w:t>(9)</w:t>
      </w:r>
      <w:r>
        <w:rPr>
          <w:rFonts w:hint="eastAsia" w:ascii="仿宋" w:hAnsi="仿宋" w:eastAsia="仿宋" w:cs="仿宋"/>
          <w:color w:val="auto"/>
          <w:sz w:val="24"/>
          <w:szCs w:val="24"/>
          <w:highlight w:val="none"/>
        </w:rPr>
        <w:t>发包人被认为是严重违反合同的其他违约行为。</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784" name="文本框 78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upright="1"/>
                    </wps:wsp>
                  </a:graphicData>
                </a:graphic>
              </wp:anchor>
            </w:drawing>
          </mc:Choice>
          <mc:Fallback>
            <w:pict>
              <v:shape id="文本框 789" o:spid="_x0000_s1026" o:spt="202" type="#_x0000_t202" style="position:absolute;left:0pt;margin-left:-9pt;margin-top:15.95pt;height:31.2pt;width:72pt;z-index:252052480;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WQ1uI&#10;1wAAAAkBAAAPAAAAAAAAAAEAIAAAACIAAABkcnMvZG93bnJldi54bWxQSwECFAAUAAAACACHTuJA&#10;vuc3uLABAABRAwAADgAAAAAAAAABACAAAAAm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ascii="仿宋" w:hAnsi="仿宋" w:eastAsia="仿宋" w:cs="仿宋"/>
          <w:b/>
          <w:bCs/>
          <w:color w:val="auto"/>
          <w:sz w:val="24"/>
          <w:szCs w:val="24"/>
          <w:highlight w:val="none"/>
        </w:rPr>
        <w:t xml:space="preserve">87.5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87.2</w:t>
      </w:r>
      <w:r>
        <w:rPr>
          <w:rFonts w:hint="eastAsia" w:ascii="仿宋" w:hAnsi="仿宋" w:eastAsia="仿宋" w:cs="仿宋"/>
          <w:color w:val="auto"/>
          <w:sz w:val="24"/>
          <w:szCs w:val="24"/>
          <w:highlight w:val="none"/>
        </w:rPr>
        <w:t>款至第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款规定要求解除合同的，解除方应以书面形式向另一方当事人发出解除合同的通知，另一方当事人收到通知时合同即告解除。对解除合同有争议的，应按照第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tabs>
          <w:tab w:val="left" w:pos="1320"/>
        </w:tabs>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87.6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785" name="文本框 79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upright="1"/>
                    </wps:wsp>
                  </a:graphicData>
                </a:graphic>
              </wp:anchor>
            </w:drawing>
          </mc:Choice>
          <mc:Fallback>
            <w:pict>
              <v:shape id="文本框 790" o:spid="_x0000_s1026" o:spt="202" type="#_x0000_t202" style="position:absolute;left:0pt;margin-left:-9pt;margin-top:0.55pt;height:46.8pt;width:72pt;z-index:252053504;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AxqcrUAAAA&#10;CAEAAA8AAAAAAAAAAQAgAAAAIgAAAGRycy9kb3ducmV2LnhtbFBLAQIUABQAAAAIAIdO4kA49QS2&#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ascii="仿宋" w:hAnsi="仿宋" w:eastAsia="仿宋" w:cs="仿宋"/>
          <w:color w:val="auto"/>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pPr>
        <w:pStyle w:val="13"/>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07" w:name="_Toc10624913"/>
      <w:bookmarkStart w:id="708" w:name="_Toc469384072"/>
      <w:bookmarkStart w:id="709" w:name="_Toc31246"/>
      <w:bookmarkStart w:id="710" w:name="_Toc32313"/>
      <w:bookmarkStart w:id="711" w:name="_Toc19032"/>
      <w:bookmarkStart w:id="712" w:name="_Toc26963"/>
      <w:bookmarkStart w:id="713" w:name="_Toc23993"/>
      <w:r>
        <w:rPr>
          <w:rFonts w:ascii="仿宋" w:hAnsi="仿宋" w:eastAsia="仿宋" w:cs="仿宋"/>
          <w:b/>
          <w:bCs/>
          <w:color w:val="auto"/>
          <w:sz w:val="24"/>
          <w:szCs w:val="24"/>
          <w:highlight w:val="none"/>
        </w:rPr>
        <w:t xml:space="preserve">88  </w:t>
      </w:r>
      <w:r>
        <w:rPr>
          <w:rFonts w:hint="eastAsia" w:ascii="仿宋" w:hAnsi="仿宋" w:eastAsia="仿宋" w:cs="仿宋"/>
          <w:b/>
          <w:bCs/>
          <w:color w:val="auto"/>
          <w:sz w:val="24"/>
          <w:szCs w:val="24"/>
          <w:highlight w:val="none"/>
        </w:rPr>
        <w:t>合同解除的支付</w:t>
      </w:r>
      <w:bookmarkEnd w:id="707"/>
      <w:bookmarkEnd w:id="708"/>
      <w:bookmarkEnd w:id="709"/>
      <w:bookmarkEnd w:id="710"/>
      <w:bookmarkEnd w:id="711"/>
      <w:bookmarkEnd w:id="712"/>
      <w:bookmarkEnd w:id="713"/>
    </w:p>
    <w:p>
      <w:pPr>
        <w:pStyle w:val="13"/>
        <w:adjustRightInd w:val="0"/>
        <w:snapToGrid w:val="0"/>
        <w:spacing w:line="360" w:lineRule="auto"/>
        <w:rPr>
          <w:rFonts w:ascii="仿宋" w:hAnsi="仿宋" w:eastAsia="仿宋" w:cs="仿宋"/>
          <w:b/>
          <w:bCs/>
          <w:color w:val="auto"/>
          <w:sz w:val="24"/>
          <w:szCs w:val="24"/>
          <w:highlight w:val="none"/>
        </w:rPr>
      </w:pPr>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786" name="文本框 79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upright="1"/>
                    </wps:wsp>
                  </a:graphicData>
                </a:graphic>
              </wp:anchor>
            </w:drawing>
          </mc:Choice>
          <mc:Fallback>
            <w:pict>
              <v:shape id="文本框 791" o:spid="_x0000_s1026" o:spt="202" type="#_x0000_t202" style="position:absolute;left:0pt;margin-left:-5.25pt;margin-top:14.85pt;height:31.2pt;width:72pt;z-index:252054528;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mRGXW&#10;AAAACQEAAA8AAAAAAAAAAQAgAAAAIgAAAGRycy9kb3ducmV2LnhtbFBLAQIUABQAAAAIAIdO4kDq&#10;9WoT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ascii="仿宋" w:hAnsi="仿宋" w:eastAsia="仿宋" w:cs="仿宋"/>
          <w:b/>
          <w:bCs/>
          <w:color w:val="auto"/>
          <w:sz w:val="24"/>
          <w:szCs w:val="24"/>
          <w:highlight w:val="none"/>
        </w:rPr>
        <w:t xml:space="preserve">88.1     </w:t>
      </w:r>
    </w:p>
    <w:p>
      <w:pPr>
        <w:pStyle w:val="13"/>
        <w:adjustRightInd w:val="0"/>
        <w:snapToGrid w:val="0"/>
        <w:spacing w:line="360" w:lineRule="auto"/>
        <w:ind w:firstLine="1680" w:firstLineChars="700"/>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87.1</w:t>
      </w:r>
      <w:r>
        <w:rPr>
          <w:rFonts w:hint="eastAsia" w:ascii="仿宋" w:hAnsi="仿宋" w:eastAsia="仿宋" w:cs="仿宋"/>
          <w:color w:val="auto"/>
          <w:sz w:val="24"/>
          <w:szCs w:val="24"/>
          <w:highlight w:val="none"/>
        </w:rPr>
        <w:t>款规定解除合同的，按照达成的协议办理结算和支付工程款。</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88.2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787" name="文本框 7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upright="1"/>
                    </wps:wsp>
                  </a:graphicData>
                </a:graphic>
              </wp:anchor>
            </w:drawing>
          </mc:Choice>
          <mc:Fallback>
            <w:pict>
              <v:shape id="文本框 792" o:spid="_x0000_s1026" o:spt="202" type="#_x0000_t202" style="position:absolute;left:0pt;margin-left:-9pt;margin-top:1.25pt;height:54.6pt;width:72pt;z-index:252055552;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4+3&#10;1gAAAAkBAAAPAAAAAAAAAAEAIAAAACIAAABkcnMvZG93bnJldi54bWxQSwECFAAUAAAACACHTuJA&#10;RIGYuL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87.2</w:t>
      </w:r>
      <w:r>
        <w:rPr>
          <w:rFonts w:hint="eastAsia" w:ascii="仿宋" w:hAnsi="仿宋" w:eastAsia="仿宋" w:cs="仿宋"/>
          <w:color w:val="auto"/>
          <w:sz w:val="24"/>
          <w:szCs w:val="24"/>
          <w:highlight w:val="none"/>
        </w:rPr>
        <w:t>款规定解除合同的，发包人应向承包人支付合同解除之日前已完成工程但尚未支付的工程款。此外，发包人还应支付下列款项：</w:t>
      </w:r>
    </w:p>
    <w:p>
      <w:pPr>
        <w:pStyle w:val="13"/>
        <w:numPr>
          <w:ilvl w:val="0"/>
          <w:numId w:val="30"/>
        </w:numPr>
        <w:adjustRightInd w:val="0"/>
        <w:snapToGrid w:val="0"/>
        <w:spacing w:line="360" w:lineRule="auto"/>
        <w:ind w:left="2096" w:leftChars="771" w:hanging="477" w:hangingChars="19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已实施或部分实施的措施项目应付款项；</w:t>
      </w:r>
    </w:p>
    <w:p>
      <w:pPr>
        <w:pStyle w:val="13"/>
        <w:numPr>
          <w:ilvl w:val="0"/>
          <w:numId w:val="30"/>
        </w:numPr>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承包人为合同工程合理订购且已交付的材料和工程设备货款。发包人一经支付此项货款，该材料和工程设备即成为发包人的财产；</w:t>
      </w:r>
    </w:p>
    <w:p>
      <w:pPr>
        <w:pStyle w:val="13"/>
        <w:numPr>
          <w:ilvl w:val="0"/>
          <w:numId w:val="30"/>
        </w:numPr>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承包人为完成合同工程而预期开支的任何合理款项，且该项款项未包括在本款其他各项支付之内；</w:t>
      </w:r>
    </w:p>
    <w:p>
      <w:pPr>
        <w:pStyle w:val="13"/>
        <w:numPr>
          <w:ilvl w:val="0"/>
          <w:numId w:val="30"/>
        </w:numPr>
        <w:adjustRightInd w:val="0"/>
        <w:snapToGrid w:val="0"/>
        <w:spacing w:line="360" w:lineRule="auto"/>
        <w:ind w:left="2096" w:leftChars="771" w:hanging="477" w:hangingChars="199"/>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31.3</w:t>
      </w:r>
      <w:r>
        <w:rPr>
          <w:rFonts w:hint="eastAsia" w:ascii="仿宋" w:hAnsi="仿宋" w:eastAsia="仿宋" w:cs="仿宋"/>
          <w:color w:val="auto"/>
          <w:sz w:val="24"/>
          <w:szCs w:val="24"/>
          <w:highlight w:val="none"/>
        </w:rPr>
        <w:t>款规定的任何工作应支付的款项；</w:t>
      </w:r>
    </w:p>
    <w:p>
      <w:pPr>
        <w:pStyle w:val="13"/>
        <w:numPr>
          <w:ilvl w:val="0"/>
          <w:numId w:val="30"/>
        </w:numPr>
        <w:tabs>
          <w:tab w:val="left" w:pos="1980"/>
        </w:tabs>
        <w:adjustRightInd w:val="0"/>
        <w:snapToGrid w:val="0"/>
        <w:spacing w:line="360" w:lineRule="auto"/>
        <w:ind w:left="1618" w:leftChars="770" w:hanging="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87.6</w:t>
      </w:r>
      <w:r>
        <w:rPr>
          <w:rFonts w:hint="eastAsia" w:ascii="仿宋" w:hAnsi="仿宋" w:eastAsia="仿宋" w:cs="仿宋"/>
          <w:color w:val="auto"/>
          <w:sz w:val="24"/>
          <w:szCs w:val="24"/>
          <w:highlight w:val="none"/>
        </w:rPr>
        <w:t>款规定承包人撤离现场所需的合理款项，包括雇员遣送费和临时工程拆除、施工设备运离现场的款项。</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合同双方当事人按照第</w:t>
      </w:r>
      <w:r>
        <w:rPr>
          <w:rFonts w:ascii="仿宋" w:hAnsi="仿宋" w:eastAsia="仿宋" w:cs="仿宋"/>
          <w:color w:val="auto"/>
          <w:sz w:val="24"/>
          <w:szCs w:val="24"/>
          <w:highlight w:val="none"/>
        </w:rPr>
        <w:t>82</w:t>
      </w:r>
      <w:r>
        <w:rPr>
          <w:rFonts w:hint="eastAsia" w:ascii="仿宋" w:hAnsi="仿宋" w:eastAsia="仿宋" w:cs="仿宋"/>
          <w:color w:val="auto"/>
          <w:sz w:val="24"/>
          <w:szCs w:val="24"/>
          <w:highlight w:val="none"/>
        </w:rPr>
        <w:t>条、第</w:t>
      </w:r>
      <w:r>
        <w:rPr>
          <w:rFonts w:ascii="仿宋" w:hAnsi="仿宋" w:eastAsia="仿宋" w:cs="仿宋"/>
          <w:color w:val="auto"/>
          <w:sz w:val="24"/>
          <w:szCs w:val="24"/>
          <w:highlight w:val="none"/>
        </w:rPr>
        <w:t>83</w:t>
      </w:r>
      <w:r>
        <w:rPr>
          <w:rFonts w:hint="eastAsia" w:ascii="仿宋" w:hAnsi="仿宋" w:eastAsia="仿宋" w:cs="仿宋"/>
          <w:color w:val="auto"/>
          <w:sz w:val="24"/>
          <w:szCs w:val="24"/>
          <w:highlight w:val="none"/>
        </w:rPr>
        <w:t>条规定办理结算工程款，但应扣除合同解除之日前发包人向承包人收回的任何款项。如果发包人应扣除的款项超过了应支付的款项，则承包人应在合同解除后的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天内将其差额退还给发包人。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88.3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788" name="文本框 79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upright="1"/>
                    </wps:wsp>
                  </a:graphicData>
                </a:graphic>
              </wp:anchor>
            </w:drawing>
          </mc:Choice>
          <mc:Fallback>
            <w:pict>
              <v:shape id="文本框 793" o:spid="_x0000_s1026" o:spt="202" type="#_x0000_t202" style="position:absolute;left:0pt;margin-left:-9pt;margin-top:3.9pt;height:54.6pt;width:72pt;z-index:252056576;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Aa+d&#10;1gAAAAkBAAAPAAAAAAAAAAEAIAAAACIAAABkcnMvZG93bnJldi54bWxQSwECFAAUAAAACACHTuJA&#10;JrH6mbEBAABRAwAADgAAAAAAAAABACAAAAAlAQAAZHJzL2Uyb0RvYy54bWxQSwUGAAAAAAYABgBZ&#10;AQAASA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款规定解除合同的，发包人暂停向承包人支付任何款项，造价工程师应在合同解除后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天内予以确认或提出意见，并按照第</w:t>
      </w:r>
      <w:r>
        <w:rPr>
          <w:rFonts w:ascii="仿宋" w:hAnsi="仿宋" w:eastAsia="仿宋" w:cs="仿宋"/>
          <w:color w:val="auto"/>
          <w:sz w:val="24"/>
          <w:szCs w:val="24"/>
          <w:highlight w:val="none"/>
        </w:rPr>
        <w:t>82.4</w:t>
      </w:r>
      <w:r>
        <w:rPr>
          <w:rFonts w:hint="eastAsia" w:ascii="仿宋" w:hAnsi="仿宋" w:eastAsia="仿宋" w:cs="仿宋"/>
          <w:color w:val="auto"/>
          <w:sz w:val="24"/>
          <w:szCs w:val="24"/>
          <w:highlight w:val="none"/>
        </w:rPr>
        <w:t>款规定办理结算工程款。如果发包人应扣除的款项超过了应支付的款项，则承包人应在合同解除后的</w:t>
      </w:r>
      <w:r>
        <w:rPr>
          <w:rFonts w:ascii="仿宋" w:hAnsi="仿宋" w:eastAsia="仿宋" w:cs="仿宋"/>
          <w:color w:val="auto"/>
          <w:sz w:val="24"/>
          <w:szCs w:val="24"/>
          <w:highlight w:val="none"/>
        </w:rPr>
        <w:t>56</w:t>
      </w:r>
      <w:r>
        <w:rPr>
          <w:rFonts w:hint="eastAsia" w:ascii="仿宋" w:hAnsi="仿宋" w:eastAsia="仿宋" w:cs="仿宋"/>
          <w:color w:val="auto"/>
          <w:sz w:val="24"/>
          <w:szCs w:val="24"/>
          <w:highlight w:val="none"/>
        </w:rPr>
        <w:t>天内将其差额退还给发包人。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88.4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jc w:val="left"/>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789" name="文本框 79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upright="1"/>
                    </wps:wsp>
                  </a:graphicData>
                </a:graphic>
              </wp:anchor>
            </w:drawing>
          </mc:Choice>
          <mc:Fallback>
            <w:pict>
              <v:shape id="文本框 794" o:spid="_x0000_s1026" o:spt="202" type="#_x0000_t202" style="position:absolute;left:0pt;margin-left:-9pt;margin-top:3.6pt;height:36.5pt;width:72pt;z-index:252057600;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PRNvXV&#10;AAAACAEAAA8AAAAAAAAAAQAgAAAAIgAAAGRycy9kb3ducmV2LnhtbFBLAQIUABQAAAAIAIdO4kA7&#10;2Rdt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ascii="仿宋" w:hAnsi="仿宋" w:eastAsia="仿宋" w:cs="仿宋"/>
          <w:color w:val="auto"/>
          <w:sz w:val="24"/>
          <w:szCs w:val="24"/>
          <w:highlight w:val="none"/>
        </w:rPr>
        <w:t>根据第</w:t>
      </w:r>
      <w:r>
        <w:rPr>
          <w:rFonts w:ascii="仿宋" w:hAnsi="仿宋" w:eastAsia="仿宋" w:cs="仿宋"/>
          <w:color w:val="auto"/>
          <w:sz w:val="24"/>
          <w:szCs w:val="24"/>
          <w:highlight w:val="none"/>
        </w:rPr>
        <w:t>87.4</w:t>
      </w:r>
      <w:r>
        <w:rPr>
          <w:rFonts w:hint="eastAsia" w:ascii="仿宋" w:hAnsi="仿宋" w:eastAsia="仿宋" w:cs="仿宋"/>
          <w:color w:val="auto"/>
          <w:sz w:val="24"/>
          <w:szCs w:val="24"/>
          <w:highlight w:val="none"/>
        </w:rPr>
        <w:t>款规定解除合同的，发包人除应按照第</w:t>
      </w:r>
      <w:r>
        <w:rPr>
          <w:rFonts w:ascii="仿宋" w:hAnsi="仿宋" w:eastAsia="仿宋" w:cs="仿宋"/>
          <w:color w:val="auto"/>
          <w:sz w:val="24"/>
          <w:szCs w:val="24"/>
          <w:highlight w:val="none"/>
        </w:rPr>
        <w:t>88.2</w:t>
      </w:r>
      <w:r>
        <w:rPr>
          <w:rFonts w:hint="eastAsia" w:ascii="仿宋" w:hAnsi="仿宋" w:eastAsia="仿宋" w:cs="仿宋"/>
          <w:color w:val="auto"/>
          <w:sz w:val="24"/>
          <w:szCs w:val="24"/>
          <w:highlight w:val="none"/>
        </w:rPr>
        <w:t>款规定向承包人支付各项款项外，还应支付给承包人由于解除合同而引起的损失或损害的款项。该笔款项由承包人提出，造价工程师核实后与合同双方当事人协商确定，并在确定后的</w:t>
      </w:r>
      <w:r>
        <w:rPr>
          <w:rFonts w:ascii="仿宋" w:hAnsi="仿宋" w:eastAsia="仿宋" w:cs="仿宋"/>
          <w:color w:val="auto"/>
          <w:sz w:val="24"/>
          <w:szCs w:val="24"/>
          <w:highlight w:val="none"/>
        </w:rPr>
        <w:t>7</w:t>
      </w:r>
      <w:r>
        <w:rPr>
          <w:rFonts w:hint="eastAsia" w:ascii="仿宋" w:hAnsi="仿宋" w:eastAsia="仿宋" w:cs="仿宋"/>
          <w:color w:val="auto"/>
          <w:sz w:val="24"/>
          <w:szCs w:val="24"/>
          <w:highlight w:val="none"/>
        </w:rPr>
        <w:t>天内由造价工程师向发包人签发支付证书，抄送承包人。协商不能达成一致的，按照第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条规定处理。</w:t>
      </w:r>
    </w:p>
    <w:p>
      <w:pPr>
        <w:pStyle w:val="13"/>
        <w:adjustRightInd w:val="0"/>
        <w:snapToGrid w:val="0"/>
        <w:spacing w:line="360" w:lineRule="auto"/>
        <w:jc w:val="lef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jc w:val="left"/>
        <w:outlineLvl w:val="2"/>
        <w:rPr>
          <w:rFonts w:ascii="仿宋" w:hAnsi="仿宋" w:eastAsia="仿宋" w:cs="Times New Roman"/>
          <w:b/>
          <w:bCs/>
          <w:color w:val="auto"/>
          <w:sz w:val="24"/>
          <w:szCs w:val="24"/>
          <w:highlight w:val="none"/>
        </w:rPr>
      </w:pPr>
      <w:bookmarkStart w:id="714" w:name="_Toc13935"/>
      <w:bookmarkStart w:id="715" w:name="_Toc28032"/>
      <w:bookmarkStart w:id="716" w:name="_Toc469384073"/>
      <w:bookmarkStart w:id="717" w:name="_Toc10896"/>
      <w:bookmarkStart w:id="718" w:name="_Toc18626"/>
      <w:bookmarkStart w:id="719" w:name="_Toc5123"/>
      <w:bookmarkStart w:id="720" w:name="_Toc10624914"/>
      <w:r>
        <w:rPr>
          <w:rFonts w:ascii="仿宋" w:hAnsi="仿宋" w:eastAsia="仿宋" w:cs="仿宋"/>
          <w:b/>
          <w:bCs/>
          <w:color w:val="auto"/>
          <w:sz w:val="24"/>
          <w:szCs w:val="24"/>
          <w:highlight w:val="none"/>
        </w:rPr>
        <w:t xml:space="preserve">89  </w:t>
      </w:r>
      <w:r>
        <w:rPr>
          <w:rFonts w:hint="eastAsia" w:ascii="仿宋" w:hAnsi="仿宋" w:eastAsia="仿宋" w:cs="仿宋"/>
          <w:b/>
          <w:bCs/>
          <w:color w:val="auto"/>
          <w:sz w:val="24"/>
          <w:szCs w:val="24"/>
          <w:highlight w:val="none"/>
        </w:rPr>
        <w:t>合同终止</w:t>
      </w:r>
      <w:bookmarkEnd w:id="714"/>
      <w:bookmarkEnd w:id="715"/>
      <w:bookmarkEnd w:id="716"/>
      <w:bookmarkEnd w:id="717"/>
      <w:bookmarkEnd w:id="718"/>
      <w:bookmarkEnd w:id="719"/>
      <w:bookmarkEnd w:id="720"/>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89.1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790" name="文本框 7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upright="1"/>
                    </wps:wsp>
                  </a:graphicData>
                </a:graphic>
              </wp:anchor>
            </w:drawing>
          </mc:Choice>
          <mc:Fallback>
            <w:pict>
              <v:shape id="文本框 795" o:spid="_x0000_s1026" o:spt="202" type="#_x0000_t202" style="position:absolute;left:0pt;margin-left:-9pt;margin-top:1.25pt;height:31.2pt;width:72pt;z-index:25205862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MnQ&#10;TUK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rPr>
        <w:t>合同解除后，除合同双方当事人享有第</w:t>
      </w:r>
      <w:r>
        <w:rPr>
          <w:rFonts w:ascii="仿宋" w:hAnsi="仿宋" w:eastAsia="仿宋" w:cs="仿宋"/>
          <w:color w:val="auto"/>
          <w:sz w:val="24"/>
          <w:szCs w:val="24"/>
          <w:highlight w:val="none"/>
        </w:rPr>
        <w:t>86</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88</w:t>
      </w:r>
      <w:r>
        <w:rPr>
          <w:rFonts w:hint="eastAsia" w:ascii="仿宋" w:hAnsi="仿宋" w:eastAsia="仿宋" w:cs="仿宋"/>
          <w:color w:val="auto"/>
          <w:sz w:val="24"/>
          <w:szCs w:val="24"/>
          <w:highlight w:val="none"/>
        </w:rPr>
        <w:t>条规定的权利外，本合同即告终止，但不因一方当事人在此以前的任何违约而损害另一方当事人应享有的权利，也不影响合同双方当事人履行本合同结算和清算条款的效力。</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89.2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791" name="文本框 796"/>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upright="1"/>
                    </wps:wsp>
                  </a:graphicData>
                </a:graphic>
              </wp:anchor>
            </w:drawing>
          </mc:Choice>
          <mc:Fallback>
            <w:pict>
              <v:shape id="文本框 796" o:spid="_x0000_s1026" o:spt="202" type="#_x0000_t202" style="position:absolute;left:0pt;margin-left:-9pt;margin-top:0.05pt;height:67.05pt;width:72pt;z-index:252059648;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8KqftUA&#10;AAAIAQAADwAAAAAAAAABACAAAAAiAAAAZHJzL2Rvd25yZXYueG1sUEsBAhQAFAAAAAgAh07iQLqI&#10;ZAO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ascii="仿宋" w:hAnsi="仿宋" w:eastAsia="仿宋" w:cs="仿宋"/>
          <w:color w:val="auto"/>
          <w:sz w:val="24"/>
          <w:szCs w:val="24"/>
          <w:highlight w:val="none"/>
        </w:rPr>
        <w:t>除第</w:t>
      </w:r>
      <w:r>
        <w:rPr>
          <w:rFonts w:ascii="仿宋" w:hAnsi="仿宋" w:eastAsia="仿宋" w:cs="仿宋"/>
          <w:color w:val="auto"/>
          <w:sz w:val="24"/>
          <w:szCs w:val="24"/>
          <w:highlight w:val="none"/>
        </w:rPr>
        <w:t>59</w:t>
      </w:r>
      <w:r>
        <w:rPr>
          <w:rFonts w:hint="eastAsia" w:ascii="仿宋" w:hAnsi="仿宋" w:eastAsia="仿宋" w:cs="仿宋"/>
          <w:color w:val="auto"/>
          <w:sz w:val="24"/>
          <w:szCs w:val="24"/>
          <w:highlight w:val="none"/>
        </w:rPr>
        <w:t>条和第</w:t>
      </w:r>
      <w:r>
        <w:rPr>
          <w:rFonts w:ascii="仿宋" w:hAnsi="仿宋" w:eastAsia="仿宋" w:cs="仿宋"/>
          <w:color w:val="auto"/>
          <w:sz w:val="24"/>
          <w:szCs w:val="24"/>
          <w:highlight w:val="none"/>
        </w:rPr>
        <w:t>84</w:t>
      </w:r>
      <w:r>
        <w:rPr>
          <w:rFonts w:hint="eastAsia" w:ascii="仿宋" w:hAnsi="仿宋" w:eastAsia="仿宋" w:cs="仿宋"/>
          <w:color w:val="auto"/>
          <w:sz w:val="24"/>
          <w:szCs w:val="24"/>
          <w:highlight w:val="none"/>
        </w:rPr>
        <w:t>条规定的质量保修条款外，合同双方当事人履行完本合同全部义务，发包人向承包人支付完竣工结算款，承包人向发包人交付竣工工程后，本合同即告终止。</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89.3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792" name="文本框 797"/>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upright="1"/>
                    </wps:wsp>
                  </a:graphicData>
                </a:graphic>
              </wp:anchor>
            </w:drawing>
          </mc:Choice>
          <mc:Fallback>
            <w:pict>
              <v:shape id="文本框 797" o:spid="_x0000_s1026" o:spt="202" type="#_x0000_t202" style="position:absolute;left:0pt;margin-left:-9pt;margin-top:1.05pt;height:32.75pt;width:72pt;z-index:25206067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EyWpNUA&#10;AAAIAQAADwAAAAAAAAABACAAAAAiAAAAZHJzL2Rvd25yZXYueG1sUEsBAhQAFAAAAAgAh07iQIu4&#10;6WW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rPr>
        <w:t>本合同的权利义务终止后，合同双方当事人仍应遵循诚实信用原则，继续履行合同约定的通知、协助、保密等义务。</w:t>
      </w:r>
    </w:p>
    <w:p>
      <w:pPr>
        <w:pStyle w:val="13"/>
        <w:adjustRightInd w:val="0"/>
        <w:snapToGrid w:val="0"/>
        <w:spacing w:line="480" w:lineRule="auto"/>
        <w:ind w:right="-238"/>
        <w:rPr>
          <w:rFonts w:ascii="仿宋" w:hAnsi="仿宋" w:eastAsia="仿宋" w:cs="仿宋"/>
          <w:color w:val="auto"/>
          <w:sz w:val="24"/>
          <w:szCs w:val="24"/>
          <w:highlight w:val="none"/>
          <w:u w:val="single"/>
        </w:rPr>
      </w:pPr>
      <w:r>
        <w:rPr>
          <w:rFonts w:ascii="仿宋" w:hAnsi="仿宋" w:eastAsia="仿宋" w:cs="仿宋"/>
          <w:color w:val="auto"/>
          <w:sz w:val="24"/>
          <w:szCs w:val="24"/>
          <w:highlight w:val="none"/>
          <w:u w:val="single"/>
        </w:rPr>
        <w:t xml:space="preserve">                                                                                 </w:t>
      </w:r>
    </w:p>
    <w:p>
      <w:pPr>
        <w:pStyle w:val="13"/>
        <w:adjustRightInd w:val="0"/>
        <w:snapToGrid w:val="0"/>
        <w:spacing w:line="360" w:lineRule="auto"/>
        <w:ind w:firstLine="2951" w:firstLineChars="1225"/>
        <w:outlineLvl w:val="1"/>
        <w:rPr>
          <w:rFonts w:ascii="仿宋" w:hAnsi="仿宋" w:eastAsia="仿宋" w:cs="仿宋"/>
          <w:b/>
          <w:bCs/>
          <w:color w:val="auto"/>
          <w:sz w:val="24"/>
          <w:szCs w:val="24"/>
          <w:highlight w:val="none"/>
        </w:rPr>
      </w:pPr>
      <w:bookmarkStart w:id="721" w:name="_Toc22435"/>
      <w:bookmarkStart w:id="722" w:name="_Toc6361"/>
      <w:bookmarkStart w:id="723" w:name="_Toc19204"/>
      <w:r>
        <w:rPr>
          <w:rFonts w:hint="eastAsia" w:ascii="仿宋" w:hAnsi="仿宋" w:eastAsia="仿宋" w:cs="仿宋"/>
          <w:b/>
          <w:bCs/>
          <w:color w:val="auto"/>
          <w:sz w:val="24"/>
          <w:szCs w:val="24"/>
          <w:highlight w:val="none"/>
        </w:rPr>
        <w:t>八、违 约 责 任</w:t>
      </w:r>
      <w:bookmarkEnd w:id="721"/>
      <w:bookmarkEnd w:id="722"/>
      <w:bookmarkEnd w:id="723"/>
    </w:p>
    <w:p>
      <w:pPr>
        <w:jc w:val="left"/>
        <w:rPr>
          <w:rFonts w:cs="Times New Roman"/>
          <w:color w:val="auto"/>
          <w:highlight w:val="none"/>
        </w:rPr>
      </w:pPr>
    </w:p>
    <w:p>
      <w:pPr>
        <w:pStyle w:val="13"/>
        <w:adjustRightInd w:val="0"/>
        <w:snapToGrid w:val="0"/>
        <w:spacing w:line="360" w:lineRule="auto"/>
        <w:jc w:val="left"/>
        <w:outlineLvl w:val="2"/>
        <w:rPr>
          <w:rFonts w:ascii="仿宋" w:hAnsi="仿宋" w:eastAsia="仿宋" w:cs="Times New Roman"/>
          <w:b/>
          <w:bCs/>
          <w:color w:val="auto"/>
          <w:sz w:val="24"/>
          <w:szCs w:val="24"/>
          <w:highlight w:val="none"/>
        </w:rPr>
      </w:pPr>
      <w:bookmarkStart w:id="724" w:name="_Toc9760"/>
      <w:bookmarkStart w:id="725" w:name="_Toc10624915"/>
      <w:bookmarkStart w:id="726" w:name="_Toc15651"/>
      <w:bookmarkStart w:id="727" w:name="_Toc26272"/>
      <w:bookmarkStart w:id="728" w:name="_Toc31302"/>
      <w:bookmarkStart w:id="729" w:name="_Toc31406"/>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90  </w:t>
      </w:r>
      <w:r>
        <w:rPr>
          <w:rFonts w:hint="eastAsia" w:ascii="仿宋" w:hAnsi="仿宋" w:eastAsia="仿宋" w:cs="仿宋"/>
          <w:b/>
          <w:bCs/>
          <w:color w:val="auto"/>
          <w:sz w:val="24"/>
          <w:szCs w:val="24"/>
          <w:highlight w:val="none"/>
        </w:rPr>
        <w:t>承包人的违约责任</w:t>
      </w:r>
      <w:bookmarkEnd w:id="724"/>
      <w:bookmarkEnd w:id="725"/>
      <w:bookmarkEnd w:id="726"/>
      <w:bookmarkEnd w:id="727"/>
      <w:bookmarkEnd w:id="728"/>
      <w:bookmarkEnd w:id="729"/>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90.1</w:t>
      </w:r>
    </w:p>
    <w:p>
      <w:pPr>
        <w:adjustRightInd w:val="0"/>
        <w:snapToGrid w:val="0"/>
        <w:spacing w:line="360" w:lineRule="auto"/>
        <w:ind w:left="2201" w:leftChars="98" w:hanging="1995" w:hangingChars="95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809" name="文本框 79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upright="1"/>
                    </wps:wsp>
                  </a:graphicData>
                </a:graphic>
              </wp:anchor>
            </w:drawing>
          </mc:Choice>
          <mc:Fallback>
            <w:pict>
              <v:shape id="文本框 798" o:spid="_x0000_s1026" o:spt="202" type="#_x0000_t202" style="position:absolute;left:0pt;margin-left:-9pt;margin-top:1.25pt;height:31.2pt;width:72pt;z-index:25207808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B+6&#10;FSe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因承包人违反本合同约定给发包人造成损失的，承包人应当赔偿发包人损失。</w:t>
      </w:r>
    </w:p>
    <w:p>
      <w:pPr>
        <w:adjustRightInd w:val="0"/>
        <w:snapToGrid w:val="0"/>
        <w:spacing w:line="360" w:lineRule="auto"/>
        <w:rPr>
          <w:rFonts w:ascii="仿宋" w:hAnsi="仿宋" w:eastAsia="仿宋" w:cs="Times New Roman"/>
          <w:b/>
          <w:bCs/>
          <w:color w:val="auto"/>
          <w:sz w:val="24"/>
          <w:szCs w:val="24"/>
          <w:highlight w:val="none"/>
        </w:rPr>
      </w:pPr>
    </w:p>
    <w:p>
      <w:pPr>
        <w:spacing w:line="360" w:lineRule="auto"/>
        <w:ind w:left="2300" w:leftChars="27" w:hanging="2243" w:hangingChars="931"/>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90.2  </w:t>
      </w:r>
      <w:r>
        <w:rPr>
          <w:rFonts w:ascii="仿宋" w:hAnsi="仿宋" w:eastAsia="仿宋" w:cs="仿宋"/>
          <w:b/>
          <w:bCs/>
          <w:color w:val="auto"/>
          <w:sz w:val="24"/>
          <w:szCs w:val="24"/>
          <w:highlight w:val="none"/>
          <w:u w:val="dotted"/>
        </w:rPr>
        <w:t xml:space="preserve">                                                                                </w:t>
      </w:r>
    </w:p>
    <w:p>
      <w:pPr>
        <w:spacing w:line="360" w:lineRule="auto"/>
        <w:ind w:left="2012" w:leftChars="27" w:hanging="1955" w:hangingChars="93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810" name="文本框 799"/>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cs="Times New Roman"/>
                                <w:b/>
                                <w:bCs/>
                                <w:sz w:val="18"/>
                                <w:szCs w:val="18"/>
                              </w:rPr>
                            </w:pPr>
                          </w:p>
                          <w:p>
                            <w:pPr>
                              <w:spacing w:line="240" w:lineRule="exact"/>
                              <w:rPr>
                                <w:rFonts w:ascii="楷体_GB2312" w:hAnsi="宋体" w:eastAsia="楷体_GB2312" w:cs="Times New Roman"/>
                                <w:b/>
                                <w:bCs/>
                                <w:sz w:val="18"/>
                                <w:szCs w:val="18"/>
                              </w:rPr>
                            </w:pPr>
                          </w:p>
                        </w:txbxContent>
                      </wps:txbx>
                      <wps:bodyPr upright="1"/>
                    </wps:wsp>
                  </a:graphicData>
                </a:graphic>
              </wp:anchor>
            </w:drawing>
          </mc:Choice>
          <mc:Fallback>
            <w:pict>
              <v:shape id="文本框 799" o:spid="_x0000_s1026" o:spt="202" type="#_x0000_t202" style="position:absolute;left:0pt;margin-left:-9pt;margin-top:1.05pt;height:32.75pt;width:72pt;z-index:25207910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TJak1QAA&#10;AAgBAAAPAAAAAAAAAAEAIAAAACIAAABkcnMvZG93bnJldi54bWxQSwECFAAUAAAACACHTuJAYluu&#10;XK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pPr>
                        <w:spacing w:line="240" w:lineRule="exact"/>
                        <w:rPr>
                          <w:rFonts w:ascii="楷体_GB2312" w:hAnsi="宋体" w:eastAsia="楷体_GB2312" w:cs="Times New Roman"/>
                          <w:b/>
                          <w:bCs/>
                          <w:sz w:val="18"/>
                          <w:szCs w:val="18"/>
                        </w:rPr>
                      </w:pPr>
                    </w:p>
                    <w:p>
                      <w:pPr>
                        <w:spacing w:line="240" w:lineRule="exact"/>
                        <w:rPr>
                          <w:rFonts w:ascii="楷体_GB2312" w:hAnsi="宋体" w:eastAsia="楷体_GB2312" w:cs="Times New Roman"/>
                          <w:b/>
                          <w:bCs/>
                          <w:sz w:val="18"/>
                          <w:szCs w:val="18"/>
                        </w:rPr>
                      </w:pP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承包人向发包人的索赔不成立时，承包人应赔偿发包人由此发生的费用。</w:t>
      </w:r>
    </w:p>
    <w:p>
      <w:pPr>
        <w:spacing w:line="360" w:lineRule="auto"/>
        <w:ind w:left="2291" w:leftChars="27" w:hanging="2234" w:hangingChars="931"/>
        <w:rPr>
          <w:rFonts w:ascii="仿宋" w:hAnsi="仿宋" w:eastAsia="仿宋" w:cs="Times New Roman"/>
          <w:color w:val="auto"/>
          <w:sz w:val="24"/>
          <w:szCs w:val="24"/>
          <w:highlight w:val="none"/>
        </w:rPr>
      </w:pPr>
    </w:p>
    <w:p>
      <w:pPr>
        <w:pStyle w:val="13"/>
        <w:adjustRightInd w:val="0"/>
        <w:snapToGrid w:val="0"/>
        <w:spacing w:line="360" w:lineRule="auto"/>
        <w:ind w:firstLine="120" w:firstLineChars="50"/>
        <w:jc w:val="left"/>
        <w:outlineLvl w:val="2"/>
        <w:rPr>
          <w:rFonts w:ascii="仿宋" w:hAnsi="仿宋" w:eastAsia="仿宋" w:cs="Times New Roman"/>
          <w:b/>
          <w:bCs/>
          <w:color w:val="auto"/>
          <w:sz w:val="24"/>
          <w:szCs w:val="24"/>
          <w:highlight w:val="none"/>
        </w:rPr>
      </w:pPr>
      <w:bookmarkStart w:id="730" w:name="_Toc2767"/>
      <w:bookmarkStart w:id="731" w:name="_Toc19331"/>
      <w:bookmarkStart w:id="732" w:name="_Toc5315"/>
      <w:bookmarkStart w:id="733" w:name="_Toc12036"/>
      <w:bookmarkStart w:id="734" w:name="_Toc489260630"/>
      <w:bookmarkStart w:id="735" w:name="_Toc25016"/>
      <w:bookmarkStart w:id="736" w:name="_Toc10624916"/>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91 </w:t>
      </w:r>
      <w:r>
        <w:rPr>
          <w:rFonts w:hint="eastAsia" w:ascii="仿宋" w:hAnsi="仿宋" w:eastAsia="仿宋" w:cs="仿宋"/>
          <w:b/>
          <w:bCs/>
          <w:color w:val="auto"/>
          <w:sz w:val="24"/>
          <w:szCs w:val="24"/>
          <w:highlight w:val="none"/>
        </w:rPr>
        <w:t>发包人的违约责任</w:t>
      </w:r>
      <w:bookmarkEnd w:id="730"/>
      <w:bookmarkEnd w:id="731"/>
      <w:bookmarkEnd w:id="732"/>
      <w:bookmarkEnd w:id="733"/>
      <w:bookmarkEnd w:id="734"/>
      <w:bookmarkEnd w:id="735"/>
      <w:bookmarkEnd w:id="736"/>
    </w:p>
    <w:p>
      <w:pPr>
        <w:pStyle w:val="13"/>
        <w:adjustRightInd w:val="0"/>
        <w:snapToGrid w:val="0"/>
        <w:spacing w:line="360" w:lineRule="auto"/>
        <w:ind w:firstLine="118" w:firstLineChars="49"/>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91.1 </w:t>
      </w:r>
    </w:p>
    <w:p>
      <w:pPr>
        <w:adjustRightInd w:val="0"/>
        <w:snapToGrid w:val="0"/>
        <w:spacing w:line="360" w:lineRule="auto"/>
        <w:ind w:left="1035" w:leftChars="493"/>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811" name="文本框 8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upright="1"/>
                    </wps:wsp>
                  </a:graphicData>
                </a:graphic>
              </wp:anchor>
            </w:drawing>
          </mc:Choice>
          <mc:Fallback>
            <w:pict>
              <v:shape id="文本框 800" o:spid="_x0000_s1026" o:spt="202" type="#_x0000_t202" style="position:absolute;left:0pt;margin-left:-9pt;margin-top:1.25pt;height:31.2pt;width:72pt;z-index:25208012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B+5jmO&#10;rgEAAFEDAAAOAAAAAAAAAAEAIAAAACQ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因发包人违反本合同约定造成承包人损失的，发包人应予以赔偿。</w:t>
      </w:r>
    </w:p>
    <w:p>
      <w:pPr>
        <w:adjustRightInd w:val="0"/>
        <w:snapToGrid w:val="0"/>
        <w:spacing w:line="360" w:lineRule="auto"/>
        <w:ind w:left="1035" w:leftChars="493" w:firstLine="361" w:firstLineChars="150"/>
        <w:rPr>
          <w:rFonts w:ascii="仿宋" w:hAnsi="仿宋" w:eastAsia="仿宋" w:cs="Times New Roman"/>
          <w:b/>
          <w:bCs/>
          <w:color w:val="auto"/>
          <w:sz w:val="24"/>
          <w:szCs w:val="24"/>
          <w:highlight w:val="none"/>
        </w:rPr>
      </w:pPr>
    </w:p>
    <w:p>
      <w:pPr>
        <w:spacing w:line="360" w:lineRule="auto"/>
        <w:ind w:left="2300" w:leftChars="27" w:hanging="2243" w:hangingChars="931"/>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91.2  </w:t>
      </w:r>
      <w:r>
        <w:rPr>
          <w:rFonts w:ascii="仿宋" w:hAnsi="仿宋" w:eastAsia="仿宋" w:cs="仿宋"/>
          <w:b/>
          <w:bCs/>
          <w:color w:val="auto"/>
          <w:sz w:val="24"/>
          <w:szCs w:val="24"/>
          <w:highlight w:val="none"/>
          <w:u w:val="dotted"/>
        </w:rPr>
        <w:t xml:space="preserve">                                                                                </w:t>
      </w:r>
    </w:p>
    <w:p>
      <w:pPr>
        <w:adjustRightInd w:val="0"/>
        <w:snapToGrid w:val="0"/>
        <w:spacing w:line="360" w:lineRule="auto"/>
        <w:ind w:left="214" w:leftChars="10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812" name="文本框 801"/>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upright="1"/>
                    </wps:wsp>
                  </a:graphicData>
                </a:graphic>
              </wp:anchor>
            </w:drawing>
          </mc:Choice>
          <mc:Fallback>
            <w:pict>
              <v:shape id="文本框 801" o:spid="_x0000_s1026" o:spt="202" type="#_x0000_t202" style="position:absolute;left:0pt;margin-left:-9pt;margin-top:1.05pt;height:32.75pt;width:72pt;z-index:252081152;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cTJak1QAA&#10;AAgBAAAPAAAAAAAAAAEAIAAAACIAAABkcnMvZG93bnJldi54bWxQSwECFAAUAAAACACHTuJAA8Cw&#10;v68BAABRAwAADgAAAAAAAAABACAAAAAk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发包人向承包人的索赔不成立时，发包人应赔偿承包人由此发生的费用。</w:t>
      </w:r>
    </w:p>
    <w:p>
      <w:pPr>
        <w:adjustRightInd w:val="0"/>
        <w:snapToGrid w:val="0"/>
        <w:spacing w:line="360" w:lineRule="auto"/>
        <w:rPr>
          <w:rFonts w:ascii="仿宋" w:hAnsi="仿宋" w:eastAsia="仿宋" w:cs="Times New Roman"/>
          <w:b/>
          <w:bCs/>
          <w:color w:val="auto"/>
          <w:sz w:val="24"/>
          <w:szCs w:val="24"/>
          <w:highlight w:val="none"/>
          <w:u w:val="dotted"/>
        </w:rPr>
      </w:pPr>
    </w:p>
    <w:p>
      <w:pPr>
        <w:spacing w:line="360" w:lineRule="auto"/>
        <w:ind w:left="210" w:leftChars="100"/>
        <w:outlineLvl w:val="2"/>
        <w:rPr>
          <w:rFonts w:ascii="仿宋" w:hAnsi="仿宋" w:eastAsia="仿宋" w:cs="Times New Roman"/>
          <w:b/>
          <w:bCs/>
          <w:color w:val="auto"/>
          <w:sz w:val="24"/>
          <w:szCs w:val="24"/>
          <w:highlight w:val="none"/>
        </w:rPr>
      </w:pPr>
      <w:bookmarkStart w:id="737" w:name="_Toc28742"/>
      <w:bookmarkStart w:id="738" w:name="_Toc28454"/>
      <w:bookmarkStart w:id="739" w:name="_Toc31776"/>
      <w:bookmarkStart w:id="740" w:name="_Toc30137"/>
      <w:bookmarkStart w:id="741" w:name="_Toc13601"/>
      <w:bookmarkStart w:id="742" w:name="_Toc10624917"/>
      <w:bookmarkStart w:id="743" w:name="_Toc489260631"/>
      <w:r>
        <w:rPr>
          <w:rFonts w:hint="eastAsia" w:ascii="仿宋" w:hAnsi="仿宋" w:eastAsia="仿宋" w:cs="仿宋"/>
          <w:color w:val="auto"/>
          <w:sz w:val="24"/>
          <w:szCs w:val="24"/>
          <w:highlight w:val="none"/>
        </w:rPr>
        <w:t>★</w:t>
      </w:r>
      <w:r>
        <w:rPr>
          <w:rFonts w:ascii="仿宋" w:hAnsi="仿宋" w:eastAsia="仿宋" w:cs="仿宋"/>
          <w:b/>
          <w:bCs/>
          <w:color w:val="auto"/>
          <w:sz w:val="24"/>
          <w:szCs w:val="24"/>
          <w:highlight w:val="none"/>
        </w:rPr>
        <w:t xml:space="preserve">92  </w:t>
      </w:r>
      <w:r>
        <w:rPr>
          <w:rFonts w:hint="eastAsia" w:ascii="仿宋" w:hAnsi="仿宋" w:eastAsia="仿宋" w:cs="仿宋"/>
          <w:b/>
          <w:bCs/>
          <w:color w:val="auto"/>
          <w:sz w:val="24"/>
          <w:szCs w:val="24"/>
          <w:highlight w:val="none"/>
        </w:rPr>
        <w:t>除外责任</w:t>
      </w:r>
      <w:bookmarkEnd w:id="737"/>
      <w:bookmarkEnd w:id="738"/>
      <w:bookmarkEnd w:id="739"/>
      <w:bookmarkEnd w:id="740"/>
      <w:bookmarkEnd w:id="741"/>
      <w:bookmarkEnd w:id="742"/>
      <w:bookmarkEnd w:id="743"/>
    </w:p>
    <w:p>
      <w:pPr>
        <w:adjustRightInd w:val="0"/>
        <w:snapToGrid w:val="0"/>
        <w:spacing w:line="360" w:lineRule="auto"/>
        <w:ind w:firstLine="840" w:firstLineChars="400"/>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813" name="文本框 8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upright="1"/>
                    </wps:wsp>
                  </a:graphicData>
                </a:graphic>
              </wp:anchor>
            </w:drawing>
          </mc:Choice>
          <mc:Fallback>
            <w:pict>
              <v:shape id="文本框 802" o:spid="_x0000_s1026" o:spt="202" type="#_x0000_t202" style="position:absolute;left:0pt;margin-left:-9pt;margin-top:1.25pt;height:31.2pt;width:72pt;z-index:25208217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8/wcNUA&#10;AAAIAQAADwAAAAAAAAABACAAAAAiAAAAZHJzL2Rvd25yZXYueG1sUEsBAhQAFAAAAAgAh07iQHkS&#10;tQW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非承包人的原因，且承包人无过错，而产生的各类损失，承包人不承担赔偿责任。</w:t>
      </w:r>
    </w:p>
    <w:p>
      <w:pPr>
        <w:adjustRightInd w:val="0"/>
        <w:snapToGrid w:val="0"/>
        <w:spacing w:line="360" w:lineRule="auto"/>
        <w:ind w:left="1556" w:leftChars="74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因不可抗力导致本合同全部或部分不能履行时，双方各自承担其因此而造成的损失、损害。</w:t>
      </w:r>
    </w:p>
    <w:p>
      <w:pPr>
        <w:rPr>
          <w:rFonts w:cs="Times New Roman"/>
          <w:color w:val="auto"/>
          <w:highlight w:val="none"/>
        </w:rPr>
      </w:pPr>
    </w:p>
    <w:p>
      <w:pPr>
        <w:pStyle w:val="13"/>
        <w:adjustRightInd w:val="0"/>
        <w:snapToGrid w:val="0"/>
        <w:spacing w:line="480" w:lineRule="auto"/>
        <w:ind w:right="-238"/>
        <w:rPr>
          <w:rFonts w:ascii="仿宋" w:hAnsi="仿宋" w:eastAsia="仿宋" w:cs="Times New Roman"/>
          <w:color w:val="auto"/>
          <w:sz w:val="24"/>
          <w:szCs w:val="24"/>
          <w:highlight w:val="none"/>
          <w:u w:val="single"/>
        </w:rPr>
      </w:pPr>
      <w:r>
        <w:rPr>
          <w:rFonts w:ascii="仿宋" w:hAnsi="仿宋" w:eastAsia="仿宋" w:cs="仿宋"/>
          <w:color w:val="auto"/>
          <w:sz w:val="24"/>
          <w:szCs w:val="24"/>
          <w:highlight w:val="none"/>
          <w:u w:val="single"/>
        </w:rPr>
        <w:t xml:space="preserve">                                                                                 </w:t>
      </w:r>
    </w:p>
    <w:p>
      <w:pPr>
        <w:pStyle w:val="13"/>
        <w:adjustRightInd w:val="0"/>
        <w:snapToGrid w:val="0"/>
        <w:spacing w:line="360" w:lineRule="auto"/>
        <w:ind w:firstLine="3004" w:firstLineChars="1247"/>
        <w:outlineLvl w:val="1"/>
        <w:rPr>
          <w:rFonts w:ascii="仿宋" w:hAnsi="仿宋" w:eastAsia="仿宋" w:cs="Times New Roman"/>
          <w:b/>
          <w:bCs/>
          <w:color w:val="auto"/>
          <w:sz w:val="24"/>
          <w:szCs w:val="24"/>
          <w:highlight w:val="none"/>
        </w:rPr>
      </w:pPr>
      <w:bookmarkStart w:id="744" w:name="_Toc4119"/>
      <w:bookmarkStart w:id="745" w:name="_Toc28296"/>
      <w:bookmarkStart w:id="746" w:name="_Toc21596"/>
      <w:bookmarkStart w:id="747" w:name="_Toc14981"/>
      <w:bookmarkStart w:id="748" w:name="_Toc20070"/>
      <w:bookmarkStart w:id="749" w:name="_Toc10624918"/>
      <w:bookmarkStart w:id="750" w:name="_Toc469384074"/>
      <w:r>
        <w:rPr>
          <w:rFonts w:hint="eastAsia" w:ascii="仿宋" w:hAnsi="仿宋" w:eastAsia="仿宋" w:cs="仿宋"/>
          <w:b/>
          <w:bCs/>
          <w:color w:val="auto"/>
          <w:sz w:val="24"/>
          <w:szCs w:val="24"/>
          <w:highlight w:val="none"/>
        </w:rPr>
        <w:t>九、其</w:t>
      </w:r>
      <w:r>
        <w:rPr>
          <w:rFonts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rPr>
        <w:t>他</w:t>
      </w:r>
      <w:bookmarkEnd w:id="744"/>
      <w:bookmarkEnd w:id="745"/>
      <w:bookmarkEnd w:id="746"/>
      <w:bookmarkEnd w:id="747"/>
      <w:bookmarkEnd w:id="748"/>
      <w:bookmarkEnd w:id="749"/>
      <w:bookmarkEnd w:id="750"/>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51" w:name="_Toc10624919"/>
      <w:bookmarkStart w:id="752" w:name="_Toc469384075"/>
      <w:bookmarkStart w:id="753" w:name="_Toc29993"/>
      <w:bookmarkStart w:id="754" w:name="_Toc17976"/>
      <w:bookmarkStart w:id="755" w:name="_Toc6134"/>
      <w:bookmarkStart w:id="756" w:name="_Toc4108"/>
      <w:bookmarkStart w:id="757" w:name="_Toc28163"/>
      <w:r>
        <w:rPr>
          <w:rFonts w:ascii="仿宋" w:hAnsi="仿宋" w:eastAsia="仿宋" w:cs="仿宋"/>
          <w:b/>
          <w:bCs/>
          <w:color w:val="auto"/>
          <w:sz w:val="24"/>
          <w:szCs w:val="24"/>
          <w:highlight w:val="none"/>
        </w:rPr>
        <w:t xml:space="preserve">93  </w:t>
      </w:r>
      <w:r>
        <w:rPr>
          <w:rFonts w:hint="eastAsia" w:ascii="仿宋" w:hAnsi="仿宋" w:eastAsia="仿宋" w:cs="仿宋"/>
          <w:b/>
          <w:bCs/>
          <w:color w:val="auto"/>
          <w:sz w:val="24"/>
          <w:szCs w:val="24"/>
          <w:highlight w:val="none"/>
        </w:rPr>
        <w:t>缴纳税费</w:t>
      </w:r>
      <w:bookmarkEnd w:id="751"/>
      <w:bookmarkEnd w:id="752"/>
      <w:bookmarkEnd w:id="753"/>
      <w:bookmarkEnd w:id="754"/>
      <w:bookmarkEnd w:id="755"/>
      <w:bookmarkEnd w:id="756"/>
      <w:bookmarkEnd w:id="757"/>
    </w:p>
    <w:p>
      <w:pPr>
        <w:pStyle w:val="13"/>
        <w:tabs>
          <w:tab w:val="left" w:pos="1320"/>
        </w:tabs>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93.1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w:t>
      </w: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793" name="文本框 803"/>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upright="1"/>
                    </wps:wsp>
                  </a:graphicData>
                </a:graphic>
              </wp:anchor>
            </w:drawing>
          </mc:Choice>
          <mc:Fallback>
            <w:pict>
              <v:shape id="文本框 803" o:spid="_x0000_s1026" o:spt="202" type="#_x0000_t202" style="position:absolute;left:0pt;margin-left:-9pt;margin-top:0.05pt;height:38.15pt;width:72pt;z-index:252061696;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KWgr1AAA&#10;AAcBAAAPAAAAAAAAAAEAIAAAACIAAABkcnMvZG93bnJldi54bWxQSwECFAAUAAAACACHTuJAvmB+&#10;k7ABAABR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sz w:val="24"/>
          <w:szCs w:val="24"/>
          <w:highlight w:val="none"/>
        </w:rPr>
        <w:t>应按照国家现行税法和有关部门现行规定缴纳合同工程需缴的一切税费。</w:t>
      </w:r>
    </w:p>
    <w:p>
      <w:pPr>
        <w:pStyle w:val="13"/>
        <w:tabs>
          <w:tab w:val="left" w:pos="1320"/>
        </w:tabs>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93.2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794" name="文本框 8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upright="1"/>
                    </wps:wsp>
                  </a:graphicData>
                </a:graphic>
              </wp:anchor>
            </w:drawing>
          </mc:Choice>
          <mc:Fallback>
            <w:pict>
              <v:shape id="文本框 804" o:spid="_x0000_s1026" o:spt="202" type="#_x0000_t202" style="position:absolute;left:0pt;margin-left:-9pt;margin-top:2.55pt;height:31.2pt;width:72pt;z-index:252062720;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qPyM9UA&#10;AAAIAQAADwAAAAAAAAABACAAAAAiAAAAZHJzL2Rvd25yZXYueG1sUEsBAhQAFAAAAAgAh07iQLiD&#10;xjS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sz w:val="24"/>
          <w:szCs w:val="24"/>
          <w:highlight w:val="none"/>
        </w:rPr>
        <w:t>合同任何一方当事人没交或少交合同工程需缴税费的，违法方应足额补交，并承担相应的法律责任；给另一方当事人造成损失的，违法方应赔偿损失。</w:t>
      </w:r>
    </w:p>
    <w:p>
      <w:pPr>
        <w:pStyle w:val="13"/>
        <w:adjustRightInd w:val="0"/>
        <w:snapToGrid w:val="0"/>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rPr>
          <w:rFonts w:ascii="仿宋" w:hAnsi="仿宋" w:eastAsia="仿宋" w:cs="Times New Roman"/>
          <w:b/>
          <w:bCs/>
          <w:color w:val="auto"/>
          <w:sz w:val="24"/>
          <w:szCs w:val="24"/>
          <w:highlight w:val="none"/>
        </w:rPr>
      </w:pP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58" w:name="_Toc24992"/>
      <w:bookmarkStart w:id="759" w:name="_Toc469384076"/>
      <w:bookmarkStart w:id="760" w:name="_Toc29966"/>
      <w:bookmarkStart w:id="761" w:name="_Toc29325"/>
      <w:bookmarkStart w:id="762" w:name="_Toc28204"/>
      <w:bookmarkStart w:id="763" w:name="_Toc10624920"/>
      <w:bookmarkStart w:id="764" w:name="_Toc25389"/>
      <w:r>
        <w:rPr>
          <w:rFonts w:ascii="仿宋" w:hAnsi="仿宋" w:eastAsia="仿宋" w:cs="仿宋"/>
          <w:b/>
          <w:bCs/>
          <w:color w:val="auto"/>
          <w:sz w:val="24"/>
          <w:szCs w:val="24"/>
          <w:highlight w:val="none"/>
        </w:rPr>
        <w:t xml:space="preserve">94  </w:t>
      </w:r>
      <w:r>
        <w:rPr>
          <w:rFonts w:hint="eastAsia" w:ascii="仿宋" w:hAnsi="仿宋" w:eastAsia="仿宋" w:cs="仿宋"/>
          <w:b/>
          <w:bCs/>
          <w:color w:val="auto"/>
          <w:sz w:val="24"/>
          <w:szCs w:val="24"/>
          <w:highlight w:val="none"/>
        </w:rPr>
        <w:t>保密要求</w:t>
      </w:r>
      <w:bookmarkEnd w:id="758"/>
      <w:bookmarkEnd w:id="759"/>
      <w:bookmarkEnd w:id="760"/>
      <w:bookmarkEnd w:id="761"/>
      <w:bookmarkEnd w:id="762"/>
      <w:bookmarkEnd w:id="763"/>
      <w:bookmarkEnd w:id="764"/>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94.1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795" name="文本框 80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upright="1"/>
                    </wps:wsp>
                  </a:graphicData>
                </a:graphic>
              </wp:anchor>
            </w:drawing>
          </mc:Choice>
          <mc:Fallback>
            <w:pict>
              <v:shape id="文本框 805" o:spid="_x0000_s1026" o:spt="202" type="#_x0000_t202" style="position:absolute;left:0pt;margin-left:-9pt;margin-top:2.7pt;height:46.8pt;width:72pt;z-index:252063744;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tmtfXV&#10;AAAACAEAAA8AAAAAAAAAAQAgAAAAIgAAAGRycy9kb3ducmV2LnhtbFBLAQIUABQAAAAIAIdO4kBx&#10;wHeksQEAAFEDAAAOAAAAAAAAAAEAIAAAACQ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ascii="仿宋" w:hAnsi="仿宋" w:eastAsia="仿宋" w:cs="仿宋"/>
          <w:color w:val="auto"/>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94.2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796" name="文本框 80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upright="1"/>
                    </wps:wsp>
                  </a:graphicData>
                </a:graphic>
              </wp:anchor>
            </w:drawing>
          </mc:Choice>
          <mc:Fallback>
            <w:pict>
              <v:shape id="文本框 806" o:spid="_x0000_s1026" o:spt="202" type="#_x0000_t202" style="position:absolute;left:0pt;margin-left:-9pt;margin-top:5.4pt;height:39pt;width:72pt;z-index:252064768;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Figu9UA&#10;AAAJAQAADwAAAAAAAAABACAAAAAiAAAAZHJzL2Rvd25yZXYueG1sUEsBAhQAFAAAAAgAh07iQBcw&#10;p76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94.3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797" name="文本框 807"/>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upright="1"/>
                    </wps:wsp>
                  </a:graphicData>
                </a:graphic>
              </wp:anchor>
            </w:drawing>
          </mc:Choice>
          <mc:Fallback>
            <w:pict>
              <v:shape id="文本框 807" o:spid="_x0000_s1026" o:spt="202" type="#_x0000_t202" style="position:absolute;left:0pt;margin-left:-9pt;margin-top:0.25pt;height:23.7pt;width:81pt;z-index:252065792;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cmCo1AAA&#10;AAcBAAAPAAAAAAAAAAEAIAAAACIAAABkcnMvZG93bnJldi54bWxQSwECFAAUAAAACACHTuJAgYgq&#10;BbABAABSAwAADgAAAAAAAAABACAAAAAjAQAAZHJzL2Uyb0RvYy54bWxQSwUGAAAAAAYABgBZAQAA&#10;RQU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color w:val="auto"/>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94.4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798" name="文本框 808"/>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upright="1"/>
                    </wps:wsp>
                  </a:graphicData>
                </a:graphic>
              </wp:anchor>
            </w:drawing>
          </mc:Choice>
          <mc:Fallback>
            <w:pict>
              <v:shape id="文本框 808" o:spid="_x0000_s1026" o:spt="202" type="#_x0000_t202" style="position:absolute;left:0pt;margin-left:-9pt;margin-top:5.15pt;height:57.3pt;width:72pt;z-index:252066816;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nob2fW&#10;AAAACgEAAA8AAAAAAAAAAQAgAAAAIgAAAGRycy9kb3ducmV2LnhtbFBLAQIUABQAAAAIAIdO4kBN&#10;J2n+sAEAAFEDAAAOAAAAAAAAAAEAIAAAACUBAABkcnMvZTJvRG9jLnhtbFBLBQYAAAAABgAGAFkB&#10;AABH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pPr>
        <w:pStyle w:val="13"/>
        <w:adjustRightInd w:val="0"/>
        <w:snapToGrid w:val="0"/>
        <w:spacing w:line="36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rPr>
        <w:t xml:space="preserve">94.5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799" name="文本框 80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upright="1"/>
                    </wps:wsp>
                  </a:graphicData>
                </a:graphic>
              </wp:anchor>
            </w:drawing>
          </mc:Choice>
          <mc:Fallback>
            <w:pict>
              <v:shape id="文本框 809" o:spid="_x0000_s1026" o:spt="202" type="#_x0000_t202" style="position:absolute;left:0pt;margin-left:-9pt;margin-top:1.75pt;height:39pt;width:72pt;z-index:252067840;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BSM6NUA&#10;AAAIAQAADwAAAAAAAAABACAAAAAiAAAAZHJzL2Rvd25yZXYueG1sUEsBAhQAFAAAAAgAh07iQKMJ&#10;nRKwAQAAUQMAAA4AAAAAAAAAAQAgAAAAJA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sz w:val="24"/>
          <w:szCs w:val="24"/>
          <w:highlight w:val="none"/>
        </w:rPr>
        <w:t>保密信息应由提供方以书面形式说明保密程度；以口头形式提供的，则提供方应在提供后</w:t>
      </w:r>
      <w:r>
        <w:rPr>
          <w:rFonts w:ascii="仿宋" w:hAnsi="仿宋" w:eastAsia="仿宋" w:cs="仿宋"/>
          <w:color w:val="auto"/>
          <w:sz w:val="24"/>
          <w:szCs w:val="24"/>
          <w:highlight w:val="none"/>
        </w:rPr>
        <w:t>28</w:t>
      </w:r>
      <w:r>
        <w:rPr>
          <w:rFonts w:hint="eastAsia" w:ascii="仿宋" w:hAnsi="仿宋" w:eastAsia="仿宋" w:cs="仿宋"/>
          <w:color w:val="auto"/>
          <w:sz w:val="24"/>
          <w:szCs w:val="24"/>
          <w:highlight w:val="none"/>
        </w:rPr>
        <w:t>天内以书面形式予以确认。保密信息不但包括合同双方当事人确认的信息，还包括与材料和工程设备产品、价格、工程设计、图纸、技术、工艺和财务等相关信息。但不包括下述信息：</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提供前已由合同双方当事人所持有的；</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已公开发表或非对方当事人原因向公众公开的；</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已由各相关方书面同意其公开的；</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在未获取保密信息前由对方当事人独立开发的；</w:t>
      </w:r>
    </w:p>
    <w:p>
      <w:pPr>
        <w:pStyle w:val="13"/>
        <w:numPr>
          <w:ilvl w:val="0"/>
          <w:numId w:val="31"/>
        </w:numPr>
        <w:tabs>
          <w:tab w:val="left" w:pos="1620"/>
          <w:tab w:val="left" w:pos="2340"/>
          <w:tab w:val="left" w:pos="2700"/>
        </w:tabs>
        <w:adjustRightInd w:val="0"/>
        <w:snapToGrid w:val="0"/>
        <w:spacing w:line="360" w:lineRule="auto"/>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对方当事人从对保密信息不承担保密义务的第三方处合法获得的。</w:t>
      </w:r>
    </w:p>
    <w:p>
      <w:pPr>
        <w:pStyle w:val="13"/>
        <w:tabs>
          <w:tab w:val="left" w:pos="1620"/>
        </w:tabs>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65" w:name="_Toc9074"/>
      <w:bookmarkStart w:id="766" w:name="_Toc9061"/>
      <w:bookmarkStart w:id="767" w:name="_Toc31017"/>
      <w:bookmarkStart w:id="768" w:name="_Toc10624921"/>
      <w:bookmarkStart w:id="769" w:name="_Toc947"/>
      <w:bookmarkStart w:id="770" w:name="_Toc469384077"/>
      <w:bookmarkStart w:id="771" w:name="_Toc5028"/>
      <w:r>
        <w:rPr>
          <w:rFonts w:ascii="仿宋" w:hAnsi="仿宋" w:eastAsia="仿宋" w:cs="仿宋"/>
          <w:b/>
          <w:bCs/>
          <w:color w:val="auto"/>
          <w:sz w:val="24"/>
          <w:szCs w:val="24"/>
          <w:highlight w:val="none"/>
        </w:rPr>
        <w:t xml:space="preserve">95 </w:t>
      </w:r>
      <w:r>
        <w:rPr>
          <w:rFonts w:hint="eastAsia" w:ascii="仿宋" w:hAnsi="仿宋" w:eastAsia="仿宋" w:cs="仿宋"/>
          <w:b/>
          <w:bCs/>
          <w:color w:val="auto"/>
          <w:sz w:val="24"/>
          <w:szCs w:val="24"/>
          <w:highlight w:val="none"/>
        </w:rPr>
        <w:t>廉政建设</w:t>
      </w:r>
      <w:bookmarkEnd w:id="765"/>
      <w:bookmarkEnd w:id="766"/>
      <w:bookmarkEnd w:id="767"/>
      <w:bookmarkEnd w:id="768"/>
      <w:bookmarkEnd w:id="769"/>
      <w:bookmarkEnd w:id="770"/>
      <w:bookmarkEnd w:id="771"/>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95.1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800" name="文本框 81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upright="1"/>
                    </wps:wsp>
                  </a:graphicData>
                </a:graphic>
              </wp:anchor>
            </w:drawing>
          </mc:Choice>
          <mc:Fallback>
            <w:pict>
              <v:shape id="文本框 810" o:spid="_x0000_s1026" o:spt="202" type="#_x0000_t202" style="position:absolute;left:0pt;margin-left:-9pt;margin-top:1.25pt;height:23.4pt;width:63pt;z-index:25206886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WHbJHVAAAACAEA&#10;AA8AAAAAAAAAAQAgAAAAIgAAAGRycy9kb3ducmV2LnhtbFBLAQIUABQAAAAIAIdO4kBjWcq/qwEA&#10;AFEDAAAOAAAAAAAAAAEAIAAAACQBAABkcnMvZTJvRG9jLnhtbFBLBQYAAAAABgAGAFkBAABBBQAA&#10;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pPr>
        <w:pStyle w:val="13"/>
        <w:adjustRightInd w:val="0"/>
        <w:snapToGrid w:val="0"/>
        <w:spacing w:line="36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95.2  </w:t>
      </w:r>
      <w:r>
        <w:rPr>
          <w:rFonts w:ascii="仿宋" w:hAnsi="仿宋" w:eastAsia="仿宋" w:cs="仿宋"/>
          <w:b/>
          <w:bCs/>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801" name="文本框 811"/>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upright="1"/>
                    </wps:wsp>
                  </a:graphicData>
                </a:graphic>
              </wp:anchor>
            </w:drawing>
          </mc:Choice>
          <mc:Fallback>
            <w:pict>
              <v:shape id="文本框 811" o:spid="_x0000_s1026" o:spt="202" type="#_x0000_t202" style="position:absolute;left:0pt;margin-left:-9pt;margin-top:4.25pt;height:24.95pt;width:63pt;z-index:252069888;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XMdgn1AAAAAgB&#10;AAAPAAAAAAAAAAEAIAAAACIAAABkcnMvZG93bnJldi54bWxQSwECFAAUAAAACACHTuJA12OQ1a0B&#10;AABRAwAADgAAAAAAAAABACAAAAAjAQAAZHJzL2Uyb0RvYy54bWxQSwUGAAAAAAYABgBZAQAAQgUA&#10;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ascii="仿宋" w:hAnsi="仿宋" w:eastAsia="仿宋" w:cs="仿宋"/>
          <w:color w:val="auto"/>
          <w:sz w:val="24"/>
          <w:szCs w:val="24"/>
          <w:highlight w:val="none"/>
        </w:rPr>
        <w:t>87.3</w:t>
      </w:r>
      <w:r>
        <w:rPr>
          <w:rFonts w:hint="eastAsia" w:ascii="仿宋" w:hAnsi="仿宋" w:eastAsia="仿宋" w:cs="仿宋"/>
          <w:color w:val="auto"/>
          <w:sz w:val="24"/>
          <w:szCs w:val="24"/>
          <w:highlight w:val="none"/>
        </w:rPr>
        <w:t>款规定解除合同，并按照第</w:t>
      </w:r>
      <w:r>
        <w:rPr>
          <w:rFonts w:ascii="仿宋" w:hAnsi="仿宋" w:eastAsia="仿宋" w:cs="仿宋"/>
          <w:color w:val="auto"/>
          <w:sz w:val="24"/>
          <w:szCs w:val="24"/>
          <w:highlight w:val="none"/>
        </w:rPr>
        <w:t>88.3</w:t>
      </w:r>
      <w:r>
        <w:rPr>
          <w:rFonts w:hint="eastAsia" w:ascii="仿宋" w:hAnsi="仿宋" w:eastAsia="仿宋" w:cs="仿宋"/>
          <w:color w:val="auto"/>
          <w:sz w:val="24"/>
          <w:szCs w:val="24"/>
          <w:highlight w:val="none"/>
        </w:rPr>
        <w:t>款规定办理合同解除的支付。</w:t>
      </w:r>
    </w:p>
    <w:p>
      <w:pPr>
        <w:pStyle w:val="13"/>
        <w:adjustRightInd w:val="0"/>
        <w:snapToGrid w:val="0"/>
        <w:spacing w:line="240" w:lineRule="exac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72" w:name="_Toc469384078"/>
      <w:bookmarkStart w:id="773" w:name="_Toc8211"/>
      <w:bookmarkStart w:id="774" w:name="_Toc7515"/>
      <w:bookmarkStart w:id="775" w:name="_Toc22965"/>
      <w:bookmarkStart w:id="776" w:name="_Toc22342"/>
      <w:bookmarkStart w:id="777" w:name="_Toc30934"/>
      <w:bookmarkStart w:id="778" w:name="_Toc10624922"/>
      <w:r>
        <w:rPr>
          <w:rFonts w:ascii="仿宋" w:hAnsi="仿宋" w:eastAsia="仿宋" w:cs="仿宋"/>
          <w:b/>
          <w:bCs/>
          <w:color w:val="auto"/>
          <w:sz w:val="24"/>
          <w:szCs w:val="24"/>
          <w:highlight w:val="none"/>
        </w:rPr>
        <w:t xml:space="preserve">96  </w:t>
      </w:r>
      <w:r>
        <w:rPr>
          <w:rFonts w:hint="eastAsia" w:ascii="仿宋" w:hAnsi="仿宋" w:eastAsia="仿宋" w:cs="仿宋"/>
          <w:b/>
          <w:bCs/>
          <w:color w:val="auto"/>
          <w:sz w:val="24"/>
          <w:szCs w:val="24"/>
          <w:highlight w:val="none"/>
        </w:rPr>
        <w:t>禁止转让</w:t>
      </w:r>
      <w:bookmarkEnd w:id="772"/>
      <w:bookmarkEnd w:id="773"/>
      <w:bookmarkEnd w:id="774"/>
      <w:bookmarkEnd w:id="775"/>
      <w:bookmarkEnd w:id="776"/>
      <w:bookmarkEnd w:id="777"/>
      <w:bookmarkEnd w:id="778"/>
    </w:p>
    <w:p>
      <w:pPr>
        <w:pStyle w:val="13"/>
        <w:adjustRightInd w:val="0"/>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96.1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802" name="文本框 8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wps:txbx>
                      <wps:bodyPr upright="1"/>
                    </wps:wsp>
                  </a:graphicData>
                </a:graphic>
              </wp:anchor>
            </w:drawing>
          </mc:Choice>
          <mc:Fallback>
            <w:pict>
              <v:shape id="文本框 812" o:spid="_x0000_s1026" o:spt="202" type="#_x0000_t202" style="position:absolute;left:0pt;margin-left:-9pt;margin-top:1.25pt;height:23.4pt;width:63pt;z-index:252070912;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YdskdUAAAAI&#10;AQAADwAAAAAAAAABACAAAAAiAAAAZHJzL2Rvd25yZXYueG1sUEsBAhQAFAAAAAgAh07iQGStRjSt&#10;AQAAUQMAAA4AAAAAAAAAAQAgAAAAJAEAAGRycy9lMm9Eb2MueG1sUEsFBgAAAAAGAAYAWQEAAEMF&#10;AAAAAA==&#10;">
                <v:fill on="f" focussize="0,0"/>
                <v:stroke on="f"/>
                <v:imagedata o:title=""/>
                <o:lock v:ext="edit" aspectratio="f"/>
                <v:textbox>
                  <w:txbxContent>
                    <w:p>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sz w:val="24"/>
          <w:szCs w:val="24"/>
          <w:highlight w:val="none"/>
        </w:rPr>
        <w:t>本合同一经签署，合同双方当事人均应按照本合同规定行使各自的权利、履行各自的义务。</w:t>
      </w:r>
    </w:p>
    <w:p>
      <w:pPr>
        <w:pStyle w:val="13"/>
        <w:adjustRightInd w:val="0"/>
        <w:snapToGrid w:val="0"/>
        <w:spacing w:line="480" w:lineRule="auto"/>
        <w:rPr>
          <w:rFonts w:ascii="仿宋" w:hAnsi="仿宋" w:eastAsia="仿宋" w:cs="仿宋"/>
          <w:b/>
          <w:bCs/>
          <w:color w:val="auto"/>
          <w:sz w:val="24"/>
          <w:szCs w:val="24"/>
          <w:highlight w:val="none"/>
          <w:u w:val="dotted"/>
        </w:rPr>
      </w:pPr>
      <w:r>
        <w:rPr>
          <w:rFonts w:ascii="仿宋" w:hAnsi="仿宋" w:eastAsia="仿宋" w:cs="仿宋"/>
          <w:b/>
          <w:bCs/>
          <w:color w:val="auto"/>
          <w:sz w:val="24"/>
          <w:szCs w:val="24"/>
          <w:highlight w:val="none"/>
        </w:rPr>
        <w:t xml:space="preserve">96.2  </w:t>
      </w:r>
      <w:r>
        <w:rPr>
          <w:rFonts w:ascii="仿宋" w:hAnsi="仿宋" w:eastAsia="仿宋" w:cs="仿宋"/>
          <w:b/>
          <w:bCs/>
          <w:color w:val="auto"/>
          <w:sz w:val="24"/>
          <w:szCs w:val="24"/>
          <w:highlight w:val="none"/>
          <w:u w:val="dotted"/>
        </w:rPr>
        <w:t xml:space="preserve">                                                                                                       </w:t>
      </w:r>
    </w:p>
    <w:p>
      <w:pPr>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803" name="文本框 81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upright="1"/>
                    </wps:wsp>
                  </a:graphicData>
                </a:graphic>
              </wp:anchor>
            </w:drawing>
          </mc:Choice>
          <mc:Fallback>
            <w:pict>
              <v:shape id="文本框 813" o:spid="_x0000_s1026" o:spt="202" type="#_x0000_t202" style="position:absolute;left:0pt;margin-left:-9pt;margin-top:7.75pt;height:23.4pt;width:63pt;z-index:252071936;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EeyaNYA&#10;AAAJAQAADwAAAAAAAAABACAAAAAiAAAAZHJzL2Rvd25yZXYueG1sUEsBAhQAFAAAAAgAh07iQEdU&#10;OJyvAQAAUQMAAA4AAAAAAAAAAQAgAAAAJQEAAGRycy9lMm9Eb2MueG1sUEsFBgAAAAAGAAYAWQEA&#10;AEYFA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sz w:val="24"/>
          <w:szCs w:val="24"/>
          <w:highlight w:val="none"/>
        </w:rPr>
        <w:t>除合同另有约定外，未经另一方当事人同意，合同一方当事人不得将本合同的全部或部分权利、义务转让给第三方。</w:t>
      </w:r>
    </w:p>
    <w:p>
      <w:pPr>
        <w:pStyle w:val="13"/>
        <w:adjustRightInd w:val="0"/>
        <w:snapToGrid w:val="0"/>
        <w:spacing w:line="480" w:lineRule="auto"/>
        <w:rPr>
          <w:rFonts w:ascii="仿宋" w:hAnsi="仿宋" w:eastAsia="仿宋" w:cs="Times New Roman"/>
          <w:b/>
          <w:bCs/>
          <w:color w:val="auto"/>
          <w:sz w:val="24"/>
          <w:szCs w:val="24"/>
          <w:highlight w:val="none"/>
        </w:rPr>
      </w:pPr>
      <w:r>
        <w:rPr>
          <w:rFonts w:ascii="仿宋" w:hAnsi="仿宋" w:eastAsia="仿宋" w:cs="仿宋"/>
          <w:b/>
          <w:bCs/>
          <w:color w:val="auto"/>
          <w:sz w:val="24"/>
          <w:szCs w:val="24"/>
          <w:highlight w:val="none"/>
          <w:u w:val="single"/>
        </w:rPr>
        <w:t xml:space="preserve">                                                                                </w:t>
      </w:r>
    </w:p>
    <w:p>
      <w:pPr>
        <w:pStyle w:val="13"/>
        <w:tabs>
          <w:tab w:val="left" w:pos="540"/>
        </w:tabs>
        <w:adjustRightInd w:val="0"/>
        <w:snapToGrid w:val="0"/>
        <w:spacing w:before="312" w:beforeLines="100" w:line="360" w:lineRule="auto"/>
        <w:outlineLvl w:val="2"/>
        <w:rPr>
          <w:rFonts w:ascii="仿宋" w:hAnsi="仿宋" w:eastAsia="仿宋" w:cs="Times New Roman"/>
          <w:b/>
          <w:bCs/>
          <w:color w:val="auto"/>
          <w:sz w:val="24"/>
          <w:szCs w:val="24"/>
          <w:highlight w:val="none"/>
        </w:rPr>
      </w:pPr>
      <w:bookmarkStart w:id="779" w:name="_Toc24369"/>
      <w:bookmarkStart w:id="780" w:name="_Toc21838"/>
      <w:bookmarkStart w:id="781" w:name="_Toc10624923"/>
      <w:bookmarkStart w:id="782" w:name="_Toc14393"/>
      <w:bookmarkStart w:id="783" w:name="_Toc469384079"/>
      <w:bookmarkStart w:id="784" w:name="_Toc8722"/>
      <w:bookmarkStart w:id="785" w:name="_Toc6067"/>
      <w:r>
        <w:rPr>
          <w:rFonts w:ascii="仿宋" w:hAnsi="仿宋" w:eastAsia="仿宋" w:cs="仿宋"/>
          <w:b/>
          <w:bCs/>
          <w:color w:val="auto"/>
          <w:sz w:val="24"/>
          <w:szCs w:val="24"/>
          <w:highlight w:val="none"/>
        </w:rPr>
        <w:t xml:space="preserve">97  </w:t>
      </w:r>
      <w:r>
        <w:rPr>
          <w:rFonts w:hint="eastAsia" w:ascii="仿宋" w:hAnsi="仿宋" w:eastAsia="仿宋" w:cs="仿宋"/>
          <w:b/>
          <w:bCs/>
          <w:color w:val="auto"/>
          <w:sz w:val="24"/>
          <w:szCs w:val="24"/>
          <w:highlight w:val="none"/>
        </w:rPr>
        <w:t>合同份数</w:t>
      </w:r>
      <w:bookmarkEnd w:id="779"/>
      <w:bookmarkEnd w:id="780"/>
      <w:bookmarkEnd w:id="781"/>
      <w:bookmarkEnd w:id="782"/>
      <w:bookmarkEnd w:id="783"/>
      <w:bookmarkEnd w:id="784"/>
      <w:bookmarkEnd w:id="785"/>
    </w:p>
    <w:p>
      <w:pPr>
        <w:pStyle w:val="13"/>
        <w:adjustRightInd w:val="0"/>
        <w:snapToGrid w:val="0"/>
        <w:spacing w:line="360" w:lineRule="auto"/>
        <w:ind w:left="1581" w:hanging="1581" w:hangingChars="656"/>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t xml:space="preserve">97.1        </w:t>
      </w:r>
    </w:p>
    <w:p>
      <w:pPr>
        <w:pStyle w:val="13"/>
        <w:adjustRightInd w:val="0"/>
        <w:snapToGrid w:val="0"/>
        <w:spacing w:line="360" w:lineRule="auto"/>
        <w:ind w:left="1682" w:leftChars="800" w:hanging="2"/>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804" name="文本框 81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upright="1"/>
                    </wps:wsp>
                  </a:graphicData>
                </a:graphic>
              </wp:anchor>
            </w:drawing>
          </mc:Choice>
          <mc:Fallback>
            <w:pict>
              <v:shape id="文本框 814" o:spid="_x0000_s1026" o:spt="202" type="#_x0000_t202" style="position:absolute;left:0pt;margin-left:-5.25pt;margin-top:0.8pt;height:31.2pt;width:72pt;z-index:252072960;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JYh/HUAAAA&#10;CAEAAA8AAAAAAAAAAQAgAAAAIgAAAGRycy9kb3ducmV2LnhtbFBLAQIUABQAAAAIAIdO4kAXJckX&#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color w:val="auto"/>
          <w:sz w:val="24"/>
          <w:szCs w:val="24"/>
          <w:highlight w:val="none"/>
        </w:rPr>
        <w:t>除专用条款另有约定外，发包人应按照第</w:t>
      </w:r>
      <w:r>
        <w:rPr>
          <w:rFonts w:ascii="仿宋" w:hAnsi="仿宋" w:eastAsia="仿宋" w:cs="仿宋"/>
          <w:color w:val="auto"/>
          <w:sz w:val="24"/>
          <w:szCs w:val="24"/>
          <w:highlight w:val="none"/>
        </w:rPr>
        <w:t>94.2</w:t>
      </w:r>
      <w:r>
        <w:rPr>
          <w:rFonts w:hint="eastAsia" w:ascii="仿宋" w:hAnsi="仿宋" w:eastAsia="仿宋" w:cs="仿宋"/>
          <w:color w:val="auto"/>
          <w:sz w:val="24"/>
          <w:szCs w:val="24"/>
          <w:highlight w:val="none"/>
        </w:rPr>
        <w:t>款规定的份数免费为承包人提供合同文本。</w:t>
      </w:r>
    </w:p>
    <w:p>
      <w:pPr>
        <w:pStyle w:val="13"/>
        <w:adjustRightInd w:val="0"/>
        <w:snapToGrid w:val="0"/>
        <w:spacing w:line="480" w:lineRule="auto"/>
        <w:rPr>
          <w:rFonts w:ascii="仿宋" w:hAnsi="仿宋" w:eastAsia="仿宋" w:cs="Times New Roman"/>
          <w:color w:val="auto"/>
          <w:sz w:val="24"/>
          <w:szCs w:val="24"/>
          <w:highlight w:val="none"/>
        </w:rPr>
      </w:pPr>
      <w:r>
        <w:rPr>
          <w:rFonts w:ascii="仿宋" w:hAnsi="仿宋" w:eastAsia="仿宋" w:cs="仿宋"/>
          <w:b/>
          <w:bCs/>
          <w:color w:val="auto"/>
          <w:sz w:val="24"/>
          <w:szCs w:val="24"/>
          <w:highlight w:val="none"/>
        </w:rPr>
        <w:t xml:space="preserve">97.2  </w:t>
      </w:r>
      <w:r>
        <w:rPr>
          <w:rFonts w:ascii="仿宋" w:hAnsi="仿宋" w:eastAsia="仿宋" w:cs="仿宋"/>
          <w:b/>
          <w:bCs/>
          <w:color w:val="auto"/>
          <w:sz w:val="24"/>
          <w:szCs w:val="24"/>
          <w:highlight w:val="none"/>
          <w:u w:val="dotted"/>
        </w:rPr>
        <w:t xml:space="preserve"> </w:t>
      </w:r>
      <w:r>
        <w:rPr>
          <w:rFonts w:ascii="仿宋" w:hAnsi="仿宋" w:eastAsia="仿宋" w:cs="仿宋"/>
          <w:color w:val="auto"/>
          <w:sz w:val="24"/>
          <w:szCs w:val="24"/>
          <w:highlight w:val="none"/>
          <w:u w:val="dotted"/>
        </w:rPr>
        <w:t xml:space="preserve">                                                                                                       </w:t>
      </w:r>
    </w:p>
    <w:p>
      <w:pPr>
        <w:pStyle w:val="13"/>
        <w:adjustRightInd w:val="0"/>
        <w:snapToGrid w:val="0"/>
        <w:spacing w:line="360" w:lineRule="auto"/>
        <w:ind w:left="1619" w:leftChars="771"/>
        <w:rPr>
          <w:rFonts w:ascii="仿宋" w:hAnsi="仿宋" w:eastAsia="仿宋" w:cs="Times New Roman"/>
          <w:color w:val="auto"/>
          <w:sz w:val="24"/>
          <w:szCs w:val="24"/>
          <w:highlight w:val="none"/>
        </w:rPr>
      </w:pPr>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805" name="文本框 815"/>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upright="1"/>
                    </wps:wsp>
                  </a:graphicData>
                </a:graphic>
              </wp:anchor>
            </w:drawing>
          </mc:Choice>
          <mc:Fallback>
            <w:pict>
              <v:shape id="文本框 815" o:spid="_x0000_s1026" o:spt="202" type="#_x0000_t202" style="position:absolute;left:0pt;margin-left:-9pt;margin-top:0.65pt;height:23.6pt;width:63pt;z-index:252073984;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x/dvrUAAAA&#10;CAEAAA8AAAAAAAAAAQAgAAAAIgAAAGRycy9kb3ducmV2LnhtbFBLAQIUABQAAAAIAIdO4kAVBWKE&#10;rwEAAFEDAAAOAAAAAAAAAAEAIAAAACMBAABkcnMvZTJvRG9jLnhtbFBLBQYAAAAABgAGAFkBAABE&#10;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sz w:val="24"/>
          <w:szCs w:val="24"/>
          <w:highlight w:val="none"/>
        </w:rPr>
        <w:t>本合同正、副本份数，由合同双方当事人根据需要在专用条款中约定。正本与副本具有同等效力，当正本与副本不一致时，以正本为准。</w:t>
      </w:r>
    </w:p>
    <w:p>
      <w:pPr>
        <w:pStyle w:val="13"/>
        <w:adjustRightInd w:val="0"/>
        <w:snapToGrid w:val="0"/>
        <w:spacing w:line="480" w:lineRule="auto"/>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pStyle w:val="13"/>
        <w:adjustRightInd w:val="0"/>
        <w:snapToGrid w:val="0"/>
        <w:spacing w:line="360" w:lineRule="auto"/>
        <w:outlineLvl w:val="2"/>
        <w:rPr>
          <w:rFonts w:ascii="仿宋" w:hAnsi="仿宋" w:eastAsia="仿宋" w:cs="Times New Roman"/>
          <w:b/>
          <w:bCs/>
          <w:color w:val="auto"/>
          <w:sz w:val="24"/>
          <w:szCs w:val="24"/>
          <w:highlight w:val="none"/>
        </w:rPr>
      </w:pPr>
      <w:bookmarkStart w:id="786" w:name="_Toc469384080"/>
      <w:bookmarkStart w:id="787" w:name="_Toc3184"/>
      <w:bookmarkStart w:id="788" w:name="_Toc587"/>
      <w:bookmarkStart w:id="789" w:name="_Toc10624924"/>
      <w:bookmarkStart w:id="790" w:name="_Toc18585"/>
      <w:bookmarkStart w:id="791" w:name="_Toc8374"/>
      <w:bookmarkStart w:id="792" w:name="_Toc4938"/>
      <w:r>
        <w:rPr>
          <w:rFonts w:ascii="仿宋" w:hAnsi="仿宋" w:eastAsia="仿宋" w:cs="仿宋"/>
          <w:b/>
          <w:bCs/>
          <w:color w:val="auto"/>
          <w:sz w:val="24"/>
          <w:szCs w:val="24"/>
          <w:highlight w:val="none"/>
        </w:rPr>
        <w:t xml:space="preserve">98  </w:t>
      </w:r>
      <w:r>
        <w:rPr>
          <w:rFonts w:hint="eastAsia" w:ascii="仿宋" w:hAnsi="仿宋" w:eastAsia="仿宋" w:cs="仿宋"/>
          <w:b/>
          <w:bCs/>
          <w:color w:val="auto"/>
          <w:sz w:val="24"/>
          <w:szCs w:val="24"/>
          <w:highlight w:val="none"/>
        </w:rPr>
        <w:t>合同</w:t>
      </w:r>
      <w:bookmarkEnd w:id="786"/>
      <w:r>
        <w:rPr>
          <w:rFonts w:hint="eastAsia" w:ascii="仿宋" w:hAnsi="仿宋" w:eastAsia="仿宋" w:cs="仿宋"/>
          <w:b/>
          <w:bCs/>
          <w:color w:val="auto"/>
          <w:sz w:val="24"/>
          <w:szCs w:val="24"/>
          <w:highlight w:val="none"/>
        </w:rPr>
        <w:t>管理</w:t>
      </w:r>
      <w:bookmarkEnd w:id="787"/>
      <w:bookmarkEnd w:id="788"/>
      <w:bookmarkEnd w:id="789"/>
      <w:bookmarkEnd w:id="790"/>
      <w:bookmarkEnd w:id="791"/>
      <w:bookmarkEnd w:id="792"/>
    </w:p>
    <w:p>
      <w:pPr>
        <w:pStyle w:val="13"/>
        <w:adjustRightInd w:val="0"/>
        <w:snapToGrid w:val="0"/>
        <w:spacing w:line="360" w:lineRule="auto"/>
        <w:rPr>
          <w:rFonts w:ascii="仿宋" w:hAnsi="仿宋" w:eastAsia="仿宋" w:cs="Times New Roman"/>
          <w:b/>
          <w:bCs/>
          <w:color w:val="auto"/>
          <w:sz w:val="24"/>
          <w:szCs w:val="24"/>
          <w:highlight w:val="none"/>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806" name="文本框 816"/>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cs="Times New Roman"/>
                                <w:b/>
                                <w:bCs/>
                                <w:sz w:val="18"/>
                                <w:szCs w:val="18"/>
                              </w:rPr>
                            </w:pPr>
                          </w:p>
                        </w:txbxContent>
                      </wps:txbx>
                      <wps:bodyPr upright="1"/>
                    </wps:wsp>
                  </a:graphicData>
                </a:graphic>
              </wp:anchor>
            </w:drawing>
          </mc:Choice>
          <mc:Fallback>
            <w:pict>
              <v:shape id="文本框 816" o:spid="_x0000_s1026" o:spt="202" type="#_x0000_t202" style="position:absolute;left:0pt;margin-left:-9pt;margin-top:16.45pt;height:41.7pt;width:81.85pt;z-index:252075008;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u6&#10;rNjYAAAACgEAAA8AAAAAAAAAAQAgAAAAIgAAAGRycy9kb3ducmV2LnhtbFBLAQIUABQAAAAIAIdO&#10;4kBg/pVasQEAAFIDAAAOAAAAAAAAAAEAIAAAACcBAABkcnMvZTJvRG9jLnhtbFBLBQYAAAAABgAG&#10;AFkBAABKBQAAAAA=&#10;">
                <v:fill on="f" focussize="0,0"/>
                <v:stroke on="f"/>
                <v:imagedata o:title=""/>
                <o:lock v:ext="edit" aspectratio="f"/>
                <v:textbox>
                  <w:txbxContent>
                    <w:p>
                      <w:pPr>
                        <w:spacing w:line="240" w:lineRule="exact"/>
                        <w:rPr>
                          <w:rFonts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pPr>
                        <w:spacing w:line="240" w:lineRule="exact"/>
                        <w:rPr>
                          <w:rFonts w:ascii="楷体_GB2312" w:hAnsi="宋体" w:eastAsia="楷体_GB2312" w:cs="Times New Roman"/>
                          <w:b/>
                          <w:bCs/>
                          <w:sz w:val="18"/>
                          <w:szCs w:val="18"/>
                        </w:rPr>
                      </w:pPr>
                    </w:p>
                  </w:txbxContent>
                </v:textbox>
              </v:shape>
            </w:pict>
          </mc:Fallback>
        </mc:AlternateContent>
      </w:r>
      <w:r>
        <w:rPr>
          <w:rFonts w:ascii="仿宋" w:hAnsi="仿宋" w:eastAsia="仿宋" w:cs="仿宋"/>
          <w:b/>
          <w:bCs/>
          <w:color w:val="auto"/>
          <w:sz w:val="24"/>
          <w:szCs w:val="24"/>
          <w:highlight w:val="none"/>
        </w:rPr>
        <w:t xml:space="preserve">98.1  </w:t>
      </w:r>
    </w:p>
    <w:p>
      <w:pPr>
        <w:spacing w:line="360" w:lineRule="auto"/>
        <w:ind w:left="2088" w:leftChars="798" w:hanging="412" w:hangingChars="172"/>
        <w:rPr>
          <w:rFonts w:ascii="仿宋" w:hAnsi="仿宋" w:eastAsia="仿宋" w:cs="Times New Roman"/>
          <w:color w:val="auto"/>
          <w:sz w:val="24"/>
          <w:szCs w:val="24"/>
          <w:highlight w:val="none"/>
        </w:rPr>
      </w:pPr>
      <w:r>
        <w:rPr>
          <w:rFonts w:hint="eastAsia" w:ascii="仿宋" w:hAnsi="仿宋" w:eastAsia="仿宋" w:cs="仿宋"/>
          <w:color w:val="auto"/>
          <w:sz w:val="24"/>
          <w:szCs w:val="24"/>
          <w:highlight w:val="none"/>
        </w:rPr>
        <w:t>合同双方当事人应按照第</w:t>
      </w:r>
      <w:r>
        <w:rPr>
          <w:rFonts w:ascii="仿宋" w:hAnsi="仿宋" w:eastAsia="仿宋" w:cs="仿宋"/>
          <w:color w:val="auto"/>
          <w:sz w:val="24"/>
          <w:szCs w:val="24"/>
          <w:highlight w:val="none"/>
        </w:rPr>
        <w:t>22</w:t>
      </w:r>
      <w:r>
        <w:rPr>
          <w:rFonts w:hint="eastAsia" w:ascii="仿宋" w:hAnsi="仿宋" w:eastAsia="仿宋" w:cs="仿宋"/>
          <w:color w:val="auto"/>
          <w:sz w:val="24"/>
          <w:szCs w:val="24"/>
          <w:highlight w:val="none"/>
        </w:rPr>
        <w:t>条至第</w:t>
      </w:r>
      <w:r>
        <w:rPr>
          <w:rFonts w:ascii="仿宋" w:hAnsi="仿宋" w:eastAsia="仿宋" w:cs="仿宋"/>
          <w:color w:val="auto"/>
          <w:sz w:val="24"/>
          <w:szCs w:val="24"/>
          <w:highlight w:val="none"/>
        </w:rPr>
        <w:t>25</w:t>
      </w:r>
      <w:r>
        <w:rPr>
          <w:rFonts w:hint="eastAsia" w:ascii="仿宋" w:hAnsi="仿宋" w:eastAsia="仿宋" w:cs="仿宋"/>
          <w:color w:val="auto"/>
          <w:sz w:val="24"/>
          <w:szCs w:val="24"/>
          <w:highlight w:val="none"/>
        </w:rPr>
        <w:t>条的职责划分，督促各自人员认真履行合同管理职责，加强合同管理。</w:t>
      </w:r>
    </w:p>
    <w:p>
      <w:pPr>
        <w:spacing w:line="360" w:lineRule="auto"/>
        <w:ind w:left="1680" w:leftChars="700" w:hanging="210" w:hangingChars="100"/>
        <w:rPr>
          <w:rFonts w:cs="Times New Roman"/>
          <w:color w:val="auto"/>
          <w:highlight w:val="none"/>
        </w:rPr>
      </w:pPr>
      <w:r>
        <w:rPr>
          <w:color w:val="auto"/>
          <w:highlight w:val="none"/>
        </w:rPr>
        <w:t xml:space="preserve">  </w:t>
      </w:r>
      <w:r>
        <w:rPr>
          <w:rFonts w:hint="eastAsia" w:ascii="仿宋" w:hAnsi="仿宋" w:eastAsia="仿宋" w:cs="仿宋"/>
          <w:color w:val="auto"/>
          <w:sz w:val="24"/>
          <w:szCs w:val="24"/>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仿宋" w:hAnsi="仿宋" w:eastAsia="仿宋" w:cs="仿宋"/>
          <w:color w:val="auto"/>
          <w:sz w:val="24"/>
          <w:szCs w:val="24"/>
          <w:highlight w:val="none"/>
        </w:rPr>
        <w:t xml:space="preserve">   </w:t>
      </w:r>
    </w:p>
    <w:p>
      <w:pPr>
        <w:pStyle w:val="13"/>
        <w:adjustRightInd w:val="0"/>
        <w:snapToGrid w:val="0"/>
        <w:spacing w:line="480" w:lineRule="auto"/>
        <w:jc w:val="left"/>
        <w:rPr>
          <w:rFonts w:ascii="仿宋" w:hAnsi="仿宋" w:eastAsia="仿宋" w:cs="仿宋"/>
          <w:b/>
          <w:bCs/>
          <w:color w:val="auto"/>
          <w:sz w:val="24"/>
          <w:szCs w:val="24"/>
          <w:highlight w:val="none"/>
          <w:u w:val="single"/>
        </w:rPr>
      </w:pPr>
      <w:r>
        <w:rPr>
          <w:rFonts w:ascii="仿宋" w:hAnsi="仿宋" w:eastAsia="仿宋" w:cs="仿宋"/>
          <w:b/>
          <w:bCs/>
          <w:color w:val="auto"/>
          <w:sz w:val="24"/>
          <w:szCs w:val="24"/>
          <w:highlight w:val="none"/>
          <w:u w:val="single"/>
        </w:rPr>
        <w:t xml:space="preserve">                                                                                                                                                              </w:t>
      </w:r>
    </w:p>
    <w:p>
      <w:pPr>
        <w:rPr>
          <w:rFonts w:ascii="宋体" w:cs="Times New Roman"/>
          <w:b/>
          <w:bCs/>
          <w:color w:val="auto"/>
          <w:kern w:val="0"/>
          <w:sz w:val="36"/>
          <w:szCs w:val="36"/>
          <w:highlight w:val="none"/>
        </w:rPr>
      </w:pPr>
    </w:p>
    <w:p>
      <w:pPr>
        <w:rPr>
          <w:rFonts w:ascii="宋体" w:cs="Times New Roman"/>
          <w:b/>
          <w:bCs/>
          <w:color w:val="auto"/>
          <w:kern w:val="0"/>
          <w:sz w:val="36"/>
          <w:szCs w:val="36"/>
          <w:highlight w:val="none"/>
        </w:rPr>
      </w:pPr>
    </w:p>
    <w:bookmarkEnd w:id="52"/>
    <w:p>
      <w:pPr>
        <w:pStyle w:val="3"/>
        <w:spacing w:after="0" w:line="312" w:lineRule="auto"/>
        <w:ind w:firstLine="240"/>
        <w:jc w:val="center"/>
        <w:rPr>
          <w:rFonts w:ascii="黑体" w:hAnsi="黑体" w:eastAsia="黑体" w:cs="黑体"/>
          <w:b w:val="0"/>
          <w:color w:val="auto"/>
          <w:sz w:val="36"/>
          <w:szCs w:val="20"/>
          <w:highlight w:val="none"/>
        </w:rPr>
      </w:pPr>
      <w:r>
        <w:rPr>
          <w:rStyle w:val="37"/>
          <w:rFonts w:ascii="宋体" w:hAnsi="宋体"/>
          <w:color w:val="auto"/>
          <w:szCs w:val="24"/>
          <w:highlight w:val="none"/>
        </w:rPr>
        <w:br w:type="page"/>
      </w:r>
      <w:bookmarkStart w:id="793" w:name="_Toc12232"/>
      <w:bookmarkStart w:id="794" w:name="_Toc7843"/>
      <w:bookmarkStart w:id="795" w:name="_Toc1399"/>
      <w:bookmarkStart w:id="796" w:name="_Toc12276"/>
      <w:r>
        <w:rPr>
          <w:rFonts w:hint="eastAsia" w:ascii="黑体" w:hAnsi="黑体" w:eastAsia="黑体" w:cs="黑体"/>
          <w:color w:val="auto"/>
          <w:sz w:val="36"/>
          <w:szCs w:val="20"/>
          <w:highlight w:val="none"/>
        </w:rPr>
        <w:t>第三部分  专用条款</w:t>
      </w:r>
      <w:bookmarkEnd w:id="793"/>
      <w:bookmarkEnd w:id="794"/>
      <w:bookmarkEnd w:id="795"/>
      <w:bookmarkEnd w:id="796"/>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797" w:name="_Toc24611"/>
      <w:bookmarkStart w:id="798" w:name="_Toc9157"/>
      <w:bookmarkStart w:id="799" w:name="_Toc31352"/>
      <w:bookmarkStart w:id="800" w:name="_Toc8028"/>
      <w:r>
        <w:rPr>
          <w:rFonts w:hint="eastAsia" w:ascii="仿宋" w:hAnsi="仿宋" w:eastAsia="仿宋" w:cs="仿宋"/>
          <w:b/>
          <w:bCs/>
          <w:color w:val="auto"/>
          <w:sz w:val="24"/>
          <w:szCs w:val="24"/>
          <w:highlight w:val="none"/>
        </w:rPr>
        <w:t>1 定义</w:t>
      </w:r>
      <w:bookmarkEnd w:id="797"/>
      <w:bookmarkEnd w:id="798"/>
      <w:bookmarkEnd w:id="799"/>
      <w:bookmarkEnd w:id="800"/>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1.10 发包人</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（1）发包人：在本合同中指广州市天河区建设工程项目代建局。</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（2）发包人的合法继承人：指工程竣工验收合格后，发包人依据政府部门的规定，将该工程移交给其承接使用的产权管理单位。在继承生效后，合法继承人享有发包人在本合同中的一切权利及承担相应的义务。</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1.22 合同工期：指合同双方当事人在协议书中约定，按照总日历天数（包括法定节假日）计算的从开始实施到完成合同工程的天数。</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节点工期：指在经发包人和监理工程师批准的施工组织设计或者工程工期网络计划中载明的承包人按总日历天数（包括法定节假日）计算完成某一阶段或某一工序的天数。按工期网络计划的一般线路和关键线路分为一般节点工期和关键节点工期。</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1.53  所采用的书面形式包括：</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√文书；</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×信件；</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×电报；</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×传真；</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×电子邮件；</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×其他：</w:t>
      </w:r>
    </w:p>
    <w:p>
      <w:pPr>
        <w:pStyle w:val="13"/>
        <w:tabs>
          <w:tab w:val="left" w:pos="1202"/>
        </w:tabs>
        <w:spacing w:line="360" w:lineRule="auto"/>
        <w:rPr>
          <w:rFonts w:ascii="仿宋" w:hAnsi="仿宋" w:eastAsia="仿宋" w:cs="仿宋"/>
          <w:bCs/>
          <w:color w:val="auto"/>
          <w:sz w:val="20"/>
          <w:szCs w:val="24"/>
          <w:highlight w:val="none"/>
        </w:rPr>
      </w:pPr>
      <w:bookmarkStart w:id="801" w:name="_Toc31390"/>
      <w:bookmarkStart w:id="802" w:name="_Toc32305"/>
      <w:r>
        <w:rPr>
          <w:rFonts w:hint="eastAsia" w:ascii="仿宋" w:hAnsi="仿宋" w:eastAsia="仿宋" w:cs="仿宋"/>
          <w:b/>
          <w:bCs/>
          <w:color w:val="auto"/>
          <w:sz w:val="24"/>
          <w:szCs w:val="24"/>
          <w:highlight w:val="none"/>
        </w:rPr>
        <w:t>2 合同文件及解释</w:t>
      </w:r>
      <w:bookmarkEnd w:id="801"/>
      <w:bookmarkEnd w:id="802"/>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2.1 本合同条款的标题和旁注不构成合同的组成部分。</w:t>
      </w:r>
    </w:p>
    <w:p>
      <w:pPr>
        <w:spacing w:line="312" w:lineRule="auto"/>
        <w:ind w:firstLine="480" w:firstLineChars="200"/>
        <w:rPr>
          <w:rStyle w:val="37"/>
          <w:rFonts w:ascii="仿宋" w:hAnsi="仿宋" w:eastAsia="仿宋" w:cs="Times New Roman"/>
          <w:color w:val="auto"/>
          <w:sz w:val="24"/>
          <w:szCs w:val="24"/>
          <w:highlight w:val="none"/>
        </w:rPr>
      </w:pPr>
      <w:r>
        <w:rPr>
          <w:rStyle w:val="37"/>
          <w:rFonts w:hint="eastAsia" w:ascii="仿宋" w:hAnsi="仿宋" w:eastAsia="仿宋" w:cs="仿宋"/>
          <w:color w:val="auto"/>
          <w:sz w:val="24"/>
          <w:szCs w:val="24"/>
          <w:highlight w:val="none"/>
        </w:rPr>
        <w:t>2.2 下列</w:t>
      </w:r>
      <w:r>
        <w:rPr>
          <w:rStyle w:val="37"/>
          <w:rFonts w:hint="eastAsia" w:ascii="仿宋" w:hAnsi="仿宋" w:eastAsia="仿宋" w:cs="Times New Roman"/>
          <w:color w:val="auto"/>
          <w:sz w:val="24"/>
          <w:szCs w:val="24"/>
          <w:highlight w:val="none"/>
        </w:rPr>
        <w:t>组成本合同的文件是一个合同整体，彼此应当能相互解释，互为说明。当出现相互矛盾时，组成本合同文件的优先解释顺序如下：</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（1）本合同履行期间发包人与承包人双方签订的补充合同（协议）或修正文件（含工程洽商记录、会议纪要、工程变更、现场签证等修正文件）；</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（2）协议书；</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（3）中标通知书（适用于招标工程）；</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（4）承包人投标文件及其附件（含评标期间的澄清文件和补充资料）（适用于招标工程）；确认的工程量清单报价单或施工图预算书（适用于非招标工程）；</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（5）专用条款；</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（6）通用条款；</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（7）标准、规范及有关技术文件；</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（8）施工设计图纸；</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（9）招标文件（包括补充、修改、澄清的文件、招标图纸、答疑纪要、工程量清单及总说明等）；</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（10）专用条款约定的其他文件。</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上述各项合同文件包括合同当事人就该项合同文件所作出的补充和修改，属于同一类内容的文件，应以最新签署的为准。</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通过上述顺序解释仍无法明确的事项，由发包人与承包人协商解决；如协商不成，由发包人按照公平合理和有利于本工程建设的原则作出决定，如承包人对此决定存在异议的，应在接到发包人决定之日起三日内提出书面异议。如期满不提出书面异议的，视为同意发包人的决定。发包人收到承包人的书面异议后应作出进一步的决定。如承包人仍存在异议的，可按合同专用条款第86条的约定处理，但在有关部门没有作出正式裁决之前，承包人必须无条件先行执行发包人的决定。</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03" w:name="_Toc475"/>
      <w:bookmarkStart w:id="804" w:name="_Toc29819"/>
      <w:bookmarkStart w:id="805" w:name="_Toc5823"/>
      <w:bookmarkStart w:id="806" w:name="_Toc19668"/>
      <w:r>
        <w:rPr>
          <w:rFonts w:hint="eastAsia" w:ascii="仿宋" w:hAnsi="仿宋" w:eastAsia="仿宋" w:cs="仿宋"/>
          <w:b/>
          <w:bCs/>
          <w:color w:val="auto"/>
          <w:sz w:val="24"/>
          <w:szCs w:val="24"/>
          <w:highlight w:val="none"/>
        </w:rPr>
        <w:t>4 语言及适用的法律、标准与规范</w:t>
      </w:r>
      <w:bookmarkEnd w:id="803"/>
      <w:bookmarkEnd w:id="804"/>
      <w:bookmarkEnd w:id="805"/>
      <w:bookmarkEnd w:id="806"/>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4.3 适用标准与规范：国家</w:t>
      </w:r>
      <w:r>
        <w:rPr>
          <w:rFonts w:hint="eastAsia" w:ascii="仿宋" w:hAnsi="仿宋" w:eastAsia="仿宋" w:cs="仿宋"/>
          <w:color w:val="auto"/>
          <w:sz w:val="24"/>
          <w:szCs w:val="24"/>
          <w:highlight w:val="none"/>
        </w:rPr>
        <w:t>、行业和广东省</w:t>
      </w:r>
      <w:r>
        <w:rPr>
          <w:rStyle w:val="37"/>
          <w:rFonts w:hint="eastAsia" w:ascii="仿宋" w:hAnsi="仿宋" w:eastAsia="仿宋" w:cs="仿宋"/>
          <w:color w:val="auto"/>
          <w:sz w:val="24"/>
          <w:szCs w:val="24"/>
          <w:highlight w:val="none"/>
        </w:rPr>
        <w:t>现行有效的有关建设项目管理、设计、施工及验收的规范、规程及标准；发包人根据本合同工程具体情况，聘请专家委员会依照国家有关标准制订的施工技术规定及验收办法。</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07" w:name="_Toc23500"/>
      <w:bookmarkStart w:id="808" w:name="_Toc30008"/>
      <w:bookmarkStart w:id="809" w:name="_Toc4264"/>
      <w:bookmarkStart w:id="810" w:name="_Toc15045"/>
      <w:r>
        <w:rPr>
          <w:rFonts w:hint="eastAsia" w:ascii="仿宋" w:hAnsi="仿宋" w:eastAsia="仿宋" w:cs="仿宋"/>
          <w:b/>
          <w:bCs/>
          <w:color w:val="auto"/>
          <w:sz w:val="24"/>
          <w:szCs w:val="24"/>
          <w:highlight w:val="none"/>
        </w:rPr>
        <w:t>5 施工设计图纸</w:t>
      </w:r>
      <w:bookmarkEnd w:id="807"/>
      <w:bookmarkEnd w:id="808"/>
      <w:bookmarkEnd w:id="809"/>
      <w:bookmarkEnd w:id="810"/>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5.1图纸的提供：发包人在开工前向承包人提供</w:t>
      </w:r>
      <w:r>
        <w:rPr>
          <w:rStyle w:val="37"/>
          <w:rFonts w:hint="eastAsia" w:ascii="仿宋" w:hAnsi="仿宋" w:eastAsia="仿宋" w:cs="仿宋"/>
          <w:color w:val="auto"/>
          <w:sz w:val="24"/>
          <w:szCs w:val="24"/>
          <w:highlight w:val="none"/>
          <w:u w:val="single"/>
        </w:rPr>
        <w:t>6</w:t>
      </w:r>
      <w:r>
        <w:rPr>
          <w:rStyle w:val="37"/>
          <w:rFonts w:hint="eastAsia" w:ascii="仿宋" w:hAnsi="仿宋" w:eastAsia="仿宋" w:cs="仿宋"/>
          <w:color w:val="auto"/>
          <w:sz w:val="24"/>
          <w:szCs w:val="24"/>
          <w:highlight w:val="none"/>
        </w:rPr>
        <w:t>套图纸（其中4套为编制竣工图所需），同时提交电子文档。承包人确需增加图纸套数的，应当取得发包人的同意，所需费用由承包人自行承担。承包人不得私自向设计单位购取图纸；承包人在本工程中使用的图纸都必须经过发包人的确认。</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5.6 承包人对图纸的保密要求：由发包人提供的图纸、文件等，未经发包人许可，承包人不得用于或转借、出让、泄露给第三方。保密措施费由承包人自行承担。</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11" w:name="_Toc2964"/>
      <w:bookmarkStart w:id="812" w:name="_Toc22722"/>
      <w:bookmarkStart w:id="813" w:name="_Toc10973"/>
      <w:bookmarkStart w:id="814" w:name="_Toc14858"/>
      <w:r>
        <w:rPr>
          <w:rFonts w:hint="eastAsia" w:ascii="仿宋" w:hAnsi="仿宋" w:eastAsia="仿宋" w:cs="仿宋"/>
          <w:b/>
          <w:bCs/>
          <w:color w:val="auto"/>
          <w:sz w:val="24"/>
          <w:szCs w:val="24"/>
          <w:highlight w:val="none"/>
        </w:rPr>
        <w:t>6 通讯联络</w:t>
      </w:r>
      <w:bookmarkEnd w:id="811"/>
      <w:bookmarkEnd w:id="812"/>
      <w:bookmarkEnd w:id="813"/>
      <w:bookmarkEnd w:id="814"/>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6.2 各方通讯地址、收件人及其他送达方式</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  各方通讯地址和收件人：</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发包人:广州市天河区建设工程项目代建局</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通讯地址：广州市天河区黄埔大道中300号17楼</w:t>
      </w:r>
    </w:p>
    <w:p>
      <w:pPr>
        <w:spacing w:line="312" w:lineRule="auto"/>
        <w:ind w:firstLine="480" w:firstLineChars="200"/>
        <w:rPr>
          <w:rStyle w:val="37"/>
          <w:rFonts w:hint="eastAsia" w:ascii="仿宋" w:hAnsi="仿宋" w:eastAsia="仿宋" w:cs="仿宋"/>
          <w:color w:val="auto"/>
          <w:sz w:val="24"/>
          <w:szCs w:val="24"/>
          <w:highlight w:val="none"/>
          <w:lang w:eastAsia="zh-CN"/>
        </w:rPr>
      </w:pPr>
      <w:r>
        <w:rPr>
          <w:rStyle w:val="37"/>
          <w:rFonts w:hint="eastAsia" w:ascii="仿宋" w:hAnsi="仿宋" w:eastAsia="仿宋" w:cs="仿宋"/>
          <w:color w:val="auto"/>
          <w:sz w:val="24"/>
          <w:szCs w:val="24"/>
          <w:highlight w:val="none"/>
        </w:rPr>
        <w:t>收件联系人：</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通讯地址：</w:t>
      </w:r>
      <w:r>
        <w:rPr>
          <w:rStyle w:val="37"/>
          <w:rFonts w:hint="eastAsia" w:ascii="仿宋" w:hAnsi="仿宋" w:eastAsia="仿宋" w:cs="仿宋"/>
          <w:color w:val="auto"/>
          <w:sz w:val="24"/>
          <w:szCs w:val="24"/>
          <w:highlight w:val="none"/>
          <w:lang w:val="en-US" w:eastAsia="zh-CN"/>
        </w:rPr>
        <w:t xml:space="preserve"> </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收件联系人：</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监理单位：</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通讯地址：</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收件联系人：</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造价咨询单位：</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通讯地址：；收件联系人：；邮编：</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 视为送达的其他方式：无</w:t>
      </w:r>
    </w:p>
    <w:p>
      <w:pPr>
        <w:pStyle w:val="13"/>
        <w:adjustRightInd w:val="0"/>
        <w:snapToGrid w:val="0"/>
        <w:spacing w:before="312" w:beforeLines="100" w:line="360" w:lineRule="auto"/>
        <w:outlineLvl w:val="2"/>
        <w:rPr>
          <w:rFonts w:ascii="仿宋" w:hAnsi="仿宋" w:eastAsia="仿宋" w:cs="仿宋"/>
          <w:bCs/>
          <w:color w:val="auto"/>
          <w:sz w:val="20"/>
          <w:szCs w:val="24"/>
          <w:highlight w:val="none"/>
        </w:rPr>
      </w:pPr>
      <w:bookmarkStart w:id="815" w:name="_Toc17394"/>
      <w:bookmarkStart w:id="816" w:name="_Toc25909"/>
      <w:bookmarkStart w:id="817" w:name="_Toc15558"/>
      <w:r>
        <w:rPr>
          <w:rFonts w:hint="eastAsia" w:ascii="仿宋" w:hAnsi="仿宋" w:eastAsia="仿宋" w:cs="仿宋"/>
          <w:b/>
          <w:bCs/>
          <w:color w:val="auto"/>
          <w:sz w:val="24"/>
          <w:szCs w:val="24"/>
          <w:highlight w:val="none"/>
        </w:rPr>
        <w:t>7 工程分包</w:t>
      </w:r>
      <w:bookmarkEnd w:id="815"/>
      <w:bookmarkEnd w:id="816"/>
      <w:bookmarkEnd w:id="817"/>
    </w:p>
    <w:p>
      <w:pPr>
        <w:pStyle w:val="13"/>
        <w:tabs>
          <w:tab w:val="left" w:pos="540"/>
        </w:tabs>
        <w:adjustRightInd w:val="0"/>
        <w:snapToGrid w:val="0"/>
        <w:spacing w:line="312" w:lineRule="auto"/>
        <w:ind w:firstLine="420" w:firstLineChars="175"/>
        <w:jc w:val="left"/>
        <w:outlineLvl w:val="9"/>
        <w:rPr>
          <w:rFonts w:ascii="仿宋" w:hAnsi="仿宋" w:eastAsia="仿宋" w:cs="仿宋"/>
          <w:color w:val="auto"/>
          <w:sz w:val="24"/>
          <w:szCs w:val="24"/>
          <w:highlight w:val="none"/>
        </w:rPr>
      </w:pPr>
      <w:bookmarkStart w:id="818" w:name="_Toc6118"/>
      <w:r>
        <w:rPr>
          <w:rFonts w:hint="eastAsia" w:ascii="仿宋" w:hAnsi="仿宋" w:eastAsia="仿宋" w:cs="仿宋"/>
          <w:color w:val="auto"/>
          <w:sz w:val="24"/>
          <w:szCs w:val="24"/>
          <w:highlight w:val="none"/>
        </w:rPr>
        <w:t>承包人和发包人一致同意不适用合同通用条款第7.2款的约定。代之以：承包人可依法将部分工程分包给具有相应分包资质的分包人，但未经监理单位、发包人书面审批同意，承包人不得将工程的任何部分或任何工作分包给第三方。下列情况则需向发包人书面报备：</w:t>
      </w:r>
      <w:bookmarkEnd w:id="818"/>
    </w:p>
    <w:p>
      <w:pPr>
        <w:pStyle w:val="13"/>
        <w:tabs>
          <w:tab w:val="left" w:pos="540"/>
        </w:tabs>
        <w:adjustRightInd w:val="0"/>
        <w:snapToGrid w:val="0"/>
        <w:spacing w:line="312" w:lineRule="auto"/>
        <w:ind w:firstLine="420" w:firstLineChars="175"/>
        <w:jc w:val="left"/>
        <w:outlineLvl w:val="9"/>
        <w:rPr>
          <w:rFonts w:ascii="仿宋" w:hAnsi="仿宋" w:eastAsia="仿宋" w:cs="仿宋"/>
          <w:color w:val="auto"/>
          <w:sz w:val="24"/>
          <w:szCs w:val="24"/>
          <w:highlight w:val="none"/>
        </w:rPr>
      </w:pPr>
      <w:bookmarkStart w:id="819" w:name="_Toc18804"/>
      <w:r>
        <w:rPr>
          <w:rFonts w:hint="eastAsia" w:ascii="仿宋" w:hAnsi="仿宋" w:eastAsia="仿宋" w:cs="仿宋"/>
          <w:color w:val="auto"/>
          <w:sz w:val="24"/>
          <w:szCs w:val="24"/>
          <w:highlight w:val="none"/>
        </w:rPr>
        <w:t>（1）施工劳务作业分包；</w:t>
      </w:r>
      <w:bookmarkEnd w:id="819"/>
    </w:p>
    <w:p>
      <w:pPr>
        <w:pStyle w:val="13"/>
        <w:tabs>
          <w:tab w:val="left" w:pos="540"/>
        </w:tabs>
        <w:adjustRightInd w:val="0"/>
        <w:snapToGrid w:val="0"/>
        <w:spacing w:line="312" w:lineRule="auto"/>
        <w:ind w:firstLine="420" w:firstLineChars="175"/>
        <w:jc w:val="left"/>
        <w:outlineLvl w:val="9"/>
        <w:rPr>
          <w:rFonts w:ascii="仿宋" w:hAnsi="仿宋" w:eastAsia="仿宋" w:cs="仿宋"/>
          <w:color w:val="auto"/>
          <w:sz w:val="24"/>
          <w:szCs w:val="24"/>
          <w:highlight w:val="none"/>
        </w:rPr>
      </w:pPr>
      <w:bookmarkStart w:id="820" w:name="_Toc29351"/>
      <w:r>
        <w:rPr>
          <w:rFonts w:hint="eastAsia" w:ascii="仿宋" w:hAnsi="仿宋" w:eastAsia="仿宋" w:cs="仿宋"/>
          <w:color w:val="auto"/>
          <w:sz w:val="24"/>
          <w:szCs w:val="24"/>
          <w:highlight w:val="none"/>
        </w:rPr>
        <w:t>（2）按照合同约定的标准购买材料和工程设备；</w:t>
      </w:r>
      <w:bookmarkEnd w:id="820"/>
    </w:p>
    <w:p>
      <w:pPr>
        <w:pStyle w:val="13"/>
        <w:tabs>
          <w:tab w:val="left" w:pos="540"/>
        </w:tabs>
        <w:adjustRightInd w:val="0"/>
        <w:snapToGrid w:val="0"/>
        <w:spacing w:line="312" w:lineRule="auto"/>
        <w:ind w:firstLine="420" w:firstLineChars="175"/>
        <w:jc w:val="left"/>
        <w:outlineLvl w:val="9"/>
        <w:rPr>
          <w:rFonts w:ascii="仿宋" w:hAnsi="仿宋" w:eastAsia="仿宋" w:cs="仿宋"/>
          <w:color w:val="auto"/>
          <w:sz w:val="24"/>
          <w:szCs w:val="24"/>
          <w:highlight w:val="none"/>
        </w:rPr>
      </w:pPr>
      <w:bookmarkStart w:id="821" w:name="_Toc23016"/>
      <w:r>
        <w:rPr>
          <w:rFonts w:hint="eastAsia" w:ascii="仿宋" w:hAnsi="仿宋" w:eastAsia="仿宋" w:cs="仿宋"/>
          <w:color w:val="auto"/>
          <w:sz w:val="24"/>
          <w:szCs w:val="24"/>
          <w:highlight w:val="none"/>
        </w:rPr>
        <w:t>（3）合同中已指定的分包工程。</w:t>
      </w:r>
      <w:bookmarkEnd w:id="821"/>
    </w:p>
    <w:p>
      <w:pPr>
        <w:spacing w:line="312" w:lineRule="auto"/>
        <w:ind w:firstLine="482" w:firstLineChars="20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承包人与发包人一致同意增加第7.7款至第7.16款：</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7.7分包工程款的支付：若承包人无正当理由截留专业工程、劳务分包单位的工程款，发包人有权扣留承包人最近一期可得的等额工程进度款，在承包人补足分包单位进度款时，发包人将扣留的款项补足给承包人。</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7.8施工总承包管理和配合服务：承包人按</w:t>
      </w:r>
      <w:r>
        <w:rPr>
          <w:rStyle w:val="37"/>
          <w:rFonts w:hint="eastAsia" w:ascii="仿宋" w:hAnsi="仿宋" w:eastAsia="仿宋" w:cs="仿宋"/>
          <w:color w:val="auto"/>
          <w:sz w:val="24"/>
          <w:szCs w:val="24"/>
          <w:highlight w:val="none"/>
          <w:lang w:val="en-US" w:eastAsia="zh-CN"/>
        </w:rPr>
        <w:t>发</w:t>
      </w:r>
      <w:r>
        <w:rPr>
          <w:rStyle w:val="37"/>
          <w:rFonts w:hint="eastAsia" w:ascii="仿宋" w:hAnsi="仿宋" w:eastAsia="仿宋" w:cs="仿宋"/>
          <w:color w:val="auto"/>
          <w:sz w:val="24"/>
          <w:szCs w:val="24"/>
          <w:highlight w:val="none"/>
        </w:rPr>
        <w:t>包人要求和合同约定对分包单位和发包人另行发包的专业承包单位进行施工总承包管理和专业工程配合服务。</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施工总承包管理包括但不限于：项目总进度计划管理和协调；信息管理；公共临时设施管理；安全文明施工管理；现场综合管理；总体协调配合；提供标高基准点、平面控制轴线、墨线；提供工作面；成品保护；组织项目竣工验收和备案、竣工结算、编制竣工资料以及其他管理工作。</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专业工程配合服务包括但不限于：为发包人另行发包的专业承包单位提供生产、生活用设施搭建场地；提供现有运输道路和通道；提供施工用水、用电的接驳点；提供现有公共临时设施；提供现有水平、垂直运输设施；提供现有脚手架以及其他配合服务。</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（3）承包人在本工程投标报价时，应充分考虑上述施工总承包管理和专业工程配合服务所需的费用，不得要求发包人及其另行分包的专业承包单位额外支付。</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7.9 本合同工程的主体及关键性工作必须由承包人自行完成，不得分包。非主体、非关键性工作的分包应当在投标文件中载明，严格按照投标文件的规定或发包人限定的时间与分包单位签订分包合同。</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7.10 承包人应严格按照《房屋建筑和市政基础设施工程施工分包管理办法</w:t>
      </w: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color w:val="auto"/>
          <w:sz w:val="24"/>
          <w:szCs w:val="24"/>
          <w:highlight w:val="none"/>
          <w:lang w:val="en-US" w:eastAsia="zh-CN"/>
        </w:rPr>
        <w:t>2019修订</w:t>
      </w: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color w:val="auto"/>
          <w:sz w:val="24"/>
          <w:szCs w:val="24"/>
          <w:highlight w:val="none"/>
        </w:rPr>
        <w:t>》和本合同的约定做好分包管理工作，禁止将承包的工程进行转包或违法分包，禁止转让、出借企业资质证书或者以其他方式允许他人以本企业名义承揽工程，严禁个人承揽分包工程业务。</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7.11 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7.12 下列行为，属于违法分包：</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（1）承包人将专业工程或者劳务作业分包给不具备相应资质条件的分包人的；</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（2）本合同中未有约定，又未经发包人认可，承包人将承包工程中的部分专业工程分包给他人的。</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7.13 承包人虽然没有将其承包的工程进行分包，但在施工现场所设项目管理机构的项目经理、技术管理人员、核算管理人员、质量管理人员、安全管理人员不是承包人本单位人员的，视同允许他人以本企业名义承揽工程。</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7.14 承包人应参照通、专用条款第20条、第27条的有关约定，在发包人批准分包后5天内将分包单位工程技术管理人员名单及劳动力、施工机械设备投入计划报送发包人且负责落实到位，并接受总监理工程师和发包人代表的查验。</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7.15 分包工程价款由承包人与发包人结算。承包人应按本合同及分包合同的有关约定及时审核、申请支付各种工程、劳务及材料设备款项，并向发包人提交下列资料：</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（1）属专业工程分包的，应向发包人提交分包人提交给承包人的履约担保文件复印件（应同时携带原件供发包人复核），具体按招标文件或发包人要求执行。</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（2）属材料设备供货的，应向发包人提交供货商提交给承包人的履约担保文件复印件（应同时携带原件供发包人复核），具体按招标文件或发包人要求执行。</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7.16 承包人与发包人一致同意，本合同工程的所有分包单位（含材料设备供货单位）全部纳入发包人统一组织的考评，并按合同约定和发包人的有关管理规定承担相应义务，享有相应权利。考评结果中涉及对本合同价款的转付或扣取的，承包人承诺无条件服从。考评结果不合格的分包单位，纳入发包人黑名单库，2年内不允许在发包人的项目中承揽工程。</w:t>
      </w:r>
    </w:p>
    <w:p>
      <w:pPr>
        <w:pStyle w:val="13"/>
        <w:adjustRightInd w:val="0"/>
        <w:snapToGrid w:val="0"/>
        <w:spacing w:line="360" w:lineRule="auto"/>
        <w:rPr>
          <w:rFonts w:ascii="仿宋" w:hAnsi="仿宋" w:eastAsia="仿宋" w:cs="仿宋"/>
          <w:b/>
          <w:bCs/>
          <w:color w:val="auto"/>
          <w:sz w:val="24"/>
          <w:szCs w:val="24"/>
          <w:highlight w:val="none"/>
        </w:rPr>
      </w:pPr>
      <w:bookmarkStart w:id="822" w:name="_Toc25902"/>
      <w:bookmarkStart w:id="823" w:name="_Toc20232"/>
    </w:p>
    <w:p>
      <w:pPr>
        <w:pStyle w:val="13"/>
        <w:adjustRightInd w:val="0"/>
        <w:snapToGrid w:val="0"/>
        <w:spacing w:line="360" w:lineRule="auto"/>
        <w:outlineLvl w:val="2"/>
        <w:rPr>
          <w:rFonts w:ascii="仿宋" w:hAnsi="仿宋" w:eastAsia="仿宋" w:cs="仿宋"/>
          <w:b/>
          <w:bCs/>
          <w:color w:val="auto"/>
          <w:sz w:val="24"/>
          <w:szCs w:val="24"/>
          <w:highlight w:val="none"/>
        </w:rPr>
      </w:pPr>
      <w:bookmarkStart w:id="824" w:name="_Toc11290"/>
      <w:r>
        <w:rPr>
          <w:rFonts w:hint="eastAsia" w:ascii="仿宋" w:hAnsi="仿宋" w:eastAsia="仿宋" w:cs="仿宋"/>
          <w:b/>
          <w:bCs/>
          <w:color w:val="auto"/>
          <w:sz w:val="24"/>
          <w:szCs w:val="24"/>
          <w:highlight w:val="none"/>
        </w:rPr>
        <w:t>8 现场查勘</w:t>
      </w:r>
      <w:bookmarkEnd w:id="824"/>
    </w:p>
    <w:p>
      <w:pPr>
        <w:pStyle w:val="13"/>
        <w:adjustRightInd w:val="0"/>
        <w:snapToGrid w:val="0"/>
        <w:spacing w:line="360" w:lineRule="auto"/>
        <w:ind w:left="479" w:leftChars="228"/>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8.2  承包人现场查勘</w:t>
      </w:r>
      <w:r>
        <w:rPr>
          <w:rFonts w:ascii="仿宋" w:hAnsi="仿宋" w:eastAsia="仿宋" w:cs="仿宋"/>
          <w:b/>
          <w:bCs/>
          <w:color w:val="auto"/>
          <w:sz w:val="24"/>
          <w:szCs w:val="24"/>
          <w:highlight w:val="none"/>
          <w:u w:val="dotted"/>
        </w:rPr>
        <w:t xml:space="preserve">                                                                                       </w:t>
      </w:r>
      <w:r>
        <w:rPr>
          <w:rFonts w:hint="eastAsia" w:ascii="仿宋" w:hAnsi="仿宋" w:eastAsia="仿宋" w:cs="仿宋"/>
          <w:color w:val="auto"/>
          <w:sz w:val="24"/>
          <w:szCs w:val="24"/>
          <w:highlight w:val="none"/>
        </w:rPr>
        <w:t>承包人应依据发包人按照第19.2款第（4）点规定提供的资料和自己对现场</w:t>
      </w:r>
    </w:p>
    <w:p>
      <w:pPr>
        <w:pStyle w:val="13"/>
        <w:adjustRightInd w:val="0"/>
        <w:snapToGrid w:val="0"/>
        <w:spacing w:line="360" w:lineRule="auto"/>
        <w:ind w:left="480" w:hanging="480" w:hanging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查勘来编制投标文件，并对发包人提供上述资料的理解、推断和应用负责。因承</w:t>
      </w:r>
    </w:p>
    <w:p>
      <w:pPr>
        <w:pStyle w:val="13"/>
        <w:adjustRightInd w:val="0"/>
        <w:snapToGrid w:val="0"/>
        <w:spacing w:line="360" w:lineRule="auto"/>
        <w:ind w:left="480" w:hanging="480" w:hanging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包人未能充分查勘、了解以下情况或未能充分估计以下情况所可能产生后果的，</w:t>
      </w:r>
    </w:p>
    <w:p>
      <w:pPr>
        <w:pStyle w:val="13"/>
        <w:adjustRightInd w:val="0"/>
        <w:snapToGrid w:val="0"/>
        <w:spacing w:line="360" w:lineRule="auto"/>
        <w:ind w:left="480" w:hanging="480" w:hanging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承包人承担由此增加的费用和（或）延误的工期。承包人的投标文件应被认为已</w:t>
      </w:r>
    </w:p>
    <w:p>
      <w:pPr>
        <w:pStyle w:val="13"/>
        <w:adjustRightInd w:val="0"/>
        <w:snapToGrid w:val="0"/>
        <w:spacing w:line="360" w:lineRule="auto"/>
        <w:ind w:left="480" w:hanging="480" w:hanging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经考虑了现场及其周围环境的影响，包括但不限于以下内容：</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（1）现场地质情况及地形地貌特征；</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（2）水文和气候条件；</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（3）为实施、完成并保修合同工程所需的临时工程和措施项目；</w:t>
      </w:r>
    </w:p>
    <w:p>
      <w:pPr>
        <w:pStyle w:val="13"/>
        <w:tabs>
          <w:tab w:val="left" w:pos="2580"/>
        </w:tabs>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（4）为实施、完成并保修合同工程所需的材料采购和加工、设备的采购，及所需的施工设备、周转性材料、人员和管理等；</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（5）场地内外的交通情况及水、电、食宿供应条件；</w:t>
      </w:r>
    </w:p>
    <w:p>
      <w:pPr>
        <w:pStyle w:val="13"/>
        <w:adjustRightInd w:val="0"/>
        <w:snapToGrid w:val="0"/>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（6）可能对投标报价有影响或起作用的其他情况。</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（7）由于场地受限等原因，租赁场外用地。</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25" w:name="_Toc29760"/>
      <w:bookmarkStart w:id="826" w:name="_Toc19476"/>
      <w:r>
        <w:rPr>
          <w:rFonts w:hint="eastAsia" w:ascii="仿宋" w:hAnsi="仿宋" w:eastAsia="仿宋" w:cs="仿宋"/>
          <w:b/>
          <w:bCs/>
          <w:color w:val="auto"/>
          <w:sz w:val="24"/>
          <w:szCs w:val="24"/>
          <w:highlight w:val="none"/>
        </w:rPr>
        <w:t>12 事故处理</w:t>
      </w:r>
      <w:bookmarkEnd w:id="822"/>
      <w:bookmarkEnd w:id="823"/>
      <w:bookmarkEnd w:id="825"/>
      <w:bookmarkEnd w:id="826"/>
    </w:p>
    <w:p>
      <w:pPr>
        <w:pStyle w:val="39"/>
        <w:spacing w:after="0" w:line="312" w:lineRule="auto"/>
        <w:ind w:firstLine="472" w:firstLineChars="196"/>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承包人和发包人一致同意增加第12.4款至第12.5款：</w:t>
      </w:r>
    </w:p>
    <w:p>
      <w:pPr>
        <w:pStyle w:val="39"/>
        <w:spacing w:after="0"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12.4因承包人责任过失造成安全事故的，除按照国家规定由行政主管部门给予承包人处罚外，承包人还应负责赔偿发包人的损失，并按照专用条款第90.10（3）款的约定承担违约责任。</w:t>
      </w:r>
    </w:p>
    <w:p>
      <w:pPr>
        <w:pStyle w:val="39"/>
        <w:tabs>
          <w:tab w:val="left" w:pos="7938"/>
        </w:tabs>
        <w:spacing w:after="0" w:line="312" w:lineRule="auto"/>
        <w:ind w:firstLine="470" w:firstLineChars="196"/>
        <w:rPr>
          <w:rStyle w:val="37"/>
          <w:rFonts w:ascii="仿宋" w:hAnsi="仿宋" w:eastAsia="仿宋" w:cs="仿宋"/>
          <w:color w:val="auto"/>
          <w:kern w:val="2"/>
          <w:sz w:val="24"/>
          <w:szCs w:val="24"/>
          <w:highlight w:val="none"/>
        </w:rPr>
      </w:pPr>
      <w:r>
        <w:rPr>
          <w:rStyle w:val="37"/>
          <w:rFonts w:hint="eastAsia" w:ascii="仿宋" w:hAnsi="仿宋" w:eastAsia="仿宋" w:cs="仿宋"/>
          <w:color w:val="auto"/>
          <w:sz w:val="24"/>
          <w:szCs w:val="24"/>
          <w:highlight w:val="none"/>
        </w:rPr>
        <w:t>12.5 承包人应保证发包人免于受到或承担应由承包人负责的因承包人现场施工所引起的或与之有关的索赔、诉讼以及其他开支（非承包人原因除外）；若有证据证实发包人因此发生了索赔、诉讼以及其他开支，承包人必须在接到发包人通知后三天内据实补偿发包人因此所受到的损失。</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827" w:name="_Toc12084"/>
      <w:bookmarkStart w:id="828" w:name="_Toc4679"/>
      <w:bookmarkStart w:id="829" w:name="_Toc15545"/>
      <w:bookmarkStart w:id="830" w:name="_Toc15780"/>
      <w:r>
        <w:rPr>
          <w:rFonts w:hint="eastAsia" w:ascii="仿宋" w:hAnsi="仿宋" w:eastAsia="仿宋" w:cs="仿宋"/>
          <w:b/>
          <w:bCs/>
          <w:color w:val="auto"/>
          <w:sz w:val="24"/>
          <w:szCs w:val="24"/>
          <w:highlight w:val="none"/>
        </w:rPr>
        <w:t>13 交通运输</w:t>
      </w:r>
      <w:bookmarkEnd w:id="827"/>
      <w:bookmarkEnd w:id="828"/>
      <w:bookmarkEnd w:id="829"/>
      <w:bookmarkEnd w:id="830"/>
    </w:p>
    <w:p>
      <w:pPr>
        <w:spacing w:line="312" w:lineRule="auto"/>
        <w:ind w:right="-20" w:firstLine="480" w:firstLineChars="200"/>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13.1 道路通行权和场外设施的约定：发包人协助承包人办理出入场地的专用和临时道路的通行权，以及取得为实施合同工程所需修建场外设施的权利，设施建设费用由承包人承担。</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13.2 </w:t>
      </w:r>
      <w:r>
        <w:rPr>
          <w:rStyle w:val="37"/>
          <w:rFonts w:ascii="仿宋" w:hAnsi="仿宋" w:eastAsia="仿宋" w:cs="仿宋"/>
          <w:color w:val="auto"/>
          <w:sz w:val="24"/>
          <w:szCs w:val="24"/>
          <w:highlight w:val="none"/>
        </w:rPr>
        <w:t>场外施工</w:t>
      </w:r>
      <w:r>
        <w:rPr>
          <w:rStyle w:val="37"/>
          <w:rFonts w:hint="eastAsia" w:ascii="仿宋" w:hAnsi="仿宋" w:eastAsia="仿宋" w:cs="仿宋"/>
          <w:color w:val="auto"/>
          <w:sz w:val="24"/>
          <w:szCs w:val="24"/>
          <w:highlight w:val="none"/>
        </w:rPr>
        <w:t>道路的约定：无。</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13.4 超大件和超重件运输的约定：无。</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831" w:name="_Toc23103"/>
      <w:bookmarkStart w:id="832" w:name="_Toc22104"/>
      <w:bookmarkStart w:id="833" w:name="_Toc27900"/>
      <w:bookmarkStart w:id="834" w:name="_Toc15642"/>
      <w:r>
        <w:rPr>
          <w:rFonts w:hint="eastAsia" w:ascii="仿宋" w:hAnsi="仿宋" w:eastAsia="仿宋" w:cs="仿宋"/>
          <w:b/>
          <w:bCs/>
          <w:color w:val="auto"/>
          <w:sz w:val="24"/>
          <w:szCs w:val="24"/>
          <w:highlight w:val="none"/>
        </w:rPr>
        <w:t>14 专项批准事件的签认</w:t>
      </w:r>
      <w:bookmarkEnd w:id="831"/>
      <w:bookmarkEnd w:id="832"/>
      <w:bookmarkEnd w:id="833"/>
      <w:bookmarkEnd w:id="834"/>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14.2 专项批准事件签认人的要求</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(1)专项批准事件的监理工程师：</w:t>
      </w:r>
    </w:p>
    <w:p>
      <w:pPr>
        <w:tabs>
          <w:tab w:val="left" w:pos="3100"/>
          <w:tab w:val="left" w:pos="5740"/>
          <w:tab w:val="left" w:pos="7545"/>
        </w:tabs>
        <w:spacing w:line="312" w:lineRule="auto"/>
        <w:ind w:left="479" w:leftChars="228" w:right="-20" w:firstLine="60" w:firstLineChars="25"/>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具体人选：      印章样式：       签字样式：</w:t>
      </w:r>
    </w:p>
    <w:p>
      <w:pPr>
        <w:tabs>
          <w:tab w:val="left" w:pos="3100"/>
          <w:tab w:val="left" w:pos="5740"/>
          <w:tab w:val="left" w:pos="75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授权范围：</w:t>
      </w:r>
    </w:p>
    <w:p>
      <w:pPr>
        <w:tabs>
          <w:tab w:val="left" w:pos="3100"/>
          <w:tab w:val="left" w:pos="5740"/>
          <w:tab w:val="left" w:pos="75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(2)专项批准事件的造价工程师</w:t>
      </w:r>
    </w:p>
    <w:p>
      <w:pPr>
        <w:tabs>
          <w:tab w:val="left" w:pos="3100"/>
          <w:tab w:val="left" w:pos="5505"/>
          <w:tab w:val="left" w:pos="75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具体人选：      印章样式：       签字样式：</w:t>
      </w:r>
    </w:p>
    <w:p>
      <w:pPr>
        <w:tabs>
          <w:tab w:val="left" w:pos="3100"/>
          <w:tab w:val="left" w:pos="5505"/>
          <w:tab w:val="left" w:pos="75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授权范围：</w:t>
      </w:r>
    </w:p>
    <w:p>
      <w:pPr>
        <w:tabs>
          <w:tab w:val="left" w:pos="3100"/>
          <w:tab w:val="left" w:pos="5505"/>
          <w:tab w:val="left" w:pos="75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(3)专项批准事件的建造师的：</w:t>
      </w:r>
    </w:p>
    <w:p>
      <w:pPr>
        <w:tabs>
          <w:tab w:val="left" w:pos="3100"/>
          <w:tab w:val="left" w:pos="5265"/>
          <w:tab w:val="left" w:pos="75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具体人选：      印章样式：       签字样式：</w:t>
      </w:r>
    </w:p>
    <w:p>
      <w:pPr>
        <w:tabs>
          <w:tab w:val="left" w:pos="3100"/>
          <w:tab w:val="left" w:pos="5265"/>
          <w:tab w:val="left" w:pos="75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授权范围：</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835" w:name="_Toc20429"/>
      <w:bookmarkStart w:id="836" w:name="_Toc22206"/>
      <w:bookmarkStart w:id="837" w:name="_Toc12316"/>
      <w:bookmarkStart w:id="838" w:name="_Toc30737"/>
      <w:r>
        <w:rPr>
          <w:rFonts w:hint="eastAsia" w:ascii="仿宋" w:hAnsi="仿宋" w:eastAsia="仿宋" w:cs="仿宋"/>
          <w:b/>
          <w:bCs/>
          <w:color w:val="auto"/>
          <w:sz w:val="24"/>
          <w:szCs w:val="24"/>
          <w:highlight w:val="none"/>
        </w:rPr>
        <w:t>19、发包人</w:t>
      </w:r>
      <w:bookmarkEnd w:id="835"/>
      <w:bookmarkEnd w:id="836"/>
      <w:bookmarkEnd w:id="837"/>
      <w:bookmarkEnd w:id="838"/>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19.2 发包人完成下列工作的约定：</w:t>
      </w:r>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(1)施工场地具备施工条件的要求及完成时间：发包人负责在开工前完成施工场地的征地拆迁工作，具备按设计要求进行场地平整施工的条件（合同及招标文件另有约定的除外）。</w:t>
      </w:r>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完成施工所需水、电、通讯线路接驳的时间及地点：通讯设施由承包人自行负责，费用已包含在合同价款中，发包人不再另行计量支付。发包人在办理施工临时用水、用电接驳事宜时承包人应尽可能提供必要的协助。</w:t>
      </w:r>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(3)开工施工现场与城乡公共道路间的通道的约定：由承包人根据现场的需要或发包人的要求结合现场实际情况考虑，设施建设相关费用已包含在合同价款中,发包人不再另行计量支付。</w:t>
      </w:r>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提供有关资料的时间：工程地质资料与设计文件同时提供；地下管线、构筑物资料由承包人自行调查核实，并承担由于施工过程造成其损伤而引起的责任和损失，费用已包含在合同价款中，发包人不另行计量支付，发包人可提供可能的协助和方便。</w:t>
      </w:r>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(5)办理有关所需证件的约定：由承包人负责办理、发包人配合（承包人自身施工资质等证件除外），所发生费用按本地行业管理部门的规定各自承担。</w:t>
      </w:r>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(6)水准点与坐标控制点交验的要求：发包人负责在施工现场将已施测的水准点高程与平面控制点坐标以书面形式提供给承包人，承包人应做好交验记录。</w:t>
      </w:r>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(7)本合同工程中使用的标准与规范文本由承包人自行购买。</w:t>
      </w:r>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(8)组织图纸会审和设计交底的约定：承包人接到施工图纸7天内进行。</w:t>
      </w:r>
    </w:p>
    <w:p>
      <w:pPr>
        <w:tabs>
          <w:tab w:val="left" w:pos="3100"/>
          <w:tab w:val="left" w:pos="5265"/>
          <w:tab w:val="left" w:pos="7545"/>
        </w:tabs>
        <w:autoSpaceDE w:val="0"/>
        <w:autoSpaceDN w:val="0"/>
        <w:adjustRightInd w:val="0"/>
        <w:spacing w:line="312" w:lineRule="auto"/>
        <w:ind w:right="-20" w:firstLine="470" w:firstLineChars="196"/>
        <w:jc w:val="left"/>
        <w:textAlignment w:val="auto"/>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(9)接收已完工程并支付工程相关价款的约定：无。</w:t>
      </w:r>
    </w:p>
    <w:p>
      <w:pPr>
        <w:tabs>
          <w:tab w:val="left" w:pos="3100"/>
          <w:tab w:val="left" w:pos="5265"/>
          <w:tab w:val="left" w:pos="7545"/>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发包人委托给承包人办理的其他工作：无。</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19.3 提供施工场地的时间：承包人按照发包人通知的时间进场，并对施工场地履行照管责任。发包人保留其工作人员、雇员、发包人有关合作单位和相关执法人员进入和使用施工场地的权利。</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19.4支付期及支付方式的约定</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 工程价款支付期限</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√按合同通用条款规定期限支付。由于财政资金拨款不到位导致发包人逾期付款的，发包人不承担违约责任，并且此情况不能成为施工方造成违约行为的理由。</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×其他：</w:t>
      </w:r>
    </w:p>
    <w:p>
      <w:pPr>
        <w:tabs>
          <w:tab w:val="left" w:pos="110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 工程价款支付方式</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√按协议书所注明的银行帐号转帐。</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×支票支付。</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×其他方式：</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839" w:name="_Toc11251"/>
      <w:bookmarkStart w:id="840" w:name="_Toc18729"/>
      <w:bookmarkStart w:id="841" w:name="_Toc421"/>
      <w:bookmarkStart w:id="842" w:name="_Toc32249"/>
      <w:r>
        <w:rPr>
          <w:rFonts w:hint="eastAsia" w:ascii="仿宋" w:hAnsi="仿宋" w:eastAsia="仿宋" w:cs="仿宋"/>
          <w:b/>
          <w:bCs/>
          <w:color w:val="auto"/>
          <w:sz w:val="24"/>
          <w:szCs w:val="24"/>
          <w:highlight w:val="none"/>
        </w:rPr>
        <w:t>20 承包人</w:t>
      </w:r>
      <w:bookmarkEnd w:id="839"/>
      <w:bookmarkEnd w:id="840"/>
      <w:bookmarkEnd w:id="841"/>
      <w:bookmarkEnd w:id="842"/>
    </w:p>
    <w:p>
      <w:pPr>
        <w:spacing w:line="312" w:lineRule="auto"/>
        <w:ind w:left="466" w:leftChars="222" w:right="-2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20.2 承包人应按照合同约定时间和要求完成包括但不限于以下工作：</w:t>
      </w:r>
    </w:p>
    <w:p>
      <w:pPr>
        <w:spacing w:line="312" w:lineRule="auto"/>
        <w:ind w:right="-20" w:firstLine="465" w:firstLineChars="194"/>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（4）根据工程需要，承包人提供和维修白天或夜间施工使用的照明、围栏设施，并负责安全保卫。若承包人未履行上述义务造成工程、财产、人身损害等，由承包人承担责任及因此所发生的一切费用。</w:t>
      </w:r>
    </w:p>
    <w:p>
      <w:pPr>
        <w:spacing w:line="312" w:lineRule="auto"/>
        <w:ind w:right="-20" w:firstLine="465" w:firstLineChars="194"/>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（6）遵守政府部门有关施工场地交通、环境保护、施工噪声、安全文明施工等的管理规定，按工程所在地人民政府的规定办理相关手续并承担由此发生的费用，并以书面形式通知发包人。</w:t>
      </w:r>
    </w:p>
    <w:p>
      <w:pPr>
        <w:spacing w:line="312" w:lineRule="auto"/>
        <w:ind w:right="-20" w:firstLine="465" w:firstLineChars="194"/>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（7）已完工的工程在未移交给后续施工单位或者发包人使用前，由承包人负责照管，照管费用由承包人负责；发生损坏由承包人自费修复。</w:t>
      </w:r>
    </w:p>
    <w:p>
      <w:pPr>
        <w:spacing w:line="312" w:lineRule="auto"/>
        <w:ind w:right="-20" w:firstLine="465" w:firstLineChars="194"/>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承包人应对施工场地及周围的地下管线、建筑物、构筑物（含文物保护建筑）、古树名木的状况进行勘察，根据勘察结果确定具体的保护措施并承担有关费用。若发现正常施工措施及现有条件已不能达到保护目的，承包人应及时报告，经监理工程师、发包人批准采取特殊保护处理的，发包人承担不包含在招投标内容中的额外保护费用。</w:t>
      </w:r>
    </w:p>
    <w:p>
      <w:pPr>
        <w:spacing w:line="312" w:lineRule="auto"/>
        <w:ind w:right="-20" w:firstLine="465" w:firstLineChars="194"/>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承包人应对所采取的保护措施进行监测，并应根据监测结果及时反馈信息指导施工，以确保上述受保护物件及作业人员、居民的安全。因承包人原因，受保护物件发生损坏的，由承包人承担责任并负责赔偿。</w:t>
      </w:r>
    </w:p>
    <w:p>
      <w:pPr>
        <w:autoSpaceDE w:val="0"/>
        <w:autoSpaceDN w:val="0"/>
        <w:adjustRightInd w:val="0"/>
        <w:spacing w:line="312" w:lineRule="auto"/>
        <w:ind w:right="-20" w:firstLine="465" w:firstLineChars="194"/>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承包人应遵守政府部门有关环境卫生的管理规定，保证施工场地的清洁和做好交工前施工现场的清理工作，及时清运施工垃圾和余泥，达到合同协议书约定的安全生产及文明施工目标，并承担因自身责任造成的损失和罚款。</w:t>
      </w:r>
    </w:p>
    <w:p>
      <w:pPr>
        <w:autoSpaceDE w:val="0"/>
        <w:autoSpaceDN w:val="0"/>
        <w:adjustRightInd w:val="0"/>
        <w:spacing w:line="312" w:lineRule="auto"/>
        <w:ind w:right="-20" w:firstLine="465" w:firstLineChars="194"/>
        <w:rPr>
          <w:rStyle w:val="36"/>
          <w:rFonts w:ascii="仿宋" w:hAnsi="仿宋" w:eastAsia="仿宋" w:cs="仿宋"/>
          <w:color w:val="auto"/>
          <w:highlight w:val="none"/>
        </w:rPr>
      </w:pPr>
      <w:r>
        <w:rPr>
          <w:rFonts w:hint="eastAsia" w:ascii="仿宋" w:hAnsi="仿宋" w:eastAsia="仿宋" w:cs="仿宋"/>
          <w:color w:val="auto"/>
          <w:sz w:val="24"/>
          <w:szCs w:val="24"/>
          <w:highlight w:val="none"/>
        </w:rPr>
        <w:t>（10）承包人应无条件配合发包人有关创建文明城市的相关工作，并按相关要求做好相应工作，详见《广州市建设工程文明施工管理规定（</w:t>
      </w:r>
      <w:r>
        <w:rPr>
          <w:rFonts w:ascii="仿宋" w:hAnsi="仿宋" w:eastAsia="仿宋" w:cs="仿宋"/>
          <w:color w:val="auto"/>
          <w:sz w:val="24"/>
          <w:szCs w:val="24"/>
          <w:highlight w:val="none"/>
        </w:rPr>
        <w:t>2018</w:t>
      </w:r>
      <w:r>
        <w:rPr>
          <w:rFonts w:hint="eastAsia" w:ascii="仿宋" w:hAnsi="仿宋" w:eastAsia="仿宋" w:cs="仿宋"/>
          <w:color w:val="auto"/>
          <w:sz w:val="24"/>
          <w:szCs w:val="24"/>
          <w:highlight w:val="none"/>
        </w:rPr>
        <w:t>修正）》的规定。本合同履行过程中，如相关法律法规或者政策有关创建文明城市的 相关规定变更的，按照变更后有效的规定执行。</w:t>
      </w:r>
    </w:p>
    <w:p>
      <w:pPr>
        <w:pStyle w:val="39"/>
        <w:spacing w:after="0" w:line="312" w:lineRule="auto"/>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由承包人承担施工场地及周围的地下管线（包括供水、供电、供气、电讯、油管等）、建筑物、构筑物（含文物保护建筑）、名树名木的保护工作并向有关单位报告。并且由承包人承担在施工过程造成其损伤而引起的责任和损失，费用已包含在合同价款中，发包人不另行计量支付。</w:t>
      </w:r>
    </w:p>
    <w:p>
      <w:pPr>
        <w:pStyle w:val="39"/>
        <w:spacing w:after="0" w:line="312" w:lineRule="auto"/>
        <w:ind w:firstLine="472" w:firstLineChars="196"/>
        <w:rPr>
          <w:rStyle w:val="37"/>
          <w:rFonts w:ascii="仿宋" w:hAnsi="仿宋" w:eastAsia="仿宋" w:cs="仿宋"/>
          <w:color w:val="auto"/>
          <w:sz w:val="24"/>
          <w:szCs w:val="24"/>
          <w:highlight w:val="none"/>
        </w:rPr>
      </w:pPr>
      <w:r>
        <w:rPr>
          <w:rStyle w:val="37"/>
          <w:rFonts w:hint="eastAsia" w:ascii="仿宋" w:hAnsi="仿宋" w:eastAsia="仿宋" w:cs="仿宋"/>
          <w:b/>
          <w:bCs/>
          <w:color w:val="auto"/>
          <w:sz w:val="24"/>
          <w:szCs w:val="24"/>
          <w:highlight w:val="none"/>
        </w:rPr>
        <w:t>承包人和发包人一致同意增加第20.8款至第20.14款：</w:t>
      </w:r>
    </w:p>
    <w:p>
      <w:pPr>
        <w:tabs>
          <w:tab w:val="left" w:pos="3100"/>
          <w:tab w:val="left" w:pos="5265"/>
          <w:tab w:val="left" w:pos="7545"/>
        </w:tabs>
        <w:autoSpaceDE w:val="0"/>
        <w:autoSpaceDN w:val="0"/>
        <w:adjustRightInd w:val="0"/>
        <w:spacing w:line="312" w:lineRule="auto"/>
        <w:ind w:right="-20"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20.8 承包人应根据现场实际情况考虑切实可行的施工方案及费用，发包人不对承包人因施工方案改变而引起的任何费用的增加进行补偿。施工过程中由于承包人的施工方案未考虑周全而造成的经济损失（包括调整施工方案所增加的费用）及法律责任均由承包人承担，情况严重时发包人有权终止合同。</w:t>
      </w:r>
    </w:p>
    <w:p>
      <w:pPr>
        <w:autoSpaceDE w:val="0"/>
        <w:autoSpaceDN w:val="0"/>
        <w:adjustRightInd w:val="0"/>
        <w:spacing w:line="312" w:lineRule="auto"/>
        <w:ind w:right="-20" w:firstLine="465" w:firstLineChars="194"/>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参照《关于规范基坑支护工程设计文件审查工作的通知》（穗建技〔2010〕1151号</w:t>
      </w:r>
      <w:r>
        <w:rPr>
          <w:rFonts w:hint="eastAsia" w:ascii="Arial" w:hAnsi="Arial" w:cs="Arial"/>
          <w:color w:val="auto"/>
          <w:sz w:val="19"/>
          <w:szCs w:val="19"/>
          <w:highlight w:val="none"/>
        </w:rPr>
        <w:t>）</w:t>
      </w:r>
      <w:r>
        <w:rPr>
          <w:rFonts w:hint="eastAsia" w:ascii="仿宋" w:hAnsi="仿宋" w:eastAsia="仿宋" w:cs="仿宋"/>
          <w:color w:val="auto"/>
          <w:sz w:val="24"/>
          <w:szCs w:val="24"/>
          <w:highlight w:val="none"/>
        </w:rPr>
        <w:t>文要求，对深度超过5米基坑的支护工程专项施工方案，承包人应依法组织专家论证、审查。该费用已包含在合同价中，发包人不予以另外支付。</w:t>
      </w:r>
    </w:p>
    <w:p>
      <w:pPr>
        <w:autoSpaceDE w:val="0"/>
        <w:autoSpaceDN w:val="0"/>
        <w:adjustRightInd w:val="0"/>
        <w:spacing w:line="312" w:lineRule="auto"/>
        <w:ind w:right="-20" w:firstLine="465" w:firstLineChars="194"/>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根据《住房和城乡建设部关于修改部分部门规章的决定》（住房和城乡建设部令第47号）、</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i w:val="0"/>
          <w:iCs w:val="0"/>
          <w:caps w:val="0"/>
          <w:color w:val="auto"/>
          <w:spacing w:val="0"/>
          <w:sz w:val="24"/>
          <w:szCs w:val="24"/>
          <w:highlight w:val="none"/>
          <w:shd w:val="clear" w:fill="auto"/>
        </w:rPr>
        <w:t>危险性较大的分部分项工程安全管理规定</w:t>
      </w:r>
      <w:r>
        <w:rPr>
          <w:rFonts w:hint="eastAsia" w:ascii="仿宋" w:hAnsi="仿宋" w:eastAsia="仿宋" w:cs="仿宋"/>
          <w:b w:val="0"/>
          <w:bCs w:val="0"/>
          <w:i w:val="0"/>
          <w:iCs w:val="0"/>
          <w:caps w:val="0"/>
          <w:color w:val="auto"/>
          <w:spacing w:val="0"/>
          <w:sz w:val="24"/>
          <w:szCs w:val="24"/>
          <w:highlight w:val="none"/>
          <w:shd w:val="clear" w:fill="auto"/>
          <w:lang w:eastAsia="zh-CN"/>
        </w:rPr>
        <w:t>（</w:t>
      </w:r>
      <w:r>
        <w:rPr>
          <w:rFonts w:hint="eastAsia" w:ascii="仿宋" w:hAnsi="仿宋" w:eastAsia="仿宋" w:cs="仿宋"/>
          <w:b w:val="0"/>
          <w:bCs w:val="0"/>
          <w:i w:val="0"/>
          <w:iCs w:val="0"/>
          <w:caps w:val="0"/>
          <w:color w:val="auto"/>
          <w:spacing w:val="0"/>
          <w:sz w:val="24"/>
          <w:szCs w:val="24"/>
          <w:highlight w:val="none"/>
          <w:shd w:val="clear" w:fill="auto"/>
          <w:lang w:val="en-US" w:eastAsia="zh-CN"/>
        </w:rPr>
        <w:t>2019修订</w:t>
      </w:r>
      <w:r>
        <w:rPr>
          <w:rFonts w:hint="eastAsia" w:ascii="仿宋" w:hAnsi="仿宋" w:eastAsia="仿宋" w:cs="仿宋"/>
          <w:b w:val="0"/>
          <w:bCs w:val="0"/>
          <w:i w:val="0"/>
          <w:iCs w:val="0"/>
          <w:caps w:val="0"/>
          <w:color w:val="auto"/>
          <w:spacing w:val="0"/>
          <w:sz w:val="24"/>
          <w:szCs w:val="24"/>
          <w:highlight w:val="none"/>
          <w:shd w:val="clear" w:fill="auto"/>
          <w:lang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住房城乡建设部办公厅关于实施&lt;危险性较大的分部分项工程安全管理规定&gt;有关问题的通知》（建办质〔2018〕31号）、《广东省住房和城乡建设厅关于房屋市政工程危险性较大的分部分项工程安全管理的实施细则》（粤建规范〔2019〕2号），高大模板、深基坑支护工程等六类危险性较大工程需由施工单位编制（通过其内部审批的）专项施工方案，并由施工单位聘请专家进行论证评审通过后方可实施，该审查费用已包含在合同总价中，发包人不予以另外支付。</w:t>
      </w:r>
    </w:p>
    <w:p>
      <w:pPr>
        <w:spacing w:line="312" w:lineRule="auto"/>
        <w:ind w:left="2" w:firstLine="523" w:firstLineChars="218"/>
        <w:rPr>
          <w:rStyle w:val="37"/>
          <w:rFonts w:ascii="仿宋" w:hAnsi="仿宋" w:eastAsia="仿宋" w:cs="仿宋"/>
          <w:color w:val="auto"/>
          <w:sz w:val="24"/>
          <w:szCs w:val="24"/>
          <w:highlight w:val="none"/>
        </w:rPr>
      </w:pPr>
      <w:bookmarkStart w:id="843" w:name="_Toc25061"/>
      <w:bookmarkStart w:id="844" w:name="_Toc17709"/>
      <w:r>
        <w:rPr>
          <w:rFonts w:hint="eastAsia" w:ascii="仿宋" w:hAnsi="仿宋" w:eastAsia="仿宋" w:cs="仿宋"/>
          <w:color w:val="auto"/>
          <w:sz w:val="24"/>
          <w:szCs w:val="24"/>
          <w:highlight w:val="none"/>
        </w:rPr>
        <w:t>20.9配合造价管理目标</w:t>
      </w:r>
      <w:bookmarkEnd w:id="843"/>
      <w:bookmarkEnd w:id="844"/>
    </w:p>
    <w:p>
      <w:pPr>
        <w:numPr>
          <w:ilvl w:val="255"/>
          <w:numId w:val="0"/>
        </w:numPr>
        <w:spacing w:line="312" w:lineRule="auto"/>
        <w:ind w:firstLine="480" w:firstLineChars="2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有造价控制责任，需复核工程量清单有无工程量偏差、清单项缺漏、投标综合单价高于招标综合单价等，跟实际所需进行对比，并形成报告。按甲方要求的模板一次性提交项目的完整工程造价清标报告，并与造价咨询单位完成对数。</w:t>
      </w:r>
    </w:p>
    <w:p>
      <w:pPr>
        <w:numPr>
          <w:ilvl w:val="255"/>
          <w:numId w:val="0"/>
        </w:numPr>
        <w:spacing w:line="312" w:lineRule="auto"/>
        <w:ind w:left="420" w:leftChars="200"/>
        <w:jc w:val="left"/>
        <w:rPr>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A、承包人提交工程造价清标报告时限要求：从签订合同之日起计算    </w:t>
      </w:r>
    </w:p>
    <w:p>
      <w:pPr>
        <w:numPr>
          <w:ilvl w:val="255"/>
          <w:numId w:val="0"/>
        </w:numPr>
        <w:spacing w:line="312" w:lineRule="auto"/>
        <w:ind w:firstLine="480" w:firstLineChars="2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color w:val="auto"/>
          <w:sz w:val="24"/>
          <w:szCs w:val="24"/>
          <w:highlight w:val="none"/>
        </w:rPr>
        <w:t xml:space="preserve">造价3000万元以下的项目承包人应20个日历天提交工程造价清标报告。                  </w:t>
      </w:r>
    </w:p>
    <w:p>
      <w:pPr>
        <w:numPr>
          <w:ilvl w:val="255"/>
          <w:numId w:val="0"/>
        </w:numPr>
        <w:spacing w:line="312" w:lineRule="auto"/>
        <w:ind w:firstLine="480" w:firstLineChars="2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□造价3000万元至2亿元的项目承包人应35个日历天提交工程造价清标报告。              </w:t>
      </w:r>
    </w:p>
    <w:p>
      <w:pPr>
        <w:numPr>
          <w:ilvl w:val="255"/>
          <w:numId w:val="0"/>
        </w:numPr>
        <w:spacing w:line="312" w:lineRule="auto"/>
        <w:ind w:firstLine="480" w:firstLineChars="2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sym w:font="Wingdings 2" w:char="0052"/>
      </w:r>
      <w:r>
        <w:rPr>
          <w:rStyle w:val="37"/>
          <w:rFonts w:hint="eastAsia" w:ascii="仿宋" w:hAnsi="仿宋" w:eastAsia="仿宋" w:cs="仿宋"/>
          <w:color w:val="auto"/>
          <w:sz w:val="24"/>
          <w:szCs w:val="24"/>
          <w:highlight w:val="none"/>
        </w:rPr>
        <w:t xml:space="preserve">造价2亿元以上的项目承包人应45个日历天提交工程造价清标报告                     </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特大型项目或特殊项目确需延长时限的，需经发包人同意批准，但延长时间原则上不超过30个日历天。</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B、承包人与造价咨询单位完成对数，确认工程造价清标结果，结果作为建设单位造价控制依据。后续实施过程中承包人提出的施工图纸范围内的工程量偏差、清单项缺漏等引起的费用增加，结算时发包人有权力不予确认。</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施工过程中，造价有变化（工程量漏项、偏差，措施费增减：如土石方、桩等按实际结算的工程与预算清单有出入；施工方案变更引起的措施费增减）的承包人需及时书面报告，完成该项工作后1个月内需上报监理、发包人审核，否则发包人有权不予确认。</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每份由签证、变更等引发造价变化的事项，都由承包人有资质的部门、人员按实编制预算，并需确保偏差值（偏差值=（|预算价-审核价|/预算价）*100%）不得偏离监理审核的10%、最终财审的5%，否则发包人有权视偏差情况进行一般违约或严重违约处罚。原则上承包人深化设计不得超出该部分原清单的造价（原清单漏量、缺量等特殊情况除外），且承包方需专题上报发包人审核，并按发包人要求的签证、变更管理办法完善相关手续后实施。</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承包人有责任在合同总价范围内完成施工任务。当变更、签证等新增的费用超出暂列金50%时，承包人需15天内向发包人报告并采取有效措施控制造价；如变更、签证等新增费用存在超出暂列金的风险时，承包人需向发包人提交正式书面报告，并确保合同结算送审价不超过合同价（如有特殊情况的，另与发包人协商处理）。若承包人未按上述要求上报，发包人有权不予确认相关工程量，并视情况进行处罚。</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（5）承包人须承担因场地不足引起的工作增加，增加费用不另外计算，包括但不限于：办公用房等临设的租用，工人于工地外的住宿及交通安排措施；</w:t>
      </w:r>
    </w:p>
    <w:p>
      <w:pPr>
        <w:numPr>
          <w:ilvl w:val="255"/>
          <w:numId w:val="0"/>
        </w:numPr>
        <w:spacing w:line="312" w:lineRule="auto"/>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承包人应客观真实报送工程结算，若施工过程中出现扣款、罚款情况，承包人上报结算时应如实上报，若承包人在结算中未上报，且结算未能计入的，将在质保金中扣除，并处以5000元/项的罚款。最终结算经天河区财政局审核后，偏差率不应超5%，否则按如下条款执行：  </w:t>
      </w:r>
    </w:p>
    <w:p>
      <w:pPr>
        <w:spacing w:line="312" w:lineRule="auto"/>
        <w:ind w:firstLine="480" w:firstLineChars="2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A:5~10%，发包人有权视偏差情况进行严重违约处罚。</w:t>
      </w:r>
    </w:p>
    <w:p>
      <w:pPr>
        <w:spacing w:line="312" w:lineRule="auto"/>
        <w:ind w:firstLine="480" w:firstLineChars="200"/>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B:10%以上，发包人有权视偏差情况按超出审定价10％以外的金额(即送审结算价与审定金额110％的差额)的10％作为违约金，在其工程结算款中扣除。</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20.10 承包人应于自合同签订之日起30日内向发包人提供工程履约保函（履约保函按本合同专用条款第28.1款要求开具）；于签定合同之日起30日内向发包人提供本项目办理各项建设行政审批手续所需的资料，协助发包人向主管部门申请办理工程质量安全监督手续和施工许可证。</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20.11 承包人应当贯彻落实《保障农民工工资支付条例》（中华人民共和国国务院第724号）、《</w:t>
      </w:r>
      <w:r>
        <w:rPr>
          <w:rStyle w:val="37"/>
          <w:rFonts w:hint="eastAsia" w:ascii="仿宋" w:hAnsi="仿宋" w:eastAsia="仿宋" w:cs="仿宋"/>
          <w:i w:val="0"/>
          <w:iCs w:val="0"/>
          <w:caps w:val="0"/>
          <w:color w:val="auto"/>
          <w:spacing w:val="0"/>
          <w:sz w:val="24"/>
          <w:szCs w:val="24"/>
          <w:highlight w:val="none"/>
          <w:u w:val="none"/>
          <w:shd w:val="clear"/>
        </w:rPr>
        <w:fldChar w:fldCharType="begin"/>
      </w:r>
      <w:r>
        <w:rPr>
          <w:rStyle w:val="37"/>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"https://law.wkinfo.com.cn/legislation?fq=promulgatingAgency%C7%81%E5%B9%BF%E5%B7%9E%E5%B8%82%E4%BA%BA%E5%8A%9B%E8%B5%84%E6%BA%90%E5%92%8C%E7%A4%BE%E4%BC%9A%E4%BF%9D%E9%9A%9C%E5%B1%80%C7%81%C7%82" </w:instrText>
      </w:r>
      <w:r>
        <w:rPr>
          <w:rStyle w:val="37"/>
          <w:rFonts w:hint="eastAsia" w:ascii="仿宋" w:hAnsi="仿宋" w:eastAsia="仿宋" w:cs="仿宋"/>
          <w:i w:val="0"/>
          <w:iCs w:val="0"/>
          <w:caps w:val="0"/>
          <w:color w:val="auto"/>
          <w:spacing w:val="0"/>
          <w:sz w:val="24"/>
          <w:szCs w:val="24"/>
          <w:highlight w:val="none"/>
          <w:u w:val="none"/>
          <w:shd w:val="clear"/>
        </w:rPr>
        <w:fldChar w:fldCharType="separate"/>
      </w:r>
      <w:r>
        <w:rPr>
          <w:rStyle w:val="37"/>
          <w:rFonts w:hint="eastAsia" w:ascii="仿宋" w:hAnsi="仿宋" w:eastAsia="仿宋" w:cs="仿宋"/>
          <w:i w:val="0"/>
          <w:iCs w:val="0"/>
          <w:caps w:val="0"/>
          <w:color w:val="auto"/>
          <w:spacing w:val="0"/>
          <w:sz w:val="24"/>
          <w:szCs w:val="24"/>
          <w:highlight w:val="none"/>
          <w:u w:val="none"/>
          <w:shd w:val="clear"/>
        </w:rPr>
        <w:t>广州市人力资源和社会保障局</w:t>
      </w:r>
      <w:r>
        <w:rPr>
          <w:rStyle w:val="37"/>
          <w:rFonts w:hint="eastAsia" w:ascii="仿宋" w:hAnsi="仿宋" w:eastAsia="仿宋" w:cs="仿宋"/>
          <w:i w:val="0"/>
          <w:iCs w:val="0"/>
          <w:caps w:val="0"/>
          <w:color w:val="auto"/>
          <w:spacing w:val="0"/>
          <w:sz w:val="24"/>
          <w:szCs w:val="24"/>
          <w:highlight w:val="none"/>
          <w:u w:val="none"/>
          <w:shd w:val="clear"/>
        </w:rPr>
        <w:fldChar w:fldCharType="end"/>
      </w:r>
      <w:r>
        <w:rPr>
          <w:rStyle w:val="37"/>
          <w:rFonts w:hint="eastAsia" w:ascii="仿宋" w:hAnsi="仿宋" w:eastAsia="仿宋" w:cs="仿宋"/>
          <w:i w:val="0"/>
          <w:iCs w:val="0"/>
          <w:caps w:val="0"/>
          <w:color w:val="auto"/>
          <w:spacing w:val="0"/>
          <w:sz w:val="24"/>
          <w:szCs w:val="24"/>
          <w:highlight w:val="none"/>
          <w:shd w:val="clear"/>
        </w:rPr>
        <w:t>,</w:t>
      </w:r>
      <w:r>
        <w:rPr>
          <w:rStyle w:val="37"/>
          <w:rFonts w:hint="eastAsia" w:ascii="仿宋" w:hAnsi="仿宋" w:eastAsia="仿宋" w:cs="仿宋"/>
          <w:i w:val="0"/>
          <w:iCs w:val="0"/>
          <w:caps w:val="0"/>
          <w:color w:val="auto"/>
          <w:spacing w:val="0"/>
          <w:sz w:val="24"/>
          <w:szCs w:val="24"/>
          <w:highlight w:val="none"/>
          <w:u w:val="none"/>
          <w:shd w:val="clear"/>
        </w:rPr>
        <w:fldChar w:fldCharType="begin"/>
      </w:r>
      <w:r>
        <w:rPr>
          <w:rStyle w:val="37"/>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"https://law.wkinfo.com.cn/legislation?fq=promulgatingAgency%C7%81%E5%B9%BF%E5%B7%9E%E5%B8%82%E4%BD%8F%E6%88%BF%E5%92%8C%E5%9F%8E%E4%B9%A1%E5%BB%BA%E8%AE%BE%E5%B1%80%C7%81%C7%82" </w:instrText>
      </w:r>
      <w:r>
        <w:rPr>
          <w:rStyle w:val="37"/>
          <w:rFonts w:hint="eastAsia" w:ascii="仿宋" w:hAnsi="仿宋" w:eastAsia="仿宋" w:cs="仿宋"/>
          <w:i w:val="0"/>
          <w:iCs w:val="0"/>
          <w:caps w:val="0"/>
          <w:color w:val="auto"/>
          <w:spacing w:val="0"/>
          <w:sz w:val="24"/>
          <w:szCs w:val="24"/>
          <w:highlight w:val="none"/>
          <w:u w:val="none"/>
          <w:shd w:val="clear"/>
        </w:rPr>
        <w:fldChar w:fldCharType="separate"/>
      </w:r>
      <w:r>
        <w:rPr>
          <w:rStyle w:val="37"/>
          <w:rFonts w:hint="eastAsia" w:ascii="仿宋" w:hAnsi="仿宋" w:eastAsia="仿宋" w:cs="仿宋"/>
          <w:i w:val="0"/>
          <w:iCs w:val="0"/>
          <w:caps w:val="0"/>
          <w:color w:val="auto"/>
          <w:spacing w:val="0"/>
          <w:sz w:val="24"/>
          <w:szCs w:val="24"/>
          <w:highlight w:val="none"/>
          <w:u w:val="none"/>
          <w:shd w:val="clear"/>
        </w:rPr>
        <w:t>广州市住房和城乡建设局</w:t>
      </w:r>
      <w:r>
        <w:rPr>
          <w:rStyle w:val="37"/>
          <w:rFonts w:hint="eastAsia" w:ascii="仿宋" w:hAnsi="仿宋" w:eastAsia="仿宋" w:cs="仿宋"/>
          <w:i w:val="0"/>
          <w:iCs w:val="0"/>
          <w:caps w:val="0"/>
          <w:color w:val="auto"/>
          <w:spacing w:val="0"/>
          <w:sz w:val="24"/>
          <w:szCs w:val="24"/>
          <w:highlight w:val="none"/>
          <w:u w:val="none"/>
          <w:shd w:val="clear"/>
        </w:rPr>
        <w:fldChar w:fldCharType="end"/>
      </w:r>
      <w:r>
        <w:rPr>
          <w:rStyle w:val="37"/>
          <w:rFonts w:hint="eastAsia" w:ascii="仿宋" w:hAnsi="仿宋" w:eastAsia="仿宋" w:cs="仿宋"/>
          <w:i w:val="0"/>
          <w:iCs w:val="0"/>
          <w:caps w:val="0"/>
          <w:color w:val="auto"/>
          <w:spacing w:val="0"/>
          <w:sz w:val="24"/>
          <w:szCs w:val="24"/>
          <w:highlight w:val="none"/>
          <w:shd w:val="clear"/>
        </w:rPr>
        <w:t>,</w:t>
      </w:r>
      <w:r>
        <w:rPr>
          <w:rStyle w:val="37"/>
          <w:rFonts w:hint="eastAsia" w:ascii="仿宋" w:hAnsi="仿宋" w:eastAsia="仿宋" w:cs="仿宋"/>
          <w:i w:val="0"/>
          <w:iCs w:val="0"/>
          <w:caps w:val="0"/>
          <w:color w:val="auto"/>
          <w:spacing w:val="0"/>
          <w:sz w:val="24"/>
          <w:szCs w:val="24"/>
          <w:highlight w:val="none"/>
          <w:u w:val="none"/>
          <w:shd w:val="clear"/>
        </w:rPr>
        <w:fldChar w:fldCharType="begin"/>
      </w:r>
      <w:r>
        <w:rPr>
          <w:rStyle w:val="37"/>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"https://law.wkinfo.com.cn/legislation?fq=promulgatingAgency%C7%81%E5%B9%BF%E5%B7%9E%E5%B8%82%E4%BA%A4%E9%80%9A%E8%BF%90%E8%BE%93%E5%B1%80%C7%81%C7%82" </w:instrText>
      </w:r>
      <w:r>
        <w:rPr>
          <w:rStyle w:val="37"/>
          <w:rFonts w:hint="eastAsia" w:ascii="仿宋" w:hAnsi="仿宋" w:eastAsia="仿宋" w:cs="仿宋"/>
          <w:i w:val="0"/>
          <w:iCs w:val="0"/>
          <w:caps w:val="0"/>
          <w:color w:val="auto"/>
          <w:spacing w:val="0"/>
          <w:sz w:val="24"/>
          <w:szCs w:val="24"/>
          <w:highlight w:val="none"/>
          <w:u w:val="none"/>
          <w:shd w:val="clear"/>
        </w:rPr>
        <w:fldChar w:fldCharType="separate"/>
      </w:r>
      <w:r>
        <w:rPr>
          <w:rStyle w:val="37"/>
          <w:rFonts w:hint="eastAsia" w:ascii="仿宋" w:hAnsi="仿宋" w:eastAsia="仿宋" w:cs="仿宋"/>
          <w:i w:val="0"/>
          <w:iCs w:val="0"/>
          <w:caps w:val="0"/>
          <w:color w:val="auto"/>
          <w:spacing w:val="0"/>
          <w:sz w:val="24"/>
          <w:szCs w:val="24"/>
          <w:highlight w:val="none"/>
          <w:u w:val="none"/>
          <w:shd w:val="clear"/>
        </w:rPr>
        <w:t>广州市交通运输局</w:t>
      </w:r>
      <w:r>
        <w:rPr>
          <w:rStyle w:val="37"/>
          <w:rFonts w:hint="eastAsia" w:ascii="仿宋" w:hAnsi="仿宋" w:eastAsia="仿宋" w:cs="仿宋"/>
          <w:i w:val="0"/>
          <w:iCs w:val="0"/>
          <w:caps w:val="0"/>
          <w:color w:val="auto"/>
          <w:spacing w:val="0"/>
          <w:sz w:val="24"/>
          <w:szCs w:val="24"/>
          <w:highlight w:val="none"/>
          <w:u w:val="none"/>
          <w:shd w:val="clear"/>
        </w:rPr>
        <w:fldChar w:fldCharType="end"/>
      </w:r>
      <w:r>
        <w:rPr>
          <w:rStyle w:val="37"/>
          <w:rFonts w:hint="eastAsia" w:ascii="仿宋" w:hAnsi="仿宋" w:eastAsia="仿宋" w:cs="仿宋"/>
          <w:i w:val="0"/>
          <w:iCs w:val="0"/>
          <w:caps w:val="0"/>
          <w:color w:val="auto"/>
          <w:spacing w:val="0"/>
          <w:sz w:val="24"/>
          <w:szCs w:val="24"/>
          <w:highlight w:val="none"/>
          <w:shd w:val="clear"/>
        </w:rPr>
        <w:t>,</w:t>
      </w:r>
      <w:r>
        <w:rPr>
          <w:rStyle w:val="37"/>
          <w:rFonts w:hint="eastAsia" w:ascii="仿宋" w:hAnsi="仿宋" w:eastAsia="仿宋" w:cs="仿宋"/>
          <w:i w:val="0"/>
          <w:iCs w:val="0"/>
          <w:caps w:val="0"/>
          <w:color w:val="auto"/>
          <w:spacing w:val="0"/>
          <w:sz w:val="24"/>
          <w:szCs w:val="24"/>
          <w:highlight w:val="none"/>
          <w:u w:val="none"/>
          <w:shd w:val="clear"/>
        </w:rPr>
        <w:fldChar w:fldCharType="begin"/>
      </w:r>
      <w:r>
        <w:rPr>
          <w:rStyle w:val="37"/>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"https://law.wkinfo.com.cn/legislation?fq=promulgatingAgency%C7%81%E5%B9%BF%E5%B7%9E%E5%B8%82%E6%B0%B4%E5%8A%A1%E5%B1%80%C7%81%C7%82" </w:instrText>
      </w:r>
      <w:r>
        <w:rPr>
          <w:rStyle w:val="37"/>
          <w:rFonts w:hint="eastAsia" w:ascii="仿宋" w:hAnsi="仿宋" w:eastAsia="仿宋" w:cs="仿宋"/>
          <w:i w:val="0"/>
          <w:iCs w:val="0"/>
          <w:caps w:val="0"/>
          <w:color w:val="auto"/>
          <w:spacing w:val="0"/>
          <w:sz w:val="24"/>
          <w:szCs w:val="24"/>
          <w:highlight w:val="none"/>
          <w:u w:val="none"/>
          <w:shd w:val="clear"/>
        </w:rPr>
        <w:fldChar w:fldCharType="separate"/>
      </w:r>
      <w:r>
        <w:rPr>
          <w:rStyle w:val="37"/>
          <w:rFonts w:hint="eastAsia" w:ascii="仿宋" w:hAnsi="仿宋" w:eastAsia="仿宋" w:cs="仿宋"/>
          <w:i w:val="0"/>
          <w:iCs w:val="0"/>
          <w:caps w:val="0"/>
          <w:color w:val="auto"/>
          <w:spacing w:val="0"/>
          <w:sz w:val="24"/>
          <w:szCs w:val="24"/>
          <w:highlight w:val="none"/>
          <w:u w:val="none"/>
          <w:shd w:val="clear"/>
        </w:rPr>
        <w:t>广州市水务局</w:t>
      </w:r>
      <w:r>
        <w:rPr>
          <w:rStyle w:val="37"/>
          <w:rFonts w:hint="eastAsia" w:ascii="仿宋" w:hAnsi="仿宋" w:eastAsia="仿宋" w:cs="仿宋"/>
          <w:i w:val="0"/>
          <w:iCs w:val="0"/>
          <w:caps w:val="0"/>
          <w:color w:val="auto"/>
          <w:spacing w:val="0"/>
          <w:sz w:val="24"/>
          <w:szCs w:val="24"/>
          <w:highlight w:val="none"/>
          <w:u w:val="none"/>
          <w:shd w:val="clear"/>
        </w:rPr>
        <w:fldChar w:fldCharType="end"/>
      </w:r>
      <w:r>
        <w:rPr>
          <w:rStyle w:val="37"/>
          <w:rFonts w:hint="eastAsia" w:ascii="仿宋" w:hAnsi="仿宋" w:eastAsia="仿宋" w:cs="仿宋"/>
          <w:i w:val="0"/>
          <w:iCs w:val="0"/>
          <w:caps w:val="0"/>
          <w:color w:val="auto"/>
          <w:spacing w:val="0"/>
          <w:sz w:val="24"/>
          <w:szCs w:val="24"/>
          <w:highlight w:val="none"/>
          <w:shd w:val="clear"/>
        </w:rPr>
        <w:t>,</w:t>
      </w:r>
      <w:r>
        <w:rPr>
          <w:rStyle w:val="37"/>
          <w:rFonts w:hint="eastAsia" w:ascii="仿宋" w:hAnsi="仿宋" w:eastAsia="仿宋" w:cs="仿宋"/>
          <w:i w:val="0"/>
          <w:iCs w:val="0"/>
          <w:caps w:val="0"/>
          <w:color w:val="auto"/>
          <w:spacing w:val="0"/>
          <w:sz w:val="24"/>
          <w:szCs w:val="24"/>
          <w:highlight w:val="none"/>
          <w:u w:val="none"/>
          <w:shd w:val="clear"/>
        </w:rPr>
        <w:fldChar w:fldCharType="begin"/>
      </w:r>
      <w:r>
        <w:rPr>
          <w:rStyle w:val="37"/>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"https://law.wkinfo.com.cn/legislation?fq=promulgatingAgency%C7%81%E5%B9%BF%E5%B7%9E%E5%B8%82%E6%9E%97%E4%B8%9A%E5%92%8C%E5%9B%AD%E6%9E%97%E5%B1%80%C7%81%C7%82" </w:instrText>
      </w:r>
      <w:r>
        <w:rPr>
          <w:rStyle w:val="37"/>
          <w:rFonts w:hint="eastAsia" w:ascii="仿宋" w:hAnsi="仿宋" w:eastAsia="仿宋" w:cs="仿宋"/>
          <w:i w:val="0"/>
          <w:iCs w:val="0"/>
          <w:caps w:val="0"/>
          <w:color w:val="auto"/>
          <w:spacing w:val="0"/>
          <w:sz w:val="24"/>
          <w:szCs w:val="24"/>
          <w:highlight w:val="none"/>
          <w:u w:val="none"/>
          <w:shd w:val="clear"/>
        </w:rPr>
        <w:fldChar w:fldCharType="separate"/>
      </w:r>
      <w:r>
        <w:rPr>
          <w:rStyle w:val="37"/>
          <w:rFonts w:hint="eastAsia" w:ascii="仿宋" w:hAnsi="仿宋" w:eastAsia="仿宋" w:cs="仿宋"/>
          <w:i w:val="0"/>
          <w:iCs w:val="0"/>
          <w:caps w:val="0"/>
          <w:color w:val="auto"/>
          <w:spacing w:val="0"/>
          <w:sz w:val="24"/>
          <w:szCs w:val="24"/>
          <w:highlight w:val="none"/>
          <w:u w:val="none"/>
          <w:shd w:val="clear"/>
        </w:rPr>
        <w:t>广州市林业和园林局</w:t>
      </w:r>
      <w:r>
        <w:rPr>
          <w:rStyle w:val="37"/>
          <w:rFonts w:hint="eastAsia" w:ascii="仿宋" w:hAnsi="仿宋" w:eastAsia="仿宋" w:cs="仿宋"/>
          <w:i w:val="0"/>
          <w:iCs w:val="0"/>
          <w:caps w:val="0"/>
          <w:color w:val="auto"/>
          <w:spacing w:val="0"/>
          <w:sz w:val="24"/>
          <w:szCs w:val="24"/>
          <w:highlight w:val="none"/>
          <w:u w:val="none"/>
          <w:shd w:val="clear"/>
        </w:rPr>
        <w:fldChar w:fldCharType="end"/>
      </w:r>
      <w:r>
        <w:rPr>
          <w:rStyle w:val="37"/>
          <w:rFonts w:hint="eastAsia" w:ascii="仿宋" w:hAnsi="仿宋" w:eastAsia="仿宋" w:cs="仿宋"/>
          <w:i w:val="0"/>
          <w:iCs w:val="0"/>
          <w:caps w:val="0"/>
          <w:color w:val="auto"/>
          <w:spacing w:val="0"/>
          <w:sz w:val="24"/>
          <w:szCs w:val="24"/>
          <w:highlight w:val="none"/>
          <w:shd w:val="clear"/>
        </w:rPr>
        <w:t>,</w:t>
      </w:r>
      <w:r>
        <w:rPr>
          <w:rStyle w:val="37"/>
          <w:rFonts w:hint="eastAsia" w:ascii="仿宋" w:hAnsi="仿宋" w:eastAsia="仿宋" w:cs="仿宋"/>
          <w:i w:val="0"/>
          <w:iCs w:val="0"/>
          <w:caps w:val="0"/>
          <w:color w:val="auto"/>
          <w:spacing w:val="0"/>
          <w:sz w:val="24"/>
          <w:szCs w:val="24"/>
          <w:highlight w:val="none"/>
          <w:u w:val="none"/>
          <w:shd w:val="clear"/>
        </w:rPr>
        <w:fldChar w:fldCharType="begin"/>
      </w:r>
      <w:r>
        <w:rPr>
          <w:rStyle w:val="37"/>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"https://law.wkinfo.com.cn/legislation?fq=promulgatingAgency%C7%81%E4%B8%AD%E5%9B%BD%E4%BA%BA%E6%B0%91%E9%93%B6%E8%A1%8C%E5%B9%BF%E5%B7%9E%E5%88%86%E8%A1%8C%E8%90%A5%E4%B8%9A%E7%AE%A1%E7%90%86%E9%83%A8%C7%81%C7%82" </w:instrText>
      </w:r>
      <w:r>
        <w:rPr>
          <w:rStyle w:val="37"/>
          <w:rFonts w:hint="eastAsia" w:ascii="仿宋" w:hAnsi="仿宋" w:eastAsia="仿宋" w:cs="仿宋"/>
          <w:i w:val="0"/>
          <w:iCs w:val="0"/>
          <w:caps w:val="0"/>
          <w:color w:val="auto"/>
          <w:spacing w:val="0"/>
          <w:sz w:val="24"/>
          <w:szCs w:val="24"/>
          <w:highlight w:val="none"/>
          <w:u w:val="none"/>
          <w:shd w:val="clear"/>
        </w:rPr>
        <w:fldChar w:fldCharType="separate"/>
      </w:r>
      <w:r>
        <w:rPr>
          <w:rStyle w:val="37"/>
          <w:rFonts w:hint="eastAsia" w:ascii="仿宋" w:hAnsi="仿宋" w:eastAsia="仿宋" w:cs="仿宋"/>
          <w:i w:val="0"/>
          <w:iCs w:val="0"/>
          <w:caps w:val="0"/>
          <w:color w:val="auto"/>
          <w:spacing w:val="0"/>
          <w:sz w:val="24"/>
          <w:szCs w:val="24"/>
          <w:highlight w:val="none"/>
          <w:u w:val="none"/>
          <w:shd w:val="clear"/>
        </w:rPr>
        <w:t>中国人民银行广州分行营业管理部</w:t>
      </w:r>
      <w:r>
        <w:rPr>
          <w:rStyle w:val="37"/>
          <w:rFonts w:hint="eastAsia" w:ascii="仿宋" w:hAnsi="仿宋" w:eastAsia="仿宋" w:cs="仿宋"/>
          <w:i w:val="0"/>
          <w:iCs w:val="0"/>
          <w:caps w:val="0"/>
          <w:color w:val="auto"/>
          <w:spacing w:val="0"/>
          <w:sz w:val="24"/>
          <w:szCs w:val="24"/>
          <w:highlight w:val="none"/>
          <w:u w:val="none"/>
          <w:shd w:val="clear"/>
        </w:rPr>
        <w:fldChar w:fldCharType="end"/>
      </w:r>
      <w:r>
        <w:rPr>
          <w:rStyle w:val="37"/>
          <w:rFonts w:hint="eastAsia" w:ascii="仿宋" w:hAnsi="仿宋" w:eastAsia="仿宋" w:cs="仿宋"/>
          <w:i w:val="0"/>
          <w:iCs w:val="0"/>
          <w:caps w:val="0"/>
          <w:color w:val="auto"/>
          <w:spacing w:val="0"/>
          <w:sz w:val="24"/>
          <w:szCs w:val="24"/>
          <w:highlight w:val="none"/>
          <w:shd w:val="clear"/>
        </w:rPr>
        <w:t>,</w:t>
      </w:r>
      <w:r>
        <w:rPr>
          <w:rStyle w:val="37"/>
          <w:rFonts w:hint="eastAsia" w:ascii="仿宋" w:hAnsi="仿宋" w:eastAsia="仿宋" w:cs="仿宋"/>
          <w:i w:val="0"/>
          <w:iCs w:val="0"/>
          <w:caps w:val="0"/>
          <w:color w:val="auto"/>
          <w:spacing w:val="0"/>
          <w:sz w:val="24"/>
          <w:szCs w:val="24"/>
          <w:highlight w:val="none"/>
          <w:u w:val="none"/>
          <w:shd w:val="clear"/>
        </w:rPr>
        <w:fldChar w:fldCharType="begin"/>
      </w:r>
      <w:r>
        <w:rPr>
          <w:rStyle w:val="37"/>
          <w:rFonts w:hint="eastAsia" w:ascii="仿宋" w:hAnsi="仿宋" w:eastAsia="仿宋" w:cs="仿宋"/>
          <w:i w:val="0"/>
          <w:iCs w:val="0"/>
          <w:caps w:val="0"/>
          <w:color w:val="auto"/>
          <w:spacing w:val="0"/>
          <w:sz w:val="24"/>
          <w:szCs w:val="24"/>
          <w:highlight w:val="none"/>
          <w:u w:val="none"/>
          <w:shd w:val="clear"/>
        </w:rPr>
        <w:instrText xml:space="preserve"> HYPERLINK "https://law.wkinfo.com.cn/legislation?fq=promulgatingAgency%C7%81%E4%B8%AD%E5%9B%BD%E9%93%B6%E8%A1%8C%E4%BF%9D%E9%99%A9%E7%9B%91%E7%9D%A3%E7%AE%A1%E7%90%86%E5%A7%94%E5%91%98%E4%BC%9A%E5%B9%BF%E4%B8%9C%E7%9B%91%E7%AE%A1%E5%B1%80%C7%81%C7%82" </w:instrText>
      </w:r>
      <w:r>
        <w:rPr>
          <w:rStyle w:val="37"/>
          <w:rFonts w:hint="eastAsia" w:ascii="仿宋" w:hAnsi="仿宋" w:eastAsia="仿宋" w:cs="仿宋"/>
          <w:i w:val="0"/>
          <w:iCs w:val="0"/>
          <w:caps w:val="0"/>
          <w:color w:val="auto"/>
          <w:spacing w:val="0"/>
          <w:sz w:val="24"/>
          <w:szCs w:val="24"/>
          <w:highlight w:val="none"/>
          <w:u w:val="none"/>
          <w:shd w:val="clear"/>
        </w:rPr>
        <w:fldChar w:fldCharType="separate"/>
      </w:r>
      <w:r>
        <w:rPr>
          <w:rStyle w:val="37"/>
          <w:rFonts w:hint="eastAsia" w:ascii="仿宋" w:hAnsi="仿宋" w:eastAsia="仿宋" w:cs="仿宋"/>
          <w:i w:val="0"/>
          <w:iCs w:val="0"/>
          <w:caps w:val="0"/>
          <w:color w:val="auto"/>
          <w:spacing w:val="0"/>
          <w:sz w:val="24"/>
          <w:szCs w:val="24"/>
          <w:highlight w:val="none"/>
          <w:u w:val="none"/>
          <w:shd w:val="clear"/>
        </w:rPr>
        <w:t>中国银行保险监督管理委员会广东监管局</w:t>
      </w:r>
      <w:r>
        <w:rPr>
          <w:rStyle w:val="37"/>
          <w:rFonts w:hint="eastAsia" w:ascii="仿宋" w:hAnsi="仿宋" w:eastAsia="仿宋" w:cs="仿宋"/>
          <w:i w:val="0"/>
          <w:iCs w:val="0"/>
          <w:caps w:val="0"/>
          <w:color w:val="auto"/>
          <w:spacing w:val="0"/>
          <w:sz w:val="24"/>
          <w:szCs w:val="24"/>
          <w:highlight w:val="none"/>
          <w:u w:val="none"/>
          <w:shd w:val="clear"/>
        </w:rPr>
        <w:fldChar w:fldCharType="end"/>
      </w:r>
      <w:r>
        <w:rPr>
          <w:rStyle w:val="37"/>
          <w:rFonts w:hint="eastAsia" w:ascii="仿宋" w:hAnsi="仿宋" w:eastAsia="仿宋" w:cs="仿宋"/>
          <w:color w:val="auto"/>
          <w:sz w:val="24"/>
          <w:szCs w:val="24"/>
          <w:highlight w:val="none"/>
        </w:rPr>
        <w:t>关于印发&lt;广州市建设领域施工企业工人工资支付保证金管理办法&gt;的通知》（穗人社规字〔2023〕</w:t>
      </w:r>
      <w:r>
        <w:rPr>
          <w:rStyle w:val="37"/>
          <w:rFonts w:hint="eastAsia" w:ascii="仿宋" w:hAnsi="仿宋" w:eastAsia="仿宋" w:cs="仿宋"/>
          <w:color w:val="auto"/>
          <w:sz w:val="24"/>
          <w:szCs w:val="24"/>
          <w:highlight w:val="none"/>
          <w:lang w:val="en-US" w:eastAsia="zh-CN"/>
        </w:rPr>
        <w:t>1</w:t>
      </w:r>
      <w:r>
        <w:rPr>
          <w:rStyle w:val="37"/>
          <w:rFonts w:hint="eastAsia" w:ascii="仿宋" w:hAnsi="仿宋" w:eastAsia="仿宋" w:cs="仿宋"/>
          <w:color w:val="auto"/>
          <w:sz w:val="24"/>
          <w:szCs w:val="24"/>
          <w:highlight w:val="none"/>
        </w:rPr>
        <w:t>号）等国家及广东省、广州市的有关规定和本合同的有关约定加强其参与本合同工程建设人员（包括农民工）的管理。</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（1）按时足额支付农民工工资</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1）承包人应当根据劳动合同约定的农民工工资标准等内容，按照依法签订的集体合同或劳动合同约定的日期按月支付工资，并不得低于当地最低工资标准。</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2）承包人应每月编制农民工工资支付表，如实记录支付时间、支付对象、支付金额等工资支付情况，并于每月底在其现场管理机构办公场所显眼位置公示，接受监督。</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3）承包人应对其专业分包或劳务分包单位工资支付进行监督，督促其依法支付农民工工资。</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承包人不按合同及有关规定按时、足额支付分包单位合同价款及民工工资而被投诉或上访属实的，发包人将严格按照合同约定追究其违约责任；如因此致使民工集体上访、集聚围阻而造成社会不良影响的，发包人有权终止与承包人的合同，并上报省、市主管部门建议取消其参加广州地区省、市重大项目的投标资格，并由发包人予以公告。如属恶意煽动并造成社会不良影响的，发包人将提请司法部门追究其法律责任。</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由于承包人或其管理的分包单位、劳务合作单位拖欠民工工资，致使发包人被投诉或起诉并被判令先行垫付民工工资的，发包人除追究承包人和其它相关责任单位的违约责任外，还将在工程结算时双倍扣回发包人先行垫付的民工工资金额作为补偿。</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（2）成立处理劳资纠纷的协调机构</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必须成立处理劳资纠纷的协调机构，承包人主管领导和项目经理要亲自负责，配备专职人员，及时化解劳资矛盾及纠纷，并及时揭露、制止恶意煽动民工集体上访、集聚围阻的行为，保证不发生民工集体上访、集聚围阻等事件。</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20.12承包人在投标时已充分考虑了工程的特殊性，针对工期紧、任务重。结合自身条件，为顺利安全完工做了充足预案。在施工期间，承包人不得以赶工为理由增加工程费用及工期，需按照合同约定的工期完成。</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20.13中标候选人在确定身份后，需立即做好施工进场准备。针对工期进行周密部署；安排充足的人工、机械设备、材料，合理的周转资金。充分利用项目场地的空间开展相关工作。在发包人通知开工时，立即进场施工。</w:t>
      </w:r>
    </w:p>
    <w:p>
      <w:pPr>
        <w:spacing w:before="0" w:after="0" w:line="312" w:lineRule="auto"/>
        <w:ind w:firstLine="480" w:firstLineChars="200"/>
        <w:outlineLvl w:val="9"/>
        <w:rPr>
          <w:rStyle w:val="37"/>
          <w:rFonts w:ascii="仿宋" w:hAnsi="仿宋" w:eastAsia="仿宋" w:cs="仿宋"/>
          <w:b w:val="0"/>
          <w:bCs/>
          <w:color w:val="auto"/>
          <w:kern w:val="2"/>
          <w:sz w:val="24"/>
          <w:szCs w:val="24"/>
          <w:highlight w:val="none"/>
        </w:rPr>
      </w:pPr>
      <w:r>
        <w:rPr>
          <w:rStyle w:val="37"/>
          <w:rFonts w:ascii="仿宋" w:hAnsi="仿宋" w:eastAsia="仿宋" w:cs="仿宋"/>
          <w:b w:val="0"/>
          <w:bCs/>
          <w:color w:val="auto"/>
          <w:kern w:val="2"/>
          <w:sz w:val="24"/>
          <w:szCs w:val="24"/>
          <w:highlight w:val="none"/>
        </w:rPr>
        <w:t xml:space="preserve">20.14 </w:t>
      </w:r>
      <w:r>
        <w:rPr>
          <w:rStyle w:val="37"/>
          <w:rFonts w:hint="eastAsia" w:ascii="仿宋" w:hAnsi="仿宋" w:eastAsia="仿宋" w:cs="仿宋"/>
          <w:b w:val="0"/>
          <w:bCs/>
          <w:color w:val="auto"/>
          <w:kern w:val="2"/>
          <w:sz w:val="24"/>
          <w:szCs w:val="24"/>
          <w:highlight w:val="none"/>
        </w:rPr>
        <w:t>承包人必须执行发包人现行的各项工程管理指引文件。</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45" w:name="_Toc14131"/>
      <w:bookmarkStart w:id="846" w:name="_Toc3895"/>
      <w:bookmarkStart w:id="847" w:name="_Toc11137"/>
      <w:bookmarkStart w:id="848" w:name="_Toc12064"/>
      <w:r>
        <w:rPr>
          <w:rFonts w:hint="eastAsia" w:ascii="仿宋" w:hAnsi="仿宋" w:eastAsia="仿宋" w:cs="仿宋"/>
          <w:b/>
          <w:bCs/>
          <w:color w:val="auto"/>
          <w:sz w:val="24"/>
          <w:szCs w:val="24"/>
          <w:highlight w:val="none"/>
        </w:rPr>
        <w:t>22 发包人代表</w:t>
      </w:r>
      <w:bookmarkEnd w:id="845"/>
      <w:bookmarkEnd w:id="846"/>
      <w:bookmarkEnd w:id="847"/>
      <w:bookmarkEnd w:id="848"/>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22.1 发包人代表及其权力的限制</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（1）发包人任命（     </w:t>
      </w:r>
      <w:r>
        <w:rPr>
          <w:rStyle w:val="37"/>
          <w:rFonts w:hint="eastAsia" w:ascii="仿宋" w:hAnsi="仿宋" w:eastAsia="仿宋" w:cs="仿宋"/>
          <w:color w:val="auto"/>
          <w:sz w:val="24"/>
          <w:szCs w:val="24"/>
          <w:highlight w:val="none"/>
          <w:lang w:val="en-US" w:eastAsia="zh-CN"/>
        </w:rPr>
        <w:t xml:space="preserve"> </w:t>
      </w:r>
      <w:r>
        <w:rPr>
          <w:rStyle w:val="37"/>
          <w:rFonts w:hint="eastAsia" w:ascii="仿宋" w:hAnsi="仿宋" w:eastAsia="仿宋" w:cs="仿宋"/>
          <w:color w:val="auto"/>
          <w:sz w:val="24"/>
          <w:szCs w:val="24"/>
          <w:highlight w:val="none"/>
        </w:rPr>
        <w:t xml:space="preserve">   ）为发包人代表，其联络通讯地址如下：</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通讯地址：广州市天河区黄埔大道中300号17楼  邮政编码：510655</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联系电话： </w:t>
      </w:r>
      <w:r>
        <w:rPr>
          <w:rStyle w:val="37"/>
          <w:rFonts w:hint="eastAsia" w:ascii="仿宋" w:hAnsi="仿宋" w:eastAsia="仿宋" w:cs="仿宋"/>
          <w:color w:val="auto"/>
          <w:sz w:val="24"/>
          <w:szCs w:val="24"/>
          <w:highlight w:val="none"/>
          <w:lang w:val="en-US" w:eastAsia="zh-CN"/>
        </w:rPr>
        <w:t xml:space="preserve">         </w:t>
      </w:r>
      <w:r>
        <w:rPr>
          <w:rStyle w:val="37"/>
          <w:rFonts w:hint="eastAsia" w:ascii="仿宋" w:hAnsi="仿宋" w:eastAsia="仿宋" w:cs="仿宋"/>
          <w:color w:val="auto"/>
          <w:sz w:val="24"/>
          <w:szCs w:val="24"/>
          <w:highlight w:val="none"/>
        </w:rPr>
        <w:t xml:space="preserve">    传真号码：</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发包人对发包人代表权力做如下限制：代表发包人监督检查工程施工进度、质量、安全文明施工，负责现场有关经济和技术方面的签证及与发包人相关的现场协调工作。与本工程相关的文件、资料须由发包人盖章确认后方可生效。发包人调整现场代表职责范围时，提前7天通知承包人。</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49" w:name="_Toc4890"/>
      <w:bookmarkStart w:id="850" w:name="_Toc20871"/>
      <w:bookmarkStart w:id="851" w:name="_Toc17973"/>
      <w:bookmarkStart w:id="852" w:name="_Toc10235"/>
      <w:r>
        <w:rPr>
          <w:rFonts w:hint="eastAsia" w:ascii="仿宋" w:hAnsi="仿宋" w:eastAsia="仿宋" w:cs="仿宋"/>
          <w:b/>
          <w:bCs/>
          <w:color w:val="auto"/>
          <w:sz w:val="24"/>
          <w:szCs w:val="24"/>
          <w:highlight w:val="none"/>
        </w:rPr>
        <w:t>23 监理工程师</w:t>
      </w:r>
      <w:bookmarkEnd w:id="849"/>
      <w:bookmarkEnd w:id="850"/>
      <w:bookmarkEnd w:id="851"/>
      <w:bookmarkEnd w:id="852"/>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23.1 负责合同工程的监理单位及任命的监理工程师</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（1）监理单位：</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u w:val="single"/>
          <w:lang w:val="en-US" w:eastAsia="zh-CN"/>
        </w:rPr>
        <w:t xml:space="preserve">                         </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法定代表人：</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 xml:space="preserve">     </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（2）任命（           ）为总监理工程师，其联络通讯地址如下：</w:t>
      </w:r>
    </w:p>
    <w:p>
      <w:pPr>
        <w:tabs>
          <w:tab w:val="left" w:pos="3260"/>
          <w:tab w:val="left" w:pos="5980"/>
          <w:tab w:val="left" w:pos="8505"/>
        </w:tabs>
        <w:spacing w:line="312" w:lineRule="auto"/>
        <w:ind w:right="-99"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通讯地址：</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邮政编码：</w:t>
      </w:r>
      <w:r>
        <w:rPr>
          <w:rStyle w:val="37"/>
          <w:rFonts w:hint="eastAsia" w:ascii="仿宋" w:hAnsi="仿宋" w:eastAsia="仿宋" w:cs="仿宋"/>
          <w:color w:val="auto"/>
          <w:sz w:val="24"/>
          <w:szCs w:val="24"/>
          <w:highlight w:val="none"/>
          <w:u w:val="single"/>
        </w:rPr>
        <w:t xml:space="preserve">         </w:t>
      </w:r>
    </w:p>
    <w:p>
      <w:pPr>
        <w:tabs>
          <w:tab w:val="left" w:pos="3260"/>
          <w:tab w:val="left" w:pos="5980"/>
        </w:tabs>
        <w:spacing w:line="312" w:lineRule="auto"/>
        <w:ind w:right="1442"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联系电话：</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传真号码：</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（3）监理单位的职责以发包人与监理单位签订的《委托监理合同》为准。</w:t>
      </w:r>
    </w:p>
    <w:p>
      <w:pPr>
        <w:tabs>
          <w:tab w:val="left" w:pos="1240"/>
        </w:tabs>
        <w:spacing w:line="312" w:lineRule="auto"/>
        <w:ind w:right="-20"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23.4 监理工程师指令：监理工程师应按照合同约定时间向承包人提供实施合同工程的进度、质量和安全工作所需的批准、确认和通知等指令。</w:t>
      </w:r>
    </w:p>
    <w:p>
      <w:pPr>
        <w:tabs>
          <w:tab w:val="left" w:pos="1240"/>
        </w:tabs>
        <w:spacing w:line="312" w:lineRule="auto"/>
        <w:ind w:right="-20"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监理工程师提供的指令，均应采用书面形式。在紧急情况下，监理工程师可以当场发出口头指令，承包人应遵照执行。承包人在收到上述口头指令后24小时内，应向监理工程师发出书面确认函。若监理工程师在收到书面确认函后24小时内未予答复，该口头指令应被视为监理工程师的正式指令。由于监理工程师指令错误而延误工期的，工程顺延情形只适用于一般节点工期。</w:t>
      </w:r>
    </w:p>
    <w:p>
      <w:pPr>
        <w:tabs>
          <w:tab w:val="left" w:pos="1240"/>
        </w:tabs>
        <w:spacing w:line="312" w:lineRule="auto"/>
        <w:ind w:right="-20"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23.7 监理工程师未尽义务或失误的责任：由于监理工程师未能按合同约定履行义务造成工期延误的，工期顺延情形只适用于一般节点工期。</w:t>
      </w:r>
    </w:p>
    <w:p>
      <w:pPr>
        <w:tabs>
          <w:tab w:val="left" w:pos="1240"/>
        </w:tabs>
        <w:spacing w:line="312" w:lineRule="auto"/>
        <w:ind w:right="-20" w:firstLine="48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承包人与发包人一致同意增加第23.8款至第23.9款</w:t>
      </w:r>
    </w:p>
    <w:p>
      <w:pPr>
        <w:tabs>
          <w:tab w:val="left" w:pos="1240"/>
        </w:tabs>
        <w:spacing w:line="312" w:lineRule="auto"/>
        <w:ind w:right="-20"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23.8 除特别指明外，监理工程师对承包人的任何工作、工程或其采用的材料和设备未提出否定意见的，不应视为已获批准，也不影响监理工程师在以后拒绝该项工作、工程、材料设备的权力。</w:t>
      </w:r>
    </w:p>
    <w:p>
      <w:pPr>
        <w:tabs>
          <w:tab w:val="left" w:pos="1240"/>
        </w:tabs>
        <w:spacing w:line="312" w:lineRule="auto"/>
        <w:ind w:right="-20"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23.9 监理工程师的指令应由本工程总监理工程师的签名盖章，并加盖监理机构章。</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853" w:name="_Toc22970"/>
      <w:bookmarkStart w:id="854" w:name="_Toc10301"/>
      <w:bookmarkStart w:id="855" w:name="_Toc21203"/>
      <w:bookmarkStart w:id="856" w:name="_Toc3928"/>
      <w:r>
        <w:rPr>
          <w:rFonts w:hint="eastAsia" w:ascii="仿宋" w:hAnsi="仿宋" w:eastAsia="仿宋" w:cs="仿宋"/>
          <w:b/>
          <w:bCs/>
          <w:color w:val="auto"/>
          <w:sz w:val="24"/>
          <w:szCs w:val="24"/>
          <w:highlight w:val="none"/>
        </w:rPr>
        <w:t>24 造价工程师</w:t>
      </w:r>
      <w:bookmarkEnd w:id="853"/>
      <w:bookmarkEnd w:id="854"/>
      <w:bookmarkEnd w:id="855"/>
      <w:bookmarkEnd w:id="856"/>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24.1 负责合同工程的造价咨询单位及任命的造价工程师</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(1)造价咨询单位：    </w:t>
      </w:r>
      <w:r>
        <w:rPr>
          <w:rStyle w:val="37"/>
          <w:rFonts w:hint="eastAsia" w:ascii="仿宋" w:hAnsi="仿宋" w:eastAsia="仿宋" w:cs="仿宋"/>
          <w:color w:val="auto"/>
          <w:sz w:val="24"/>
          <w:szCs w:val="24"/>
          <w:highlight w:val="none"/>
          <w:lang w:val="en-US" w:eastAsia="zh-CN"/>
        </w:rPr>
        <w:t>/</w:t>
      </w:r>
      <w:r>
        <w:rPr>
          <w:rStyle w:val="37"/>
          <w:rFonts w:hint="eastAsia" w:ascii="仿宋" w:hAnsi="仿宋" w:eastAsia="仿宋" w:cs="仿宋"/>
          <w:color w:val="auto"/>
          <w:sz w:val="24"/>
          <w:szCs w:val="24"/>
          <w:highlight w:val="none"/>
        </w:rPr>
        <w:t xml:space="preserve">        法定代表人：</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(2)任命（     ）为造价工程师，其联络通讯地址如下:</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通讯地址：</w:t>
      </w:r>
      <w:r>
        <w:rPr>
          <w:rStyle w:val="37"/>
          <w:rFonts w:hint="eastAsia" w:ascii="仿宋" w:hAnsi="仿宋" w:eastAsia="仿宋" w:cs="仿宋"/>
          <w:color w:val="auto"/>
          <w:sz w:val="24"/>
          <w:szCs w:val="24"/>
          <w:highlight w:val="none"/>
          <w:lang w:val="en-US" w:eastAsia="zh-CN"/>
        </w:rPr>
        <w:t xml:space="preserve">         </w:t>
      </w:r>
      <w:r>
        <w:rPr>
          <w:rStyle w:val="37"/>
          <w:rFonts w:hint="eastAsia" w:ascii="仿宋" w:hAnsi="仿宋" w:eastAsia="仿宋" w:cs="仿宋"/>
          <w:color w:val="auto"/>
          <w:sz w:val="24"/>
          <w:szCs w:val="24"/>
          <w:highlight w:val="none"/>
        </w:rPr>
        <w:t>邮政编码：</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联系电话：</w:t>
      </w:r>
      <w:r>
        <w:rPr>
          <w:rStyle w:val="37"/>
          <w:rFonts w:hint="eastAsia" w:ascii="仿宋" w:hAnsi="仿宋" w:eastAsia="仿宋" w:cs="仿宋"/>
          <w:color w:val="auto"/>
          <w:sz w:val="24"/>
          <w:szCs w:val="24"/>
          <w:highlight w:val="none"/>
          <w:lang w:val="en-US" w:eastAsia="zh-CN"/>
        </w:rPr>
        <w:t xml:space="preserve">         </w:t>
      </w:r>
      <w:r>
        <w:rPr>
          <w:rStyle w:val="37"/>
          <w:rFonts w:hint="eastAsia" w:ascii="仿宋" w:hAnsi="仿宋" w:eastAsia="仿宋" w:cs="仿宋"/>
          <w:color w:val="auto"/>
          <w:sz w:val="24"/>
          <w:szCs w:val="24"/>
          <w:highlight w:val="none"/>
        </w:rPr>
        <w:t>传真号码：</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24.3</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（7）需要发包人批准的其他事项：</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857" w:name="_Toc11369"/>
      <w:bookmarkStart w:id="858" w:name="_Toc20217"/>
      <w:bookmarkStart w:id="859" w:name="_Toc763"/>
      <w:bookmarkStart w:id="860" w:name="_Toc23966"/>
      <w:r>
        <w:rPr>
          <w:rFonts w:hint="eastAsia" w:ascii="仿宋" w:hAnsi="仿宋" w:eastAsia="仿宋" w:cs="仿宋"/>
          <w:b/>
          <w:bCs/>
          <w:color w:val="auto"/>
          <w:sz w:val="24"/>
          <w:szCs w:val="24"/>
          <w:highlight w:val="none"/>
        </w:rPr>
        <w:t>25 承包人代表</w:t>
      </w:r>
      <w:bookmarkEnd w:id="857"/>
      <w:bookmarkEnd w:id="858"/>
      <w:bookmarkEnd w:id="859"/>
      <w:bookmarkEnd w:id="860"/>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25.1承包人任命（    ）为承包人代表，其联络通讯地址如下：</w:t>
      </w:r>
    </w:p>
    <w:p>
      <w:pPr>
        <w:tabs>
          <w:tab w:val="left" w:pos="1240"/>
        </w:tabs>
        <w:spacing w:line="312" w:lineRule="auto"/>
        <w:ind w:left="479" w:leftChars="228" w:right="-2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通讯地址：                         邮政编码：                 </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联系电话：                         传真号码：</w:t>
      </w:r>
    </w:p>
    <w:p>
      <w:pPr>
        <w:spacing w:line="312" w:lineRule="auto"/>
        <w:ind w:firstLine="48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承包人与发包人一致同意增加第25.5款</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25.5承包人投标时所报项目经理即为本工程的承包人代表。如需更换承包人代表，应具备下列条件：</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（1）新更换的承包人代表具有的专业（执业）资格等级、资历、业绩、实际工作能力必须高于或相当于投标时所报项目经理的素质。</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（2）不能同时在其他工程项目中服务。</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（3）至少提前7天以书面形式通知发包人，并征得发包人书面同意。</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（4）承包人应保证承包人代表人选的稳定，原则上只允许更换一次，否则按专用条款第90.6（3）款的约定承担违反投标承诺的违约责任（本合同另有约定的除外）。</w:t>
      </w:r>
    </w:p>
    <w:p>
      <w:pPr>
        <w:spacing w:line="312"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（5）更换承包人代表尚应得到有关政府主管部门的批准。</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61" w:name="_Toc29046"/>
      <w:bookmarkStart w:id="862" w:name="_Toc6536"/>
      <w:bookmarkStart w:id="863" w:name="_Toc10151"/>
      <w:bookmarkStart w:id="864" w:name="_Toc16659"/>
      <w:r>
        <w:rPr>
          <w:rFonts w:hint="eastAsia" w:ascii="仿宋" w:hAnsi="仿宋" w:eastAsia="仿宋" w:cs="仿宋"/>
          <w:b/>
          <w:bCs/>
          <w:color w:val="auto"/>
          <w:sz w:val="24"/>
          <w:szCs w:val="24"/>
          <w:highlight w:val="none"/>
        </w:rPr>
        <w:t>27 承包人劳务</w:t>
      </w:r>
      <w:bookmarkEnd w:id="861"/>
      <w:bookmarkEnd w:id="862"/>
      <w:bookmarkEnd w:id="863"/>
      <w:bookmarkEnd w:id="864"/>
    </w:p>
    <w:p>
      <w:pPr>
        <w:spacing w:line="312" w:lineRule="auto"/>
        <w:ind w:firstLine="48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承包人与发包人一致同意增加第27.9款至第27.12款：</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27.9 现场管理机构</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（1）承包人必须按照投标文件的承诺建立现场管理机构，严格执行《建设工程项目管理规范》（GB/T503</w:t>
      </w:r>
      <w:r>
        <w:rPr>
          <w:rStyle w:val="37"/>
          <w:rFonts w:hint="eastAsia" w:ascii="仿宋" w:hAnsi="仿宋" w:eastAsia="仿宋" w:cs="仿宋"/>
          <w:color w:val="auto"/>
          <w:sz w:val="24"/>
          <w:szCs w:val="24"/>
          <w:highlight w:val="none"/>
          <w:lang w:val="en-US" w:eastAsia="zh-CN"/>
        </w:rPr>
        <w:t>2</w:t>
      </w:r>
      <w:r>
        <w:rPr>
          <w:rStyle w:val="37"/>
          <w:rFonts w:hint="eastAsia" w:ascii="仿宋" w:hAnsi="仿宋" w:eastAsia="仿宋" w:cs="仿宋"/>
          <w:color w:val="auto"/>
          <w:sz w:val="24"/>
          <w:szCs w:val="24"/>
          <w:highlight w:val="none"/>
        </w:rPr>
        <w:t>6-2017），并积极主动接受建设行政主管部门的监督和检查。</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（2）现场管理机构各部主要技术管理人员在开工前必须全部到位，并接受监理工程师和发包人代表的查验。</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承包人委派的现场管理机构各部主要技术管理人员不得有兼职情况存在，并需接受监理单位的监督。</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27.10 现场管理机构各部主要技术管理人员应与投标文件保持一致，发包人不要求更换时不得更换。因特殊情况需要更换的，承包人应以书面形式向监理单位提出意向（附前任和后任人员的详细履历资料），经总监理工程师签署意见后向发包人提出申请，征得发包人同意后方可更换。承包人必须保证后任人员的资质、资历、业绩、实际工作能力不低于前任人员的素质。</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即使征得发包人同意更换的，承包人仍应按专用条款第90.6（3）款的约定承担违反投标承诺的违约责任（本合同另有约定的除外）。</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更换人员必须履行建设行政主管部门规定的人员变更手续，后任人员继续行使前任的职权，履行前任的义务。</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27.11现场管理机构各部主要技术管理人员的实际工作能力和工作效果达不到招标文件的明确要求或投标文件的承诺或工作态度存在严重不足，不适应现场工作需要，发包人有权向承包人提出撤换。承包人可以提出整改意见，如发包人不予接受或认为整改效果不明显的，则承包人必须在7天内无条件撤换，并按照专用条款第90.6（3）款的约定承担违约责任。所调换来人员的资质、资历、学历、职称、业绩、实际工作能力不低于原投标文件中所承诺人员的素质，否则，按专用条款第90.6（3）款的约定承担违反投标承诺的违约责任。</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发包人要求承包人撤换不合格人员，如承包人既不立即撤换，也不及时提出整改意见，则视同拒绝执行发包人的指令，承包人需按专用条款第90.6（1）款的约定承担违约责任。</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发包人要求承包人以实际工作能力较高的人员调换实际工作能力较低的现场人员，或者承包人主动要求以实际工作能力较高的人员调换实际工作能力较低的现场人员，不免除承包人需承担的违反投标承诺的违约责任。</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27.12 现场管理机构各部主要技术管理人员必须全职在现场办公，不得兼职或者擅自离岗。因特殊情况需短暂离岗的，应当事先报监理工程师及发包人批准，且须妥善安排工作交接，并按以下约定执行：</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（1）离场半天内，须经总监理工程师批准同意；</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（2）离场1天内，须经总监理工程师同意，并经发包人代表批准；</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（3）离场2天以上（含2天），须经总监理工程师及发包人代表同意，并经发包人代表的主管部门领导批准；</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（4）一个月内累计离场时间不得超过5天（经发包人代表的主管部门领导批准的除外）；</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（5）承包人代表不论离场多久，均应经发包人批准。</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承包人若违反上述约定，应按照专用条款第90.6（3）款的约定承担违约责任。</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本合同所称现场办公，是指在工程实施过程中，现场管理机构各部主要技术管理人员必须在施工场地全职上班，履行各自的职责。</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65" w:name="_Toc25173"/>
      <w:bookmarkStart w:id="866" w:name="_Toc24129"/>
      <w:bookmarkStart w:id="867" w:name="_Toc3403"/>
      <w:bookmarkStart w:id="868" w:name="_Toc9719"/>
      <w:r>
        <w:rPr>
          <w:rFonts w:hint="eastAsia" w:ascii="仿宋" w:hAnsi="仿宋" w:eastAsia="仿宋" w:cs="仿宋"/>
          <w:b/>
          <w:bCs/>
          <w:color w:val="auto"/>
          <w:sz w:val="24"/>
          <w:szCs w:val="24"/>
          <w:highlight w:val="none"/>
        </w:rPr>
        <w:t>28 工程担保</w:t>
      </w:r>
      <w:bookmarkEnd w:id="865"/>
      <w:bookmarkEnd w:id="866"/>
      <w:bookmarkEnd w:id="867"/>
      <w:bookmarkEnd w:id="868"/>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28.1 承包人提供履约担保的约定：</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（1）履约担保的金额：承包人提供的履约保证金为中标价款的10%，即 ￥   </w:t>
      </w:r>
      <w:r>
        <w:rPr>
          <w:rStyle w:val="37"/>
          <w:rFonts w:hint="eastAsia" w:ascii="仿宋" w:hAnsi="仿宋" w:eastAsia="仿宋" w:cs="仿宋"/>
          <w:color w:val="auto"/>
          <w:sz w:val="24"/>
          <w:szCs w:val="24"/>
          <w:highlight w:val="none"/>
          <w:lang w:eastAsia="zh-CN"/>
        </w:rPr>
        <w:t xml:space="preserve"> </w:t>
      </w:r>
      <w:r>
        <w:rPr>
          <w:rStyle w:val="37"/>
          <w:rFonts w:hint="eastAsia" w:ascii="仿宋" w:hAnsi="仿宋" w:eastAsia="仿宋" w:cs="仿宋"/>
          <w:color w:val="auto"/>
          <w:sz w:val="24"/>
          <w:szCs w:val="24"/>
          <w:highlight w:val="none"/>
          <w:lang w:val="en-US" w:eastAsia="zh-CN"/>
        </w:rPr>
        <w:t xml:space="preserve"> </w:t>
      </w:r>
      <w:r>
        <w:rPr>
          <w:rStyle w:val="37"/>
          <w:rFonts w:hint="eastAsia" w:ascii="仿宋" w:hAnsi="仿宋" w:eastAsia="仿宋" w:cs="仿宋"/>
          <w:color w:val="auto"/>
          <w:sz w:val="24"/>
          <w:szCs w:val="24"/>
          <w:highlight w:val="none"/>
          <w:lang w:eastAsia="zh-CN"/>
        </w:rPr>
        <w:t xml:space="preserve"> </w:t>
      </w:r>
      <w:r>
        <w:rPr>
          <w:rStyle w:val="37"/>
          <w:rFonts w:hint="eastAsia" w:ascii="仿宋" w:hAnsi="仿宋" w:eastAsia="仿宋" w:cs="仿宋"/>
          <w:color w:val="auto"/>
          <w:sz w:val="24"/>
          <w:szCs w:val="24"/>
          <w:highlight w:val="none"/>
        </w:rPr>
        <w:t xml:space="preserve">  元（人民币大写：</w:t>
      </w:r>
      <w:r>
        <w:rPr>
          <w:rStyle w:val="37"/>
          <w:rFonts w:hint="eastAsia" w:ascii="仿宋" w:hAnsi="仿宋" w:eastAsia="仿宋" w:cs="仿宋"/>
          <w:color w:val="auto"/>
          <w:sz w:val="24"/>
          <w:szCs w:val="24"/>
          <w:highlight w:val="none"/>
          <w:lang w:val="en-US" w:eastAsia="zh-CN"/>
        </w:rPr>
        <w:t xml:space="preserve"> </w:t>
      </w:r>
      <w:r>
        <w:rPr>
          <w:rStyle w:val="37"/>
          <w:rFonts w:hint="eastAsia" w:ascii="仿宋" w:hAnsi="仿宋" w:eastAsia="仿宋" w:cs="仿宋"/>
          <w:color w:val="auto"/>
          <w:sz w:val="24"/>
          <w:szCs w:val="24"/>
          <w:highlight w:val="none"/>
        </w:rPr>
        <w:t xml:space="preserve">       ），提供履约担保所发生的费用由承包人承担。</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（2）履约保函的形式：见索即付的银行保函。</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（3）提供履约担保的时间：自合同签订之日起</w:t>
      </w:r>
      <w:r>
        <w:rPr>
          <w:rStyle w:val="37"/>
          <w:rFonts w:hint="eastAsia" w:ascii="仿宋" w:hAnsi="仿宋" w:eastAsia="仿宋" w:cs="仿宋"/>
          <w:color w:val="auto"/>
          <w:sz w:val="24"/>
          <w:szCs w:val="24"/>
          <w:highlight w:val="none"/>
          <w:lang w:val="en-US" w:eastAsia="zh-CN"/>
        </w:rPr>
        <w:t>20</w:t>
      </w:r>
      <w:r>
        <w:rPr>
          <w:rStyle w:val="37"/>
          <w:rFonts w:hint="eastAsia" w:ascii="仿宋" w:hAnsi="仿宋" w:eastAsia="仿宋" w:cs="仿宋"/>
          <w:color w:val="auto"/>
          <w:sz w:val="24"/>
          <w:szCs w:val="24"/>
          <w:highlight w:val="none"/>
        </w:rPr>
        <w:t>日内。</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履约银行保函的担保期限：从提供履约担保之日起至合同工程完成竣工验收合格之日止。履约保函到期但本项目未完成竣工验收合格时，无论何种原因，承包人承诺无条件续保，如履约保函到期承包人不提供续保则承担一般违约责任。</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（5）承包人如未能在上述约定的时间内提交履约担保的，发包人有权取消承包人中标资格并解除合同,自上述行为书面通知或者在相关网站公示，并抄送行政监督部门后，拒绝在1年内参与我单位后续工程投标。</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28.2履约担保退还时间的约定：在工程竣工验收合格且完成竣工验收后，由承包人提出申请，经监理和发包人同意，退回履约担保（无息）原件。</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28.4发包人提供支付担保的约定：承包人和发包人一致同意发包人无需提供支付担保，本合同通用条款第28.4款至第28.6款不适用。</w:t>
      </w:r>
    </w:p>
    <w:p>
      <w:pPr>
        <w:spacing w:line="312" w:lineRule="auto"/>
        <w:ind w:firstLine="482" w:firstLineChars="200"/>
        <w:jc w:val="left"/>
        <w:textAlignment w:val="auto"/>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承包人与发包人一致同意增加第28.9款至第28.11款：</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28.9 承包人不履行或不完全履行合同义务的行为导致发包人通过履约保函向银行索赔履约保函金额的一部分或者全部的，承包人必须在发包人规定的时间内补充提交履约保函，使得本合同履行期间有效的履约保函金额不低于承包人第一次提交的履约保函金额。</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28.10 承包人不履行或不完全履行合同义务的行为导致发包人扣取履约保证金的一部分或者全部的，承包人必须在发包人规定的时间内补充提交履约保证金，使得本合同履行期间有效的履约保证金金额不低于承包人第一次提交的履约保证金。</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28.11 如果承包人不按发包人的要求及时补充提交履约保函或者履约保证金的，则发包人有权部分解除或解除本合同，并按专用条款第90.3（4）、90.3（5）款及第87.9款、第87.10款、第87.11款的约定执行。</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69" w:name="_Toc19019"/>
      <w:bookmarkStart w:id="870" w:name="_Toc11265"/>
      <w:bookmarkStart w:id="871" w:name="_Toc8253"/>
      <w:bookmarkStart w:id="872" w:name="_Toc29288"/>
      <w:r>
        <w:rPr>
          <w:rFonts w:hint="eastAsia" w:ascii="仿宋" w:hAnsi="仿宋" w:eastAsia="仿宋" w:cs="仿宋"/>
          <w:b/>
          <w:bCs/>
          <w:color w:val="auto"/>
          <w:sz w:val="24"/>
          <w:szCs w:val="24"/>
          <w:highlight w:val="none"/>
        </w:rPr>
        <w:t>31 不可抗力</w:t>
      </w:r>
      <w:bookmarkEnd w:id="869"/>
      <w:bookmarkEnd w:id="870"/>
      <w:bookmarkEnd w:id="871"/>
      <w:bookmarkEnd w:id="872"/>
    </w:p>
    <w:p>
      <w:pPr>
        <w:pStyle w:val="13"/>
        <w:adjustRightInd w:val="0"/>
        <w:snapToGrid w:val="0"/>
        <w:spacing w:line="360" w:lineRule="auto"/>
        <w:ind w:firstLine="548" w:firstLineChars="196"/>
        <w:jc w:val="left"/>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8"/>
          <w:szCs w:val="28"/>
          <w:highlight w:val="none"/>
        </w:rPr>
        <w:t>31.1</w:t>
      </w:r>
      <w:r>
        <w:rPr>
          <w:rStyle w:val="37"/>
          <w:rFonts w:hint="eastAsia" w:ascii="仿宋" w:hAnsi="仿宋" w:eastAsia="仿宋" w:cs="仿宋"/>
          <w:color w:val="auto"/>
          <w:sz w:val="24"/>
          <w:szCs w:val="24"/>
          <w:highlight w:val="none"/>
        </w:rPr>
        <w:t>不可抗力是指合同当事人在签订合同时不可预见，在合同履行过程中不可避免且不能克服的自然灾害和社会性突发事件，如地震、海啸、瘟疫、骚乱、戒严、暴动、战争等。不可抗力的其他情形：政府对本合同工程的政策变化、计划的调整，导致本合同工程不能如期推进，属不可抗力的范围。</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31.3 因不可抗力事件导致的费用，由合同双方当事人按照下列规定承担：</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（1）永久工程本身的损害，由发包人承担。</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在工程竣工验收合格并移交给发包人使用前发生的因工程损害导致的第三方人员伤亡和财产损失，费用由承包人承担；在工程竣工验收合格并移交给发包人使用后发生的因工程损害导致的第三方人员伤亡和财产损失，费用由发包人承担。</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（3）运至施工场地用于施工的材料和待安装的设备的损害，属发包人供应的由发包人承担；属承包人采购的由承包人承担。</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（4）施工场地内的人员伤亡其所在单位负责，并承担相应费用。</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（5）承包人机械设备损坏及停工损失，由承包人承担。</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（6）停工期间，承包人应监理工程师要求留在施工场地的必要的管理人员及保卫人员的费用，由承包人承担。</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（7）工程所需清理、修复费用，由承包人承担。</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31.4 不可抗力引起工期的处理：按专用条款第36.2款的有关约定执行。</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73" w:name="_Toc27690"/>
      <w:bookmarkStart w:id="874" w:name="_Toc15410"/>
      <w:bookmarkStart w:id="875" w:name="_Toc13255"/>
      <w:bookmarkStart w:id="876" w:name="_Toc8542"/>
      <w:r>
        <w:rPr>
          <w:rFonts w:hint="eastAsia" w:ascii="仿宋" w:hAnsi="仿宋" w:eastAsia="仿宋" w:cs="仿宋"/>
          <w:b/>
          <w:bCs/>
          <w:color w:val="auto"/>
          <w:sz w:val="24"/>
          <w:szCs w:val="24"/>
          <w:highlight w:val="none"/>
        </w:rPr>
        <w:t>32 保险</w:t>
      </w:r>
      <w:bookmarkEnd w:id="873"/>
      <w:bookmarkEnd w:id="874"/>
      <w:bookmarkEnd w:id="875"/>
      <w:bookmarkEnd w:id="876"/>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32.1 承包人和发包人一致同意不适用合同通用条款第32.1款的约定，代之以：发包人购买的保险：无。</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32.2 承包人办理的保险：应遵守政府相关规定。</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77" w:name="_Toc29502"/>
      <w:bookmarkStart w:id="878" w:name="_Toc3801"/>
      <w:bookmarkStart w:id="879" w:name="_Toc24841"/>
      <w:bookmarkStart w:id="880" w:name="_Toc9057"/>
      <w:r>
        <w:rPr>
          <w:rFonts w:hint="eastAsia" w:ascii="仿宋" w:hAnsi="仿宋" w:eastAsia="仿宋" w:cs="仿宋"/>
          <w:b/>
          <w:bCs/>
          <w:color w:val="auto"/>
          <w:sz w:val="24"/>
          <w:szCs w:val="24"/>
          <w:highlight w:val="none"/>
        </w:rPr>
        <w:t>33 进度计划和报告</w:t>
      </w:r>
      <w:bookmarkEnd w:id="877"/>
      <w:bookmarkEnd w:id="878"/>
      <w:bookmarkEnd w:id="879"/>
      <w:bookmarkEnd w:id="880"/>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33.1 提交进度计划：承包人应于中标通知书发出后15天内向监理工程师提交项目及单位工程的施工组织设计与进度计划。承包人提交的施工组织设计应当包括但不限于以下内容：</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（1）各分部分项工程的完整的施工方案；</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（2）施工资源投入计划，包括：机械设备进场计划、工程材料和物料进场及仓储计划、施工人员进场计划等；</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（3）施工现场平面布置图及施工道路平面图；</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（4）季节性施工措施；</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（5）地下管线及其他地下设施的加固措施；</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（6）保证工期、质量的措施；</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（7）保证安全生产、文明施工、减少扰民、降低环境污染和噪音的措施；</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（8）妥善处理与相邻施工作业现场关系的措施；</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（9）其他与工程施工有关的管理方案、措施。</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编制的工程进度计划内容应全面详实，且应针对施工总承包范围内的各专业平行分包工程及建筑工程的全部或分项施工作业和特点提出施工方法、施工穿插顺序及时间安排，并在各节点位置标注相应的工程量、资金使用计划、人力机械组织及材料消耗量。</w:t>
      </w:r>
    </w:p>
    <w:p>
      <w:pPr>
        <w:spacing w:line="312" w:lineRule="auto"/>
        <w:ind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监理工程师和发包人在接到承包人提交的施工组织设计</w:t>
      </w:r>
      <w:r>
        <w:rPr>
          <w:rFonts w:hint="eastAsia" w:ascii="仿宋" w:hAnsi="仿宋" w:eastAsia="仿宋" w:cs="仿宋"/>
          <w:color w:val="auto"/>
          <w:sz w:val="24"/>
          <w:szCs w:val="24"/>
          <w:highlight w:val="none"/>
        </w:rPr>
        <w:t>（施工方案）</w:t>
      </w:r>
      <w:r>
        <w:rPr>
          <w:rStyle w:val="37"/>
          <w:rFonts w:hint="eastAsia" w:ascii="仿宋" w:hAnsi="仿宋" w:eastAsia="仿宋" w:cs="仿宋"/>
          <w:color w:val="auto"/>
          <w:sz w:val="24"/>
          <w:szCs w:val="24"/>
          <w:highlight w:val="none"/>
        </w:rPr>
        <w:t>和工程进度计划后7天内予以确认或提出修改意见（总监理工程师在4天内审核并签署意见，发包人在3天内审核并签署意见）。逾期既不确认，也不提出书面意见的视为同意，</w:t>
      </w:r>
      <w:r>
        <w:rPr>
          <w:rFonts w:hint="eastAsia" w:ascii="仿宋" w:hAnsi="仿宋" w:eastAsia="仿宋" w:cs="仿宋"/>
          <w:color w:val="auto"/>
          <w:sz w:val="24"/>
          <w:szCs w:val="24"/>
          <w:highlight w:val="none"/>
        </w:rPr>
        <w:t>如发包人或监理工程师对承包人提供的施工组织设计（施工方案）和工程进度计划提出修改意见，承包人应在收到修改意见后3个工作日内完成修改，发包人或监理工程师收到承包人提供的经修改后的施工方案后3个工作日内确认，如该方案仍未能通过，修改所需时间计算在合同工期内。</w:t>
      </w:r>
      <w:r>
        <w:rPr>
          <w:rStyle w:val="37"/>
          <w:rFonts w:hint="eastAsia" w:ascii="仿宋" w:hAnsi="仿宋" w:eastAsia="仿宋" w:cs="仿宋"/>
          <w:color w:val="auto"/>
          <w:sz w:val="24"/>
          <w:szCs w:val="24"/>
          <w:highlight w:val="none"/>
        </w:rPr>
        <w:t>另如遇到有较大安全风险、技术复杂、难度大的施工方案（如深基坑、高支模等），应按政府有关规定召开专家评审会评审。</w:t>
      </w:r>
    </w:p>
    <w:p>
      <w:pPr>
        <w:spacing w:line="276" w:lineRule="auto"/>
        <w:ind w:firstLine="470" w:firstLineChars="196"/>
        <w:rPr>
          <w:rStyle w:val="37"/>
          <w:rFonts w:ascii="仿宋" w:hAnsi="仿宋" w:eastAsia="仿宋" w:cs="仿宋"/>
          <w:b/>
          <w:bCs/>
          <w:color w:val="auto"/>
          <w:highlight w:val="none"/>
          <w:u w:val="single"/>
        </w:rPr>
      </w:pPr>
      <w:r>
        <w:rPr>
          <w:rStyle w:val="37"/>
          <w:rFonts w:hint="eastAsia" w:ascii="仿宋" w:hAnsi="仿宋" w:eastAsia="仿宋" w:cs="仿宋"/>
          <w:color w:val="auto"/>
          <w:sz w:val="24"/>
          <w:szCs w:val="24"/>
          <w:highlight w:val="none"/>
        </w:rPr>
        <w:t>33.4 监理工程师认为本合同工程或其中任何部分工程进度滞后而不能按预定工期完工，应将此情况通知承包人，承包人应据此修改工程进度计划，采取监理工程师同意的必要措施加快工程进度，属承包人原因造成的，则承包人无权要求发包人支付任何附加费用。如承包人未能在监理工程师发布指令后10天内采取有效措施，工程进度仍然无明显改进，发包人有权部分或全部解除合同，将未完工程另行发包给其他有能力的施工单位；承包人必须无条件服从，由此所造成的损失全部由承包人承担。</w:t>
      </w:r>
    </w:p>
    <w:p>
      <w:pPr>
        <w:spacing w:line="276" w:lineRule="auto"/>
        <w:ind w:right="-23" w:firstLine="482" w:firstLineChars="20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承包人和发包人一致同意不适用合同通用条款第34条的约定。代之以：</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81" w:name="_Toc27265"/>
      <w:bookmarkStart w:id="882" w:name="_Toc15941"/>
      <w:bookmarkStart w:id="883" w:name="_Toc935"/>
      <w:bookmarkStart w:id="884" w:name="_Toc1096"/>
      <w:r>
        <w:rPr>
          <w:rFonts w:hint="eastAsia" w:ascii="仿宋" w:hAnsi="仿宋" w:eastAsia="仿宋" w:cs="仿宋"/>
          <w:b/>
          <w:bCs/>
          <w:color w:val="auto"/>
          <w:sz w:val="24"/>
          <w:szCs w:val="24"/>
          <w:highlight w:val="none"/>
        </w:rPr>
        <w:t>34 开工</w:t>
      </w:r>
      <w:bookmarkEnd w:id="881"/>
      <w:bookmarkEnd w:id="882"/>
      <w:bookmarkEnd w:id="883"/>
      <w:bookmarkEnd w:id="884"/>
    </w:p>
    <w:p>
      <w:pPr>
        <w:spacing w:line="276" w:lineRule="auto"/>
        <w:ind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必须在收到发包人进场通知的次日进入施工场地，做好施工准备工作，尽快开工。在工程已具备开工条件，但因承包人自身的原因（包括但不限于项目经理及现场管理机构其他人员尚未到位）而无法实际开工的，经发包人书面同意，监理工程师可以签发开工令，工期开始正式计算，但现场不允许开工；再由总监理工程师发出停工令，待承包人准备妥当后才批准复工。由此产生的工期延误等损失由承包人承担，并按照专用条款第90.7款的有关约定处理。</w:t>
      </w:r>
    </w:p>
    <w:p>
      <w:pPr>
        <w:spacing w:line="360" w:lineRule="auto"/>
        <w:ind w:firstLine="482" w:firstLineChars="200"/>
        <w:rPr>
          <w:rStyle w:val="37"/>
          <w:rFonts w:ascii="仿宋" w:hAnsi="仿宋" w:eastAsia="仿宋" w:cs="仿宋"/>
          <w:color w:val="auto"/>
          <w:sz w:val="24"/>
          <w:szCs w:val="24"/>
          <w:highlight w:val="none"/>
        </w:rPr>
      </w:pPr>
      <w:r>
        <w:rPr>
          <w:rStyle w:val="37"/>
          <w:rFonts w:hint="eastAsia" w:ascii="仿宋" w:hAnsi="仿宋" w:eastAsia="仿宋" w:cs="仿宋"/>
          <w:b/>
          <w:bCs/>
          <w:color w:val="auto"/>
          <w:sz w:val="24"/>
          <w:szCs w:val="24"/>
          <w:highlight w:val="none"/>
        </w:rPr>
        <w:t>承包人和发包人一致同意不适用合同通用条款第35条的约定。代之以：</w:t>
      </w:r>
    </w:p>
    <w:p>
      <w:pPr>
        <w:pStyle w:val="13"/>
        <w:tabs>
          <w:tab w:val="left" w:pos="540"/>
        </w:tabs>
        <w:adjustRightInd w:val="0"/>
        <w:snapToGrid w:val="0"/>
        <w:spacing w:before="312" w:beforeLines="100" w:line="276" w:lineRule="auto"/>
        <w:outlineLvl w:val="2"/>
        <w:rPr>
          <w:rFonts w:ascii="仿宋" w:hAnsi="仿宋" w:eastAsia="仿宋" w:cs="仿宋"/>
          <w:b/>
          <w:bCs/>
          <w:color w:val="auto"/>
          <w:sz w:val="24"/>
          <w:szCs w:val="24"/>
          <w:highlight w:val="none"/>
        </w:rPr>
      </w:pPr>
      <w:bookmarkStart w:id="885" w:name="_Toc4932"/>
      <w:bookmarkStart w:id="886" w:name="_Toc2413"/>
      <w:bookmarkStart w:id="887" w:name="_Toc24837"/>
      <w:bookmarkStart w:id="888" w:name="_Toc30970"/>
      <w:r>
        <w:rPr>
          <w:rFonts w:hint="eastAsia" w:ascii="仿宋" w:hAnsi="仿宋" w:eastAsia="仿宋" w:cs="仿宋"/>
          <w:b/>
          <w:bCs/>
          <w:color w:val="auto"/>
          <w:sz w:val="24"/>
          <w:szCs w:val="24"/>
          <w:highlight w:val="none"/>
        </w:rPr>
        <w:t>35 暂停施工和复工</w:t>
      </w:r>
      <w:bookmarkEnd w:id="885"/>
      <w:bookmarkEnd w:id="886"/>
      <w:bookmarkEnd w:id="887"/>
      <w:bookmarkEnd w:id="888"/>
    </w:p>
    <w:p>
      <w:pPr>
        <w:spacing w:line="276"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35.1 因下列原因，总监理工程师报经发包人同意，可通知承包人暂停施工：</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（1）工程设计发生重大变更；</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（2）不可抗力；</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（3）质量事故；</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（4）安全生产事故。</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承包人不得以与发包人有争议或争议未解决为由而单方面停工，否则，按照专用条款第90.7（2）款的约定承担违约责任。</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因发生上述第（1）、（2）项原因而暂停施工，工期调整适用专用条款第36条的有关约定；因发生上述第（3）、（4）项原因而暂停施工，工期不予顺延，承包人必须承担由此发生的费用，并按专用条款第90.9款、第90.10款的约定向发包人承担违约责任。</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35.2为了保证工程质量安全，凡出现下列情况之一（不限于此）的，总监理工程师有权下达停工令，责令承包人停工整改，由此造成的损失由承包人自行负责，造成工期延误的由承包人按专用条款第90.7款的有关约定承担违约责任：</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（1）拒绝监理单位管理；</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（2）施工组织设计（方案）未获总监理工程师批准而进行施工；</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（3）未经监理单位检验而进行下一道工序作业；</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（4）擅自采用未经监理单位及发包人认可或批准的材料，或者使用的原材料、构配件不合格或未经检查确认，或者擅自采用未经认可的代用材料；</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（5）擅自变更设计图纸的要求；</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（6）转包工程；</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（7）擅自让未经发包人批准的分包单位进场作业；</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（8）存在安全隐患，未按监理单位要求及时进行整改；</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（9）未按双方约定的要求上报所需的资料。</w:t>
      </w:r>
    </w:p>
    <w:p>
      <w:pPr>
        <w:spacing w:line="312" w:lineRule="auto"/>
        <w:ind w:firstLine="482" w:firstLineChars="20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承包人和发包人一致同意不适用合同通用条款第36条的约定，代之以：</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889" w:name="_Toc6312"/>
      <w:bookmarkStart w:id="890" w:name="_Toc24181"/>
      <w:bookmarkStart w:id="891" w:name="_Toc8470"/>
      <w:bookmarkStart w:id="892" w:name="_Toc516"/>
      <w:r>
        <w:rPr>
          <w:rFonts w:hint="eastAsia" w:ascii="仿宋" w:hAnsi="仿宋" w:eastAsia="仿宋" w:cs="仿宋"/>
          <w:b/>
          <w:bCs/>
          <w:color w:val="auto"/>
          <w:sz w:val="24"/>
          <w:szCs w:val="24"/>
          <w:highlight w:val="none"/>
        </w:rPr>
        <w:t>36 工期及工期延误</w:t>
      </w:r>
      <w:bookmarkEnd w:id="889"/>
      <w:bookmarkEnd w:id="890"/>
      <w:bookmarkEnd w:id="891"/>
      <w:bookmarkEnd w:id="892"/>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36.1工期控制与调整</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本合同节点工期分为关键节点工期和一般节点工期两类，承包人必须在施工组织设计文件中分专业详细区分和列明本合同工程总体及各单体工程的关键节点工期和一般节点工期，并报总监理工程师和发包人批准后实施。</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工期调整的原则：对于承包人原因造成的工期延误，工期一概不得顺延；对于非承包人原因造成的工期延误，一般节点工期可以相应顺延，但该顺延以不对关键节点工期和总工期构成不利影响为限。关键节点工期一般不予调整，承包人应当采取合理有效的赶工措施予以消化，而且这些合理有效的赶工措施费已包括在投标总价当中，发包人不予补偿。</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承包人必须在总监理工程师、发包人批准其调整计划后3天内，将调整后的总工期控制计划和关键节点工期调整计划按合同总份数送发包人作为合同附件存档。</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36.2 工期延误的原因及其处理</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（1）非承包人原因造成的工期延误，是指有确凿证据证实因下列原因而直接造成承包人的原定工期计划延误：</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1）不可抗力；</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2）工程设计有重大变更或重大失误，并经总监理工程师确认会造成工期延误的；</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3）发包人延期交付施工场地；</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4）施工图纸供应时间影响工期进度，并经总监理工程师确认的；</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5）发包人不按合同约定支付工程款而影响工期进度，并经总监理工程师确认的；</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6）发包人其他违约行为造成工期延误并经总监理工程师确认的。</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（2）因承包人原因造成的工期延误，工期一概不得顺延。承包人还应当按照专用条款第90.7款的有关约定承担违约责任。</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（3）因承包人对现场组织管理不力或未能提供协调、配合服务，以致专业工程的进度影响工期，承包人不得以此为由提出延长工期的要求。</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36.</w:t>
      </w:r>
      <w:r>
        <w:rPr>
          <w:rStyle w:val="37"/>
          <w:rFonts w:ascii="仿宋" w:hAnsi="仿宋" w:eastAsia="仿宋" w:cs="仿宋"/>
          <w:color w:val="auto"/>
          <w:sz w:val="24"/>
          <w:szCs w:val="24"/>
          <w:highlight w:val="none"/>
        </w:rPr>
        <w:t xml:space="preserve">4 </w:t>
      </w:r>
      <w:r>
        <w:rPr>
          <w:rStyle w:val="37"/>
          <w:rFonts w:hint="eastAsia" w:ascii="仿宋" w:hAnsi="仿宋" w:eastAsia="仿宋" w:cs="仿宋"/>
          <w:color w:val="auto"/>
          <w:sz w:val="24"/>
          <w:szCs w:val="24"/>
          <w:highlight w:val="none"/>
        </w:rPr>
        <w:t>对于非因承包人原因发生的工期延误，承包人应当在工期延误发生后7天内就延误的内容和因此发生的经济支出向发包人提出书面报告；逾期不报告的，发包人不予确认。发包人代表在收到报告后10天内予以确认、答复，逾期不予答复的，承包人即可视为延期要求已被确认。</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36.</w:t>
      </w:r>
      <w:r>
        <w:rPr>
          <w:rStyle w:val="37"/>
          <w:rFonts w:ascii="仿宋" w:hAnsi="仿宋" w:eastAsia="仿宋" w:cs="仿宋"/>
          <w:color w:val="auto"/>
          <w:sz w:val="24"/>
          <w:szCs w:val="24"/>
          <w:highlight w:val="none"/>
        </w:rPr>
        <w:t>5</w:t>
      </w:r>
      <w:r>
        <w:rPr>
          <w:rStyle w:val="37"/>
          <w:rFonts w:hint="eastAsia" w:ascii="仿宋" w:hAnsi="仿宋" w:eastAsia="仿宋" w:cs="仿宋"/>
          <w:color w:val="auto"/>
          <w:sz w:val="24"/>
          <w:szCs w:val="24"/>
          <w:highlight w:val="none"/>
        </w:rPr>
        <w:t xml:space="preserve"> 承包人必须采取一切有效措施保证按照合同协议书约定或者发包人根据工程实施情况调整的竣工日期竣工，不得延误，除非发生了以下情形：</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（1）政府对本合同工程建设项目作出停建、缓建的决定；</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（2）重大设计变更导致本合同工程在规划、使用、功能方面有重大调整；</w:t>
      </w:r>
    </w:p>
    <w:p>
      <w:pPr>
        <w:tabs>
          <w:tab w:val="left" w:pos="508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（3）非因承包人原因造成关键节点工期延误达到30天以上。</w:t>
      </w:r>
    </w:p>
    <w:p>
      <w:pPr>
        <w:spacing w:line="312" w:lineRule="auto"/>
        <w:ind w:firstLine="480" w:firstLineChars="200"/>
        <w:jc w:val="left"/>
        <w:textAlignment w:val="auto"/>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（4）其他非因承包人原因造成的竣工日期延误。</w:t>
      </w:r>
    </w:p>
    <w:p>
      <w:pPr>
        <w:spacing w:line="312" w:lineRule="auto"/>
        <w:ind w:firstLine="482" w:firstLineChars="200"/>
        <w:jc w:val="left"/>
        <w:textAlignment w:val="auto"/>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承包人与发包人一致同意增加第36.10款：</w:t>
      </w:r>
    </w:p>
    <w:p>
      <w:pPr>
        <w:tabs>
          <w:tab w:val="left" w:pos="508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36.10 监理工程师应在收到承包人按照第36.4款和第36.5款（发生时）规定提交（最终）工期顺延报告和详细资料后的28个日历天内予以核实，或要求承包人进一步补充顺延工期的理由，并将核实后结果报发包人批准。合同双方当事人一旦协商确定顺延的工期，将作为调整工期的依据，但费用不作补偿。</w:t>
      </w:r>
    </w:p>
    <w:p>
      <w:pPr>
        <w:tabs>
          <w:tab w:val="left" w:pos="508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果发包人及监理工程师在收到上述报告和资料后的28天内未予核实也未对承包人作出进一步要求，则视为发包人及监理工程师已认可承包人上述报告中提出的顺延工期天数。如过程中有延期的，承包人需在发生后7日内上报监理、发包人确认，并按照“场平、基坑”、“主体、装饰”、“园建、收尾”三个阶段汇总上报监理、发包人。</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893" w:name="_Toc11042"/>
      <w:bookmarkStart w:id="894" w:name="_Toc30859"/>
      <w:bookmarkStart w:id="895" w:name="_Toc13817"/>
      <w:bookmarkStart w:id="896" w:name="_Toc4185"/>
      <w:r>
        <w:rPr>
          <w:rFonts w:hint="eastAsia" w:ascii="仿宋" w:hAnsi="仿宋" w:eastAsia="仿宋" w:cs="仿宋"/>
          <w:b/>
          <w:bCs/>
          <w:color w:val="auto"/>
          <w:sz w:val="24"/>
          <w:szCs w:val="24"/>
          <w:highlight w:val="none"/>
        </w:rPr>
        <w:t>42 质量</w:t>
      </w:r>
      <w:bookmarkEnd w:id="893"/>
      <w:bookmarkEnd w:id="894"/>
      <w:r>
        <w:rPr>
          <w:rFonts w:hint="eastAsia" w:ascii="仿宋" w:hAnsi="仿宋" w:eastAsia="仿宋" w:cs="仿宋"/>
          <w:b/>
          <w:bCs/>
          <w:color w:val="auto"/>
          <w:sz w:val="24"/>
          <w:szCs w:val="24"/>
          <w:highlight w:val="none"/>
        </w:rPr>
        <w:t>标准、目标</w:t>
      </w:r>
      <w:bookmarkEnd w:id="895"/>
      <w:bookmarkEnd w:id="896"/>
    </w:p>
    <w:p>
      <w:pPr>
        <w:tabs>
          <w:tab w:val="left" w:pos="1240"/>
        </w:tabs>
        <w:spacing w:line="312" w:lineRule="auto"/>
        <w:ind w:left="581" w:right="-2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42.1</w:t>
      </w:r>
      <w:r>
        <w:rPr>
          <w:rStyle w:val="37"/>
          <w:rFonts w:hint="eastAsia" w:ascii="仿宋" w:hAnsi="仿宋" w:eastAsia="仿宋" w:cs="仿宋"/>
          <w:color w:val="auto"/>
          <w:sz w:val="24"/>
          <w:szCs w:val="24"/>
          <w:highlight w:val="none"/>
        </w:rPr>
        <w:tab/>
      </w:r>
      <w:r>
        <w:rPr>
          <w:rStyle w:val="37"/>
          <w:rFonts w:hint="eastAsia" w:ascii="仿宋" w:hAnsi="仿宋" w:eastAsia="仿宋" w:cs="仿宋"/>
          <w:color w:val="auto"/>
          <w:sz w:val="24"/>
          <w:szCs w:val="24"/>
          <w:highlight w:val="none"/>
        </w:rPr>
        <w:t>工程质量标准</w:t>
      </w:r>
    </w:p>
    <w:p>
      <w:pPr>
        <w:pStyle w:val="24"/>
        <w:pBdr>
          <w:top w:val="none" w:color="auto" w:sz="0" w:space="0"/>
          <w:left w:val="none" w:color="auto" w:sz="0" w:space="0"/>
          <w:bottom w:val="none" w:color="auto" w:sz="0" w:space="0"/>
          <w:right w:val="none" w:color="auto" w:sz="0" w:space="0"/>
        </w:pBdr>
        <w:shd w:val="clear" w:fill="FFFFFF"/>
        <w:spacing w:before="300" w:after="300" w:line="312" w:lineRule="auto"/>
        <w:ind w:right="0" w:firstLine="480" w:firstLineChars="200"/>
        <w:jc w:val="both"/>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（1）本合同工程质量标准为：一次验收合格，并达到协议书约定的质量目标。验收标准以现行《建筑工程施工质量验收统一标准》（GB50300-2013）、</w:t>
      </w: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b/>
          <w:bCs/>
          <w:i w:val="0"/>
          <w:iCs w:val="0"/>
          <w:caps w:val="0"/>
          <w:color w:val="auto"/>
          <w:spacing w:val="0"/>
          <w:sz w:val="24"/>
          <w:szCs w:val="24"/>
          <w:highlight w:val="none"/>
          <w:shd w:val="clear" w:fill="FFFFFF"/>
        </w:rPr>
        <w:t>住房和城乡建设部关于发布国家标准</w:t>
      </w: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b/>
          <w:bCs/>
          <w:i w:val="0"/>
          <w:iCs w:val="0"/>
          <w:caps w:val="0"/>
          <w:color w:val="auto"/>
          <w:spacing w:val="0"/>
          <w:sz w:val="24"/>
          <w:szCs w:val="24"/>
          <w:highlight w:val="none"/>
          <w:shd w:val="clear" w:fill="FFFFFF"/>
        </w:rPr>
        <w:t>建筑与市政工程施工质量控制通用规范</w:t>
      </w:r>
      <w:r>
        <w:rPr>
          <w:rStyle w:val="37"/>
          <w:rFonts w:hint="eastAsia" w:ascii="仿宋" w:hAnsi="仿宋" w:eastAsia="仿宋" w:cs="仿宋"/>
          <w:color w:val="auto"/>
          <w:sz w:val="24"/>
          <w:szCs w:val="24"/>
          <w:highlight w:val="none"/>
          <w:lang w:eastAsia="zh-CN"/>
        </w:rPr>
        <w:t>〉</w:t>
      </w:r>
      <w:r>
        <w:rPr>
          <w:rStyle w:val="37"/>
          <w:rFonts w:hint="eastAsia" w:ascii="仿宋" w:hAnsi="仿宋" w:eastAsia="仿宋" w:cs="仿宋"/>
          <w:b/>
          <w:bCs/>
          <w:i w:val="0"/>
          <w:iCs w:val="0"/>
          <w:caps w:val="0"/>
          <w:color w:val="auto"/>
          <w:spacing w:val="0"/>
          <w:sz w:val="24"/>
          <w:szCs w:val="24"/>
          <w:highlight w:val="none"/>
          <w:shd w:val="clear" w:fill="FFFFFF"/>
        </w:rPr>
        <w:t>的公告</w:t>
      </w:r>
      <w:r>
        <w:rPr>
          <w:rStyle w:val="37"/>
          <w:rFonts w:hint="eastAsia" w:ascii="仿宋" w:hAnsi="仿宋" w:eastAsia="仿宋" w:cs="仿宋"/>
          <w:b w:val="0"/>
          <w:bCs w:val="0"/>
          <w:i w:val="0"/>
          <w:iCs w:val="0"/>
          <w:caps w:val="0"/>
          <w:color w:val="auto"/>
          <w:spacing w:val="0"/>
          <w:sz w:val="24"/>
          <w:szCs w:val="24"/>
          <w:highlight w:val="none"/>
          <w:shd w:val="clear" w:fill="FFFFFF"/>
        </w:rPr>
        <w:t>》</w:t>
      </w:r>
      <w:r>
        <w:rPr>
          <w:rStyle w:val="37"/>
          <w:rFonts w:hint="eastAsia" w:ascii="仿宋" w:hAnsi="仿宋" w:eastAsia="仿宋" w:cs="仿宋"/>
          <w:b w:val="0"/>
          <w:bCs w:val="0"/>
          <w:i w:val="0"/>
          <w:iCs w:val="0"/>
          <w:caps w:val="0"/>
          <w:color w:val="auto"/>
          <w:spacing w:val="0"/>
          <w:sz w:val="24"/>
          <w:szCs w:val="24"/>
          <w:highlight w:val="none"/>
          <w:shd w:val="clear" w:fill="FFFFFF"/>
          <w:lang w:eastAsia="zh-CN"/>
        </w:rPr>
        <w:t>（</w:t>
      </w:r>
      <w:r>
        <w:rPr>
          <w:rStyle w:val="37"/>
          <w:rFonts w:hint="eastAsia" w:ascii="仿宋" w:hAnsi="仿宋" w:eastAsia="仿宋" w:cs="仿宋"/>
          <w:i w:val="0"/>
          <w:iCs w:val="0"/>
          <w:caps w:val="0"/>
          <w:color w:val="auto"/>
          <w:spacing w:val="0"/>
          <w:sz w:val="24"/>
          <w:szCs w:val="24"/>
          <w:highlight w:val="none"/>
          <w:shd w:val="clear" w:fill="FFFFFF"/>
        </w:rPr>
        <w:t>住房和城乡建设部公告2022年第117号</w:t>
      </w:r>
      <w:r>
        <w:rPr>
          <w:rStyle w:val="37"/>
          <w:rFonts w:hint="eastAsia" w:ascii="仿宋" w:hAnsi="仿宋" w:eastAsia="仿宋" w:cs="仿宋"/>
          <w:b w:val="0"/>
          <w:bCs w:val="0"/>
          <w:i w:val="0"/>
          <w:iCs w:val="0"/>
          <w:caps w:val="0"/>
          <w:color w:val="auto"/>
          <w:spacing w:val="0"/>
          <w:sz w:val="24"/>
          <w:szCs w:val="24"/>
          <w:highlight w:val="none"/>
          <w:shd w:val="clear" w:fill="FFFFFF"/>
          <w:lang w:eastAsia="zh-CN"/>
        </w:rPr>
        <w:t>）、</w:t>
      </w:r>
      <w:r>
        <w:rPr>
          <w:rStyle w:val="37"/>
          <w:rFonts w:hint="eastAsia" w:ascii="仿宋" w:hAnsi="仿宋" w:eastAsia="仿宋" w:cs="仿宋"/>
          <w:color w:val="auto"/>
          <w:sz w:val="24"/>
          <w:szCs w:val="24"/>
          <w:highlight w:val="none"/>
        </w:rPr>
        <w:t>《建筑结构加固工程施工质量验收规范》（GB50550-2010）、《城镇道路工程施工与质量验收规范》（CJJ 1-2008）、</w:t>
      </w:r>
      <w:r>
        <w:rPr>
          <w:rFonts w:hint="eastAsia" w:ascii="仿宋" w:hAnsi="仿宋" w:eastAsia="仿宋" w:cs="仿宋"/>
          <w:color w:val="auto"/>
          <w:sz w:val="24"/>
          <w:szCs w:val="24"/>
          <w:highlight w:val="none"/>
        </w:rPr>
        <w:t>《城市桥梁工程施工与质量验收规范》（CJJ 2-2008）等</w:t>
      </w:r>
      <w:r>
        <w:rPr>
          <w:rStyle w:val="37"/>
          <w:rFonts w:hint="eastAsia" w:ascii="仿宋" w:hAnsi="仿宋" w:eastAsia="仿宋" w:cs="仿宋"/>
          <w:color w:val="auto"/>
          <w:sz w:val="24"/>
          <w:szCs w:val="24"/>
          <w:highlight w:val="none"/>
        </w:rPr>
        <w:t>系列各专业验收规范为依据。</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（2）承包人必须确保工程一次验收合格。因承包人原因致工程未一次验收合格并导致工程不能按计划工期办理竣工验收的，由承包人按照专用条款第90.7（5）款的约定承担违约责任。</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42.3 质量保证体系</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承包人应当完善质量管理制度，建立质量控制流程，进行全面质量管理（TQC），以《质量管理体系标准》（GB/T 19000）为标准，建立并保持一个有效的工程质量管理体系。为此，承包人必须做到但不限于：</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建立完整的质量保证体系，委派专人负责工程质量管理，现场管理机构、工区（段）设有专职质检人员，班组设质检员，必须附有项目架构人员名单，各类人员必须持有上岗资格证，于本合同签订后5天内将上述人员报总监理工程师备查。承包人还应建立并完善各项目质量管理检查制度及企业质量管理文件等。</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提交总监理工程师批准的施工组织设计或者施工方案必须附有完备的工程质量保证措施，包括：工程质量预控措施，工序质量控制点，工程的标准工艺流程图和技术、组织措施，制造工程各分部、分项的关键工序、特殊工序控制、及样板间制度。重点分部（项）工程的施工方法，材料、制品试件取样及送检试验的方法或检测方案，成品保护的措施和方法，质量报表和质量事故的报告制度等等。</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（3）单项工程开工前，承包人必须按要求对职工分级进行技术交底，组织学习有关规程、标准、规范和工艺要求（规程包括但不限于施工企业标准和作业指导书），在施工中必须按规程及工艺进行操作等。</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单项工程和重要部位必须遵循先试验后铺开施工的程序，开工前承包人应熟悉施工图纸会审和设计变更内容并完成施工组织设计和必要的施工准备，送总监理工程师审查批准后方可进行试验性施工，完工后由总监理工程师检验，符合要求后才能铺开施工或者批量生产。</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（5）按现行国家规范和标准有关规定对标准产品进场100%见证检试验，并按主管部门的要求进行监督抽检试验。结构混凝土试件必须按要求落实同条件养护试件送检。</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42.4 工程质量有争议的处理</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双方对工程质量有争议，同意依据《城镇道路工程施工与质量验收规范》（CJJ 1-2008）系列各专业验收规范及设计文件等，由建设工程所在地工程质量监督部门鉴定。</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897" w:name="_Toc20131"/>
      <w:bookmarkStart w:id="898" w:name="_Toc21648"/>
      <w:bookmarkStart w:id="899" w:name="_Toc12847"/>
      <w:bookmarkStart w:id="900" w:name="_Toc20761"/>
      <w:r>
        <w:rPr>
          <w:rFonts w:hint="eastAsia" w:ascii="仿宋" w:hAnsi="仿宋" w:eastAsia="仿宋" w:cs="仿宋"/>
          <w:b/>
          <w:bCs/>
          <w:color w:val="auto"/>
          <w:sz w:val="24"/>
          <w:szCs w:val="24"/>
          <w:highlight w:val="none"/>
        </w:rPr>
        <w:t>45 绿色施工安全防护</w:t>
      </w:r>
      <w:bookmarkEnd w:id="897"/>
      <w:bookmarkEnd w:id="898"/>
      <w:bookmarkEnd w:id="899"/>
      <w:bookmarkEnd w:id="900"/>
    </w:p>
    <w:p>
      <w:pPr>
        <w:tabs>
          <w:tab w:val="left" w:pos="1240"/>
        </w:tabs>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45.1 </w:t>
      </w:r>
      <w:r>
        <w:rPr>
          <w:rFonts w:hint="eastAsia" w:ascii="仿宋" w:hAnsi="仿宋" w:eastAsia="仿宋" w:cs="仿宋"/>
          <w:b/>
          <w:bCs/>
          <w:color w:val="auto"/>
          <w:sz w:val="24"/>
          <w:szCs w:val="24"/>
          <w:highlight w:val="none"/>
        </w:rPr>
        <w:t>绿色施工安全防护</w:t>
      </w:r>
      <w:r>
        <w:rPr>
          <w:rFonts w:hint="eastAsia" w:ascii="仿宋" w:hAnsi="仿宋" w:eastAsia="仿宋" w:cs="仿宋"/>
          <w:color w:val="auto"/>
          <w:sz w:val="24"/>
          <w:szCs w:val="24"/>
          <w:highlight w:val="none"/>
        </w:rPr>
        <w:t>的要求补充内容：</w:t>
      </w:r>
    </w:p>
    <w:p>
      <w:pPr>
        <w:tabs>
          <w:tab w:val="left" w:pos="1240"/>
        </w:tabs>
        <w:autoSpaceDE w:val="0"/>
        <w:autoSpaceDN w:val="0"/>
        <w:adjustRightInd w:val="0"/>
        <w:spacing w:line="312" w:lineRule="auto"/>
        <w:ind w:right="-20"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承包人应执行《建筑施工安全检查标准》（JGJ59-2011）、《住房和城乡建设部关于修改部分部门规章的决定》（住房和城乡建设部令第47号）、《广州市城市道路临时占用管理办法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2019修订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广州市建设工程现场文明施工管理办法》（穗建质〔2008〕937号）、《关于规范建筑施工安全管理标准的通知》（穗建筑〔2005〕652号）、《广州市建设工程绿色施工围蔽指导图集（v2.0）》（穗建质〔2020〕1号）及现行的省、市关于安全文明施工的相关规定。</w:t>
      </w:r>
    </w:p>
    <w:p>
      <w:pPr>
        <w:tabs>
          <w:tab w:val="left" w:pos="1240"/>
        </w:tabs>
        <w:autoSpaceDE w:val="0"/>
        <w:autoSpaceDN w:val="0"/>
        <w:adjustRightInd w:val="0"/>
        <w:spacing w:line="312" w:lineRule="auto"/>
        <w:ind w:right="-20"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承包人须按照文件要求结合工程实际情况分别编制工程安全生产措施和文明施工措施专项方案，明确相关措施的内容和标准，报监理单位审批后再报发包人备查。</w:t>
      </w:r>
    </w:p>
    <w:p>
      <w:pPr>
        <w:tabs>
          <w:tab w:val="left" w:pos="1240"/>
        </w:tabs>
        <w:spacing w:line="312" w:lineRule="auto"/>
        <w:ind w:right="-20" w:firstLine="472" w:firstLineChars="196"/>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45.4 承包人与发包人一致同意第45.4款增加以下内容：</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（7）承包人应严格遵守国家、省、市有关防火、爆破和</w:t>
      </w:r>
      <w:r>
        <w:rPr>
          <w:rFonts w:hint="eastAsia" w:ascii="仿宋" w:hAnsi="仿宋" w:eastAsia="仿宋" w:cs="仿宋"/>
          <w:color w:val="auto"/>
          <w:sz w:val="24"/>
          <w:szCs w:val="24"/>
          <w:highlight w:val="none"/>
        </w:rPr>
        <w:t>绿色安全防护施工</w:t>
      </w:r>
      <w:r>
        <w:rPr>
          <w:rStyle w:val="37"/>
          <w:rFonts w:hint="eastAsia" w:ascii="仿宋" w:hAnsi="仿宋" w:eastAsia="仿宋" w:cs="仿宋"/>
          <w:color w:val="auto"/>
          <w:sz w:val="24"/>
          <w:szCs w:val="24"/>
          <w:highlight w:val="none"/>
        </w:rPr>
        <w:t>、夜间施工、环卫和城管等规定，建立规章制度和防护措施，并承担由于自身措施不力造成事故责任和发生的费用。</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承包人应当清楚地预计到施工期间对外界可能产生的必然的不可能避免的干扰，并为此保证主动努力减少这些干扰对外界的影响，且应当积极主动与外界进行协调。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承包人应做好管理协调工作，由于承包人管理不力或未能预见可能出现的问题，而导致工程未能按合同约定施工的，承包人应承担责任。承包人应负责对施工场地内的地上及地下障碍物进行清理。</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承包方在符合合同要求所许可的范围内，在进行施工以及修补其任何缺陷所必须的一切操作时不应给下列各方带来不必要和不适当的干扰，否则所造成的后果由承包方自行承担：A、公众的便利；B、公用道路及场所以及属于建设单位或任何单位所属的道路的进出、使用等。</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（10）承包人在本合同工程实施期间因公安、交警、城管等执法部门规定白天不准行车或晚上城市主干道不准行车带来的不便由承包方自行协调，承包方不能要求追加任何费用，更不能据此延误工期。</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11）承包人应负责现场全部作业的安全，在合同工程施工、完工及修补缺陷的整个工程期限内：全面负责所有留在现场上的人员的安全，保护其管辖范围的现场（包括某些尚未完工的和发包人尚未接管的工程）处于有条不紊和良好的状态。根据工程师或当地政府要求，在需要的时间和地点，提供和维持所有的照明灯光、护板、围墙、栅栏、警告信号标志和值班人员，对工程进行保护和为公众提供安全和方便。遵守和执行防火、安全文明施工和夜间施工规定。承包人应保证施工期间行人、车辆等的通行。施工临时占用人行道、车道等设施，由承包人办理有关手续，发包人协助，所需费用由承包人负责。同时承包人有责任协助公安、交通等部门维护所在现场地段的交通与人流，既保证施工安全，也保护车辆和行人的畅通和安全。承包人应在投标报价中考虑有关费用，并保证发包人免于受到或承担应由承包人负责的上述事项所引起的或与之有关的索赔、诉讼、以及其它开支。</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（13）向发包人提供的办公和生活房屋及设施费用已含在投标报价中。</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14）需承包人办理的有关施工场地交通、环卫和施工噪音管理等手续：承包人应当承担其出入现场所需要的专用或临时道路（含水路）通行权，养路费等一切费用和税费，办理相关手续；修建所有临时道路（含水路）的一切费用已包含在合同价款中，发包人不另行计量支付。承包人还应自费提供其所需要的工地以外的供工程使用的任何附加设施。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承包人已在合同价款中考虑有关费用，并保证发包人免于受到或承担应由承包人负责的上述事项所引起的或与之有关的索赔、诉讼、以及其它开支。</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（15）承包人应建立健全施工安全生产组织机构和安全保证体系，落实安全生产责任制，按照工程建设安全生产的有关管理规定，采取相应措施，负责现场全部作业的安全，并对此承担全部责任。</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16）承包人在施工中必须制订定期检查制度，加强对自身及其总承包管理范围内各专业单位在安全施工方面的检查、监督管理；若被发现存在严重安全隐患的，应按照专用条款第90.10（1）、（2）款的约定承担违约责任。</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17）承包人应采取适当措施，确保其工作人员和劳务人员的身体健康，遵照当地卫生部门的要求保证在施工的全过程中，在工地、宿舍和工棚，备有医疗人员、急救设施、药品和治疗室等，并为预防传染病和一切必要的福利、卫生要求作出安排，建立“疾病应急小组”，制订应急措施。若出现任何重大或恶性传染性的疾病时，承包人必须遵守并执行省市卫生部门为处理和控制上述传染病而制定的规章、命令和要求，迅速向发包人和工程所在地疾病控制中心报告。</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18）承包人应在进入现场前提交施工期间的环境保护方案一式四份，经总监理工程师批准后实施。环境保护方案必须包括：施工现场所必须的照明灯光、护板、围护、栅栏、警告标志和值班人员名单，以及建筑垃圾、施工和生活污水、噪音、粉尘的处理排放方案。在实施过程中所采用的材料、设备等应使总监理工程师和发包人满意。</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承包人应在现场布置足量洒水车，消除扬尘，并使总监理工程师和发包人满意。</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对于承包人施工过程中造成的环境污染问题，经发包人或者总监理工程师指出后，承包人未能在24小时之内采取整治措施，或者所采取的整治措施未能有效消除污染的，发包人可以自行或者委托他人代为整治，由此所产生的一切损失、费用均由承包人承担。</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90.11款和第90.6（6）款的约定承担相应的违约责任。</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19）承包人承诺：所有施工的安全设施、机具以及围网、护栏、临边防护、施工通道等全部按发包人的要求统一标准、统一标识。安全防护、文明施工的内容按中标后承包人向发包人提交且经发包人批准的详细的施工组织设计实施，但安全防护、文明施工的投标总报价不变。</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在合同工期内，发包人、总监理工程师对承包人的安全文明施工及环境保护措施进行定期检查，并按招标文件规定的项目和款项执行奖罚。</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（20）承包人必须在工程竣工初验后30天内或发包人规定的时间内（发包人将提前通知承包人），无条件清退所有施工场地。拒不清退的，发包人除向承包人收取租金（租金为每天人民币1元/m</w:t>
      </w:r>
      <w:r>
        <w:rPr>
          <w:rStyle w:val="37"/>
          <w:rFonts w:hint="eastAsia" w:ascii="仿宋" w:hAnsi="仿宋" w:eastAsia="仿宋" w:cs="仿宋"/>
          <w:color w:val="auto"/>
          <w:sz w:val="24"/>
          <w:szCs w:val="24"/>
          <w:highlight w:val="none"/>
          <w:vertAlign w:val="superscript"/>
        </w:rPr>
        <w:t>2</w:t>
      </w:r>
      <w:r>
        <w:rPr>
          <w:rStyle w:val="37"/>
          <w:rFonts w:hint="eastAsia" w:ascii="仿宋" w:hAnsi="仿宋" w:eastAsia="仿宋" w:cs="仿宋"/>
          <w:color w:val="auto"/>
          <w:sz w:val="24"/>
          <w:szCs w:val="24"/>
          <w:highlight w:val="none"/>
        </w:rPr>
        <w:t>）外，还有权暂停计价支付、工程结算、工程验收等工作，并由承包人承担由此而产生的一切后果（包括发包人因此而被第三方索赔所产生的损失）。</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对于临时房屋及设施，发包人认为有必要保留的，承包人在清退场地时应无条件保持完好并移交给发包人使用，并不得提出任何费用要求及其他要求。</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21）承包人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合格的方可使用。《特种设备安全监察条例（2009修订）》规定的施工起重机械，在验收前应当经有相应资质的检验检测机构监督检验合格。施工单位应当自施工起重机械和整体提升脚手架、模板等自升式架设设施验收合格之日起30日内，向建设行政主管部门或者其他有关部门登记，登记标志应当置于或者附着于该设备的显著位置。</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（22）承包人必须按照国家法律法规〔详见：《电力设施保护条例（2011修订）》、《电力设施保护条例实施细则（2011修</w:t>
      </w:r>
      <w:r>
        <w:rPr>
          <w:rFonts w:ascii="仿宋" w:hAnsi="仿宋" w:eastAsia="仿宋" w:cs="仿宋"/>
          <w:color w:val="auto"/>
          <w:sz w:val="24"/>
          <w:szCs w:val="24"/>
          <w:highlight w:val="none"/>
        </w:rPr>
        <w:t>订</w:t>
      </w:r>
      <w:r>
        <w:rPr>
          <w:rFonts w:hint="eastAsia" w:ascii="仿宋" w:hAnsi="仿宋" w:eastAsia="仿宋" w:cs="仿宋"/>
          <w:color w:val="auto"/>
          <w:sz w:val="24"/>
          <w:szCs w:val="24"/>
          <w:highlight w:val="none"/>
        </w:rPr>
        <w:t>）》、《城镇燃气管理条例（2016修订）》、《广州市燃气管理办法（2019修</w:t>
      </w:r>
      <w:r>
        <w:rPr>
          <w:rFonts w:ascii="仿宋" w:hAnsi="仿宋" w:eastAsia="仿宋" w:cs="仿宋"/>
          <w:color w:val="auto"/>
          <w:sz w:val="24"/>
          <w:szCs w:val="24"/>
          <w:highlight w:val="none"/>
        </w:rPr>
        <w:t>订</w:t>
      </w:r>
      <w:r>
        <w:rPr>
          <w:rFonts w:hint="eastAsia" w:ascii="仿宋" w:hAnsi="仿宋" w:eastAsia="仿宋" w:cs="仿宋"/>
          <w:color w:val="auto"/>
          <w:sz w:val="24"/>
          <w:szCs w:val="24"/>
          <w:highlight w:val="none"/>
        </w:rPr>
        <w:t>）》、《广州市石油天然气管道保护规定（2019修订）》、《中华人民共和国石油天然气管道保护法》（中华人民共和国主席令第30号）的要求及设计保护方案对建设范围及毗邻区域内的电力设施、燃气管道设施以及石油然天气管道做好安全保护措施。</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(23) 承包人必须严格按照《广州市</w:t>
      </w:r>
      <w:r>
        <w:rPr>
          <w:rFonts w:hint="eastAsia" w:ascii="仿宋" w:hAnsi="仿宋" w:eastAsia="仿宋" w:cs="仿宋"/>
          <w:color w:val="auto"/>
          <w:sz w:val="24"/>
          <w:szCs w:val="24"/>
          <w:highlight w:val="none"/>
          <w:lang w:val="en-US" w:eastAsia="zh-CN"/>
        </w:rPr>
        <w:t>住房和城乡建设委员会关于印发</w:t>
      </w:r>
      <w:r>
        <w:rPr>
          <w:rFonts w:hint="eastAsia" w:ascii="仿宋" w:hAnsi="仿宋" w:eastAsia="仿宋" w:cs="仿宋"/>
          <w:color w:val="auto"/>
          <w:sz w:val="24"/>
          <w:szCs w:val="24"/>
          <w:highlight w:val="none"/>
        </w:rPr>
        <w:t>建设工程扬尘防治“6个100％”管理标准细化措施</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通知</w:t>
      </w:r>
      <w:r>
        <w:rPr>
          <w:rFonts w:hint="eastAsia" w:ascii="仿宋" w:hAnsi="仿宋" w:eastAsia="仿宋" w:cs="仿宋"/>
          <w:color w:val="auto"/>
          <w:sz w:val="24"/>
          <w:szCs w:val="24"/>
          <w:highlight w:val="none"/>
        </w:rPr>
        <w:t>》（穗建质〔2018〕1394号）、《广东省建设工程施工扬尘污染防治管理办法（试行）》（粤办函〔2017〕708号）、《广东省住房和城乡建设厅关于采取切实措施坚决遏制施工扬尘污染的紧急通知》（粤建电发〔2018〕20号）的规定执行，负责建设工程施工扬尘污染防治工作，落实施工现场各项扬尘防治措施，建立扬尘污染防治检查制度。</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承包人必须严格按照《广东省住房和城乡建设厅关于建筑工程绿色施工的管理办法（暂行）》（粤建质〔2016〕242号）的规定执行，负责绿色施工的组织实施，建立绿色施工管理体系和管理制度。</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01" w:name="_Toc15096"/>
      <w:bookmarkStart w:id="902" w:name="_Toc9064"/>
      <w:bookmarkStart w:id="903" w:name="_Toc32118"/>
      <w:bookmarkStart w:id="904" w:name="_Toc15359"/>
      <w:r>
        <w:rPr>
          <w:rFonts w:hint="eastAsia" w:ascii="仿宋" w:hAnsi="仿宋" w:eastAsia="仿宋" w:cs="仿宋"/>
          <w:b/>
          <w:bCs/>
          <w:color w:val="auto"/>
          <w:sz w:val="24"/>
          <w:szCs w:val="24"/>
          <w:highlight w:val="none"/>
        </w:rPr>
        <w:t>48 发包人供应材料和工程设备</w:t>
      </w:r>
      <w:bookmarkEnd w:id="901"/>
      <w:bookmarkEnd w:id="902"/>
      <w:bookmarkEnd w:id="903"/>
      <w:bookmarkEnd w:id="904"/>
    </w:p>
    <w:p>
      <w:pPr>
        <w:tabs>
          <w:tab w:val="left" w:pos="1240"/>
        </w:tabs>
        <w:spacing w:line="312"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48.1 发包人是否供应材料设备</w:t>
      </w:r>
    </w:p>
    <w:p>
      <w:pPr>
        <w:tabs>
          <w:tab w:val="left" w:pos="1240"/>
        </w:tabs>
        <w:spacing w:line="312"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√发包人不供应材料和工程设备，本条不适用。</w:t>
      </w:r>
    </w:p>
    <w:p>
      <w:pPr>
        <w:tabs>
          <w:tab w:val="left" w:pos="1240"/>
        </w:tabs>
        <w:spacing w:line="312"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×发包人供应材料和工程设备的，约定“发包人供应材料设备一览表”，作为本合同的附件。</w:t>
      </w:r>
    </w:p>
    <w:p>
      <w:pPr>
        <w:tabs>
          <w:tab w:val="left" w:pos="1240"/>
        </w:tabs>
        <w:spacing w:line="312"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48.8 发包人供应材料和工程设备的合同工程结算方式：</w:t>
      </w:r>
      <w:r>
        <w:rPr>
          <w:rStyle w:val="37"/>
          <w:rFonts w:hint="eastAsia" w:ascii="仿宋" w:hAnsi="仿宋" w:eastAsia="仿宋" w:cs="仿宋"/>
          <w:color w:val="auto"/>
          <w:sz w:val="24"/>
          <w:szCs w:val="24"/>
          <w:highlight w:val="none"/>
          <w:u w:val="single"/>
        </w:rPr>
        <w:t>无。</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05" w:name="_Toc17935"/>
      <w:bookmarkStart w:id="906" w:name="_Toc6290"/>
      <w:bookmarkStart w:id="907" w:name="_Toc4115"/>
      <w:bookmarkStart w:id="908" w:name="_Toc22318"/>
      <w:r>
        <w:rPr>
          <w:rFonts w:hint="eastAsia" w:ascii="仿宋" w:hAnsi="仿宋" w:eastAsia="仿宋" w:cs="仿宋"/>
          <w:b/>
          <w:bCs/>
          <w:color w:val="auto"/>
          <w:sz w:val="24"/>
          <w:szCs w:val="24"/>
          <w:highlight w:val="none"/>
        </w:rPr>
        <w:t>49 承包人采购材料和工程设备</w:t>
      </w:r>
      <w:bookmarkEnd w:id="905"/>
      <w:bookmarkEnd w:id="906"/>
      <w:bookmarkEnd w:id="907"/>
      <w:bookmarkEnd w:id="908"/>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49.1 承包人采购的材料和工程设备：承包人负责采购材料和工程设备，需按照标准与规范、设计要求，所用材料必须是广东地区常用产品，在使用前需经发包人和监理单位确认后方可实施，否则发包人有权不认可。所有的材料设备均应严格按照相关技术规范、用户需求书选用，并保证提供设备参数的真实性、有效性，如发生设备货不对板、或以低品质设备冒充高品质设备、或以低技术档次系列的产品冒充高技术档次系列的产品的情况，该设备不得在本工程使用，发包人有权按照对本工程最有利原则要求承包人更换为满足设计要求的高品质设备或高技术档次系列的产品，且价格不调整；同时承包人按专用条款第96条承担违约责任，发包人保留追究承包人法律责任的权利。</w:t>
      </w:r>
    </w:p>
    <w:p>
      <w:pPr>
        <w:tabs>
          <w:tab w:val="left" w:pos="1240"/>
        </w:tabs>
        <w:autoSpaceDE w:val="0"/>
        <w:autoSpaceDN w:val="0"/>
        <w:adjustRightInd w:val="0"/>
        <w:spacing w:line="312" w:lineRule="auto"/>
        <w:ind w:right="-20"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49.2 承包人供货要求：属于承包人自行采购的主要材料、设备进场以前，承包人必须上报材料设备的品牌、产地、规格、等级，如未注明，则按发包人的要求采购，且发包人保留调整其材料设备价格的权利。承包人应按照发包人的材料质量管理要求，向发包人提供主要材料、设备样板，所提供的样板材料价格不低于招标控制价的材料价格。另须向监理工程师提交生产厂商出具的质量合格证书和承包人检验合格证书，证明材料、设备质量符合本合同技术规范的规定，以供监理工程师批准。</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09" w:name="_Toc4697"/>
      <w:bookmarkStart w:id="910" w:name="_Toc20161"/>
      <w:bookmarkStart w:id="911" w:name="_Toc3658"/>
      <w:bookmarkStart w:id="912" w:name="_Toc25216"/>
      <w:r>
        <w:rPr>
          <w:rFonts w:hint="eastAsia" w:ascii="仿宋" w:hAnsi="仿宋" w:eastAsia="仿宋" w:cs="仿宋"/>
          <w:b/>
          <w:bCs/>
          <w:color w:val="auto"/>
          <w:sz w:val="24"/>
          <w:szCs w:val="24"/>
          <w:highlight w:val="none"/>
        </w:rPr>
        <w:t>50 材料和工程设备的检验试验</w:t>
      </w:r>
      <w:bookmarkEnd w:id="909"/>
      <w:bookmarkEnd w:id="910"/>
      <w:bookmarkEnd w:id="911"/>
      <w:bookmarkEnd w:id="912"/>
    </w:p>
    <w:p>
      <w:pPr>
        <w:tabs>
          <w:tab w:val="left" w:pos="1240"/>
        </w:tabs>
        <w:spacing w:line="312" w:lineRule="auto"/>
        <w:ind w:right="-2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    50.3 本合同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则发包人有权雇佣他人代为实施，由此产生的其他相关费用由承包人承担。</w:t>
      </w:r>
    </w:p>
    <w:p>
      <w:pPr>
        <w:tabs>
          <w:tab w:val="left" w:pos="1240"/>
        </w:tabs>
        <w:spacing w:line="312" w:lineRule="auto"/>
        <w:ind w:right="-2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发包人和总监理工程师认为有必要的，有权对已检查、检验过的材料、设备进行重复检查、检验，承包人应遵照执行。重复检查、检验的程序和内容适用前款约定。</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在施工过程中，总监理工程师有权随时对工程材料、设备的使用进行抽查，包括成品、半成品、器具、设备、附件、小五金等。抽查范围、比例、数量、批次及检查深度可比国家现行施工质量验收规范和相关规定有所提高。</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工程材料、设备的质量依据下列顺序之标准认定（排序在前者优先）：</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（1）本合同工程设计图纸规定的设计标准和发包人制定的材料标准及技术要求；</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（2）招投标时确定的规格、技术指标、质量标准、品牌等；</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（3）经设计单位、监理单位、承包人、发包人共同认定的产品封样、样板（包括样板房等）；</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（4）国家或行业强制执行的技术标准、技术规范。</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工程材料、设备的抽查、检验结果与前款约定不符的，承包人必须在发包人或监理单位书面通知的限期内全部无条件拆除、更换，并运出施工现场；由此所造成的工期延误、费用增加等一切损失均由承包人承担。同时，承包人还应当按照专用条款第90.8（1）款的约定承担违约责任。</w:t>
      </w:r>
    </w:p>
    <w:p>
      <w:pPr>
        <w:spacing w:line="360"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50.4材料检验试验费不纳入建筑安装工程造价，建设单位为委托工程质量检测的主体；</w:t>
      </w:r>
    </w:p>
    <w:p>
      <w:pPr>
        <w:spacing w:line="360" w:lineRule="auto"/>
        <w:ind w:firstLine="480" w:firstLineChars="200"/>
        <w:rPr>
          <w:rStyle w:val="36"/>
          <w:rFonts w:ascii="仿宋" w:hAnsi="仿宋" w:eastAsia="仿宋" w:cs="仿宋"/>
          <w:color w:val="auto"/>
          <w:highlight w:val="none"/>
        </w:rPr>
      </w:pPr>
      <w:r>
        <w:rPr>
          <w:rFonts w:hint="eastAsia" w:ascii="仿宋" w:hAnsi="仿宋" w:eastAsia="仿宋" w:cs="仿宋"/>
          <w:color w:val="auto"/>
          <w:sz w:val="24"/>
          <w:szCs w:val="24"/>
          <w:highlight w:val="none"/>
        </w:rPr>
        <w:t>承包人须自行对材料进行一般鉴定和检查，确保本合同工程的一切材料符合法律、法规和建设强制性标准，对进入施工现场的工程材料由发包人委托具有相应资质的检测机构实施检测，工程质量检测费用由发包人支付，检测不合格时，重新检测的费用由承包人承担。</w:t>
      </w:r>
    </w:p>
    <w:p>
      <w:pPr>
        <w:spacing w:line="312" w:lineRule="auto"/>
        <w:ind w:firstLine="482" w:firstLineChars="200"/>
        <w:jc w:val="left"/>
        <w:textAlignment w:val="auto"/>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承包人与发包人一致同意增加第50.7款：</w:t>
      </w:r>
    </w:p>
    <w:p>
      <w:pPr>
        <w:spacing w:line="360" w:lineRule="auto"/>
        <w:rPr>
          <w:rStyle w:val="36"/>
          <w:rFonts w:ascii="仿宋" w:hAnsi="仿宋" w:eastAsia="仿宋" w:cs="仿宋"/>
          <w:color w:val="auto"/>
          <w:highlight w:val="none"/>
        </w:rPr>
      </w:pP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50.7凡因承包人使用不合格产品或材料而造成的工程质量事故或人身伤亡事故，一律由承包人承担由此产生的相应经济及法律责任。承包人所采购的材料、设备在保修期内如出现产品质量问题，承包人必须负责更换。承包人必须向发包人提供有关产品资料和技术指导及零配件供应等售后服务。</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13" w:name="_Toc23778"/>
      <w:bookmarkStart w:id="914" w:name="_Toc28234"/>
      <w:bookmarkStart w:id="915" w:name="_Toc21909"/>
      <w:bookmarkStart w:id="916" w:name="_Toc22304"/>
      <w:r>
        <w:rPr>
          <w:rFonts w:hint="eastAsia" w:ascii="仿宋" w:hAnsi="仿宋" w:eastAsia="仿宋" w:cs="仿宋"/>
          <w:b/>
          <w:bCs/>
          <w:color w:val="auto"/>
          <w:sz w:val="24"/>
          <w:szCs w:val="24"/>
          <w:highlight w:val="none"/>
        </w:rPr>
        <w:t>52 工程质量检查</w:t>
      </w:r>
      <w:bookmarkEnd w:id="913"/>
      <w:bookmarkEnd w:id="914"/>
      <w:bookmarkEnd w:id="915"/>
      <w:bookmarkEnd w:id="916"/>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52.3 承包人应当按照发包人、总监理工程师及有关规范要求，对施工各工序报验检查的质量控制点，先自检后报请总监理工程师复检。总监理工程师在接到承包人的自检结果后，应当及时复检。经复检发现存在质量问题的，则该工序质量为不合格，承包人必须全部返工，由此所产生的工期延误和费用增加等全部损失由承包人承担，并由承包人按照专用条款第90.9（1）款的约定承担违约责任。</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监理工程师发现工程存在重大质量问题时，必须立即下达停工整改令。承包人必须在5天内提出书面整改措施，经总监理工程师和发包人批准后实施整改，由此所产生的工期延误和费用增加等全部损失，由承包人承担。承包人拒绝整改的，发包人有权暂停拨付工程款，并将未完工程另行发包。</w:t>
      </w:r>
    </w:p>
    <w:p>
      <w:pPr>
        <w:tabs>
          <w:tab w:val="left" w:pos="1240"/>
        </w:tabs>
        <w:spacing w:line="312" w:lineRule="auto"/>
        <w:ind w:right="-20" w:firstLine="482" w:firstLineChars="20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承包人和发包人一致同意增加第52.6款：</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52.6 工程技术资料的整理归档：承包人应保证按照国家、地方、行业的有关规定，准确、及时做好日常工程技术资料的记录、整理和归档工作，保证记录中原始数据的真实性和及时性，监理单位或发包人有权抽查承包人日常工程技术资料的整理工作，若发现未按照规定及时做好资料整理工作，每发现三次，则按照专用条款第90.14款的约定承担违约责任。若发现原始记录数据不存在、不真实、不完整，经监理单位确认，发包人有权拒绝相应部分工程的工程量计量与支付，并视情节轻重，由承包人按照专用条款第90.14款的约定承担违约责任。</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17" w:name="_Toc8293"/>
      <w:bookmarkStart w:id="918" w:name="_Toc10091"/>
      <w:bookmarkStart w:id="919" w:name="_Toc9344"/>
      <w:bookmarkStart w:id="920" w:name="_Toc29925"/>
      <w:r>
        <w:rPr>
          <w:rFonts w:hint="eastAsia" w:ascii="仿宋" w:hAnsi="仿宋" w:eastAsia="仿宋" w:cs="仿宋"/>
          <w:b/>
          <w:bCs/>
          <w:color w:val="auto"/>
          <w:sz w:val="24"/>
          <w:szCs w:val="24"/>
          <w:highlight w:val="none"/>
        </w:rPr>
        <w:t>53 隐蔽工程和中间验收</w:t>
      </w:r>
      <w:bookmarkEnd w:id="917"/>
      <w:bookmarkEnd w:id="918"/>
      <w:bookmarkEnd w:id="919"/>
      <w:bookmarkEnd w:id="920"/>
    </w:p>
    <w:p>
      <w:pPr>
        <w:tabs>
          <w:tab w:val="left" w:pos="1240"/>
        </w:tabs>
        <w:spacing w:line="312"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53.2  隐蔽工程在隐蔽前，必须经承包人质检人员进行三级验收、签</w:t>
      </w:r>
      <w:r>
        <w:rPr>
          <w:rStyle w:val="37"/>
          <w:rFonts w:ascii="仿宋" w:hAnsi="仿宋" w:eastAsia="仿宋" w:cs="仿宋"/>
          <w:color w:val="auto"/>
          <w:sz w:val="24"/>
          <w:szCs w:val="24"/>
          <w:highlight w:val="none"/>
        </w:rPr>
        <w:t>字</w:t>
      </w:r>
      <w:r>
        <w:rPr>
          <w:rStyle w:val="37"/>
          <w:rFonts w:hint="eastAsia" w:ascii="仿宋" w:hAnsi="仿宋" w:eastAsia="仿宋" w:cs="仿宋"/>
          <w:color w:val="auto"/>
          <w:sz w:val="24"/>
          <w:szCs w:val="24"/>
          <w:highlight w:val="none"/>
        </w:rPr>
        <w:t>确认，然后提前24小时书面通知监理工程师会同验收，验收合格后签字确认，才能隐蔽和进行下一道工序的作业。凡不按上述程序办理，无承包人质检人员验收签字确认的资料或无书面通知监理工程师会同验收的，监理工程师可拒绝验收签认；凡无通知发包人验收签认的工程，或监理工程师合法拒绝签认的工程，若承包人擅自隐蔽的，工程师将视该部分工程为不合格，并拒绝拨付该部分工程进度款，监理工程师也不得颁发下续工序的施工令，由此发生的一切责任全部由承包人负责。</w:t>
      </w:r>
    </w:p>
    <w:p>
      <w:pPr>
        <w:spacing w:line="312"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53.4  承包人应对隐蔽工程进行拍摄或照相或留存样本，保证监理工程师、发包人能充分检查和测量覆盖或隐蔽的工程，并将结果保存作为日后检查之用，否则后果由承包人承担。</w:t>
      </w:r>
    </w:p>
    <w:p>
      <w:pPr>
        <w:pStyle w:val="13"/>
        <w:tabs>
          <w:tab w:val="left" w:pos="540"/>
        </w:tabs>
        <w:adjustRightInd w:val="0"/>
        <w:snapToGrid w:val="0"/>
        <w:spacing w:before="312" w:beforeLines="100" w:line="360" w:lineRule="auto"/>
        <w:outlineLvl w:val="2"/>
        <w:rPr>
          <w:rFonts w:ascii="仿宋" w:hAnsi="仿宋" w:eastAsia="仿宋" w:cs="仿宋"/>
          <w:b/>
          <w:bCs/>
          <w:color w:val="auto"/>
          <w:sz w:val="24"/>
          <w:szCs w:val="24"/>
          <w:highlight w:val="none"/>
        </w:rPr>
      </w:pPr>
      <w:bookmarkStart w:id="921" w:name="_Toc10869"/>
      <w:bookmarkStart w:id="922" w:name="_Toc24367"/>
      <w:bookmarkStart w:id="923" w:name="_Toc26076"/>
      <w:bookmarkStart w:id="924" w:name="_Toc5168"/>
      <w:r>
        <w:rPr>
          <w:rFonts w:hint="eastAsia" w:ascii="仿宋" w:hAnsi="仿宋" w:eastAsia="仿宋" w:cs="仿宋"/>
          <w:b/>
          <w:bCs/>
          <w:color w:val="auto"/>
          <w:sz w:val="24"/>
          <w:szCs w:val="24"/>
          <w:highlight w:val="none"/>
        </w:rPr>
        <w:t>55 工程试车</w:t>
      </w:r>
      <w:bookmarkEnd w:id="921"/>
      <w:bookmarkEnd w:id="922"/>
      <w:bookmarkEnd w:id="923"/>
      <w:bookmarkEnd w:id="924"/>
    </w:p>
    <w:p>
      <w:pPr>
        <w:spacing w:line="312" w:lineRule="auto"/>
        <w:ind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55.1 是否需要试车</w:t>
      </w:r>
    </w:p>
    <w:p>
      <w:pPr>
        <w:spacing w:line="312" w:lineRule="auto"/>
        <w:ind w:left="581" w:right="-2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√不需要试车的，本条不适用。</w:t>
      </w:r>
    </w:p>
    <w:p>
      <w:pPr>
        <w:spacing w:line="312" w:lineRule="auto"/>
        <w:ind w:left="581" w:right="-2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×需要试车的，试车的内容和要求：</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25" w:name="_Toc12638"/>
      <w:bookmarkStart w:id="926" w:name="_Toc15470"/>
      <w:bookmarkStart w:id="927" w:name="_Toc303"/>
      <w:bookmarkStart w:id="928" w:name="_Toc9113"/>
      <w:r>
        <w:rPr>
          <w:rFonts w:hint="eastAsia" w:ascii="仿宋" w:hAnsi="仿宋" w:eastAsia="仿宋" w:cs="仿宋"/>
          <w:b/>
          <w:bCs/>
          <w:color w:val="auto"/>
          <w:sz w:val="24"/>
          <w:szCs w:val="24"/>
          <w:highlight w:val="none"/>
        </w:rPr>
        <w:t>56 工程变更</w:t>
      </w:r>
      <w:bookmarkEnd w:id="925"/>
      <w:bookmarkEnd w:id="926"/>
      <w:bookmarkEnd w:id="927"/>
      <w:bookmarkEnd w:id="928"/>
    </w:p>
    <w:p>
      <w:pPr>
        <w:spacing w:line="312"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56.1 所有设计变更均应获得发包人正式批准才能生效。</w:t>
      </w:r>
    </w:p>
    <w:p>
      <w:pPr>
        <w:spacing w:line="312"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56.4 承包人提出合理建议应得的奖励：无。</w:t>
      </w:r>
    </w:p>
    <w:p>
      <w:pPr>
        <w:spacing w:line="312" w:lineRule="auto"/>
        <w:ind w:right="-20" w:firstLine="472" w:firstLineChars="196"/>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承包人与发包人一致同意增加第56.6款、第56.7款：</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56.6 当发包人提出变更通知，承包人认为产生了增加费用，承包人应在发包人提出通知要求（发出指令）之日起7天内向发包人提交增加费用报告，报告内应说明变更原因、增加费用金额、增加费用计算书（具体要求详见发包人变更编制的《设计变更管理办法》），若承包人不在规定的时间内提供增加费用报告，该类变更所涉及的增加费用视同已包括在合同价款中，不另增加。</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56.7 凡图纸会审记录涉及工程实体内容变化的，均须经发包人同意转变成设计变更后才能作为调整合同价款的依据。</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29" w:name="_Toc15615"/>
      <w:bookmarkStart w:id="930" w:name="_Toc22370"/>
      <w:bookmarkStart w:id="931" w:name="_Toc4677"/>
      <w:bookmarkStart w:id="932" w:name="_Toc9992"/>
      <w:r>
        <w:rPr>
          <w:rFonts w:hint="eastAsia" w:ascii="仿宋" w:hAnsi="仿宋" w:eastAsia="仿宋" w:cs="仿宋"/>
          <w:b/>
          <w:bCs/>
          <w:color w:val="auto"/>
          <w:sz w:val="24"/>
          <w:szCs w:val="24"/>
          <w:highlight w:val="none"/>
        </w:rPr>
        <w:t>57 竣工验收条件</w:t>
      </w:r>
      <w:bookmarkEnd w:id="929"/>
      <w:bookmarkEnd w:id="930"/>
      <w:bookmarkEnd w:id="931"/>
      <w:bookmarkEnd w:id="932"/>
    </w:p>
    <w:p>
      <w:pPr>
        <w:tabs>
          <w:tab w:val="left" w:pos="1240"/>
        </w:tabs>
        <w:spacing w:line="312" w:lineRule="auto"/>
        <w:ind w:right="-20" w:firstLine="48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57.2 竣工资料的约定：</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（1）承包人有责任根据竣工图验收要求对分包单位所绘制的竣工图进行符合性审查。</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（2）承包人有义务对专业管理、分包单位的工程资料按照国家《住房和城乡建设部关于修改部分部门规章的决定》（住房和城乡建设部令第47号）、《建设工程档案编制规范》（DB 4401/T 55-2020），以及按照发包人的具体要求进行收集、整理、编制、汇总和管理。</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（3）完整竣工资料还应包括盖章齐全的竣工图纸及其电子文件（电子图纸应当为未加密可编辑的DWG格式）。</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竣工资料必须正确反映现场情况，并按有关规定正确绘制。若发现竣工图失实或弄虚作假，需按实际改正，承包人须重新绘制竣工图。若单次涉及金额超过合同价的0.5%，发包人有权视情形按造假涉及金额的双倍进行处罚;发现10处以上，另记一次严重违约处理.</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33" w:name="_Toc3771"/>
      <w:bookmarkStart w:id="934" w:name="_Toc23843"/>
      <w:bookmarkStart w:id="935" w:name="_Toc16541"/>
      <w:bookmarkStart w:id="936" w:name="_Toc22616"/>
      <w:r>
        <w:rPr>
          <w:rFonts w:hint="eastAsia" w:ascii="仿宋" w:hAnsi="仿宋" w:eastAsia="仿宋" w:cs="仿宋"/>
          <w:b/>
          <w:bCs/>
          <w:color w:val="auto"/>
          <w:sz w:val="24"/>
          <w:szCs w:val="24"/>
          <w:highlight w:val="none"/>
        </w:rPr>
        <w:t>58 竣工验收</w:t>
      </w:r>
      <w:bookmarkEnd w:id="933"/>
      <w:bookmarkEnd w:id="934"/>
      <w:bookmarkEnd w:id="935"/>
      <w:bookmarkEnd w:id="936"/>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58.3 经验收评定，工程质量及工程内容符合合同要求的，发包人、承包人、监理单位、勘察单位及设计单位均应在工程竣工验收报告上盖章签字；工程质量不合格或工程内容有尚未完成者，由承包人在商定的期限内进行修补后，再进行竣工验收，直至达到完全符合合同要求为止，并按最后验收合格的日期作为竣工日期，由此产生的一切费用均由承包人负责。承包人已经提交竣工验收报告，发包人或职能部门逾期组织验收，但验收结果合格的，以承包人提交验收报告之日为竣工日期。58.6 关于接收工程的补充约定：</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（1）承包人应在工程项目移交前将场地清理干净，将无关机械设备及材料撤离现场,保证移交的工程项目环境洁净、安全卫生。</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应于工程竣工验收合格后15天内按要求提供相关资料，整理汇编成工程移交手册，协助项目产权管理单位尽快熟悉工程项目各部分（建筑单体、小区市政、周边管线等）、各系统（供水、供电、弱电等）的情况，为项目产权管理单位的接收、使用、维护、管理做准备。移交手册包括但不限于以下内容：</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Style w:val="37"/>
          <w:rFonts w:hint="eastAsia" w:ascii="仿宋" w:hAnsi="仿宋" w:eastAsia="仿宋" w:cs="仿宋"/>
          <w:color w:val="auto"/>
          <w:sz w:val="24"/>
          <w:szCs w:val="24"/>
          <w:highlight w:val="none"/>
        </w:rPr>
        <w:t>工程项目各部分、各系统的工程概况；</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2）工程项目全部的图纸清单；</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3）工程项目的承包人、主要材料设备供货商清单、联系人及电话；</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4）各系统的设计功能、使用功能或使用说明；</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5）主要设备的运行参数；</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6）主要材料设备的数量；</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7）工程、材料、设备的保修书（包括保修内容、期限、联系人、电话等）。</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（3）承包人应在进行本款第（1）点工作的同时编写工程项目移交计划，并于本项工作完成后3天内组织发包人、承包人、项目产权管理单位按如下程序进行工程项目移交：</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Style w:val="37"/>
          <w:rFonts w:hint="eastAsia" w:ascii="仿宋" w:hAnsi="仿宋" w:eastAsia="仿宋" w:cs="仿宋"/>
          <w:color w:val="auto"/>
          <w:sz w:val="24"/>
          <w:szCs w:val="24"/>
          <w:highlight w:val="none"/>
        </w:rPr>
        <w:t>按移交手册的资料清单移交图纸、资料；</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2）按移交手册的数量清单清点主要材料设备的数量；</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3）按移交手册的设计、使用功能说明进行必要的功能性试验（或组织各方参加政府指定机构、第三方检测机构进行的功能性试验）；</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4）按移交手册的说明进行系统的试运行（或组织各方参加政府指定机构、第三方检测机构进行的功能性试验），测试主要设备的运行参数；</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5）组织发包人、承包人、项目产权管理单位各方对上述移交过程进行签认；</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6）对移交过程中发现的质量问题进行记录并及时组织责任方进行维修，验收合格后重新组织移交；</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7）对于某些在操作上有专门要求的机电系统督促承包人编制培训计划，并按合同要求对项目产权管理单位人员进行培训。</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（4）承包人应按照国家《城市建设档案管理规定（2</w:t>
      </w:r>
      <w:r>
        <w:rPr>
          <w:rStyle w:val="37"/>
          <w:rFonts w:ascii="仿宋" w:hAnsi="仿宋" w:eastAsia="仿宋" w:cs="仿宋"/>
          <w:color w:val="auto"/>
          <w:sz w:val="24"/>
          <w:szCs w:val="24"/>
          <w:highlight w:val="none"/>
        </w:rPr>
        <w:t>019</w:t>
      </w:r>
      <w:r>
        <w:rPr>
          <w:rStyle w:val="37"/>
          <w:rFonts w:hint="eastAsia" w:ascii="仿宋" w:hAnsi="仿宋" w:eastAsia="仿宋" w:cs="仿宋"/>
          <w:color w:val="auto"/>
          <w:sz w:val="24"/>
          <w:szCs w:val="24"/>
          <w:highlight w:val="none"/>
        </w:rPr>
        <w:t>修正）》、《广州市人民政府关于印发〈广州市城乡建设档案管理办法〉的通知》（穗府规(2020)8号）和发包人有关整理工程档案的要求，在工程施工期间及时收集、汇总、整理、编制竣工档案，包括：</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1）开工报告、竣工验收报告 各一式四份；</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2）竣工文件资料、竣工图档案（原件）各一式四份。</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3）与本款（1）项内容相同的电子版档案一式二份。</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4）声像档案一式两份。</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承包人移交竣工档案的时限：承包人应于工程竣工验收后15天内将竣工档案提交工程监理单位审查。经工程监理单位审查合格后，承包人应及时将竣工档案移交给发包人归档并同时移交有关归档的证明文件。发包人经审查合格的，应在收到竣工档案后10天内签署档案验收意见；不合格的，要求承包人限期补正，直至合格为止。</w:t>
      </w:r>
    </w:p>
    <w:p>
      <w:pPr>
        <w:tabs>
          <w:tab w:val="left" w:pos="1240"/>
        </w:tabs>
        <w:autoSpaceDE w:val="0"/>
        <w:autoSpaceDN w:val="0"/>
        <w:adjustRightInd w:val="0"/>
        <w:spacing w:line="312" w:lineRule="auto"/>
        <w:ind w:right="-20" w:firstLine="480" w:firstLineChars="200"/>
        <w:rPr>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6）电子版竣工图的编制，以发包人提供的电子版施工图为基础。承包人在移交竣工档案时，应一并移交发包人提供的电子版施工图</w:t>
      </w:r>
      <w:r>
        <w:rPr>
          <w:rFonts w:hint="eastAsia" w:ascii="仿宋" w:hAnsi="仿宋" w:eastAsia="仿宋" w:cs="仿宋"/>
          <w:color w:val="auto"/>
          <w:sz w:val="24"/>
          <w:szCs w:val="24"/>
          <w:highlight w:val="none"/>
        </w:rPr>
        <w:t>。</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7）电子版施工图和电子版竣工图的知识产权归属发包人所有，非经发包人许可，承包人不得以任何方式复制、备份、转让和利用。否则，由此引起的任何纠纷和责任由承包人承担。</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8）承包人应督促其工程分包单位及时做好竣工资料整理工作，于分包工程竣工验收后25天内将全部档案资料移交给承包人，由承包人汇总、归档，并在承包人移交竣工档案时一并移交。</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发包人留取合同协议书第6条约定的合同价款的2%作为承包人按时、完整移交竣工档案的保证金。承包人按时、完整移交竣工档案的，发包人在向政府有关部门移交档案后15日内给承包人付还该保证金；承包人不按时移交竣工档案，或者移交的竣工档案不完整且在发包人规定的期限内不补充完整的，发包人有权扣取部分或者全部保证金，同时，并不免除承包人完整移交竣工档案的义务。</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10）因承包人的原因致使发包人未能按照国家规定向政府有关部门移交工程竣工档案而受到经济处罚的，由承包人承担全额赔偿责任。</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11）由承包人先移交给发包人、然后再发包人移交给项目产权管理单位的工程项目，承包人仍应按发包人的要求及上述约定予以协助。</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12）工程项目移交给项目产权管理单位后，由项目产权管理单位替代发包人在本合同中的地位，承继发包人的权利义务。</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13）承包人参与移交或协助移交的所有费用均已包含在合同价款之内。</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58.8 单位工程和工程部位的验收</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√合同工程无单位工程和工程部位的，本款不适用。</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×合同工程有单位工程和工程部位的，各单位工程和工程部位的范围、计划竣工时间如下：</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    （工程名称）工程，计划竣工时间为</w:t>
      </w:r>
      <w:r>
        <w:rPr>
          <w:rStyle w:val="37"/>
          <w:rFonts w:hint="eastAsia" w:ascii="仿宋" w:hAnsi="仿宋" w:eastAsia="仿宋" w:cs="仿宋"/>
          <w:color w:val="auto"/>
          <w:sz w:val="24"/>
          <w:szCs w:val="24"/>
          <w:highlight w:val="none"/>
        </w:rPr>
        <w:tab/>
      </w:r>
      <w:r>
        <w:rPr>
          <w:rStyle w:val="37"/>
          <w:rFonts w:hint="eastAsia" w:ascii="仿宋" w:hAnsi="仿宋" w:eastAsia="仿宋" w:cs="仿宋"/>
          <w:color w:val="auto"/>
          <w:sz w:val="24"/>
          <w:szCs w:val="24"/>
          <w:highlight w:val="none"/>
        </w:rPr>
        <w:t>，</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其范围包括：</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    （工程名称）工程，计划竣工时间为，</w:t>
      </w:r>
    </w:p>
    <w:p>
      <w:pPr>
        <w:tabs>
          <w:tab w:val="left" w:pos="1240"/>
        </w:tabs>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其范围包括：</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37" w:name="_Toc8787"/>
      <w:bookmarkStart w:id="938" w:name="_Toc16258"/>
      <w:bookmarkStart w:id="939" w:name="_Toc4675"/>
      <w:bookmarkStart w:id="940" w:name="_Toc21178"/>
      <w:r>
        <w:rPr>
          <w:rFonts w:hint="eastAsia" w:ascii="仿宋" w:hAnsi="仿宋" w:eastAsia="仿宋" w:cs="仿宋"/>
          <w:b/>
          <w:bCs/>
          <w:color w:val="auto"/>
          <w:sz w:val="24"/>
          <w:szCs w:val="24"/>
          <w:highlight w:val="none"/>
        </w:rPr>
        <w:t>59 缺陷责任与质量保修</w:t>
      </w:r>
      <w:bookmarkEnd w:id="937"/>
      <w:bookmarkEnd w:id="938"/>
      <w:bookmarkEnd w:id="939"/>
      <w:bookmarkEnd w:id="940"/>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59.6 缺陷责任期的约定：按通用条款执行。</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59.8 工程质量保修的约定：按通用条款执行。</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41" w:name="_Toc16623"/>
      <w:bookmarkStart w:id="942" w:name="_Toc642"/>
      <w:bookmarkStart w:id="943" w:name="_Toc13625"/>
      <w:bookmarkStart w:id="944" w:name="_Toc28582"/>
      <w:r>
        <w:rPr>
          <w:rFonts w:hint="eastAsia" w:ascii="仿宋" w:hAnsi="仿宋" w:eastAsia="仿宋" w:cs="仿宋"/>
          <w:b/>
          <w:bCs/>
          <w:color w:val="auto"/>
          <w:sz w:val="24"/>
          <w:szCs w:val="24"/>
          <w:highlight w:val="none"/>
        </w:rPr>
        <w:t>60 资金计划和安排</w:t>
      </w:r>
      <w:bookmarkEnd w:id="941"/>
      <w:bookmarkEnd w:id="942"/>
      <w:bookmarkEnd w:id="943"/>
      <w:bookmarkEnd w:id="944"/>
    </w:p>
    <w:p>
      <w:pPr>
        <w:tabs>
          <w:tab w:val="left" w:pos="1240"/>
        </w:tabs>
        <w:spacing w:line="312" w:lineRule="auto"/>
        <w:ind w:right="-2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    60.2 提供资金安排证据：承包人与发包人一致同意本款不适用。</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45" w:name="_Toc14598"/>
      <w:bookmarkStart w:id="946" w:name="_Toc27782"/>
      <w:bookmarkStart w:id="947" w:name="_Toc21020"/>
      <w:bookmarkStart w:id="948" w:name="_Toc31867"/>
      <w:r>
        <w:rPr>
          <w:rFonts w:hint="eastAsia" w:ascii="仿宋" w:hAnsi="仿宋" w:eastAsia="仿宋" w:cs="仿宋"/>
          <w:b/>
          <w:bCs/>
          <w:color w:val="auto"/>
          <w:sz w:val="24"/>
          <w:szCs w:val="24"/>
          <w:highlight w:val="none"/>
        </w:rPr>
        <w:t>63 暂列金额（如有）</w:t>
      </w:r>
      <w:bookmarkEnd w:id="945"/>
      <w:bookmarkEnd w:id="946"/>
      <w:bookmarkEnd w:id="947"/>
      <w:bookmarkEnd w:id="948"/>
    </w:p>
    <w:p>
      <w:pPr>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63.1 合同工程的暂列金额为</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元。</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49" w:name="_Toc21115"/>
      <w:bookmarkStart w:id="950" w:name="_Toc11247"/>
      <w:bookmarkStart w:id="951" w:name="_Toc7594"/>
      <w:bookmarkStart w:id="952" w:name="_Toc28515"/>
      <w:r>
        <w:rPr>
          <w:rFonts w:hint="eastAsia" w:ascii="仿宋" w:hAnsi="仿宋" w:eastAsia="仿宋" w:cs="仿宋"/>
          <w:b/>
          <w:bCs/>
          <w:color w:val="auto"/>
          <w:sz w:val="24"/>
          <w:szCs w:val="24"/>
          <w:highlight w:val="none"/>
        </w:rPr>
        <w:t>65 暂估价</w:t>
      </w:r>
      <w:bookmarkEnd w:id="949"/>
      <w:bookmarkEnd w:id="950"/>
      <w:bookmarkEnd w:id="951"/>
      <w:bookmarkEnd w:id="952"/>
    </w:p>
    <w:p>
      <w:pPr>
        <w:tabs>
          <w:tab w:val="left" w:pos="1240"/>
          <w:tab w:val="left" w:pos="66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65.3 非招标专业工程的暂估价金额为</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u w:val="single"/>
          <w:lang w:val="en-US" w:eastAsia="zh-CN"/>
        </w:rPr>
        <w:t xml:space="preserve">     </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元。</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53" w:name="_Toc20466"/>
      <w:bookmarkStart w:id="954" w:name="_Toc21321"/>
      <w:bookmarkStart w:id="955" w:name="_Toc4291"/>
      <w:bookmarkStart w:id="956" w:name="_Toc15825"/>
      <w:r>
        <w:rPr>
          <w:rFonts w:hint="eastAsia" w:ascii="仿宋" w:hAnsi="仿宋" w:eastAsia="仿宋" w:cs="仿宋"/>
          <w:b/>
          <w:bCs/>
          <w:color w:val="auto"/>
          <w:sz w:val="24"/>
          <w:szCs w:val="24"/>
          <w:highlight w:val="none"/>
        </w:rPr>
        <w:t>66 提前竣工奖与误期赔偿费</w:t>
      </w:r>
      <w:bookmarkEnd w:id="953"/>
      <w:bookmarkEnd w:id="954"/>
      <w:bookmarkEnd w:id="955"/>
      <w:bookmarkEnd w:id="956"/>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66.1 提前竣工奖的约定：</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√没约定提前竣工奖的，本款不适用。</w:t>
      </w:r>
    </w:p>
    <w:p>
      <w:pPr>
        <w:tabs>
          <w:tab w:val="left" w:pos="6880"/>
        </w:tabs>
        <w:spacing w:line="312" w:lineRule="auto"/>
        <w:ind w:right="-161"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×约定提前竣工奖的，每日历天应奖额度为提前竣工奖的最高限额是</w:t>
      </w:r>
      <w:r>
        <w:rPr>
          <w:rStyle w:val="37"/>
          <w:rFonts w:hint="eastAsia" w:ascii="仿宋" w:hAnsi="仿宋" w:eastAsia="仿宋" w:cs="仿宋"/>
          <w:color w:val="auto"/>
          <w:sz w:val="24"/>
          <w:szCs w:val="24"/>
          <w:highlight w:val="none"/>
          <w:u w:val="single"/>
        </w:rPr>
        <w:t xml:space="preserve">  / </w:t>
      </w:r>
      <w:r>
        <w:rPr>
          <w:rStyle w:val="37"/>
          <w:rFonts w:hint="eastAsia" w:ascii="仿宋" w:hAnsi="仿宋" w:eastAsia="仿宋" w:cs="仿宋"/>
          <w:color w:val="auto"/>
          <w:sz w:val="24"/>
          <w:szCs w:val="24"/>
          <w:highlight w:val="none"/>
        </w:rPr>
        <w:t>。</w:t>
      </w:r>
    </w:p>
    <w:p>
      <w:pPr>
        <w:tabs>
          <w:tab w:val="left" w:pos="6880"/>
        </w:tabs>
        <w:spacing w:line="312" w:lineRule="auto"/>
        <w:ind w:right="-161"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66.2 误期赔偿费的约定：</w:t>
      </w:r>
    </w:p>
    <w:p>
      <w:pPr>
        <w:tabs>
          <w:tab w:val="left" w:pos="6880"/>
        </w:tabs>
        <w:spacing w:line="312" w:lineRule="auto"/>
        <w:ind w:right="-161"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 每日历天应赔付额度为</w:t>
      </w:r>
      <w:r>
        <w:rPr>
          <w:rStyle w:val="37"/>
          <w:rFonts w:hint="eastAsia" w:ascii="仿宋" w:hAnsi="仿宋" w:eastAsia="仿宋" w:cs="仿宋"/>
          <w:color w:val="auto"/>
          <w:sz w:val="24"/>
          <w:szCs w:val="24"/>
          <w:highlight w:val="none"/>
          <w:u w:val="single"/>
        </w:rPr>
        <w:t>按专用条款第90.7（5）款约定处理。</w:t>
      </w:r>
    </w:p>
    <w:p>
      <w:pPr>
        <w:tabs>
          <w:tab w:val="left" w:pos="6880"/>
        </w:tabs>
        <w:spacing w:line="312" w:lineRule="auto"/>
        <w:ind w:right="-161"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 误期赔偿费最高限额是</w:t>
      </w:r>
      <w:r>
        <w:rPr>
          <w:rStyle w:val="37"/>
          <w:rFonts w:hint="eastAsia" w:ascii="仿宋" w:hAnsi="仿宋" w:eastAsia="仿宋" w:cs="仿宋"/>
          <w:color w:val="auto"/>
          <w:sz w:val="24"/>
          <w:szCs w:val="24"/>
          <w:highlight w:val="none"/>
          <w:u w:val="single"/>
        </w:rPr>
        <w:t xml:space="preserve">  /  </w:t>
      </w:r>
      <w:r>
        <w:rPr>
          <w:rStyle w:val="37"/>
          <w:rFonts w:hint="eastAsia" w:ascii="仿宋" w:hAnsi="仿宋" w:eastAsia="仿宋" w:cs="仿宋"/>
          <w:color w:val="auto"/>
          <w:sz w:val="24"/>
          <w:szCs w:val="24"/>
          <w:highlight w:val="none"/>
        </w:rPr>
        <w:t>。</w:t>
      </w:r>
    </w:p>
    <w:p>
      <w:pPr>
        <w:pStyle w:val="13"/>
        <w:tabs>
          <w:tab w:val="left" w:pos="540"/>
        </w:tabs>
        <w:adjustRightInd w:val="0"/>
        <w:snapToGrid w:val="0"/>
        <w:spacing w:before="312" w:beforeLines="100" w:line="360" w:lineRule="auto"/>
        <w:ind w:right="-161"/>
        <w:outlineLvl w:val="2"/>
        <w:rPr>
          <w:rFonts w:ascii="仿宋" w:hAnsi="仿宋" w:eastAsia="仿宋" w:cs="仿宋"/>
          <w:b/>
          <w:bCs/>
          <w:color w:val="auto"/>
          <w:sz w:val="24"/>
          <w:szCs w:val="24"/>
          <w:highlight w:val="none"/>
        </w:rPr>
      </w:pPr>
      <w:bookmarkStart w:id="957" w:name="_Toc6537"/>
      <w:bookmarkStart w:id="958" w:name="_Toc944"/>
      <w:bookmarkStart w:id="959" w:name="_Toc27019"/>
      <w:bookmarkStart w:id="960" w:name="_Toc7380"/>
      <w:r>
        <w:rPr>
          <w:rFonts w:hint="eastAsia" w:ascii="仿宋" w:hAnsi="仿宋" w:eastAsia="仿宋" w:cs="仿宋"/>
          <w:b/>
          <w:bCs/>
          <w:color w:val="auto"/>
          <w:sz w:val="24"/>
          <w:szCs w:val="24"/>
          <w:highlight w:val="none"/>
        </w:rPr>
        <w:t>67 优质优价费、工程建设标准费用</w:t>
      </w:r>
      <w:bookmarkEnd w:id="957"/>
      <w:bookmarkEnd w:id="958"/>
      <w:bookmarkEnd w:id="959"/>
      <w:bookmarkEnd w:id="960"/>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67.1 优质优价奖的约定：</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√没约定优质优价奖的，本款不适用；</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×约定优质优价奖的等级：</w:t>
      </w:r>
      <w:r>
        <w:rPr>
          <w:rStyle w:val="37"/>
          <w:rFonts w:hint="eastAsia" w:ascii="仿宋" w:hAnsi="仿宋" w:eastAsia="仿宋" w:cs="仿宋"/>
          <w:color w:val="auto"/>
          <w:sz w:val="24"/>
          <w:szCs w:val="24"/>
          <w:highlight w:val="none"/>
          <w:u w:val="single"/>
        </w:rPr>
        <w:t xml:space="preserve">  /  </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67.2 优质优价奖的计提与支付：</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×国家级质量奖，合同价款的 3%，即___/__元；</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×省级质量奖，合同价款的 2%；即__/__元；</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×市级质量奖，合同价款的 1%；即__/__元。</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61" w:name="_Toc10048"/>
      <w:bookmarkStart w:id="962" w:name="_Toc30116"/>
      <w:bookmarkStart w:id="963" w:name="_Toc18844"/>
      <w:bookmarkStart w:id="964" w:name="_Toc15367"/>
      <w:r>
        <w:rPr>
          <w:rFonts w:hint="eastAsia" w:ascii="仿宋" w:hAnsi="仿宋" w:eastAsia="仿宋" w:cs="仿宋"/>
          <w:b/>
          <w:bCs/>
          <w:color w:val="auto"/>
          <w:sz w:val="24"/>
          <w:szCs w:val="24"/>
          <w:highlight w:val="none"/>
        </w:rPr>
        <w:t>68 合同价款的约定与调整</w:t>
      </w:r>
      <w:bookmarkEnd w:id="961"/>
      <w:bookmarkEnd w:id="962"/>
      <w:bookmarkEnd w:id="963"/>
      <w:bookmarkEnd w:id="964"/>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68.2 合同价款的调整因素包括：</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√工程量的偏差；</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√工程变更；</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√物价及后继法律法规的变化；</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√费用索赔事件或发包人负责的其他情况；</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√工程造价管理机构发布的造价调整；</w:t>
      </w:r>
    </w:p>
    <w:p>
      <w:pPr>
        <w:spacing w:line="312" w:lineRule="auto"/>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承包人与发包人一致同意增加第68.4款：</w:t>
      </w:r>
    </w:p>
    <w:p>
      <w:pPr>
        <w:spacing w:line="312" w:lineRule="auto"/>
        <w:ind w:right="-20" w:firstLine="360" w:firstLineChars="15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68.4 （1）工程竣工结算办法执行招标文件的有关条款及《建设工程工程量清单计价规范》（GB50500-2013），具体明确如下: ①投标人一旦中标，中标总价即为暂定合同总价；当投标单价不超过招标控制价综合单价时，该清单项目的中标单价为该项目的结算单价，在工程结算时将不得变更[注：单价不变是指清单项目中所使用的主要材料的质量及品牌与招标文件中确定的质量及品牌在同一档次（或更高）的情况下，清单项目单价不变。若建设单位指定清单项目的主要材料的质量和品牌档次高于（或承包人进场材料的质量和品牌档次低于）招标文件要求的质量及品牌档次，则仅按实调整该清单项目的主材价格，主材价差的调整基数为该项目招标控制价综合单价中的主材价格，其它不变]；当投标单价超过招标控制价综合单价时，该项目投标综合单价按该清单项目的招标控制价综合单价×（1-投标下浮率）[投标下浮率=（招标控制价总价-投标报价总价）/招标控制价总价×100%]进行修正，修正之后的总价作为中标总价，修正投标报价书作为招标文件及合同的附件，修正之后的投标清单项目综合单价作为该清单项目的结算综合单价。工程量清单数量依据竣工图及竣工资料按实结算，因设计变更或现场签证或招标文件、答疑会议纪要中允许调整造价的工程内容，必须在得到建设单位和现场监理工程师的书面确认后，由施工单位根据设计变更、图纸会审、现场签证绘制工程竣工图（竣工图须由监理单位、施工单位、建设单位现场代表三方签认）作为竣工结算的依据。项目工程量清单实际数量乘以项目结算单价为该项目的结算价。②中标的投标文件工程量清单中已有类似项目，只是项目主要材料发生变化的，则按类似项目的综合单价只对项目的主要材料价格进行调整换算，主材价差的调整基数为该项目招标控制价综合单价中的主材单价，其它费用不变，即调整后的清单单价=投标单价+材料价差*（1-投标下浮率）。如中标的投标文件工程量清单中类似项目的综合单价有两个以上，则由招标人按消耗量最少、管理费和利润取费最低的优先顺序选择类似项目综合单价进行换算。如换算时出现主材表中没有的材料，其单价则按施工期广州地区材料市场该项材料的实际价格予以调整。③中标的投标文件工程量清单中没有相同项目或类似项目的，其新增项目综合单价根据现行定额及其相关计价文件编制再乘以（1-投标下浮率）确定，投标下浮率=（招标控制价总价-投标报价总价）/招标控制价总价*100%，材料价格按广州市造价管理站同期（施工期）《广州地区建设工程常用材料税前综合价格》予以调整，《广州地区建设工程常用材料税前综合价格》没有的材料单价，则参考同期（施工期）该材料的市场价格，最终以天河区财政局核准后确定。</w:t>
      </w:r>
    </w:p>
    <w:p>
      <w:pPr>
        <w:spacing w:line="312" w:lineRule="auto"/>
        <w:ind w:right="-20" w:firstLine="360" w:firstLineChars="15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（2）合同履行期间因市场波动造成主要材料价格涨落幅度不超过5%（含5%），结算时不调整价差。</w:t>
      </w:r>
    </w:p>
    <w:p>
      <w:pPr>
        <w:spacing w:line="312" w:lineRule="auto"/>
        <w:ind w:right="-20" w:firstLine="360" w:firstLineChars="15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（3）合同履行期间因市场波动造成主要材料价格涨落幅度超过5%（不含5%），结算时按合同专用条款76.1执行。</w:t>
      </w:r>
    </w:p>
    <w:p>
      <w:pPr>
        <w:spacing w:line="312" w:lineRule="auto"/>
        <w:ind w:right="-20" w:firstLine="360" w:firstLineChars="15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（4）单价措施项目综合单价包干、总价（按系数计算）措施项目费按实结算。</w:t>
      </w:r>
    </w:p>
    <w:p>
      <w:pPr>
        <w:spacing w:line="312" w:lineRule="auto"/>
        <w:ind w:right="-20" w:firstLine="360" w:firstLineChars="15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5）暂估价是指招标人在工程量清单中提供的用于支付必然发生但暂时不能确定价格的材料、工程设备的单价以及专业工程的金额；在工程招标阶段已经确认的材料、工程设备或专业工程项目，由于标准不明确，无法在当时确定准确价格，为了不影响招标效率，在招标工程量清单中给定了一个暂估价，建设单位在项目实施过程中应对该材料、工程设备或专业工程项目的标准进行明确或深化设计，编制工程预算并报有权审核单位进行审核（具体审核办法参照合同专用条款68.4条款执行）确定工程价款，以此为依据取代暂估价，调整合同价款；该工程项目具体结算方法参照专用条款68.4条款执行。</w:t>
      </w:r>
    </w:p>
    <w:p>
      <w:pPr>
        <w:spacing w:line="312" w:lineRule="auto"/>
        <w:ind w:right="-20" w:firstLine="360" w:firstLineChars="15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（6）项目实施过程中发包人有权对具体实施项目进行调整,并按照上述办法结算。减少的项目无论有无替代，发包人都不予补偿。</w:t>
      </w:r>
    </w:p>
    <w:p>
      <w:pPr>
        <w:spacing w:line="312" w:lineRule="auto"/>
        <w:ind w:right="-20" w:firstLine="360" w:firstLineChars="15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（7）本工程结算造价最终以天河区财政局的审核结果为准。</w:t>
      </w:r>
    </w:p>
    <w:p>
      <w:pPr>
        <w:spacing w:line="312" w:lineRule="auto"/>
        <w:ind w:right="-20" w:firstLine="360" w:firstLineChars="150"/>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（8）依据穗建造价〔2013〕29号文，材料检验试验费不纳入建筑安装工程造价，建设单位为委托工程质量检测的主体。</w:t>
      </w:r>
    </w:p>
    <w:p>
      <w:pPr>
        <w:spacing w:line="312" w:lineRule="auto"/>
        <w:ind w:firstLine="354" w:firstLineChars="147"/>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承包人和发包人一致同意通用条款第72条、第73条不适用，代之以：</w:t>
      </w:r>
    </w:p>
    <w:p>
      <w:pPr>
        <w:spacing w:line="312" w:lineRule="auto"/>
        <w:ind w:right="-2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72、73 工程设计变更和工程量偏差事件引起的价款调整，按专用条款第68.4款执行。</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65" w:name="_Toc21384"/>
      <w:bookmarkStart w:id="966" w:name="_Toc12803"/>
      <w:bookmarkStart w:id="967" w:name="_Toc29041"/>
      <w:bookmarkStart w:id="968" w:name="_Toc10653"/>
      <w:r>
        <w:rPr>
          <w:rFonts w:hint="eastAsia" w:ascii="仿宋" w:hAnsi="仿宋" w:eastAsia="仿宋" w:cs="仿宋"/>
          <w:b/>
          <w:bCs/>
          <w:color w:val="auto"/>
          <w:sz w:val="24"/>
          <w:szCs w:val="24"/>
          <w:highlight w:val="none"/>
        </w:rPr>
        <w:t>74 费用索赔事件：</w:t>
      </w:r>
      <w:bookmarkEnd w:id="965"/>
      <w:bookmarkEnd w:id="966"/>
      <w:bookmarkEnd w:id="967"/>
      <w:bookmarkEnd w:id="968"/>
    </w:p>
    <w:p>
      <w:pPr>
        <w:spacing w:line="312" w:lineRule="auto"/>
        <w:ind w:right="-20" w:firstLine="360" w:firstLineChars="15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74.7 承包人未能按合同约定履行自己的各项义务或发生错误，发包人按如下约定向承包人索赔：</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（1）发包人将自己的索赔意向书面通知承包人，并要求承包人在限期内纠正自己的违约行为，否则，发包人将考虑扣取履约保证金或者启用履约保函。</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（2）限期届满，承包人没有采取纠正行为或者纠正行为不能使发包人满意的，发包人将索赔意向书面通知专用条款第28.1款约定的保函出函银行。</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发包人向银行发出书面索赔意向七天内，承包人依然没有用实际行动纠正自己的违约行为或者纠正行为不能使发包人满意或者纠正行为无法弥补发包人的损失，则发包人直接扣取履约保证金的一部分或者全部，或者直接向银行发出正式书面索赔通知。</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如果通过扣取履约保证金和向银行索赔的方式依然不能完全弥补发包人的损失，则发包人有权在应支付给承包人的工程款中直接扣取。同时发包人有权要求承包人在规定时间内按专用条款第28.9和28.10款的约定向发包人补充提交履约保函和履约保证金。</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如果通过扣取履约保证金和向银行索赔以及直接扣取工程款等方式依然不能完全弥补发包人损失的，承包人必须在发包人规定的时间内以现金形式支付剩余索赔额。否则，发包人将按专用条款第86条的约定处理。</w:t>
      </w:r>
    </w:p>
    <w:p>
      <w:pPr>
        <w:spacing w:line="312" w:lineRule="auto"/>
        <w:ind w:right="-20" w:firstLine="482" w:firstLineChars="20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承包人与发包人一致同意增加第74.9款：</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74.9 在任何索赔期间，不论索赔是否有据，均不能免除承包人按合同约定履行合同义务。承包人不得以此为借口，拒不履行或拖延合同的履行；否则发包人有权终止合同，并要求承包人赔偿由此导致的发包人的损失。</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69" w:name="_Toc2733"/>
      <w:bookmarkStart w:id="970" w:name="_Toc23930"/>
      <w:bookmarkStart w:id="971" w:name="_Toc13849"/>
      <w:bookmarkStart w:id="972" w:name="_Toc28744"/>
      <w:r>
        <w:rPr>
          <w:rFonts w:hint="eastAsia" w:ascii="仿宋" w:hAnsi="仿宋" w:eastAsia="仿宋" w:cs="仿宋"/>
          <w:b/>
          <w:bCs/>
          <w:color w:val="auto"/>
          <w:sz w:val="24"/>
          <w:szCs w:val="24"/>
          <w:highlight w:val="none"/>
        </w:rPr>
        <w:t>75 现场签证事件</w:t>
      </w:r>
      <w:bookmarkEnd w:id="969"/>
      <w:bookmarkEnd w:id="970"/>
      <w:bookmarkEnd w:id="971"/>
      <w:bookmarkEnd w:id="972"/>
    </w:p>
    <w:p>
      <w:pPr>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75.3 现场签证报告确认约定的时间：按通用条款执行。</w:t>
      </w:r>
    </w:p>
    <w:p>
      <w:pPr>
        <w:spacing w:line="312" w:lineRule="auto"/>
        <w:ind w:right="-20" w:firstLine="470" w:firstLineChars="196"/>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75.7 现场签证引起合同价款调整的，按68.4条款执行。</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73" w:name="_Toc5483"/>
      <w:bookmarkStart w:id="974" w:name="_Toc15805"/>
      <w:bookmarkStart w:id="975" w:name="_Toc4020"/>
      <w:bookmarkStart w:id="976" w:name="_Toc7992"/>
      <w:r>
        <w:rPr>
          <w:rFonts w:hint="eastAsia" w:ascii="仿宋" w:hAnsi="仿宋" w:eastAsia="仿宋" w:cs="仿宋"/>
          <w:b/>
          <w:bCs/>
          <w:color w:val="auto"/>
          <w:sz w:val="24"/>
          <w:szCs w:val="24"/>
          <w:highlight w:val="none"/>
        </w:rPr>
        <w:t>76 物价涨落事件</w:t>
      </w:r>
      <w:bookmarkEnd w:id="973"/>
      <w:bookmarkEnd w:id="974"/>
      <w:bookmarkEnd w:id="975"/>
      <w:bookmarkEnd w:id="976"/>
    </w:p>
    <w:p>
      <w:pPr>
        <w:tabs>
          <w:tab w:val="left" w:pos="1240"/>
        </w:tabs>
        <w:spacing w:line="312" w:lineRule="auto"/>
        <w:ind w:right="-2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承包人和发包人一致同意通用条款第76.1款不适用，代之以：</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76.1物价涨落调整办法</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（1）因市场波动造成主要材料价格涨落，依据《广州市建设工程造价管理站关于发布</w:t>
      </w:r>
      <w:r>
        <w:rPr>
          <w:rStyle w:val="37"/>
          <w:rFonts w:hint="eastAsia" w:ascii="仿宋" w:hAnsi="仿宋" w:eastAsia="仿宋" w:cs="仿宋"/>
          <w:color w:val="auto"/>
          <w:sz w:val="24"/>
          <w:szCs w:val="24"/>
          <w:highlight w:val="none"/>
          <w:u w:val="single"/>
          <w:lang w:val="en-US" w:eastAsia="zh-CN"/>
        </w:rPr>
        <w:t xml:space="preserve">  </w:t>
      </w:r>
      <w:r>
        <w:rPr>
          <w:rStyle w:val="37"/>
          <w:rFonts w:hint="eastAsia" w:ascii="仿宋" w:hAnsi="仿宋" w:eastAsia="仿宋" w:cs="仿宋"/>
          <w:color w:val="auto"/>
          <w:sz w:val="24"/>
          <w:szCs w:val="24"/>
          <w:highlight w:val="none"/>
          <w:u w:val="single"/>
        </w:rPr>
        <w:t>年</w:t>
      </w:r>
      <w:r>
        <w:rPr>
          <w:rStyle w:val="37"/>
          <w:rFonts w:hint="eastAsia" w:ascii="仿宋" w:hAnsi="仿宋" w:eastAsia="仿宋" w:cs="仿宋"/>
          <w:color w:val="auto"/>
          <w:sz w:val="24"/>
          <w:szCs w:val="24"/>
          <w:highlight w:val="none"/>
          <w:u w:val="single"/>
          <w:lang w:val="en-US" w:eastAsia="zh-CN"/>
        </w:rPr>
        <w:t xml:space="preserve">  </w:t>
      </w:r>
      <w:bookmarkStart w:id="1174" w:name="_GoBack"/>
      <w:bookmarkEnd w:id="1174"/>
      <w:r>
        <w:rPr>
          <w:rStyle w:val="37"/>
          <w:rFonts w:hint="eastAsia" w:ascii="仿宋" w:hAnsi="仿宋" w:eastAsia="仿宋" w:cs="仿宋"/>
          <w:color w:val="auto"/>
          <w:sz w:val="24"/>
          <w:szCs w:val="24"/>
          <w:highlight w:val="none"/>
          <w:u w:val="single"/>
        </w:rPr>
        <w:t>月份广州市建设工程价格信息及有关计价办法的通知》进行价格调整。主要材料为：</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钢筋、预拌砂浆、水泥、商品砼、电线、电缆、铝型材、钢材。</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（2）关于基准价格的约定：基准价格为审定概算（或预算）价时执行的《广州市建设工程造价管理站关于发布2023年</w:t>
      </w:r>
      <w:r>
        <w:rPr>
          <w:rStyle w:val="37"/>
          <w:rFonts w:hint="eastAsia" w:ascii="仿宋" w:hAnsi="仿宋" w:eastAsia="仿宋" w:cs="仿宋"/>
          <w:color w:val="auto"/>
          <w:sz w:val="24"/>
          <w:szCs w:val="24"/>
          <w:highlight w:val="none"/>
          <w:u w:val="single"/>
          <w:lang w:val="en-US" w:eastAsia="zh-CN"/>
        </w:rPr>
        <w:t>8</w:t>
      </w:r>
      <w:r>
        <w:rPr>
          <w:rStyle w:val="37"/>
          <w:rFonts w:hint="eastAsia" w:ascii="仿宋" w:hAnsi="仿宋" w:eastAsia="仿宋" w:cs="仿宋"/>
          <w:color w:val="auto"/>
          <w:sz w:val="24"/>
          <w:szCs w:val="24"/>
          <w:highlight w:val="none"/>
          <w:u w:val="single"/>
        </w:rPr>
        <w:t>月份广州市建设工程价格信息及有关计价办法的通知》的人工、材料、工程设备和机械台班价格。</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（3）调整范围：合同履行期间材料价格涨幅以基准价格为基础超过5%时（不含5%），其超过5%以上部分据实调增；跌幅以基准价格为基础超过5%时（不含5%），其超过5%以上部分据实调减。</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（4）调整数量：可调整材料的数量，按施工期当月完成的且经监理单位、建设单位审批确认的形象进度及已完工程量清单中的工程数量对应的材料的消耗量。</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（5）调整方法：</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1）当价格上涨时，（Mn-Mo）/Mo＞5%</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C=Q×（Mn-Mo×1.05）</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2）当价格下降时，（Mn-Mo）/Mo＜-5%</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C=Q×（Mn-Mo×0.95）</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C  表示投标单价中材料需调整金额</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Q  表示施工期当月完成的且经监理单位、建设单位审批确认的形象进度及已完工程量清单中的工程数量对应的材料的消耗量</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Mn  表示施工期当月《广州市建设工程造价管理站关于发布××年××月份广州市建设工程价格信息及有关计价办法的通知》的材料价格</w:t>
      </w:r>
    </w:p>
    <w:p>
      <w:p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M0  表示基准价格，即审定概算（或预算）价时执行的《广州市建设工程造价管理站关于发布2023年</w:t>
      </w:r>
      <w:r>
        <w:rPr>
          <w:rStyle w:val="37"/>
          <w:rFonts w:hint="eastAsia" w:ascii="仿宋" w:hAnsi="仿宋" w:eastAsia="仿宋" w:cs="仿宋"/>
          <w:color w:val="auto"/>
          <w:sz w:val="24"/>
          <w:szCs w:val="24"/>
          <w:highlight w:val="none"/>
          <w:u w:val="single"/>
          <w:lang w:val="en-US" w:eastAsia="zh-CN"/>
        </w:rPr>
        <w:t>8</w:t>
      </w:r>
      <w:r>
        <w:rPr>
          <w:rStyle w:val="37"/>
          <w:rFonts w:hint="eastAsia" w:ascii="仿宋" w:hAnsi="仿宋" w:eastAsia="仿宋" w:cs="仿宋"/>
          <w:color w:val="auto"/>
          <w:sz w:val="24"/>
          <w:szCs w:val="24"/>
          <w:highlight w:val="none"/>
          <w:u w:val="single"/>
        </w:rPr>
        <w:t>月份广州市建设工程价格信息及有关计价办法的通知》的材料价格</w:t>
      </w:r>
    </w:p>
    <w:p>
      <w:pPr>
        <w:numPr>
          <w:ilvl w:val="0"/>
          <w:numId w:val="32"/>
        </w:numPr>
        <w:tabs>
          <w:tab w:val="left" w:pos="1240"/>
        </w:tabs>
        <w:spacing w:line="312" w:lineRule="auto"/>
        <w:ind w:right="-20" w:firstLine="470" w:firstLineChars="196"/>
        <w:rPr>
          <w:rStyle w:val="37"/>
          <w:rFonts w:ascii="仿宋" w:hAnsi="仿宋" w:eastAsia="仿宋" w:cs="仿宋"/>
          <w:color w:val="auto"/>
          <w:sz w:val="24"/>
          <w:szCs w:val="24"/>
          <w:highlight w:val="none"/>
          <w:u w:val="single"/>
        </w:rPr>
      </w:pPr>
      <w:r>
        <w:rPr>
          <w:rStyle w:val="37"/>
          <w:rFonts w:hint="eastAsia" w:ascii="仿宋" w:hAnsi="仿宋" w:eastAsia="仿宋" w:cs="仿宋"/>
          <w:color w:val="auto"/>
          <w:sz w:val="24"/>
          <w:szCs w:val="24"/>
          <w:highlight w:val="none"/>
          <w:u w:val="single"/>
        </w:rPr>
        <w:t>材料调整金额为分部分项工程费，措施项目费、其他项目费、规费及税金按相关规定调整。</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77" w:name="_Toc18840"/>
      <w:bookmarkStart w:id="978" w:name="_Toc27301"/>
      <w:bookmarkStart w:id="979" w:name="_Toc12826"/>
      <w:bookmarkStart w:id="980" w:name="_Toc10188"/>
      <w:r>
        <w:rPr>
          <w:rFonts w:hint="eastAsia" w:ascii="仿宋" w:hAnsi="仿宋" w:eastAsia="仿宋" w:cs="仿宋"/>
          <w:b/>
          <w:bCs/>
          <w:color w:val="auto"/>
          <w:sz w:val="24"/>
          <w:szCs w:val="24"/>
          <w:highlight w:val="none"/>
        </w:rPr>
        <w:t>78 支付事项</w:t>
      </w:r>
      <w:bookmarkEnd w:id="977"/>
      <w:bookmarkEnd w:id="978"/>
      <w:bookmarkEnd w:id="979"/>
      <w:bookmarkEnd w:id="980"/>
    </w:p>
    <w:p>
      <w:pPr>
        <w:tabs>
          <w:tab w:val="left" w:pos="1240"/>
        </w:tabs>
        <w:spacing w:line="300"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78.2 计算利息的利率</w:t>
      </w:r>
    </w:p>
    <w:p>
      <w:pPr>
        <w:tabs>
          <w:tab w:val="left" w:pos="1240"/>
        </w:tabs>
        <w:spacing w:line="300"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×按照中国人民银行发布的同期同类贷款利率。</w:t>
      </w:r>
    </w:p>
    <w:p>
      <w:pPr>
        <w:tabs>
          <w:tab w:val="left" w:pos="1240"/>
        </w:tabs>
        <w:spacing w:line="300"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√其他为</w:t>
      </w:r>
      <w:r>
        <w:rPr>
          <w:rStyle w:val="37"/>
          <w:rFonts w:hint="eastAsia" w:ascii="仿宋" w:hAnsi="仿宋" w:eastAsia="仿宋" w:cs="仿宋"/>
          <w:color w:val="auto"/>
          <w:sz w:val="24"/>
          <w:szCs w:val="24"/>
          <w:highlight w:val="none"/>
          <w:u w:val="single"/>
        </w:rPr>
        <w:t>无息</w:t>
      </w:r>
      <w:r>
        <w:rPr>
          <w:rStyle w:val="37"/>
          <w:rFonts w:hint="eastAsia" w:ascii="仿宋" w:hAnsi="仿宋" w:eastAsia="仿宋" w:cs="仿宋"/>
          <w:color w:val="auto"/>
          <w:sz w:val="24"/>
          <w:szCs w:val="24"/>
          <w:highlight w:val="none"/>
        </w:rPr>
        <w:t>。</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81" w:name="_Toc8520"/>
      <w:bookmarkStart w:id="982" w:name="_Toc12178"/>
      <w:bookmarkStart w:id="983" w:name="_Toc9440"/>
      <w:bookmarkStart w:id="984" w:name="_Toc25560"/>
      <w:r>
        <w:rPr>
          <w:rFonts w:hint="eastAsia" w:ascii="仿宋" w:hAnsi="仿宋" w:eastAsia="仿宋" w:cs="仿宋"/>
          <w:b/>
          <w:bCs/>
          <w:color w:val="auto"/>
          <w:sz w:val="24"/>
          <w:szCs w:val="24"/>
          <w:highlight w:val="none"/>
        </w:rPr>
        <w:t>79 预付款</w:t>
      </w:r>
      <w:bookmarkEnd w:id="981"/>
      <w:bookmarkEnd w:id="982"/>
      <w:bookmarkEnd w:id="983"/>
      <w:bookmarkEnd w:id="984"/>
    </w:p>
    <w:p>
      <w:pPr>
        <w:spacing w:line="300"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79.1 预付款的约定</w:t>
      </w:r>
    </w:p>
    <w:p>
      <w:pPr>
        <w:spacing w:line="300"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×没约定预付款的，本款不适用。</w:t>
      </w:r>
    </w:p>
    <w:p>
      <w:pPr>
        <w:tabs>
          <w:tab w:val="left" w:pos="5685"/>
        </w:tabs>
        <w:spacing w:line="300" w:lineRule="auto"/>
        <w:ind w:right="-16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√约定预付款的，预付款的金额为暂定合同价款的（×5%；√10% ），其支付办法及抵扣方式按本条有关规定确定。承包人按招标文件及专用条款第28.1款的要求提交履约保函，并提交工程预付款申请书，发包人收到后14天内向承包人支付预付款。已包含在合同价中由发包人代缴的款项（如基本劳动保险金等），发包人在支付预付款时按实缴金额一次性扣回。</w:t>
      </w:r>
    </w:p>
    <w:p>
      <w:pPr>
        <w:tabs>
          <w:tab w:val="left" w:pos="5685"/>
        </w:tabs>
        <w:spacing w:line="300" w:lineRule="auto"/>
        <w:ind w:right="-16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79.4 预付款抵扣方式</w:t>
      </w:r>
    </w:p>
    <w:p>
      <w:pPr>
        <w:tabs>
          <w:tab w:val="left" w:pos="5685"/>
        </w:tabs>
        <w:spacing w:line="300" w:lineRule="auto"/>
        <w:ind w:right="-16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×预付款按照期中应支付工程款的  %扣回，直到扣完为止。</w:t>
      </w:r>
    </w:p>
    <w:p>
      <w:pPr>
        <w:tabs>
          <w:tab w:val="left" w:pos="5685"/>
        </w:tabs>
        <w:spacing w:line="300" w:lineRule="auto"/>
        <w:ind w:right="-16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√其他方式：</w:t>
      </w:r>
    </w:p>
    <w:p>
      <w:pPr>
        <w:tabs>
          <w:tab w:val="left" w:pos="5685"/>
        </w:tabs>
        <w:spacing w:line="300" w:lineRule="auto"/>
        <w:ind w:right="-16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√工程款支付到合同价（扣除暂列金额）的50%时，开始扣回预付款，预付款分两次平均扣回。</w:t>
      </w:r>
    </w:p>
    <w:p>
      <w:pPr>
        <w:spacing w:line="300" w:lineRule="auto"/>
        <w:ind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×根据已完工作量按比例扣回，见下表：</w:t>
      </w:r>
    </w:p>
    <w:p>
      <w:pPr>
        <w:spacing w:line="300" w:lineRule="auto"/>
        <w:ind w:firstLine="480" w:firstLineChars="200"/>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预付款扣回比例表</w:t>
      </w:r>
    </w:p>
    <w:tbl>
      <w:tblPr>
        <w:tblStyle w:val="28"/>
        <w:tblW w:w="7748"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66"/>
        <w:gridCol w:w="2352"/>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vAlign w:val="center"/>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已完工作量与合同承包价（扣除了暂列金额）的比例（a）</w:t>
            </w:r>
          </w:p>
        </w:tc>
        <w:tc>
          <w:tcPr>
            <w:tcW w:w="2352" w:type="dxa"/>
            <w:tcBorders>
              <w:top w:val="single" w:color="000000" w:sz="4" w:space="0"/>
              <w:left w:val="single" w:color="000000" w:sz="4" w:space="0"/>
              <w:bottom w:val="single" w:color="000000" w:sz="4" w:space="0"/>
              <w:right w:val="single" w:color="000000" w:sz="4" w:space="0"/>
            </w:tcBorders>
            <w:vAlign w:val="center"/>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扣回预付款的比例</w:t>
            </w:r>
          </w:p>
        </w:tc>
        <w:tc>
          <w:tcPr>
            <w:tcW w:w="2130" w:type="dxa"/>
            <w:tcBorders>
              <w:top w:val="single" w:color="000000" w:sz="4" w:space="0"/>
              <w:left w:val="single" w:color="000000" w:sz="4" w:space="0"/>
              <w:bottom w:val="single" w:color="000000" w:sz="4" w:space="0"/>
              <w:right w:val="single" w:color="000000" w:sz="4" w:space="0"/>
            </w:tcBorders>
            <w:vAlign w:val="center"/>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累计扣回比例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10%≤a＜20％</w:t>
            </w:r>
          </w:p>
        </w:tc>
        <w:tc>
          <w:tcPr>
            <w:tcW w:w="2352"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10％</w:t>
            </w:r>
          </w:p>
        </w:tc>
        <w:tc>
          <w:tcPr>
            <w:tcW w:w="2130"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20%≤a＜40％</w:t>
            </w:r>
          </w:p>
        </w:tc>
        <w:tc>
          <w:tcPr>
            <w:tcW w:w="2352"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20％</w:t>
            </w:r>
          </w:p>
        </w:tc>
        <w:tc>
          <w:tcPr>
            <w:tcW w:w="2130"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40%≤a＜50％</w:t>
            </w:r>
          </w:p>
        </w:tc>
        <w:tc>
          <w:tcPr>
            <w:tcW w:w="2352"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30％</w:t>
            </w:r>
          </w:p>
        </w:tc>
        <w:tc>
          <w:tcPr>
            <w:tcW w:w="2130"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3266" w:type="dxa"/>
            <w:tcBorders>
              <w:top w:val="single" w:color="000000" w:sz="4" w:space="0"/>
              <w:left w:val="single" w:color="000000" w:sz="4" w:space="0"/>
              <w:bottom w:val="single" w:color="000000" w:sz="4" w:space="0"/>
              <w:right w:val="single" w:color="000000" w:sz="4" w:space="0"/>
            </w:tcBorders>
          </w:tcPr>
          <w:p>
            <w:pPr>
              <w:tabs>
                <w:tab w:val="left" w:pos="429"/>
                <w:tab w:val="center" w:pos="1688"/>
              </w:tabs>
              <w:spacing w:line="312" w:lineRule="auto"/>
              <w:jc w:val="left"/>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ab/>
            </w:r>
            <w:r>
              <w:rPr>
                <w:rStyle w:val="37"/>
                <w:rFonts w:hint="eastAsia" w:ascii="仿宋" w:hAnsi="仿宋" w:eastAsia="仿宋" w:cs="仿宋"/>
                <w:color w:val="auto"/>
                <w:sz w:val="24"/>
                <w:szCs w:val="24"/>
                <w:highlight w:val="none"/>
              </w:rPr>
              <w:tab/>
            </w:r>
            <w:r>
              <w:rPr>
                <w:rStyle w:val="37"/>
                <w:rFonts w:hint="eastAsia" w:ascii="仿宋" w:hAnsi="仿宋" w:eastAsia="仿宋" w:cs="仿宋"/>
                <w:color w:val="auto"/>
                <w:sz w:val="24"/>
                <w:szCs w:val="24"/>
                <w:highlight w:val="none"/>
              </w:rPr>
              <w:t>50%≤a≤60％</w:t>
            </w:r>
          </w:p>
        </w:tc>
        <w:tc>
          <w:tcPr>
            <w:tcW w:w="2352"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40％</w:t>
            </w:r>
          </w:p>
        </w:tc>
        <w:tc>
          <w:tcPr>
            <w:tcW w:w="2130" w:type="dxa"/>
            <w:tcBorders>
              <w:top w:val="single" w:color="000000" w:sz="4" w:space="0"/>
              <w:left w:val="single" w:color="000000" w:sz="4" w:space="0"/>
              <w:bottom w:val="single" w:color="000000" w:sz="4" w:space="0"/>
              <w:right w:val="single" w:color="000000" w:sz="4" w:space="0"/>
            </w:tcBorders>
          </w:tcPr>
          <w:p>
            <w:pPr>
              <w:spacing w:line="312" w:lineRule="auto"/>
              <w:jc w:val="cente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100％</w:t>
            </w:r>
          </w:p>
        </w:tc>
      </w:tr>
    </w:tbl>
    <w:p>
      <w:pPr>
        <w:tabs>
          <w:tab w:val="left" w:pos="5685"/>
        </w:tabs>
        <w:spacing w:line="312" w:lineRule="auto"/>
        <w:ind w:right="-160"/>
        <w:rPr>
          <w:rFonts w:ascii="仿宋" w:hAnsi="仿宋" w:eastAsia="仿宋" w:cs="仿宋"/>
          <w:b/>
          <w:bCs/>
          <w:color w:val="auto"/>
          <w:sz w:val="24"/>
          <w:szCs w:val="24"/>
          <w:highlight w:val="none"/>
        </w:rPr>
      </w:pP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85" w:name="_Toc17741"/>
      <w:bookmarkStart w:id="986" w:name="_Toc29432"/>
      <w:bookmarkStart w:id="987" w:name="_Toc30827"/>
      <w:bookmarkStart w:id="988" w:name="_Toc3194"/>
      <w:r>
        <w:rPr>
          <w:rFonts w:hint="eastAsia" w:ascii="仿宋" w:hAnsi="仿宋" w:eastAsia="仿宋" w:cs="仿宋"/>
          <w:b/>
          <w:bCs/>
          <w:color w:val="auto"/>
          <w:sz w:val="24"/>
          <w:szCs w:val="24"/>
          <w:highlight w:val="none"/>
        </w:rPr>
        <w:t>80绿色施工安全防护费</w:t>
      </w:r>
      <w:bookmarkEnd w:id="985"/>
      <w:bookmarkEnd w:id="986"/>
      <w:bookmarkEnd w:id="987"/>
      <w:bookmarkEnd w:id="988"/>
    </w:p>
    <w:p>
      <w:pPr>
        <w:tabs>
          <w:tab w:val="left" w:pos="5685"/>
        </w:tabs>
        <w:spacing w:line="312" w:lineRule="auto"/>
        <w:ind w:right="-16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80.1</w:t>
      </w:r>
      <w:r>
        <w:rPr>
          <w:rFonts w:hint="eastAsia" w:ascii="仿宋" w:hAnsi="仿宋" w:eastAsia="仿宋" w:cs="仿宋"/>
          <w:b/>
          <w:bCs/>
          <w:color w:val="auto"/>
          <w:sz w:val="24"/>
          <w:szCs w:val="24"/>
          <w:highlight w:val="none"/>
          <w:lang w:val="zh-CN"/>
        </w:rPr>
        <w:t>绿色施工安全防护费</w:t>
      </w:r>
      <w:r>
        <w:rPr>
          <w:rStyle w:val="37"/>
          <w:rFonts w:hint="eastAsia" w:ascii="仿宋" w:hAnsi="仿宋" w:eastAsia="仿宋" w:cs="仿宋"/>
          <w:color w:val="auto"/>
          <w:sz w:val="24"/>
          <w:szCs w:val="24"/>
          <w:highlight w:val="none"/>
        </w:rPr>
        <w:t>的内容、范围和金额的约定</w:t>
      </w:r>
    </w:p>
    <w:p>
      <w:pPr>
        <w:tabs>
          <w:tab w:val="left" w:pos="5685"/>
        </w:tabs>
        <w:spacing w:line="312" w:lineRule="auto"/>
        <w:ind w:right="-16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(1) </w:t>
      </w:r>
      <w:r>
        <w:rPr>
          <w:rFonts w:hint="eastAsia" w:ascii="仿宋" w:hAnsi="仿宋" w:eastAsia="仿宋" w:cs="仿宋"/>
          <w:b/>
          <w:bCs/>
          <w:color w:val="auto"/>
          <w:sz w:val="24"/>
          <w:szCs w:val="24"/>
          <w:highlight w:val="none"/>
          <w:lang w:val="zh-CN"/>
        </w:rPr>
        <w:t>绿色施工安全防护费</w:t>
      </w:r>
      <w:r>
        <w:rPr>
          <w:rStyle w:val="37"/>
          <w:rFonts w:hint="eastAsia" w:ascii="仿宋" w:hAnsi="仿宋" w:eastAsia="仿宋" w:cs="仿宋"/>
          <w:color w:val="auto"/>
          <w:sz w:val="24"/>
          <w:szCs w:val="24"/>
          <w:highlight w:val="none"/>
        </w:rPr>
        <w:t>的内容和范围</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√按合同通用条款的规定，以现行广东省统一工程计价依据规定为准。</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√合同双方的其他要求：无。</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w:t>
      </w:r>
      <w:r>
        <w:rPr>
          <w:rStyle w:val="37"/>
          <w:rFonts w:hint="eastAsia" w:ascii="仿宋" w:hAnsi="仿宋" w:eastAsia="仿宋" w:cs="仿宋"/>
          <w:color w:val="auto"/>
          <w:sz w:val="24"/>
          <w:szCs w:val="24"/>
          <w:highlight w:val="none"/>
          <w:lang w:val="zh-CN"/>
        </w:rPr>
        <w:t>安全防护、文明施工措施项目费</w:t>
      </w:r>
      <w:r>
        <w:rPr>
          <w:rStyle w:val="37"/>
          <w:rFonts w:hint="eastAsia" w:ascii="仿宋" w:hAnsi="仿宋" w:eastAsia="仿宋" w:cs="仿宋"/>
          <w:color w:val="auto"/>
          <w:sz w:val="24"/>
          <w:szCs w:val="24"/>
          <w:highlight w:val="none"/>
        </w:rPr>
        <w:t>的总金额为</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u w:val="single"/>
          <w:lang w:eastAsia="zh-CN"/>
        </w:rPr>
        <w:t xml:space="preserve">  </w:t>
      </w:r>
      <w:r>
        <w:rPr>
          <w:rStyle w:val="37"/>
          <w:rFonts w:hint="eastAsia" w:ascii="仿宋" w:hAnsi="仿宋" w:eastAsia="仿宋" w:cs="仿宋"/>
          <w:color w:val="auto"/>
          <w:sz w:val="24"/>
          <w:szCs w:val="24"/>
          <w:highlight w:val="none"/>
          <w:u w:val="single"/>
        </w:rPr>
        <w:t xml:space="preserve">      </w:t>
      </w:r>
      <w:r>
        <w:rPr>
          <w:rStyle w:val="37"/>
          <w:rFonts w:hint="eastAsia" w:ascii="仿宋" w:hAnsi="仿宋" w:eastAsia="仿宋" w:cs="仿宋"/>
          <w:color w:val="auto"/>
          <w:sz w:val="24"/>
          <w:szCs w:val="24"/>
          <w:highlight w:val="none"/>
        </w:rPr>
        <w:t>元。</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80.2</w:t>
      </w:r>
      <w:r>
        <w:rPr>
          <w:rFonts w:hint="eastAsia" w:ascii="仿宋" w:hAnsi="仿宋" w:eastAsia="仿宋" w:cs="仿宋"/>
          <w:b/>
          <w:bCs/>
          <w:color w:val="auto"/>
          <w:sz w:val="24"/>
          <w:szCs w:val="24"/>
          <w:highlight w:val="none"/>
          <w:lang w:val="zh-CN"/>
        </w:rPr>
        <w:t>绿色施工安全防护费</w:t>
      </w:r>
      <w:r>
        <w:rPr>
          <w:rStyle w:val="37"/>
          <w:rFonts w:hint="eastAsia" w:ascii="仿宋" w:hAnsi="仿宋" w:eastAsia="仿宋" w:cs="仿宋"/>
          <w:color w:val="auto"/>
          <w:sz w:val="24"/>
          <w:szCs w:val="24"/>
          <w:highlight w:val="none"/>
        </w:rPr>
        <w:t>的预付金额、支付办法和抵扣方式</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√按合同通用条款的规定。若政府主管部门另有规定的，则执行该规定。</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×其他：</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89" w:name="_Toc19196"/>
      <w:bookmarkStart w:id="990" w:name="_Toc3915"/>
      <w:bookmarkStart w:id="991" w:name="_Toc26289"/>
      <w:bookmarkStart w:id="992" w:name="_Toc16767"/>
      <w:r>
        <w:rPr>
          <w:rFonts w:hint="eastAsia" w:ascii="仿宋" w:hAnsi="仿宋" w:eastAsia="仿宋" w:cs="仿宋"/>
          <w:b/>
          <w:bCs/>
          <w:color w:val="auto"/>
          <w:sz w:val="24"/>
          <w:szCs w:val="24"/>
          <w:highlight w:val="none"/>
        </w:rPr>
        <w:t>81进度款</w:t>
      </w:r>
      <w:bookmarkEnd w:id="989"/>
      <w:bookmarkEnd w:id="990"/>
      <w:bookmarkEnd w:id="991"/>
      <w:bookmarkEnd w:id="992"/>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81.1 支付期间</w:t>
      </w:r>
    </w:p>
    <w:p>
      <w:pPr>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√以月为单位；承包人的工程计量报表和计量支付证书经现场工程师及总监确认后，发包人参照《广州市</w:t>
      </w:r>
      <w:r>
        <w:rPr>
          <w:rStyle w:val="37"/>
          <w:rFonts w:ascii="仿宋" w:hAnsi="仿宋" w:eastAsia="仿宋" w:cs="仿宋"/>
          <w:color w:val="auto"/>
          <w:sz w:val="24"/>
          <w:szCs w:val="24"/>
          <w:highlight w:val="none"/>
        </w:rPr>
        <w:t>市</w:t>
      </w:r>
      <w:r>
        <w:rPr>
          <w:rStyle w:val="37"/>
          <w:rFonts w:hint="eastAsia" w:ascii="仿宋" w:hAnsi="仿宋" w:eastAsia="仿宋" w:cs="仿宋"/>
          <w:color w:val="auto"/>
          <w:sz w:val="24"/>
          <w:szCs w:val="24"/>
          <w:highlight w:val="none"/>
        </w:rPr>
        <w:t>本级基本建设项目财政性资金集中支付实施办法》，在扣除相应预付款或违约款或其他应扣款项后，支付当期进度款最多支付至本期工作量的85%，已完工程量达到或超过合同价扣除暂列金额后的合同承包价时，发包人最多可付至合同价的85％（不含暂列金额，不含原清单减少或未实施内容）。</w:t>
      </w:r>
    </w:p>
    <w:p>
      <w:pPr>
        <w:rPr>
          <w:rStyle w:val="37"/>
          <w:rFonts w:ascii="仿宋" w:hAnsi="仿宋" w:eastAsia="仿宋" w:cs="仿宋"/>
          <w:color w:val="auto"/>
          <w:sz w:val="24"/>
          <w:szCs w:val="24"/>
          <w:highlight w:val="none"/>
        </w:rPr>
      </w:pP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×以季度为单位；</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×以形象进度为准；</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81.2 期中付款的最低限额为×元。</w:t>
      </w:r>
    </w:p>
    <w:p>
      <w:pPr>
        <w:spacing w:line="312" w:lineRule="auto"/>
        <w:ind w:right="-20" w:firstLine="482" w:firstLineChars="20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承包人与发包人一致同意增加第81.7款至第81.9款：</w:t>
      </w:r>
    </w:p>
    <w:p>
      <w:pPr>
        <w:numPr>
          <w:ilvl w:val="255"/>
          <w:numId w:val="0"/>
        </w:num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81.7本合同约定的工程全部完工且由承包人完成建设工程涉及到的工程质量验收、规划验收、消防验收、环保验收、室内环境验收、卫生防疫验收、电梯验收、燃气验收、档案验收、人防工程验收、防雷验收、节能验收等，并取得相关验收主管部门出具的验收认可文件或者准许使用文件后，通过发包人组织的工程竣工验收合格，并完成建设工程竣工图、竣工验收备案并取得批复的竣工验收备案意见且实体移交后，发包人累计支付至本合同价款（不含暂列金额；不含原清单减少或未实施内容）的87%。                    </w:t>
      </w:r>
    </w:p>
    <w:p>
      <w:pPr>
        <w:numPr>
          <w:ilvl w:val="255"/>
          <w:numId w:val="0"/>
        </w:num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81.8承包人承包范围内的所有竣工结算资料按本合同约定及发包人下发相关管理办法的规定送至发包人，竣工结算经发包人完成内审和移交竣工档案，承包人承包范围内的所有竣工结算资料由承包人配合发包人送至有权结算终审部门后，发包人累计支付至本合同价款（不含暂列金额；不含原清单减少或未实施内容）的88%。</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81.9工程竣工验收合格并备案，竣工结算经天河区财政局审核后20个工作日内，工程款支付至经天河区财政局审定的结算价97%（质量保证金为保函时，工程竣工验收合格并备案，竣工结算经天河区财政局审核并递交质量保函后10天内，工程款支付至经天河区财政局审定的结算价100%）。余款按本合同专用条款第84条关于质量保证金的约定执行。若发包人已支付的累计金额大于工程结算审定金额的97%，承包人应在工程结算审定之日起15日内向发包人返还多收的款项；否则，发包人有权向承包人追索，承包人除应足额返还多收的款项外，还应每天按多收款项总额的2‰向发包人支付违约金。</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93" w:name="_Toc7031"/>
      <w:bookmarkStart w:id="994" w:name="_Toc21089"/>
      <w:bookmarkStart w:id="995" w:name="_Toc10285"/>
      <w:bookmarkStart w:id="996" w:name="_Toc1817"/>
      <w:r>
        <w:rPr>
          <w:rFonts w:hint="eastAsia" w:ascii="仿宋" w:hAnsi="仿宋" w:eastAsia="仿宋" w:cs="仿宋"/>
          <w:b/>
          <w:bCs/>
          <w:color w:val="auto"/>
          <w:sz w:val="24"/>
          <w:szCs w:val="24"/>
          <w:highlight w:val="none"/>
        </w:rPr>
        <w:t>82竣工结算</w:t>
      </w:r>
      <w:bookmarkEnd w:id="993"/>
      <w:bookmarkEnd w:id="994"/>
      <w:bookmarkEnd w:id="995"/>
      <w:bookmarkEnd w:id="996"/>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82.1 结算的程序和时限：</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×按合同通用条款的规定办理。</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√不按合同通用条款的规定，办理结算程序和时限为：按天河区财政局规定的结算程序和时限办理。</w:t>
      </w:r>
    </w:p>
    <w:p>
      <w:pPr>
        <w:spacing w:line="312" w:lineRule="auto"/>
        <w:ind w:right="-20" w:firstLine="482" w:firstLineChars="20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承包人与发包人一致同意增加第82.6款至第82.8款：</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82.6 发包人对工程竣工结算的特殊要求：经天河区财政局审核。</w:t>
      </w:r>
    </w:p>
    <w:p>
      <w:pPr>
        <w:spacing w:line="360"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82.7 若承包人不配合结算审核工作以至工程结算迟迟不能定案或承包人对终审部门的审核结果拒不确认，在规定时间内又提不出正确理由时，则最终的审核结果由发包人与终审部门共同确认。</w:t>
      </w:r>
    </w:p>
    <w:p>
      <w:pPr>
        <w:spacing w:before="0" w:after="0" w:line="360" w:lineRule="auto"/>
        <w:ind w:firstLine="480" w:firstLineChars="200"/>
        <w:outlineLvl w:val="9"/>
        <w:rPr>
          <w:rStyle w:val="37"/>
          <w:rFonts w:ascii="仿宋" w:hAnsi="仿宋" w:eastAsia="仿宋" w:cs="仿宋"/>
          <w:b w:val="0"/>
          <w:bCs/>
          <w:color w:val="auto"/>
          <w:kern w:val="2"/>
          <w:sz w:val="24"/>
          <w:szCs w:val="24"/>
          <w:highlight w:val="none"/>
        </w:rPr>
      </w:pPr>
      <w:r>
        <w:rPr>
          <w:rStyle w:val="37"/>
          <w:rFonts w:ascii="仿宋" w:hAnsi="仿宋" w:eastAsia="仿宋" w:cs="仿宋"/>
          <w:b w:val="0"/>
          <w:bCs/>
          <w:color w:val="auto"/>
          <w:kern w:val="2"/>
          <w:sz w:val="24"/>
          <w:szCs w:val="24"/>
          <w:highlight w:val="none"/>
        </w:rPr>
        <w:t>82.8</w:t>
      </w:r>
      <w:r>
        <w:rPr>
          <w:rStyle w:val="37"/>
          <w:rFonts w:hint="eastAsia" w:ascii="仿宋" w:hAnsi="仿宋" w:eastAsia="仿宋" w:cs="仿宋"/>
          <w:b w:val="0"/>
          <w:bCs/>
          <w:color w:val="auto"/>
          <w:kern w:val="2"/>
          <w:sz w:val="24"/>
          <w:szCs w:val="24"/>
          <w:highlight w:val="none"/>
        </w:rPr>
        <w:t>根据协议书第四条质量标准，双方如约定评优的质量目标时，承包人已完成结算审核而未完成评优工作的，发包人暂扣合同价的千分之五，待承包人完成评优工作后无息返还。</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997" w:name="_Toc30971"/>
      <w:bookmarkStart w:id="998" w:name="_Toc20213"/>
      <w:bookmarkStart w:id="999" w:name="_Toc28394"/>
      <w:bookmarkStart w:id="1000" w:name="_Toc9821"/>
      <w:r>
        <w:rPr>
          <w:rFonts w:hint="eastAsia" w:ascii="仿宋" w:hAnsi="仿宋" w:eastAsia="仿宋" w:cs="仿宋"/>
          <w:b/>
          <w:bCs/>
          <w:color w:val="auto"/>
          <w:sz w:val="24"/>
          <w:szCs w:val="24"/>
          <w:highlight w:val="none"/>
        </w:rPr>
        <w:t>84质量保证金</w:t>
      </w:r>
      <w:bookmarkEnd w:id="997"/>
      <w:bookmarkEnd w:id="998"/>
      <w:bookmarkEnd w:id="999"/>
      <w:bookmarkEnd w:id="1000"/>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84.2 质量保证金的金额及扣留</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 质量保证金的金额</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×按合同通用条款的规定，即按合同价款的 3％。</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√其他为</w:t>
      </w:r>
      <w:r>
        <w:rPr>
          <w:rStyle w:val="37"/>
          <w:rFonts w:hint="eastAsia" w:ascii="仿宋" w:hAnsi="仿宋" w:eastAsia="仿宋" w:cs="仿宋"/>
          <w:color w:val="auto"/>
          <w:sz w:val="24"/>
          <w:szCs w:val="24"/>
          <w:highlight w:val="none"/>
          <w:u w:val="single"/>
        </w:rPr>
        <w:t>经天河区财政局核定的工程结算总价款的3%</w:t>
      </w:r>
      <w:r>
        <w:rPr>
          <w:rStyle w:val="37"/>
          <w:rFonts w:hint="eastAsia" w:ascii="仿宋" w:hAnsi="仿宋" w:eastAsia="仿宋" w:cs="仿宋"/>
          <w:color w:val="auto"/>
          <w:sz w:val="24"/>
          <w:szCs w:val="24"/>
          <w:highlight w:val="none"/>
        </w:rPr>
        <w:t>。</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 质量保证金的扣留</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×按合同通用条款的规定，从每次应支付给承包人的工程款（包括进度款和结算款）中扣留，扣留的比例为3%。</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√其他方式：</w:t>
      </w:r>
      <w:r>
        <w:rPr>
          <w:rStyle w:val="37"/>
          <w:rFonts w:hint="eastAsia" w:ascii="仿宋" w:hAnsi="仿宋" w:eastAsia="仿宋" w:cs="仿宋"/>
          <w:color w:val="auto"/>
          <w:sz w:val="24"/>
          <w:szCs w:val="24"/>
          <w:highlight w:val="none"/>
        </w:rPr>
        <w:sym w:font="Wingdings 2" w:char="0052"/>
      </w:r>
      <w:r>
        <w:rPr>
          <w:rStyle w:val="37"/>
          <w:rFonts w:hint="eastAsia" w:ascii="仿宋" w:hAnsi="仿宋" w:eastAsia="仿宋" w:cs="仿宋"/>
          <w:color w:val="auto"/>
          <w:sz w:val="24"/>
          <w:szCs w:val="24"/>
          <w:highlight w:val="none"/>
        </w:rPr>
        <w:t>从工程结算款中一次性扣留，扣留的比例为3%。</w:t>
      </w:r>
      <w:r>
        <w:rPr>
          <w:rStyle w:val="37"/>
          <w:rFonts w:hint="eastAsia" w:ascii="仿宋" w:hAnsi="仿宋" w:eastAsia="仿宋" w:cs="仿宋"/>
          <w:color w:val="auto"/>
          <w:sz w:val="24"/>
          <w:szCs w:val="24"/>
          <w:highlight w:val="none"/>
          <w:lang w:eastAsia="zh-CN"/>
        </w:rPr>
        <w:t>☑</w:t>
      </w:r>
      <w:r>
        <w:rPr>
          <w:rStyle w:val="59"/>
          <w:rFonts w:hint="eastAsia" w:ascii="仿宋" w:hAnsi="仿宋" w:eastAsia="仿宋" w:cs="仿宋"/>
          <w:color w:val="auto"/>
          <w:sz w:val="24"/>
          <w:szCs w:val="24"/>
          <w:highlight w:val="none"/>
        </w:rPr>
        <w:t>或</w:t>
      </w:r>
      <w:r>
        <w:rPr>
          <w:rStyle w:val="37"/>
          <w:rFonts w:hint="eastAsia" w:ascii="仿宋" w:hAnsi="仿宋" w:eastAsia="仿宋" w:cs="仿宋"/>
          <w:color w:val="auto"/>
          <w:sz w:val="24"/>
          <w:szCs w:val="24"/>
          <w:highlight w:val="none"/>
        </w:rPr>
        <w:t>递交合同承包价3%的质量保函。</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84.3 质量保证金的返还时间：在工程竣工验收合格后满二年，若承包人未出现违约情形，且未出现漏水问题发包人应在收到承包人的款项申请手续后14天内将质量保证金无息退回给承包人；若存在漏水问题，发包人有权暂扣质保金的10%，直至防水质保期满且未漏水时，方可无息退回。</w:t>
      </w:r>
    </w:p>
    <w:p>
      <w:pPr>
        <w:spacing w:line="312" w:lineRule="auto"/>
        <w:ind w:right="-20"/>
        <w:outlineLvl w:val="2"/>
        <w:rPr>
          <w:rStyle w:val="37"/>
          <w:rFonts w:ascii="仿宋" w:hAnsi="仿宋" w:eastAsia="仿宋" w:cs="仿宋"/>
          <w:b/>
          <w:bCs/>
          <w:color w:val="auto"/>
          <w:sz w:val="24"/>
          <w:szCs w:val="24"/>
          <w:highlight w:val="none"/>
        </w:rPr>
      </w:pPr>
      <w:bookmarkStart w:id="1001" w:name="_Toc24730"/>
      <w:r>
        <w:rPr>
          <w:rStyle w:val="37"/>
          <w:rFonts w:hint="eastAsia" w:ascii="仿宋" w:hAnsi="仿宋" w:eastAsia="仿宋" w:cs="仿宋"/>
          <w:b/>
          <w:bCs/>
          <w:color w:val="auto"/>
          <w:sz w:val="24"/>
          <w:szCs w:val="24"/>
          <w:highlight w:val="none"/>
        </w:rPr>
        <w:t>85 最终清算付款</w:t>
      </w:r>
      <w:bookmarkEnd w:id="1001"/>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85.1 最终结清申请报告提交份数：3份</w:t>
      </w:r>
    </w:p>
    <w:p>
      <w:pPr>
        <w:spacing w:line="312" w:lineRule="auto"/>
        <w:ind w:right="-20" w:firstLine="1080" w:firstLineChars="45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提交期限：按通用条款执行。</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02" w:name="_Toc16090"/>
      <w:bookmarkStart w:id="1003" w:name="_Toc3619"/>
      <w:bookmarkStart w:id="1004" w:name="_Toc17927"/>
      <w:bookmarkStart w:id="1005" w:name="_Toc6153"/>
      <w:r>
        <w:rPr>
          <w:rFonts w:hint="eastAsia" w:ascii="仿宋" w:hAnsi="仿宋" w:eastAsia="仿宋" w:cs="仿宋"/>
          <w:b/>
          <w:bCs/>
          <w:color w:val="auto"/>
          <w:sz w:val="24"/>
          <w:szCs w:val="24"/>
          <w:highlight w:val="none"/>
        </w:rPr>
        <w:t>86 合同争议</w:t>
      </w:r>
      <w:bookmarkEnd w:id="1002"/>
      <w:bookmarkEnd w:id="1003"/>
      <w:bookmarkEnd w:id="1004"/>
      <w:bookmarkEnd w:id="1005"/>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86.4 争议调解或认定机构</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√按合同通用条款的规定。</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×不按合同通用条款的规定，合同双方认可为：</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86.6 双方同意选择下列一种方式解决争议：</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×向（仲裁机构）申请仲裁。</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√向工程项目所在地人民法院提起诉讼。</w:t>
      </w:r>
    </w:p>
    <w:p>
      <w:pPr>
        <w:pStyle w:val="13"/>
        <w:tabs>
          <w:tab w:val="left" w:pos="540"/>
        </w:tabs>
        <w:adjustRightInd w:val="0"/>
        <w:snapToGrid w:val="0"/>
        <w:spacing w:before="312" w:beforeLines="100" w:line="360" w:lineRule="auto"/>
        <w:ind w:right="-20"/>
        <w:outlineLvl w:val="2"/>
        <w:rPr>
          <w:rFonts w:ascii="仿宋" w:hAnsi="仿宋" w:eastAsia="仿宋" w:cs="仿宋"/>
          <w:b/>
          <w:bCs/>
          <w:color w:val="auto"/>
          <w:sz w:val="24"/>
          <w:szCs w:val="24"/>
          <w:highlight w:val="none"/>
        </w:rPr>
      </w:pPr>
      <w:bookmarkStart w:id="1006" w:name="_Toc7081"/>
      <w:bookmarkStart w:id="1007" w:name="_Toc32583"/>
      <w:bookmarkStart w:id="1008" w:name="_Toc25047"/>
      <w:bookmarkStart w:id="1009" w:name="_Toc8063"/>
      <w:r>
        <w:rPr>
          <w:rFonts w:hint="eastAsia" w:ascii="仿宋" w:hAnsi="仿宋" w:eastAsia="仿宋" w:cs="仿宋"/>
          <w:b/>
          <w:bCs/>
          <w:color w:val="auto"/>
          <w:sz w:val="24"/>
          <w:szCs w:val="24"/>
          <w:highlight w:val="none"/>
        </w:rPr>
        <w:t>87 合同解除</w:t>
      </w:r>
      <w:bookmarkEnd w:id="1006"/>
      <w:bookmarkEnd w:id="1007"/>
      <w:bookmarkEnd w:id="1008"/>
      <w:bookmarkEnd w:id="1009"/>
    </w:p>
    <w:p>
      <w:pPr>
        <w:tabs>
          <w:tab w:val="left" w:pos="1240"/>
        </w:tabs>
        <w:spacing w:line="312" w:lineRule="auto"/>
        <w:ind w:right="-20"/>
        <w:rPr>
          <w:rStyle w:val="37"/>
          <w:rFonts w:ascii="仿宋" w:hAnsi="仿宋" w:eastAsia="仿宋" w:cs="仿宋"/>
          <w:b/>
          <w:bCs/>
          <w:color w:val="auto"/>
          <w:sz w:val="24"/>
          <w:szCs w:val="24"/>
          <w:highlight w:val="none"/>
        </w:rPr>
      </w:pPr>
      <w:r>
        <w:rPr>
          <w:rStyle w:val="37"/>
          <w:rFonts w:hint="eastAsia" w:ascii="仿宋" w:hAnsi="仿宋" w:eastAsia="仿宋" w:cs="仿宋"/>
          <w:b/>
          <w:bCs/>
          <w:color w:val="auto"/>
          <w:sz w:val="24"/>
          <w:szCs w:val="24"/>
          <w:highlight w:val="none"/>
        </w:rPr>
        <w:t>承包人与发包人一致同意增加第87.7款至第87.11款：</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87.7 合同解除后，不影响双方在合同中约定的结算和清理条款的效力，亦不能免除承包人对已完工项目的保修责任。</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87.8 发包人有权依据本合同有关条款的约定部分解除合同或解除合同。</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87.9 部分解除合同</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承包人违约致部分解除合同的条件成就时，承包人在此承诺：</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（1）因承包人违约致部分解除合同的条件成就时，发包人有权向承包人发出部分解除合同的通知，该通知送达承包人时部分解除合同即生效，并立即按照专用条款第90.3（4）款的约定执行。</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（2）承包人在接到部分解除合同的通知后，在2天内停止该部分工程的施工，并将机械、材料、物件、人员从该部分工程的施工场地撤离。</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停工3天内，发包人、监理单位会同承包人对已完成工程量进行清点。发包人只承认已发生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（4）承包人在收到部分解除合同的通知后，若不按上述约定执行，发包人有权自行处理承包人滞留在施工现场的物品，处理费用及因此所造成的损失由承包人承担。</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（5）部分解除合同的通知到达承包人后，发包人就该部分解除合同的工程即可另行与其他单位签订施工合同，承包人不得阻碍新的单位进场施工。</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（6）当部分解除合同的工程额达到本合同价款的50%时，发包人有权解除合同。</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87.10 解除合同</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承包人违约致解除合同的条件成就时，承包人在此承诺：</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（1）因承包人违约致解除合同的条件成就时，发包人有权向承包人发出解除合同的通知，该通知送达承包人时解除合同即生效，并立即按照专用条款第90.3（5）款的约定执行。</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接到解除合同的通知后，必须在2天内停止工程施工，并在10天内将机械、材料、物件、人员从施工现场撤离。停工3天内，发包人、监理单位将会同承包人对已完成工程量进行清点，清点规则比照部分解除合同的情形处理。</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承包人未在规定期限内离场的，发包人有权将其留在现场的材料、设备和其他物件临时转运到其它堆放处，由此产生的搬运、保管费用由承包人负责，在此过程中出现的任何非发包人主观故意引起的损坏、遗失及因此所造成的其他损失全部由承包人自行负责，处理费用由承包人承担。</w:t>
      </w:r>
    </w:p>
    <w:p>
      <w:pPr>
        <w:tabs>
          <w:tab w:val="left" w:pos="1240"/>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（4）解除合同的通知到达承包人后，发包人就该解除合同的工程即可另行与其他单位签订施工合同，承包人不得阻碍新的单位进场施工。</w:t>
      </w:r>
    </w:p>
    <w:p>
      <w:pPr>
        <w:tabs>
          <w:tab w:val="left" w:pos="1240"/>
        </w:tabs>
        <w:spacing w:line="312" w:lineRule="auto"/>
        <w:ind w:right="-20" w:firstLine="480" w:firstLineChars="200"/>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87.11承包人在部分解除合同或解除合同后，还必须在规定期限内作好已施工技术资料和实物的交底、移交工作。承包人因未履行上述义务而给发包人带来工期延误和其他损失的，应赔偿发包人的实际损失。</w:t>
      </w:r>
    </w:p>
    <w:p>
      <w:pPr>
        <w:tabs>
          <w:tab w:val="left" w:pos="1240"/>
          <w:tab w:val="left" w:pos="3640"/>
          <w:tab w:val="left" w:pos="6040"/>
          <w:tab w:val="left" w:pos="7845"/>
        </w:tabs>
        <w:spacing w:line="312" w:lineRule="auto"/>
        <w:ind w:right="-20" w:firstLine="482" w:firstLineChars="200"/>
        <w:outlineLvl w:val="2"/>
        <w:rPr>
          <w:rStyle w:val="37"/>
          <w:rFonts w:ascii="仿宋" w:hAnsi="仿宋" w:eastAsia="仿宋" w:cs="仿宋"/>
          <w:b/>
          <w:bCs/>
          <w:color w:val="auto"/>
          <w:sz w:val="24"/>
          <w:szCs w:val="24"/>
          <w:highlight w:val="none"/>
        </w:rPr>
      </w:pPr>
      <w:bookmarkStart w:id="1010" w:name="_Toc14157"/>
      <w:r>
        <w:rPr>
          <w:rStyle w:val="37"/>
          <w:rFonts w:hint="eastAsia" w:ascii="仿宋" w:hAnsi="仿宋" w:eastAsia="仿宋" w:cs="仿宋"/>
          <w:b/>
          <w:bCs/>
          <w:color w:val="auto"/>
          <w:sz w:val="24"/>
          <w:szCs w:val="24"/>
          <w:highlight w:val="none"/>
        </w:rPr>
        <w:t>90承包人的违约责任</w:t>
      </w:r>
      <w:bookmarkEnd w:id="1010"/>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90.1当发生下列情况时：</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（1）本合同通用条款第38条提到的因承包人原因不能按照协议书约定的竣工日期或发包人同意顺延的工期竣工；</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（2）本合同通用条款第42条提到的因承包人原因工程质量达不到协议书约定的质量标准；</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（3）承包人不履行合同义务或不按合同约定履行义务的其他情况。</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承包人承担违约，赔偿因其违约给发包人造成的损失。双方在合同专用条款内约定承包人赔偿发包人损失的计算方法或者承包人应当支付违约金的数额或计算方法。</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90.2一方违约后，另一方要求违约方继续履行合同时，违约方承担上述违约责任后仍应继续履行合同。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90.3 承包人承担违约责任的方式包括但不限于：</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书面警告。承包人不履行或不完全履行合同或不执行总监理工程师或发包人（含主管人员）的指令时，发包人有权向承包人发出书面警告。承包人必须在书面警告限定的时间内履行义务或执行指令，否则应承担1次一般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（2）一般违约责任。承包人违反本合同的约定须承担一般违约责任时，必须向发包人交纳违约金（×5000元、×10000元、√30000/次）。</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（3）严重违约责任。承包人违反本合同的约定须承担严重违约责任时，必须向发包人交纳违约金（×30000元、×50000元、√80000元/次）。</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承包人应在部分解除合同之日起七日内向发包人支付被解除部分工程合同价款20%的违约金并赔偿发包人的实际损失。</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解除合同。当承包人违反本合同的约定符合解除合同的条件时，发包人有权向承包人发出书面解除合同的通知，该通知在送达承包人时即生效，承包人应在解除合同之日起七日内向发包人支付本合同价款20%的违约金并赔偿发包人的实际损失，违约金与赔偿金之和不高于发包人已支付给承包人的合同价款总额。</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（6）赔偿损失。因承包人原因造成发包人经济损失的，承包人应赔偿发包人的全部直接和间接经济损失。</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承包人按本合同约定应缴纳的违约金和赔偿金应分别计算。</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90.4 在本合同有效期内，累计三次书面警告另追加一次一般违约责任；累计三次一般违约责任另追加一次严重违约责任；累计三次严重违约责任，发包人有权单方面部分或全部解除合同。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90.5 承包人违约须向发包人支付违约金或赔偿金时，发包人有权从应支付给承包人的工程款中直接抵扣；抵扣款项计入工程累计进度款，结算时不予退还，承包人不得有异议。必要时，发包人有权书面通知承包人交纳，承包人必须在发包人规定的时间内主动交纳，否则，发包人有权按应交纳金额每天加收2‰滞纳金。</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90.6 工程组织管理方面的违约责任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违反专用条款的约定，不服从发包人及监理单位的管理，对发包人、监理单位的指令和书面通知公开或变相拒不执行的，发包人视情节严重程度有权要求其承担1次一般违约责任或者1次严重违约责任，并由承包人承担由此造成的一切经济损失。情节较轻的，可给予书面警告；情节特别严重的，发包人有权单方面部分解除合同或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不遵守发包人依据协议书第10条约定所制订的各项制度、规定的，由承包人按所触犯制度、规定的有关规定承担违约责任。所触犯制度、规定没有明确规定的，由发包人参照专用条款第90.6（1）款的约定处理。</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承包人不按通、专用条款第20条、第27条的有关约定投入技术管理人员、施工作业人员、施工机械设备，或者擅自变更资源投入计划或者擅自对已投入的资源进行调整的，承包人必须按照总监理工程师或者发包人的指令限期改正；承包人拒不限期改正的，发包人有权要求其承担1次一般违约责任或者1次严重违约责任。情节较轻的，可给予书面警告；情节特别严重的，发包人有权单方面部分解除合同或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如承包人违背投标承诺的，除按上述约定承担责任之外，还应同时无条件按下表约定的金额向发包人支付违约金：</w:t>
      </w:r>
    </w:p>
    <w:tbl>
      <w:tblPr>
        <w:tblStyle w:val="28"/>
        <w:tblW w:w="9315"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
        <w:gridCol w:w="1637"/>
        <w:gridCol w:w="3600"/>
        <w:gridCol w:w="1260"/>
        <w:gridCol w:w="1260"/>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478"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r>
              <w:rPr>
                <w:rStyle w:val="37"/>
                <w:rFonts w:hint="eastAsia" w:ascii="仿宋" w:hAnsi="仿宋" w:eastAsia="仿宋" w:cs="仿宋"/>
                <w:color w:val="auto"/>
                <w:highlight w:val="none"/>
              </w:rPr>
              <w:t>序号</w:t>
            </w:r>
          </w:p>
        </w:tc>
        <w:tc>
          <w:tcPr>
            <w:tcW w:w="1637"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r>
              <w:rPr>
                <w:rStyle w:val="37"/>
                <w:rFonts w:hint="eastAsia" w:ascii="仿宋" w:hAnsi="仿宋" w:eastAsia="仿宋" w:cs="仿宋"/>
                <w:color w:val="auto"/>
                <w:highlight w:val="none"/>
              </w:rPr>
              <w:t>承诺项目</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r>
              <w:rPr>
                <w:rStyle w:val="37"/>
                <w:rFonts w:hint="eastAsia" w:ascii="仿宋" w:hAnsi="仿宋" w:eastAsia="仿宋" w:cs="仿宋"/>
                <w:color w:val="auto"/>
                <w:highlight w:val="none"/>
              </w:rPr>
              <w:t>违约说明</w:t>
            </w:r>
          </w:p>
        </w:tc>
        <w:tc>
          <w:tcPr>
            <w:tcW w:w="3600"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r>
              <w:rPr>
                <w:rStyle w:val="37"/>
                <w:rFonts w:hint="eastAsia" w:ascii="仿宋" w:hAnsi="仿宋" w:eastAsia="仿宋" w:cs="仿宋"/>
                <w:color w:val="auto"/>
                <w:highlight w:val="none"/>
              </w:rPr>
              <w:t>承包人承诺的违约金额（元）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r>
              <w:rPr>
                <w:rStyle w:val="37"/>
                <w:rFonts w:hint="eastAsia" w:ascii="仿宋" w:hAnsi="仿宋" w:eastAsia="仿宋" w:cs="仿宋"/>
                <w:color w:val="auto"/>
                <w:highlight w:val="none"/>
              </w:rPr>
              <w:t>1</w:t>
            </w:r>
          </w:p>
        </w:tc>
        <w:tc>
          <w:tcPr>
            <w:tcW w:w="163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ind w:left="315" w:hanging="315" w:hangingChars="150"/>
              <w:rPr>
                <w:rStyle w:val="37"/>
                <w:rFonts w:ascii="仿宋" w:hAnsi="仿宋" w:eastAsia="仿宋" w:cs="仿宋"/>
                <w:color w:val="auto"/>
                <w:highlight w:val="none"/>
              </w:rPr>
            </w:pPr>
            <w:r>
              <w:rPr>
                <w:rStyle w:val="37"/>
                <w:rFonts w:hint="eastAsia" w:ascii="仿宋" w:hAnsi="仿宋" w:eastAsia="仿宋" w:cs="仿宋"/>
                <w:color w:val="auto"/>
                <w:highlight w:val="none"/>
              </w:rPr>
              <w:t>施工总承包管理部</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未经批准更换项目经理或空缺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150000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300000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未经批准更换项目技术负责人或空缺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80000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200000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未经批准更换专职安全员或其他人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r>
              <w:rPr>
                <w:rStyle w:val="37"/>
                <w:rFonts w:hint="eastAsia" w:ascii="仿宋" w:hAnsi="仿宋" w:eastAsia="仿宋" w:cs="仿宋"/>
                <w:color w:val="auto"/>
                <w:highlight w:val="none"/>
              </w:rPr>
              <w:t>2</w:t>
            </w:r>
          </w:p>
        </w:tc>
        <w:tc>
          <w:tcPr>
            <w:tcW w:w="163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施工项目部</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未经批准更换项目经理或空缺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150000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300000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未经批准更换项目副经理或空缺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80000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200000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未经批准更换专职安全员或其他人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r>
              <w:rPr>
                <w:rStyle w:val="37"/>
                <w:rFonts w:hint="eastAsia" w:ascii="仿宋" w:hAnsi="仿宋" w:eastAsia="仿宋" w:cs="仿宋"/>
                <w:color w:val="auto"/>
                <w:highlight w:val="none"/>
              </w:rPr>
              <w:t>3</w:t>
            </w:r>
          </w:p>
        </w:tc>
        <w:tc>
          <w:tcPr>
            <w:tcW w:w="163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ind w:left="360" w:hanging="360" w:hangingChars="150"/>
              <w:rPr>
                <w:rStyle w:val="37"/>
                <w:rFonts w:ascii="仿宋" w:hAnsi="仿宋" w:eastAsia="仿宋" w:cs="仿宋"/>
                <w:color w:val="auto"/>
                <w:highlight w:val="none"/>
              </w:rPr>
            </w:pPr>
            <w:r>
              <w:rPr>
                <w:rStyle w:val="37"/>
                <w:rFonts w:hint="eastAsia" w:ascii="仿宋" w:hAnsi="仿宋" w:eastAsia="仿宋" w:cs="仿宋"/>
                <w:color w:val="auto"/>
                <w:sz w:val="24"/>
                <w:szCs w:val="24"/>
                <w:highlight w:val="none"/>
              </w:rPr>
              <w:t>×</w:t>
            </w:r>
            <w:r>
              <w:rPr>
                <w:rStyle w:val="37"/>
                <w:rFonts w:hint="eastAsia" w:ascii="仿宋" w:hAnsi="仿宋" w:eastAsia="仿宋" w:cs="仿宋"/>
                <w:color w:val="auto"/>
                <w:highlight w:val="none"/>
              </w:rPr>
              <w:t>驻场深化设计部</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未经批准更换部门经理或空缺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150000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300000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未经批准更换技术负责人或空缺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80000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200000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未经批准更换其他人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0" w:hRule="atLeast"/>
        </w:trPr>
        <w:tc>
          <w:tcPr>
            <w:tcW w:w="47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r>
              <w:rPr>
                <w:rStyle w:val="37"/>
                <w:rFonts w:hint="eastAsia" w:ascii="仿宋" w:hAnsi="仿宋" w:eastAsia="仿宋" w:cs="仿宋"/>
                <w:color w:val="auto"/>
                <w:highlight w:val="none"/>
              </w:rPr>
              <w:t>4</w:t>
            </w:r>
          </w:p>
        </w:tc>
        <w:tc>
          <w:tcPr>
            <w:tcW w:w="163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材料管理部</w:t>
            </w: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未经批准更换部门经理或空缺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150000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47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jc w:val="center"/>
              <w:rPr>
                <w:rStyle w:val="37"/>
                <w:rFonts w:ascii="仿宋" w:hAnsi="仿宋" w:eastAsia="仿宋" w:cs="仿宋"/>
                <w:color w:val="auto"/>
                <w:highlight w:val="none"/>
              </w:rPr>
            </w:pPr>
          </w:p>
        </w:tc>
        <w:tc>
          <w:tcPr>
            <w:tcW w:w="16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p>
        </w:tc>
        <w:tc>
          <w:tcPr>
            <w:tcW w:w="360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未经批准更换其他人</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80000</w:t>
            </w:r>
          </w:p>
        </w:tc>
        <w:tc>
          <w:tcPr>
            <w:tcW w:w="126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 100000</w:t>
            </w:r>
          </w:p>
        </w:tc>
        <w:tc>
          <w:tcPr>
            <w:tcW w:w="1080" w:type="dxa"/>
            <w:tcBorders>
              <w:top w:val="single" w:color="000000" w:sz="4" w:space="0"/>
              <w:left w:val="single" w:color="000000" w:sz="4" w:space="0"/>
              <w:bottom w:val="single" w:color="000000" w:sz="4" w:space="0"/>
              <w:right w:val="single" w:color="000000" w:sz="4" w:space="0"/>
            </w:tcBorders>
            <w:vAlign w:val="center"/>
          </w:tcPr>
          <w:p>
            <w:pPr>
              <w:snapToGrid w:val="0"/>
              <w:spacing w:line="312" w:lineRule="auto"/>
              <w:rPr>
                <w:rStyle w:val="37"/>
                <w:rFonts w:ascii="仿宋" w:hAnsi="仿宋" w:eastAsia="仿宋" w:cs="仿宋"/>
                <w:color w:val="auto"/>
                <w:highlight w:val="none"/>
              </w:rPr>
            </w:pPr>
            <w:r>
              <w:rPr>
                <w:rStyle w:val="37"/>
                <w:rFonts w:hint="eastAsia" w:ascii="仿宋" w:hAnsi="仿宋" w:eastAsia="仿宋" w:cs="仿宋"/>
                <w:color w:val="auto"/>
                <w:highlight w:val="none"/>
              </w:rPr>
              <w:t>□</w:t>
            </w:r>
          </w:p>
        </w:tc>
      </w:tr>
    </w:tbl>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经发包人或总监理工程师考核，承包人未按承诺投入技术管理人员或经过更换后的技术管理人员仍不能满足本合同工程建设要求的，承包人应无条件按发包人的要求更换，逾期不整改的，按上表约定的金额向发包人支付违约金。</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承包人的项目经理、技术负责人必须参加监理单位或发包人主持的工程例会和其他要求的专题会议，除获得监理单位或发包人批准外，每缺席1人次，承包人须承担1次一般违约责任。情节较轻的，可给予书面警告。</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承包人不按本合同规定做好施工总承包管理或配合工作，经总监理工程师或发包人发出限期改正通知后3天内，承包人仍未能整改至令总监理工程师或发包人满意的，由承包人参照专用条款第90.6（1）款的约定向发包人承担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承包人在发包人组织的考评中不合格的，必须按照考评通报的要求限期改正，并承担1次一般违约责任；承包人拒不限期改正或整改效果不明显的，承包人必须承担1次严重违约责任。若连续2次或累计3次考评不合格，承包人必须承担1次严重违约责任，并必须按照总监理工程师或者发包人的指令限期改正；承包人拒不限期改正或整改效果不明显的，发包人有权单方面部分解除合同或解除合同。若连续3次或累计4次考评不合格，发包人有权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（7）承包人不按合同约定或发包人要求提交竣工资料（含绿化工程送审资料和质量保修期间的资料）的，每发生一次，承担一次一般违约责任。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（8）承包人单方面擅自终止或解除本合同的，应按专用条款第90.3（5）款的标准向发包人支付违约金及赔偿损失。</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90.7 工期延误方面的违约责任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（1）承包人违反合同协议书第3.1款约定延期开工的，每迟延开工1天，应向发包人支付本合同价款1%的违约金；迟延开工超过15天的，发包人有权单方面解除合同。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（2）承包人违反专用条款第35.1款约定单方面停工的，每停工1天，应向发包人支付本合同价款1%的违约金；连续停工超过5天或累计停工超过10天的，发包人有权单方面解除合同。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承包人违反专用条款第33.1款的约定，延期交付施工组织设计，延期3天以内的（含3天），发包人给予书面警告；延期4～7天的，承包人应承担1次一般违约责任；延期8～10天的，承包人应承担1次严重违约责任；延期11天以上的（含11天），发包人有权单方面解除合同。</w:t>
      </w:r>
    </w:p>
    <w:p>
      <w:pPr>
        <w:tabs>
          <w:tab w:val="left" w:pos="1240"/>
          <w:tab w:val="left" w:pos="3640"/>
          <w:tab w:val="left" w:pos="6040"/>
          <w:tab w:val="left" w:pos="7845"/>
        </w:tabs>
        <w:spacing w:line="360"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（4）承包人违反专用条款第35条约定造成本合同工程关键节点工期延误的，每延误1天，应向发包人支付本合同价款</w:t>
      </w:r>
      <w:r>
        <w:rPr>
          <w:rStyle w:val="37"/>
          <w:rFonts w:hint="eastAsia" w:ascii="宋体" w:hAnsi="宋体" w:cs="Times New Roman"/>
          <w:color w:val="auto"/>
          <w:sz w:val="24"/>
          <w:szCs w:val="24"/>
          <w:highlight w:val="none"/>
        </w:rPr>
        <w:t>0.05</w:t>
      </w:r>
      <w:r>
        <w:rPr>
          <w:rStyle w:val="37"/>
          <w:rFonts w:ascii="Arial" w:hAnsi="Arial" w:cs="Arial"/>
          <w:color w:val="auto"/>
          <w:sz w:val="24"/>
          <w:szCs w:val="24"/>
          <w:highlight w:val="none"/>
        </w:rPr>
        <w:t>‰</w:t>
      </w:r>
      <w:r>
        <w:rPr>
          <w:rStyle w:val="37"/>
          <w:rFonts w:hint="eastAsia" w:ascii="仿宋" w:hAnsi="仿宋" w:eastAsia="仿宋" w:cs="仿宋"/>
          <w:color w:val="auto"/>
          <w:sz w:val="24"/>
          <w:szCs w:val="24"/>
          <w:highlight w:val="none"/>
        </w:rPr>
        <w:t>一天的违约金；延误超过5天的，发包人有权停止支付当月的工程进度款；延误10天以上的，承包人应在2天内制定出具体可行的自行赶工措施，报总监理工程师和发包人批准。如发包人认为承包人的赶工计划不可行，则发包人有权解除合同。</w:t>
      </w:r>
    </w:p>
    <w:p>
      <w:pPr>
        <w:widowControl w:val="0"/>
        <w:spacing w:line="360" w:lineRule="auto"/>
        <w:ind w:firstLine="480" w:firstLineChars="200"/>
        <w:jc w:val="left"/>
        <w:textAlignment w:val="auto"/>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（5）承包人违反专用条款第36条约定造成本合同工程不能按照合同协议书第3条约定的竣工日期竣工的需向发包人支付违约金。</w:t>
      </w:r>
    </w:p>
    <w:p>
      <w:pPr>
        <w:widowControl w:val="0"/>
        <w:spacing w:line="360" w:lineRule="auto"/>
        <w:ind w:firstLine="480" w:firstLineChars="200"/>
        <w:jc w:val="left"/>
        <w:textAlignment w:val="auto"/>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1）合同金额1亿元以下的项目工期延误违约金额计算按如下原则：1、延误90天以内（含90天）的，</w:t>
      </w:r>
      <w:r>
        <w:rPr>
          <w:rStyle w:val="37"/>
          <w:rFonts w:hint="eastAsia" w:ascii="宋体" w:hAnsi="宋体" w:cs="Times New Roman"/>
          <w:color w:val="auto"/>
          <w:sz w:val="24"/>
          <w:szCs w:val="24"/>
          <w:highlight w:val="none"/>
        </w:rPr>
        <w:t>0.05</w:t>
      </w:r>
      <w:r>
        <w:rPr>
          <w:rStyle w:val="37"/>
          <w:rFonts w:ascii="Arial" w:hAnsi="Arial" w:cs="Arial"/>
          <w:color w:val="auto"/>
          <w:sz w:val="24"/>
          <w:szCs w:val="24"/>
          <w:highlight w:val="none"/>
        </w:rPr>
        <w:t>‰</w:t>
      </w:r>
      <w:r>
        <w:rPr>
          <w:rStyle w:val="37"/>
          <w:rFonts w:hint="eastAsia" w:ascii="仿宋" w:hAnsi="仿宋" w:eastAsia="仿宋" w:cs="仿宋"/>
          <w:color w:val="auto"/>
          <w:sz w:val="24"/>
          <w:szCs w:val="24"/>
          <w:highlight w:val="none"/>
        </w:rPr>
        <w:t>一天（且不少于1000元一天）。2、延误超过90天的，0.1</w:t>
      </w:r>
      <w:r>
        <w:rPr>
          <w:rStyle w:val="37"/>
          <w:rFonts w:ascii="Arial" w:hAnsi="Arial" w:cs="Arial"/>
          <w:color w:val="auto"/>
          <w:sz w:val="24"/>
          <w:szCs w:val="24"/>
          <w:highlight w:val="none"/>
        </w:rPr>
        <w:t>‰</w:t>
      </w:r>
      <w:r>
        <w:rPr>
          <w:rStyle w:val="37"/>
          <w:rFonts w:hint="eastAsia" w:ascii="仿宋" w:hAnsi="仿宋" w:eastAsia="仿宋" w:cs="仿宋"/>
          <w:color w:val="auto"/>
          <w:sz w:val="24"/>
          <w:szCs w:val="24"/>
          <w:highlight w:val="none"/>
        </w:rPr>
        <w:t>一天（且不少于2000元一天）。</w:t>
      </w:r>
    </w:p>
    <w:p>
      <w:pPr>
        <w:widowControl w:val="0"/>
        <w:spacing w:line="360" w:lineRule="auto"/>
        <w:ind w:firstLine="480" w:firstLineChars="200"/>
        <w:jc w:val="left"/>
        <w:textAlignment w:val="auto"/>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2）合同金额1亿元及以上,5亿元以下的项目工期延误违约金额计算按如下原则：1、延误90天以内（含90天）的，0.1</w:t>
      </w:r>
      <w:r>
        <w:rPr>
          <w:rStyle w:val="37"/>
          <w:rFonts w:ascii="Arial" w:hAnsi="Arial" w:cs="Arial"/>
          <w:color w:val="auto"/>
          <w:sz w:val="24"/>
          <w:szCs w:val="24"/>
          <w:highlight w:val="none"/>
        </w:rPr>
        <w:t>‰</w:t>
      </w:r>
      <w:r>
        <w:rPr>
          <w:rStyle w:val="37"/>
          <w:rFonts w:hint="eastAsia" w:ascii="仿宋" w:hAnsi="仿宋" w:eastAsia="仿宋" w:cs="仿宋"/>
          <w:color w:val="auto"/>
          <w:sz w:val="24"/>
          <w:szCs w:val="24"/>
          <w:highlight w:val="none"/>
        </w:rPr>
        <w:t>一天。2、延误超过90天的，0.5</w:t>
      </w:r>
      <w:r>
        <w:rPr>
          <w:rStyle w:val="37"/>
          <w:rFonts w:ascii="Arial" w:hAnsi="Arial" w:cs="Arial"/>
          <w:color w:val="auto"/>
          <w:sz w:val="24"/>
          <w:szCs w:val="24"/>
          <w:highlight w:val="none"/>
        </w:rPr>
        <w:t>‰</w:t>
      </w:r>
      <w:r>
        <w:rPr>
          <w:rStyle w:val="37"/>
          <w:rFonts w:hint="eastAsia" w:ascii="仿宋" w:hAnsi="仿宋" w:eastAsia="仿宋" w:cs="仿宋"/>
          <w:color w:val="auto"/>
          <w:sz w:val="24"/>
          <w:szCs w:val="24"/>
          <w:highlight w:val="none"/>
        </w:rPr>
        <w:t>一天。</w:t>
      </w:r>
    </w:p>
    <w:p>
      <w:pPr>
        <w:widowControl w:val="0"/>
        <w:spacing w:line="360" w:lineRule="auto"/>
        <w:ind w:firstLine="480" w:firstLineChars="200"/>
        <w:jc w:val="left"/>
        <w:textAlignment w:val="auto"/>
        <w:rPr>
          <w:rStyle w:val="37"/>
          <w:rFonts w:ascii="仿宋" w:hAnsi="仿宋" w:eastAsia="仿宋" w:cs="仿宋"/>
          <w:color w:val="auto"/>
          <w:sz w:val="24"/>
          <w:szCs w:val="24"/>
          <w:highlight w:val="none"/>
        </w:rPr>
      </w:pPr>
      <w:r>
        <w:rPr>
          <w:rStyle w:val="37"/>
          <w:rFonts w:ascii="仿宋" w:hAnsi="仿宋" w:eastAsia="仿宋" w:cs="仿宋"/>
          <w:color w:val="auto"/>
          <w:sz w:val="24"/>
          <w:szCs w:val="24"/>
          <w:highlight w:val="none"/>
        </w:rPr>
        <w:t>3</w:t>
      </w:r>
      <w:r>
        <w:rPr>
          <w:rStyle w:val="37"/>
          <w:rFonts w:hint="eastAsia" w:ascii="仿宋" w:hAnsi="仿宋" w:eastAsia="仿宋" w:cs="仿宋"/>
          <w:color w:val="auto"/>
          <w:sz w:val="24"/>
          <w:szCs w:val="24"/>
          <w:highlight w:val="none"/>
        </w:rPr>
        <w:t>）合同金额</w:t>
      </w:r>
      <w:r>
        <w:rPr>
          <w:rStyle w:val="37"/>
          <w:rFonts w:hint="eastAsia" w:ascii="仿宋" w:hAnsi="仿宋" w:eastAsia="仿宋" w:cs="仿宋"/>
          <w:b/>
          <w:color w:val="auto"/>
          <w:sz w:val="24"/>
          <w:szCs w:val="24"/>
          <w:highlight w:val="none"/>
        </w:rPr>
        <w:t>5</w:t>
      </w:r>
      <w:r>
        <w:rPr>
          <w:rStyle w:val="37"/>
          <w:rFonts w:hint="eastAsia" w:ascii="仿宋" w:hAnsi="仿宋" w:eastAsia="仿宋" w:cs="仿宋"/>
          <w:color w:val="auto"/>
          <w:sz w:val="24"/>
          <w:szCs w:val="24"/>
          <w:highlight w:val="none"/>
        </w:rPr>
        <w:t>亿元及以上的项目工期延误违约金额计算按如下原则：</w:t>
      </w:r>
      <w:r>
        <w:rPr>
          <w:rStyle w:val="37"/>
          <w:rFonts w:ascii="仿宋" w:hAnsi="仿宋" w:eastAsia="仿宋" w:cs="仿宋"/>
          <w:color w:val="auto"/>
          <w:sz w:val="24"/>
          <w:szCs w:val="24"/>
          <w:highlight w:val="none"/>
        </w:rPr>
        <w:t>1、延误</w:t>
      </w:r>
      <w:r>
        <w:rPr>
          <w:rStyle w:val="37"/>
          <w:rFonts w:hint="eastAsia" w:ascii="仿宋" w:hAnsi="仿宋" w:eastAsia="仿宋" w:cs="仿宋"/>
          <w:b/>
          <w:color w:val="auto"/>
          <w:sz w:val="24"/>
          <w:szCs w:val="24"/>
          <w:highlight w:val="none"/>
        </w:rPr>
        <w:t>90天</w:t>
      </w:r>
      <w:r>
        <w:rPr>
          <w:rStyle w:val="37"/>
          <w:rFonts w:hint="eastAsia" w:ascii="仿宋" w:hAnsi="仿宋" w:eastAsia="仿宋" w:cs="仿宋"/>
          <w:color w:val="auto"/>
          <w:sz w:val="24"/>
          <w:szCs w:val="24"/>
          <w:highlight w:val="none"/>
        </w:rPr>
        <w:t>内（含</w:t>
      </w:r>
      <w:r>
        <w:rPr>
          <w:rStyle w:val="37"/>
          <w:rFonts w:hint="eastAsia" w:ascii="仿宋" w:hAnsi="仿宋" w:eastAsia="仿宋" w:cs="仿宋"/>
          <w:b/>
          <w:color w:val="auto"/>
          <w:sz w:val="24"/>
          <w:szCs w:val="24"/>
          <w:highlight w:val="none"/>
        </w:rPr>
        <w:t>90天</w:t>
      </w:r>
      <w:r>
        <w:rPr>
          <w:rStyle w:val="37"/>
          <w:rFonts w:hint="eastAsia" w:ascii="仿宋" w:hAnsi="仿宋" w:eastAsia="仿宋" w:cs="仿宋"/>
          <w:color w:val="auto"/>
          <w:sz w:val="24"/>
          <w:szCs w:val="24"/>
          <w:highlight w:val="none"/>
        </w:rPr>
        <w:t>）的，</w:t>
      </w:r>
      <w:r>
        <w:rPr>
          <w:rStyle w:val="37"/>
          <w:rFonts w:hint="eastAsia" w:ascii="仿宋" w:hAnsi="仿宋" w:eastAsia="仿宋" w:cs="仿宋"/>
          <w:b/>
          <w:color w:val="auto"/>
          <w:sz w:val="24"/>
          <w:szCs w:val="24"/>
          <w:highlight w:val="none"/>
        </w:rPr>
        <w:t>0.5</w:t>
      </w:r>
      <w:r>
        <w:rPr>
          <w:rStyle w:val="37"/>
          <w:rFonts w:ascii="Arial" w:hAnsi="Arial" w:cs="Arial"/>
          <w:color w:val="auto"/>
          <w:sz w:val="24"/>
          <w:szCs w:val="24"/>
          <w:highlight w:val="none"/>
        </w:rPr>
        <w:t>‰</w:t>
      </w:r>
      <w:r>
        <w:rPr>
          <w:rStyle w:val="37"/>
          <w:rFonts w:hint="eastAsia" w:ascii="仿宋" w:hAnsi="仿宋" w:eastAsia="仿宋" w:cs="仿宋"/>
          <w:color w:val="auto"/>
          <w:sz w:val="24"/>
          <w:szCs w:val="24"/>
          <w:highlight w:val="none"/>
        </w:rPr>
        <w:t>一天。</w:t>
      </w:r>
      <w:r>
        <w:rPr>
          <w:rStyle w:val="37"/>
          <w:rFonts w:ascii="仿宋" w:hAnsi="仿宋" w:eastAsia="仿宋" w:cs="仿宋"/>
          <w:color w:val="auto"/>
          <w:sz w:val="24"/>
          <w:szCs w:val="24"/>
          <w:highlight w:val="none"/>
        </w:rPr>
        <w:t>2、延误超过</w:t>
      </w:r>
      <w:r>
        <w:rPr>
          <w:rStyle w:val="37"/>
          <w:rFonts w:hint="eastAsia" w:ascii="仿宋" w:hAnsi="仿宋" w:eastAsia="仿宋" w:cs="仿宋"/>
          <w:b/>
          <w:color w:val="auto"/>
          <w:sz w:val="24"/>
          <w:szCs w:val="24"/>
          <w:highlight w:val="none"/>
        </w:rPr>
        <w:t>90天</w:t>
      </w:r>
      <w:r>
        <w:rPr>
          <w:rStyle w:val="37"/>
          <w:rFonts w:hint="eastAsia" w:ascii="仿宋" w:hAnsi="仿宋" w:eastAsia="仿宋" w:cs="仿宋"/>
          <w:color w:val="auto"/>
          <w:sz w:val="24"/>
          <w:szCs w:val="24"/>
          <w:highlight w:val="none"/>
        </w:rPr>
        <w:t>的，</w:t>
      </w:r>
      <w:r>
        <w:rPr>
          <w:rStyle w:val="37"/>
          <w:rFonts w:ascii="仿宋" w:hAnsi="仿宋" w:eastAsia="仿宋" w:cs="仿宋"/>
          <w:color w:val="auto"/>
          <w:sz w:val="24"/>
          <w:szCs w:val="24"/>
          <w:highlight w:val="none"/>
        </w:rPr>
        <w:t>1</w:t>
      </w:r>
      <w:r>
        <w:rPr>
          <w:rStyle w:val="37"/>
          <w:rFonts w:ascii="Arial" w:hAnsi="Arial" w:cs="Arial"/>
          <w:color w:val="auto"/>
          <w:sz w:val="24"/>
          <w:szCs w:val="24"/>
          <w:highlight w:val="none"/>
        </w:rPr>
        <w:t>‰</w:t>
      </w:r>
      <w:r>
        <w:rPr>
          <w:rStyle w:val="37"/>
          <w:rFonts w:hint="eastAsia" w:ascii="仿宋" w:hAnsi="仿宋" w:eastAsia="仿宋" w:cs="仿宋"/>
          <w:color w:val="auto"/>
          <w:sz w:val="24"/>
          <w:szCs w:val="24"/>
          <w:highlight w:val="none"/>
        </w:rPr>
        <w:t>一天。</w:t>
      </w:r>
    </w:p>
    <w:p>
      <w:pPr>
        <w:widowControl w:val="0"/>
        <w:spacing w:line="360" w:lineRule="auto"/>
        <w:ind w:firstLine="480" w:firstLineChars="200"/>
        <w:jc w:val="left"/>
        <w:textAlignment w:val="auto"/>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工期延误违约金额最高不超合同价10%，同时由发包人按照对本合同工程最有利的原则，按如下约定处理：</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Fonts w:hint="eastAsia" w:ascii="仿宋" w:hAnsi="仿宋" w:eastAsia="仿宋" w:cs="仿宋"/>
          <w:color w:val="auto"/>
          <w:sz w:val="24"/>
          <w:szCs w:val="24"/>
          <w:highlight w:val="none"/>
          <w:bdr w:val="single" w:color="auto" w:sz="4" w:space="0"/>
        </w:rPr>
        <w:t>×</w:t>
      </w:r>
      <w:r>
        <w:rPr>
          <w:rFonts w:hint="eastAsia" w:ascii="仿宋" w:hAnsi="仿宋" w:eastAsia="仿宋" w:cs="仿宋"/>
          <w:color w:val="auto"/>
          <w:sz w:val="24"/>
          <w:szCs w:val="24"/>
          <w:highlight w:val="none"/>
        </w:rPr>
        <w:t xml:space="preserve"> </w:t>
      </w:r>
      <w:r>
        <w:rPr>
          <w:rStyle w:val="37"/>
          <w:rFonts w:hint="eastAsia" w:ascii="仿宋" w:hAnsi="仿宋" w:eastAsia="仿宋" w:cs="仿宋"/>
          <w:color w:val="auto"/>
          <w:sz w:val="24"/>
          <w:szCs w:val="24"/>
          <w:highlight w:val="none"/>
        </w:rPr>
        <w:t>1）承包人按上述约定向发包人支付违约金并在发包人限定的时间内竣工；如承包人仍不能在发包人限定的时间内竣工，承包人除按上述约定支付违约金外（直至本合同工程全部竣工为止），还在工程结算时按本合同工程结算总价款下浮2%作为本合同工程的最终结算价款，同时承包人还应据实赔偿发包人的实际损失。</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bdr w:val="single" w:color="auto" w:sz="4" w:space="0"/>
        </w:rPr>
        <w:t>√</w:t>
      </w:r>
      <w:r>
        <w:rPr>
          <w:rFonts w:hint="eastAsia" w:ascii="仿宋" w:hAnsi="仿宋" w:eastAsia="仿宋" w:cs="仿宋"/>
          <w:color w:val="auto"/>
          <w:sz w:val="24"/>
          <w:szCs w:val="24"/>
          <w:highlight w:val="none"/>
        </w:rPr>
        <w:t xml:space="preserve"> </w:t>
      </w:r>
      <w:r>
        <w:rPr>
          <w:rStyle w:val="37"/>
          <w:rFonts w:hint="eastAsia" w:ascii="仿宋" w:hAnsi="仿宋" w:eastAsia="仿宋" w:cs="仿宋"/>
          <w:color w:val="auto"/>
          <w:sz w:val="24"/>
          <w:szCs w:val="24"/>
          <w:highlight w:val="none"/>
        </w:rPr>
        <w:t>2）由发包人有权将未完工程量从本合同中分割，交由第三方完成，由此发生的费用全部从本合同价款中支付，同时由承包人向发包人支付未完工程量价款10%的违约金并赔偿发包人的实际损失。</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90.8 材料设备管理方面的违约责任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发包人（包括发包人委托的材料设备检验机构）或总监理工程师抽查承包人的工程材料设备（包括乙供、甲管乙供、甲招乙供材料设备），发现所检查的材料与合同约定标准的任何一项不符合时，承包人除必须全部退货、返工，并赔偿发包人由此遭受的实际损失外，还应当按照该批次材料的价值，按照如下约定承担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A、单宗或批次价值不到5万元的材料设备抽检不合格的，每发生3例，由承包人承担1次一般违约责任。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B、单宗或批次价值达到5万元不到10万元的材料设备抽检不合格的，每发生1例，由承包人承担1次一般违约责任。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C、单宗或批次价值达到10万元不到50万元的材料设备抽检不合格的，每发生1例，由承包人承担1次严重违约责任。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D、单宗或批次价值达到50万元以上的材料设备抽检不合格的，每发生1例，发包人有权单方面部分解除合同或解除合同。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不按通、专用条款第49、50条的约定对用于本合同工程的材料设备进行管理的，视同不服从发包人及监理单位管理，应按专用条款第90.6（1）款的约定承担违约责任；同时发包人有权暂停支付本合同工程进度款，直到承包人完成相关工作为止。</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90.9 工程质量方面的违约责任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必须对各工序报验核查质量控制点。承包人申请报验后，经总监理工程师或发包人检查发现存在较大质量问题（存在质量问题的部分超过检查部分工程的10%），则该工序质量为不合格，承包人必须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有权部分解除合同，将该分项工程另行发包，且不免除承包人应承担的违约赔偿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（2）工程竣工验收不符合国家强制性标准及规范要求或者未能实现一次验收合格的，承包人应按发包人要求的期限采取补救措施、赔偿发包人的实际损失，并承担由此引起的一切责任。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（3）本合同工程未能被评为合同协议书第4条约定的奖项的，承包人承担一次严重违约责任。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在本合同工程质量保修期内发现有重大质量不合格问题的（该重大质量问题应界定为达不到要求的质量标准，属质量保修的问题除外），承包人必须在规定的期限内返工达到合同约定的质量等级并赔偿由此给发包人造成的损失，同时按该不合格项目所处分项工程总造价的5%向发包人支付违约金。工程保修期从所处分项工程返工验收合格之日起重新计算。</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90.10安全生产方面的违约责任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在政府行政主管部门组织的安全生产检查中，被发现存在严重的安全隐患，被通报批评，或被新闻媒体曝光造成不良影响的，被通报或被曝光1次，承包人必须承担1次严重违约责任；造成严重社会影响或累计被通报或被曝光3次以上（含本数）的，发包人有权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在发包人、总监理工程师进行的日常安全生产检查中，被发现存在安全隐患的，承包人应限期改正。若同样问题被发现2次或累计类似问题被发现3次的，承包人必须承担1次一般违约责任。此类问题的认定，以发包人、总监理工程师书面通知、指令、通报或会议纪要为准。</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（3）承包人因自身原因造成重大安全事故（含工程质量事故）的，除按国家规定由主管部门处罚外，承包人必须依照下列约定承担违约责任：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1）发生特别重大事故，承包人按事故所处分项工程总价15%，向发包人支付违约金，违约金的数额不得低于20万元；</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2）发生重大事故，承包人按事故所处分项工程总价12%，向发包人支付违约金，违约金的数额不得低于15万元；</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3）发生较大事故，承包人按事故所处分项工程总价10%，向发包人支付违约金，违约金数额不得低于10万元；</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4）发生一般事故事故，承包人按事故所处分项工程总价8%，向发包人支付违约金，违约金数额不得低于5万元。</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发生上述重大事故，除执行相应违约处罚外，发包人有权解除部分乃至全部合同。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承包人依照上述约定支付违约金后，所支付的违约金不足以弥补由此给发包人造成的损失的，承包人还须补偿发包人的其他损失。                                             （4）安全事故等级[《生产安全事故报告和调查处理条例》]： </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（1）特别重大事故，是指造成 30 人以上死亡，或者 100 人以上重伤（包括急性工业中毒，下同），或者 1 亿元以上直接经济损失的事故； </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（2）重大事故，是指造成 10 人以上 30 人以下死亡，或者 50 人以上 100 人以下重伤，或者 5000 万元以上 1 亿元以下直接经济损失的事故； </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（3）较大事故，是指造成 3 人以上 10 人以下死亡，或者 10 人以上 50 人以下重伤，或者 1000 万元以上 5000 万元以下直接经济损失的事故； </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（4）一般事故，是指造成 3 人以下死亡，或者 10 人以下重伤，或者 1000</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万元以下直接经济损失的事故。 </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 xml:space="preserve">上述所称的“以上”包括本数，所称的“以下”不包括本数。 </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90.11文明施工、环境保护方面的违约责任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发包人、总监理工程师按照通、专用条款第45条的约定，对承包人文明施工措施进行对照检查。经检查发现承包人因自身原因未能落实的，承包人应按发包人或监理工程师的要求限期整改；逾期未完成整改的，承包人必须承担1次一般违约责任并再次整改；如限期届满未改正的，承包人须承担1次严重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在行业主管部门的检查中，承包人的施工场地被评为不合格工地或者被通报批评或者被新闻媒体曝光的，承包人必须承担1次严重违约责任，并立即采取切实有效措施予以整改；拒不采取切实有效措施整改的，或整改效果不明显的，发包人有权部分或全部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承包人在施工过程中因其自身原因造成周围环境卫生状况较差，被其他施工单位或周围居民投诉的，承包人必须在当天内整改。若故意拖延或类似问题累计被投诉2次以上且经查实的，承包人必须承担1次严重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90.12工程转包、分包方面的违约责任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不按通、专用条款第7条的约定进行分包管理的，视同不服从发包人及监理单位管理，应按专用条款第90.6（1）款的约定承担违约责任；同时发包人有权暂停支付本合同工程进度款，直到承包人完成相关工作为止。</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（2）承包人转包工程或者违反法律法规及本合同约定分包工程的，发包人有权单方面部分解除合同或解除合同，并由承包人承担由此产生的一切责任及损失。</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90.13 农民工工资支付方面的违约责任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违反专用条款第20.9款的约定，被农民工投诉或上访属实的，承包人必须在3天内发放拖欠的款项。若继续拖延被投诉2次及以上，经查实，承包人必须承担1次一般违约责任。若仍然不予整改并发放拖欠的款项，使农民工采取停工、集聚围阻发包人办公地点甚至政府办公部门、阻塞交通要道、围堵或破坏、拆除已移交发包人的工程等过激行动的，承包人必须承担1次严重违约责任，并立即采取切实有效措施予以整改；拒不采取切实有效措施整改的，或整改效果不明显的，发包人有权部分或全部解除合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由于承包人或其管理的分包单位（包括施工专业分包、供货分包及劳务分包单位等）拖欠农民工工资致使发包人被投诉或起诉并被判令先行垫付农民工工资的，承包人除承担1次严重违约责任外，还应向发包人支付发包人先行垫付的农民工工资金额的两倍作为补偿。</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（3）因承包人违约导致发包人暂停支付工程款时，承包人不得以此为理由拖欠农民工工资，在发包人和承包人就暂停支付工程款问题解决之前，承包人有义务先行支付其所属工人工资。</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承包人不按合同及有关规定按时、足额支付分包单位合同价款及民工工资致使民工集体上访、集聚围阻而造成社会不良影响的，发包人将立即终止与承包人的合同，并上报省、市主管部门建议取消其参加广州地区省、市重大项目的投标资格，并由发包人予以公告。如属恶意煽动并造成社会不良影响的，发包人将提请司法部门追究其法律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90.14除上述约定之外，承包人不履行或不完全履行合同其他义务的，均构成违约，应当承担1次一般违约责任。情节较轻的，可给予书面警告；情节较重的，应当承担1次严重违约责任。</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90.15承包人违约责任的认定方式及送达程序：</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（1）认定方式：以发包人发出的通知、通报、会议纪要等书面文件确定的内容为准。</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（2）送达程序：发包人以下列方式之一将书面违约处理决定送达承包人：</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1）承包人现场管理机构工作人员签收。</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2）承包人其他工作人员签收。</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3）发包人邮寄送达。</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15天内审核完毕且作出书面决定并通知承包人。在异议审核期间，承包人须正常施工，不得以审核未确定为由拖延或者中止工程施工。</w:t>
      </w:r>
    </w:p>
    <w:p>
      <w:pPr>
        <w:pStyle w:val="13"/>
        <w:tabs>
          <w:tab w:val="left" w:pos="540"/>
        </w:tabs>
        <w:adjustRightInd w:val="0"/>
        <w:snapToGrid w:val="0"/>
        <w:spacing w:before="312"/>
        <w:ind w:right="-20"/>
        <w:outlineLvl w:val="2"/>
        <w:rPr>
          <w:rFonts w:ascii="仿宋" w:hAnsi="仿宋" w:eastAsia="仿宋" w:cs="仿宋"/>
          <w:color w:val="auto"/>
          <w:sz w:val="24"/>
          <w:szCs w:val="24"/>
          <w:highlight w:val="none"/>
        </w:rPr>
      </w:pPr>
      <w:bookmarkStart w:id="1011" w:name="_Toc21766"/>
      <w:r>
        <w:rPr>
          <w:rFonts w:hint="eastAsia" w:ascii="仿宋" w:hAnsi="仿宋" w:eastAsia="仿宋" w:cs="仿宋"/>
          <w:color w:val="auto"/>
          <w:sz w:val="24"/>
          <w:szCs w:val="24"/>
          <w:highlight w:val="none"/>
        </w:rPr>
        <w:t>91发包人的违约责任</w:t>
      </w:r>
      <w:bookmarkEnd w:id="1011"/>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（1）本合同通用条款第79条提到的发包人不按时支付工程预付款。</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（2）本合同通用条款第81.3款提到的发包人不按合同约定支付工程款，导致施工无法进行；</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（3）本合同通用条款第83.3款提到的发包人无正当理由不支付工程竣工结算价款；</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但由于财政资金不到位等原因导致发包人无法按时拨付预付款、进度款、结算款等款项，不构成发包人违约。</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（4）发包人不履行合同义务或不按合同约定履行义务的其他情况。</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发包人承担违约责任，赔偿因其违约给承包人造成的经济损失，顺延延误的工期。双方在合同专用条款内约定发包人赔偿承包人损失的计算方法或者发包人应当支付违约金的数额或计算方法。</w:t>
      </w:r>
    </w:p>
    <w:p>
      <w:pPr>
        <w:pStyle w:val="13"/>
        <w:tabs>
          <w:tab w:val="left" w:pos="540"/>
        </w:tabs>
        <w:adjustRightInd w:val="0"/>
        <w:snapToGrid w:val="0"/>
        <w:spacing w:before="312" w:beforeLines="100" w:line="360" w:lineRule="auto"/>
        <w:ind w:right="-20"/>
        <w:outlineLvl w:val="2"/>
        <w:rPr>
          <w:rFonts w:ascii="仿宋" w:hAnsi="仿宋" w:eastAsia="仿宋" w:cs="仿宋"/>
          <w:color w:val="auto"/>
          <w:sz w:val="24"/>
          <w:szCs w:val="24"/>
          <w:highlight w:val="none"/>
        </w:rPr>
      </w:pPr>
      <w:bookmarkStart w:id="1012" w:name="_Toc16387"/>
      <w:bookmarkStart w:id="1013" w:name="_Toc1565"/>
      <w:r>
        <w:rPr>
          <w:rFonts w:hint="eastAsia" w:ascii="仿宋" w:hAnsi="仿宋" w:eastAsia="仿宋" w:cs="仿宋"/>
          <w:color w:val="auto"/>
          <w:sz w:val="24"/>
          <w:szCs w:val="24"/>
          <w:highlight w:val="none"/>
        </w:rPr>
        <w:t>94 保密要求</w:t>
      </w:r>
      <w:bookmarkEnd w:id="1012"/>
      <w:bookmarkEnd w:id="1013"/>
    </w:p>
    <w:p>
      <w:pPr>
        <w:tabs>
          <w:tab w:val="left" w:pos="1240"/>
        </w:tabs>
        <w:spacing w:line="312"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94.1 提供保密信息的期限：按通用条款执行。</w:t>
      </w:r>
    </w:p>
    <w:p>
      <w:pPr>
        <w:pStyle w:val="13"/>
        <w:tabs>
          <w:tab w:val="left" w:pos="540"/>
        </w:tabs>
        <w:adjustRightInd w:val="0"/>
        <w:snapToGrid w:val="0"/>
        <w:spacing w:before="312" w:beforeLines="100" w:line="360" w:lineRule="auto"/>
        <w:ind w:right="-20"/>
        <w:outlineLvl w:val="2"/>
        <w:rPr>
          <w:rFonts w:ascii="仿宋" w:hAnsi="仿宋" w:eastAsia="仿宋" w:cs="仿宋"/>
          <w:color w:val="auto"/>
          <w:sz w:val="24"/>
          <w:szCs w:val="24"/>
          <w:highlight w:val="none"/>
        </w:rPr>
      </w:pPr>
      <w:bookmarkStart w:id="1014" w:name="_Toc8837"/>
      <w:bookmarkStart w:id="1015" w:name="_Toc22710"/>
      <w:r>
        <w:rPr>
          <w:rFonts w:hint="eastAsia" w:ascii="仿宋" w:hAnsi="仿宋" w:eastAsia="仿宋" w:cs="仿宋"/>
          <w:color w:val="auto"/>
          <w:sz w:val="24"/>
          <w:szCs w:val="24"/>
          <w:highlight w:val="none"/>
        </w:rPr>
        <w:t>9</w:t>
      </w:r>
      <w:r>
        <w:rPr>
          <w:rFonts w:hint="eastAsia" w:ascii="仿宋" w:hAnsi="仿宋" w:eastAsia="仿宋" w:cs="仿宋"/>
          <w:color w:val="auto"/>
          <w:sz w:val="24"/>
          <w:szCs w:val="36"/>
          <w:highlight w:val="none"/>
        </w:rPr>
        <w:t>7</w:t>
      </w:r>
      <w:r>
        <w:rPr>
          <w:rFonts w:hint="eastAsia" w:ascii="仿宋" w:hAnsi="仿宋" w:eastAsia="仿宋" w:cs="仿宋"/>
          <w:color w:val="auto"/>
          <w:sz w:val="24"/>
          <w:szCs w:val="24"/>
          <w:highlight w:val="none"/>
        </w:rPr>
        <w:t>合同份数</w:t>
      </w:r>
      <w:bookmarkEnd w:id="1014"/>
      <w:bookmarkEnd w:id="1015"/>
    </w:p>
    <w:p>
      <w:pPr>
        <w:tabs>
          <w:tab w:val="left" w:pos="1240"/>
        </w:tabs>
        <w:spacing w:line="312" w:lineRule="auto"/>
        <w:ind w:right="-20" w:firstLine="470" w:firstLineChars="196"/>
        <w:rPr>
          <w:rStyle w:val="37"/>
          <w:rFonts w:ascii="仿宋" w:hAnsi="仿宋" w:eastAsia="仿宋" w:cs="仿宋"/>
          <w:b/>
          <w:bCs/>
          <w:color w:val="auto"/>
          <w:sz w:val="24"/>
          <w:szCs w:val="24"/>
          <w:highlight w:val="none"/>
        </w:rPr>
      </w:pPr>
      <w:r>
        <w:rPr>
          <w:rStyle w:val="37"/>
          <w:rFonts w:hint="eastAsia" w:ascii="仿宋" w:hAnsi="仿宋" w:eastAsia="仿宋" w:cs="仿宋"/>
          <w:color w:val="auto"/>
          <w:sz w:val="24"/>
          <w:szCs w:val="24"/>
          <w:highlight w:val="none"/>
        </w:rPr>
        <w:t>97.1 提供合同文本</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√按合同通用条款的规定，由发包人提供。</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×不按合同通用条款的规定，提供方式为：</w:t>
      </w:r>
    </w:p>
    <w:p>
      <w:pPr>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97.2 合同的份数12份，其中发包人9份，一正八副；承包人3份，一正两副。</w:t>
      </w:r>
    </w:p>
    <w:p>
      <w:pPr>
        <w:pStyle w:val="13"/>
        <w:tabs>
          <w:tab w:val="left" w:pos="540"/>
        </w:tabs>
        <w:adjustRightInd w:val="0"/>
        <w:snapToGrid w:val="0"/>
        <w:spacing w:before="312" w:beforeLines="100" w:line="360" w:lineRule="auto"/>
        <w:ind w:right="-20"/>
        <w:outlineLvl w:val="2"/>
        <w:rPr>
          <w:rFonts w:ascii="仿宋" w:hAnsi="仿宋" w:eastAsia="仿宋" w:cs="仿宋"/>
          <w:color w:val="auto"/>
          <w:sz w:val="24"/>
          <w:szCs w:val="24"/>
          <w:highlight w:val="none"/>
        </w:rPr>
      </w:pPr>
      <w:bookmarkStart w:id="1016" w:name="_Toc6940"/>
      <w:bookmarkStart w:id="1017" w:name="_Toc4854"/>
      <w:r>
        <w:rPr>
          <w:rFonts w:hint="eastAsia" w:ascii="仿宋" w:hAnsi="仿宋" w:eastAsia="仿宋" w:cs="仿宋"/>
          <w:color w:val="auto"/>
          <w:sz w:val="24"/>
          <w:szCs w:val="24"/>
          <w:highlight w:val="none"/>
        </w:rPr>
        <w:t>99 补充条款</w:t>
      </w:r>
      <w:bookmarkEnd w:id="1016"/>
      <w:bookmarkEnd w:id="1017"/>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99.1施工场地内水电管线由承包人根据施工需要自行解决。承包人每月按水表、电表实际用量按市自来水公司、市供电局规定的施工用水、用电单价（含税金）自行缴交水电费（包括承包人本身及其总承包管理范围内的专业单位、分包单位的水电费），或经发包人同意，在次月5日前由承包人缴纳给发包人，逾期不缴者，每逾期一日，发包人按未缴纳金额的1‰计收滞纳金。</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99.2 承包人承诺严格按照合同和招投标文件规定履行义务，并同意发包人将其执行国家强制性规范、标准和履行合同、招投标文件义务的情况（包括但不限于由发包人组织的考核、考评通报、违约责任处理决定等）在发包人网站和广州市建设项目发包人网站及其他媒体上公开披露。</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99.3 双方一致同意，在工程未竣工验收移交前所有工程资料仍归发包人所有，并必须在现场存放保管，发包人委托监理单位负责看管，在未得到发包人同意前，上述资料不得移出工地现场。</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99.4 当发生下列情况之一时，双方应签订补充合同（协议），本合同另有约定的除外：</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（1）发包人根据合同协议书第三条第3款的约定调整合同工期；</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（2）发包人根据合同协议书第2.7款的约定调整承包范围导致合同价款变动超过本合同价款±10%（不含±10%）；</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（3）因设计变更或工程签证致使承包人工程量增减导致合同价款变动超过本合同价款±10%（不含±10%）；</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（4）发包人根据本合同专用条款第76.1款的约定因市场价格波动引起的调整导致合同价款变动超过本合同价款±10%（不含±10%）；</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（5）发包人根据本合同约定制订的制度、规定涉及双方经济利益变动；</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（6）原合同条款欠完善，或条款存在歧义时；</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（7）发包人、承包人双方认为需要签订补充合同（协议）的其他情形。</w:t>
      </w:r>
    </w:p>
    <w:p>
      <w:pPr>
        <w:tabs>
          <w:tab w:val="left" w:pos="1240"/>
          <w:tab w:val="left" w:pos="3640"/>
          <w:tab w:val="left" w:pos="6040"/>
          <w:tab w:val="left" w:pos="7845"/>
        </w:tabs>
        <w:spacing w:line="312" w:lineRule="auto"/>
        <w:ind w:right="-20" w:firstLine="480" w:firstLineChars="200"/>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99.5 承包人必须接受政府有关部门对本合同工程的监督，并无条件配合政府指定的审计机构的审计。</w:t>
      </w:r>
    </w:p>
    <w:p>
      <w:pPr>
        <w:pStyle w:val="13"/>
        <w:tabs>
          <w:tab w:val="left" w:pos="900"/>
          <w:tab w:val="left" w:pos="1080"/>
        </w:tabs>
        <w:spacing w:before="156" w:beforeLines="50" w:after="156" w:afterLines="50" w:line="360" w:lineRule="auto"/>
        <w:ind w:firstLine="480" w:firstLineChars="200"/>
        <w:outlineLvl w:val="2"/>
        <w:rPr>
          <w:rFonts w:ascii="仿宋" w:hAnsi="仿宋" w:eastAsia="仿宋" w:cs="仿宋"/>
          <w:color w:val="auto"/>
          <w:sz w:val="24"/>
          <w:szCs w:val="24"/>
          <w:highlight w:val="none"/>
        </w:rPr>
      </w:pPr>
      <w:bookmarkStart w:id="1018" w:name="_Toc12954"/>
      <w:bookmarkStart w:id="1019" w:name="_Toc28593"/>
      <w:bookmarkStart w:id="1020" w:name="_Toc5851"/>
      <w:r>
        <w:rPr>
          <w:rFonts w:hint="eastAsia" w:ascii="仿宋" w:hAnsi="仿宋" w:eastAsia="仿宋" w:cs="仿宋"/>
          <w:color w:val="auto"/>
          <w:sz w:val="24"/>
          <w:szCs w:val="24"/>
          <w:highlight w:val="none"/>
        </w:rPr>
        <w:t>99.6、安全生产及文明施工目标</w:t>
      </w:r>
      <w:bookmarkEnd w:id="1018"/>
      <w:bookmarkEnd w:id="1019"/>
      <w:bookmarkEnd w:id="1020"/>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确保责任安全事故为零，不发生重、特大安全事故。</w:t>
      </w:r>
    </w:p>
    <w:p>
      <w:pPr>
        <w:spacing w:line="312" w:lineRule="auto"/>
        <w:ind w:firstLine="480" w:firstLineChars="200"/>
        <w:rPr>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99.7、</w:t>
      </w:r>
      <w:r>
        <w:rPr>
          <w:rFonts w:hint="eastAsia" w:ascii="仿宋" w:hAnsi="仿宋" w:eastAsia="仿宋" w:cs="仿宋"/>
          <w:color w:val="auto"/>
          <w:sz w:val="24"/>
          <w:szCs w:val="24"/>
          <w:highlight w:val="none"/>
        </w:rPr>
        <w:t>信息报送</w:t>
      </w:r>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承包人应确保及时准确地按发包人要求向发包人报送相关工程信息。</w:t>
      </w:r>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承包人应在收到中标通知书之日起10日内以书面形式向发包人提交其法定代表人、项目经理（项目负责人）的姓名、身份证复印件、职务、职称、联系方式（包括办公电话、手机、传真号码）、通信地址等信息作为合同附件。</w:t>
      </w:r>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在本合同有效期内，承包人的单位名称变更的，应及时以书面形式通知发包人并附上变更登记资料；法定代表人变更的，应在变更后15日内向发包人提交新法定代表人的姓名、身份证复印件、职务、职称、联系电话、通信地址等信息。在本合同有效期内，承包人的收款账户变更的，应及时以书面形式通知发包人（需注明因账户变更产生的法律责任及经济纠纷均由承包人独自承担）；</w:t>
      </w:r>
    </w:p>
    <w:p>
      <w:pPr>
        <w:spacing w:line="312" w:lineRule="auto"/>
        <w:ind w:left="2" w:firstLine="523" w:firstLineChars="218"/>
        <w:rPr>
          <w:rStyle w:val="37"/>
          <w:rFonts w:ascii="仿宋" w:hAnsi="仿宋" w:eastAsia="仿宋" w:cs="仿宋"/>
          <w:color w:val="auto"/>
          <w:sz w:val="24"/>
          <w:szCs w:val="24"/>
          <w:highlight w:val="none"/>
        </w:rPr>
      </w:pPr>
      <w:r>
        <w:rPr>
          <w:rStyle w:val="37"/>
          <w:rFonts w:hint="eastAsia" w:ascii="仿宋" w:hAnsi="仿宋" w:eastAsia="仿宋" w:cs="仿宋"/>
          <w:color w:val="auto"/>
          <w:sz w:val="24"/>
          <w:szCs w:val="24"/>
          <w:highlight w:val="none"/>
        </w:rPr>
        <w:t>在本合同有效期内，承包人更换本工程项目经理（项目负责人）的，除按合同专用条款的有关约定承担违约责任外，还应在更换后7日内将新项目经理（项目负责人）的姓名、职务、职称、联系电话、通信地址等信息提交给发包人。</w:t>
      </w:r>
    </w:p>
    <w:p>
      <w:pPr>
        <w:pStyle w:val="13"/>
        <w:tabs>
          <w:tab w:val="left" w:pos="540"/>
        </w:tabs>
        <w:adjustRightInd w:val="0"/>
        <w:snapToGrid w:val="0"/>
        <w:spacing w:before="312" w:beforeLines="100" w:line="360" w:lineRule="auto"/>
        <w:ind w:right="-20" w:firstLine="480" w:firstLineChars="200"/>
        <w:outlineLvl w:val="2"/>
        <w:rPr>
          <w:rFonts w:ascii="仿宋" w:hAnsi="仿宋" w:eastAsia="仿宋" w:cs="仿宋"/>
          <w:color w:val="auto"/>
          <w:sz w:val="24"/>
          <w:szCs w:val="24"/>
          <w:highlight w:val="none"/>
        </w:rPr>
      </w:pPr>
      <w:bookmarkStart w:id="1021" w:name="_Toc24953"/>
      <w:bookmarkStart w:id="1022" w:name="_Toc31475"/>
      <w:r>
        <w:rPr>
          <w:rFonts w:hint="eastAsia" w:ascii="仿宋" w:hAnsi="仿宋" w:eastAsia="仿宋" w:cs="仿宋"/>
          <w:color w:val="auto"/>
          <w:sz w:val="24"/>
          <w:highlight w:val="none"/>
          <w:lang w:eastAsia="zh-CN"/>
        </w:rPr>
        <w:t>☑</w:t>
      </w:r>
      <w:r>
        <w:rPr>
          <w:rFonts w:hint="eastAsia" w:ascii="仿宋" w:hAnsi="仿宋" w:eastAsia="仿宋" w:cs="仿宋"/>
          <w:color w:val="auto"/>
          <w:sz w:val="24"/>
          <w:szCs w:val="24"/>
          <w:highlight w:val="none"/>
        </w:rPr>
        <w:t>100  施工BIM</w:t>
      </w:r>
      <w:bookmarkEnd w:id="1021"/>
      <w:bookmarkEnd w:id="1022"/>
    </w:p>
    <w:p>
      <w:pPr>
        <w:pStyle w:val="13"/>
        <w:tabs>
          <w:tab w:val="left" w:pos="540"/>
        </w:tabs>
        <w:adjustRightInd w:val="0"/>
        <w:snapToGrid w:val="0"/>
        <w:spacing w:before="312" w:beforeLines="100" w:line="360" w:lineRule="auto"/>
        <w:ind w:right="-20" w:firstLine="480" w:firstLineChars="200"/>
        <w:outlineLvl w:val="2"/>
        <w:rPr>
          <w:rFonts w:ascii="仿宋" w:hAnsi="仿宋" w:eastAsia="仿宋" w:cs="仿宋"/>
          <w:color w:val="auto"/>
          <w:sz w:val="24"/>
          <w:highlight w:val="none"/>
        </w:rPr>
      </w:pPr>
      <w:bookmarkStart w:id="1023" w:name="_Toc32137"/>
      <w:bookmarkStart w:id="1024" w:name="_Toc29697"/>
      <w:r>
        <w:rPr>
          <w:rFonts w:hint="eastAsia" w:ascii="仿宋" w:hAnsi="仿宋" w:eastAsia="仿宋" w:cs="仿宋"/>
          <w:color w:val="auto"/>
          <w:sz w:val="24"/>
          <w:szCs w:val="24"/>
          <w:highlight w:val="none"/>
        </w:rPr>
        <w:t>100.1一般要求</w:t>
      </w:r>
      <w:bookmarkEnd w:id="1023"/>
      <w:bookmarkEnd w:id="1024"/>
    </w:p>
    <w:p>
      <w:pPr>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100.1.1承包人应被视为其已于投标前仔细审阅了发包人的BIM技术应用要求（包括标准、规范和相关数据，如有），承包人应对发包人的要求进行核实，并对发包人BIM技术应用要求的正确性和（或）完整性负责。</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100.1.2承包人提供的建筑信息模型（BIM）、协调管理平台及应用点等相关服务存在遗漏、错误、缺陷和不足的，承包人应及时修复、弥补、纠正和完善。</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100.1.3 因承包人自身原因造成的施工等阶段工期延误及费用增加，由承包人承担。</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100.1.4 承包人应遵守国家法律、强制性标准规范及发包人要求，采用BIM技术进行建模，并协助发包人及相关方等正确使用。</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100.1.5 BIM技术应用费：已在投标费用中综合考虑。</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100.1.6 BIM技术应用工作方案</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（1）提供时间：签订本合同后30天内</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（2）提供方式：纸质和电子文件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（3）提供数量：纸质2份以上、电子文件1份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100.1.7 BIM技术应用内容和要求的约定</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（1）符合国家、地方及行业现行设计施工规范、规程、质量验收标准及工程建设标准等强制性条文。</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（2）施工阶段的所有BIM模型应满足施工需要的精度要求。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100.1.8 承包人提供建筑信息模型（BIM）及技术应用成果</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（1）提供时间：签订本合同后90天内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（2）提供方式：电子文件                   </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100.1.9 BIM技术应用在各阶段应用的建筑信息模（BIM）交付标准的约定</w:t>
      </w:r>
    </w:p>
    <w:p>
      <w:pPr>
        <w:widowControl w:val="0"/>
        <w:tabs>
          <w:tab w:val="left" w:pos="497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BIM建模</w:t>
      </w:r>
      <w:r>
        <w:rPr>
          <w:rFonts w:hint="eastAsia" w:ascii="仿宋" w:hAnsi="仿宋" w:eastAsia="仿宋" w:cs="仿宋"/>
          <w:color w:val="auto"/>
          <w:sz w:val="24"/>
          <w:szCs w:val="24"/>
          <w:highlight w:val="none"/>
        </w:rPr>
        <w:t>成果能反映施工图设计模型</w:t>
      </w:r>
      <w:r>
        <w:rPr>
          <w:rFonts w:hint="eastAsia" w:ascii="仿宋" w:hAnsi="仿宋" w:eastAsia="仿宋" w:cs="仿宋"/>
          <w:color w:val="auto"/>
          <w:sz w:val="24"/>
          <w:highlight w:val="none"/>
        </w:rPr>
        <w:t>、检验构件、管线冲突碰撞情况，模拟施工过程和优化方案等。</w:t>
      </w:r>
    </w:p>
    <w:p>
      <w:pPr>
        <w:pStyle w:val="5"/>
        <w:tabs>
          <w:tab w:val="left" w:pos="420"/>
        </w:tabs>
        <w:spacing w:before="156" w:beforeLines="50" w:after="156" w:afterLines="50" w:line="360" w:lineRule="auto"/>
        <w:ind w:firstLine="480" w:firstLineChars="200"/>
        <w:rPr>
          <w:rFonts w:ascii="仿宋" w:hAnsi="仿宋" w:eastAsia="仿宋" w:cs="仿宋"/>
          <w:b w:val="0"/>
          <w:color w:val="auto"/>
          <w:sz w:val="24"/>
          <w:szCs w:val="24"/>
          <w:highlight w:val="none"/>
        </w:rPr>
      </w:pPr>
      <w:bookmarkStart w:id="1025" w:name="_Toc8564"/>
      <w:bookmarkStart w:id="1026" w:name="_Toc11928"/>
      <w:r>
        <w:rPr>
          <w:rFonts w:hint="eastAsia" w:ascii="仿宋" w:hAnsi="仿宋" w:eastAsia="仿宋" w:cs="仿宋"/>
          <w:b w:val="0"/>
          <w:color w:val="auto"/>
          <w:sz w:val="24"/>
          <w:szCs w:val="24"/>
          <w:highlight w:val="none"/>
        </w:rPr>
        <w:t>100.2 技术应用</w:t>
      </w:r>
      <w:bookmarkEnd w:id="1025"/>
      <w:bookmarkEnd w:id="1026"/>
      <w:r>
        <w:rPr>
          <w:rFonts w:hint="eastAsia" w:ascii="仿宋" w:hAnsi="仿宋" w:eastAsia="仿宋" w:cs="仿宋"/>
          <w:b w:val="0"/>
          <w:color w:val="auto"/>
          <w:sz w:val="24"/>
          <w:szCs w:val="24"/>
          <w:highlight w:val="none"/>
        </w:rPr>
        <w:t xml:space="preserve"> </w:t>
      </w:r>
    </w:p>
    <w:p>
      <w:pPr>
        <w:widowControl w:val="0"/>
        <w:tabs>
          <w:tab w:val="left" w:pos="132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100.2.1资料的核实</w:t>
      </w:r>
    </w:p>
    <w:p>
      <w:pPr>
        <w:widowControl w:val="0"/>
        <w:tabs>
          <w:tab w:val="left" w:pos="132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承包人在BIM技术应用工作开始日期前，应对发包人的BIM技术应用要求和所提供的项目基础资料的完备性和正确性进行核实，发现错漏应及时提请发包人补充完善。</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100.2.2技术应用工作方案</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（1）承包人应在BIM技术应用工作开始日期前，编制BIM技术应用工作方案，并报发包人审查或备案。</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 BIM技术应用工作方案应包括项目基本情况、人员安排、工作进度、技术标准、工作量、质量保证体系以及需要发包人配合事项等。</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100.2.3 BIM技术应用</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（1）承包人应根据发包人审查批准或备案的BIM技术应用工作方案、发包人要求并依据有关技术标准开展BIM技术应用。</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（2）施工阶段，承包人应采用BIM技术编制方案和绿色安全防护措施，优化施工工艺流程，建立BIM信息管理平台，统筹协调施工进度。</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竣工验收阶段，承包人应在施工图与建筑信息模型（BIM）的基础上，结合设计变更、签证、管线碰撞检查等资料，完善建筑信息模型（BIM）、出具竣工图，并配合政府行政主管部门的要求，采用建筑信息模型（BIM）进行竣工验收备案（如有）。</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100.2.4建筑信息模型（BIM）及应用成果</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（1）承包人向发包人提交建筑信息模型（BIM）及有关应用成果，发包人根据项目实际需要增加的服务内容和成果，承包人需无条件配合。</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 因承包人原因，造成各阶段BIM模型及有关应用成果存在遗漏、错误的，承包人应补充、修正和完善，由此产生的费用、工期延误由承包人承担。</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100.2.5建筑信息模型（BIM）审查</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发包人及政府有关部门审查需要承包人提供建筑信息模型（BIM）的，承包人应予以配合。</w:t>
      </w:r>
    </w:p>
    <w:p>
      <w:pPr>
        <w:widowControl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100.2.6建筑信息模型（BIM）交付标准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BIM技术应用各阶段的建筑信息模（BIM）交付，应符合国家、行业及省市现行有关标准。</w:t>
      </w:r>
    </w:p>
    <w:p>
      <w:pPr>
        <w:spacing w:line="360" w:lineRule="exact"/>
        <w:ind w:right="-20"/>
        <w:rPr>
          <w:rStyle w:val="37"/>
          <w:rFonts w:ascii="宋体" w:hAnsi="宋体"/>
          <w:color w:val="auto"/>
          <w:sz w:val="24"/>
          <w:szCs w:val="24"/>
          <w:highlight w:val="none"/>
        </w:rPr>
      </w:pPr>
    </w:p>
    <w:p>
      <w:pPr>
        <w:spacing w:line="360" w:lineRule="exact"/>
        <w:ind w:right="-20"/>
        <w:rPr>
          <w:rStyle w:val="37"/>
          <w:rFonts w:ascii="宋体" w:hAnsi="宋体"/>
          <w:color w:val="auto"/>
          <w:sz w:val="24"/>
          <w:szCs w:val="24"/>
          <w:highlight w:val="none"/>
        </w:rPr>
      </w:pPr>
    </w:p>
    <w:p>
      <w:pPr>
        <w:rPr>
          <w:rStyle w:val="37"/>
          <w:rFonts w:ascii="宋体" w:hAnsi="宋体" w:cs="Times New Roman"/>
          <w:color w:val="auto"/>
          <w:sz w:val="24"/>
          <w:szCs w:val="24"/>
          <w:highlight w:val="none"/>
        </w:rPr>
      </w:pPr>
      <w:bookmarkStart w:id="1027" w:name="_Toc13005"/>
      <w:bookmarkStart w:id="1028" w:name="_Toc12399"/>
      <w:bookmarkStart w:id="1029" w:name="_Toc1844"/>
      <w:bookmarkStart w:id="1030" w:name="_Toc3778"/>
      <w:r>
        <w:rPr>
          <w:rStyle w:val="37"/>
          <w:rFonts w:ascii="宋体" w:hAnsi="宋体" w:cs="Times New Roman"/>
          <w:color w:val="auto"/>
          <w:sz w:val="24"/>
          <w:szCs w:val="24"/>
          <w:highlight w:val="none"/>
        </w:rPr>
        <w:br w:type="page"/>
      </w:r>
    </w:p>
    <w:p>
      <w:pPr>
        <w:spacing w:line="360" w:lineRule="exact"/>
        <w:ind w:right="-20"/>
        <w:outlineLvl w:val="2"/>
        <w:rPr>
          <w:rStyle w:val="37"/>
          <w:rFonts w:ascii="宋体" w:hAnsi="宋体" w:cs="Times New Roman"/>
          <w:color w:val="auto"/>
          <w:sz w:val="24"/>
          <w:szCs w:val="24"/>
          <w:highlight w:val="none"/>
        </w:rPr>
      </w:pPr>
      <w:bookmarkStart w:id="1031" w:name="_Toc19941"/>
      <w:r>
        <w:rPr>
          <w:rStyle w:val="37"/>
          <w:rFonts w:ascii="宋体" w:hAnsi="宋体" w:cs="Times New Roman"/>
          <w:color w:val="auto"/>
          <w:sz w:val="24"/>
          <w:szCs w:val="24"/>
          <w:highlight w:val="none"/>
        </w:rPr>
        <w:t>附件</w:t>
      </w:r>
      <w:r>
        <w:rPr>
          <w:rStyle w:val="37"/>
          <w:rFonts w:hint="default" w:ascii="宋体" w:hAnsi="宋体" w:cs="Times New Roman"/>
          <w:color w:val="auto"/>
          <w:sz w:val="24"/>
          <w:szCs w:val="24"/>
          <w:highlight w:val="none"/>
        </w:rPr>
        <w:t>一</w:t>
      </w:r>
      <w:bookmarkEnd w:id="1027"/>
      <w:bookmarkEnd w:id="1028"/>
      <w:bookmarkEnd w:id="1029"/>
      <w:bookmarkEnd w:id="1030"/>
      <w:bookmarkEnd w:id="1031"/>
    </w:p>
    <w:p>
      <w:pPr>
        <w:pStyle w:val="5"/>
        <w:spacing w:line="500" w:lineRule="exact"/>
        <w:jc w:val="center"/>
        <w:outlineLvl w:val="2"/>
        <w:rPr>
          <w:rStyle w:val="30"/>
          <w:rFonts w:hint="eastAsia" w:ascii="Times New Roman" w:hAnsi="Times New Roman"/>
          <w:bCs w:val="0"/>
          <w:color w:val="auto"/>
          <w:kern w:val="44"/>
          <w:sz w:val="36"/>
          <w:highlight w:val="none"/>
        </w:rPr>
      </w:pPr>
      <w:bookmarkStart w:id="1032" w:name="_Toc30054"/>
      <w:bookmarkStart w:id="1033" w:name="_Toc27649"/>
      <w:bookmarkStart w:id="1034" w:name="_Toc451"/>
      <w:bookmarkStart w:id="1035" w:name="_Toc22180"/>
      <w:bookmarkStart w:id="1036" w:name="_Toc30979"/>
      <w:bookmarkStart w:id="1037" w:name="_Toc10919"/>
      <w:bookmarkStart w:id="1038" w:name="_Toc10146"/>
      <w:bookmarkStart w:id="1039" w:name="_Toc30907"/>
      <w:r>
        <w:rPr>
          <w:rStyle w:val="30"/>
          <w:rFonts w:hint="eastAsia" w:ascii="Times New Roman" w:hAnsi="Times New Roman"/>
          <w:bCs w:val="0"/>
          <w:color w:val="auto"/>
          <w:kern w:val="44"/>
          <w:sz w:val="36"/>
          <w:highlight w:val="none"/>
        </w:rPr>
        <w:t>工程质量保修书</w:t>
      </w:r>
      <w:bookmarkEnd w:id="1032"/>
      <w:bookmarkEnd w:id="1033"/>
      <w:bookmarkEnd w:id="1034"/>
      <w:bookmarkEnd w:id="1035"/>
      <w:bookmarkEnd w:id="1036"/>
      <w:bookmarkEnd w:id="1037"/>
      <w:bookmarkEnd w:id="1038"/>
      <w:bookmarkEnd w:id="1039"/>
    </w:p>
    <w:p>
      <w:pPr>
        <w:tabs>
          <w:tab w:val="left" w:pos="9100"/>
        </w:tabs>
        <w:ind w:left="101" w:right="-20"/>
        <w:rPr>
          <w:rStyle w:val="37"/>
          <w:rFonts w:ascii="宋体" w:hAnsi="宋体"/>
          <w:color w:val="auto"/>
          <w:sz w:val="24"/>
          <w:szCs w:val="24"/>
          <w:highlight w:val="none"/>
        </w:rPr>
      </w:pPr>
      <w:r>
        <w:rPr>
          <w:rStyle w:val="37"/>
          <w:rFonts w:ascii="宋体" w:hAnsi="宋体"/>
          <w:color w:val="auto"/>
          <w:sz w:val="24"/>
          <w:szCs w:val="24"/>
          <w:highlight w:val="none"/>
        </w:rPr>
        <w:t>发包人:（全称）</w:t>
      </w:r>
      <w:r>
        <w:rPr>
          <w:rStyle w:val="37"/>
          <w:rFonts w:ascii="宋体" w:hAnsi="宋体"/>
          <w:color w:val="auto"/>
          <w:sz w:val="24"/>
          <w:szCs w:val="24"/>
          <w:highlight w:val="none"/>
          <w:u w:val="single"/>
        </w:rPr>
        <w:t>广州市天河区建设工程项目代建局</w:t>
      </w:r>
      <w:r>
        <w:rPr>
          <w:rStyle w:val="37"/>
          <w:rFonts w:ascii="宋体" w:hAnsi="宋体"/>
          <w:color w:val="auto"/>
          <w:sz w:val="24"/>
          <w:szCs w:val="24"/>
          <w:highlight w:val="none"/>
        </w:rPr>
        <w:tab/>
      </w:r>
    </w:p>
    <w:p>
      <w:pPr>
        <w:tabs>
          <w:tab w:val="left" w:pos="9100"/>
        </w:tabs>
        <w:ind w:left="101" w:right="-20"/>
        <w:rPr>
          <w:rStyle w:val="37"/>
          <w:rFonts w:ascii="宋体" w:hAnsi="宋体"/>
          <w:color w:val="auto"/>
          <w:sz w:val="24"/>
          <w:szCs w:val="24"/>
          <w:highlight w:val="none"/>
        </w:rPr>
      </w:pPr>
      <w:r>
        <w:rPr>
          <w:rStyle w:val="37"/>
          <w:rFonts w:ascii="宋体" w:hAnsi="宋体"/>
          <w:color w:val="auto"/>
          <w:sz w:val="24"/>
          <w:szCs w:val="24"/>
          <w:highlight w:val="none"/>
        </w:rPr>
        <w:t>承包人:（全称）</w:t>
      </w:r>
      <w:r>
        <w:rPr>
          <w:rStyle w:val="37"/>
          <w:rFonts w:hint="eastAsia" w:ascii="宋体" w:hAnsi="宋体"/>
          <w:color w:val="auto"/>
          <w:sz w:val="24"/>
          <w:szCs w:val="24"/>
          <w:highlight w:val="none"/>
          <w:u w:val="single"/>
          <w:lang w:val="en-US" w:eastAsia="zh-CN"/>
        </w:rPr>
        <w:t xml:space="preserve">                    </w:t>
      </w:r>
      <w:r>
        <w:rPr>
          <w:rStyle w:val="37"/>
          <w:rFonts w:ascii="宋体" w:hAnsi="宋体"/>
          <w:color w:val="auto"/>
          <w:sz w:val="24"/>
          <w:szCs w:val="24"/>
          <w:highlight w:val="none"/>
        </w:rPr>
        <w:tab/>
      </w:r>
    </w:p>
    <w:p>
      <w:pPr>
        <w:spacing w:line="220" w:lineRule="exact"/>
        <w:rPr>
          <w:rStyle w:val="37"/>
          <w:rFonts w:ascii="宋体" w:hAnsi="宋体"/>
          <w:color w:val="auto"/>
          <w:sz w:val="24"/>
          <w:szCs w:val="24"/>
          <w:highlight w:val="none"/>
        </w:rPr>
      </w:pPr>
    </w:p>
    <w:p>
      <w:pPr>
        <w:spacing w:line="360" w:lineRule="auto"/>
        <w:ind w:left="101" w:right="80" w:firstLine="480"/>
        <w:rPr>
          <w:rStyle w:val="37"/>
          <w:rFonts w:ascii="宋体" w:hAnsi="宋体"/>
          <w:color w:val="auto"/>
          <w:sz w:val="24"/>
          <w:szCs w:val="24"/>
          <w:highlight w:val="none"/>
        </w:rPr>
      </w:pPr>
      <w:r>
        <w:rPr>
          <w:rStyle w:val="37"/>
          <w:rFonts w:ascii="宋体" w:hAnsi="宋体"/>
          <w:color w:val="auto"/>
          <w:sz w:val="24"/>
          <w:szCs w:val="24"/>
          <w:highlight w:val="none"/>
        </w:rPr>
        <w:t>为保证</w:t>
      </w:r>
      <w:r>
        <w:rPr>
          <w:rStyle w:val="37"/>
          <w:rFonts w:hint="eastAsia" w:ascii="宋体" w:hAnsi="宋体"/>
          <w:color w:val="auto"/>
          <w:sz w:val="24"/>
          <w:szCs w:val="24"/>
          <w:highlight w:val="none"/>
          <w:lang w:val="en-US" w:eastAsia="zh-CN"/>
        </w:rPr>
        <w:t xml:space="preserve">           </w:t>
      </w:r>
      <w:r>
        <w:rPr>
          <w:rStyle w:val="37"/>
          <w:rFonts w:ascii="宋体" w:hAnsi="宋体"/>
          <w:color w:val="auto"/>
          <w:sz w:val="24"/>
          <w:szCs w:val="24"/>
          <w:highlight w:val="none"/>
        </w:rPr>
        <w:t>（工程名称）在合理使用期限内正常使用，合同双方当事人根据《中华人民共和国建筑法》、《建设工程质量管理条例》和《房屋建筑工程质量保修办法》等规定，经协商一致，订立本质量保修书。</w:t>
      </w:r>
    </w:p>
    <w:p>
      <w:pPr>
        <w:spacing w:line="360" w:lineRule="auto"/>
        <w:ind w:left="522"/>
        <w:rPr>
          <w:rStyle w:val="37"/>
          <w:rFonts w:ascii="宋体" w:hAnsi="宋体"/>
          <w:color w:val="auto"/>
          <w:sz w:val="24"/>
          <w:szCs w:val="24"/>
          <w:highlight w:val="none"/>
        </w:rPr>
      </w:pPr>
      <w:r>
        <w:rPr>
          <w:rStyle w:val="37"/>
          <w:rFonts w:ascii="宋体" w:hAnsi="宋体"/>
          <w:color w:val="auto"/>
          <w:sz w:val="24"/>
          <w:szCs w:val="24"/>
          <w:highlight w:val="none"/>
        </w:rPr>
        <w:t>1．质量保修范围</w:t>
      </w:r>
    </w:p>
    <w:p>
      <w:pPr>
        <w:spacing w:line="360" w:lineRule="auto"/>
        <w:ind w:left="101" w:right="80" w:firstLine="480"/>
        <w:rPr>
          <w:rStyle w:val="37"/>
          <w:rFonts w:ascii="宋体" w:hAnsi="宋体"/>
          <w:color w:val="auto"/>
          <w:sz w:val="24"/>
          <w:szCs w:val="24"/>
          <w:highlight w:val="none"/>
        </w:rPr>
      </w:pPr>
      <w:r>
        <w:rPr>
          <w:rStyle w:val="37"/>
          <w:rFonts w:ascii="宋体" w:hAnsi="宋体"/>
          <w:color w:val="auto"/>
          <w:sz w:val="24"/>
          <w:szCs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pPr>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1.1</w:t>
      </w:r>
    </w:p>
    <w:p>
      <w:pPr>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1.2</w:t>
      </w:r>
    </w:p>
    <w:p>
      <w:pPr>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1.3</w:t>
      </w:r>
    </w:p>
    <w:p>
      <w:pPr>
        <w:spacing w:line="360" w:lineRule="auto"/>
        <w:ind w:left="522"/>
        <w:rPr>
          <w:rStyle w:val="37"/>
          <w:rFonts w:ascii="宋体" w:hAnsi="宋体"/>
          <w:color w:val="auto"/>
          <w:sz w:val="24"/>
          <w:szCs w:val="24"/>
          <w:highlight w:val="none"/>
        </w:rPr>
      </w:pPr>
      <w:r>
        <w:rPr>
          <w:rStyle w:val="37"/>
          <w:rFonts w:ascii="宋体" w:hAnsi="宋体"/>
          <w:color w:val="auto"/>
          <w:sz w:val="24"/>
          <w:szCs w:val="24"/>
          <w:highlight w:val="none"/>
        </w:rPr>
        <w:t>2．质量保修期</w:t>
      </w:r>
    </w:p>
    <w:p>
      <w:pPr>
        <w:spacing w:line="360" w:lineRule="auto"/>
        <w:ind w:right="-85" w:firstLine="581"/>
        <w:rPr>
          <w:rStyle w:val="37"/>
          <w:rFonts w:ascii="宋体" w:hAnsi="宋体"/>
          <w:color w:val="auto"/>
          <w:sz w:val="24"/>
          <w:szCs w:val="24"/>
          <w:highlight w:val="none"/>
        </w:rPr>
      </w:pPr>
      <w:r>
        <w:rPr>
          <w:rStyle w:val="37"/>
          <w:rFonts w:ascii="宋体" w:hAnsi="宋体"/>
          <w:color w:val="auto"/>
          <w:sz w:val="24"/>
          <w:szCs w:val="24"/>
          <w:highlight w:val="none"/>
        </w:rPr>
        <w:t>2.1  质量保修期从合同工程实际竣工之日算起。单项竣工验收的工程，按单项工程分别计算质量保修期。</w:t>
      </w:r>
    </w:p>
    <w:p>
      <w:pPr>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2.2 合同工程质量保修期，合同双方当事人约定如下：</w:t>
      </w:r>
    </w:p>
    <w:p>
      <w:pPr>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2.2.1地基基础工程、主体结构工程为设计文件规定的合理使用年限；</w:t>
      </w:r>
    </w:p>
    <w:p>
      <w:pPr>
        <w:tabs>
          <w:tab w:val="left" w:pos="8860"/>
        </w:tabs>
        <w:spacing w:line="360" w:lineRule="auto"/>
        <w:ind w:right="-20" w:firstLine="580" w:firstLineChars="242"/>
        <w:rPr>
          <w:rStyle w:val="37"/>
          <w:rFonts w:ascii="宋体" w:hAnsi="宋体"/>
          <w:color w:val="auto"/>
          <w:sz w:val="24"/>
          <w:szCs w:val="24"/>
          <w:highlight w:val="none"/>
        </w:rPr>
      </w:pPr>
      <w:r>
        <w:rPr>
          <w:rStyle w:val="37"/>
          <w:rFonts w:ascii="宋体" w:hAnsi="宋体"/>
          <w:color w:val="auto"/>
          <w:sz w:val="24"/>
          <w:szCs w:val="24"/>
          <w:highlight w:val="none"/>
        </w:rPr>
        <w:t>2.2.2屋面防水工程、有防水要求的卫生间、房间和外墙面的防渗漏工程为</w:t>
      </w:r>
      <w:r>
        <w:rPr>
          <w:rStyle w:val="37"/>
          <w:rFonts w:ascii="宋体" w:hAnsi="宋体"/>
          <w:color w:val="auto"/>
          <w:sz w:val="24"/>
          <w:szCs w:val="24"/>
          <w:highlight w:val="none"/>
          <w:u w:val="single"/>
        </w:rPr>
        <w:t>5</w:t>
      </w:r>
      <w:r>
        <w:rPr>
          <w:rStyle w:val="37"/>
          <w:rFonts w:ascii="宋体" w:hAnsi="宋体"/>
          <w:color w:val="auto"/>
          <w:sz w:val="24"/>
          <w:szCs w:val="24"/>
          <w:highlight w:val="none"/>
        </w:rPr>
        <w:t>年；</w:t>
      </w:r>
    </w:p>
    <w:p>
      <w:pPr>
        <w:tabs>
          <w:tab w:val="left" w:pos="7420"/>
        </w:tabs>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2.2.3电气管线工程、给排水管道工程、设备安装工程为</w:t>
      </w:r>
      <w:r>
        <w:rPr>
          <w:rStyle w:val="37"/>
          <w:rFonts w:ascii="宋体" w:hAnsi="宋体"/>
          <w:color w:val="auto"/>
          <w:sz w:val="24"/>
          <w:szCs w:val="24"/>
          <w:highlight w:val="none"/>
          <w:u w:val="single"/>
        </w:rPr>
        <w:t xml:space="preserve"> 2</w:t>
      </w:r>
      <w:r>
        <w:rPr>
          <w:rStyle w:val="37"/>
          <w:rFonts w:ascii="宋体" w:hAnsi="宋体"/>
          <w:color w:val="auto"/>
          <w:sz w:val="24"/>
          <w:szCs w:val="24"/>
          <w:highlight w:val="none"/>
        </w:rPr>
        <w:t>年；</w:t>
      </w:r>
    </w:p>
    <w:p>
      <w:pPr>
        <w:tabs>
          <w:tab w:val="left" w:pos="4060"/>
        </w:tabs>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2.2.4供热、供冷系统工程为</w:t>
      </w:r>
      <w:r>
        <w:rPr>
          <w:rStyle w:val="37"/>
          <w:rFonts w:ascii="宋体" w:hAnsi="宋体"/>
          <w:color w:val="auto"/>
          <w:sz w:val="24"/>
          <w:szCs w:val="24"/>
          <w:highlight w:val="none"/>
          <w:u w:val="single"/>
        </w:rPr>
        <w:t xml:space="preserve"> 2 </w:t>
      </w:r>
      <w:r>
        <w:rPr>
          <w:rStyle w:val="37"/>
          <w:rFonts w:ascii="宋体" w:hAnsi="宋体"/>
          <w:color w:val="auto"/>
          <w:sz w:val="24"/>
          <w:szCs w:val="24"/>
          <w:highlight w:val="none"/>
        </w:rPr>
        <w:t>个采暖期、供冷期；</w:t>
      </w:r>
    </w:p>
    <w:p>
      <w:pPr>
        <w:tabs>
          <w:tab w:val="left" w:pos="3580"/>
        </w:tabs>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2.2.5装饰装修工程为</w:t>
      </w:r>
      <w:r>
        <w:rPr>
          <w:rStyle w:val="37"/>
          <w:rFonts w:ascii="宋体" w:hAnsi="宋体"/>
          <w:color w:val="auto"/>
          <w:sz w:val="24"/>
          <w:szCs w:val="24"/>
          <w:highlight w:val="none"/>
          <w:u w:val="single"/>
        </w:rPr>
        <w:t>2</w:t>
      </w:r>
      <w:r>
        <w:rPr>
          <w:rStyle w:val="37"/>
          <w:rFonts w:ascii="宋体" w:hAnsi="宋体"/>
          <w:color w:val="auto"/>
          <w:sz w:val="24"/>
          <w:szCs w:val="24"/>
          <w:highlight w:val="none"/>
        </w:rPr>
        <w:t>年；</w:t>
      </w:r>
    </w:p>
    <w:p>
      <w:pPr>
        <w:tabs>
          <w:tab w:val="left" w:pos="6100"/>
        </w:tabs>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2.2.6其他项目市政工程为</w:t>
      </w:r>
      <w:r>
        <w:rPr>
          <w:rStyle w:val="37"/>
          <w:rFonts w:ascii="宋体" w:hAnsi="宋体"/>
          <w:color w:val="auto"/>
          <w:sz w:val="24"/>
          <w:szCs w:val="24"/>
          <w:highlight w:val="none"/>
          <w:u w:val="single"/>
        </w:rPr>
        <w:t>2</w:t>
      </w:r>
      <w:r>
        <w:rPr>
          <w:rStyle w:val="37"/>
          <w:rFonts w:ascii="宋体" w:hAnsi="宋体"/>
          <w:color w:val="auto"/>
          <w:sz w:val="24"/>
          <w:szCs w:val="24"/>
          <w:highlight w:val="none"/>
        </w:rPr>
        <w:t>年</w:t>
      </w:r>
    </w:p>
    <w:p>
      <w:pPr>
        <w:spacing w:line="360" w:lineRule="auto"/>
        <w:ind w:left="522"/>
        <w:rPr>
          <w:rStyle w:val="37"/>
          <w:rFonts w:ascii="宋体" w:hAnsi="宋体"/>
          <w:color w:val="auto"/>
          <w:sz w:val="24"/>
          <w:szCs w:val="24"/>
          <w:highlight w:val="none"/>
        </w:rPr>
      </w:pPr>
      <w:r>
        <w:rPr>
          <w:rStyle w:val="37"/>
          <w:rFonts w:ascii="宋体" w:hAnsi="宋体"/>
          <w:color w:val="auto"/>
          <w:sz w:val="24"/>
          <w:szCs w:val="24"/>
          <w:highlight w:val="none"/>
        </w:rPr>
        <w:t>3．质量保修责任</w:t>
      </w:r>
    </w:p>
    <w:p>
      <w:pPr>
        <w:tabs>
          <w:tab w:val="left" w:pos="1120"/>
        </w:tabs>
        <w:spacing w:line="360" w:lineRule="auto"/>
        <w:ind w:left="101" w:right="-84" w:firstLine="480"/>
        <w:rPr>
          <w:rStyle w:val="37"/>
          <w:rFonts w:ascii="宋体" w:hAnsi="宋体"/>
          <w:color w:val="auto"/>
          <w:sz w:val="24"/>
          <w:szCs w:val="24"/>
          <w:highlight w:val="none"/>
        </w:rPr>
      </w:pPr>
      <w:r>
        <w:rPr>
          <w:rStyle w:val="37"/>
          <w:rFonts w:ascii="宋体" w:hAnsi="宋体"/>
          <w:color w:val="auto"/>
          <w:sz w:val="24"/>
          <w:szCs w:val="24"/>
          <w:highlight w:val="none"/>
        </w:rPr>
        <w:t>3.1</w:t>
      </w:r>
      <w:r>
        <w:rPr>
          <w:rStyle w:val="37"/>
          <w:rFonts w:ascii="宋体" w:hAnsi="宋体"/>
          <w:color w:val="auto"/>
          <w:sz w:val="24"/>
          <w:szCs w:val="24"/>
          <w:highlight w:val="none"/>
        </w:rPr>
        <w:tab/>
      </w:r>
      <w:r>
        <w:rPr>
          <w:rStyle w:val="37"/>
          <w:rFonts w:ascii="宋体" w:hAnsi="宋体"/>
          <w:color w:val="auto"/>
          <w:sz w:val="24"/>
          <w:szCs w:val="24"/>
          <w:highlight w:val="none"/>
        </w:rPr>
        <w:t>属于保修范围的项目，承包人应在接到发包人通知后的 7 天内派人保修。承包人未能在规定时间内派人保修的，发包人可自行或委托第三方保修。</w:t>
      </w:r>
    </w:p>
    <w:p>
      <w:pPr>
        <w:tabs>
          <w:tab w:val="left" w:pos="1120"/>
        </w:tabs>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3.2</w:t>
      </w:r>
      <w:r>
        <w:rPr>
          <w:rStyle w:val="37"/>
          <w:rFonts w:ascii="宋体" w:hAnsi="宋体"/>
          <w:color w:val="auto"/>
          <w:sz w:val="24"/>
          <w:szCs w:val="24"/>
          <w:highlight w:val="none"/>
        </w:rPr>
        <w:tab/>
      </w:r>
      <w:r>
        <w:rPr>
          <w:rStyle w:val="37"/>
          <w:rFonts w:ascii="宋体" w:hAnsi="宋体"/>
          <w:color w:val="auto"/>
          <w:sz w:val="24"/>
          <w:szCs w:val="24"/>
          <w:highlight w:val="none"/>
        </w:rPr>
        <w:t>发生紧急抢修事故的，承包人在接到通知后，应立即到达事故现场抢修。</w:t>
      </w:r>
    </w:p>
    <w:p>
      <w:pPr>
        <w:spacing w:line="360" w:lineRule="auto"/>
        <w:ind w:left="101" w:right="-85" w:firstLine="480"/>
        <w:rPr>
          <w:rStyle w:val="37"/>
          <w:rFonts w:ascii="宋体" w:hAnsi="宋体"/>
          <w:color w:val="auto"/>
          <w:sz w:val="24"/>
          <w:szCs w:val="24"/>
          <w:highlight w:val="none"/>
        </w:rPr>
      </w:pPr>
      <w:r>
        <w:rPr>
          <w:rStyle w:val="37"/>
          <w:rFonts w:ascii="宋体" w:hAnsi="宋体"/>
          <w:color w:val="auto"/>
          <w:sz w:val="24"/>
          <w:szCs w:val="24"/>
          <w:highlight w:val="none"/>
        </w:rPr>
        <w:t>3.3</w:t>
      </w:r>
      <w:r>
        <w:rPr>
          <w:rStyle w:val="37"/>
          <w:rFonts w:hint="eastAsia" w:ascii="宋体" w:hAnsi="宋体"/>
          <w:color w:val="auto"/>
          <w:sz w:val="24"/>
          <w:szCs w:val="24"/>
          <w:highlight w:val="none"/>
        </w:rPr>
        <w:t xml:space="preserve"> </w:t>
      </w:r>
      <w:r>
        <w:rPr>
          <w:rStyle w:val="37"/>
          <w:rFonts w:ascii="宋体" w:hAnsi="宋体"/>
          <w:color w:val="auto"/>
          <w:sz w:val="24"/>
          <w:szCs w:val="24"/>
          <w:highlight w:val="none"/>
        </w:rPr>
        <w:t>在国家规定的合理使用期限内，承包人应确保地基基础工程和主体结构的质量和安全。凡出现质量问题，应立即报告当地建设行政主管部门，经设计人提出保修方案后，承包人应立即实施保修。</w:t>
      </w:r>
    </w:p>
    <w:p>
      <w:pPr>
        <w:tabs>
          <w:tab w:val="left" w:pos="1120"/>
        </w:tabs>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3.4</w:t>
      </w:r>
      <w:r>
        <w:rPr>
          <w:rStyle w:val="37"/>
          <w:rFonts w:ascii="宋体" w:hAnsi="宋体"/>
          <w:color w:val="auto"/>
          <w:sz w:val="24"/>
          <w:szCs w:val="24"/>
          <w:highlight w:val="none"/>
        </w:rPr>
        <w:tab/>
      </w:r>
      <w:r>
        <w:rPr>
          <w:rStyle w:val="37"/>
          <w:rFonts w:ascii="宋体" w:hAnsi="宋体"/>
          <w:color w:val="auto"/>
          <w:sz w:val="24"/>
          <w:szCs w:val="24"/>
          <w:highlight w:val="none"/>
        </w:rPr>
        <w:t>质量保修完成后，由发包人组织验收。</w:t>
      </w:r>
    </w:p>
    <w:p>
      <w:pPr>
        <w:spacing w:line="360" w:lineRule="auto"/>
        <w:ind w:left="522"/>
        <w:rPr>
          <w:rStyle w:val="37"/>
          <w:rFonts w:ascii="宋体" w:hAnsi="宋体"/>
          <w:color w:val="auto"/>
          <w:sz w:val="24"/>
          <w:szCs w:val="24"/>
          <w:highlight w:val="none"/>
        </w:rPr>
      </w:pPr>
      <w:r>
        <w:rPr>
          <w:rStyle w:val="37"/>
          <w:rFonts w:ascii="宋体" w:hAnsi="宋体"/>
          <w:color w:val="auto"/>
          <w:sz w:val="24"/>
          <w:szCs w:val="24"/>
          <w:highlight w:val="none"/>
        </w:rPr>
        <w:t>4．质量保修费用</w:t>
      </w:r>
    </w:p>
    <w:p>
      <w:pPr>
        <w:spacing w:line="360" w:lineRule="auto"/>
        <w:ind w:left="581" w:right="-20"/>
        <w:rPr>
          <w:rStyle w:val="37"/>
          <w:rFonts w:ascii="宋体" w:hAnsi="宋体"/>
          <w:color w:val="auto"/>
          <w:sz w:val="24"/>
          <w:szCs w:val="24"/>
          <w:highlight w:val="none"/>
        </w:rPr>
      </w:pPr>
      <w:r>
        <w:rPr>
          <w:rStyle w:val="37"/>
          <w:rFonts w:ascii="宋体" w:hAnsi="宋体"/>
          <w:color w:val="auto"/>
          <w:sz w:val="24"/>
          <w:szCs w:val="24"/>
          <w:highlight w:val="none"/>
        </w:rPr>
        <w:t>质量保修等费用，由责任方承担。</w:t>
      </w:r>
    </w:p>
    <w:p>
      <w:pPr>
        <w:spacing w:line="360" w:lineRule="auto"/>
        <w:ind w:left="522"/>
        <w:rPr>
          <w:rStyle w:val="37"/>
          <w:rFonts w:ascii="宋体" w:hAnsi="宋体"/>
          <w:color w:val="auto"/>
          <w:sz w:val="24"/>
          <w:szCs w:val="24"/>
          <w:highlight w:val="none"/>
        </w:rPr>
      </w:pPr>
      <w:r>
        <w:rPr>
          <w:rStyle w:val="37"/>
          <w:rFonts w:ascii="宋体" w:hAnsi="宋体"/>
          <w:color w:val="auto"/>
          <w:sz w:val="24"/>
          <w:szCs w:val="24"/>
          <w:highlight w:val="none"/>
        </w:rPr>
        <w:t>5．质量保证金</w:t>
      </w:r>
    </w:p>
    <w:p>
      <w:pPr>
        <w:spacing w:line="360" w:lineRule="auto"/>
        <w:ind w:left="581" w:right="-203"/>
        <w:rPr>
          <w:rStyle w:val="37"/>
          <w:rFonts w:ascii="宋体" w:hAnsi="宋体"/>
          <w:color w:val="auto"/>
          <w:sz w:val="24"/>
          <w:szCs w:val="24"/>
          <w:highlight w:val="none"/>
        </w:rPr>
      </w:pPr>
      <w:r>
        <w:rPr>
          <w:rStyle w:val="37"/>
          <w:rFonts w:ascii="宋体" w:hAnsi="宋体"/>
          <w:color w:val="auto"/>
          <w:sz w:val="24"/>
          <w:szCs w:val="24"/>
          <w:highlight w:val="none"/>
        </w:rPr>
        <w:t>质量保证金的约定、支付和使用与本合同第三部分《专用条款》第 84 条赋予的规定一致。</w:t>
      </w:r>
    </w:p>
    <w:p>
      <w:pPr>
        <w:spacing w:line="360" w:lineRule="auto"/>
        <w:ind w:firstLine="520" w:firstLineChars="217"/>
        <w:rPr>
          <w:rStyle w:val="37"/>
          <w:rFonts w:ascii="宋体" w:hAnsi="宋体"/>
          <w:color w:val="auto"/>
          <w:sz w:val="24"/>
          <w:szCs w:val="24"/>
          <w:highlight w:val="none"/>
        </w:rPr>
      </w:pPr>
      <w:r>
        <w:rPr>
          <w:rStyle w:val="37"/>
          <w:rFonts w:ascii="宋体" w:hAnsi="宋体"/>
          <w:color w:val="auto"/>
          <w:sz w:val="24"/>
          <w:szCs w:val="24"/>
          <w:highlight w:val="none"/>
        </w:rPr>
        <w:t>6．其他</w:t>
      </w:r>
    </w:p>
    <w:p>
      <w:pPr>
        <w:spacing w:line="360" w:lineRule="auto"/>
        <w:ind w:right="-20" w:firstLine="520" w:firstLineChars="217"/>
        <w:rPr>
          <w:rStyle w:val="37"/>
          <w:rFonts w:ascii="宋体" w:hAnsi="宋体"/>
          <w:color w:val="auto"/>
          <w:sz w:val="24"/>
          <w:szCs w:val="24"/>
          <w:highlight w:val="none"/>
        </w:rPr>
      </w:pPr>
      <w:r>
        <w:rPr>
          <w:rStyle w:val="37"/>
          <w:rFonts w:ascii="宋体" w:hAnsi="宋体"/>
          <w:color w:val="auto"/>
          <w:sz w:val="24"/>
          <w:szCs w:val="24"/>
          <w:highlight w:val="none"/>
        </w:rPr>
        <w:t>6.1 合同双方当事人约定的其他质量保修事项：</w:t>
      </w:r>
    </w:p>
    <w:p>
      <w:pPr>
        <w:tabs>
          <w:tab w:val="left" w:pos="1005"/>
        </w:tabs>
        <w:spacing w:line="360" w:lineRule="auto"/>
        <w:ind w:right="-141" w:firstLine="520" w:firstLineChars="217"/>
        <w:rPr>
          <w:rStyle w:val="37"/>
          <w:rFonts w:ascii="宋体" w:hAnsi="宋体"/>
          <w:color w:val="auto"/>
          <w:sz w:val="24"/>
          <w:szCs w:val="24"/>
          <w:highlight w:val="none"/>
        </w:rPr>
      </w:pPr>
      <w:r>
        <w:rPr>
          <w:rStyle w:val="37"/>
          <w:rFonts w:ascii="宋体" w:hAnsi="宋体"/>
          <w:color w:val="auto"/>
          <w:sz w:val="24"/>
          <w:szCs w:val="24"/>
          <w:highlight w:val="none"/>
        </w:rPr>
        <w:t>6.2</w:t>
      </w:r>
      <w:r>
        <w:rPr>
          <w:rStyle w:val="37"/>
          <w:rFonts w:ascii="宋体" w:hAnsi="宋体"/>
          <w:color w:val="auto"/>
          <w:sz w:val="24"/>
          <w:szCs w:val="24"/>
          <w:highlight w:val="none"/>
        </w:rPr>
        <w:tab/>
      </w:r>
      <w:r>
        <w:rPr>
          <w:rStyle w:val="37"/>
          <w:rFonts w:ascii="宋体" w:hAnsi="宋体"/>
          <w:color w:val="auto"/>
          <w:sz w:val="24"/>
          <w:szCs w:val="24"/>
          <w:highlight w:val="none"/>
        </w:rPr>
        <w:t>本质量保修书，由合同双方当事人在承包人向发包人提交竣工验收申请报告时签署，作为本合同的附件。</w:t>
      </w:r>
    </w:p>
    <w:p>
      <w:pPr>
        <w:spacing w:line="360" w:lineRule="auto"/>
        <w:ind w:right="-20" w:firstLine="520" w:firstLineChars="217"/>
        <w:rPr>
          <w:rStyle w:val="37"/>
          <w:rFonts w:ascii="宋体" w:hAnsi="宋体"/>
          <w:b/>
          <w:color w:val="auto"/>
          <w:sz w:val="24"/>
          <w:szCs w:val="24"/>
          <w:highlight w:val="none"/>
        </w:rPr>
      </w:pPr>
      <w:r>
        <w:rPr>
          <w:rStyle w:val="37"/>
          <w:rFonts w:ascii="宋体" w:hAnsi="宋体"/>
          <w:color w:val="auto"/>
          <w:sz w:val="24"/>
          <w:szCs w:val="24"/>
          <w:highlight w:val="none"/>
        </w:rPr>
        <w:t>6.3 本质量保修书，自合同双方当事人签署之日起生效，至质量保修期满后失效。</w:t>
      </w:r>
    </w:p>
    <w:p>
      <w:pPr>
        <w:spacing w:line="360" w:lineRule="auto"/>
        <w:ind w:right="-20" w:firstLine="520" w:firstLineChars="217"/>
        <w:rPr>
          <w:rStyle w:val="37"/>
          <w:rFonts w:ascii="宋体" w:hAnsi="宋体"/>
          <w:color w:val="auto"/>
          <w:sz w:val="24"/>
          <w:szCs w:val="24"/>
          <w:highlight w:val="none"/>
        </w:rPr>
      </w:pPr>
      <w:r>
        <w:rPr>
          <w:rStyle w:val="37"/>
          <w:rFonts w:hint="eastAsia" w:ascii="宋体" w:hAnsi="宋体"/>
          <w:color w:val="auto"/>
          <w:sz w:val="24"/>
          <w:szCs w:val="24"/>
          <w:highlight w:val="none"/>
        </w:rPr>
        <w:t>（以下部分无《工程质量保修书》正文内容，为签章处）</w:t>
      </w:r>
    </w:p>
    <w:p>
      <w:pPr>
        <w:tabs>
          <w:tab w:val="left" w:pos="1120"/>
        </w:tabs>
        <w:spacing w:line="319" w:lineRule="auto"/>
        <w:ind w:right="-141"/>
        <w:rPr>
          <w:rStyle w:val="37"/>
          <w:rFonts w:hint="eastAsia" w:ascii="宋体" w:hAnsi="宋体" w:eastAsia="宋体" w:cs="Times New Roman"/>
          <w:color w:val="auto"/>
          <w:sz w:val="24"/>
          <w:szCs w:val="24"/>
          <w:highlight w:val="none"/>
          <w:lang w:eastAsia="zh-CN"/>
        </w:rPr>
      </w:pPr>
      <w:r>
        <w:rPr>
          <w:rStyle w:val="37"/>
          <w:rFonts w:ascii="宋体" w:hAnsi="宋体"/>
          <w:color w:val="auto"/>
          <w:sz w:val="24"/>
          <w:szCs w:val="24"/>
          <w:highlight w:val="none"/>
        </w:rPr>
        <w:t>发包人：</w:t>
      </w:r>
      <w:r>
        <w:rPr>
          <w:rStyle w:val="37"/>
          <w:rFonts w:ascii="宋体" w:hAnsi="宋体" w:cs="Times New Roman"/>
          <w:color w:val="auto"/>
          <w:sz w:val="24"/>
          <w:szCs w:val="24"/>
          <w:highlight w:val="none"/>
        </w:rPr>
        <w:t>广州市天河区建设工程</w:t>
      </w:r>
      <w:r>
        <w:rPr>
          <w:rStyle w:val="37"/>
          <w:rFonts w:hint="eastAsia" w:ascii="宋体" w:hAnsi="宋体" w:cs="Times New Roman"/>
          <w:color w:val="auto"/>
          <w:sz w:val="24"/>
          <w:szCs w:val="24"/>
          <w:highlight w:val="none"/>
        </w:rPr>
        <w:t xml:space="preserve">           </w:t>
      </w:r>
      <w:r>
        <w:rPr>
          <w:rStyle w:val="37"/>
          <w:rFonts w:ascii="宋体" w:hAnsi="宋体"/>
          <w:color w:val="auto"/>
          <w:sz w:val="24"/>
          <w:szCs w:val="24"/>
          <w:highlight w:val="none"/>
        </w:rPr>
        <w:t>承包人：</w:t>
      </w:r>
      <w:r>
        <w:rPr>
          <w:rStyle w:val="37"/>
          <w:rFonts w:hint="eastAsia" w:ascii="宋体" w:hAnsi="宋体"/>
          <w:color w:val="auto"/>
          <w:sz w:val="24"/>
          <w:szCs w:val="24"/>
          <w:highlight w:val="none"/>
          <w:lang w:val="en-US" w:eastAsia="zh-CN"/>
        </w:rPr>
        <w:t xml:space="preserve"> </w:t>
      </w:r>
    </w:p>
    <w:p>
      <w:pPr>
        <w:tabs>
          <w:tab w:val="left" w:pos="1120"/>
        </w:tabs>
        <w:spacing w:line="319" w:lineRule="auto"/>
        <w:ind w:right="-141" w:firstLine="960" w:firstLineChars="400"/>
        <w:rPr>
          <w:rStyle w:val="37"/>
          <w:rFonts w:hint="default" w:ascii="宋体" w:hAnsi="宋体" w:eastAsia="宋体"/>
          <w:color w:val="auto"/>
          <w:sz w:val="24"/>
          <w:szCs w:val="24"/>
          <w:highlight w:val="none"/>
          <w:lang w:val="en-US" w:eastAsia="zh-CN"/>
        </w:rPr>
      </w:pPr>
      <w:r>
        <w:rPr>
          <w:rStyle w:val="37"/>
          <w:rFonts w:ascii="宋体" w:hAnsi="宋体" w:cs="Times New Roman"/>
          <w:color w:val="auto"/>
          <w:sz w:val="24"/>
          <w:szCs w:val="24"/>
          <w:highlight w:val="none"/>
        </w:rPr>
        <w:t xml:space="preserve">项目代建局   </w:t>
      </w:r>
      <w:r>
        <w:rPr>
          <w:rStyle w:val="37"/>
          <w:rFonts w:ascii="宋体" w:hAnsi="宋体" w:cs="宋体"/>
          <w:bCs/>
          <w:color w:val="auto"/>
          <w:spacing w:val="-20"/>
          <w:kern w:val="0"/>
          <w:szCs w:val="21"/>
          <w:highlight w:val="none"/>
        </w:rPr>
        <w:t xml:space="preserve">       </w:t>
      </w:r>
      <w:r>
        <w:rPr>
          <w:rStyle w:val="37"/>
          <w:rFonts w:ascii="宋体" w:hAnsi="宋体"/>
          <w:color w:val="auto"/>
          <w:sz w:val="24"/>
          <w:szCs w:val="24"/>
          <w:highlight w:val="none"/>
        </w:rPr>
        <w:t xml:space="preserve">（公章） </w:t>
      </w:r>
      <w:r>
        <w:rPr>
          <w:rStyle w:val="37"/>
          <w:rFonts w:ascii="宋体" w:hAnsi="宋体" w:cs="宋体"/>
          <w:bCs/>
          <w:color w:val="auto"/>
          <w:spacing w:val="-20"/>
          <w:kern w:val="0"/>
          <w:szCs w:val="21"/>
          <w:highlight w:val="none"/>
        </w:rPr>
        <w:t xml:space="preserve">   </w:t>
      </w:r>
      <w:r>
        <w:rPr>
          <w:rStyle w:val="37"/>
          <w:rFonts w:ascii="宋体" w:hAnsi="宋体"/>
          <w:color w:val="auto"/>
          <w:sz w:val="24"/>
          <w:szCs w:val="24"/>
          <w:highlight w:val="none"/>
        </w:rPr>
        <w:t xml:space="preserve"> </w:t>
      </w:r>
      <w:r>
        <w:rPr>
          <w:rStyle w:val="37"/>
          <w:rFonts w:hint="eastAsia" w:ascii="宋体" w:hAnsi="宋体"/>
          <w:color w:val="auto"/>
          <w:sz w:val="24"/>
          <w:szCs w:val="24"/>
          <w:highlight w:val="none"/>
          <w:lang w:val="en-US" w:eastAsia="zh-CN"/>
        </w:rPr>
        <w:t xml:space="preserve">                  </w:t>
      </w:r>
      <w:r>
        <w:rPr>
          <w:rStyle w:val="37"/>
          <w:rFonts w:ascii="宋体" w:hAnsi="宋体"/>
          <w:color w:val="auto"/>
          <w:sz w:val="24"/>
          <w:szCs w:val="24"/>
          <w:highlight w:val="none"/>
        </w:rPr>
        <w:t>（公章）</w:t>
      </w:r>
    </w:p>
    <w:p>
      <w:pPr>
        <w:tabs>
          <w:tab w:val="left" w:pos="1120"/>
        </w:tabs>
        <w:spacing w:line="319" w:lineRule="auto"/>
        <w:ind w:right="-141"/>
        <w:rPr>
          <w:rStyle w:val="37"/>
          <w:rFonts w:ascii="宋体" w:hAnsi="宋体"/>
          <w:color w:val="auto"/>
          <w:sz w:val="24"/>
          <w:szCs w:val="24"/>
          <w:highlight w:val="none"/>
        </w:rPr>
      </w:pPr>
      <w:r>
        <w:rPr>
          <w:rStyle w:val="37"/>
          <w:rFonts w:ascii="宋体" w:hAnsi="宋体"/>
          <w:color w:val="auto"/>
          <w:sz w:val="24"/>
          <w:szCs w:val="24"/>
          <w:highlight w:val="none"/>
        </w:rPr>
        <w:t>法定代表人（签</w:t>
      </w:r>
      <w:r>
        <w:rPr>
          <w:rStyle w:val="37"/>
          <w:rFonts w:hint="eastAsia" w:ascii="宋体" w:hAnsi="宋体"/>
          <w:color w:val="auto"/>
          <w:sz w:val="24"/>
          <w:szCs w:val="24"/>
          <w:highlight w:val="none"/>
        </w:rPr>
        <w:t>名或章</w:t>
      </w:r>
      <w:r>
        <w:rPr>
          <w:rStyle w:val="37"/>
          <w:rFonts w:ascii="宋体" w:hAnsi="宋体"/>
          <w:color w:val="auto"/>
          <w:sz w:val="24"/>
          <w:szCs w:val="24"/>
          <w:highlight w:val="none"/>
        </w:rPr>
        <w:t>）：               法定代表人（签</w:t>
      </w:r>
      <w:r>
        <w:rPr>
          <w:rStyle w:val="37"/>
          <w:rFonts w:hint="eastAsia" w:ascii="宋体" w:hAnsi="宋体"/>
          <w:color w:val="auto"/>
          <w:sz w:val="24"/>
          <w:szCs w:val="24"/>
          <w:highlight w:val="none"/>
        </w:rPr>
        <w:t>名或章</w:t>
      </w:r>
      <w:r>
        <w:rPr>
          <w:rStyle w:val="37"/>
          <w:rFonts w:ascii="宋体" w:hAnsi="宋体"/>
          <w:color w:val="auto"/>
          <w:sz w:val="24"/>
          <w:szCs w:val="24"/>
          <w:highlight w:val="none"/>
        </w:rPr>
        <w:t>）：</w:t>
      </w:r>
    </w:p>
    <w:p>
      <w:pPr>
        <w:outlineLvl w:val="9"/>
        <w:rPr>
          <w:color w:val="auto"/>
          <w:highlight w:val="none"/>
        </w:rPr>
      </w:pPr>
      <w:r>
        <w:rPr>
          <w:rStyle w:val="37"/>
          <w:rFonts w:ascii="宋体" w:hAnsi="宋体" w:cs="Times New Roman"/>
          <w:b w:val="0"/>
          <w:color w:val="auto"/>
          <w:kern w:val="2"/>
          <w:sz w:val="24"/>
          <w:szCs w:val="24"/>
          <w:highlight w:val="none"/>
        </w:rPr>
        <w:t xml:space="preserve">或委托代理人（签名或章）：            </w:t>
      </w:r>
      <w:r>
        <w:rPr>
          <w:rStyle w:val="37"/>
          <w:rFonts w:hint="eastAsia" w:ascii="宋体" w:hAnsi="宋体" w:cs="Times New Roman"/>
          <w:b w:val="0"/>
          <w:color w:val="auto"/>
          <w:kern w:val="2"/>
          <w:sz w:val="24"/>
          <w:szCs w:val="24"/>
          <w:highlight w:val="none"/>
        </w:rPr>
        <w:t xml:space="preserve"> </w:t>
      </w:r>
      <w:r>
        <w:rPr>
          <w:rStyle w:val="37"/>
          <w:rFonts w:ascii="宋体" w:hAnsi="宋体" w:cs="Times New Roman"/>
          <w:b w:val="0"/>
          <w:color w:val="auto"/>
          <w:kern w:val="2"/>
          <w:sz w:val="24"/>
          <w:szCs w:val="24"/>
          <w:highlight w:val="none"/>
        </w:rPr>
        <w:t xml:space="preserve">或委托代理人（签名或章）：  </w:t>
      </w:r>
      <w:r>
        <w:rPr>
          <w:rStyle w:val="37"/>
          <w:rFonts w:hint="eastAsia" w:ascii="宋体" w:hAnsi="宋体"/>
          <w:color w:val="auto"/>
          <w:kern w:val="2"/>
          <w:sz w:val="24"/>
          <w:szCs w:val="24"/>
          <w:highlight w:val="none"/>
        </w:rPr>
        <w:t xml:space="preserve">   </w:t>
      </w:r>
    </w:p>
    <w:p>
      <w:pPr>
        <w:tabs>
          <w:tab w:val="left" w:pos="1120"/>
        </w:tabs>
        <w:spacing w:line="319" w:lineRule="auto"/>
        <w:ind w:right="-141"/>
        <w:rPr>
          <w:rStyle w:val="37"/>
          <w:rFonts w:ascii="宋体" w:hAnsi="宋体"/>
          <w:color w:val="auto"/>
          <w:sz w:val="24"/>
          <w:szCs w:val="24"/>
          <w:highlight w:val="none"/>
        </w:rPr>
      </w:pPr>
      <w:r>
        <w:rPr>
          <w:rStyle w:val="37"/>
          <w:rFonts w:ascii="宋体" w:hAnsi="宋体"/>
          <w:color w:val="auto"/>
          <w:sz w:val="24"/>
          <w:szCs w:val="24"/>
          <w:highlight w:val="none"/>
        </w:rPr>
        <w:t>联系电话：</w:t>
      </w:r>
      <w:r>
        <w:rPr>
          <w:rStyle w:val="37"/>
          <w:rFonts w:hint="eastAsia" w:ascii="宋体" w:hAnsi="宋体"/>
          <w:color w:val="auto"/>
          <w:sz w:val="24"/>
          <w:szCs w:val="24"/>
          <w:highlight w:val="none"/>
          <w:lang w:val="en-US" w:eastAsia="zh-CN"/>
        </w:rPr>
        <w:t>020-38085390</w:t>
      </w:r>
      <w:r>
        <w:rPr>
          <w:rStyle w:val="37"/>
          <w:rFonts w:hint="eastAsia" w:ascii="宋体" w:hAnsi="宋体"/>
          <w:color w:val="auto"/>
          <w:sz w:val="24"/>
          <w:szCs w:val="24"/>
          <w:highlight w:val="none"/>
        </w:rPr>
        <w:t xml:space="preserve">             </w:t>
      </w:r>
      <w:r>
        <w:rPr>
          <w:rStyle w:val="37"/>
          <w:rFonts w:ascii="宋体" w:hAnsi="宋体"/>
          <w:color w:val="auto"/>
          <w:sz w:val="24"/>
          <w:szCs w:val="24"/>
          <w:highlight w:val="none"/>
        </w:rPr>
        <w:t xml:space="preserve">     联系电话：</w:t>
      </w:r>
    </w:p>
    <w:p>
      <w:pPr>
        <w:pStyle w:val="13"/>
        <w:rPr>
          <w:color w:val="auto"/>
          <w:highlight w:val="none"/>
        </w:rPr>
      </w:pPr>
    </w:p>
    <w:p>
      <w:pPr>
        <w:spacing w:line="200" w:lineRule="exact"/>
        <w:rPr>
          <w:rStyle w:val="37"/>
          <w:rFonts w:ascii="宋体" w:hAnsi="宋体"/>
          <w:color w:val="auto"/>
          <w:sz w:val="24"/>
          <w:szCs w:val="24"/>
          <w:highlight w:val="none"/>
        </w:rPr>
      </w:pPr>
    </w:p>
    <w:p>
      <w:pPr>
        <w:tabs>
          <w:tab w:val="left" w:pos="2140"/>
          <w:tab w:val="left" w:pos="2860"/>
          <w:tab w:val="left" w:pos="6100"/>
          <w:tab w:val="left" w:pos="6820"/>
          <w:tab w:val="left" w:pos="7540"/>
        </w:tabs>
        <w:spacing w:line="260" w:lineRule="exact"/>
        <w:ind w:right="-20"/>
        <w:rPr>
          <w:rStyle w:val="37"/>
          <w:rFonts w:ascii="宋体" w:hAnsi="宋体"/>
          <w:color w:val="auto"/>
          <w:sz w:val="24"/>
          <w:szCs w:val="24"/>
          <w:highlight w:val="none"/>
        </w:rPr>
      </w:pPr>
      <w:r>
        <w:rPr>
          <w:rStyle w:val="37"/>
          <w:rFonts w:hint="eastAsia" w:ascii="宋体" w:hAnsi="宋体"/>
          <w:color w:val="auto"/>
          <w:sz w:val="24"/>
          <w:szCs w:val="24"/>
          <w:highlight w:val="none"/>
          <w:lang w:val="en-US" w:eastAsia="zh-CN"/>
        </w:rPr>
        <w:t>2023</w:t>
      </w:r>
      <w:r>
        <w:rPr>
          <w:rStyle w:val="37"/>
          <w:rFonts w:ascii="宋体" w:hAnsi="宋体"/>
          <w:color w:val="auto"/>
          <w:sz w:val="24"/>
          <w:szCs w:val="24"/>
          <w:highlight w:val="none"/>
        </w:rPr>
        <w:t xml:space="preserve"> 年</w:t>
      </w:r>
      <w:r>
        <w:rPr>
          <w:rStyle w:val="37"/>
          <w:rFonts w:hint="eastAsia" w:ascii="宋体" w:hAnsi="宋体"/>
          <w:color w:val="auto"/>
          <w:sz w:val="24"/>
          <w:szCs w:val="24"/>
          <w:highlight w:val="none"/>
        </w:rPr>
        <w:t xml:space="preserve"> </w:t>
      </w:r>
      <w:r>
        <w:rPr>
          <w:rStyle w:val="37"/>
          <w:rFonts w:ascii="宋体" w:hAnsi="宋体"/>
          <w:color w:val="auto"/>
          <w:sz w:val="24"/>
          <w:szCs w:val="24"/>
          <w:highlight w:val="none"/>
        </w:rPr>
        <w:t xml:space="preserve"> </w:t>
      </w:r>
      <w:r>
        <w:rPr>
          <w:rStyle w:val="37"/>
          <w:rFonts w:hint="eastAsia" w:ascii="宋体" w:hAnsi="宋体"/>
          <w:color w:val="auto"/>
          <w:sz w:val="24"/>
          <w:szCs w:val="24"/>
          <w:highlight w:val="none"/>
        </w:rPr>
        <w:t xml:space="preserve"> 月  </w:t>
      </w:r>
      <w:r>
        <w:rPr>
          <w:rStyle w:val="37"/>
          <w:rFonts w:ascii="宋体" w:hAnsi="宋体"/>
          <w:color w:val="auto"/>
          <w:sz w:val="24"/>
          <w:szCs w:val="24"/>
          <w:highlight w:val="none"/>
        </w:rPr>
        <w:t xml:space="preserve"> 日           </w:t>
      </w:r>
      <w:r>
        <w:rPr>
          <w:rStyle w:val="37"/>
          <w:rFonts w:hint="eastAsia" w:ascii="宋体" w:hAnsi="宋体"/>
          <w:color w:val="auto"/>
          <w:sz w:val="24"/>
          <w:szCs w:val="24"/>
          <w:highlight w:val="none"/>
          <w:lang w:val="en-US" w:eastAsia="zh-CN"/>
        </w:rPr>
        <w:t xml:space="preserve">           2023</w:t>
      </w:r>
      <w:r>
        <w:rPr>
          <w:rStyle w:val="37"/>
          <w:rFonts w:ascii="宋体" w:hAnsi="宋体"/>
          <w:color w:val="auto"/>
          <w:sz w:val="24"/>
          <w:szCs w:val="24"/>
          <w:highlight w:val="none"/>
        </w:rPr>
        <w:t xml:space="preserve"> 年</w:t>
      </w:r>
      <w:r>
        <w:rPr>
          <w:rStyle w:val="37"/>
          <w:rFonts w:hint="eastAsia" w:ascii="宋体" w:hAnsi="宋体"/>
          <w:color w:val="auto"/>
          <w:sz w:val="24"/>
          <w:szCs w:val="24"/>
          <w:highlight w:val="none"/>
        </w:rPr>
        <w:t xml:space="preserve"> </w:t>
      </w:r>
      <w:r>
        <w:rPr>
          <w:rStyle w:val="37"/>
          <w:rFonts w:hint="eastAsia" w:ascii="宋体" w:hAnsi="宋体"/>
          <w:color w:val="auto"/>
          <w:sz w:val="24"/>
          <w:szCs w:val="24"/>
          <w:highlight w:val="none"/>
          <w:lang w:val="en-US" w:eastAsia="zh-CN"/>
        </w:rPr>
        <w:t xml:space="preserve"> </w:t>
      </w:r>
      <w:r>
        <w:rPr>
          <w:rStyle w:val="37"/>
          <w:rFonts w:hint="eastAsia" w:ascii="宋体" w:hAnsi="宋体"/>
          <w:color w:val="auto"/>
          <w:sz w:val="24"/>
          <w:szCs w:val="24"/>
          <w:highlight w:val="none"/>
        </w:rPr>
        <w:t xml:space="preserve">  </w:t>
      </w:r>
      <w:r>
        <w:rPr>
          <w:rStyle w:val="37"/>
          <w:rFonts w:ascii="宋体" w:hAnsi="宋体"/>
          <w:color w:val="auto"/>
          <w:sz w:val="24"/>
          <w:szCs w:val="24"/>
          <w:highlight w:val="none"/>
        </w:rPr>
        <w:t>月</w:t>
      </w:r>
      <w:r>
        <w:rPr>
          <w:rStyle w:val="37"/>
          <w:rFonts w:hint="eastAsia" w:ascii="宋体" w:hAnsi="宋体"/>
          <w:color w:val="auto"/>
          <w:sz w:val="24"/>
          <w:szCs w:val="24"/>
          <w:highlight w:val="none"/>
          <w:lang w:val="en-US" w:eastAsia="zh-CN"/>
        </w:rPr>
        <w:t xml:space="preserve">  </w:t>
      </w:r>
      <w:r>
        <w:rPr>
          <w:rStyle w:val="37"/>
          <w:rFonts w:hint="eastAsia" w:ascii="宋体" w:hAnsi="宋体"/>
          <w:color w:val="auto"/>
          <w:sz w:val="24"/>
          <w:szCs w:val="24"/>
          <w:highlight w:val="none"/>
        </w:rPr>
        <w:t xml:space="preserve"> </w:t>
      </w:r>
      <w:r>
        <w:rPr>
          <w:rStyle w:val="37"/>
          <w:rFonts w:ascii="宋体" w:hAnsi="宋体"/>
          <w:color w:val="auto"/>
          <w:sz w:val="24"/>
          <w:szCs w:val="24"/>
          <w:highlight w:val="none"/>
        </w:rPr>
        <w:t>日</w:t>
      </w:r>
    </w:p>
    <w:p>
      <w:pPr>
        <w:spacing w:line="360" w:lineRule="exact"/>
        <w:ind w:right="-20"/>
        <w:outlineLvl w:val="2"/>
        <w:rPr>
          <w:rStyle w:val="37"/>
          <w:rFonts w:ascii="宋体" w:hAnsi="宋体" w:cs="Times New Roman"/>
          <w:color w:val="auto"/>
          <w:sz w:val="24"/>
          <w:szCs w:val="24"/>
          <w:highlight w:val="none"/>
        </w:rPr>
      </w:pPr>
      <w:r>
        <w:rPr>
          <w:rStyle w:val="37"/>
          <w:rFonts w:ascii="宋体" w:hAnsi="宋体"/>
          <w:color w:val="auto"/>
          <w:highlight w:val="none"/>
        </w:rPr>
        <w:br w:type="page"/>
      </w:r>
      <w:bookmarkStart w:id="1040" w:name="_Toc15391"/>
      <w:bookmarkStart w:id="1041" w:name="_Toc3630"/>
      <w:bookmarkStart w:id="1042" w:name="_Toc30023"/>
      <w:bookmarkStart w:id="1043" w:name="_Toc7432"/>
      <w:bookmarkStart w:id="1044" w:name="_Toc19230"/>
      <w:r>
        <w:rPr>
          <w:rStyle w:val="37"/>
          <w:rFonts w:ascii="宋体" w:hAnsi="宋体" w:cs="Times New Roman"/>
          <w:color w:val="auto"/>
          <w:sz w:val="24"/>
          <w:szCs w:val="24"/>
          <w:highlight w:val="none"/>
        </w:rPr>
        <w:t>附件</w:t>
      </w:r>
      <w:r>
        <w:rPr>
          <w:rStyle w:val="37"/>
          <w:rFonts w:hint="default" w:ascii="宋体" w:hAnsi="宋体" w:cs="Times New Roman"/>
          <w:color w:val="auto"/>
          <w:sz w:val="24"/>
          <w:szCs w:val="24"/>
          <w:highlight w:val="none"/>
        </w:rPr>
        <w:t>二</w:t>
      </w:r>
      <w:bookmarkEnd w:id="1040"/>
      <w:bookmarkEnd w:id="1041"/>
      <w:bookmarkEnd w:id="1042"/>
      <w:bookmarkEnd w:id="1043"/>
      <w:bookmarkEnd w:id="1044"/>
    </w:p>
    <w:p>
      <w:pPr>
        <w:pStyle w:val="5"/>
        <w:spacing w:line="500" w:lineRule="exact"/>
        <w:jc w:val="center"/>
        <w:outlineLvl w:val="2"/>
        <w:rPr>
          <w:rStyle w:val="30"/>
          <w:rFonts w:hint="eastAsia" w:ascii="Times New Roman" w:hAnsi="Times New Roman"/>
          <w:bCs w:val="0"/>
          <w:color w:val="auto"/>
          <w:kern w:val="44"/>
          <w:sz w:val="36"/>
          <w:highlight w:val="none"/>
        </w:rPr>
      </w:pPr>
      <w:bookmarkStart w:id="1045" w:name="_Toc24595"/>
      <w:bookmarkStart w:id="1046" w:name="_Toc606"/>
      <w:bookmarkStart w:id="1047" w:name="_Toc14582"/>
      <w:bookmarkStart w:id="1048" w:name="_Toc3150"/>
      <w:bookmarkStart w:id="1049" w:name="_Toc23469"/>
      <w:bookmarkStart w:id="1050" w:name="_Toc19035"/>
      <w:bookmarkStart w:id="1051" w:name="_Toc1962"/>
      <w:bookmarkStart w:id="1052" w:name="_Toc9332"/>
      <w:r>
        <w:rPr>
          <w:rStyle w:val="30"/>
          <w:rFonts w:hint="eastAsia" w:ascii="Times New Roman" w:hAnsi="Times New Roman"/>
          <w:bCs w:val="0"/>
          <w:color w:val="auto"/>
          <w:kern w:val="44"/>
          <w:sz w:val="36"/>
          <w:highlight w:val="none"/>
        </w:rPr>
        <w:t>廉政合同</w:t>
      </w:r>
      <w:bookmarkEnd w:id="1045"/>
      <w:bookmarkEnd w:id="1046"/>
      <w:bookmarkEnd w:id="1047"/>
      <w:bookmarkEnd w:id="1048"/>
      <w:bookmarkEnd w:id="1049"/>
      <w:bookmarkEnd w:id="1050"/>
      <w:bookmarkEnd w:id="1051"/>
      <w:bookmarkEnd w:id="1052"/>
    </w:p>
    <w:p>
      <w:pPr>
        <w:spacing w:line="420" w:lineRule="exact"/>
        <w:rPr>
          <w:rStyle w:val="37"/>
          <w:rFonts w:ascii="宋体" w:hAnsi="宋体"/>
          <w:color w:val="auto"/>
          <w:sz w:val="24"/>
          <w:szCs w:val="24"/>
          <w:highlight w:val="none"/>
          <w:u w:val="single"/>
        </w:rPr>
      </w:pPr>
      <w:r>
        <w:rPr>
          <w:rStyle w:val="37"/>
          <w:rFonts w:ascii="宋体" w:hAnsi="宋体"/>
          <w:color w:val="auto"/>
          <w:sz w:val="24"/>
          <w:szCs w:val="24"/>
          <w:highlight w:val="none"/>
        </w:rPr>
        <w:t>发包人：（全称）</w:t>
      </w:r>
      <w:r>
        <w:rPr>
          <w:rStyle w:val="37"/>
          <w:rFonts w:ascii="宋体" w:hAnsi="宋体"/>
          <w:color w:val="auto"/>
          <w:sz w:val="24"/>
          <w:szCs w:val="24"/>
          <w:highlight w:val="none"/>
          <w:u w:val="single"/>
        </w:rPr>
        <w:t>广州市天河区建设工程项目代建局</w:t>
      </w:r>
    </w:p>
    <w:p>
      <w:pPr>
        <w:spacing w:line="420" w:lineRule="exact"/>
        <w:rPr>
          <w:rStyle w:val="37"/>
          <w:rFonts w:hint="default" w:ascii="宋体" w:hAnsi="宋体" w:eastAsia="宋体"/>
          <w:color w:val="auto"/>
          <w:sz w:val="24"/>
          <w:szCs w:val="24"/>
          <w:highlight w:val="none"/>
          <w:u w:val="single"/>
          <w:lang w:val="en-US" w:eastAsia="zh-CN"/>
        </w:rPr>
      </w:pPr>
      <w:r>
        <w:rPr>
          <w:rStyle w:val="37"/>
          <w:rFonts w:ascii="宋体" w:hAnsi="宋体"/>
          <w:color w:val="auto"/>
          <w:sz w:val="24"/>
          <w:szCs w:val="24"/>
          <w:highlight w:val="none"/>
        </w:rPr>
        <w:t>承包人：（全称）</w:t>
      </w:r>
      <w:r>
        <w:rPr>
          <w:rStyle w:val="37"/>
          <w:rFonts w:hint="eastAsia" w:ascii="宋体" w:hAnsi="宋体"/>
          <w:color w:val="auto"/>
          <w:sz w:val="24"/>
          <w:szCs w:val="24"/>
          <w:highlight w:val="none"/>
          <w:u w:val="single"/>
          <w:lang w:val="en-US" w:eastAsia="zh-CN"/>
        </w:rPr>
        <w:t xml:space="preserve">               </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根据国家、省工程建设和廉政建设的有关规定，为做好合同工程的廉政建设，保证工程质量与施工安全，提高建设资金的有效使用和投资效益，发包人承包人就加强合同工程的廉政建设，订立本合同。</w:t>
      </w:r>
    </w:p>
    <w:p>
      <w:pPr>
        <w:spacing w:line="420" w:lineRule="exact"/>
        <w:ind w:firstLine="482" w:firstLineChars="200"/>
        <w:rPr>
          <w:rStyle w:val="37"/>
          <w:rFonts w:ascii="宋体" w:hAnsi="宋体" w:cs="Times New Roman"/>
          <w:b/>
          <w:bCs/>
          <w:color w:val="auto"/>
          <w:sz w:val="24"/>
          <w:szCs w:val="24"/>
          <w:highlight w:val="none"/>
        </w:rPr>
      </w:pPr>
      <w:r>
        <w:rPr>
          <w:rStyle w:val="37"/>
          <w:rFonts w:ascii="宋体" w:hAnsi="宋体" w:cs="宋体"/>
          <w:b/>
          <w:bCs/>
          <w:color w:val="auto"/>
          <w:sz w:val="24"/>
          <w:szCs w:val="24"/>
          <w:highlight w:val="none"/>
        </w:rPr>
        <w:t>1  双方权利和义务</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1.1  严格遵守国家有关法律法规的规定。</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1.2  严格执行一切合同文件，自觉按合同办事。</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1.3  双方的业务活动坚持公平、公开、公正和诚信的原则（法律认定的商业秘密和合同文件另有规定除外），不得损害国家和集体利益，不得违反工程建设管理规章制度。</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1.4  建立健全廉政制度，开展廉政教育，设立廉政告示牌，公布举报电话，监督并认真查处违法违纪行为。</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1.5  发现对方在业务活动中有违反廉政建设规定的行为，应及时给予提醒和纠正。</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1.6  发现对方严重违反合同的行为，有向其上级部门举报、建议给予处理并要求告知处理结果的权利。没有上级部门的，可按施工合同通用条款第70条规定处理。</w:t>
      </w:r>
    </w:p>
    <w:p>
      <w:pPr>
        <w:spacing w:line="420" w:lineRule="exact"/>
        <w:ind w:firstLine="482" w:firstLineChars="200"/>
        <w:rPr>
          <w:rStyle w:val="37"/>
          <w:rFonts w:ascii="宋体" w:hAnsi="宋体" w:cs="Times New Roman"/>
          <w:b/>
          <w:bCs/>
          <w:color w:val="auto"/>
          <w:sz w:val="24"/>
          <w:szCs w:val="24"/>
          <w:highlight w:val="none"/>
        </w:rPr>
      </w:pPr>
      <w:r>
        <w:rPr>
          <w:rStyle w:val="37"/>
          <w:rFonts w:ascii="宋体" w:hAnsi="宋体" w:cs="宋体"/>
          <w:b/>
          <w:bCs/>
          <w:color w:val="auto"/>
          <w:sz w:val="24"/>
          <w:szCs w:val="24"/>
          <w:highlight w:val="none"/>
        </w:rPr>
        <w:t>2  发包人义务</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2.1  发包人及其工作人员不得索要或接受承包人的礼金、有价证券和贵重物品，不得在承包人报销任何应由发包人或工作人员个人支付的费用等。</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2.2  发包人及其工作人员不得参加承包人安排的宴请（工作餐除外）和娱乐活动；不得接受承包人提供的通讯工具、交通工具和高档办公用品等。</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2.3  发包人及其工作人员不得要求或者接受承包人为其住房装修、婚丧嫁娶活动、配偶子女的工作安排以及出国出境、旅游等提供方便等。</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2.4  发包人及其工作人员及其配偶、子女不得从事与发包人有关的工程材料设备供应、工程分包、劳务等经济活动。</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2.5  发包人及其工作人员不得以任何理由向承包人推荐分包单位或推销材料，不得要求承包人购买合同约定外的材料和设备。</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2.6  发包人及其工作人员要秉公办事，不准营私舞弊，不准利用职权从事各种个人有偿中介活动和安排个人施工队伍。</w:t>
      </w:r>
    </w:p>
    <w:p>
      <w:pPr>
        <w:spacing w:line="420" w:lineRule="exact"/>
        <w:ind w:firstLine="482" w:firstLineChars="200"/>
        <w:rPr>
          <w:rStyle w:val="37"/>
          <w:rFonts w:ascii="宋体" w:hAnsi="宋体" w:cs="Times New Roman"/>
          <w:b/>
          <w:bCs/>
          <w:color w:val="auto"/>
          <w:sz w:val="24"/>
          <w:szCs w:val="24"/>
          <w:highlight w:val="none"/>
        </w:rPr>
      </w:pPr>
      <w:r>
        <w:rPr>
          <w:rStyle w:val="37"/>
          <w:rFonts w:ascii="宋体" w:hAnsi="宋体" w:cs="宋体"/>
          <w:b/>
          <w:bCs/>
          <w:color w:val="auto"/>
          <w:sz w:val="24"/>
          <w:szCs w:val="24"/>
          <w:highlight w:val="none"/>
        </w:rPr>
        <w:t>3  承包人义务</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3.1  承包人不得以任何理由向发包人及其工作人员行贿或馈赠礼金、有价证券、贵重礼品。</w:t>
      </w:r>
    </w:p>
    <w:p>
      <w:pPr>
        <w:snapToGrid w:val="0"/>
        <w:spacing w:line="38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3.2  承包人不得以任何名义为发包人及其工作人员报销应由发包人或工作人员个人支付的任何费用。</w:t>
      </w:r>
    </w:p>
    <w:p>
      <w:pPr>
        <w:snapToGrid w:val="0"/>
        <w:spacing w:line="38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3.3  承包人不得以任何理由安排发包人及其工作人员参加宴请（工作餐除外）及娱乐活动。</w:t>
      </w:r>
    </w:p>
    <w:p>
      <w:pPr>
        <w:snapToGrid w:val="0"/>
        <w:spacing w:line="38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3.4  承包人不得为发包人和个人购置或提供通讯工具、交通工具和高档办公用品等。</w:t>
      </w:r>
    </w:p>
    <w:p>
      <w:pPr>
        <w:tabs>
          <w:tab w:val="left" w:pos="900"/>
        </w:tabs>
        <w:spacing w:line="420" w:lineRule="exact"/>
        <w:ind w:firstLine="482" w:firstLineChars="200"/>
        <w:rPr>
          <w:rStyle w:val="37"/>
          <w:rFonts w:ascii="宋体" w:hAnsi="宋体" w:cs="Times New Roman"/>
          <w:b/>
          <w:bCs/>
          <w:color w:val="auto"/>
          <w:sz w:val="24"/>
          <w:szCs w:val="24"/>
          <w:highlight w:val="none"/>
        </w:rPr>
      </w:pPr>
      <w:r>
        <w:rPr>
          <w:rStyle w:val="37"/>
          <w:rFonts w:ascii="宋体" w:hAnsi="宋体" w:cs="宋体"/>
          <w:b/>
          <w:bCs/>
          <w:color w:val="auto"/>
          <w:sz w:val="24"/>
          <w:szCs w:val="24"/>
          <w:highlight w:val="none"/>
        </w:rPr>
        <w:t>4  违约责任</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4.1  发包人及其工作人员违反本合同第1条和第2条规定，应依据有关规定给予廉政建设规定的处分；涉嫌犯罪的，移交司法机关追究刑事责任；给承包人造成经济损失的，应予赔偿。</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4.2  承包人及其工作人员违反本合同第1条和第3条规定，应依据有关规定给予廉政建设规定的处分；给发包人造成经济损失的，应予赔偿；情节严重的，给予承包人一至三年内不得进入工程建设市场的处罚。</w:t>
      </w:r>
    </w:p>
    <w:p>
      <w:pPr>
        <w:numPr>
          <w:ilvl w:val="0"/>
          <w:numId w:val="33"/>
        </w:numPr>
        <w:tabs>
          <w:tab w:val="left" w:pos="840"/>
        </w:tabs>
        <w:spacing w:line="420" w:lineRule="exact"/>
        <w:rPr>
          <w:rStyle w:val="37"/>
          <w:rFonts w:ascii="宋体" w:hAnsi="宋体" w:cs="Times New Roman"/>
          <w:b/>
          <w:bCs/>
          <w:color w:val="auto"/>
          <w:sz w:val="24"/>
          <w:szCs w:val="24"/>
          <w:highlight w:val="none"/>
        </w:rPr>
      </w:pPr>
      <w:r>
        <w:rPr>
          <w:rStyle w:val="37"/>
          <w:rFonts w:ascii="宋体" w:hAnsi="宋体" w:cs="宋体"/>
          <w:b/>
          <w:bCs/>
          <w:color w:val="auto"/>
          <w:sz w:val="24"/>
          <w:szCs w:val="24"/>
          <w:highlight w:val="none"/>
        </w:rPr>
        <w:t>双方约定</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本合同由双方或其上级部门负责监督执行，并由双方或其上级部门相互约请对本合同执行情况进行检查。</w:t>
      </w:r>
    </w:p>
    <w:p>
      <w:pPr>
        <w:spacing w:line="420" w:lineRule="exact"/>
        <w:ind w:firstLine="482" w:firstLineChars="200"/>
        <w:rPr>
          <w:rStyle w:val="37"/>
          <w:rFonts w:ascii="宋体" w:hAnsi="宋体" w:cs="Times New Roman"/>
          <w:b/>
          <w:bCs/>
          <w:color w:val="auto"/>
          <w:sz w:val="24"/>
          <w:szCs w:val="24"/>
          <w:highlight w:val="none"/>
        </w:rPr>
      </w:pPr>
      <w:r>
        <w:rPr>
          <w:rStyle w:val="37"/>
          <w:rFonts w:ascii="宋体" w:hAnsi="宋体" w:cs="宋体"/>
          <w:b/>
          <w:bCs/>
          <w:color w:val="auto"/>
          <w:sz w:val="24"/>
          <w:szCs w:val="24"/>
          <w:highlight w:val="none"/>
        </w:rPr>
        <w:t>6  合同生效</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本合同的有效期，自双方签署之日起至该工程竣工验收合格之日止。</w:t>
      </w:r>
      <w:r>
        <w:rPr>
          <w:rStyle w:val="37"/>
          <w:rFonts w:hint="eastAsia" w:ascii="宋体" w:hAnsi="宋体"/>
          <w:color w:val="auto"/>
          <w:sz w:val="24"/>
          <w:szCs w:val="24"/>
          <w:highlight w:val="none"/>
        </w:rPr>
        <w:t>（长期有效）</w:t>
      </w:r>
    </w:p>
    <w:p>
      <w:pPr>
        <w:spacing w:line="420" w:lineRule="exact"/>
        <w:ind w:firstLine="482" w:firstLineChars="200"/>
        <w:rPr>
          <w:rStyle w:val="37"/>
          <w:rFonts w:ascii="宋体" w:hAnsi="宋体" w:cs="Times New Roman"/>
          <w:b/>
          <w:bCs/>
          <w:color w:val="auto"/>
          <w:sz w:val="24"/>
          <w:szCs w:val="24"/>
          <w:highlight w:val="none"/>
        </w:rPr>
      </w:pPr>
      <w:r>
        <w:rPr>
          <w:rStyle w:val="37"/>
          <w:rFonts w:ascii="宋体" w:hAnsi="宋体" w:cs="宋体"/>
          <w:b/>
          <w:bCs/>
          <w:color w:val="auto"/>
          <w:sz w:val="24"/>
          <w:szCs w:val="24"/>
          <w:highlight w:val="none"/>
        </w:rPr>
        <w:t>7  合同法律效力</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本合同作为</w:t>
      </w:r>
      <w:r>
        <w:rPr>
          <w:rStyle w:val="37"/>
          <w:rFonts w:hint="eastAsia" w:ascii="宋体" w:hAnsi="宋体"/>
          <w:color w:val="auto"/>
          <w:sz w:val="24"/>
          <w:szCs w:val="24"/>
          <w:highlight w:val="none"/>
          <w:lang w:eastAsia="zh-CN"/>
        </w:rPr>
        <w:t>《</w:t>
      </w:r>
      <w:r>
        <w:rPr>
          <w:rStyle w:val="37"/>
          <w:rFonts w:hint="eastAsia" w:ascii="宋体" w:hAnsi="宋体"/>
          <w:color w:val="auto"/>
          <w:sz w:val="24"/>
          <w:szCs w:val="24"/>
          <w:highlight w:val="none"/>
          <w:lang w:val="en-US" w:eastAsia="zh-CN"/>
        </w:rPr>
        <w:t>广州市建设工程</w:t>
      </w:r>
      <w:r>
        <w:rPr>
          <w:rStyle w:val="37"/>
          <w:rFonts w:ascii="宋体" w:hAnsi="宋体"/>
          <w:color w:val="auto"/>
          <w:sz w:val="24"/>
          <w:szCs w:val="24"/>
          <w:highlight w:val="none"/>
        </w:rPr>
        <w:t>施工合同</w:t>
      </w:r>
      <w:r>
        <w:rPr>
          <w:rStyle w:val="37"/>
          <w:rFonts w:hint="eastAsia" w:ascii="宋体" w:hAnsi="宋体"/>
          <w:color w:val="auto"/>
          <w:sz w:val="24"/>
          <w:szCs w:val="24"/>
          <w:highlight w:val="none"/>
          <w:lang w:eastAsia="zh-CN"/>
        </w:rPr>
        <w:t>》（</w:t>
      </w:r>
      <w:r>
        <w:rPr>
          <w:rStyle w:val="37"/>
          <w:rFonts w:hint="eastAsia" w:ascii="宋体" w:hAnsi="宋体"/>
          <w:color w:val="auto"/>
          <w:sz w:val="24"/>
          <w:szCs w:val="24"/>
          <w:highlight w:val="none"/>
          <w:lang w:val="en-US" w:eastAsia="zh-CN"/>
        </w:rPr>
        <w:t>工程名称：</w:t>
      </w:r>
      <w:r>
        <w:rPr>
          <w:rStyle w:val="37"/>
          <w:rFonts w:hint="eastAsia" w:ascii="宋体" w:hAnsi="宋体"/>
          <w:color w:val="auto"/>
          <w:sz w:val="24"/>
          <w:szCs w:val="24"/>
          <w:highlight w:val="none"/>
          <w:lang w:eastAsia="zh-CN"/>
        </w:rPr>
        <w:t>广州市天河外国语学校智慧城校区建设工程施工总承包）</w:t>
      </w:r>
      <w:r>
        <w:rPr>
          <w:rStyle w:val="37"/>
          <w:rFonts w:hint="eastAsia" w:ascii="宋体" w:hAnsi="宋体"/>
          <w:color w:val="auto"/>
          <w:kern w:val="2"/>
          <w:sz w:val="24"/>
          <w:szCs w:val="24"/>
          <w:highlight w:val="none"/>
          <w:lang w:val="en-US" w:eastAsia="zh-CN" w:bidi="ar-SA"/>
        </w:rPr>
        <w:t>的</w:t>
      </w:r>
      <w:r>
        <w:rPr>
          <w:rStyle w:val="37"/>
          <w:rFonts w:ascii="宋体" w:hAnsi="宋体"/>
          <w:color w:val="auto"/>
          <w:sz w:val="24"/>
          <w:szCs w:val="24"/>
          <w:highlight w:val="none"/>
        </w:rPr>
        <w:t>附件，与施工合同具有同等的法律效力，经双方签署后生效。</w:t>
      </w:r>
    </w:p>
    <w:p>
      <w:pPr>
        <w:spacing w:line="420" w:lineRule="exact"/>
        <w:ind w:firstLine="482" w:firstLineChars="200"/>
        <w:rPr>
          <w:rStyle w:val="37"/>
          <w:rFonts w:ascii="宋体" w:hAnsi="宋体" w:cs="Times New Roman"/>
          <w:b/>
          <w:bCs/>
          <w:color w:val="auto"/>
          <w:sz w:val="24"/>
          <w:szCs w:val="24"/>
          <w:highlight w:val="none"/>
        </w:rPr>
      </w:pPr>
      <w:r>
        <w:rPr>
          <w:rStyle w:val="37"/>
          <w:rFonts w:ascii="宋体" w:hAnsi="宋体" w:cs="宋体"/>
          <w:b/>
          <w:bCs/>
          <w:color w:val="auto"/>
          <w:sz w:val="24"/>
          <w:szCs w:val="24"/>
          <w:highlight w:val="none"/>
        </w:rPr>
        <w:t>8  合同份数</w:t>
      </w:r>
    </w:p>
    <w:p>
      <w:pPr>
        <w:spacing w:line="420" w:lineRule="exact"/>
        <w:ind w:firstLine="480" w:firstLineChars="200"/>
        <w:rPr>
          <w:rStyle w:val="37"/>
          <w:rFonts w:ascii="宋体" w:hAnsi="宋体"/>
          <w:color w:val="auto"/>
          <w:sz w:val="24"/>
          <w:szCs w:val="24"/>
          <w:highlight w:val="none"/>
        </w:rPr>
      </w:pPr>
      <w:r>
        <w:rPr>
          <w:rStyle w:val="37"/>
          <w:rFonts w:ascii="宋体" w:hAnsi="宋体"/>
          <w:color w:val="auto"/>
          <w:sz w:val="24"/>
          <w:szCs w:val="24"/>
          <w:highlight w:val="none"/>
        </w:rPr>
        <w:t>本合同与主合同份数一致。有上级部门的，双方应送交其上级部门各一份。</w:t>
      </w:r>
    </w:p>
    <w:p>
      <w:pPr>
        <w:snapToGrid w:val="0"/>
        <w:spacing w:line="360" w:lineRule="exact"/>
        <w:rPr>
          <w:rStyle w:val="37"/>
          <w:rFonts w:hint="eastAsia" w:ascii="宋体" w:hAnsi="宋体"/>
          <w:color w:val="auto"/>
          <w:sz w:val="24"/>
          <w:szCs w:val="24"/>
          <w:highlight w:val="none"/>
        </w:rPr>
      </w:pPr>
      <w:r>
        <w:rPr>
          <w:rStyle w:val="37"/>
          <w:rFonts w:hint="eastAsia" w:ascii="宋体" w:hAnsi="宋体"/>
          <w:color w:val="auto"/>
          <w:sz w:val="24"/>
          <w:szCs w:val="24"/>
          <w:highlight w:val="none"/>
        </w:rPr>
        <w:t>（以下部分无《廉政合同》正文内容，为签章页）</w:t>
      </w:r>
    </w:p>
    <w:p>
      <w:pPr>
        <w:pStyle w:val="11"/>
        <w:rPr>
          <w:rStyle w:val="37"/>
          <w:rFonts w:hint="eastAsia" w:ascii="宋体" w:hAnsi="宋体"/>
          <w:color w:val="auto"/>
          <w:sz w:val="24"/>
          <w:szCs w:val="24"/>
          <w:highlight w:val="none"/>
        </w:rPr>
      </w:pPr>
    </w:p>
    <w:p>
      <w:pPr>
        <w:snapToGrid w:val="0"/>
        <w:spacing w:line="360" w:lineRule="exact"/>
        <w:rPr>
          <w:rStyle w:val="37"/>
          <w:rFonts w:ascii="宋体" w:hAnsi="宋体"/>
          <w:color w:val="auto"/>
          <w:sz w:val="24"/>
          <w:szCs w:val="24"/>
          <w:highlight w:val="none"/>
        </w:rPr>
      </w:pPr>
      <w:r>
        <w:rPr>
          <w:rStyle w:val="37"/>
          <w:rFonts w:hint="eastAsia" w:ascii="宋体" w:hAnsi="宋体"/>
          <w:color w:val="auto"/>
          <w:sz w:val="24"/>
          <w:szCs w:val="24"/>
          <w:highlight w:val="none"/>
        </w:rPr>
        <w:t>（本页无《廉政合同》正文内容，为签章页）</w:t>
      </w:r>
    </w:p>
    <w:p>
      <w:pPr>
        <w:tabs>
          <w:tab w:val="left" w:pos="1120"/>
        </w:tabs>
        <w:spacing w:line="319" w:lineRule="auto"/>
        <w:ind w:right="-141"/>
        <w:rPr>
          <w:rStyle w:val="37"/>
          <w:rFonts w:hint="eastAsia" w:ascii="宋体" w:hAnsi="宋体" w:eastAsia="宋体"/>
          <w:color w:val="auto"/>
          <w:sz w:val="24"/>
          <w:szCs w:val="24"/>
          <w:highlight w:val="none"/>
          <w:lang w:eastAsia="zh-CN"/>
        </w:rPr>
      </w:pPr>
      <w:r>
        <w:rPr>
          <w:rStyle w:val="37"/>
          <w:rFonts w:ascii="宋体" w:hAnsi="宋体"/>
          <w:color w:val="auto"/>
          <w:sz w:val="24"/>
          <w:szCs w:val="24"/>
          <w:highlight w:val="none"/>
        </w:rPr>
        <w:t>发包人：</w:t>
      </w:r>
      <w:r>
        <w:rPr>
          <w:rStyle w:val="37"/>
          <w:rFonts w:hint="eastAsia" w:ascii="宋体" w:hAnsi="宋体"/>
          <w:color w:val="auto"/>
          <w:sz w:val="24"/>
          <w:szCs w:val="24"/>
          <w:highlight w:val="none"/>
          <w:lang w:eastAsia="zh-CN"/>
        </w:rPr>
        <w:t>广州市天河区建设工程项目代建局</w:t>
      </w:r>
      <w:r>
        <w:rPr>
          <w:rStyle w:val="37"/>
          <w:rFonts w:ascii="宋体" w:hAnsi="宋体"/>
          <w:color w:val="auto"/>
          <w:sz w:val="24"/>
          <w:szCs w:val="24"/>
          <w:highlight w:val="none"/>
        </w:rPr>
        <w:t xml:space="preserve"> 承包人：</w:t>
      </w:r>
      <w:r>
        <w:rPr>
          <w:rStyle w:val="37"/>
          <w:rFonts w:hint="eastAsia" w:ascii="宋体" w:hAnsi="宋体"/>
          <w:color w:val="auto"/>
          <w:sz w:val="24"/>
          <w:szCs w:val="24"/>
          <w:highlight w:val="none"/>
          <w:lang w:val="en-US" w:eastAsia="zh-CN"/>
        </w:rPr>
        <w:t xml:space="preserve"> </w:t>
      </w:r>
    </w:p>
    <w:p>
      <w:pPr>
        <w:tabs>
          <w:tab w:val="left" w:pos="1120"/>
        </w:tabs>
        <w:spacing w:line="319" w:lineRule="auto"/>
        <w:ind w:right="-141"/>
        <w:rPr>
          <w:rStyle w:val="37"/>
          <w:rFonts w:ascii="宋体" w:hAnsi="宋体"/>
          <w:color w:val="auto"/>
          <w:sz w:val="24"/>
          <w:szCs w:val="24"/>
          <w:highlight w:val="none"/>
        </w:rPr>
      </w:pPr>
      <w:r>
        <w:rPr>
          <w:rStyle w:val="37"/>
          <w:rFonts w:ascii="宋体" w:hAnsi="宋体"/>
          <w:color w:val="auto"/>
          <w:sz w:val="24"/>
          <w:szCs w:val="24"/>
          <w:highlight w:val="none"/>
        </w:rPr>
        <w:t>（公章）</w:t>
      </w:r>
      <w:r>
        <w:rPr>
          <w:rStyle w:val="37"/>
          <w:rFonts w:hint="eastAsia" w:ascii="宋体" w:hAnsi="宋体"/>
          <w:color w:val="auto"/>
          <w:sz w:val="24"/>
          <w:szCs w:val="24"/>
          <w:highlight w:val="none"/>
          <w:lang w:val="en-US" w:eastAsia="zh-CN"/>
        </w:rPr>
        <w:t xml:space="preserve">                              </w:t>
      </w:r>
      <w:r>
        <w:rPr>
          <w:rStyle w:val="37"/>
          <w:rFonts w:ascii="宋体" w:hAnsi="宋体"/>
          <w:color w:val="auto"/>
          <w:sz w:val="24"/>
          <w:szCs w:val="24"/>
          <w:highlight w:val="none"/>
        </w:rPr>
        <w:t>（公章）</w:t>
      </w:r>
    </w:p>
    <w:p>
      <w:pPr>
        <w:ind w:firstLine="1080" w:firstLineChars="450"/>
        <w:rPr>
          <w:rStyle w:val="37"/>
          <w:rFonts w:ascii="宋体" w:hAnsi="宋体"/>
          <w:color w:val="auto"/>
          <w:sz w:val="24"/>
          <w:szCs w:val="24"/>
          <w:highlight w:val="none"/>
        </w:rPr>
      </w:pPr>
    </w:p>
    <w:p>
      <w:pPr>
        <w:rPr>
          <w:rStyle w:val="37"/>
          <w:rFonts w:hint="eastAsia" w:ascii="宋体" w:hAnsi="宋体" w:eastAsia="宋体"/>
          <w:color w:val="auto"/>
          <w:sz w:val="24"/>
          <w:szCs w:val="24"/>
          <w:highlight w:val="none"/>
          <w:lang w:eastAsia="zh-CN"/>
        </w:rPr>
      </w:pPr>
      <w:r>
        <w:rPr>
          <w:rStyle w:val="37"/>
          <w:rFonts w:ascii="宋体" w:hAnsi="宋体"/>
          <w:color w:val="auto"/>
          <w:sz w:val="24"/>
          <w:szCs w:val="24"/>
          <w:highlight w:val="none"/>
        </w:rPr>
        <w:t>地址：</w:t>
      </w:r>
      <w:r>
        <w:rPr>
          <w:rStyle w:val="37"/>
          <w:rFonts w:hint="eastAsia" w:ascii="宋体" w:hAnsi="宋体"/>
          <w:color w:val="auto"/>
          <w:sz w:val="24"/>
          <w:szCs w:val="24"/>
          <w:highlight w:val="none"/>
          <w:lang w:eastAsia="zh-CN"/>
        </w:rPr>
        <w:t>广州市天河区黄埔大道中</w:t>
      </w:r>
      <w:r>
        <w:rPr>
          <w:rStyle w:val="37"/>
          <w:rFonts w:hint="eastAsia" w:ascii="宋体" w:hAnsi="宋体"/>
          <w:color w:val="auto"/>
          <w:sz w:val="24"/>
          <w:szCs w:val="24"/>
          <w:highlight w:val="none"/>
          <w:lang w:val="en-US" w:eastAsia="zh-CN"/>
        </w:rPr>
        <w:t xml:space="preserve">300号      </w:t>
      </w:r>
      <w:r>
        <w:rPr>
          <w:rStyle w:val="37"/>
          <w:rFonts w:ascii="宋体" w:hAnsi="宋体"/>
          <w:color w:val="auto"/>
          <w:sz w:val="24"/>
          <w:szCs w:val="24"/>
          <w:highlight w:val="none"/>
        </w:rPr>
        <w:t>地址：</w:t>
      </w:r>
      <w:r>
        <w:rPr>
          <w:rStyle w:val="37"/>
          <w:rFonts w:hint="eastAsia" w:ascii="宋体" w:hAnsi="宋体"/>
          <w:color w:val="auto"/>
          <w:sz w:val="24"/>
          <w:szCs w:val="24"/>
          <w:highlight w:val="none"/>
          <w:lang w:val="en-US" w:eastAsia="zh-CN"/>
        </w:rPr>
        <w:t xml:space="preserve"> </w:t>
      </w:r>
    </w:p>
    <w:p>
      <w:pPr>
        <w:pStyle w:val="11"/>
        <w:rPr>
          <w:rFonts w:hint="default" w:eastAsia="宋体"/>
          <w:color w:val="auto"/>
          <w:highlight w:val="none"/>
          <w:lang w:val="en-US" w:eastAsia="zh-CN"/>
        </w:rPr>
      </w:pPr>
      <w:r>
        <w:rPr>
          <w:rStyle w:val="37"/>
          <w:rFonts w:hint="eastAsia" w:ascii="宋体" w:hAnsi="宋体"/>
          <w:color w:val="auto"/>
          <w:sz w:val="24"/>
          <w:szCs w:val="24"/>
          <w:highlight w:val="none"/>
          <w:lang w:val="en-US" w:eastAsia="zh-CN"/>
        </w:rPr>
        <w:t xml:space="preserve">      17楼</w:t>
      </w:r>
    </w:p>
    <w:p>
      <w:pPr>
        <w:rPr>
          <w:rStyle w:val="37"/>
          <w:rFonts w:ascii="宋体" w:hAnsi="宋体"/>
          <w:color w:val="auto"/>
          <w:sz w:val="24"/>
          <w:szCs w:val="24"/>
          <w:highlight w:val="none"/>
        </w:rPr>
      </w:pPr>
    </w:p>
    <w:p>
      <w:pPr>
        <w:rPr>
          <w:rStyle w:val="37"/>
          <w:rFonts w:ascii="宋体" w:hAnsi="宋体"/>
          <w:color w:val="auto"/>
          <w:sz w:val="24"/>
          <w:szCs w:val="24"/>
          <w:highlight w:val="none"/>
        </w:rPr>
      </w:pPr>
      <w:r>
        <w:rPr>
          <w:rStyle w:val="37"/>
          <w:rFonts w:ascii="宋体" w:hAnsi="宋体"/>
          <w:color w:val="auto"/>
          <w:sz w:val="24"/>
          <w:szCs w:val="24"/>
          <w:highlight w:val="none"/>
        </w:rPr>
        <w:t>法定代表人</w:t>
      </w:r>
      <w:r>
        <w:rPr>
          <w:rStyle w:val="37"/>
          <w:rFonts w:hint="eastAsia" w:ascii="宋体" w:hAnsi="宋体"/>
          <w:color w:val="auto"/>
          <w:sz w:val="24"/>
          <w:szCs w:val="24"/>
          <w:highlight w:val="none"/>
        </w:rPr>
        <w:t>（签名或章）</w:t>
      </w:r>
      <w:r>
        <w:rPr>
          <w:rStyle w:val="37"/>
          <w:rFonts w:ascii="宋体" w:hAnsi="宋体"/>
          <w:color w:val="auto"/>
          <w:sz w:val="24"/>
          <w:szCs w:val="24"/>
          <w:highlight w:val="none"/>
        </w:rPr>
        <w:t>：                法定代表人</w:t>
      </w:r>
      <w:r>
        <w:rPr>
          <w:rStyle w:val="37"/>
          <w:rFonts w:hint="eastAsia" w:ascii="宋体" w:hAnsi="宋体"/>
          <w:color w:val="auto"/>
          <w:sz w:val="24"/>
          <w:szCs w:val="24"/>
          <w:highlight w:val="none"/>
        </w:rPr>
        <w:t>（签名或章）</w:t>
      </w:r>
      <w:r>
        <w:rPr>
          <w:rStyle w:val="37"/>
          <w:rFonts w:ascii="宋体" w:hAnsi="宋体"/>
          <w:color w:val="auto"/>
          <w:sz w:val="24"/>
          <w:szCs w:val="24"/>
          <w:highlight w:val="none"/>
        </w:rPr>
        <w:t>：</w:t>
      </w:r>
    </w:p>
    <w:p>
      <w:pPr>
        <w:rPr>
          <w:rStyle w:val="37"/>
          <w:rFonts w:ascii="宋体" w:hAnsi="宋体"/>
          <w:color w:val="auto"/>
          <w:sz w:val="24"/>
          <w:szCs w:val="24"/>
          <w:highlight w:val="none"/>
        </w:rPr>
      </w:pPr>
    </w:p>
    <w:p>
      <w:pPr>
        <w:rPr>
          <w:rStyle w:val="37"/>
          <w:rFonts w:ascii="宋体" w:hAnsi="宋体"/>
          <w:color w:val="auto"/>
          <w:sz w:val="24"/>
          <w:szCs w:val="24"/>
          <w:highlight w:val="none"/>
        </w:rPr>
      </w:pPr>
      <w:r>
        <w:rPr>
          <w:rStyle w:val="37"/>
          <w:rFonts w:ascii="宋体" w:hAnsi="宋体"/>
          <w:color w:val="auto"/>
          <w:sz w:val="24"/>
          <w:szCs w:val="24"/>
          <w:highlight w:val="none"/>
        </w:rPr>
        <w:t>委托代理人</w:t>
      </w:r>
      <w:r>
        <w:rPr>
          <w:rStyle w:val="37"/>
          <w:rFonts w:hint="eastAsia" w:ascii="宋体" w:hAnsi="宋体"/>
          <w:color w:val="auto"/>
          <w:sz w:val="24"/>
          <w:szCs w:val="24"/>
          <w:highlight w:val="none"/>
        </w:rPr>
        <w:t>（签名）</w:t>
      </w:r>
      <w:r>
        <w:rPr>
          <w:rStyle w:val="37"/>
          <w:rFonts w:ascii="宋体" w:hAnsi="宋体"/>
          <w:color w:val="auto"/>
          <w:sz w:val="24"/>
          <w:szCs w:val="24"/>
          <w:highlight w:val="none"/>
        </w:rPr>
        <w:t>：                    委托代理人</w:t>
      </w:r>
      <w:r>
        <w:rPr>
          <w:rStyle w:val="37"/>
          <w:rFonts w:hint="eastAsia" w:ascii="宋体" w:hAnsi="宋体"/>
          <w:color w:val="auto"/>
          <w:sz w:val="24"/>
          <w:szCs w:val="24"/>
          <w:highlight w:val="none"/>
        </w:rPr>
        <w:t>（签名）</w:t>
      </w:r>
      <w:r>
        <w:rPr>
          <w:rStyle w:val="37"/>
          <w:rFonts w:ascii="宋体" w:hAnsi="宋体"/>
          <w:color w:val="auto"/>
          <w:sz w:val="24"/>
          <w:szCs w:val="24"/>
          <w:highlight w:val="none"/>
        </w:rPr>
        <w:t>：</w:t>
      </w:r>
    </w:p>
    <w:p>
      <w:pPr>
        <w:tabs>
          <w:tab w:val="left" w:pos="525"/>
          <w:tab w:val="left" w:pos="1155"/>
        </w:tabs>
        <w:rPr>
          <w:rStyle w:val="37"/>
          <w:rFonts w:ascii="宋体" w:hAnsi="宋体"/>
          <w:color w:val="auto"/>
          <w:sz w:val="24"/>
          <w:szCs w:val="24"/>
          <w:highlight w:val="none"/>
        </w:rPr>
      </w:pPr>
    </w:p>
    <w:p>
      <w:pPr>
        <w:spacing w:line="360" w:lineRule="auto"/>
        <w:ind w:left="5760" w:hanging="5760" w:hangingChars="2400"/>
        <w:rPr>
          <w:rStyle w:val="37"/>
          <w:rFonts w:hint="eastAsia" w:ascii="宋体" w:hAnsi="宋体" w:eastAsia="宋体"/>
          <w:color w:val="auto"/>
          <w:sz w:val="24"/>
          <w:szCs w:val="24"/>
          <w:highlight w:val="none"/>
          <w:lang w:eastAsia="zh-CN"/>
        </w:rPr>
      </w:pPr>
      <w:r>
        <w:rPr>
          <w:rStyle w:val="37"/>
          <w:rFonts w:ascii="宋体" w:hAnsi="宋体"/>
          <w:color w:val="auto"/>
          <w:sz w:val="24"/>
          <w:szCs w:val="24"/>
          <w:highlight w:val="none"/>
        </w:rPr>
        <w:t>电话：</w:t>
      </w:r>
      <w:r>
        <w:rPr>
          <w:rStyle w:val="37"/>
          <w:rFonts w:hint="eastAsia" w:ascii="仿宋" w:hAnsi="仿宋" w:eastAsia="仿宋" w:cs="仿宋"/>
          <w:color w:val="auto"/>
          <w:sz w:val="24"/>
          <w:szCs w:val="24"/>
          <w:highlight w:val="none"/>
        </w:rPr>
        <w:t xml:space="preserve">020-38085390 </w:t>
      </w:r>
      <w:r>
        <w:rPr>
          <w:rStyle w:val="37"/>
          <w:rFonts w:ascii="宋体" w:hAnsi="宋体"/>
          <w:color w:val="auto"/>
          <w:sz w:val="24"/>
          <w:szCs w:val="24"/>
          <w:highlight w:val="none"/>
        </w:rPr>
        <w:t xml:space="preserve">                     电话：</w:t>
      </w:r>
      <w:r>
        <w:rPr>
          <w:rStyle w:val="37"/>
          <w:rFonts w:hint="eastAsia" w:ascii="仿宋" w:hAnsi="仿宋" w:eastAsia="仿宋" w:cs="仿宋"/>
          <w:color w:val="auto"/>
          <w:sz w:val="24"/>
          <w:szCs w:val="24"/>
          <w:highlight w:val="none"/>
          <w:lang w:val="en-US" w:eastAsia="zh-CN"/>
        </w:rPr>
        <w:t xml:space="preserve"> </w:t>
      </w:r>
    </w:p>
    <w:p>
      <w:pPr>
        <w:rPr>
          <w:rStyle w:val="37"/>
          <w:rFonts w:ascii="宋体" w:hAnsi="宋体"/>
          <w:color w:val="auto"/>
          <w:sz w:val="24"/>
          <w:szCs w:val="24"/>
          <w:highlight w:val="none"/>
        </w:rPr>
      </w:pPr>
    </w:p>
    <w:p>
      <w:pPr>
        <w:rPr>
          <w:rStyle w:val="37"/>
          <w:rFonts w:hint="eastAsia" w:ascii="宋体" w:hAnsi="宋体" w:eastAsia="宋体"/>
          <w:color w:val="auto"/>
          <w:sz w:val="24"/>
          <w:szCs w:val="24"/>
          <w:highlight w:val="none"/>
          <w:lang w:val="en-US" w:eastAsia="zh-CN"/>
        </w:rPr>
      </w:pPr>
      <w:r>
        <w:rPr>
          <w:rStyle w:val="37"/>
          <w:rFonts w:ascii="宋体" w:hAnsi="宋体"/>
          <w:color w:val="auto"/>
          <w:sz w:val="24"/>
          <w:szCs w:val="24"/>
          <w:highlight w:val="none"/>
        </w:rPr>
        <w:t>传真：</w:t>
      </w:r>
      <w:r>
        <w:rPr>
          <w:rStyle w:val="37"/>
          <w:rFonts w:hint="eastAsia" w:ascii="仿宋" w:hAnsi="仿宋" w:eastAsia="仿宋" w:cs="仿宋"/>
          <w:color w:val="auto"/>
          <w:sz w:val="24"/>
          <w:szCs w:val="24"/>
          <w:highlight w:val="none"/>
        </w:rPr>
        <w:t xml:space="preserve">020-38085023  </w:t>
      </w:r>
      <w:r>
        <w:rPr>
          <w:rStyle w:val="37"/>
          <w:rFonts w:ascii="宋体" w:hAnsi="宋体"/>
          <w:color w:val="auto"/>
          <w:sz w:val="24"/>
          <w:szCs w:val="24"/>
          <w:highlight w:val="none"/>
        </w:rPr>
        <w:t xml:space="preserve">                    传真：</w:t>
      </w:r>
      <w:r>
        <w:rPr>
          <w:rStyle w:val="37"/>
          <w:rFonts w:hint="eastAsia" w:ascii="宋体" w:hAnsi="宋体"/>
          <w:color w:val="auto"/>
          <w:sz w:val="24"/>
          <w:szCs w:val="24"/>
          <w:highlight w:val="none"/>
          <w:lang w:val="en-US" w:eastAsia="zh-CN"/>
        </w:rPr>
        <w:t xml:space="preserve"> /</w:t>
      </w:r>
    </w:p>
    <w:p>
      <w:pPr>
        <w:rPr>
          <w:rStyle w:val="37"/>
          <w:rFonts w:ascii="宋体" w:hAnsi="宋体"/>
          <w:color w:val="auto"/>
          <w:sz w:val="24"/>
          <w:szCs w:val="24"/>
          <w:highlight w:val="none"/>
        </w:rPr>
      </w:pPr>
    </w:p>
    <w:p>
      <w:pPr>
        <w:ind w:left="6240" w:hanging="6240" w:hangingChars="2600"/>
        <w:rPr>
          <w:rStyle w:val="37"/>
          <w:rFonts w:ascii="宋体" w:hAnsi="宋体"/>
          <w:color w:val="auto"/>
          <w:sz w:val="24"/>
          <w:szCs w:val="24"/>
          <w:highlight w:val="none"/>
        </w:rPr>
      </w:pPr>
      <w:r>
        <w:rPr>
          <w:rStyle w:val="37"/>
          <w:rFonts w:ascii="宋体" w:hAnsi="宋体"/>
          <w:color w:val="auto"/>
          <w:sz w:val="24"/>
          <w:szCs w:val="24"/>
          <w:highlight w:val="none"/>
        </w:rPr>
        <w:t>开户银行：</w:t>
      </w:r>
      <w:r>
        <w:rPr>
          <w:rStyle w:val="37"/>
          <w:rFonts w:ascii="宋体" w:hAnsi="宋体"/>
          <w:color w:val="auto"/>
          <w:kern w:val="0"/>
          <w:szCs w:val="21"/>
          <w:highlight w:val="none"/>
        </w:rPr>
        <w:t>工行广州员村支行</w:t>
      </w:r>
      <w:r>
        <w:rPr>
          <w:rStyle w:val="37"/>
          <w:rFonts w:ascii="宋体" w:hAnsi="宋体"/>
          <w:color w:val="auto"/>
          <w:sz w:val="24"/>
          <w:szCs w:val="24"/>
          <w:highlight w:val="none"/>
        </w:rPr>
        <w:t xml:space="preserve">                开户银行：</w:t>
      </w:r>
      <w:r>
        <w:rPr>
          <w:rStyle w:val="37"/>
          <w:rFonts w:hint="eastAsia" w:ascii="宋体" w:hAnsi="宋体"/>
          <w:color w:val="auto"/>
          <w:sz w:val="24"/>
          <w:szCs w:val="24"/>
          <w:highlight w:val="none"/>
          <w:lang w:val="en-US" w:eastAsia="zh-CN"/>
        </w:rPr>
        <w:t xml:space="preserve"> </w:t>
      </w:r>
      <w:r>
        <w:rPr>
          <w:rStyle w:val="37"/>
          <w:rFonts w:hint="eastAsia" w:ascii="宋体" w:hAnsi="宋体"/>
          <w:color w:val="auto"/>
          <w:sz w:val="24"/>
          <w:szCs w:val="24"/>
          <w:highlight w:val="none"/>
        </w:rPr>
        <w:t xml:space="preserve"> </w:t>
      </w:r>
    </w:p>
    <w:p>
      <w:pPr>
        <w:spacing w:line="360" w:lineRule="auto"/>
        <w:ind w:left="5760" w:hanging="5760" w:hangingChars="2400"/>
        <w:rPr>
          <w:rStyle w:val="37"/>
          <w:rFonts w:ascii="宋体" w:hAnsi="宋体"/>
          <w:color w:val="auto"/>
          <w:sz w:val="24"/>
          <w:szCs w:val="24"/>
          <w:highlight w:val="none"/>
        </w:rPr>
      </w:pPr>
      <w:r>
        <w:rPr>
          <w:rStyle w:val="37"/>
          <w:rFonts w:ascii="宋体" w:hAnsi="宋体"/>
          <w:color w:val="auto"/>
          <w:sz w:val="24"/>
          <w:szCs w:val="24"/>
          <w:highlight w:val="none"/>
        </w:rPr>
        <w:t>帐号：</w:t>
      </w:r>
      <w:r>
        <w:rPr>
          <w:rStyle w:val="37"/>
          <w:rFonts w:hint="eastAsia" w:ascii="仿宋" w:hAnsi="仿宋" w:eastAsia="仿宋" w:cs="仿宋"/>
          <w:color w:val="auto"/>
          <w:sz w:val="24"/>
          <w:szCs w:val="24"/>
          <w:highlight w:val="none"/>
          <w:lang w:val="en-US" w:eastAsia="zh-CN"/>
        </w:rPr>
        <w:t xml:space="preserve">3602005309200186668   </w:t>
      </w:r>
      <w:r>
        <w:rPr>
          <w:rStyle w:val="37"/>
          <w:rFonts w:ascii="宋体" w:hAnsi="宋体"/>
          <w:color w:val="auto"/>
          <w:sz w:val="24"/>
          <w:szCs w:val="24"/>
          <w:highlight w:val="none"/>
        </w:rPr>
        <w:t xml:space="preserve">   </w:t>
      </w:r>
      <w:r>
        <w:rPr>
          <w:rStyle w:val="37"/>
          <w:rFonts w:hint="eastAsia" w:ascii="宋体" w:hAnsi="宋体"/>
          <w:color w:val="auto"/>
          <w:sz w:val="24"/>
          <w:szCs w:val="24"/>
          <w:highlight w:val="none"/>
        </w:rPr>
        <w:t xml:space="preserve">         </w:t>
      </w:r>
      <w:r>
        <w:rPr>
          <w:rStyle w:val="37"/>
          <w:rFonts w:ascii="宋体" w:hAnsi="宋体"/>
          <w:color w:val="auto"/>
          <w:sz w:val="24"/>
          <w:szCs w:val="24"/>
          <w:highlight w:val="none"/>
        </w:rPr>
        <w:t>帐号：</w:t>
      </w:r>
      <w:r>
        <w:rPr>
          <w:rStyle w:val="37"/>
          <w:rFonts w:hint="eastAsia" w:ascii="仿宋" w:hAnsi="仿宋" w:eastAsia="仿宋" w:cs="仿宋"/>
          <w:color w:val="auto"/>
          <w:sz w:val="24"/>
          <w:szCs w:val="24"/>
          <w:highlight w:val="none"/>
          <w:lang w:val="en-US" w:eastAsia="zh-CN"/>
        </w:rPr>
        <w:t xml:space="preserve"> </w:t>
      </w:r>
    </w:p>
    <w:p>
      <w:pPr>
        <w:rPr>
          <w:rStyle w:val="37"/>
          <w:rFonts w:ascii="宋体" w:hAnsi="宋体"/>
          <w:color w:val="auto"/>
          <w:sz w:val="24"/>
          <w:szCs w:val="24"/>
          <w:highlight w:val="none"/>
        </w:rPr>
      </w:pPr>
    </w:p>
    <w:p>
      <w:pPr>
        <w:rPr>
          <w:rStyle w:val="37"/>
          <w:rFonts w:hint="default" w:ascii="宋体" w:hAnsi="宋体" w:eastAsia="宋体"/>
          <w:color w:val="auto"/>
          <w:sz w:val="24"/>
          <w:szCs w:val="24"/>
          <w:highlight w:val="none"/>
          <w:lang w:val="en-US" w:eastAsia="zh-CN"/>
        </w:rPr>
      </w:pPr>
      <w:r>
        <w:rPr>
          <w:rStyle w:val="37"/>
          <w:rFonts w:ascii="宋体" w:hAnsi="宋体"/>
          <w:color w:val="auto"/>
          <w:sz w:val="24"/>
          <w:szCs w:val="24"/>
          <w:highlight w:val="none"/>
        </w:rPr>
        <w:t>邮政编码：                              邮政编码：</w:t>
      </w:r>
      <w:r>
        <w:rPr>
          <w:rStyle w:val="37"/>
          <w:rFonts w:hint="eastAsia" w:ascii="宋体" w:hAnsi="宋体"/>
          <w:color w:val="auto"/>
          <w:sz w:val="24"/>
          <w:szCs w:val="24"/>
          <w:highlight w:val="none"/>
          <w:lang w:val="en-US" w:eastAsia="zh-CN"/>
        </w:rPr>
        <w:t xml:space="preserve"> </w:t>
      </w:r>
    </w:p>
    <w:p>
      <w:pPr>
        <w:rPr>
          <w:rStyle w:val="37"/>
          <w:rFonts w:ascii="宋体" w:hAnsi="宋体"/>
          <w:color w:val="auto"/>
          <w:sz w:val="24"/>
          <w:szCs w:val="24"/>
          <w:highlight w:val="none"/>
        </w:rPr>
      </w:pPr>
    </w:p>
    <w:p>
      <w:pPr>
        <w:rPr>
          <w:rStyle w:val="37"/>
          <w:rFonts w:ascii="宋体" w:hAnsi="宋体"/>
          <w:color w:val="auto"/>
          <w:sz w:val="24"/>
          <w:szCs w:val="24"/>
          <w:highlight w:val="none"/>
        </w:rPr>
      </w:pPr>
      <w:r>
        <w:rPr>
          <w:rStyle w:val="37"/>
          <w:rFonts w:ascii="宋体" w:hAnsi="宋体"/>
          <w:color w:val="auto"/>
          <w:sz w:val="24"/>
          <w:szCs w:val="24"/>
          <w:highlight w:val="none"/>
        </w:rPr>
        <w:t>电子邮箱:                               电子邮箱:</w:t>
      </w:r>
    </w:p>
    <w:p>
      <w:pPr>
        <w:pStyle w:val="39"/>
        <w:spacing w:after="0" w:line="480" w:lineRule="auto"/>
        <w:ind w:firstLine="0"/>
        <w:rPr>
          <w:rStyle w:val="37"/>
          <w:color w:val="auto"/>
          <w:kern w:val="2"/>
          <w:sz w:val="21"/>
          <w:szCs w:val="22"/>
          <w:highlight w:val="none"/>
        </w:rPr>
      </w:pPr>
      <w:r>
        <w:rPr>
          <w:rStyle w:val="37"/>
          <w:rFonts w:ascii="宋体" w:hAnsi="宋体"/>
          <w:color w:val="auto"/>
          <w:sz w:val="24"/>
          <w:szCs w:val="24"/>
          <w:highlight w:val="none"/>
        </w:rPr>
        <w:t>上级部门：（公章）                      上级部门：（公章）</w:t>
      </w:r>
    </w:p>
    <w:p>
      <w:pPr>
        <w:pStyle w:val="38"/>
        <w:rPr>
          <w:rStyle w:val="37"/>
          <w:rFonts w:ascii="宋体"/>
          <w:color w:val="auto"/>
          <w:sz w:val="24"/>
          <w:szCs w:val="24"/>
          <w:highlight w:val="none"/>
        </w:rPr>
      </w:pPr>
    </w:p>
    <w:p>
      <w:pPr>
        <w:spacing w:line="360" w:lineRule="auto"/>
        <w:jc w:val="center"/>
        <w:rPr>
          <w:rStyle w:val="37"/>
          <w:rFonts w:ascii="宋体" w:hAnsi="宋体"/>
          <w:b/>
          <w:color w:val="auto"/>
          <w:spacing w:val="-40"/>
          <w:kern w:val="0"/>
          <w:sz w:val="52"/>
          <w:szCs w:val="52"/>
          <w:highlight w:val="none"/>
        </w:rPr>
      </w:pPr>
    </w:p>
    <w:p>
      <w:pPr>
        <w:spacing w:line="240" w:lineRule="auto"/>
        <w:jc w:val="left"/>
        <w:rPr>
          <w:rStyle w:val="37"/>
          <w:rFonts w:ascii="宋体" w:hAnsi="宋体"/>
          <w:b/>
          <w:color w:val="auto"/>
          <w:spacing w:val="-40"/>
          <w:kern w:val="0"/>
          <w:sz w:val="52"/>
          <w:szCs w:val="52"/>
          <w:highlight w:val="none"/>
        </w:rPr>
      </w:pPr>
      <w:r>
        <w:rPr>
          <w:rStyle w:val="37"/>
          <w:rFonts w:ascii="宋体" w:hAnsi="宋体"/>
          <w:b/>
          <w:color w:val="auto"/>
          <w:spacing w:val="-40"/>
          <w:kern w:val="0"/>
          <w:sz w:val="52"/>
          <w:szCs w:val="52"/>
          <w:highlight w:val="none"/>
        </w:rPr>
        <w:br w:type="page"/>
      </w:r>
    </w:p>
    <w:p>
      <w:pPr>
        <w:spacing w:line="360" w:lineRule="exact"/>
        <w:ind w:right="-20" w:rightChars="0"/>
        <w:outlineLvl w:val="2"/>
        <w:rPr>
          <w:rStyle w:val="37"/>
          <w:rFonts w:ascii="宋体" w:hAnsi="宋体" w:cs="Times New Roman"/>
          <w:b w:val="0"/>
          <w:color w:val="auto"/>
          <w:sz w:val="24"/>
          <w:szCs w:val="24"/>
          <w:highlight w:val="none"/>
        </w:rPr>
      </w:pPr>
      <w:bookmarkStart w:id="1053" w:name="_Toc3726"/>
      <w:bookmarkStart w:id="1054" w:name="_Toc8264"/>
      <w:bookmarkStart w:id="1055" w:name="_Toc14229"/>
      <w:bookmarkStart w:id="1056" w:name="_Toc23803"/>
      <w:bookmarkStart w:id="1057" w:name="_Toc7979"/>
      <w:r>
        <w:rPr>
          <w:rStyle w:val="37"/>
          <w:rFonts w:ascii="宋体" w:hAnsi="宋体" w:cs="Times New Roman"/>
          <w:color w:val="auto"/>
          <w:sz w:val="24"/>
          <w:szCs w:val="24"/>
          <w:highlight w:val="none"/>
        </w:rPr>
        <w:t>附件</w:t>
      </w:r>
      <w:r>
        <w:rPr>
          <w:rStyle w:val="37"/>
          <w:rFonts w:hint="default" w:ascii="宋体" w:hAnsi="宋体" w:cs="Times New Roman"/>
          <w:color w:val="auto"/>
          <w:sz w:val="24"/>
          <w:szCs w:val="24"/>
          <w:highlight w:val="none"/>
        </w:rPr>
        <w:t>三</w:t>
      </w:r>
      <w:bookmarkEnd w:id="1053"/>
      <w:bookmarkEnd w:id="1054"/>
      <w:bookmarkEnd w:id="1055"/>
      <w:bookmarkEnd w:id="1056"/>
      <w:bookmarkEnd w:id="1057"/>
    </w:p>
    <w:p>
      <w:pPr>
        <w:pStyle w:val="5"/>
        <w:spacing w:line="500" w:lineRule="exact"/>
        <w:ind w:firstLine="361" w:firstLineChars="100"/>
        <w:jc w:val="center"/>
        <w:outlineLvl w:val="2"/>
        <w:rPr>
          <w:rStyle w:val="30"/>
          <w:rFonts w:hint="eastAsia" w:ascii="Times New Roman" w:hAnsi="Times New Roman" w:cstheme="minorBidi"/>
          <w:bCs w:val="0"/>
          <w:color w:val="auto"/>
          <w:kern w:val="44"/>
          <w:sz w:val="36"/>
          <w:szCs w:val="20"/>
          <w:highlight w:val="none"/>
        </w:rPr>
      </w:pPr>
      <w:bookmarkStart w:id="1058" w:name="_Toc12063"/>
      <w:bookmarkStart w:id="1059" w:name="_Toc10238"/>
      <w:bookmarkStart w:id="1060" w:name="_Toc29563"/>
      <w:bookmarkStart w:id="1061" w:name="_Toc13426"/>
      <w:bookmarkStart w:id="1062" w:name="_Toc18964"/>
      <w:bookmarkStart w:id="1063" w:name="_Toc29072"/>
      <w:bookmarkStart w:id="1064" w:name="_Toc23476"/>
      <w:bookmarkStart w:id="1065" w:name="_Toc32767"/>
      <w:r>
        <w:rPr>
          <w:rStyle w:val="30"/>
          <w:rFonts w:ascii="Times New Roman" w:hAnsi="Times New Roman" w:cstheme="minorBidi"/>
          <w:bCs w:val="0"/>
          <w:color w:val="auto"/>
          <w:kern w:val="44"/>
          <w:sz w:val="36"/>
          <w:szCs w:val="20"/>
          <w:highlight w:val="none"/>
        </w:rPr>
        <w:t>广州市建设工程施工合同</w:t>
      </w:r>
      <w:bookmarkEnd w:id="1058"/>
      <w:bookmarkEnd w:id="1059"/>
      <w:bookmarkEnd w:id="1060"/>
      <w:r>
        <w:rPr>
          <w:rStyle w:val="30"/>
          <w:rFonts w:ascii="Times New Roman" w:hAnsi="Times New Roman" w:cstheme="minorBidi"/>
          <w:bCs w:val="0"/>
          <w:color w:val="auto"/>
          <w:kern w:val="44"/>
          <w:sz w:val="36"/>
          <w:szCs w:val="20"/>
          <w:highlight w:val="none"/>
        </w:rPr>
        <w:t>项目工人工资支付分账管理</w:t>
      </w:r>
      <w:bookmarkStart w:id="1066" w:name="_Toc3497"/>
      <w:bookmarkStart w:id="1067" w:name="_Toc22847"/>
      <w:bookmarkStart w:id="1068" w:name="_Toc23733"/>
      <w:r>
        <w:rPr>
          <w:rStyle w:val="30"/>
          <w:rFonts w:ascii="Times New Roman" w:hAnsi="Times New Roman" w:cstheme="minorBidi"/>
          <w:bCs w:val="0"/>
          <w:color w:val="auto"/>
          <w:kern w:val="44"/>
          <w:sz w:val="36"/>
          <w:szCs w:val="20"/>
          <w:highlight w:val="none"/>
        </w:rPr>
        <w:t>补充协议</w:t>
      </w:r>
      <w:bookmarkEnd w:id="1061"/>
      <w:bookmarkEnd w:id="1062"/>
      <w:bookmarkEnd w:id="1063"/>
      <w:bookmarkEnd w:id="1064"/>
      <w:bookmarkEnd w:id="1065"/>
      <w:bookmarkEnd w:id="1066"/>
      <w:bookmarkEnd w:id="1067"/>
      <w:bookmarkEnd w:id="1068"/>
    </w:p>
    <w:p>
      <w:pPr>
        <w:spacing w:after="120" w:line="480" w:lineRule="auto"/>
        <w:ind w:left="2570" w:leftChars="557" w:hanging="1400" w:hangingChars="500"/>
        <w:rPr>
          <w:rStyle w:val="37"/>
          <w:rFonts w:ascii="宋体" w:hAnsi="宋体"/>
          <w:color w:val="auto"/>
          <w:sz w:val="28"/>
          <w:szCs w:val="28"/>
          <w:highlight w:val="none"/>
        </w:rPr>
      </w:pPr>
    </w:p>
    <w:p>
      <w:pPr>
        <w:spacing w:after="120" w:line="480" w:lineRule="auto"/>
        <w:ind w:left="2570" w:leftChars="557" w:hanging="1400" w:hangingChars="500"/>
        <w:rPr>
          <w:rStyle w:val="37"/>
          <w:rFonts w:ascii="宋体" w:hAnsi="宋体"/>
          <w:color w:val="auto"/>
          <w:sz w:val="28"/>
          <w:szCs w:val="28"/>
          <w:highlight w:val="none"/>
        </w:rPr>
      </w:pPr>
      <w:r>
        <w:rPr>
          <w:rStyle w:val="37"/>
          <w:rFonts w:ascii="宋体" w:hAnsi="宋体"/>
          <w:color w:val="auto"/>
          <w:sz w:val="28"/>
          <w:szCs w:val="28"/>
          <w:highlight w:val="none"/>
        </w:rPr>
        <w:t>工程名称：</w:t>
      </w:r>
      <w:r>
        <w:rPr>
          <w:rStyle w:val="37"/>
          <w:rFonts w:hint="eastAsia" w:ascii="宋体" w:hAnsi="宋体" w:cs="Times New Roman"/>
          <w:color w:val="auto"/>
          <w:sz w:val="28"/>
          <w:szCs w:val="28"/>
          <w:highlight w:val="none"/>
          <w:u w:val="single"/>
          <w:lang w:val="en-US" w:eastAsia="zh-CN"/>
        </w:rPr>
        <w:t xml:space="preserve">广州市天河外国语学校智慧城校区建设工程（建筑工程）施工总承包 </w:t>
      </w:r>
      <w:r>
        <w:rPr>
          <w:rStyle w:val="37"/>
          <w:rFonts w:hint="eastAsia" w:ascii="仿宋" w:hAnsi="仿宋" w:eastAsia="仿宋"/>
          <w:color w:val="auto"/>
          <w:sz w:val="24"/>
          <w:szCs w:val="24"/>
          <w:highlight w:val="none"/>
        </w:rPr>
        <w:t xml:space="preserve">        </w:t>
      </w:r>
    </w:p>
    <w:p>
      <w:pPr>
        <w:spacing w:after="120" w:line="480" w:lineRule="auto"/>
        <w:ind w:left="2570" w:leftChars="557" w:hanging="1400" w:hangingChars="500"/>
        <w:rPr>
          <w:rStyle w:val="37"/>
          <w:rFonts w:ascii="宋体" w:hAnsi="宋体"/>
          <w:color w:val="auto"/>
          <w:sz w:val="28"/>
          <w:szCs w:val="28"/>
          <w:highlight w:val="none"/>
        </w:rPr>
      </w:pPr>
      <w:r>
        <w:rPr>
          <w:rStyle w:val="37"/>
          <w:rFonts w:ascii="宋体" w:hAnsi="宋体"/>
          <w:color w:val="auto"/>
          <w:sz w:val="28"/>
          <w:szCs w:val="28"/>
          <w:highlight w:val="none"/>
        </w:rPr>
        <w:t>工程地点：</w:t>
      </w:r>
      <w:r>
        <w:rPr>
          <w:rStyle w:val="37"/>
          <w:rFonts w:hint="eastAsia" w:ascii="宋体" w:hAnsi="宋体"/>
          <w:color w:val="auto"/>
          <w:sz w:val="28"/>
          <w:szCs w:val="28"/>
          <w:highlight w:val="none"/>
          <w:u w:val="single"/>
          <w:lang w:val="en-US" w:eastAsia="zh-CN"/>
        </w:rPr>
        <w:t>项目位于天河区华南快速路以西、长兴路以北，地块西侧紧邻中国科学院化学研究所、北侧为华南植物园、东侧紧靠华南快速干线，与天河智慧城核心区隔路相望。</w:t>
      </w:r>
      <w:r>
        <w:rPr>
          <w:rStyle w:val="37"/>
          <w:rFonts w:hint="eastAsia" w:ascii="仿宋" w:hAnsi="仿宋" w:eastAsia="仿宋"/>
          <w:color w:val="auto"/>
          <w:sz w:val="24"/>
          <w:szCs w:val="24"/>
          <w:highlight w:val="none"/>
          <w:u w:val="single"/>
        </w:rPr>
        <w:t xml:space="preserve">    </w:t>
      </w:r>
      <w:r>
        <w:rPr>
          <w:rStyle w:val="37"/>
          <w:rFonts w:hint="eastAsia" w:ascii="仿宋" w:hAnsi="仿宋" w:eastAsia="仿宋"/>
          <w:color w:val="auto"/>
          <w:sz w:val="24"/>
          <w:szCs w:val="24"/>
          <w:highlight w:val="none"/>
        </w:rPr>
        <w:t xml:space="preserve">         </w:t>
      </w:r>
    </w:p>
    <w:p>
      <w:pPr>
        <w:spacing w:after="120" w:line="480" w:lineRule="auto"/>
        <w:ind w:firstLine="1120" w:firstLineChars="400"/>
        <w:rPr>
          <w:rStyle w:val="37"/>
          <w:rFonts w:ascii="宋体" w:hAnsi="宋体"/>
          <w:color w:val="auto"/>
          <w:sz w:val="28"/>
          <w:szCs w:val="28"/>
          <w:highlight w:val="none"/>
        </w:rPr>
      </w:pPr>
      <w:r>
        <w:rPr>
          <w:rStyle w:val="37"/>
          <w:rFonts w:ascii="宋体" w:hAnsi="宋体"/>
          <w:color w:val="auto"/>
          <w:sz w:val="28"/>
          <w:szCs w:val="28"/>
          <w:highlight w:val="none"/>
        </w:rPr>
        <w:t>发包人：</w:t>
      </w:r>
      <w:r>
        <w:rPr>
          <w:rStyle w:val="37"/>
          <w:rFonts w:ascii="宋体" w:hAnsi="宋体"/>
          <w:color w:val="auto"/>
          <w:sz w:val="28"/>
          <w:szCs w:val="28"/>
          <w:highlight w:val="none"/>
          <w:u w:val="single"/>
        </w:rPr>
        <w:t xml:space="preserve"> 广州市天河区建设工程项目代建局</w:t>
      </w:r>
    </w:p>
    <w:p>
      <w:pPr>
        <w:spacing w:after="120" w:line="480" w:lineRule="auto"/>
        <w:ind w:firstLine="1120" w:firstLineChars="400"/>
        <w:jc w:val="left"/>
        <w:rPr>
          <w:rStyle w:val="37"/>
          <w:rFonts w:hint="eastAsia" w:ascii="宋体" w:hAnsi="宋体" w:eastAsia="宋体"/>
          <w:color w:val="auto"/>
          <w:sz w:val="28"/>
          <w:szCs w:val="28"/>
          <w:highlight w:val="none"/>
          <w:u w:val="single"/>
          <w:lang w:eastAsia="zh-CN"/>
        </w:rPr>
      </w:pPr>
      <w:r>
        <w:rPr>
          <w:rStyle w:val="37"/>
          <w:rFonts w:ascii="宋体" w:hAnsi="宋体"/>
          <w:color w:val="auto"/>
          <w:sz w:val="28"/>
          <w:szCs w:val="28"/>
          <w:highlight w:val="none"/>
        </w:rPr>
        <w:t>承包人：</w:t>
      </w:r>
      <w:r>
        <w:rPr>
          <w:rStyle w:val="37"/>
          <w:rFonts w:ascii="宋体" w:hAnsi="宋体"/>
          <w:color w:val="auto"/>
          <w:sz w:val="28"/>
          <w:szCs w:val="28"/>
          <w:highlight w:val="none"/>
          <w:u w:val="single"/>
        </w:rPr>
        <w:t xml:space="preserve"> </w:t>
      </w:r>
      <w:r>
        <w:rPr>
          <w:rStyle w:val="37"/>
          <w:rFonts w:hint="eastAsia" w:ascii="宋体" w:hAnsi="宋体"/>
          <w:color w:val="auto"/>
          <w:sz w:val="28"/>
          <w:szCs w:val="28"/>
          <w:highlight w:val="none"/>
          <w:u w:val="single"/>
          <w:lang w:val="en-US" w:eastAsia="zh-CN"/>
        </w:rPr>
        <w:t xml:space="preserve"> </w:t>
      </w:r>
    </w:p>
    <w:p>
      <w:pPr>
        <w:spacing w:after="120" w:line="480" w:lineRule="auto"/>
        <w:ind w:firstLine="960" w:firstLineChars="400"/>
        <w:jc w:val="left"/>
        <w:rPr>
          <w:rStyle w:val="37"/>
          <w:rFonts w:ascii="宋体" w:hAnsi="宋体"/>
          <w:color w:val="auto"/>
          <w:sz w:val="28"/>
          <w:szCs w:val="28"/>
          <w:highlight w:val="none"/>
        </w:rPr>
      </w:pPr>
      <w:r>
        <w:rPr>
          <w:rStyle w:val="37"/>
          <w:rFonts w:hint="eastAsia" w:ascii="仿宋" w:hAnsi="仿宋" w:eastAsia="仿宋"/>
          <w:color w:val="auto"/>
          <w:sz w:val="24"/>
          <w:szCs w:val="24"/>
          <w:highlight w:val="none"/>
        </w:rPr>
        <w:t xml:space="preserve">                             </w:t>
      </w:r>
      <w:r>
        <w:rPr>
          <w:rStyle w:val="37"/>
          <w:rFonts w:ascii="宋体" w:hAnsi="宋体"/>
          <w:color w:val="auto"/>
          <w:sz w:val="28"/>
          <w:szCs w:val="28"/>
          <w:highlight w:val="none"/>
          <w:u w:val="single"/>
        </w:rPr>
        <w:t xml:space="preserve"> </w:t>
      </w:r>
      <w:r>
        <w:rPr>
          <w:rStyle w:val="37"/>
          <w:rFonts w:hint="eastAsia" w:ascii="宋体" w:hAnsi="宋体"/>
          <w:color w:val="auto"/>
          <w:sz w:val="28"/>
          <w:szCs w:val="28"/>
          <w:highlight w:val="none"/>
          <w:u w:val="single"/>
        </w:rPr>
        <w:t xml:space="preserve">                 </w:t>
      </w:r>
      <w:r>
        <w:rPr>
          <w:rStyle w:val="37"/>
          <w:rFonts w:ascii="宋体" w:hAnsi="宋体"/>
          <w:color w:val="auto"/>
          <w:sz w:val="28"/>
          <w:szCs w:val="28"/>
          <w:highlight w:val="none"/>
          <w:u w:val="single"/>
        </w:rPr>
        <w:t xml:space="preserve">                          </w:t>
      </w:r>
    </w:p>
    <w:p>
      <w:pPr>
        <w:ind w:firstLine="1050"/>
        <w:rPr>
          <w:rStyle w:val="37"/>
          <w:color w:val="auto"/>
          <w:szCs w:val="21"/>
          <w:highlight w:val="none"/>
        </w:rPr>
      </w:pPr>
    </w:p>
    <w:p>
      <w:pPr>
        <w:spacing w:line="360" w:lineRule="auto"/>
        <w:jc w:val="center"/>
        <w:rPr>
          <w:rStyle w:val="37"/>
          <w:rFonts w:ascii="宋体" w:hAnsi="宋体"/>
          <w:b/>
          <w:color w:val="auto"/>
          <w:spacing w:val="20"/>
          <w:sz w:val="32"/>
          <w:szCs w:val="32"/>
          <w:highlight w:val="none"/>
          <w:u w:val="single"/>
        </w:rPr>
      </w:pPr>
    </w:p>
    <w:p>
      <w:pPr>
        <w:spacing w:line="360" w:lineRule="auto"/>
        <w:jc w:val="center"/>
        <w:rPr>
          <w:rStyle w:val="37"/>
          <w:rFonts w:ascii="宋体" w:hAnsi="宋体"/>
          <w:b/>
          <w:color w:val="auto"/>
          <w:spacing w:val="20"/>
          <w:sz w:val="32"/>
          <w:szCs w:val="32"/>
          <w:highlight w:val="none"/>
          <w:u w:val="single"/>
        </w:rPr>
      </w:pPr>
    </w:p>
    <w:p>
      <w:pPr>
        <w:spacing w:line="360" w:lineRule="auto"/>
        <w:jc w:val="center"/>
        <w:rPr>
          <w:rStyle w:val="37"/>
          <w:rFonts w:ascii="宋体" w:hAnsi="宋体"/>
          <w:b/>
          <w:color w:val="auto"/>
          <w:spacing w:val="20"/>
          <w:sz w:val="32"/>
          <w:szCs w:val="32"/>
          <w:highlight w:val="none"/>
          <w:u w:val="single"/>
        </w:rPr>
      </w:pPr>
    </w:p>
    <w:p>
      <w:pPr>
        <w:spacing w:line="360" w:lineRule="auto"/>
        <w:jc w:val="center"/>
        <w:rPr>
          <w:rStyle w:val="37"/>
          <w:rFonts w:ascii="宋体" w:hAnsi="宋体"/>
          <w:b/>
          <w:color w:val="auto"/>
          <w:spacing w:val="20"/>
          <w:sz w:val="32"/>
          <w:szCs w:val="32"/>
          <w:highlight w:val="none"/>
          <w:u w:val="single"/>
        </w:rPr>
      </w:pPr>
    </w:p>
    <w:p>
      <w:pPr>
        <w:spacing w:line="360" w:lineRule="auto"/>
        <w:jc w:val="center"/>
        <w:rPr>
          <w:rStyle w:val="37"/>
          <w:rFonts w:ascii="宋体" w:hAnsi="宋体"/>
          <w:b/>
          <w:color w:val="auto"/>
          <w:spacing w:val="20"/>
          <w:sz w:val="32"/>
          <w:szCs w:val="32"/>
          <w:highlight w:val="none"/>
        </w:rPr>
      </w:pPr>
      <w:r>
        <w:rPr>
          <w:rStyle w:val="37"/>
          <w:rFonts w:ascii="宋体" w:hAnsi="宋体"/>
          <w:b/>
          <w:color w:val="auto"/>
          <w:spacing w:val="20"/>
          <w:sz w:val="32"/>
          <w:szCs w:val="32"/>
          <w:highlight w:val="none"/>
          <w:u w:val="single"/>
        </w:rPr>
        <w:t>二〇</w:t>
      </w:r>
      <w:r>
        <w:rPr>
          <w:rStyle w:val="37"/>
          <w:rFonts w:hint="eastAsia" w:ascii="宋体" w:hAnsi="宋体"/>
          <w:b/>
          <w:color w:val="auto"/>
          <w:spacing w:val="20"/>
          <w:sz w:val="32"/>
          <w:szCs w:val="32"/>
          <w:highlight w:val="none"/>
          <w:u w:val="single"/>
          <w:lang w:eastAsia="zh-CN"/>
        </w:rPr>
        <w:t>二三</w:t>
      </w:r>
      <w:r>
        <w:rPr>
          <w:rStyle w:val="37"/>
          <w:rFonts w:ascii="宋体" w:hAnsi="宋体"/>
          <w:b/>
          <w:color w:val="auto"/>
          <w:spacing w:val="20"/>
          <w:sz w:val="32"/>
          <w:szCs w:val="32"/>
          <w:highlight w:val="none"/>
        </w:rPr>
        <w:t>年</w:t>
      </w:r>
      <w:r>
        <w:rPr>
          <w:rStyle w:val="37"/>
          <w:rFonts w:ascii="宋体" w:hAnsi="宋体"/>
          <w:b/>
          <w:color w:val="auto"/>
          <w:spacing w:val="20"/>
          <w:sz w:val="32"/>
          <w:szCs w:val="32"/>
          <w:highlight w:val="none"/>
          <w:u w:val="single"/>
        </w:rPr>
        <w:t xml:space="preserve"> </w:t>
      </w:r>
      <w:r>
        <w:rPr>
          <w:rStyle w:val="37"/>
          <w:rFonts w:hint="eastAsia" w:ascii="宋体" w:hAnsi="宋体"/>
          <w:b/>
          <w:color w:val="auto"/>
          <w:spacing w:val="20"/>
          <w:sz w:val="32"/>
          <w:szCs w:val="32"/>
          <w:highlight w:val="none"/>
          <w:u w:val="single"/>
          <w:lang w:val="en-US" w:eastAsia="zh-CN"/>
        </w:rPr>
        <w:t xml:space="preserve">  </w:t>
      </w:r>
      <w:r>
        <w:rPr>
          <w:rStyle w:val="37"/>
          <w:rFonts w:ascii="宋体" w:hAnsi="宋体"/>
          <w:b/>
          <w:color w:val="auto"/>
          <w:spacing w:val="20"/>
          <w:sz w:val="32"/>
          <w:szCs w:val="32"/>
          <w:highlight w:val="none"/>
        </w:rPr>
        <w:t>月</w:t>
      </w:r>
    </w:p>
    <w:p>
      <w:pPr>
        <w:pStyle w:val="13"/>
        <w:rPr>
          <w:color w:val="auto"/>
          <w:highlight w:val="none"/>
        </w:rPr>
      </w:pPr>
    </w:p>
    <w:p>
      <w:pPr>
        <w:rPr>
          <w:rFonts w:hint="eastAsia"/>
          <w:color w:val="auto"/>
          <w:sz w:val="36"/>
          <w:szCs w:val="20"/>
          <w:highlight w:val="none"/>
        </w:rPr>
      </w:pPr>
      <w:bookmarkStart w:id="1069" w:name="_Toc27713"/>
      <w:bookmarkStart w:id="1070" w:name="_Toc16441"/>
      <w:r>
        <w:rPr>
          <w:rFonts w:hint="eastAsia"/>
          <w:color w:val="auto"/>
          <w:sz w:val="36"/>
          <w:szCs w:val="20"/>
          <w:highlight w:val="none"/>
        </w:rPr>
        <w:br w:type="page"/>
      </w:r>
    </w:p>
    <w:p>
      <w:pPr>
        <w:jc w:val="center"/>
        <w:outlineLvl w:val="9"/>
        <w:rPr>
          <w:b/>
          <w:bCs/>
          <w:color w:val="auto"/>
          <w:sz w:val="36"/>
          <w:szCs w:val="20"/>
          <w:highlight w:val="none"/>
        </w:rPr>
      </w:pPr>
      <w:r>
        <w:rPr>
          <w:rFonts w:hint="eastAsia"/>
          <w:b/>
          <w:bCs/>
          <w:color w:val="auto"/>
          <w:sz w:val="36"/>
          <w:szCs w:val="20"/>
          <w:highlight w:val="none"/>
        </w:rPr>
        <w:t>《广州市建设工程施工合同》项目工人工资支付分账管理的补充协议</w:t>
      </w:r>
      <w:bookmarkEnd w:id="1069"/>
      <w:bookmarkEnd w:id="1070"/>
    </w:p>
    <w:p>
      <w:pPr>
        <w:rPr>
          <w:rStyle w:val="37"/>
          <w:rFonts w:ascii="仿宋" w:hAnsi="仿宋" w:eastAsia="仿宋" w:cs="Times New Roman"/>
          <w:b/>
          <w:color w:val="auto"/>
          <w:kern w:val="2"/>
          <w:sz w:val="24"/>
          <w:szCs w:val="24"/>
          <w:highlight w:val="none"/>
        </w:rPr>
      </w:pPr>
      <w:bookmarkStart w:id="1071" w:name="_Toc6456"/>
      <w:r>
        <w:rPr>
          <w:rStyle w:val="37"/>
          <w:rFonts w:ascii="仿宋" w:hAnsi="仿宋" w:eastAsia="仿宋" w:cs="Times New Roman"/>
          <w:b/>
          <w:color w:val="auto"/>
          <w:kern w:val="2"/>
          <w:sz w:val="24"/>
          <w:szCs w:val="24"/>
          <w:highlight w:val="none"/>
        </w:rPr>
        <w:t>发包人：</w:t>
      </w:r>
      <w:r>
        <w:rPr>
          <w:rStyle w:val="37"/>
          <w:rFonts w:ascii="仿宋" w:hAnsi="仿宋" w:eastAsia="仿宋" w:cs="Times New Roman"/>
          <w:b/>
          <w:color w:val="auto"/>
          <w:kern w:val="2"/>
          <w:sz w:val="24"/>
          <w:szCs w:val="24"/>
          <w:highlight w:val="none"/>
          <w:u w:val="single"/>
        </w:rPr>
        <w:t>广州市天河区建设工程项目代建局</w:t>
      </w:r>
      <w:bookmarkEnd w:id="1071"/>
    </w:p>
    <w:p>
      <w:pPr>
        <w:spacing w:line="360" w:lineRule="auto"/>
        <w:rPr>
          <w:rStyle w:val="37"/>
          <w:rFonts w:hint="default" w:ascii="仿宋" w:hAnsi="仿宋" w:eastAsia="仿宋"/>
          <w:color w:val="auto"/>
          <w:sz w:val="24"/>
          <w:szCs w:val="24"/>
          <w:highlight w:val="none"/>
          <w:lang w:val="en-US"/>
        </w:rPr>
      </w:pPr>
      <w:r>
        <w:rPr>
          <w:rStyle w:val="37"/>
          <w:rFonts w:ascii="仿宋" w:hAnsi="仿宋" w:eastAsia="仿宋"/>
          <w:b/>
          <w:color w:val="auto"/>
          <w:sz w:val="24"/>
          <w:szCs w:val="24"/>
          <w:highlight w:val="none"/>
        </w:rPr>
        <w:t>承包人：</w:t>
      </w:r>
      <w:r>
        <w:rPr>
          <w:rStyle w:val="37"/>
          <w:rFonts w:hint="eastAsia" w:ascii="仿宋" w:hAnsi="仿宋" w:eastAsia="仿宋" w:cs="Times New Roman"/>
          <w:b/>
          <w:color w:val="auto"/>
          <w:kern w:val="2"/>
          <w:sz w:val="24"/>
          <w:szCs w:val="24"/>
          <w:highlight w:val="none"/>
          <w:u w:val="single"/>
          <w:lang w:val="en-US" w:eastAsia="zh-CN" w:bidi="ar-SA"/>
        </w:rPr>
        <w:t xml:space="preserve">       </w:t>
      </w:r>
    </w:p>
    <w:p>
      <w:pPr>
        <w:spacing w:line="360" w:lineRule="auto"/>
        <w:rPr>
          <w:rStyle w:val="37"/>
          <w:rFonts w:ascii="仿宋" w:hAnsi="仿宋" w:eastAsia="仿宋"/>
          <w:color w:val="auto"/>
          <w:sz w:val="24"/>
          <w:szCs w:val="24"/>
          <w:highlight w:val="none"/>
        </w:rPr>
      </w:pPr>
    </w:p>
    <w:p>
      <w:pPr>
        <w:spacing w:line="360" w:lineRule="auto"/>
        <w:ind w:firstLine="480" w:firstLineChars="20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为保证</w:t>
      </w:r>
      <w:r>
        <w:rPr>
          <w:rStyle w:val="37"/>
          <w:rFonts w:hint="eastAsia" w:ascii="仿宋" w:hAnsi="仿宋" w:eastAsia="仿宋"/>
          <w:color w:val="auto"/>
          <w:sz w:val="24"/>
          <w:szCs w:val="24"/>
          <w:highlight w:val="none"/>
          <w:u w:val="single"/>
        </w:rPr>
        <w:t xml:space="preserve">    广州市天河外国语学校智慧城校区建设工程（建筑工程）施工总承包  </w:t>
      </w:r>
      <w:r>
        <w:rPr>
          <w:rStyle w:val="37"/>
          <w:rFonts w:hint="eastAsia" w:ascii="仿宋" w:hAnsi="仿宋" w:eastAsia="仿宋"/>
          <w:color w:val="auto"/>
          <w:sz w:val="24"/>
          <w:szCs w:val="24"/>
          <w:highlight w:val="none"/>
          <w:u w:val="single"/>
          <w:lang w:val="en-US" w:eastAsia="zh-CN"/>
        </w:rPr>
        <w:t xml:space="preserve">  </w:t>
      </w:r>
      <w:r>
        <w:rPr>
          <w:rStyle w:val="37"/>
          <w:rFonts w:hint="eastAsia" w:ascii="仿宋" w:hAnsi="仿宋" w:eastAsia="仿宋"/>
          <w:color w:val="auto"/>
          <w:sz w:val="24"/>
          <w:szCs w:val="24"/>
          <w:highlight w:val="none"/>
          <w:u w:val="single"/>
        </w:rPr>
        <w:t xml:space="preserve"> </w:t>
      </w:r>
      <w:r>
        <w:rPr>
          <w:rStyle w:val="37"/>
          <w:rFonts w:ascii="仿宋" w:hAnsi="仿宋" w:eastAsia="仿宋"/>
          <w:color w:val="auto"/>
          <w:sz w:val="24"/>
          <w:szCs w:val="24"/>
          <w:highlight w:val="none"/>
        </w:rPr>
        <w:t>项</w:t>
      </w:r>
      <w:r>
        <w:rPr>
          <w:rStyle w:val="37"/>
          <w:rFonts w:ascii="仿宋" w:hAnsi="仿宋" w:eastAsia="仿宋" w:cs="Times New Roman"/>
          <w:color w:val="auto"/>
          <w:sz w:val="24"/>
          <w:szCs w:val="24"/>
          <w:highlight w:val="none"/>
        </w:rPr>
        <w:t>目按计划建成，规范工资支付行为，预防和解决拖欠劳动者工资问题，维护劳动者合法权益，根据《中华人民共和国劳动合同法》</w:t>
      </w:r>
      <w:r>
        <w:rPr>
          <w:rStyle w:val="37"/>
          <w:rFonts w:hint="eastAsia" w:ascii="仿宋" w:hAnsi="仿宋" w:eastAsia="仿宋" w:cs="Times New Roman"/>
          <w:color w:val="auto"/>
          <w:sz w:val="24"/>
          <w:szCs w:val="24"/>
          <w:highlight w:val="none"/>
          <w:lang w:eastAsia="zh-CN"/>
        </w:rPr>
        <w:t>《</w:t>
      </w:r>
      <w:r>
        <w:rPr>
          <w:rStyle w:val="37"/>
          <w:rFonts w:hint="eastAsia" w:ascii="仿宋" w:hAnsi="仿宋" w:eastAsia="仿宋" w:cs="Times New Roman"/>
          <w:color w:val="auto"/>
          <w:sz w:val="24"/>
          <w:szCs w:val="24"/>
          <w:highlight w:val="none"/>
          <w:lang w:val="en-US" w:eastAsia="zh-CN"/>
        </w:rPr>
        <w:t>保障农民工工资支付条例</w:t>
      </w:r>
      <w:r>
        <w:rPr>
          <w:rStyle w:val="37"/>
          <w:rFonts w:hint="eastAsia" w:ascii="仿宋" w:hAnsi="仿宋" w:eastAsia="仿宋" w:cs="Times New Roman"/>
          <w:color w:val="auto"/>
          <w:sz w:val="24"/>
          <w:szCs w:val="24"/>
          <w:highlight w:val="none"/>
          <w:lang w:eastAsia="zh-CN"/>
        </w:rPr>
        <w:t>》</w:t>
      </w:r>
      <w:r>
        <w:rPr>
          <w:rStyle w:val="37"/>
          <w:rFonts w:hint="default" w:ascii="仿宋" w:hAnsi="仿宋" w:eastAsia="仿宋" w:cs="Times New Roman"/>
          <w:color w:val="auto"/>
          <w:sz w:val="24"/>
          <w:szCs w:val="24"/>
          <w:highlight w:val="none"/>
          <w:lang w:eastAsia="zh-CN"/>
        </w:rPr>
        <w:t>《</w:t>
      </w:r>
      <w:r>
        <w:rPr>
          <w:rStyle w:val="37"/>
          <w:rFonts w:hint="eastAsia" w:ascii="仿宋" w:hAnsi="仿宋" w:eastAsia="仿宋" w:cs="Times New Roman"/>
          <w:i w:val="0"/>
          <w:iCs w:val="0"/>
          <w:caps w:val="0"/>
          <w:color w:val="auto"/>
          <w:spacing w:val="0"/>
          <w:sz w:val="24"/>
          <w:szCs w:val="24"/>
          <w:highlight w:val="none"/>
          <w:shd w:val="clear" w:fill="FFFFFF"/>
        </w:rPr>
        <w:t>工程建设领域农民工工资专用账户管理暂行办法</w:t>
      </w:r>
      <w:r>
        <w:rPr>
          <w:rStyle w:val="37"/>
          <w:rFonts w:hint="default" w:ascii="仿宋" w:hAnsi="仿宋" w:eastAsia="仿宋" w:cs="Times New Roman"/>
          <w:color w:val="auto"/>
          <w:sz w:val="24"/>
          <w:szCs w:val="24"/>
          <w:highlight w:val="none"/>
          <w:lang w:eastAsia="zh-CN"/>
        </w:rPr>
        <w:t>》</w:t>
      </w:r>
      <w:r>
        <w:rPr>
          <w:rStyle w:val="37"/>
          <w:rFonts w:ascii="仿宋" w:hAnsi="仿宋" w:eastAsia="仿宋" w:cs="Times New Roman"/>
          <w:color w:val="auto"/>
          <w:sz w:val="24"/>
          <w:szCs w:val="24"/>
          <w:highlight w:val="none"/>
        </w:rPr>
        <w:t>《广东省建设领域工人工资支付</w:t>
      </w:r>
      <w:r>
        <w:rPr>
          <w:rStyle w:val="37"/>
          <w:rFonts w:hint="default" w:ascii="仿宋" w:hAnsi="仿宋" w:eastAsia="仿宋" w:cs="Times New Roman"/>
          <w:color w:val="auto"/>
          <w:sz w:val="24"/>
          <w:szCs w:val="24"/>
          <w:highlight w:val="none"/>
        </w:rPr>
        <w:t>专用账户管理办法</w:t>
      </w:r>
      <w:r>
        <w:rPr>
          <w:rStyle w:val="37"/>
          <w:rFonts w:ascii="仿宋" w:hAnsi="仿宋" w:eastAsia="仿宋" w:cs="Times New Roman"/>
          <w:color w:val="auto"/>
          <w:sz w:val="24"/>
          <w:szCs w:val="24"/>
          <w:highlight w:val="none"/>
        </w:rPr>
        <w:t>》</w:t>
      </w:r>
      <w:r>
        <w:rPr>
          <w:rStyle w:val="37"/>
          <w:rFonts w:hint="eastAsia" w:ascii="仿宋" w:hAnsi="仿宋" w:eastAsia="仿宋" w:cs="Times New Roman"/>
          <w:color w:val="auto"/>
          <w:sz w:val="24"/>
          <w:szCs w:val="24"/>
          <w:highlight w:val="none"/>
        </w:rPr>
        <w:t>（粤人社规〔2018〕14号）</w:t>
      </w:r>
      <w:r>
        <w:rPr>
          <w:rStyle w:val="37"/>
          <w:rFonts w:ascii="仿宋" w:hAnsi="仿宋" w:eastAsia="仿宋" w:cs="Times New Roman"/>
          <w:color w:val="auto"/>
          <w:sz w:val="24"/>
          <w:szCs w:val="24"/>
          <w:highlight w:val="none"/>
        </w:rPr>
        <w:t>《广州市建设领域工人工资支付分账管理实施细则》</w:t>
      </w:r>
      <w:r>
        <w:rPr>
          <w:rStyle w:val="37"/>
          <w:rFonts w:hint="default" w:ascii="仿宋" w:hAnsi="仿宋" w:eastAsia="仿宋" w:cs="Times New Roman"/>
          <w:color w:val="auto"/>
          <w:sz w:val="24"/>
          <w:szCs w:val="24"/>
          <w:highlight w:val="none"/>
        </w:rPr>
        <w:t>（穗</w:t>
      </w:r>
      <w:r>
        <w:rPr>
          <w:rStyle w:val="37"/>
          <w:rFonts w:hint="eastAsia" w:ascii="仿宋" w:hAnsi="仿宋" w:eastAsia="仿宋"/>
          <w:color w:val="auto"/>
          <w:sz w:val="24"/>
          <w:szCs w:val="24"/>
          <w:highlight w:val="none"/>
        </w:rPr>
        <w:t>建规字〔2020〕37号）</w:t>
      </w:r>
      <w:r>
        <w:rPr>
          <w:rStyle w:val="37"/>
          <w:rFonts w:ascii="仿宋" w:hAnsi="仿宋" w:eastAsia="仿宋"/>
          <w:color w:val="auto"/>
          <w:sz w:val="24"/>
          <w:szCs w:val="24"/>
          <w:highlight w:val="none"/>
        </w:rPr>
        <w:t>等有关法律法规的规定，经发包人、承包人双方友好协商，订立如下协议。</w:t>
      </w:r>
    </w:p>
    <w:p>
      <w:pPr>
        <w:spacing w:line="360" w:lineRule="auto"/>
        <w:ind w:firstLine="482" w:firstLineChars="200"/>
        <w:rPr>
          <w:rStyle w:val="37"/>
          <w:rFonts w:ascii="仿宋" w:hAnsi="仿宋" w:eastAsia="仿宋"/>
          <w:b/>
          <w:color w:val="auto"/>
          <w:sz w:val="24"/>
          <w:szCs w:val="24"/>
          <w:highlight w:val="none"/>
        </w:rPr>
      </w:pPr>
      <w:r>
        <w:rPr>
          <w:rStyle w:val="37"/>
          <w:rFonts w:ascii="仿宋" w:hAnsi="仿宋" w:eastAsia="仿宋"/>
          <w:b/>
          <w:color w:val="auto"/>
          <w:sz w:val="24"/>
          <w:szCs w:val="24"/>
          <w:highlight w:val="none"/>
        </w:rPr>
        <w:t>1.发包人义务和权利</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1.1遵守本协议约定按时足额将工人工资拨付到承包人依法开立并上报的工人工资专用账户。</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1.2有权对承包人工人工资专户的资金使用情况进行审查，有权监督本工程工人工资的支付情况，并协调工人工资发放中存在的问题。</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1.3当承包人出现挪用项目工人工资、拖欠工人工资等情况，发包人有权采取暂缓或停止工程进度款拨付，并限期承包人予以妥善解决。</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1.4在承包人要求发包人出具其履行完合同约定的全部内容并结清应付工人工资且无工人工资拖欠投诉及信访的确认意见后，经审查属实的，发包人有义务为承包人出具上述确认意见。</w:t>
      </w:r>
    </w:p>
    <w:p>
      <w:pPr>
        <w:spacing w:line="360" w:lineRule="auto"/>
        <w:ind w:firstLine="482" w:firstLineChars="200"/>
        <w:rPr>
          <w:rStyle w:val="37"/>
          <w:rFonts w:ascii="仿宋" w:hAnsi="仿宋" w:eastAsia="仿宋"/>
          <w:b/>
          <w:color w:val="auto"/>
          <w:sz w:val="24"/>
          <w:szCs w:val="24"/>
          <w:highlight w:val="none"/>
        </w:rPr>
      </w:pPr>
      <w:r>
        <w:rPr>
          <w:rStyle w:val="37"/>
          <w:rFonts w:ascii="仿宋" w:hAnsi="仿宋" w:eastAsia="仿宋"/>
          <w:b/>
          <w:color w:val="auto"/>
          <w:sz w:val="24"/>
          <w:szCs w:val="24"/>
          <w:highlight w:val="none"/>
        </w:rPr>
        <w:t>2．承包人义务和权利</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2.1承包人在签订本协议后</w:t>
      </w:r>
      <w:r>
        <w:rPr>
          <w:rStyle w:val="37"/>
          <w:rFonts w:ascii="仿宋" w:hAnsi="仿宋" w:eastAsia="仿宋"/>
          <w:color w:val="auto"/>
          <w:sz w:val="24"/>
          <w:szCs w:val="24"/>
          <w:highlight w:val="none"/>
          <w:u w:val="single"/>
        </w:rPr>
        <w:t>7</w:t>
      </w:r>
      <w:r>
        <w:rPr>
          <w:rStyle w:val="37"/>
          <w:rFonts w:ascii="仿宋" w:hAnsi="仿宋" w:eastAsia="仿宋"/>
          <w:color w:val="auto"/>
          <w:sz w:val="24"/>
          <w:szCs w:val="24"/>
          <w:highlight w:val="none"/>
        </w:rPr>
        <w:t>个工作日内在广州市符合规定的商业银行开立工人工资支付专用账户，并须自开立工人工资支付专用账户之日起3日内书面将工人工资支付专用账户信息和相关资料报备给发包人。</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2.2承包人应当在用工之日起15日内为每个工人办理工人工资个人账户，并在用工之日起1个月内与建筑工人签订书面劳动合同。所签订劳动合同中应当明确约定工资计算方式、支付周期和支付日期，并按约定支付工人工资。约定的工人工资不得低于本市最低工资标准。</w:t>
      </w:r>
    </w:p>
    <w:p>
      <w:pPr>
        <w:spacing w:line="360" w:lineRule="auto"/>
        <w:ind w:firstLine="480" w:firstLineChars="200"/>
        <w:jc w:val="left"/>
        <w:rPr>
          <w:rStyle w:val="37"/>
          <w:rFonts w:ascii="仿宋" w:hAnsi="仿宋" w:eastAsia="仿宋"/>
          <w:b/>
          <w:color w:val="auto"/>
          <w:sz w:val="24"/>
          <w:szCs w:val="24"/>
          <w:highlight w:val="none"/>
          <w:u w:val="single"/>
        </w:rPr>
      </w:pPr>
      <w:r>
        <w:rPr>
          <w:rStyle w:val="37"/>
          <w:rFonts w:ascii="仿宋" w:hAnsi="仿宋" w:eastAsia="仿宋"/>
          <w:color w:val="auto"/>
          <w:sz w:val="24"/>
          <w:szCs w:val="24"/>
          <w:highlight w:val="none"/>
        </w:rPr>
        <w:t>2.3承包人依法将部分工程分包的，应当参照本协议第3条内容，与分包单位签订分包合同，合同需明确约定分包单位工人工资支付专用账户、工人工资比例以及付款方式。</w:t>
      </w:r>
      <w:r>
        <w:rPr>
          <w:rStyle w:val="37"/>
          <w:rFonts w:ascii="仿宋" w:hAnsi="仿宋" w:eastAsia="仿宋"/>
          <w:color w:val="auto"/>
          <w:kern w:val="0"/>
          <w:sz w:val="24"/>
          <w:szCs w:val="24"/>
          <w:highlight w:val="none"/>
        </w:rPr>
        <w:t>承包人应按照分包合同的约定,将工人工资通过工人工资专用账户划转至分包单位工人工资专用账户，由分包单位支付给对应的工人。</w:t>
      </w:r>
      <w:r>
        <w:rPr>
          <w:rStyle w:val="37"/>
          <w:rFonts w:ascii="仿宋" w:hAnsi="仿宋" w:eastAsia="仿宋"/>
          <w:color w:val="auto"/>
          <w:sz w:val="24"/>
          <w:szCs w:val="24"/>
          <w:highlight w:val="none"/>
        </w:rPr>
        <w:t xml:space="preserve">承包人对承包的建设项目工人工资支付负总责，并对分包单位支付工人工资情况进行监督，督促其依法支付工人工资。承包人应自与分包单位签订分包合同之日起 </w:t>
      </w:r>
      <w:r>
        <w:rPr>
          <w:rStyle w:val="37"/>
          <w:rFonts w:ascii="仿宋" w:hAnsi="仿宋" w:eastAsia="仿宋"/>
          <w:color w:val="auto"/>
          <w:sz w:val="24"/>
          <w:szCs w:val="24"/>
          <w:highlight w:val="none"/>
          <w:u w:val="single"/>
        </w:rPr>
        <w:t>7</w:t>
      </w:r>
      <w:r>
        <w:rPr>
          <w:rStyle w:val="37"/>
          <w:rFonts w:ascii="仿宋" w:hAnsi="仿宋" w:eastAsia="仿宋"/>
          <w:color w:val="auto"/>
          <w:sz w:val="24"/>
          <w:szCs w:val="24"/>
          <w:highlight w:val="none"/>
        </w:rPr>
        <w:t xml:space="preserve"> 日内将分包合同及相关资料报发包人备案。</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2.4承包人应当保证工资支付专用账户内资金足以支付工人工资，工资支付专用账户资金少于应支付工人工资的，承包人应当及时补足。</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2.5承包人应当按照“及时支付、按时结算”的原则，按合同约定的支付日期通过银行工人工资支付专用账户将工人工资直接支付到分包单位工人工资专用帐户或工人个人银行工资账户，并按月将工人工资支付明细表报发包人备案。</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2.6承包人应当建立工人考勤、工资结算和支付等管理台账，真实、准确记录工人名册、劳动合同、工程进度、工时台账、劳务承包款和工人工资支付时间、支付对象、支付金额等信息，存档备查，并将相关信息按月报送建设行业主管部门。承包人应将工人考勤、工资结算和支付等资料保存至工程竣工且结清全部工资后两年以上备查。</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2.7承包人应当在施工现场公示栏公示工人考勤明细表，公示期不少于5天，工人考勤和工资结算明细表须经工人签名确认。</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2.8承包人发现发包人未按照约定支付工人工资款项到工人工资支付专用账户的，有权向人力资源社会保障部门和建设项目行政主管审批部门反映。</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2.9承包人履行完合同约定的全部内容并结清应付工人工资且无工人工资拖欠投诉及信访等异议后，有权向发包人申请出具上述确认意见，办理工人工资支付专用账户撤销手续。</w:t>
      </w:r>
    </w:p>
    <w:p>
      <w:pPr>
        <w:spacing w:line="360" w:lineRule="auto"/>
        <w:ind w:firstLine="482" w:firstLineChars="200"/>
        <w:rPr>
          <w:rStyle w:val="37"/>
          <w:rFonts w:ascii="仿宋" w:hAnsi="仿宋" w:eastAsia="仿宋"/>
          <w:b/>
          <w:color w:val="auto"/>
          <w:sz w:val="24"/>
          <w:szCs w:val="24"/>
          <w:highlight w:val="none"/>
        </w:rPr>
      </w:pPr>
      <w:r>
        <w:rPr>
          <w:rStyle w:val="37"/>
          <w:rFonts w:ascii="仿宋" w:hAnsi="仿宋" w:eastAsia="仿宋"/>
          <w:b/>
          <w:color w:val="auto"/>
          <w:sz w:val="24"/>
          <w:szCs w:val="24"/>
          <w:highlight w:val="none"/>
        </w:rPr>
        <w:t>3.工人工资支付比例和方式</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3.1本工程工人工资比例按如下第 （1） 种方式计算：</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（1）本工程为依法必须进行招标的工程项目，工人进度款中的工人工资比例以工程施工招标的《中标通知书》中单列的人工费金额除以中标金额计算，计算公式</w:t>
      </w:r>
      <w:r>
        <w:rPr>
          <w:color w:val="auto"/>
          <w:highlight w:val="none"/>
        </w:rPr>
        <w:t>为:</w:t>
      </w:r>
      <w:r>
        <w:rPr>
          <w:rStyle w:val="37"/>
          <w:rFonts w:ascii="仿宋" w:hAnsi="仿宋" w:eastAsia="仿宋"/>
          <w:color w:val="auto"/>
          <w:sz w:val="24"/>
          <w:szCs w:val="24"/>
          <w:highlight w:val="none"/>
          <w:u w:val="single"/>
        </w:rPr>
        <w:t>中标通知书人工费额</w:t>
      </w:r>
      <w:r>
        <w:rPr>
          <w:rStyle w:val="37"/>
          <w:rFonts w:hint="eastAsia" w:ascii="仿宋" w:hAnsi="仿宋" w:eastAsia="仿宋"/>
          <w:color w:val="auto"/>
          <w:sz w:val="24"/>
          <w:szCs w:val="24"/>
          <w:highlight w:val="none"/>
          <w:u w:val="single"/>
          <w:lang w:val="en-US" w:eastAsia="zh-CN"/>
        </w:rPr>
        <w:t xml:space="preserve">    </w:t>
      </w:r>
      <w:r>
        <w:rPr>
          <w:rStyle w:val="37"/>
          <w:rFonts w:ascii="仿宋" w:hAnsi="仿宋" w:eastAsia="仿宋"/>
          <w:color w:val="auto"/>
          <w:sz w:val="24"/>
          <w:szCs w:val="24"/>
          <w:highlight w:val="none"/>
          <w:u w:val="single"/>
        </w:rPr>
        <w:t>/中标金额</w:t>
      </w:r>
      <w:r>
        <w:rPr>
          <w:rStyle w:val="37"/>
          <w:rFonts w:hint="eastAsia" w:ascii="仿宋" w:hAnsi="仿宋" w:eastAsia="仿宋" w:cs="仿宋"/>
          <w:color w:val="auto"/>
          <w:sz w:val="24"/>
          <w:szCs w:val="24"/>
          <w:highlight w:val="none"/>
          <w:u w:val="single"/>
          <w:lang w:val="en-US" w:eastAsia="zh-CN"/>
        </w:rPr>
        <w:t xml:space="preserve">   </w:t>
      </w:r>
      <w:r>
        <w:rPr>
          <w:rStyle w:val="37"/>
          <w:rFonts w:ascii="仿宋" w:hAnsi="仿宋" w:eastAsia="仿宋"/>
          <w:color w:val="auto"/>
          <w:sz w:val="24"/>
          <w:szCs w:val="24"/>
          <w:highlight w:val="none"/>
          <w:u w:val="single"/>
        </w:rPr>
        <w:t>=</w:t>
      </w:r>
      <w:r>
        <w:rPr>
          <w:rStyle w:val="37"/>
          <w:rFonts w:hint="eastAsia" w:ascii="仿宋" w:hAnsi="仿宋" w:eastAsia="仿宋"/>
          <w:color w:val="auto"/>
          <w:sz w:val="24"/>
          <w:szCs w:val="24"/>
          <w:highlight w:val="none"/>
          <w:u w:val="single"/>
          <w:lang w:val="en-US" w:eastAsia="zh-CN"/>
        </w:rPr>
        <w:t xml:space="preserve">   </w:t>
      </w:r>
      <w:r>
        <w:rPr>
          <w:rStyle w:val="37"/>
          <w:rFonts w:hint="eastAsia" w:ascii="仿宋" w:hAnsi="仿宋" w:eastAsia="仿宋"/>
          <w:color w:val="auto"/>
          <w:sz w:val="24"/>
          <w:szCs w:val="24"/>
          <w:highlight w:val="none"/>
          <w:u w:val="single"/>
        </w:rPr>
        <w:t xml:space="preserve"> </w:t>
      </w:r>
      <w:r>
        <w:rPr>
          <w:rStyle w:val="37"/>
          <w:rFonts w:ascii="仿宋" w:hAnsi="仿宋" w:eastAsia="仿宋"/>
          <w:color w:val="auto"/>
          <w:sz w:val="24"/>
          <w:szCs w:val="24"/>
          <w:highlight w:val="none"/>
          <w:u w:val="single"/>
        </w:rPr>
        <w:t>%</w:t>
      </w:r>
      <w:r>
        <w:rPr>
          <w:rStyle w:val="37"/>
          <w:rFonts w:ascii="仿宋" w:hAnsi="仿宋" w:eastAsia="仿宋"/>
          <w:color w:val="auto"/>
          <w:sz w:val="24"/>
          <w:szCs w:val="24"/>
          <w:highlight w:val="none"/>
        </w:rPr>
        <w:t>。如为设计施工总承包模式（EPC）招标的工程项目，工人进度款中的工人工资比例以经财政部门审定的施工图预算中的人工费金额除以经财政部门审定的施工图预算金额计算，计算公式为：</w:t>
      </w:r>
      <w:r>
        <w:rPr>
          <w:rStyle w:val="37"/>
          <w:rFonts w:ascii="仿宋" w:hAnsi="仿宋" w:eastAsia="仿宋"/>
          <w:color w:val="auto"/>
          <w:sz w:val="24"/>
          <w:szCs w:val="24"/>
          <w:highlight w:val="none"/>
          <w:u w:val="single"/>
        </w:rPr>
        <w:t>经财政部门审定的施工图预算人工费额/经财政部门的审定施工图预算=**/**=**%</w:t>
      </w:r>
      <w:r>
        <w:rPr>
          <w:rStyle w:val="37"/>
          <w:rFonts w:ascii="仿宋" w:hAnsi="仿宋" w:eastAsia="仿宋"/>
          <w:color w:val="auto"/>
          <w:sz w:val="24"/>
          <w:szCs w:val="24"/>
          <w:highlight w:val="none"/>
        </w:rPr>
        <w:t>。</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 xml:space="preserve"> (2)本工程为其他工程项目，依照其他工程项目工程进度款中的工资款参照比例为15%-20%的规定，本工程项目工程进度款中的工资款比例为</w:t>
      </w:r>
      <w:r>
        <w:rPr>
          <w:rStyle w:val="37"/>
          <w:rFonts w:ascii="仿宋" w:hAnsi="仿宋" w:eastAsia="仿宋"/>
          <w:color w:val="auto"/>
          <w:sz w:val="24"/>
          <w:szCs w:val="24"/>
          <w:highlight w:val="none"/>
          <w:u w:val="single"/>
        </w:rPr>
        <w:t>**%</w:t>
      </w:r>
      <w:r>
        <w:rPr>
          <w:rStyle w:val="37"/>
          <w:rFonts w:ascii="仿宋" w:hAnsi="仿宋" w:eastAsia="仿宋"/>
          <w:color w:val="auto"/>
          <w:sz w:val="24"/>
          <w:szCs w:val="24"/>
          <w:highlight w:val="none"/>
        </w:rPr>
        <w:t>。</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3.2工程预付款足额支付承包人，暂不实行工人工资款项的划扣，但须在第一期工程进度款中补拨入预付款对应的人工工资到工人工资专用账户，补拨款项从该期进度款中直接扣除。从工程开工之日起至工程结算完毕之日止，发包人将每次工程进度款、结算款的</w:t>
      </w:r>
      <w:r>
        <w:rPr>
          <w:rStyle w:val="37"/>
          <w:rFonts w:hint="eastAsia" w:ascii="仿宋" w:hAnsi="仿宋" w:eastAsia="仿宋"/>
          <w:color w:val="auto"/>
          <w:sz w:val="24"/>
          <w:szCs w:val="24"/>
          <w:highlight w:val="none"/>
        </w:rPr>
        <w:t xml:space="preserve">    </w:t>
      </w:r>
      <w:r>
        <w:rPr>
          <w:rStyle w:val="37"/>
          <w:rFonts w:ascii="仿宋" w:hAnsi="仿宋" w:eastAsia="仿宋"/>
          <w:color w:val="auto"/>
          <w:sz w:val="24"/>
          <w:szCs w:val="24"/>
          <w:highlight w:val="none"/>
          <w:u w:val="single"/>
        </w:rPr>
        <w:t>%</w:t>
      </w:r>
      <w:r>
        <w:rPr>
          <w:rStyle w:val="37"/>
          <w:rFonts w:ascii="仿宋" w:hAnsi="仿宋" w:eastAsia="仿宋"/>
          <w:color w:val="auto"/>
          <w:sz w:val="24"/>
          <w:szCs w:val="24"/>
          <w:highlight w:val="none"/>
        </w:rPr>
        <w:t>拨入承包人的工人工资支付专用账户。承包人收到工人工资款项后通过开立的工人工资账户同步支付工资给工人，工程进度款中的承包人工人工资的收入和支出均纳入其开立的工人工资账户中核算。</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3.3 因工程变更引起工程量增加，该部分进度款的计算方法遵循原合同约定，结算款以天河区财政管理部门审核为准。该部分进度款及结算款中工人工资的比例按照原合同比例</w:t>
      </w:r>
      <w:r>
        <w:rPr>
          <w:rStyle w:val="37"/>
          <w:rFonts w:ascii="仿宋" w:hAnsi="仿宋" w:eastAsia="仿宋"/>
          <w:color w:val="auto"/>
          <w:sz w:val="24"/>
          <w:szCs w:val="24"/>
          <w:highlight w:val="none"/>
          <w:u w:val="single"/>
        </w:rPr>
        <w:t xml:space="preserve"> </w:t>
      </w:r>
      <w:r>
        <w:rPr>
          <w:rStyle w:val="37"/>
          <w:rFonts w:hint="eastAsia" w:ascii="仿宋" w:hAnsi="仿宋" w:eastAsia="仿宋"/>
          <w:color w:val="auto"/>
          <w:sz w:val="24"/>
          <w:szCs w:val="24"/>
          <w:highlight w:val="none"/>
          <w:u w:val="single"/>
          <w:lang w:val="en-US" w:eastAsia="zh-CN"/>
        </w:rPr>
        <w:t xml:space="preserve">    </w:t>
      </w:r>
      <w:r>
        <w:rPr>
          <w:rStyle w:val="37"/>
          <w:rFonts w:ascii="仿宋" w:hAnsi="仿宋" w:eastAsia="仿宋"/>
          <w:color w:val="auto"/>
          <w:sz w:val="24"/>
          <w:szCs w:val="24"/>
          <w:highlight w:val="none"/>
          <w:u w:val="single"/>
        </w:rPr>
        <w:t xml:space="preserve"> </w:t>
      </w:r>
      <w:r>
        <w:rPr>
          <w:rStyle w:val="37"/>
          <w:rFonts w:ascii="仿宋" w:hAnsi="仿宋" w:eastAsia="仿宋"/>
          <w:color w:val="auto"/>
          <w:sz w:val="24"/>
          <w:szCs w:val="24"/>
          <w:highlight w:val="none"/>
        </w:rPr>
        <w:t>%计取。该部分工程款项中工人工资的拨付方式按照原合同中因工程变更引起工程量增加的工程款项拨付方式同步拨付到工人工资专用账户中。</w:t>
      </w:r>
    </w:p>
    <w:p>
      <w:pPr>
        <w:spacing w:line="360" w:lineRule="auto"/>
        <w:ind w:firstLine="482" w:firstLineChars="200"/>
        <w:rPr>
          <w:rStyle w:val="37"/>
          <w:rFonts w:ascii="仿宋" w:hAnsi="仿宋" w:eastAsia="仿宋"/>
          <w:b/>
          <w:color w:val="auto"/>
          <w:sz w:val="24"/>
          <w:szCs w:val="24"/>
          <w:highlight w:val="none"/>
        </w:rPr>
      </w:pPr>
      <w:r>
        <w:rPr>
          <w:rStyle w:val="37"/>
          <w:rFonts w:ascii="仿宋" w:hAnsi="仿宋" w:eastAsia="仿宋"/>
          <w:b/>
          <w:color w:val="auto"/>
          <w:sz w:val="24"/>
          <w:szCs w:val="24"/>
          <w:highlight w:val="none"/>
        </w:rPr>
        <w:t xml:space="preserve">4.工程工人工资的使用 </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承包人工人工资专用帐户中的资金除发放工人工资外，不得用于其他用途，不得划回承包人总部账户，不得提取现金，不得开通网上银行等电子支付渠道。禁止将工人工资发放给不具备用工主体资格的组织和个人。工人工资支付专用账户的开立、变更、撤销和管理应按照中国人民银行相关规定执行。</w:t>
      </w:r>
    </w:p>
    <w:p>
      <w:pPr>
        <w:spacing w:line="360" w:lineRule="auto"/>
        <w:ind w:firstLine="482" w:firstLineChars="200"/>
        <w:rPr>
          <w:rStyle w:val="37"/>
          <w:rFonts w:ascii="仿宋" w:hAnsi="仿宋" w:eastAsia="仿宋"/>
          <w:b/>
          <w:color w:val="auto"/>
          <w:sz w:val="24"/>
          <w:szCs w:val="24"/>
          <w:highlight w:val="none"/>
        </w:rPr>
      </w:pPr>
      <w:r>
        <w:rPr>
          <w:rStyle w:val="37"/>
          <w:rFonts w:ascii="仿宋" w:hAnsi="仿宋" w:eastAsia="仿宋"/>
          <w:b/>
          <w:color w:val="auto"/>
          <w:sz w:val="24"/>
          <w:szCs w:val="24"/>
          <w:highlight w:val="none"/>
        </w:rPr>
        <w:t>5.工程款帐户核对</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实时对帐：发包人、承包人如需即时了解专用帐户的有关信息，可向工人工资专用账户设立的银行方进行查询。</w:t>
      </w:r>
    </w:p>
    <w:p>
      <w:pPr>
        <w:spacing w:line="360" w:lineRule="auto"/>
        <w:ind w:firstLine="482" w:firstLineChars="200"/>
        <w:rPr>
          <w:rStyle w:val="37"/>
          <w:rFonts w:ascii="仿宋" w:hAnsi="仿宋" w:eastAsia="仿宋"/>
          <w:b/>
          <w:color w:val="auto"/>
          <w:sz w:val="24"/>
          <w:szCs w:val="24"/>
          <w:highlight w:val="none"/>
        </w:rPr>
      </w:pPr>
      <w:r>
        <w:rPr>
          <w:rStyle w:val="37"/>
          <w:rFonts w:ascii="仿宋" w:hAnsi="仿宋" w:eastAsia="仿宋"/>
          <w:b/>
          <w:color w:val="auto"/>
          <w:sz w:val="24"/>
          <w:szCs w:val="24"/>
          <w:highlight w:val="none"/>
        </w:rPr>
        <w:t xml:space="preserve">6.违约责任  </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6.1发包人的违约责任</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发包人及其工作人员违反本协议第1条和第3条规定，承包人可以向人力资源社会保障部门和建设项目行政主管审批部门反映。</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6.2承包人的违约责任</w:t>
      </w:r>
    </w:p>
    <w:p>
      <w:pPr>
        <w:spacing w:line="360" w:lineRule="auto"/>
        <w:ind w:firstLine="480" w:firstLineChars="200"/>
        <w:jc w:val="left"/>
        <w:rPr>
          <w:rStyle w:val="37"/>
          <w:rFonts w:ascii="仿宋" w:hAnsi="仿宋" w:eastAsia="仿宋"/>
          <w:b/>
          <w:color w:val="auto"/>
          <w:sz w:val="24"/>
          <w:szCs w:val="24"/>
          <w:highlight w:val="none"/>
          <w:u w:val="single"/>
        </w:rPr>
      </w:pPr>
      <w:r>
        <w:rPr>
          <w:rStyle w:val="37"/>
          <w:rFonts w:ascii="仿宋" w:hAnsi="仿宋" w:eastAsia="仿宋"/>
          <w:color w:val="auto"/>
          <w:sz w:val="24"/>
          <w:szCs w:val="24"/>
          <w:highlight w:val="none"/>
        </w:rPr>
        <w:t>6.2.1由于承包人或其管理的分包单位拖欠工人工资，致使发包人被投诉或起诉并被判令先行垫付工人工资的，发包人有权追究承包人和其它相关责任单位的违约责任，并在工程结算时双倍扣回发包人先行垫付的工人工资金额作为违约金。</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6.2.2承包人不按合同及有关规定按时、足额支付分包单位合同价款及工人工资而被投诉或上访属实的，发包人将严格按照合同约定追究其违约责任；如因此致使工人集体上访、集聚围阻而造成社会不良影响的，发包人有权终止与承包人的合同，并上报省、市主管部门建议取消其参加广州地区省、市重大项目的投标资格，并由发包人予以公告。如属恶意煽动并造成社会不良影响的，发包人将提请司法部门追究其法律责任。</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6.2.3其余未尽事宜按</w:t>
      </w:r>
      <w:r>
        <w:rPr>
          <w:rStyle w:val="37"/>
          <w:rFonts w:hint="eastAsia" w:ascii="仿宋" w:hAnsi="仿宋" w:eastAsia="仿宋"/>
          <w:color w:val="auto"/>
          <w:sz w:val="24"/>
          <w:szCs w:val="24"/>
          <w:highlight w:val="none"/>
          <w:lang w:eastAsia="zh-CN"/>
        </w:rPr>
        <w:t>《</w:t>
      </w:r>
      <w:r>
        <w:rPr>
          <w:rStyle w:val="37"/>
          <w:rFonts w:hint="eastAsia" w:ascii="仿宋" w:hAnsi="仿宋" w:eastAsia="仿宋"/>
          <w:color w:val="auto"/>
          <w:sz w:val="24"/>
          <w:szCs w:val="24"/>
          <w:highlight w:val="none"/>
          <w:lang w:val="en-US" w:eastAsia="zh-CN"/>
        </w:rPr>
        <w:t>广州市建设工程施工合同</w:t>
      </w:r>
      <w:r>
        <w:rPr>
          <w:rStyle w:val="37"/>
          <w:rFonts w:hint="eastAsia" w:ascii="仿宋" w:hAnsi="仿宋" w:eastAsia="仿宋"/>
          <w:color w:val="auto"/>
          <w:sz w:val="24"/>
          <w:szCs w:val="24"/>
          <w:highlight w:val="none"/>
          <w:lang w:eastAsia="zh-CN"/>
        </w:rPr>
        <w:t>》</w:t>
      </w:r>
      <w:r>
        <w:rPr>
          <w:rStyle w:val="37"/>
          <w:rFonts w:hint="eastAsia" w:ascii="仿宋" w:hAnsi="仿宋" w:eastAsia="仿宋"/>
          <w:color w:val="auto"/>
          <w:sz w:val="24"/>
          <w:szCs w:val="24"/>
          <w:highlight w:val="none"/>
          <w:lang w:val="en-US" w:eastAsia="zh-CN"/>
        </w:rPr>
        <w:t>第</w:t>
      </w:r>
      <w:r>
        <w:rPr>
          <w:rStyle w:val="37"/>
          <w:rFonts w:ascii="仿宋" w:hAnsi="仿宋" w:eastAsia="仿宋"/>
          <w:color w:val="auto"/>
          <w:sz w:val="24"/>
          <w:szCs w:val="24"/>
          <w:highlight w:val="none"/>
        </w:rPr>
        <w:t>9</w:t>
      </w:r>
      <w:r>
        <w:rPr>
          <w:rStyle w:val="37"/>
          <w:rFonts w:hint="eastAsia" w:ascii="仿宋" w:hAnsi="仿宋" w:eastAsia="仿宋"/>
          <w:color w:val="auto"/>
          <w:sz w:val="24"/>
          <w:szCs w:val="24"/>
          <w:highlight w:val="none"/>
        </w:rPr>
        <w:t>0.13</w:t>
      </w:r>
      <w:r>
        <w:rPr>
          <w:rStyle w:val="37"/>
          <w:rFonts w:hint="eastAsia" w:ascii="仿宋" w:hAnsi="仿宋" w:eastAsia="仿宋"/>
          <w:color w:val="auto"/>
          <w:sz w:val="24"/>
          <w:szCs w:val="24"/>
          <w:highlight w:val="none"/>
          <w:lang w:val="en-US" w:eastAsia="zh-CN"/>
        </w:rPr>
        <w:t>款</w:t>
      </w:r>
      <w:r>
        <w:rPr>
          <w:rStyle w:val="37"/>
          <w:rFonts w:ascii="仿宋" w:hAnsi="仿宋" w:eastAsia="仿宋"/>
          <w:color w:val="auto"/>
          <w:sz w:val="24"/>
          <w:szCs w:val="24"/>
          <w:highlight w:val="none"/>
        </w:rPr>
        <w:t>“</w:t>
      </w:r>
      <w:r>
        <w:rPr>
          <w:rStyle w:val="37"/>
          <w:rFonts w:hint="eastAsia" w:ascii="仿宋" w:hAnsi="仿宋" w:eastAsia="仿宋"/>
          <w:color w:val="auto"/>
          <w:sz w:val="24"/>
          <w:szCs w:val="24"/>
          <w:highlight w:val="none"/>
          <w:lang w:val="en-US" w:eastAsia="zh-CN"/>
        </w:rPr>
        <w:t>农民工</w:t>
      </w:r>
      <w:r>
        <w:rPr>
          <w:rStyle w:val="37"/>
          <w:rFonts w:ascii="仿宋" w:hAnsi="仿宋" w:eastAsia="仿宋"/>
          <w:color w:val="auto"/>
          <w:sz w:val="24"/>
          <w:szCs w:val="24"/>
          <w:highlight w:val="none"/>
        </w:rPr>
        <w:t>工资支付方面的违约责任”对承包人进行约束。</w:t>
      </w:r>
    </w:p>
    <w:p>
      <w:pPr>
        <w:spacing w:line="360" w:lineRule="auto"/>
        <w:ind w:firstLine="482" w:firstLineChars="200"/>
        <w:rPr>
          <w:rStyle w:val="37"/>
          <w:rFonts w:ascii="仿宋" w:hAnsi="仿宋" w:eastAsia="仿宋"/>
          <w:b/>
          <w:color w:val="auto"/>
          <w:sz w:val="24"/>
          <w:szCs w:val="24"/>
          <w:highlight w:val="none"/>
        </w:rPr>
      </w:pPr>
      <w:r>
        <w:rPr>
          <w:rStyle w:val="37"/>
          <w:rFonts w:ascii="仿宋" w:hAnsi="仿宋" w:eastAsia="仿宋"/>
          <w:b/>
          <w:color w:val="auto"/>
          <w:sz w:val="24"/>
          <w:szCs w:val="24"/>
          <w:highlight w:val="none"/>
        </w:rPr>
        <w:t>7.双方共同承诺</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双方必须严格本协议的规定支付、监管和使用工程工人工资，不得挤占、挪用。本协议未尽事宜，由双方友好协商一致，另行签订书面补充协议约定。</w:t>
      </w:r>
    </w:p>
    <w:p>
      <w:pPr>
        <w:spacing w:line="360" w:lineRule="auto"/>
        <w:ind w:firstLine="482" w:firstLineChars="200"/>
        <w:rPr>
          <w:rStyle w:val="37"/>
          <w:rFonts w:ascii="仿宋" w:hAnsi="仿宋" w:eastAsia="仿宋"/>
          <w:b/>
          <w:color w:val="auto"/>
          <w:sz w:val="24"/>
          <w:szCs w:val="24"/>
          <w:highlight w:val="none"/>
        </w:rPr>
      </w:pPr>
      <w:r>
        <w:rPr>
          <w:rStyle w:val="37"/>
          <w:rFonts w:ascii="仿宋" w:hAnsi="仿宋" w:eastAsia="仿宋"/>
          <w:b/>
          <w:color w:val="auto"/>
          <w:sz w:val="24"/>
          <w:szCs w:val="24"/>
          <w:highlight w:val="none"/>
        </w:rPr>
        <w:t>8.合同法律效力</w:t>
      </w:r>
    </w:p>
    <w:p>
      <w:pPr>
        <w:ind w:firstLine="480" w:firstLineChars="20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本协议作为</w:t>
      </w:r>
      <w:r>
        <w:rPr>
          <w:rStyle w:val="37"/>
          <w:rFonts w:hint="eastAsia" w:ascii="仿宋" w:hAnsi="仿宋" w:eastAsia="仿宋"/>
          <w:color w:val="auto"/>
          <w:sz w:val="24"/>
          <w:szCs w:val="24"/>
          <w:highlight w:val="none"/>
          <w:lang w:eastAsia="zh-CN"/>
        </w:rPr>
        <w:t>《</w:t>
      </w:r>
      <w:r>
        <w:rPr>
          <w:rStyle w:val="37"/>
          <w:rFonts w:hint="eastAsia" w:ascii="仿宋" w:hAnsi="仿宋" w:eastAsia="仿宋"/>
          <w:color w:val="auto"/>
          <w:sz w:val="24"/>
          <w:szCs w:val="24"/>
          <w:highlight w:val="none"/>
          <w:lang w:val="en-US" w:eastAsia="zh-CN"/>
        </w:rPr>
        <w:t>广州市建设工程施工合同</w:t>
      </w:r>
      <w:r>
        <w:rPr>
          <w:rStyle w:val="37"/>
          <w:rFonts w:hint="eastAsia" w:ascii="仿宋" w:hAnsi="仿宋" w:eastAsia="仿宋"/>
          <w:color w:val="auto"/>
          <w:sz w:val="24"/>
          <w:szCs w:val="24"/>
          <w:highlight w:val="none"/>
          <w:lang w:eastAsia="zh-CN"/>
        </w:rPr>
        <w:t>》</w:t>
      </w:r>
      <w:r>
        <w:rPr>
          <w:rStyle w:val="37"/>
          <w:rFonts w:ascii="仿宋" w:hAnsi="仿宋" w:eastAsia="仿宋"/>
          <w:color w:val="auto"/>
          <w:sz w:val="24"/>
          <w:szCs w:val="24"/>
          <w:highlight w:val="none"/>
        </w:rPr>
        <w:t>（</w:t>
      </w:r>
      <w:r>
        <w:rPr>
          <w:rStyle w:val="37"/>
          <w:rFonts w:hint="eastAsia" w:ascii="仿宋" w:hAnsi="仿宋" w:eastAsia="仿宋"/>
          <w:color w:val="auto"/>
          <w:sz w:val="24"/>
          <w:szCs w:val="24"/>
          <w:highlight w:val="none"/>
          <w:lang w:val="en-US" w:eastAsia="zh-CN"/>
        </w:rPr>
        <w:t>工程名称：</w:t>
      </w:r>
      <w:r>
        <w:rPr>
          <w:rStyle w:val="37"/>
          <w:rFonts w:hint="eastAsia" w:ascii="仿宋" w:hAnsi="仿宋" w:eastAsia="仿宋"/>
          <w:color w:val="auto"/>
          <w:sz w:val="24"/>
          <w:szCs w:val="24"/>
          <w:highlight w:val="none"/>
          <w:lang w:eastAsia="zh-CN"/>
        </w:rPr>
        <w:t>广州市天河外国语学校智慧城校区建设工程施工总承包</w:t>
      </w:r>
      <w:r>
        <w:rPr>
          <w:rStyle w:val="37"/>
          <w:rFonts w:ascii="仿宋" w:hAnsi="仿宋" w:eastAsia="仿宋"/>
          <w:color w:val="auto"/>
          <w:sz w:val="24"/>
          <w:szCs w:val="24"/>
          <w:highlight w:val="none"/>
        </w:rPr>
        <w:t>项目）的补充协议，与施工合同具有同等的法律效力，经双方签署后生效，与合同不一致的地方以本协议为准。</w:t>
      </w:r>
    </w:p>
    <w:p>
      <w:pPr>
        <w:spacing w:line="360" w:lineRule="auto"/>
        <w:ind w:firstLine="482" w:firstLineChars="200"/>
        <w:rPr>
          <w:rStyle w:val="37"/>
          <w:rFonts w:ascii="仿宋" w:hAnsi="仿宋" w:eastAsia="仿宋"/>
          <w:b/>
          <w:color w:val="auto"/>
          <w:sz w:val="24"/>
          <w:szCs w:val="24"/>
          <w:highlight w:val="none"/>
        </w:rPr>
      </w:pPr>
      <w:r>
        <w:rPr>
          <w:rStyle w:val="37"/>
          <w:rFonts w:ascii="仿宋" w:hAnsi="仿宋" w:eastAsia="仿宋"/>
          <w:b/>
          <w:color w:val="auto"/>
          <w:sz w:val="24"/>
          <w:szCs w:val="24"/>
          <w:highlight w:val="none"/>
        </w:rPr>
        <w:t>9.合同份数</w:t>
      </w:r>
    </w:p>
    <w:p>
      <w:pPr>
        <w:spacing w:line="360" w:lineRule="auto"/>
        <w:ind w:firstLine="480" w:firstLineChars="200"/>
        <w:jc w:val="left"/>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本协议自双方法定代表人或委托代理人签订之日起生效，一式</w:t>
      </w:r>
      <w:r>
        <w:rPr>
          <w:rStyle w:val="37"/>
          <w:rFonts w:ascii="仿宋" w:hAnsi="仿宋" w:eastAsia="仿宋"/>
          <w:color w:val="auto"/>
          <w:sz w:val="24"/>
          <w:szCs w:val="24"/>
          <w:highlight w:val="none"/>
          <w:u w:val="single"/>
        </w:rPr>
        <w:t>捌</w:t>
      </w:r>
      <w:r>
        <w:rPr>
          <w:rStyle w:val="37"/>
          <w:rFonts w:ascii="仿宋" w:hAnsi="仿宋" w:eastAsia="仿宋"/>
          <w:color w:val="auto"/>
          <w:sz w:val="24"/>
          <w:szCs w:val="24"/>
          <w:highlight w:val="none"/>
        </w:rPr>
        <w:t>份，发包人执</w:t>
      </w:r>
      <w:r>
        <w:rPr>
          <w:rStyle w:val="37"/>
          <w:rFonts w:ascii="仿宋" w:hAnsi="仿宋" w:eastAsia="仿宋"/>
          <w:color w:val="auto"/>
          <w:sz w:val="24"/>
          <w:szCs w:val="24"/>
          <w:highlight w:val="none"/>
          <w:u w:val="single"/>
        </w:rPr>
        <w:t>陆</w:t>
      </w:r>
      <w:r>
        <w:rPr>
          <w:rStyle w:val="37"/>
          <w:rFonts w:ascii="仿宋" w:hAnsi="仿宋" w:eastAsia="仿宋"/>
          <w:color w:val="auto"/>
          <w:sz w:val="24"/>
          <w:szCs w:val="24"/>
          <w:highlight w:val="none"/>
        </w:rPr>
        <w:t>份，承包人执</w:t>
      </w:r>
      <w:r>
        <w:rPr>
          <w:rStyle w:val="37"/>
          <w:rFonts w:ascii="仿宋" w:hAnsi="仿宋" w:eastAsia="仿宋"/>
          <w:color w:val="auto"/>
          <w:sz w:val="24"/>
          <w:szCs w:val="24"/>
          <w:highlight w:val="none"/>
          <w:u w:val="single"/>
        </w:rPr>
        <w:t>贰</w:t>
      </w:r>
      <w:r>
        <w:rPr>
          <w:rStyle w:val="37"/>
          <w:rFonts w:ascii="仿宋" w:hAnsi="仿宋" w:eastAsia="仿宋"/>
          <w:color w:val="auto"/>
          <w:sz w:val="24"/>
          <w:szCs w:val="24"/>
          <w:highlight w:val="none"/>
        </w:rPr>
        <w:t>份，均具有同等法律效力。</w:t>
      </w:r>
    </w:p>
    <w:p>
      <w:pPr>
        <w:spacing w:line="360" w:lineRule="auto"/>
        <w:ind w:firstLine="360" w:firstLineChars="15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（以下</w:t>
      </w:r>
      <w:r>
        <w:rPr>
          <w:rStyle w:val="37"/>
          <w:rFonts w:hint="eastAsia" w:ascii="仿宋" w:hAnsi="仿宋" w:eastAsia="仿宋"/>
          <w:color w:val="auto"/>
          <w:sz w:val="24"/>
          <w:szCs w:val="24"/>
          <w:highlight w:val="none"/>
        </w:rPr>
        <w:t>部分无《广州市建设工程施工合同》项目工人工资支付分账管理的补充协议正文内容，</w:t>
      </w:r>
      <w:r>
        <w:rPr>
          <w:rStyle w:val="37"/>
          <w:rFonts w:ascii="仿宋" w:hAnsi="仿宋" w:eastAsia="仿宋"/>
          <w:color w:val="auto"/>
          <w:sz w:val="24"/>
          <w:szCs w:val="24"/>
          <w:highlight w:val="none"/>
        </w:rPr>
        <w:t>为签署页）</w:t>
      </w:r>
    </w:p>
    <w:p>
      <w:pPr>
        <w:spacing w:line="360" w:lineRule="auto"/>
        <w:rPr>
          <w:rStyle w:val="37"/>
          <w:rFonts w:ascii="仿宋" w:hAnsi="仿宋" w:eastAsia="仿宋"/>
          <w:b/>
          <w:color w:val="auto"/>
          <w:sz w:val="24"/>
          <w:szCs w:val="24"/>
          <w:highlight w:val="none"/>
        </w:rPr>
      </w:pPr>
    </w:p>
    <w:p>
      <w:pPr>
        <w:spacing w:line="240" w:lineRule="auto"/>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br w:type="page"/>
      </w:r>
    </w:p>
    <w:p>
      <w:pPr>
        <w:spacing w:line="360" w:lineRule="auto"/>
        <w:rPr>
          <w:color w:val="auto"/>
          <w:highlight w:val="none"/>
        </w:rPr>
      </w:pPr>
      <w:r>
        <w:rPr>
          <w:rStyle w:val="37"/>
          <w:rFonts w:ascii="仿宋" w:hAnsi="仿宋" w:eastAsia="仿宋"/>
          <w:color w:val="auto"/>
          <w:sz w:val="24"/>
          <w:szCs w:val="24"/>
          <w:highlight w:val="none"/>
        </w:rPr>
        <w:t>（</w:t>
      </w:r>
      <w:r>
        <w:rPr>
          <w:rStyle w:val="37"/>
          <w:rFonts w:hint="eastAsia" w:ascii="仿宋" w:hAnsi="仿宋" w:eastAsia="仿宋"/>
          <w:color w:val="auto"/>
          <w:sz w:val="24"/>
          <w:szCs w:val="24"/>
          <w:highlight w:val="none"/>
        </w:rPr>
        <w:t>本页无《广州市建设工程施工合同》项目工人工资支付分账管理的补充协议正文内容，</w:t>
      </w:r>
      <w:r>
        <w:rPr>
          <w:rStyle w:val="37"/>
          <w:rFonts w:ascii="仿宋" w:hAnsi="仿宋" w:eastAsia="仿宋"/>
          <w:color w:val="auto"/>
          <w:sz w:val="24"/>
          <w:szCs w:val="24"/>
          <w:highlight w:val="none"/>
        </w:rPr>
        <w:t>为签署页）</w:t>
      </w:r>
    </w:p>
    <w:p>
      <w:pPr>
        <w:spacing w:line="360" w:lineRule="auto"/>
        <w:ind w:left="4621" w:leftChars="-28" w:hanging="4680" w:hangingChars="195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发包人：广州市天河区建设工程</w:t>
      </w:r>
      <w:r>
        <w:rPr>
          <w:rStyle w:val="37"/>
          <w:rFonts w:hint="eastAsia" w:ascii="仿宋" w:hAnsi="仿宋" w:eastAsia="仿宋"/>
          <w:color w:val="auto"/>
          <w:sz w:val="24"/>
          <w:szCs w:val="24"/>
          <w:highlight w:val="none"/>
        </w:rPr>
        <w:tab/>
      </w:r>
      <w:r>
        <w:rPr>
          <w:rStyle w:val="37"/>
          <w:rFonts w:ascii="仿宋" w:hAnsi="仿宋" w:eastAsia="仿宋"/>
          <w:color w:val="auto"/>
          <w:sz w:val="24"/>
          <w:szCs w:val="24"/>
          <w:highlight w:val="none"/>
        </w:rPr>
        <w:t>承包人：</w:t>
      </w:r>
    </w:p>
    <w:p>
      <w:pPr>
        <w:spacing w:line="360" w:lineRule="auto"/>
        <w:ind w:left="4621" w:leftChars="-28" w:hanging="4680" w:hangingChars="195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 xml:space="preserve">项目代建局  </w:t>
      </w:r>
      <w:r>
        <w:rPr>
          <w:rStyle w:val="37"/>
          <w:rFonts w:hint="eastAsia" w:ascii="仿宋" w:hAnsi="仿宋" w:eastAsia="仿宋"/>
          <w:color w:val="auto"/>
          <w:sz w:val="24"/>
          <w:szCs w:val="24"/>
          <w:highlight w:val="none"/>
        </w:rPr>
        <w:t>（盖章）</w:t>
      </w:r>
      <w:r>
        <w:rPr>
          <w:rStyle w:val="37"/>
          <w:rFonts w:ascii="仿宋" w:hAnsi="仿宋" w:eastAsia="仿宋"/>
          <w:color w:val="auto"/>
          <w:sz w:val="24"/>
          <w:szCs w:val="24"/>
          <w:highlight w:val="none"/>
        </w:rPr>
        <w:t xml:space="preserve">                </w:t>
      </w:r>
      <w:r>
        <w:rPr>
          <w:rStyle w:val="37"/>
          <w:rFonts w:hint="eastAsia" w:ascii="仿宋" w:hAnsi="仿宋" w:eastAsia="仿宋"/>
          <w:color w:val="auto"/>
          <w:sz w:val="24"/>
          <w:szCs w:val="24"/>
          <w:highlight w:val="none"/>
          <w:lang w:val="en-US" w:eastAsia="zh-CN"/>
        </w:rPr>
        <w:t xml:space="preserve">                            </w:t>
      </w:r>
      <w:r>
        <w:rPr>
          <w:rStyle w:val="37"/>
          <w:rFonts w:hint="eastAsia" w:ascii="仿宋" w:hAnsi="仿宋" w:eastAsia="仿宋"/>
          <w:color w:val="auto"/>
          <w:sz w:val="24"/>
          <w:szCs w:val="24"/>
          <w:highlight w:val="none"/>
        </w:rPr>
        <w:t>（盖章）</w:t>
      </w:r>
      <w:r>
        <w:rPr>
          <w:rStyle w:val="37"/>
          <w:rFonts w:ascii="仿宋" w:hAnsi="仿宋" w:eastAsia="仿宋"/>
          <w:color w:val="auto"/>
          <w:sz w:val="24"/>
          <w:szCs w:val="24"/>
          <w:highlight w:val="none"/>
        </w:rPr>
        <w:t xml:space="preserve">              </w:t>
      </w:r>
    </w:p>
    <w:p>
      <w:pPr>
        <w:spacing w:line="360" w:lineRule="auto"/>
        <w:ind w:left="4621" w:leftChars="-28" w:hanging="4680" w:hangingChars="195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法定代表人：</w:t>
      </w:r>
      <w:r>
        <w:rPr>
          <w:rStyle w:val="37"/>
          <w:rFonts w:hint="eastAsia" w:ascii="仿宋" w:hAnsi="仿宋" w:eastAsia="仿宋"/>
          <w:color w:val="auto"/>
          <w:sz w:val="24"/>
          <w:szCs w:val="24"/>
          <w:highlight w:val="none"/>
        </w:rPr>
        <w:tab/>
      </w:r>
      <w:r>
        <w:rPr>
          <w:rStyle w:val="37"/>
          <w:rFonts w:ascii="仿宋" w:hAnsi="仿宋" w:eastAsia="仿宋"/>
          <w:color w:val="auto"/>
          <w:sz w:val="24"/>
          <w:szCs w:val="24"/>
          <w:highlight w:val="none"/>
        </w:rPr>
        <w:t>法定代表人：</w:t>
      </w:r>
    </w:p>
    <w:p>
      <w:pPr>
        <w:spacing w:line="360" w:lineRule="auto"/>
        <w:ind w:left="4621" w:leftChars="-28" w:hanging="4680" w:hangingChars="195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（签</w:t>
      </w:r>
      <w:r>
        <w:rPr>
          <w:rStyle w:val="37"/>
          <w:rFonts w:hint="eastAsia" w:ascii="仿宋" w:hAnsi="仿宋" w:eastAsia="仿宋"/>
          <w:color w:val="auto"/>
          <w:sz w:val="24"/>
          <w:szCs w:val="24"/>
          <w:highlight w:val="none"/>
        </w:rPr>
        <w:t>名</w:t>
      </w:r>
      <w:r>
        <w:rPr>
          <w:rStyle w:val="37"/>
          <w:rFonts w:ascii="仿宋" w:hAnsi="仿宋" w:eastAsia="仿宋"/>
          <w:color w:val="auto"/>
          <w:sz w:val="24"/>
          <w:szCs w:val="24"/>
          <w:highlight w:val="none"/>
        </w:rPr>
        <w:t>或章）</w:t>
      </w:r>
      <w:r>
        <w:rPr>
          <w:rStyle w:val="37"/>
          <w:rFonts w:hint="eastAsia" w:ascii="仿宋" w:hAnsi="仿宋" w:eastAsia="仿宋"/>
          <w:color w:val="auto"/>
          <w:sz w:val="24"/>
          <w:szCs w:val="24"/>
          <w:highlight w:val="none"/>
        </w:rPr>
        <w:tab/>
      </w:r>
      <w:r>
        <w:rPr>
          <w:rStyle w:val="37"/>
          <w:rFonts w:hint="eastAsia" w:ascii="仿宋" w:hAnsi="仿宋" w:eastAsia="仿宋"/>
          <w:color w:val="auto"/>
          <w:sz w:val="24"/>
          <w:szCs w:val="24"/>
          <w:highlight w:val="none"/>
        </w:rPr>
        <w:t>（</w:t>
      </w:r>
      <w:r>
        <w:rPr>
          <w:rStyle w:val="37"/>
          <w:rFonts w:ascii="仿宋" w:hAnsi="仿宋" w:eastAsia="仿宋"/>
          <w:color w:val="auto"/>
          <w:sz w:val="24"/>
          <w:szCs w:val="24"/>
          <w:highlight w:val="none"/>
        </w:rPr>
        <w:t>签</w:t>
      </w:r>
      <w:r>
        <w:rPr>
          <w:rStyle w:val="37"/>
          <w:rFonts w:hint="eastAsia" w:ascii="仿宋" w:hAnsi="仿宋" w:eastAsia="仿宋"/>
          <w:color w:val="auto"/>
          <w:sz w:val="24"/>
          <w:szCs w:val="24"/>
          <w:highlight w:val="none"/>
        </w:rPr>
        <w:t>名</w:t>
      </w:r>
      <w:r>
        <w:rPr>
          <w:rStyle w:val="37"/>
          <w:rFonts w:ascii="仿宋" w:hAnsi="仿宋" w:eastAsia="仿宋"/>
          <w:color w:val="auto"/>
          <w:sz w:val="24"/>
          <w:szCs w:val="24"/>
          <w:highlight w:val="none"/>
        </w:rPr>
        <w:t>或章）</w:t>
      </w:r>
    </w:p>
    <w:p>
      <w:pPr>
        <w:spacing w:line="360" w:lineRule="auto"/>
        <w:ind w:left="4621" w:leftChars="-28" w:hanging="4680" w:hangingChars="195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或委托代理人：</w:t>
      </w:r>
      <w:r>
        <w:rPr>
          <w:rStyle w:val="37"/>
          <w:rFonts w:hint="eastAsia" w:ascii="仿宋" w:hAnsi="仿宋" w:eastAsia="仿宋"/>
          <w:color w:val="auto"/>
          <w:sz w:val="24"/>
          <w:szCs w:val="24"/>
          <w:highlight w:val="none"/>
        </w:rPr>
        <w:tab/>
      </w:r>
      <w:r>
        <w:rPr>
          <w:rStyle w:val="37"/>
          <w:rFonts w:ascii="仿宋" w:hAnsi="仿宋" w:eastAsia="仿宋"/>
          <w:color w:val="auto"/>
          <w:sz w:val="24"/>
          <w:szCs w:val="24"/>
          <w:highlight w:val="none"/>
        </w:rPr>
        <w:t>或委托代理人：</w:t>
      </w:r>
    </w:p>
    <w:p>
      <w:pPr>
        <w:spacing w:line="360" w:lineRule="auto"/>
        <w:ind w:left="4621" w:leftChars="-28" w:hanging="4680" w:hangingChars="195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（签</w:t>
      </w:r>
      <w:r>
        <w:rPr>
          <w:rStyle w:val="37"/>
          <w:rFonts w:hint="eastAsia" w:ascii="仿宋" w:hAnsi="仿宋" w:eastAsia="仿宋"/>
          <w:color w:val="auto"/>
          <w:sz w:val="24"/>
          <w:szCs w:val="24"/>
          <w:highlight w:val="none"/>
        </w:rPr>
        <w:t>名</w:t>
      </w:r>
      <w:r>
        <w:rPr>
          <w:rStyle w:val="37"/>
          <w:rFonts w:ascii="仿宋" w:hAnsi="仿宋" w:eastAsia="仿宋"/>
          <w:color w:val="auto"/>
          <w:sz w:val="24"/>
          <w:szCs w:val="24"/>
          <w:highlight w:val="none"/>
        </w:rPr>
        <w:t>或章）</w:t>
      </w:r>
      <w:r>
        <w:rPr>
          <w:rStyle w:val="37"/>
          <w:rFonts w:hint="eastAsia" w:ascii="仿宋" w:hAnsi="仿宋" w:eastAsia="仿宋"/>
          <w:color w:val="auto"/>
          <w:sz w:val="24"/>
          <w:szCs w:val="24"/>
          <w:highlight w:val="none"/>
        </w:rPr>
        <w:tab/>
      </w:r>
      <w:r>
        <w:rPr>
          <w:rStyle w:val="37"/>
          <w:rFonts w:ascii="仿宋" w:hAnsi="仿宋" w:eastAsia="仿宋"/>
          <w:color w:val="auto"/>
          <w:sz w:val="24"/>
          <w:szCs w:val="24"/>
          <w:highlight w:val="none"/>
        </w:rPr>
        <w:t>（签</w:t>
      </w:r>
      <w:r>
        <w:rPr>
          <w:rStyle w:val="37"/>
          <w:rFonts w:hint="eastAsia" w:ascii="仿宋" w:hAnsi="仿宋" w:eastAsia="仿宋"/>
          <w:color w:val="auto"/>
          <w:sz w:val="24"/>
          <w:szCs w:val="24"/>
          <w:highlight w:val="none"/>
        </w:rPr>
        <w:t>名</w:t>
      </w:r>
      <w:r>
        <w:rPr>
          <w:rStyle w:val="37"/>
          <w:rFonts w:ascii="仿宋" w:hAnsi="仿宋" w:eastAsia="仿宋"/>
          <w:color w:val="auto"/>
          <w:sz w:val="24"/>
          <w:szCs w:val="24"/>
          <w:highlight w:val="none"/>
        </w:rPr>
        <w:t>或章）</w:t>
      </w:r>
    </w:p>
    <w:p>
      <w:pPr>
        <w:spacing w:line="360" w:lineRule="auto"/>
        <w:ind w:left="4621" w:leftChars="-28" w:hanging="4680" w:hangingChars="1950"/>
        <w:rPr>
          <w:rStyle w:val="37"/>
          <w:rFonts w:ascii="仿宋" w:hAnsi="仿宋" w:eastAsia="仿宋"/>
          <w:color w:val="auto"/>
          <w:sz w:val="24"/>
          <w:szCs w:val="24"/>
          <w:highlight w:val="none"/>
        </w:rPr>
      </w:pPr>
      <w:r>
        <w:rPr>
          <w:rStyle w:val="37"/>
          <w:rFonts w:ascii="仿宋" w:hAnsi="仿宋" w:eastAsia="仿宋"/>
          <w:color w:val="auto"/>
          <w:sz w:val="24"/>
          <w:szCs w:val="24"/>
          <w:highlight w:val="none"/>
        </w:rPr>
        <w:t>日期：</w:t>
      </w:r>
      <w:r>
        <w:rPr>
          <w:rStyle w:val="37"/>
          <w:rFonts w:hint="eastAsia" w:ascii="仿宋" w:hAnsi="仿宋" w:eastAsia="仿宋"/>
          <w:color w:val="auto"/>
          <w:sz w:val="24"/>
          <w:szCs w:val="24"/>
          <w:highlight w:val="none"/>
        </w:rPr>
        <w:t xml:space="preserve">   </w:t>
      </w:r>
      <w:r>
        <w:rPr>
          <w:rStyle w:val="37"/>
          <w:rFonts w:hint="eastAsia" w:ascii="仿宋" w:hAnsi="仿宋" w:eastAsia="仿宋"/>
          <w:color w:val="auto"/>
          <w:sz w:val="24"/>
          <w:szCs w:val="24"/>
          <w:highlight w:val="none"/>
          <w:lang w:val="en-US" w:eastAsia="zh-CN"/>
        </w:rPr>
        <w:t>2023</w:t>
      </w:r>
      <w:r>
        <w:rPr>
          <w:rStyle w:val="37"/>
          <w:rFonts w:hint="eastAsia" w:ascii="仿宋" w:hAnsi="仿宋" w:eastAsia="仿宋"/>
          <w:color w:val="auto"/>
          <w:sz w:val="24"/>
          <w:szCs w:val="24"/>
          <w:highlight w:val="none"/>
        </w:rPr>
        <w:t xml:space="preserve"> </w:t>
      </w:r>
      <w:r>
        <w:rPr>
          <w:rStyle w:val="37"/>
          <w:rFonts w:ascii="仿宋" w:hAnsi="仿宋" w:eastAsia="仿宋"/>
          <w:color w:val="auto"/>
          <w:sz w:val="24"/>
          <w:szCs w:val="24"/>
          <w:highlight w:val="none"/>
        </w:rPr>
        <w:t xml:space="preserve"> 年 </w:t>
      </w:r>
      <w:r>
        <w:rPr>
          <w:rStyle w:val="37"/>
          <w:rFonts w:hint="eastAsia" w:ascii="仿宋" w:hAnsi="仿宋" w:eastAsia="仿宋"/>
          <w:color w:val="auto"/>
          <w:sz w:val="24"/>
          <w:szCs w:val="24"/>
          <w:highlight w:val="none"/>
        </w:rPr>
        <w:t xml:space="preserve">  </w:t>
      </w:r>
      <w:r>
        <w:rPr>
          <w:rStyle w:val="37"/>
          <w:rFonts w:ascii="仿宋" w:hAnsi="仿宋" w:eastAsia="仿宋"/>
          <w:color w:val="auto"/>
          <w:sz w:val="24"/>
          <w:szCs w:val="24"/>
          <w:highlight w:val="none"/>
        </w:rPr>
        <w:t xml:space="preserve">月    日 </w:t>
      </w:r>
      <w:r>
        <w:rPr>
          <w:rStyle w:val="37"/>
          <w:rFonts w:hint="eastAsia" w:ascii="仿宋" w:hAnsi="仿宋" w:eastAsia="仿宋"/>
          <w:color w:val="auto"/>
          <w:sz w:val="24"/>
          <w:szCs w:val="24"/>
          <w:highlight w:val="none"/>
        </w:rPr>
        <w:tab/>
      </w:r>
      <w:r>
        <w:rPr>
          <w:rStyle w:val="37"/>
          <w:rFonts w:ascii="仿宋" w:hAnsi="仿宋" w:eastAsia="仿宋"/>
          <w:color w:val="auto"/>
          <w:sz w:val="24"/>
          <w:szCs w:val="24"/>
          <w:highlight w:val="none"/>
        </w:rPr>
        <w:t>日期：</w:t>
      </w:r>
      <w:r>
        <w:rPr>
          <w:rStyle w:val="37"/>
          <w:rFonts w:hint="eastAsia" w:ascii="仿宋" w:hAnsi="仿宋" w:eastAsia="仿宋"/>
          <w:color w:val="auto"/>
          <w:sz w:val="24"/>
          <w:szCs w:val="24"/>
          <w:highlight w:val="none"/>
        </w:rPr>
        <w:t xml:space="preserve"> </w:t>
      </w:r>
      <w:r>
        <w:rPr>
          <w:rStyle w:val="37"/>
          <w:rFonts w:hint="eastAsia" w:ascii="仿宋" w:hAnsi="仿宋" w:eastAsia="仿宋"/>
          <w:color w:val="auto"/>
          <w:sz w:val="24"/>
          <w:szCs w:val="24"/>
          <w:highlight w:val="none"/>
          <w:lang w:val="en-US" w:eastAsia="zh-CN"/>
        </w:rPr>
        <w:t>2023</w:t>
      </w:r>
      <w:r>
        <w:rPr>
          <w:rStyle w:val="37"/>
          <w:rFonts w:hint="eastAsia" w:ascii="仿宋" w:hAnsi="仿宋" w:eastAsia="仿宋"/>
          <w:color w:val="auto"/>
          <w:sz w:val="24"/>
          <w:szCs w:val="24"/>
          <w:highlight w:val="none"/>
        </w:rPr>
        <w:t xml:space="preserve"> </w:t>
      </w:r>
      <w:r>
        <w:rPr>
          <w:rStyle w:val="37"/>
          <w:rFonts w:ascii="仿宋" w:hAnsi="仿宋" w:eastAsia="仿宋"/>
          <w:color w:val="auto"/>
          <w:sz w:val="24"/>
          <w:szCs w:val="24"/>
          <w:highlight w:val="none"/>
        </w:rPr>
        <w:t xml:space="preserve"> 年   月   日</w:t>
      </w:r>
    </w:p>
    <w:p>
      <w:pPr>
        <w:spacing w:line="420" w:lineRule="exact"/>
        <w:ind w:left="4621" w:leftChars="-28" w:right="-512" w:rightChars="-244" w:hanging="4680" w:hangingChars="1950"/>
        <w:rPr>
          <w:rStyle w:val="37"/>
          <w:rFonts w:ascii="宋体" w:hAnsi="宋体"/>
          <w:color w:val="auto"/>
          <w:sz w:val="24"/>
          <w:szCs w:val="24"/>
          <w:highlight w:val="none"/>
        </w:rPr>
      </w:pPr>
    </w:p>
    <w:p>
      <w:pPr>
        <w:spacing w:line="420" w:lineRule="exact"/>
        <w:ind w:right="-512" w:rightChars="-244"/>
        <w:rPr>
          <w:rStyle w:val="37"/>
          <w:rFonts w:ascii="宋体" w:hAnsi="宋体"/>
          <w:color w:val="auto"/>
          <w:sz w:val="24"/>
          <w:szCs w:val="24"/>
          <w:highlight w:val="none"/>
        </w:rPr>
      </w:pPr>
    </w:p>
    <w:p>
      <w:pPr>
        <w:spacing w:line="420" w:lineRule="exact"/>
        <w:ind w:right="-512" w:rightChars="-244"/>
        <w:rPr>
          <w:rStyle w:val="37"/>
          <w:rFonts w:ascii="宋体" w:hAnsi="宋体"/>
          <w:color w:val="auto"/>
          <w:sz w:val="24"/>
          <w:szCs w:val="24"/>
          <w:highlight w:val="none"/>
        </w:rPr>
      </w:pPr>
    </w:p>
    <w:p>
      <w:pPr>
        <w:spacing w:line="420" w:lineRule="exact"/>
        <w:ind w:right="-512" w:rightChars="-244"/>
        <w:rPr>
          <w:rStyle w:val="37"/>
          <w:rFonts w:ascii="宋体" w:hAnsi="宋体"/>
          <w:color w:val="auto"/>
          <w:sz w:val="24"/>
          <w:szCs w:val="24"/>
          <w:highlight w:val="none"/>
        </w:rPr>
      </w:pPr>
    </w:p>
    <w:p>
      <w:pPr>
        <w:spacing w:line="420" w:lineRule="exact"/>
        <w:ind w:right="-512" w:rightChars="-244"/>
        <w:rPr>
          <w:rStyle w:val="37"/>
          <w:rFonts w:ascii="宋体" w:hAnsi="宋体"/>
          <w:color w:val="auto"/>
          <w:sz w:val="24"/>
          <w:szCs w:val="24"/>
          <w:highlight w:val="none"/>
        </w:rPr>
      </w:pPr>
    </w:p>
    <w:p>
      <w:pPr>
        <w:spacing w:line="420" w:lineRule="exact"/>
        <w:ind w:right="-512" w:rightChars="-244"/>
        <w:rPr>
          <w:rStyle w:val="37"/>
          <w:rFonts w:ascii="宋体" w:hAnsi="宋体"/>
          <w:color w:val="auto"/>
          <w:sz w:val="24"/>
          <w:szCs w:val="24"/>
          <w:highlight w:val="none"/>
        </w:rPr>
      </w:pPr>
    </w:p>
    <w:p>
      <w:pPr>
        <w:spacing w:line="420" w:lineRule="exact"/>
        <w:ind w:right="-512" w:rightChars="-244"/>
        <w:rPr>
          <w:rStyle w:val="37"/>
          <w:rFonts w:ascii="宋体" w:hAnsi="宋体"/>
          <w:color w:val="auto"/>
          <w:sz w:val="24"/>
          <w:szCs w:val="24"/>
          <w:highlight w:val="none"/>
        </w:rPr>
      </w:pPr>
    </w:p>
    <w:p>
      <w:pPr>
        <w:spacing w:line="420" w:lineRule="exact"/>
        <w:ind w:right="-512" w:rightChars="-244"/>
        <w:rPr>
          <w:rStyle w:val="37"/>
          <w:rFonts w:ascii="宋体" w:hAnsi="宋体"/>
          <w:color w:val="auto"/>
          <w:sz w:val="24"/>
          <w:szCs w:val="24"/>
          <w:highlight w:val="none"/>
        </w:rPr>
      </w:pPr>
    </w:p>
    <w:p>
      <w:pPr>
        <w:spacing w:line="420" w:lineRule="exact"/>
        <w:ind w:right="-512" w:rightChars="-244"/>
        <w:rPr>
          <w:rStyle w:val="37"/>
          <w:rFonts w:ascii="宋体" w:hAnsi="宋体"/>
          <w:color w:val="auto"/>
          <w:sz w:val="24"/>
          <w:szCs w:val="24"/>
          <w:highlight w:val="none"/>
        </w:rPr>
      </w:pPr>
    </w:p>
    <w:p>
      <w:pPr>
        <w:rPr>
          <w:rStyle w:val="37"/>
          <w:rFonts w:ascii="宋体" w:hAnsi="宋体"/>
          <w:color w:val="auto"/>
          <w:highlight w:val="none"/>
        </w:rPr>
      </w:pPr>
      <w:r>
        <w:rPr>
          <w:rStyle w:val="37"/>
          <w:rFonts w:ascii="宋体" w:hAnsi="宋体"/>
          <w:color w:val="auto"/>
          <w:highlight w:val="none"/>
        </w:rPr>
        <w:br w:type="page"/>
      </w:r>
    </w:p>
    <w:p>
      <w:pPr>
        <w:adjustRightInd w:val="0"/>
        <w:snapToGrid w:val="0"/>
        <w:spacing w:line="360" w:lineRule="exact"/>
        <w:ind w:right="-20"/>
        <w:outlineLvl w:val="2"/>
        <w:rPr>
          <w:rStyle w:val="37"/>
          <w:rFonts w:ascii="宋体" w:hAnsi="宋体" w:cs="Times New Roman"/>
          <w:color w:val="auto"/>
          <w:sz w:val="24"/>
          <w:szCs w:val="24"/>
          <w:highlight w:val="none"/>
        </w:rPr>
      </w:pPr>
      <w:bookmarkStart w:id="1072" w:name="_Toc28093"/>
      <w:bookmarkStart w:id="1073" w:name="_Toc10630"/>
      <w:bookmarkStart w:id="1074" w:name="_Toc11557"/>
      <w:bookmarkStart w:id="1075" w:name="_Toc20976"/>
      <w:bookmarkStart w:id="1076" w:name="_Toc3565"/>
      <w:r>
        <w:rPr>
          <w:rStyle w:val="37"/>
          <w:rFonts w:ascii="宋体" w:hAnsi="宋体" w:cs="Times New Roman"/>
          <w:color w:val="auto"/>
          <w:sz w:val="24"/>
          <w:szCs w:val="24"/>
          <w:highlight w:val="none"/>
        </w:rPr>
        <w:t>附件</w:t>
      </w:r>
      <w:r>
        <w:rPr>
          <w:rStyle w:val="37"/>
          <w:rFonts w:hint="default" w:ascii="宋体" w:hAnsi="宋体" w:cs="Times New Roman"/>
          <w:color w:val="auto"/>
          <w:sz w:val="24"/>
          <w:szCs w:val="24"/>
          <w:highlight w:val="none"/>
        </w:rPr>
        <w:t>四</w:t>
      </w:r>
      <w:bookmarkEnd w:id="1072"/>
      <w:bookmarkEnd w:id="1073"/>
      <w:bookmarkEnd w:id="1074"/>
      <w:bookmarkEnd w:id="1075"/>
      <w:bookmarkEnd w:id="1076"/>
    </w:p>
    <w:p>
      <w:pPr>
        <w:pStyle w:val="5"/>
        <w:spacing w:line="500" w:lineRule="exact"/>
        <w:jc w:val="center"/>
        <w:rPr>
          <w:rStyle w:val="30"/>
          <w:rFonts w:hint="eastAsia" w:ascii="Times New Roman" w:hAnsi="Times New Roman" w:cstheme="minorBidi"/>
          <w:bCs w:val="0"/>
          <w:color w:val="auto"/>
          <w:kern w:val="44"/>
          <w:sz w:val="36"/>
          <w:szCs w:val="20"/>
          <w:highlight w:val="none"/>
        </w:rPr>
      </w:pPr>
      <w:bookmarkStart w:id="1077" w:name="_Toc15462"/>
      <w:bookmarkStart w:id="1078" w:name="_Toc31143"/>
      <w:bookmarkStart w:id="1079" w:name="_Toc8080"/>
      <w:bookmarkStart w:id="1080" w:name="_Toc9812"/>
      <w:bookmarkStart w:id="1081" w:name="_Toc6561"/>
      <w:r>
        <w:rPr>
          <w:rStyle w:val="30"/>
          <w:rFonts w:hint="eastAsia" w:ascii="Times New Roman" w:hAnsi="Times New Roman" w:cstheme="minorBidi"/>
          <w:bCs w:val="0"/>
          <w:color w:val="auto"/>
          <w:kern w:val="44"/>
          <w:sz w:val="36"/>
          <w:szCs w:val="20"/>
          <w:highlight w:val="none"/>
        </w:rPr>
        <w:t>建设项目乙供材料看样定板实施要求</w:t>
      </w:r>
      <w:bookmarkEnd w:id="1077"/>
      <w:bookmarkEnd w:id="1078"/>
      <w:bookmarkEnd w:id="1079"/>
      <w:bookmarkEnd w:id="1080"/>
      <w:bookmarkEnd w:id="1081"/>
    </w:p>
    <w:p>
      <w:pPr>
        <w:adjustRightInd w:val="0"/>
        <w:snapToGrid w:val="0"/>
        <w:spacing w:line="600" w:lineRule="exact"/>
        <w:ind w:firstLine="562" w:firstLineChars="200"/>
        <w:jc w:val="left"/>
        <w:rPr>
          <w:rFonts w:ascii="仿宋_GB2312" w:hAnsi="宋体" w:eastAsia="仿宋_GB2312" w:cs="Times New Roman"/>
          <w:b/>
          <w:bCs/>
          <w:color w:val="auto"/>
          <w:sz w:val="28"/>
          <w:szCs w:val="28"/>
          <w:highlight w:val="none"/>
        </w:rPr>
      </w:pPr>
      <w:r>
        <w:rPr>
          <w:rFonts w:hint="eastAsia" w:ascii="仿宋_GB2312" w:hAnsi="宋体" w:eastAsia="仿宋_GB2312" w:cs="Times New Roman"/>
          <w:b/>
          <w:bCs/>
          <w:color w:val="auto"/>
          <w:sz w:val="28"/>
          <w:szCs w:val="28"/>
          <w:highlight w:val="none"/>
        </w:rPr>
        <w:t>一、总 则</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为加强乙供材料的质量管理，明确管理主体和管理责任，确保用于工程建设的乙供材料符合国家规范的技术标准及设计文件规格参数等要求，保证工程质量，顺利推进工程建设，特修订本实施要求。</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本实施要求依据国家法律法规和行业规范、各项目设计合同、设计图纸、监理合同、施工合同等文件制订，适用于建设单位负责实施项目的乙供材料管理。</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本实施要求的乙供材料泛指工程建设的材料设备，由施工单位根据招标文件列明的推荐品牌和合同约定自行采购并支付货款的材料设备。</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建设单位是乙供材料的归口管理部门，负责本实施要求的条文解释。</w:t>
      </w:r>
    </w:p>
    <w:p>
      <w:pPr>
        <w:adjustRightInd w:val="0"/>
        <w:snapToGrid w:val="0"/>
        <w:spacing w:line="600" w:lineRule="exact"/>
        <w:ind w:firstLine="562" w:firstLineChars="200"/>
        <w:jc w:val="left"/>
        <w:rPr>
          <w:rFonts w:ascii="仿宋_GB2312" w:hAnsi="宋体" w:eastAsia="仿宋_GB2312" w:cs="Times New Roman"/>
          <w:b/>
          <w:bCs/>
          <w:color w:val="auto"/>
          <w:sz w:val="28"/>
          <w:szCs w:val="28"/>
          <w:highlight w:val="none"/>
        </w:rPr>
      </w:pPr>
      <w:bookmarkStart w:id="1082" w:name="_Toc18618"/>
      <w:r>
        <w:rPr>
          <w:rFonts w:hint="eastAsia" w:ascii="仿宋_GB2312" w:hAnsi="宋体" w:eastAsia="仿宋_GB2312" w:cs="Times New Roman"/>
          <w:b/>
          <w:bCs/>
          <w:color w:val="auto"/>
          <w:sz w:val="28"/>
          <w:szCs w:val="28"/>
          <w:highlight w:val="none"/>
        </w:rPr>
        <w:t>二、各单位职责</w:t>
      </w:r>
      <w:bookmarkEnd w:id="1082"/>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（一）建设单位职责</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建设单位组织乙供材料选用审批工作；组织设计单位核查乙供材料技术参数、型号、规格、观感效果是否满足设计图纸及使用功能要求；负责新增乙供材料涉及的设计变更管理和价格审批工作；对乙供材料订货、生产、进场质量检验、安装、调试过程进行监督管理。</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083" w:name="_Toc15959"/>
      <w:r>
        <w:rPr>
          <w:rFonts w:hint="eastAsia" w:ascii="仿宋_GB2312" w:hAnsi="宋体" w:eastAsia="仿宋_GB2312" w:cs="Times New Roman"/>
          <w:color w:val="auto"/>
          <w:sz w:val="28"/>
          <w:szCs w:val="28"/>
          <w:highlight w:val="none"/>
        </w:rPr>
        <w:t>（二）设计单位职责</w:t>
      </w:r>
      <w:bookmarkEnd w:id="1083"/>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在项目完成施工总承包招标前，设计单位需向建设单位提交项目使用材料清单及大型设备参数表。设计单位参加对乙供材料的看样定板工作,核查乙供材料技术参数、型号、规格、观感效果是否满足国家规范的技术标准、设计图纸及使用功能要求（5个工作日完成）; 负责新增乙供材料涉及的设计变更工作。</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084" w:name="_Toc3286"/>
      <w:r>
        <w:rPr>
          <w:rFonts w:hint="eastAsia" w:ascii="仿宋_GB2312" w:hAnsi="宋体" w:eastAsia="仿宋_GB2312" w:cs="Times New Roman"/>
          <w:color w:val="auto"/>
          <w:sz w:val="28"/>
          <w:szCs w:val="28"/>
          <w:highlight w:val="none"/>
        </w:rPr>
        <w:t>（三）监理单位职责</w:t>
      </w:r>
      <w:bookmarkEnd w:id="1084"/>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监理单位协助建设单位组织乙供材料选用具体工作，负责审核乙供材料申报资料的真实性、完备性，负责工地现场的乙供材料封板材料仓库的管理，负责施工过程中乙供材料进场检验、安装、调试过程的质量监控及验收管理工作,负责联系第三方检测单位对进场乙供材料进行抽检，并对不合格品做出处理。</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085" w:name="_Toc8916"/>
      <w:r>
        <w:rPr>
          <w:rFonts w:hint="eastAsia" w:ascii="仿宋_GB2312" w:hAnsi="宋体" w:eastAsia="仿宋_GB2312" w:cs="Times New Roman"/>
          <w:color w:val="auto"/>
          <w:sz w:val="28"/>
          <w:szCs w:val="28"/>
          <w:highlight w:val="none"/>
        </w:rPr>
        <w:t>（四）施工单位职责</w:t>
      </w:r>
      <w:bookmarkEnd w:id="1085"/>
    </w:p>
    <w:p>
      <w:pPr>
        <w:adjustRightInd w:val="0"/>
        <w:snapToGrid w:val="0"/>
        <w:spacing w:line="600" w:lineRule="exact"/>
        <w:ind w:firstLine="700" w:firstLineChars="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单位作为实施阶段乙供材料管理的责任主体，负责按合同文件、设计图纸及本项目实施要求的规定，在开工前提交看样定板清单，根据看样定板清单计划申报乙供材料，对乙供材料按计划采购、检验、安装及调试、验收过程负全责。</w:t>
      </w:r>
    </w:p>
    <w:p>
      <w:pPr>
        <w:adjustRightInd w:val="0"/>
        <w:snapToGrid w:val="0"/>
        <w:spacing w:line="600" w:lineRule="exact"/>
        <w:ind w:firstLine="562" w:firstLineChars="200"/>
        <w:jc w:val="left"/>
        <w:rPr>
          <w:rFonts w:ascii="仿宋_GB2312" w:hAnsi="宋体" w:eastAsia="仿宋_GB2312" w:cs="Times New Roman"/>
          <w:b/>
          <w:bCs/>
          <w:color w:val="auto"/>
          <w:sz w:val="28"/>
          <w:szCs w:val="28"/>
          <w:highlight w:val="none"/>
        </w:rPr>
      </w:pPr>
      <w:bookmarkStart w:id="1086" w:name="_Toc16159"/>
      <w:r>
        <w:rPr>
          <w:rFonts w:hint="eastAsia" w:ascii="仿宋_GB2312" w:hAnsi="宋体" w:eastAsia="仿宋_GB2312" w:cs="Times New Roman"/>
          <w:b/>
          <w:bCs/>
          <w:color w:val="auto"/>
          <w:sz w:val="28"/>
          <w:szCs w:val="28"/>
          <w:highlight w:val="none"/>
        </w:rPr>
        <w:t>三、乙供材料的分类</w:t>
      </w:r>
      <w:bookmarkEnd w:id="1086"/>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根据乙供材料的属性以及质量控制关键点，对乙供材料按类别进行管理，具体类别如下：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（一）土建结构类常规材料：钢筋、水泥、混凝土、砌块、管桩、砂浆、预制装配式构件等。</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（二）装饰观感类与机电设备类材料</w:t>
      </w:r>
    </w:p>
    <w:p>
      <w:pPr>
        <w:adjustRightInd w:val="0"/>
        <w:snapToGrid w:val="0"/>
        <w:spacing w:line="600" w:lineRule="exact"/>
        <w:ind w:firstLine="560" w:firstLineChars="200"/>
        <w:rPr>
          <w:rFonts w:ascii="仿宋_GB2312" w:hAnsi="宋体" w:eastAsia="仿宋_GB2312"/>
          <w:color w:val="auto"/>
          <w:sz w:val="32"/>
          <w:szCs w:val="32"/>
          <w:highlight w:val="none"/>
        </w:rPr>
      </w:pPr>
      <w:r>
        <w:rPr>
          <w:rFonts w:hint="eastAsia" w:ascii="仿宋_GB2312" w:hAnsi="宋体" w:eastAsia="仿宋_GB2312"/>
          <w:color w:val="auto"/>
          <w:sz w:val="28"/>
          <w:szCs w:val="28"/>
          <w:highlight w:val="none"/>
        </w:rPr>
        <w:t>1.装饰观感类材料:建筑装饰类、市政工程类，其它与观感有关的类别（以下为常规材料细项附表，不同项目须根据实际实施内容修订材料表）。</w:t>
      </w:r>
    </w:p>
    <w:tbl>
      <w:tblPr>
        <w:tblStyle w:val="28"/>
        <w:tblW w:w="9356" w:type="dxa"/>
        <w:tblInd w:w="-2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8"/>
        <w:gridCol w:w="754"/>
        <w:gridCol w:w="1993"/>
        <w:gridCol w:w="6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b/>
                <w:color w:val="auto"/>
                <w:highlight w:val="none"/>
              </w:rPr>
            </w:pPr>
            <w:r>
              <w:rPr>
                <w:rFonts w:hint="eastAsia" w:ascii="宋体" w:hAnsi="宋体"/>
                <w:b/>
                <w:color w:val="auto"/>
                <w:highlight w:val="none"/>
              </w:rPr>
              <w:t>序号</w:t>
            </w:r>
          </w:p>
        </w:tc>
        <w:tc>
          <w:tcPr>
            <w:tcW w:w="75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b/>
                <w:color w:val="auto"/>
                <w:highlight w:val="none"/>
              </w:rPr>
            </w:pPr>
            <w:r>
              <w:rPr>
                <w:rFonts w:hint="eastAsia" w:ascii="宋体" w:hAnsi="宋体"/>
                <w:b/>
                <w:color w:val="auto"/>
                <w:highlight w:val="none"/>
              </w:rPr>
              <w:t>专业</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b/>
                <w:color w:val="auto"/>
                <w:highlight w:val="none"/>
              </w:rPr>
            </w:pPr>
            <w:r>
              <w:rPr>
                <w:rFonts w:hint="eastAsia" w:ascii="宋体" w:hAnsi="宋体"/>
                <w:b/>
                <w:color w:val="auto"/>
                <w:highlight w:val="none"/>
              </w:rPr>
              <w:t>材料类别名称</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b/>
                <w:color w:val="auto"/>
                <w:highlight w:val="none"/>
              </w:rPr>
            </w:pPr>
            <w:r>
              <w:rPr>
                <w:rFonts w:hint="eastAsia" w:ascii="宋体" w:hAnsi="宋体"/>
                <w:b/>
                <w:color w:val="auto"/>
                <w:highlight w:val="none"/>
              </w:rPr>
              <w:t>材料内容说明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7" w:hRule="atLeas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w:t>
            </w:r>
          </w:p>
        </w:tc>
        <w:tc>
          <w:tcPr>
            <w:tcW w:w="75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建筑装饰类材料</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建筑饰材</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石材、瓷砖（含内、外墙砖、地砖）、栏杆、扶手、瓦片、彩钢板、铝塑板、铝单板、各种轻质墙板、天花板、吸音板、地板等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33"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2</w:t>
            </w:r>
          </w:p>
        </w:tc>
        <w:tc>
          <w:tcPr>
            <w:tcW w:w="75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化工、防水用材</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油漆（乳胶漆、无机涂料、地坪漆）、涂料、腻子等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9"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75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玻璃</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玻璃制品等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9"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4</w:t>
            </w:r>
          </w:p>
        </w:tc>
        <w:tc>
          <w:tcPr>
            <w:tcW w:w="75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门、窗</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所有类型门窗（不含特殊定制门窗）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8" w:hRule="exact"/>
        </w:trPr>
        <w:tc>
          <w:tcPr>
            <w:tcW w:w="5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5</w:t>
            </w:r>
          </w:p>
        </w:tc>
        <w:tc>
          <w:tcPr>
            <w:tcW w:w="754"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五金</w:t>
            </w:r>
          </w:p>
        </w:tc>
        <w:tc>
          <w:tcPr>
            <w:tcW w:w="604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拉手、门锁、闭门器等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0" w:hRule="exact"/>
        </w:trPr>
        <w:tc>
          <w:tcPr>
            <w:tcW w:w="568" w:type="dxa"/>
            <w:tcBorders>
              <w:top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6</w:t>
            </w:r>
          </w:p>
        </w:tc>
        <w:tc>
          <w:tcPr>
            <w:tcW w:w="754" w:type="dxa"/>
            <w:vMerge w:val="continue"/>
            <w:tcBorders>
              <w:top w:val="single" w:color="auto" w:sz="4" w:space="0"/>
            </w:tcBorders>
            <w:vAlign w:val="center"/>
          </w:tcPr>
          <w:p>
            <w:pPr>
              <w:snapToGrid w:val="0"/>
              <w:spacing w:line="240" w:lineRule="exact"/>
              <w:jc w:val="center"/>
              <w:rPr>
                <w:rFonts w:ascii="宋体" w:hAnsi="宋体"/>
                <w:color w:val="auto"/>
                <w:sz w:val="18"/>
                <w:szCs w:val="18"/>
                <w:highlight w:val="none"/>
              </w:rPr>
            </w:pPr>
          </w:p>
        </w:tc>
        <w:tc>
          <w:tcPr>
            <w:tcW w:w="1993" w:type="dxa"/>
            <w:tcBorders>
              <w:top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织物饰材</w:t>
            </w:r>
          </w:p>
        </w:tc>
        <w:tc>
          <w:tcPr>
            <w:tcW w:w="6041" w:type="dxa"/>
            <w:tcBorders>
              <w:top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地毯、墙纸、窗帘等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0"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7</w:t>
            </w:r>
          </w:p>
        </w:tc>
        <w:tc>
          <w:tcPr>
            <w:tcW w:w="754" w:type="dxa"/>
            <w:vMerge w:val="continue"/>
            <w:vAlign w:val="center"/>
          </w:tcPr>
          <w:p>
            <w:pPr>
              <w:snapToGrid w:val="0"/>
              <w:spacing w:line="240" w:lineRule="exact"/>
              <w:jc w:val="center"/>
              <w:rPr>
                <w:rFonts w:ascii="宋体" w:hAnsi="宋体"/>
                <w:color w:val="auto"/>
                <w:sz w:val="18"/>
                <w:szCs w:val="18"/>
                <w:highlight w:val="none"/>
              </w:rPr>
            </w:pP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特殊材料</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具体要求见图纸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3"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8</w:t>
            </w:r>
          </w:p>
        </w:tc>
        <w:tc>
          <w:tcPr>
            <w:tcW w:w="754" w:type="dxa"/>
            <w:vMerge w:val="restart"/>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市政工程材料</w:t>
            </w: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铺装材料</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人行道面砖、侧石、平石、广场砖、石材等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6"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9</w:t>
            </w:r>
          </w:p>
        </w:tc>
        <w:tc>
          <w:tcPr>
            <w:tcW w:w="754" w:type="dxa"/>
            <w:vMerge w:val="continue"/>
            <w:vAlign w:val="center"/>
          </w:tcPr>
          <w:p>
            <w:pPr>
              <w:snapToGrid w:val="0"/>
              <w:spacing w:line="240" w:lineRule="exact"/>
              <w:jc w:val="center"/>
              <w:rPr>
                <w:rFonts w:ascii="宋体" w:hAnsi="宋体"/>
                <w:color w:val="auto"/>
                <w:sz w:val="18"/>
                <w:szCs w:val="18"/>
                <w:highlight w:val="none"/>
              </w:rPr>
            </w:pP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绿化苗木</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乔木、灌木、地被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1"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w:t>
            </w:r>
          </w:p>
        </w:tc>
        <w:tc>
          <w:tcPr>
            <w:tcW w:w="754" w:type="dxa"/>
            <w:vMerge w:val="restart"/>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其它与观感有关的材料</w:t>
            </w: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灯具类</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照明灯、景观灯灯各类灯具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7"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11</w:t>
            </w:r>
          </w:p>
        </w:tc>
        <w:tc>
          <w:tcPr>
            <w:tcW w:w="754" w:type="dxa"/>
            <w:vMerge w:val="continue"/>
            <w:vAlign w:val="center"/>
          </w:tcPr>
          <w:p>
            <w:pPr>
              <w:snapToGrid w:val="0"/>
              <w:spacing w:line="240" w:lineRule="exact"/>
              <w:jc w:val="center"/>
              <w:rPr>
                <w:rFonts w:ascii="宋体" w:hAnsi="宋体"/>
                <w:color w:val="auto"/>
                <w:sz w:val="18"/>
                <w:szCs w:val="18"/>
                <w:highlight w:val="none"/>
              </w:rPr>
            </w:pP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卫生洁具类</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面盆、座厕、蹲厕、小便器、水龙头等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2" w:hRule="atLeast"/>
        </w:trPr>
        <w:tc>
          <w:tcPr>
            <w:tcW w:w="568"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12</w:t>
            </w:r>
          </w:p>
        </w:tc>
        <w:tc>
          <w:tcPr>
            <w:tcW w:w="754" w:type="dxa"/>
            <w:vMerge w:val="continue"/>
            <w:vAlign w:val="center"/>
          </w:tcPr>
          <w:p>
            <w:pPr>
              <w:snapToGrid w:val="0"/>
              <w:spacing w:line="240" w:lineRule="exact"/>
              <w:jc w:val="center"/>
              <w:rPr>
                <w:rFonts w:ascii="宋体" w:hAnsi="宋体"/>
                <w:color w:val="auto"/>
                <w:sz w:val="18"/>
                <w:szCs w:val="18"/>
                <w:highlight w:val="none"/>
              </w:rPr>
            </w:pPr>
          </w:p>
        </w:tc>
        <w:tc>
          <w:tcPr>
            <w:tcW w:w="1993"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开关、插座</w:t>
            </w:r>
          </w:p>
        </w:tc>
        <w:tc>
          <w:tcPr>
            <w:tcW w:w="6041"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各种强弱电开关面板、插座</w:t>
            </w:r>
          </w:p>
        </w:tc>
      </w:tr>
    </w:tbl>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2.机电设备类材料：机电系统材料及设备、弱电系统材料及设备、专用类材料及设备等（以下为常规材料细项附表，不同项目须根据实际实施内容修订材料表）。</w:t>
      </w:r>
    </w:p>
    <w:tbl>
      <w:tblPr>
        <w:tblStyle w:val="28"/>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1"/>
        <w:gridCol w:w="570"/>
        <w:gridCol w:w="2069"/>
        <w:gridCol w:w="6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37" w:hRule="atLeast"/>
          <w:jc w:val="center"/>
        </w:trPr>
        <w:tc>
          <w:tcPr>
            <w:tcW w:w="581"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b/>
                <w:color w:val="auto"/>
                <w:highlight w:val="none"/>
              </w:rPr>
              <w:t>序号</w:t>
            </w:r>
          </w:p>
        </w:tc>
        <w:tc>
          <w:tcPr>
            <w:tcW w:w="570"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b/>
                <w:color w:val="auto"/>
                <w:highlight w:val="none"/>
              </w:rPr>
              <w:t>专业</w:t>
            </w:r>
          </w:p>
        </w:tc>
        <w:tc>
          <w:tcPr>
            <w:tcW w:w="2069"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b/>
                <w:color w:val="auto"/>
                <w:highlight w:val="none"/>
              </w:rPr>
              <w:t>材料类别名称</w:t>
            </w:r>
          </w:p>
        </w:tc>
        <w:tc>
          <w:tcPr>
            <w:tcW w:w="6145"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b/>
                <w:color w:val="auto"/>
                <w:highlight w:val="none"/>
              </w:rPr>
              <w:t>材料内容说明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37" w:hRule="atLeast"/>
          <w:jc w:val="center"/>
        </w:trPr>
        <w:tc>
          <w:tcPr>
            <w:tcW w:w="581"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w:t>
            </w:r>
          </w:p>
        </w:tc>
        <w:tc>
          <w:tcPr>
            <w:tcW w:w="570" w:type="dxa"/>
            <w:vMerge w:val="restart"/>
            <w:vAlign w:val="center"/>
          </w:tcPr>
          <w:p>
            <w:pPr>
              <w:snapToGrid w:val="0"/>
              <w:spacing w:line="240" w:lineRule="exact"/>
              <w:jc w:val="center"/>
              <w:rPr>
                <w:rFonts w:ascii="宋体" w:hAnsi="宋体"/>
                <w:color w:val="auto"/>
                <w:sz w:val="18"/>
                <w:szCs w:val="18"/>
                <w:highlight w:val="none"/>
              </w:rPr>
            </w:pPr>
          </w:p>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机电系统材料及设备</w:t>
            </w:r>
          </w:p>
        </w:tc>
        <w:tc>
          <w:tcPr>
            <w:tcW w:w="2069"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舞台设备、会议设备</w:t>
            </w:r>
          </w:p>
        </w:tc>
        <w:tc>
          <w:tcPr>
            <w:tcW w:w="6145" w:type="dxa"/>
            <w:tcBorders>
              <w:bottom w:val="single" w:color="auto" w:sz="4" w:space="0"/>
            </w:tcBorders>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灯光、音响、演播设备等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0" w:hRule="atLeast"/>
          <w:jc w:val="center"/>
        </w:trPr>
        <w:tc>
          <w:tcPr>
            <w:tcW w:w="581" w:type="dxa"/>
            <w:tcBorders>
              <w:bottom w:val="single" w:color="auto" w:sz="4" w:space="0"/>
            </w:tcBorders>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2</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配电箱、配电柜</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配电箱、低压柜及所包含的断路器、漏电保护器、空气开关、防雷元器件等主要元器件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5"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电线电缆</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高低压电线电缆、母线槽、通信电缆等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8"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4</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管材</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给排水管、消防水管、空调水管、燃气管等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0"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5</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电气设备类</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电梯、变压器、高压柜、发电机等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58"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6</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通风空调设备类</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换气、排气扇、风机（柜）、空调主机、风机盘管、冷却塔、水箱、风口、风阀、消声器、集中供冷等末端设备等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4"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7</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泵及其控制设备</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空调水泵、潜污泵、无负压水泵、成套供水设备、控制柜等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14"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8</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阀门类</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各类阀门、流量计、冷量计量装置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1"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9</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保温材料</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保温棉、保温板材等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8"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消防设备</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泡沫喷淋混成设备、气体灭火系统、消防控制主机、消防广播系统、灭火器、水泵接洽器、报警阀、警铃、消防箱、喷头等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2"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11</w:t>
            </w:r>
          </w:p>
        </w:tc>
        <w:tc>
          <w:tcPr>
            <w:tcW w:w="570" w:type="dxa"/>
            <w:vMerge w:val="restart"/>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弱电系统材料及设备</w:t>
            </w: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综合布线系统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双绞线、信息插座、光纤配线架（含耦合器、面板）、模块式配线架（含理线器）、光缆、跳线、机柜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2"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12</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安防系统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电视墙、控制台、矩阵主机及控制键盘、硬盘录像机、视频交换机、系统服务器、监视器、摄像机、光端机、门禁中央控制器、门禁读卡器、电磁锁、红外双鉴探测器、无线巡更系统等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4"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13</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楼宇自控系统及BMS系统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自控系统（含中央管理计算机）、DDC控制器（含控制器箱、I/O模块）、传感器、BMS系统及服务器、打印机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2"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14</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信息发布、一卡通电子票务系统、远程抄表系统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信息发布主机、发布终端、小型服务器、PC售票终端、检票机、远程抄表系统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8"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15</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网络系统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服务器、交换机、路由器、防火墙、网关等网络设备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6"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16</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停车场管理系统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车库管理设备（主机、验卡机、道闸等），计费系统设备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9"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17</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pacing w:val="-14"/>
                <w:kern w:val="24"/>
                <w:sz w:val="18"/>
                <w:szCs w:val="18"/>
                <w:highlight w:val="none"/>
              </w:rPr>
            </w:pPr>
            <w:r>
              <w:rPr>
                <w:rFonts w:hint="eastAsia" w:ascii="宋体" w:hAnsi="宋体"/>
                <w:color w:val="auto"/>
                <w:sz w:val="18"/>
                <w:szCs w:val="18"/>
                <w:highlight w:val="none"/>
              </w:rPr>
              <w:t>智能照明控制系统</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智能照明控制主机、控制面板等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6"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18</w:t>
            </w:r>
          </w:p>
        </w:tc>
        <w:tc>
          <w:tcPr>
            <w:tcW w:w="570" w:type="dxa"/>
            <w:vMerge w:val="continue"/>
            <w:vAlign w:val="center"/>
          </w:tcPr>
          <w:p>
            <w:pPr>
              <w:snapToGrid w:val="0"/>
              <w:spacing w:line="240" w:lineRule="exact"/>
              <w:jc w:val="center"/>
              <w:rPr>
                <w:rFonts w:ascii="宋体" w:hAnsi="宋体"/>
                <w:color w:val="auto"/>
                <w:sz w:val="18"/>
                <w:szCs w:val="18"/>
                <w:highlight w:val="none"/>
              </w:rPr>
            </w:pP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机房工程</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防静电地板、机房专用空调、UPS主机等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3" w:hRule="atLeast"/>
          <w:jc w:val="center"/>
        </w:trPr>
        <w:tc>
          <w:tcPr>
            <w:tcW w:w="581"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19</w:t>
            </w:r>
          </w:p>
        </w:tc>
        <w:tc>
          <w:tcPr>
            <w:tcW w:w="570"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专用类材料及设备</w:t>
            </w:r>
          </w:p>
        </w:tc>
        <w:tc>
          <w:tcPr>
            <w:tcW w:w="2069" w:type="dxa"/>
            <w:vAlign w:val="center"/>
          </w:tcPr>
          <w:p>
            <w:pPr>
              <w:snapToGrid w:val="0"/>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专用类材料</w:t>
            </w:r>
          </w:p>
        </w:tc>
        <w:tc>
          <w:tcPr>
            <w:tcW w:w="6145" w:type="dxa"/>
            <w:vAlign w:val="center"/>
          </w:tcPr>
          <w:p>
            <w:pPr>
              <w:snapToGrid w:val="0"/>
              <w:spacing w:line="240" w:lineRule="exact"/>
              <w:rPr>
                <w:rFonts w:ascii="宋体" w:hAnsi="宋体"/>
                <w:color w:val="auto"/>
                <w:sz w:val="18"/>
                <w:szCs w:val="18"/>
                <w:highlight w:val="none"/>
              </w:rPr>
            </w:pPr>
            <w:r>
              <w:rPr>
                <w:rFonts w:hint="eastAsia" w:ascii="宋体" w:hAnsi="宋体"/>
                <w:color w:val="auto"/>
                <w:sz w:val="18"/>
                <w:szCs w:val="18"/>
                <w:highlight w:val="none"/>
              </w:rPr>
              <w:t>体育设施、医院类专用设施、文化类专用设施、法院监狱类专用设施等</w:t>
            </w:r>
          </w:p>
        </w:tc>
      </w:tr>
    </w:tbl>
    <w:p>
      <w:pPr>
        <w:adjustRightInd w:val="0"/>
        <w:snapToGrid w:val="0"/>
        <w:spacing w:line="600" w:lineRule="exact"/>
        <w:ind w:firstLine="562" w:firstLineChars="200"/>
        <w:rPr>
          <w:rFonts w:ascii="仿宋_GB2312" w:hAnsi="宋体" w:eastAsia="仿宋_GB2312" w:cs="Times New Roman"/>
          <w:b/>
          <w:bCs/>
          <w:color w:val="auto"/>
          <w:sz w:val="28"/>
          <w:szCs w:val="28"/>
          <w:highlight w:val="none"/>
        </w:rPr>
      </w:pPr>
      <w:bookmarkStart w:id="1087" w:name="_Toc26461"/>
      <w:r>
        <w:rPr>
          <w:rFonts w:hint="eastAsia" w:ascii="仿宋_GB2312" w:hAnsi="宋体" w:eastAsia="仿宋_GB2312" w:cs="Times New Roman"/>
          <w:b/>
          <w:bCs/>
          <w:color w:val="auto"/>
          <w:sz w:val="28"/>
          <w:szCs w:val="28"/>
          <w:highlight w:val="none"/>
        </w:rPr>
        <w:t>四、乙供材料审批工作流程</w:t>
      </w:r>
      <w:bookmarkEnd w:id="1087"/>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（一）乙供材料审批工作流程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为提高乙供材料的审批效率，按照乙供材料的分类属性、具体流程图如下：</w:t>
      </w:r>
    </w:p>
    <w:p>
      <w:pPr>
        <w:ind w:left="-2" w:leftChars="-270" w:hanging="565" w:hangingChars="202"/>
        <w:rPr>
          <w:rFonts w:ascii="仿宋_GB2312" w:hAnsi="宋体" w:eastAsia="仿宋_GB2312"/>
          <w:color w:val="auto"/>
          <w:sz w:val="28"/>
          <w:szCs w:val="28"/>
          <w:highlight w:val="none"/>
        </w:rPr>
      </w:pPr>
      <w:r>
        <w:rPr>
          <w:rFonts w:ascii="仿宋_GB2312" w:hAnsi="宋体" w:eastAsia="仿宋_GB2312"/>
          <w:color w:val="auto"/>
          <w:sz w:val="28"/>
          <w:szCs w:val="28"/>
          <w:highlight w:val="none"/>
        </w:rPr>
        <mc:AlternateContent>
          <mc:Choice Requires="wpc">
            <w:drawing>
              <wp:inline distT="0" distB="0" distL="114300" distR="114300">
                <wp:extent cx="6334760" cy="6705600"/>
                <wp:effectExtent l="0" t="5080" r="8890" b="0"/>
                <wp:docPr id="122" name="画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652"/>
                        <wps:cNvSpPr txBox="1"/>
                        <wps:spPr>
                          <a:xfrm>
                            <a:off x="2800031" y="2231554"/>
                            <a:ext cx="570377" cy="693532"/>
                          </a:xfrm>
                          <a:prstGeom prst="rect">
                            <a:avLst/>
                          </a:prstGeom>
                          <a:solidFill>
                            <a:srgbClr val="FFFFFF"/>
                          </a:solidFill>
                          <a:ln>
                            <a:noFill/>
                          </a:ln>
                        </wps:spPr>
                        <wps:txbx>
                          <w:txbxContent>
                            <w:p>
                              <w:pPr>
                                <w:spacing w:line="200" w:lineRule="atLeast"/>
                                <w:rPr>
                                  <w:spacing w:val="-20"/>
                                  <w:kern w:val="10"/>
                                  <w:position w:val="-6"/>
                                  <w:szCs w:val="21"/>
                                </w:rPr>
                              </w:pPr>
                              <w:r>
                                <w:rPr>
                                  <w:rFonts w:hint="eastAsia"/>
                                  <w:spacing w:val="-20"/>
                                  <w:kern w:val="10"/>
                                  <w:position w:val="-6"/>
                                  <w:szCs w:val="21"/>
                                </w:rPr>
                                <w:t>不符合合同要求</w:t>
                              </w:r>
                            </w:p>
                          </w:txbxContent>
                        </wps:txbx>
                        <wps:bodyPr vert="horz" wrap="square" anchor="t" anchorCtr="0" upright="1"/>
                      </wps:wsp>
                      <wps:wsp>
                        <wps:cNvPr id="2" name="文本框 653"/>
                        <wps:cNvSpPr txBox="1"/>
                        <wps:spPr>
                          <a:xfrm>
                            <a:off x="1648323" y="3170848"/>
                            <a:ext cx="571107" cy="296811"/>
                          </a:xfrm>
                          <a:prstGeom prst="rect">
                            <a:avLst/>
                          </a:prstGeom>
                          <a:solidFill>
                            <a:srgbClr val="FFFFFF"/>
                          </a:solidFill>
                          <a:ln>
                            <a:noFill/>
                          </a:ln>
                        </wps:spPr>
                        <wps:txbx>
                          <w:txbxContent>
                            <w:p>
                              <w:r>
                                <w:rPr>
                                  <w:rFonts w:hint="eastAsia"/>
                                </w:rPr>
                                <w:t>同意</w:t>
                              </w:r>
                            </w:p>
                          </w:txbxContent>
                        </wps:txbx>
                        <wps:bodyPr vert="horz" wrap="square" anchor="t" anchorCtr="0" upright="1"/>
                      </wps:wsp>
                      <wps:wsp>
                        <wps:cNvPr id="3" name="文本框 654"/>
                        <wps:cNvSpPr txBox="1"/>
                        <wps:spPr>
                          <a:xfrm>
                            <a:off x="1990111" y="0"/>
                            <a:ext cx="1823599"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10" w:firstLineChars="147"/>
                                <w:jc w:val="center"/>
                                <w:rPr>
                                  <w:b/>
                                </w:rPr>
                              </w:pPr>
                              <w:r>
                                <w:rPr>
                                  <w:rFonts w:hint="eastAsia"/>
                                  <w:b/>
                                </w:rPr>
                                <w:t>材料定板清单</w:t>
                              </w:r>
                            </w:p>
                          </w:txbxContent>
                        </wps:txbx>
                        <wps:bodyPr vert="horz" wrap="square" anchor="t" anchorCtr="0" upright="1"/>
                      </wps:wsp>
                      <wps:wsp>
                        <wps:cNvPr id="4" name="直线 655"/>
                        <wps:cNvCnPr/>
                        <wps:spPr>
                          <a:xfrm>
                            <a:off x="2905197" y="297540"/>
                            <a:ext cx="0" cy="197631"/>
                          </a:xfrm>
                          <a:prstGeom prst="line">
                            <a:avLst/>
                          </a:prstGeom>
                          <a:ln w="9525" cap="flat" cmpd="sng">
                            <a:solidFill>
                              <a:srgbClr val="000000"/>
                            </a:solidFill>
                            <a:prstDash val="solid"/>
                            <a:headEnd type="none" w="med" len="med"/>
                            <a:tailEnd type="none" w="med" len="med"/>
                          </a:ln>
                        </wps:spPr>
                        <wps:bodyPr/>
                      </wps:wsp>
                      <wps:wsp>
                        <wps:cNvPr id="5" name="直线 656"/>
                        <wps:cNvCnPr/>
                        <wps:spPr>
                          <a:xfrm>
                            <a:off x="1533663" y="495172"/>
                            <a:ext cx="2624025" cy="729"/>
                          </a:xfrm>
                          <a:prstGeom prst="line">
                            <a:avLst/>
                          </a:prstGeom>
                          <a:ln w="9525" cap="flat" cmpd="sng">
                            <a:solidFill>
                              <a:srgbClr val="000000"/>
                            </a:solidFill>
                            <a:prstDash val="solid"/>
                            <a:headEnd type="none" w="med" len="med"/>
                            <a:tailEnd type="none" w="med" len="med"/>
                          </a:ln>
                        </wps:spPr>
                        <wps:bodyPr/>
                      </wps:wsp>
                      <wps:wsp>
                        <wps:cNvPr id="6" name="直线 657"/>
                        <wps:cNvCnPr/>
                        <wps:spPr>
                          <a:xfrm>
                            <a:off x="1533663" y="495172"/>
                            <a:ext cx="0" cy="297540"/>
                          </a:xfrm>
                          <a:prstGeom prst="line">
                            <a:avLst/>
                          </a:prstGeom>
                          <a:ln w="9525" cap="flat" cmpd="sng">
                            <a:solidFill>
                              <a:srgbClr val="000000"/>
                            </a:solidFill>
                            <a:prstDash val="solid"/>
                            <a:headEnd type="none" w="med" len="med"/>
                            <a:tailEnd type="triangle" w="med" len="med"/>
                          </a:ln>
                        </wps:spPr>
                        <wps:bodyPr/>
                      </wps:wsp>
                      <wps:wsp>
                        <wps:cNvPr id="7" name="文本框 658"/>
                        <wps:cNvSpPr txBox="1"/>
                        <wps:spPr>
                          <a:xfrm>
                            <a:off x="733967" y="792712"/>
                            <a:ext cx="1484002"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土建结构类常规材料</w:t>
                              </w:r>
                            </w:p>
                          </w:txbxContent>
                        </wps:txbx>
                        <wps:bodyPr vert="horz" wrap="square" anchor="t" anchorCtr="0" upright="1"/>
                      </wps:wsp>
                      <wps:wsp>
                        <wps:cNvPr id="8" name="文本框 660"/>
                        <wps:cNvSpPr txBox="1"/>
                        <wps:spPr>
                          <a:xfrm>
                            <a:off x="3039575" y="792712"/>
                            <a:ext cx="2274204"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装饰观感类材料和机电设备类材料</w:t>
                              </w:r>
                            </w:p>
                            <w:p>
                              <w:pPr>
                                <w:rPr>
                                  <w:b/>
                                </w:rPr>
                              </w:pPr>
                              <w:r>
                                <w:rPr>
                                  <w:rFonts w:hint="eastAsia"/>
                                  <w:b/>
                                </w:rPr>
                                <w:t>机电设备类材料</w:t>
                              </w:r>
                            </w:p>
                          </w:txbxContent>
                        </wps:txbx>
                        <wps:bodyPr vert="horz" wrap="square" anchor="t" anchorCtr="0" upright="1"/>
                      </wps:wsp>
                      <wps:wsp>
                        <wps:cNvPr id="9" name="文本框 661"/>
                        <wps:cNvSpPr txBox="1"/>
                        <wps:spPr>
                          <a:xfrm>
                            <a:off x="1076486" y="1287884"/>
                            <a:ext cx="913625"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符合性审查</w:t>
                              </w:r>
                            </w:p>
                          </w:txbxContent>
                        </wps:txbx>
                        <wps:bodyPr vert="horz" wrap="square" anchor="t" anchorCtr="0" upright="1"/>
                      </wps:wsp>
                      <wps:wsp>
                        <wps:cNvPr id="10" name="直线 664"/>
                        <wps:cNvCnPr/>
                        <wps:spPr>
                          <a:xfrm>
                            <a:off x="4159149" y="1090253"/>
                            <a:ext cx="730" cy="197631"/>
                          </a:xfrm>
                          <a:prstGeom prst="line">
                            <a:avLst/>
                          </a:prstGeom>
                          <a:ln w="9525" cap="flat" cmpd="sng">
                            <a:solidFill>
                              <a:srgbClr val="000000"/>
                            </a:solidFill>
                            <a:prstDash val="solid"/>
                            <a:headEnd type="none" w="med" len="med"/>
                            <a:tailEnd type="triangle" w="med" len="med"/>
                          </a:ln>
                        </wps:spPr>
                        <wps:bodyPr/>
                      </wps:wsp>
                      <wps:wsp>
                        <wps:cNvPr id="11" name="文本框 670"/>
                        <wps:cNvSpPr txBox="1"/>
                        <wps:spPr>
                          <a:xfrm>
                            <a:off x="3693938" y="1279132"/>
                            <a:ext cx="914355" cy="2968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rPr>
                              </w:pPr>
                              <w:r>
                                <w:rPr>
                                  <w:rFonts w:hint="eastAsia"/>
                                  <w:b/>
                                </w:rPr>
                                <w:t>看样定板</w:t>
                              </w:r>
                            </w:p>
                          </w:txbxContent>
                        </wps:txbx>
                        <wps:bodyPr vert="horz" wrap="square" anchor="t" anchorCtr="0" upright="1"/>
                      </wps:wsp>
                      <wps:wsp>
                        <wps:cNvPr id="12" name="直线 672"/>
                        <wps:cNvCnPr/>
                        <wps:spPr>
                          <a:xfrm>
                            <a:off x="1533663" y="1090253"/>
                            <a:ext cx="0" cy="197631"/>
                          </a:xfrm>
                          <a:prstGeom prst="line">
                            <a:avLst/>
                          </a:prstGeom>
                          <a:ln w="9525" cap="flat" cmpd="sng">
                            <a:solidFill>
                              <a:srgbClr val="000000"/>
                            </a:solidFill>
                            <a:prstDash val="solid"/>
                            <a:headEnd type="none" w="med" len="med"/>
                            <a:tailEnd type="triangle" w="med" len="med"/>
                          </a:ln>
                        </wps:spPr>
                        <wps:bodyPr/>
                      </wps:wsp>
                      <wps:wsp>
                        <wps:cNvPr id="13" name="直线 675"/>
                        <wps:cNvCnPr/>
                        <wps:spPr>
                          <a:xfrm>
                            <a:off x="4157688" y="495172"/>
                            <a:ext cx="1461" cy="297540"/>
                          </a:xfrm>
                          <a:prstGeom prst="line">
                            <a:avLst/>
                          </a:prstGeom>
                          <a:ln w="9525" cap="flat" cmpd="sng">
                            <a:solidFill>
                              <a:srgbClr val="000000"/>
                            </a:solidFill>
                            <a:prstDash val="solid"/>
                            <a:headEnd type="none" w="med" len="med"/>
                            <a:tailEnd type="triangle" w="med" len="med"/>
                          </a:ln>
                        </wps:spPr>
                        <wps:bodyPr/>
                      </wps:wsp>
                      <wps:wsp>
                        <wps:cNvPr id="14" name="自选图形 676"/>
                        <wps:cNvSpPr/>
                        <wps:spPr>
                          <a:xfrm rot="5400000">
                            <a:off x="1313108" y="1646682"/>
                            <a:ext cx="396562" cy="228989"/>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15" name="文本框 677"/>
                        <wps:cNvSpPr txBox="1"/>
                        <wps:spPr>
                          <a:xfrm>
                            <a:off x="847897" y="1981415"/>
                            <a:ext cx="1516866" cy="6935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highlight w:val="yellow"/>
                                </w:rPr>
                              </w:pPr>
                              <w:r>
                                <w:rPr>
                                  <w:rFonts w:hint="eastAsia"/>
                                </w:rPr>
                                <w:t>施工单位按每一种材料填报《乙供材料（设备）定板审批表》</w:t>
                              </w:r>
                            </w:p>
                          </w:txbxContent>
                        </wps:txbx>
                        <wps:bodyPr vert="horz" wrap="square" anchor="t" anchorCtr="0" upright="1"/>
                      </wps:wsp>
                      <wps:wsp>
                        <wps:cNvPr id="16" name="文本框 678"/>
                        <wps:cNvSpPr txBox="1"/>
                        <wps:spPr>
                          <a:xfrm>
                            <a:off x="3693938" y="2925086"/>
                            <a:ext cx="1227661" cy="298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监理单位审核</w:t>
                              </w:r>
                            </w:p>
                          </w:txbxContent>
                        </wps:txbx>
                        <wps:bodyPr vert="horz" wrap="square" anchor="t" anchorCtr="0" upright="1"/>
                      </wps:wsp>
                      <wps:wsp>
                        <wps:cNvPr id="17" name="直线 679"/>
                        <wps:cNvCnPr/>
                        <wps:spPr>
                          <a:xfrm>
                            <a:off x="96402" y="2180505"/>
                            <a:ext cx="751495" cy="729"/>
                          </a:xfrm>
                          <a:prstGeom prst="line">
                            <a:avLst/>
                          </a:prstGeom>
                          <a:ln w="9525" cap="flat" cmpd="sng">
                            <a:solidFill>
                              <a:srgbClr val="000000"/>
                            </a:solidFill>
                            <a:prstDash val="solid"/>
                            <a:headEnd type="none" w="med" len="med"/>
                            <a:tailEnd type="triangle" w="med" len="med"/>
                          </a:ln>
                        </wps:spPr>
                        <wps:bodyPr/>
                      </wps:wsp>
                      <wps:wsp>
                        <wps:cNvPr id="18" name="直线 680"/>
                        <wps:cNvCnPr/>
                        <wps:spPr>
                          <a:xfrm>
                            <a:off x="1533663" y="3170848"/>
                            <a:ext cx="730" cy="296811"/>
                          </a:xfrm>
                          <a:prstGeom prst="line">
                            <a:avLst/>
                          </a:prstGeom>
                          <a:ln w="9525" cap="flat" cmpd="sng">
                            <a:solidFill>
                              <a:srgbClr val="000000"/>
                            </a:solidFill>
                            <a:prstDash val="solid"/>
                            <a:headEnd type="none" w="med" len="med"/>
                            <a:tailEnd type="triangle" w="med" len="med"/>
                          </a:ln>
                        </wps:spPr>
                        <wps:bodyPr/>
                      </wps:wsp>
                      <wps:wsp>
                        <wps:cNvPr id="19" name="文本框 681"/>
                        <wps:cNvSpPr txBox="1"/>
                        <wps:spPr>
                          <a:xfrm>
                            <a:off x="962556" y="3467659"/>
                            <a:ext cx="1142944" cy="3026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项目管理部备案</w:t>
                              </w:r>
                            </w:p>
                          </w:txbxContent>
                        </wps:txbx>
                        <wps:bodyPr vert="horz" wrap="square" anchor="t" anchorCtr="0" upright="1"/>
                      </wps:wsp>
                      <wps:wsp>
                        <wps:cNvPr id="20" name="直线 682"/>
                        <wps:cNvCnPr/>
                        <wps:spPr>
                          <a:xfrm>
                            <a:off x="1533663" y="2674947"/>
                            <a:ext cx="0" cy="198360"/>
                          </a:xfrm>
                          <a:prstGeom prst="line">
                            <a:avLst/>
                          </a:prstGeom>
                          <a:ln w="9525" cap="flat" cmpd="sng">
                            <a:solidFill>
                              <a:srgbClr val="000000"/>
                            </a:solidFill>
                            <a:prstDash val="solid"/>
                            <a:headEnd type="none" w="med" len="med"/>
                            <a:tailEnd type="triangle" w="med" len="med"/>
                          </a:ln>
                        </wps:spPr>
                        <wps:bodyPr/>
                      </wps:wsp>
                      <wps:wsp>
                        <wps:cNvPr id="21" name="直线 683"/>
                        <wps:cNvCnPr/>
                        <wps:spPr>
                          <a:xfrm flipH="1">
                            <a:off x="97132" y="3071668"/>
                            <a:ext cx="701834" cy="1459"/>
                          </a:xfrm>
                          <a:prstGeom prst="line">
                            <a:avLst/>
                          </a:prstGeom>
                          <a:ln w="9525" cap="flat" cmpd="sng">
                            <a:solidFill>
                              <a:srgbClr val="000000"/>
                            </a:solidFill>
                            <a:prstDash val="solid"/>
                            <a:headEnd type="none" w="med" len="med"/>
                            <a:tailEnd type="none" w="med" len="med"/>
                          </a:ln>
                        </wps:spPr>
                        <wps:bodyPr/>
                      </wps:wsp>
                      <wps:wsp>
                        <wps:cNvPr id="22" name="直线 684"/>
                        <wps:cNvCnPr/>
                        <wps:spPr>
                          <a:xfrm flipH="1" flipV="1">
                            <a:off x="96402" y="2181234"/>
                            <a:ext cx="730" cy="891892"/>
                          </a:xfrm>
                          <a:prstGeom prst="line">
                            <a:avLst/>
                          </a:prstGeom>
                          <a:ln w="9525" cap="flat" cmpd="sng">
                            <a:solidFill>
                              <a:srgbClr val="000000"/>
                            </a:solidFill>
                            <a:prstDash val="solid"/>
                            <a:headEnd type="none" w="med" len="med"/>
                            <a:tailEnd type="none" w="med" len="med"/>
                          </a:ln>
                        </wps:spPr>
                        <wps:bodyPr/>
                      </wps:wsp>
                      <wps:wsp>
                        <wps:cNvPr id="23" name="自选图形 701"/>
                        <wps:cNvSpPr/>
                        <wps:spPr>
                          <a:xfrm rot="5400000">
                            <a:off x="3948088" y="1646682"/>
                            <a:ext cx="396562" cy="229719"/>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24" name="文本框 703"/>
                        <wps:cNvSpPr txBox="1"/>
                        <wps:spPr>
                          <a:xfrm>
                            <a:off x="2558297" y="6017173"/>
                            <a:ext cx="1485463" cy="514862"/>
                          </a:xfrm>
                          <a:prstGeom prst="rect">
                            <a:avLst/>
                          </a:prstGeom>
                          <a:solidFill>
                            <a:srgbClr val="FFFFFF"/>
                          </a:solidFill>
                          <a:ln>
                            <a:noFill/>
                          </a:ln>
                        </wps:spPr>
                        <wps:txbx>
                          <w:txbxContent>
                            <w:p>
                              <w:pPr>
                                <w:rPr>
                                  <w:rFonts w:ascii="宋体" w:hAnsi="宋体"/>
                                  <w:b/>
                                  <w:sz w:val="28"/>
                                  <w:szCs w:val="28"/>
                                </w:rPr>
                              </w:pPr>
                              <w:r>
                                <w:rPr>
                                  <w:rFonts w:hint="eastAsia" w:ascii="宋体" w:hAnsi="宋体"/>
                                  <w:b/>
                                  <w:sz w:val="28"/>
                                  <w:szCs w:val="28"/>
                                </w:rPr>
                                <w:t>（流程图）</w:t>
                              </w:r>
                            </w:p>
                          </w:txbxContent>
                        </wps:txbx>
                        <wps:bodyPr vert="horz" wrap="square" anchor="t" anchorCtr="0" upright="1"/>
                      </wps:wsp>
                      <wps:wsp>
                        <wps:cNvPr id="25" name="文本框 677"/>
                        <wps:cNvSpPr txBox="1"/>
                        <wps:spPr>
                          <a:xfrm>
                            <a:off x="3477034" y="1971935"/>
                            <a:ext cx="1993032" cy="6935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施工单位按每一种材料填报《乙供材料（设备）定板审批表》并提供样板及资料</w:t>
                              </w:r>
                            </w:p>
                          </w:txbxContent>
                        </wps:txbx>
                        <wps:bodyPr vert="horz" wrap="square" anchor="t" anchorCtr="0" upright="1"/>
                      </wps:wsp>
                      <wps:wsp>
                        <wps:cNvPr id="26" name="文本框 678"/>
                        <wps:cNvSpPr txBox="1"/>
                        <wps:spPr>
                          <a:xfrm>
                            <a:off x="798966" y="2873308"/>
                            <a:ext cx="1495687" cy="297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监理单位审核或考察</w:t>
                              </w:r>
                            </w:p>
                          </w:txbxContent>
                        </wps:txbx>
                        <wps:bodyPr vert="horz" wrap="square" anchor="t" anchorCtr="0" upright="1"/>
                      </wps:wsp>
                      <wps:wsp>
                        <wps:cNvPr id="27" name="直线 679"/>
                        <wps:cNvCnPr/>
                        <wps:spPr>
                          <a:xfrm flipV="1">
                            <a:off x="2743797" y="2179776"/>
                            <a:ext cx="733237" cy="1459"/>
                          </a:xfrm>
                          <a:prstGeom prst="line">
                            <a:avLst/>
                          </a:prstGeom>
                          <a:ln w="9525" cap="flat" cmpd="sng">
                            <a:solidFill>
                              <a:srgbClr val="000000"/>
                            </a:solidFill>
                            <a:prstDash val="solid"/>
                            <a:headEnd type="none" w="med" len="med"/>
                            <a:tailEnd type="triangle" w="med" len="med"/>
                          </a:ln>
                        </wps:spPr>
                        <wps:bodyPr/>
                      </wps:wsp>
                      <wps:wsp>
                        <wps:cNvPr id="28" name="直线 683"/>
                        <wps:cNvCnPr/>
                        <wps:spPr>
                          <a:xfrm flipH="1">
                            <a:off x="2743797" y="3076044"/>
                            <a:ext cx="950141" cy="729"/>
                          </a:xfrm>
                          <a:prstGeom prst="line">
                            <a:avLst/>
                          </a:prstGeom>
                          <a:ln w="9525" cap="flat" cmpd="sng">
                            <a:solidFill>
                              <a:srgbClr val="000000"/>
                            </a:solidFill>
                            <a:prstDash val="solid"/>
                            <a:headEnd type="none" w="med" len="med"/>
                            <a:tailEnd type="none" w="med" len="med"/>
                          </a:ln>
                        </wps:spPr>
                        <wps:bodyPr/>
                      </wps:wsp>
                      <wps:wsp>
                        <wps:cNvPr id="29" name="直线 655"/>
                        <wps:cNvCnPr/>
                        <wps:spPr>
                          <a:xfrm>
                            <a:off x="2743066" y="2181234"/>
                            <a:ext cx="730" cy="894809"/>
                          </a:xfrm>
                          <a:prstGeom prst="line">
                            <a:avLst/>
                          </a:prstGeom>
                          <a:ln w="9525" cap="flat" cmpd="sng">
                            <a:solidFill>
                              <a:srgbClr val="000000"/>
                            </a:solidFill>
                            <a:prstDash val="solid"/>
                            <a:headEnd type="none" w="med" len="med"/>
                            <a:tailEnd type="none" w="med" len="med"/>
                          </a:ln>
                        </wps:spPr>
                        <wps:bodyPr/>
                      </wps:wsp>
                      <wps:wsp>
                        <wps:cNvPr id="30" name="文本框 652"/>
                        <wps:cNvSpPr txBox="1"/>
                        <wps:spPr>
                          <a:xfrm>
                            <a:off x="156288" y="2231554"/>
                            <a:ext cx="577680" cy="693532"/>
                          </a:xfrm>
                          <a:prstGeom prst="rect">
                            <a:avLst/>
                          </a:prstGeom>
                          <a:solidFill>
                            <a:srgbClr val="FFFFFF"/>
                          </a:solidFill>
                          <a:ln>
                            <a:noFill/>
                          </a:ln>
                        </wps:spPr>
                        <wps:txbx>
                          <w:txbxContent>
                            <w:p>
                              <w:pPr>
                                <w:spacing w:line="200" w:lineRule="atLeast"/>
                                <w:rPr>
                                  <w:spacing w:val="-20"/>
                                  <w:kern w:val="10"/>
                                  <w:position w:val="-6"/>
                                  <w:szCs w:val="21"/>
                                </w:rPr>
                              </w:pPr>
                              <w:r>
                                <w:rPr>
                                  <w:rFonts w:hint="eastAsia"/>
                                  <w:spacing w:val="-20"/>
                                  <w:kern w:val="10"/>
                                  <w:position w:val="-6"/>
                                  <w:szCs w:val="21"/>
                                </w:rPr>
                                <w:t>不符合规定要求</w:t>
                              </w:r>
                            </w:p>
                          </w:txbxContent>
                        </wps:txbx>
                        <wps:bodyPr vert="horz" wrap="square" anchor="t" anchorCtr="0" upright="1"/>
                      </wps:wsp>
                      <wps:wsp>
                        <wps:cNvPr id="31" name="直线 680"/>
                        <wps:cNvCnPr/>
                        <wps:spPr>
                          <a:xfrm>
                            <a:off x="4208080" y="3223355"/>
                            <a:ext cx="1461" cy="296082"/>
                          </a:xfrm>
                          <a:prstGeom prst="line">
                            <a:avLst/>
                          </a:prstGeom>
                          <a:ln w="9525" cap="flat" cmpd="sng">
                            <a:solidFill>
                              <a:srgbClr val="000000"/>
                            </a:solidFill>
                            <a:prstDash val="solid"/>
                            <a:headEnd type="none" w="med" len="med"/>
                            <a:tailEnd type="triangle" w="med" len="med"/>
                          </a:ln>
                        </wps:spPr>
                        <wps:bodyPr/>
                      </wps:wsp>
                      <wps:wsp>
                        <wps:cNvPr id="32" name="直线 664"/>
                        <wps:cNvCnPr/>
                        <wps:spPr>
                          <a:xfrm>
                            <a:off x="4209541" y="2674947"/>
                            <a:ext cx="730" cy="250138"/>
                          </a:xfrm>
                          <a:prstGeom prst="line">
                            <a:avLst/>
                          </a:prstGeom>
                          <a:ln w="9525" cap="flat" cmpd="sng">
                            <a:solidFill>
                              <a:srgbClr val="000000"/>
                            </a:solidFill>
                            <a:prstDash val="solid"/>
                            <a:headEnd type="none" w="med" len="med"/>
                            <a:tailEnd type="triangle" w="med" len="med"/>
                          </a:ln>
                        </wps:spPr>
                        <wps:bodyPr/>
                      </wps:wsp>
                      <wps:wsp>
                        <wps:cNvPr id="33" name="AutoShape 66"/>
                        <wps:cNvSpPr/>
                        <wps:spPr>
                          <a:xfrm>
                            <a:off x="3608491" y="3519437"/>
                            <a:ext cx="1188954" cy="927626"/>
                          </a:xfrm>
                          <a:prstGeom prst="diamond">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34" name="Text Box 73"/>
                        <wps:cNvSpPr txBox="1"/>
                        <wps:spPr>
                          <a:xfrm>
                            <a:off x="5193276" y="3711963"/>
                            <a:ext cx="1131259" cy="486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施工单位进行样板区（段）施工</w:t>
                              </w:r>
                            </w:p>
                          </w:txbxContent>
                        </wps:txbx>
                        <wps:bodyPr vert="horz" wrap="square" anchor="t" anchorCtr="0" upright="1"/>
                      </wps:wsp>
                      <wps:wsp>
                        <wps:cNvPr id="35" name="直线 679"/>
                        <wps:cNvCnPr/>
                        <wps:spPr>
                          <a:xfrm flipV="1">
                            <a:off x="4797445" y="3986167"/>
                            <a:ext cx="395831" cy="2188"/>
                          </a:xfrm>
                          <a:prstGeom prst="line">
                            <a:avLst/>
                          </a:prstGeom>
                          <a:ln w="9525" cap="flat" cmpd="sng">
                            <a:solidFill>
                              <a:srgbClr val="000000"/>
                            </a:solidFill>
                            <a:prstDash val="solid"/>
                            <a:headEnd type="none" w="med" len="med"/>
                            <a:tailEnd type="triangle" w="med" len="med"/>
                          </a:ln>
                        </wps:spPr>
                        <wps:bodyPr/>
                      </wps:wsp>
                      <wps:wsp>
                        <wps:cNvPr id="36" name="Text Box 76"/>
                        <wps:cNvSpPr txBox="1"/>
                        <wps:spPr>
                          <a:xfrm>
                            <a:off x="3708544" y="3770305"/>
                            <a:ext cx="959635" cy="589247"/>
                          </a:xfrm>
                          <a:prstGeom prst="rect">
                            <a:avLst/>
                          </a:prstGeom>
                          <a:noFill/>
                          <a:ln>
                            <a:noFill/>
                          </a:ln>
                        </wps:spPr>
                        <wps:txbx>
                          <w:txbxContent>
                            <w:p>
                              <w:pPr>
                                <w:spacing w:line="240" w:lineRule="exact"/>
                                <w:jc w:val="center"/>
                                <w:rPr>
                                  <w:sz w:val="18"/>
                                </w:rPr>
                              </w:pPr>
                              <w:r>
                                <w:rPr>
                                  <w:rFonts w:hint="eastAsia"/>
                                  <w:sz w:val="18"/>
                                </w:rPr>
                                <w:t>是否对装饰、装修景观效果有重大影响</w:t>
                              </w:r>
                            </w:p>
                          </w:txbxContent>
                        </wps:txbx>
                        <wps:bodyPr vert="horz" wrap="square" anchor="t" anchorCtr="0" upright="1"/>
                      </wps:wsp>
                      <wps:wsp>
                        <wps:cNvPr id="37" name="Text Box 83"/>
                        <wps:cNvSpPr txBox="1"/>
                        <wps:spPr>
                          <a:xfrm>
                            <a:off x="3813710" y="5540962"/>
                            <a:ext cx="850818" cy="2676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封样定板</w:t>
                              </w:r>
                            </w:p>
                          </w:txbxContent>
                        </wps:txbx>
                        <wps:bodyPr vert="horz" wrap="square" anchor="t" anchorCtr="0" upright="1"/>
                      </wps:wsp>
                      <wps:wsp>
                        <wps:cNvPr id="38" name="Text Box 83"/>
                        <wps:cNvSpPr txBox="1"/>
                        <wps:spPr>
                          <a:xfrm>
                            <a:off x="3655231" y="4817531"/>
                            <a:ext cx="1142214" cy="427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看样定板会议集中评审</w:t>
                              </w:r>
                            </w:p>
                          </w:txbxContent>
                        </wps:txbx>
                        <wps:bodyPr vert="horz" wrap="square" anchor="t" anchorCtr="0" upright="1"/>
                      </wps:wsp>
                      <wps:wsp>
                        <wps:cNvPr id="39" name="直线 680"/>
                        <wps:cNvCnPr/>
                        <wps:spPr>
                          <a:xfrm>
                            <a:off x="4204429" y="5244880"/>
                            <a:ext cx="2191" cy="296082"/>
                          </a:xfrm>
                          <a:prstGeom prst="line">
                            <a:avLst/>
                          </a:prstGeom>
                          <a:ln w="9525" cap="flat" cmpd="sng">
                            <a:solidFill>
                              <a:srgbClr val="000000"/>
                            </a:solidFill>
                            <a:prstDash val="solid"/>
                            <a:headEnd type="none" w="med" len="med"/>
                            <a:tailEnd type="triangle" w="med" len="med"/>
                          </a:ln>
                        </wps:spPr>
                        <wps:bodyPr/>
                      </wps:wsp>
                      <wps:wsp>
                        <wps:cNvPr id="40" name="直线 680"/>
                        <wps:cNvCnPr/>
                        <wps:spPr>
                          <a:xfrm flipH="1">
                            <a:off x="4208080" y="4447063"/>
                            <a:ext cx="2191" cy="370467"/>
                          </a:xfrm>
                          <a:prstGeom prst="line">
                            <a:avLst/>
                          </a:prstGeom>
                          <a:ln w="9525" cap="flat" cmpd="sng">
                            <a:solidFill>
                              <a:srgbClr val="000000"/>
                            </a:solidFill>
                            <a:prstDash val="solid"/>
                            <a:headEnd type="none" w="med" len="med"/>
                            <a:tailEnd type="triangle" w="med" len="med"/>
                          </a:ln>
                        </wps:spPr>
                        <wps:bodyPr/>
                      </wps:wsp>
                      <wps:wsp>
                        <wps:cNvPr id="41" name="Text Box 78"/>
                        <wps:cNvSpPr txBox="1"/>
                        <wps:spPr>
                          <a:xfrm>
                            <a:off x="4797445" y="3666020"/>
                            <a:ext cx="295048" cy="322336"/>
                          </a:xfrm>
                          <a:prstGeom prst="rect">
                            <a:avLst/>
                          </a:prstGeom>
                          <a:noFill/>
                          <a:ln>
                            <a:noFill/>
                          </a:ln>
                        </wps:spPr>
                        <wps:txbx>
                          <w:txbxContent>
                            <w:p>
                              <w:r>
                                <w:rPr>
                                  <w:rFonts w:hint="eastAsia"/>
                                </w:rPr>
                                <w:t>是</w:t>
                              </w:r>
                            </w:p>
                          </w:txbxContent>
                        </wps:txbx>
                        <wps:bodyPr vert="horz" wrap="square" anchor="t" anchorCtr="0" upright="1"/>
                      </wps:wsp>
                      <wps:wsp>
                        <wps:cNvPr id="42" name="直线 655"/>
                        <wps:cNvCnPr/>
                        <wps:spPr>
                          <a:xfrm>
                            <a:off x="5809663" y="4198384"/>
                            <a:ext cx="730" cy="840844"/>
                          </a:xfrm>
                          <a:prstGeom prst="line">
                            <a:avLst/>
                          </a:prstGeom>
                          <a:ln w="9525" cap="flat" cmpd="sng">
                            <a:solidFill>
                              <a:srgbClr val="000000"/>
                            </a:solidFill>
                            <a:prstDash val="solid"/>
                            <a:headEnd type="none" w="med" len="med"/>
                            <a:tailEnd type="none" w="med" len="med"/>
                          </a:ln>
                        </wps:spPr>
                        <wps:bodyPr/>
                      </wps:wsp>
                      <wps:wsp>
                        <wps:cNvPr id="43" name="Text Box 78"/>
                        <wps:cNvSpPr txBox="1"/>
                        <wps:spPr>
                          <a:xfrm>
                            <a:off x="3748711" y="4447063"/>
                            <a:ext cx="295048" cy="322336"/>
                          </a:xfrm>
                          <a:prstGeom prst="rect">
                            <a:avLst/>
                          </a:prstGeom>
                          <a:noFill/>
                          <a:ln>
                            <a:noFill/>
                          </a:ln>
                        </wps:spPr>
                        <wps:txbx>
                          <w:txbxContent>
                            <w:p>
                              <w:r>
                                <w:rPr>
                                  <w:rFonts w:hint="eastAsia"/>
                                </w:rPr>
                                <w:t>否</w:t>
                              </w:r>
                            </w:p>
                          </w:txbxContent>
                        </wps:txbx>
                        <wps:bodyPr vert="horz" wrap="square" anchor="t" anchorCtr="0" upright="1"/>
                      </wps:wsp>
                      <wps:wsp>
                        <wps:cNvPr id="44" name="直线 679"/>
                        <wps:cNvCnPr/>
                        <wps:spPr>
                          <a:xfrm flipH="1">
                            <a:off x="4797445" y="5039227"/>
                            <a:ext cx="1012218" cy="729"/>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37" o:spid="_x0000_s1026" o:spt="203" style="height:528pt;width:498.8pt;" coordsize="6334760,6705600" editas="canvas" o:gfxdata="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">
                <o:lock v:ext="edit" aspectratio="f"/>
                <v:shape id="画布 37" o:spid="_x0000_s1026" style="position:absolute;left:0;top:0;height:6705600;width:6334760;" filled="f" stroked="f" coordsize="21600,21600" o:gfxdata="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">
                  <v:fill on="f" focussize="0,0"/>
                  <v:stroke on="f"/>
                  <v:imagedata o:title=""/>
                  <o:lock v:ext="edit" aspectratio="t"/>
                </v:shape>
                <v:shape id="文本框 652" o:spid="_x0000_s1026" o:spt="202" type="#_x0000_t202" style="position:absolute;left:2800031;top:2231554;height:693532;width:570377;" fillcolor="#FFFFFF" filled="t" stroked="f" coordsize="21600,21600" o:gfxdata="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v6&#10;V9QAAAAGAQAADwAAAAAAAAABACAAAAAiAAAAZHJzL2Rvd25yZXYueG1sUEsBAhQAFAAAAAgAh07i&#10;QIE2W6TtAQAAtwMAAA4AAAAAAAAAAQAgAAAAIwEAAGRycy9lMm9Eb2MueG1sUEsFBgAAAAAGAAYA&#10;WQEAAIIFAAAAAA==&#10;">
                  <v:fill on="t" focussize="0,0"/>
                  <v:stroke on="f"/>
                  <v:imagedata o:title=""/>
                  <o:lock v:ext="edit" aspectratio="f"/>
                  <v:textbox>
                    <w:txbxContent>
                      <w:p>
                        <w:pPr>
                          <w:spacing w:line="200" w:lineRule="atLeast"/>
                          <w:rPr>
                            <w:spacing w:val="-20"/>
                            <w:kern w:val="10"/>
                            <w:position w:val="-6"/>
                            <w:szCs w:val="21"/>
                          </w:rPr>
                        </w:pPr>
                        <w:r>
                          <w:rPr>
                            <w:rFonts w:hint="eastAsia"/>
                            <w:spacing w:val="-20"/>
                            <w:kern w:val="10"/>
                            <w:position w:val="-6"/>
                            <w:szCs w:val="21"/>
                          </w:rPr>
                          <w:t>不符合合同要求</w:t>
                        </w:r>
                      </w:p>
                    </w:txbxContent>
                  </v:textbox>
                </v:shape>
                <v:shape id="文本框 653" o:spid="_x0000_s1026" o:spt="202" type="#_x0000_t202" style="position:absolute;left:1648323;top:3170848;height:296811;width:571107;" fillcolor="#FFFFFF" filled="t" stroked="f" coordsize="21600,21600" o:gfxdata="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G&#10;2/pX1AAAAAYBAAAPAAAAAAAAAAEAIAAAACIAAABkcnMvZG93bnJldi54bWxQSwECFAAUAAAACACH&#10;TuJAgYf9N+8BAAC3AwAADgAAAAAAAAABACAAAAAjAQAAZHJzL2Uyb0RvYy54bWxQSwUGAAAAAAYA&#10;BgBZAQAAhAUAAAAA&#10;">
                  <v:fill on="t" focussize="0,0"/>
                  <v:stroke on="f"/>
                  <v:imagedata o:title=""/>
                  <o:lock v:ext="edit" aspectratio="f"/>
                  <v:textbox>
                    <w:txbxContent>
                      <w:p>
                        <w:r>
                          <w:rPr>
                            <w:rFonts w:hint="eastAsia"/>
                          </w:rPr>
                          <w:t>同意</w:t>
                        </w:r>
                      </w:p>
                    </w:txbxContent>
                  </v:textbox>
                </v:shape>
                <v:shape id="文本框 654" o:spid="_x0000_s1026" o:spt="202" type="#_x0000_t202" style="position:absolute;left:1990111;top:0;height:297540;width:1823599;"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qxdbDWAAAABgEAAA8AAAAAAAAAAQAgAAAAIgAAAGRycy9kb3ducmV2Lnht&#10;bFBLAQIUABQAAAAIAIdO4kC2p0T4NAIAAHEEAAAOAAAAAAAAAAEAIAAAACUBAABkcnMvZTJvRG9j&#10;LnhtbFBLBQYAAAAABgAGAFkBAADLBQAAAAA=&#10;">
                  <v:fill on="t" focussize="0,0"/>
                  <v:stroke color="#000000" joinstyle="miter"/>
                  <v:imagedata o:title=""/>
                  <o:lock v:ext="edit" aspectratio="f"/>
                  <v:textbox>
                    <w:txbxContent>
                      <w:p>
                        <w:pPr>
                          <w:ind w:firstLine="310" w:firstLineChars="147"/>
                          <w:jc w:val="center"/>
                          <w:rPr>
                            <w:b/>
                          </w:rPr>
                        </w:pPr>
                        <w:r>
                          <w:rPr>
                            <w:rFonts w:hint="eastAsia"/>
                            <w:b/>
                          </w:rPr>
                          <w:t>材料定板清单</w:t>
                        </w:r>
                      </w:p>
                    </w:txbxContent>
                  </v:textbox>
                </v:shape>
                <v:line id="直线 655" o:spid="_x0000_s1026" o:spt="20" style="position:absolute;left:2905197;top:297540;height:197631;width:0;" filled="f" stroked="t" coordsize="21600,21600" o:gfxdata="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Hh4Z9UA&#10;AAAGAQAADwAAAAAAAAABACAAAAAiAAAAZHJzL2Rvd25yZXYueG1sUEsBAhQAFAAAAAgAh07iQMvw&#10;mCPpAQAA2wMAAA4AAAAAAAAAAQAgAAAAJAEAAGRycy9lMm9Eb2MueG1sUEsFBgAAAAAGAAYAWQEA&#10;AH8FAAAAAA==&#10;">
                  <v:fill on="f" focussize="0,0"/>
                  <v:stroke color="#000000" joinstyle="round"/>
                  <v:imagedata o:title=""/>
                  <o:lock v:ext="edit" aspectratio="f"/>
                </v:line>
                <v:line id="直线 656" o:spid="_x0000_s1026" o:spt="20" style="position:absolute;left:1533663;top:495172;height:729;width:2624025;" filled="f" stroked="t" coordsize="21600,21600" o:gfxdata="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Hh4Z9UAAAAGAQAADwAAAAAAAAABACAAAAAiAAAAZHJzL2Rvd25yZXYueG1sUEsBAhQAFAAAAAgA&#10;h07iQHhH0DPvAQAA3gMAAA4AAAAAAAAAAQAgAAAAJAEAAGRycy9lMm9Eb2MueG1sUEsFBgAAAAAG&#10;AAYAWQEAAIUFAAAAAA==&#10;">
                  <v:fill on="f" focussize="0,0"/>
                  <v:stroke color="#000000" joinstyle="round"/>
                  <v:imagedata o:title=""/>
                  <o:lock v:ext="edit" aspectratio="f"/>
                </v:line>
                <v:line id="直线 657" o:spid="_x0000_s1026" o:spt="20" style="position:absolute;left:1533663;top:495172;height:297540;width: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66yNjXAAAABgEAAA8AAAAAAAAAAQAgAAAAIgAAAGRycy9kb3ducmV2LnhtbFBL&#10;AQIUABQAAAAIAIdO4kCgNGeC9wEAAN8DAAAOAAAAAAAAAAEAIAAAACYBAABkcnMvZTJvRG9jLnht&#10;bFBLBQYAAAAABgAGAFkBAACPBQAAAAA=&#10;">
                  <v:fill on="f" focussize="0,0"/>
                  <v:stroke color="#000000" joinstyle="round" endarrow="block"/>
                  <v:imagedata o:title=""/>
                  <o:lock v:ext="edit" aspectratio="f"/>
                </v:line>
                <v:shape id="文本框 658" o:spid="_x0000_s1026" o:spt="202" type="#_x0000_t202" style="position:absolute;left:733967;top:792712;height:297540;width:1484002;"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qxdbDWAAAABgEAAA8AAAAAAAAAAQAgAAAAIgAAAGRycy9kb3ducmV2&#10;LnhtbFBLAQIUABQAAAAIAIdO4kCdUK6uNwIAAHUEAAAOAAAAAAAAAAEAIAAAACUBAABkcnMvZTJv&#10;RG9jLnhtbFBLBQYAAAAABgAGAFkBAADOBQAAAAA=&#10;">
                  <v:fill on="t" focussize="0,0"/>
                  <v:stroke color="#000000" joinstyle="miter"/>
                  <v:imagedata o:title=""/>
                  <o:lock v:ext="edit" aspectratio="f"/>
                  <v:textbox>
                    <w:txbxContent>
                      <w:p>
                        <w:pPr>
                          <w:rPr>
                            <w:b/>
                          </w:rPr>
                        </w:pPr>
                        <w:r>
                          <w:rPr>
                            <w:rFonts w:hint="eastAsia"/>
                            <w:b/>
                          </w:rPr>
                          <w:t>土建结构类常规材料</w:t>
                        </w:r>
                      </w:p>
                    </w:txbxContent>
                  </v:textbox>
                </v:shape>
                <v:shape id="文本框 660" o:spid="_x0000_s1026" o:spt="202" type="#_x0000_t202" style="position:absolute;left:3039575;top:792712;height:297540;width:2274204;"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F1sNYAAAAGAQAADwAAAAAAAAABACAAAAAiAAAAZHJzL2Rvd25y&#10;ZXYueG1sUEsBAhQAFAAAAAgAh07iQMXpc8w5AgAAdgQAAA4AAAAAAAAAAQAgAAAAJQEAAGRycy9l&#10;Mm9Eb2MueG1sUEsFBgAAAAAGAAYAWQEAANAFAAAAAA==&#10;">
                  <v:fill on="t" focussize="0,0"/>
                  <v:stroke color="#000000" joinstyle="miter"/>
                  <v:imagedata o:title=""/>
                  <o:lock v:ext="edit" aspectratio="f"/>
                  <v:textbox>
                    <w:txbxContent>
                      <w:p>
                        <w:pPr>
                          <w:rPr>
                            <w:b/>
                          </w:rPr>
                        </w:pPr>
                        <w:r>
                          <w:rPr>
                            <w:rFonts w:hint="eastAsia"/>
                            <w:b/>
                          </w:rPr>
                          <w:t>装饰观感类材料和机电设备类材料</w:t>
                        </w:r>
                      </w:p>
                      <w:p>
                        <w:pPr>
                          <w:rPr>
                            <w:b/>
                          </w:rPr>
                        </w:pPr>
                        <w:r>
                          <w:rPr>
                            <w:rFonts w:hint="eastAsia"/>
                            <w:b/>
                          </w:rPr>
                          <w:t>机电设备类材料</w:t>
                        </w:r>
                      </w:p>
                    </w:txbxContent>
                  </v:textbox>
                </v:shape>
                <v:shape id="文本框 661" o:spid="_x0000_s1026" o:spt="202" type="#_x0000_t202" style="position:absolute;left:1076486;top:1287884;height:297540;width:913625;"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rF1sNYAAAAGAQAADwAAAAAAAAABACAAAAAiAAAAZHJzL2Rvd25yZXYu&#10;eG1sUEsBAhQAFAAAAAgAh07iQBX9eCs2AgAAdgQAAA4AAAAAAAAAAQAgAAAAJQEAAGRycy9lMm9E&#10;b2MueG1sUEsFBgAAAAAGAAYAWQEAAM0FAAAAAA==&#10;">
                  <v:fill on="t" focussize="0,0"/>
                  <v:stroke color="#000000" joinstyle="miter"/>
                  <v:imagedata o:title=""/>
                  <o:lock v:ext="edit" aspectratio="f"/>
                  <v:textbox>
                    <w:txbxContent>
                      <w:p>
                        <w:pPr>
                          <w:rPr>
                            <w:b/>
                          </w:rPr>
                        </w:pPr>
                        <w:r>
                          <w:rPr>
                            <w:rFonts w:hint="eastAsia"/>
                            <w:b/>
                          </w:rPr>
                          <w:t>符合性审查</w:t>
                        </w:r>
                      </w:p>
                    </w:txbxContent>
                  </v:textbox>
                </v:shape>
                <v:line id="直线 664" o:spid="_x0000_s1026" o:spt="20" style="position:absolute;left:4159149;top:1090253;height:197631;width:73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usjY1wAAAAYBAAAPAAAAAAAAAAEAIAAAACIAAABkcnMvZG93bnJldi54bWxQSwEC&#10;FAAUAAAACACHTuJAiw0dFfUBAADjAwAADgAAAAAAAAABACAAAAAmAQAAZHJzL2Uyb0RvYy54bWxQ&#10;SwUGAAAAAAYABgBZAQAAjQUAAAAA&#10;">
                  <v:fill on="f" focussize="0,0"/>
                  <v:stroke color="#000000" joinstyle="round" endarrow="block"/>
                  <v:imagedata o:title=""/>
                  <o:lock v:ext="edit" aspectratio="f"/>
                </v:line>
                <v:shape id="文本框 670" o:spid="_x0000_s1026" o:spt="202" type="#_x0000_t202" style="position:absolute;left:3693938;top:1279132;height:296811;width:914355;"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qxdbDWAAAABgEAAA8AAAAAAAAAAQAgAAAAIgAAAGRycy9kb3ducmV2Lnht&#10;bFBLAQIUABQAAAAIAIdO4kD4en8DNAIAAHcEAAAOAAAAAAAAAAEAIAAAACUBAABkcnMvZTJvRG9j&#10;LnhtbFBLBQYAAAAABgAGAFkBAADLBQAAAAA=&#10;">
                  <v:fill on="t" focussize="0,0"/>
                  <v:stroke color="#000000" joinstyle="miter"/>
                  <v:imagedata o:title=""/>
                  <o:lock v:ext="edit" aspectratio="f"/>
                  <v:textbox>
                    <w:txbxContent>
                      <w:p>
                        <w:pPr>
                          <w:jc w:val="center"/>
                          <w:rPr>
                            <w:b/>
                          </w:rPr>
                        </w:pPr>
                        <w:r>
                          <w:rPr>
                            <w:rFonts w:hint="eastAsia"/>
                            <w:b/>
                          </w:rPr>
                          <w:t>看样定板</w:t>
                        </w:r>
                      </w:p>
                    </w:txbxContent>
                  </v:textbox>
                </v:shape>
                <v:line id="直线 672" o:spid="_x0000_s1026" o:spt="20" style="position:absolute;left:1533663;top:1090253;height:197631;width: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66yNjXAAAABgEAAA8AAAAAAAAAAQAgAAAAIgAAAGRycy9kb3ducmV2LnhtbFBLAQIU&#10;ABQAAAAIAIdO4kBk2joR9AEAAOEDAAAOAAAAAAAAAAEAIAAAACYBAABkcnMvZTJvRG9jLnhtbFBL&#10;BQYAAAAABgAGAFkBAACMBQAAAAA=&#10;">
                  <v:fill on="f" focussize="0,0"/>
                  <v:stroke color="#000000" joinstyle="round" endarrow="block"/>
                  <v:imagedata o:title=""/>
                  <o:lock v:ext="edit" aspectratio="f"/>
                </v:line>
                <v:line id="直线 675" o:spid="_x0000_s1026" o:spt="20" style="position:absolute;left:4157688;top:495172;height:297540;width:1461;"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66yNjXAAAABgEAAA8AAAAAAAAAAQAgAAAAIgAAAGRycy9kb3ducmV2Lnht&#10;bFBLAQIUABQAAAAIAIdO4kCCPPn7+gEAAOMDAAAOAAAAAAAAAAEAIAAAACYBAABkcnMvZTJvRG9j&#10;LnhtbFBLBQYAAAAABgAGAFkBAACSBQAAAAA=&#10;">
                  <v:fill on="f" focussize="0,0"/>
                  <v:stroke color="#000000" joinstyle="round" endarrow="block"/>
                  <v:imagedata o:title=""/>
                  <o:lock v:ext="edit" aspectratio="f"/>
                </v:line>
                <v:shape id="自选图形 676" o:spid="_x0000_s1026" o:spt="100" style="position:absolute;left:1313108;top:1646682;height:228989;width:396562;rotation:5898240f;" fillcolor="#FFFFFF" filled="t" stroked="t" coordsize="21600,21600" o:gfxdata="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JjCvmdcAAAAGAQAADwAAAAAAAAABACAA&#10;AAAiAAAAZHJzL2Rvd25yZXYueG1sUEsBAhQAFAAAAAgAh07iQDFZG19kAwAAWQkAAA4AAAAAAAAA&#10;AQAgAAAAJgEAAGRycy9lMm9Eb2MueG1sUEsFBgAAAAAGAAYAWQEAAPwGA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shape>
                <v:shape id="文本框 677" o:spid="_x0000_s1026" o:spt="202" type="#_x0000_t202" style="position:absolute;left:847897;top:1981415;height:693532;width:1516866;"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sXWw1gAAAAYBAAAPAAAAAAAAAAEAIAAAACIAAABkcnMvZG93bnJldi54&#10;bWxQSwECFAAUAAAACACHTuJAE5CLpDUCAAB3BAAADgAAAAAAAAABACAAAAAlAQAAZHJzL2Uyb0Rv&#10;Yy54bWxQSwUGAAAAAAYABgBZAQAAzAUAAAAA&#10;">
                  <v:fill on="t" focussize="0,0"/>
                  <v:stroke color="#000000" joinstyle="miter"/>
                  <v:imagedata o:title=""/>
                  <o:lock v:ext="edit" aspectratio="f"/>
                  <v:textbox>
                    <w:txbxContent>
                      <w:p>
                        <w:pPr>
                          <w:rPr>
                            <w:highlight w:val="yellow"/>
                          </w:rPr>
                        </w:pPr>
                        <w:r>
                          <w:rPr>
                            <w:rFonts w:hint="eastAsia"/>
                          </w:rPr>
                          <w:t>施工单位按每一种材料填报《乙供材料（设备）定板审批表》</w:t>
                        </w:r>
                      </w:p>
                    </w:txbxContent>
                  </v:textbox>
                </v:shape>
                <v:shape id="文本框 678" o:spid="_x0000_s1026" o:spt="202" type="#_x0000_t202" style="position:absolute;left:3693938;top:2925086;height:298270;width:1227661;"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sXWw1gAAAAYBAAAPAAAAAAAAAAEAIAAAACIAAABkcnMvZG93bnJl&#10;di54bWxQSwECFAAUAAAACACHTuJABqkrPDgCAAB4BAAADgAAAAAAAAABACAAAAAlAQAAZHJzL2Uy&#10;b0RvYy54bWxQSwUGAAAAAAYABgBZAQAAzwUAAAAA&#10;">
                  <v:fill on="t" focussize="0,0"/>
                  <v:stroke color="#000000" joinstyle="miter"/>
                  <v:imagedata o:title=""/>
                  <o:lock v:ext="edit" aspectratio="f"/>
                  <v:textbox>
                    <w:txbxContent>
                      <w:p>
                        <w:pPr>
                          <w:jc w:val="center"/>
                        </w:pPr>
                        <w:r>
                          <w:rPr>
                            <w:rFonts w:hint="eastAsia"/>
                          </w:rPr>
                          <w:t>监理单位审核</w:t>
                        </w:r>
                      </w:p>
                    </w:txbxContent>
                  </v:textbox>
                </v:shape>
                <v:line id="直线 679" o:spid="_x0000_s1026" o:spt="20" style="position:absolute;left:96402;top:2180505;height:729;width:751495;"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66yNjXAAAABgEAAA8AAAAAAAAAAQAgAAAAIgAAAGRycy9kb3ducmV2LnhtbFBL&#10;AQIUABQAAAAIAIdO4kAtMhkG9wEAAOEDAAAOAAAAAAAAAAEAIAAAACYBAABkcnMvZTJvRG9jLnht&#10;bFBLBQYAAAAABgAGAFkBAACPBQAAAAA=&#10;">
                  <v:fill on="f" focussize="0,0"/>
                  <v:stroke color="#000000" joinstyle="round" endarrow="block"/>
                  <v:imagedata o:title=""/>
                  <o:lock v:ext="edit" aspectratio="f"/>
                </v:line>
                <v:line id="直线 680" o:spid="_x0000_s1026" o:spt="20" style="position:absolute;left:1533663;top:3170848;height:296811;width:73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rrI2NcAAAAGAQAADwAAAAAAAAABACAAAAAiAAAAZHJzL2Rvd25yZXYueG1sUEsB&#10;AhQAFAAAAAgAh07iQDhOS5/2AQAA4wMAAA4AAAAAAAAAAQAgAAAAJgEAAGRycy9lMm9Eb2MueG1s&#10;UEsFBgAAAAAGAAYAWQEAAI4FAAAAAA==&#10;">
                  <v:fill on="f" focussize="0,0"/>
                  <v:stroke color="#000000" joinstyle="round" endarrow="block"/>
                  <v:imagedata o:title=""/>
                  <o:lock v:ext="edit" aspectratio="f"/>
                </v:line>
                <v:shape id="文本框 681" o:spid="_x0000_s1026" o:spt="202" type="#_x0000_t202" style="position:absolute;left:962556;top:3467659;height:302645;width:1142944;"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sXWw1gAAAAYBAAAPAAAAAAAAAAEAIAAAACIAAABkcnMvZG93bnJldi54&#10;bWxQSwECFAAUAAAACACHTuJAcaAA7zUCAAB3BAAADgAAAAAAAAABACAAAAAlAQAAZHJzL2Uyb0Rv&#10;Yy54bWxQSwUGAAAAAAYABgBZAQAAzAUAAAAA&#10;">
                  <v:fill on="t" focussize="0,0"/>
                  <v:stroke color="#000000" joinstyle="miter"/>
                  <v:imagedata o:title=""/>
                  <o:lock v:ext="edit" aspectratio="f"/>
                  <v:textbox>
                    <w:txbxContent>
                      <w:p>
                        <w:r>
                          <w:rPr>
                            <w:rFonts w:hint="eastAsia"/>
                          </w:rPr>
                          <w:t>项目管理部备案</w:t>
                        </w:r>
                      </w:p>
                    </w:txbxContent>
                  </v:textbox>
                </v:shape>
                <v:line id="直线 682" o:spid="_x0000_s1026" o:spt="20" style="position:absolute;left:1533663;top:2674947;height:198360;width: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66yNjXAAAABgEAAA8AAAAAAAAAAQAgAAAAIgAAAGRycy9kb3ducmV2LnhtbFBL&#10;AQIUABQAAAAIAIdO4kBdyWwE9wEAAOEDAAAOAAAAAAAAAAEAIAAAACYBAABkcnMvZTJvRG9jLnht&#10;bFBLBQYAAAAABgAGAFkBAACPBQAAAAA=&#10;">
                  <v:fill on="f" focussize="0,0"/>
                  <v:stroke color="#000000" joinstyle="round" endarrow="block"/>
                  <v:imagedata o:title=""/>
                  <o:lock v:ext="edit" aspectratio="f"/>
                </v:line>
                <v:line id="直线 683" o:spid="_x0000_s1026" o:spt="20" style="position:absolute;left:97132;top:3071668;flip:x;height:1459;width:701834;" filled="f" stroked="t" coordsize="21600,21600" o:gfxdata="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E7YG7VAAAABgEAAA8AAAAAAAAAAQAgAAAAIgAAAGRycy9kb3ducmV2LnhtbFBL&#10;AQIUABQAAAAIAIdO4kDuWCEo+QEAAOgDAAAOAAAAAAAAAAEAIAAAACQBAABkcnMvZTJvRG9jLnht&#10;bFBLBQYAAAAABgAGAFkBAACPBQAAAAA=&#10;">
                  <v:fill on="f" focussize="0,0"/>
                  <v:stroke color="#000000" joinstyle="round"/>
                  <v:imagedata o:title=""/>
                  <o:lock v:ext="edit" aspectratio="f"/>
                </v:line>
                <v:line id="直线 684" o:spid="_x0000_s1026" o:spt="20" style="position:absolute;left:96402;top:2181234;flip:x y;height:891892;width:730;" filled="f" stroked="t" coordsize="21600,21600" o:gfxdata="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y4mIJ0gAAAAYBAAAPAAAAAAAAAAEAIAAAACIAAABkcnMvZG93bnJldi54bWxQSwEC&#10;FAAUAAAACACHTuJA4pwCV/oBAADxAwAADgAAAAAAAAABACAAAAAhAQAAZHJzL2Uyb0RvYy54bWxQ&#10;SwUGAAAAAAYABgBZAQAAjQUAAAAA&#10;">
                  <v:fill on="f" focussize="0,0"/>
                  <v:stroke color="#000000" joinstyle="round"/>
                  <v:imagedata o:title=""/>
                  <o:lock v:ext="edit" aspectratio="f"/>
                </v:line>
                <v:shape id="自选图形 701" o:spid="_x0000_s1026" o:spt="100" style="position:absolute;left:3948088;top:1646682;height:229719;width:396562;rotation:5898240f;" fillcolor="#FFFFFF" filled="t" stroked="t" coordsize="21600,21600" o:gfxdata="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JjCvmdcAAAAGAQAADwAAAAAAAAABACAA&#10;AAAiAAAAZHJzL2Rvd25yZXYueG1sUEsBAhQAFAAAAAgAh07iQJnqZCxkAwAAWQkAAA4AAAAAAAAA&#10;AQAgAAAAJgEAAGRycy9lMm9Eb2MueG1sUEsFBgAAAAAGAAYAWQEAAPwGAAAAAA==&#10;" path="m16200,0l16200,5400,3375,5400,3375,16200,16200,16200,16200,21600,21600,10800xem1350,5400l1350,16200,2700,16200,2700,5400xem0,5400l0,16200,675,16200,675,5400xe">
                  <v:path o:connectlocs="16200,0;0,10800;16200,21600;21600,10800" o:connectangles="0,0,0,0"/>
                  <v:fill on="t" focussize="0,0"/>
                  <v:stroke color="#000000" joinstyle="miter"/>
                  <v:imagedata o:title=""/>
                  <o:lock v:ext="edit" aspectratio="f"/>
                </v:shape>
                <v:shape id="文本框 703" o:spid="_x0000_s1026" o:spt="202" type="#_x0000_t202" style="position:absolute;left:2558297;top:6017173;height:514862;width:1485463;" fillcolor="#FFFFFF" filled="t" stroked="f" coordsize="21600,21600" o:gfxdata="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v6&#10;V9QAAAAGAQAADwAAAAAAAAABACAAAAAiAAAAZHJzL2Rvd25yZXYueG1sUEsBAhQAFAAAAAgAh07i&#10;QM3jK6ftAQAAuQMAAA4AAAAAAAAAAQAgAAAAIwEAAGRycy9lMm9Eb2MueG1sUEsFBgAAAAAGAAYA&#10;WQEAAIIFAAAAAA==&#10;">
                  <v:fill on="t" focussize="0,0"/>
                  <v:stroke on="f"/>
                  <v:imagedata o:title=""/>
                  <o:lock v:ext="edit" aspectratio="f"/>
                  <v:textbox>
                    <w:txbxContent>
                      <w:p>
                        <w:pPr>
                          <w:rPr>
                            <w:rFonts w:ascii="宋体" w:hAnsi="宋体"/>
                            <w:b/>
                            <w:sz w:val="28"/>
                            <w:szCs w:val="28"/>
                          </w:rPr>
                        </w:pPr>
                        <w:r>
                          <w:rPr>
                            <w:rFonts w:hint="eastAsia" w:ascii="宋体" w:hAnsi="宋体"/>
                            <w:b/>
                            <w:sz w:val="28"/>
                            <w:szCs w:val="28"/>
                          </w:rPr>
                          <w:t>（流程图）</w:t>
                        </w:r>
                      </w:p>
                    </w:txbxContent>
                  </v:textbox>
                </v:shape>
                <v:shape id="文本框 677" o:spid="_x0000_s1026" o:spt="202" type="#_x0000_t202" style="position:absolute;left:3477034;top:1971935;height:693532;width:1993032;"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rF1sNYAAAAGAQAADwAAAAAAAAABACAAAAAiAAAAZHJzL2Rvd25yZXYu&#10;eG1sUEsBAhQAFAAAAAgAh07iQAOEdtQ2AgAAeAQAAA4AAAAAAAAAAQAgAAAAJQEAAGRycy9lMm9E&#10;b2MueG1sUEsFBgAAAAAGAAYAWQEAAM0FAAAAAA==&#10;">
                  <v:fill on="t" focussize="0,0"/>
                  <v:stroke color="#000000" joinstyle="miter"/>
                  <v:imagedata o:title=""/>
                  <o:lock v:ext="edit" aspectratio="f"/>
                  <v:textbox>
                    <w:txbxContent>
                      <w:p>
                        <w:pPr>
                          <w:jc w:val="left"/>
                        </w:pPr>
                        <w:r>
                          <w:rPr>
                            <w:rFonts w:hint="eastAsia"/>
                          </w:rPr>
                          <w:t>施工单位按每一种材料填报《乙供材料（设备）定板审批表》并提供样板及资料</w:t>
                        </w:r>
                      </w:p>
                    </w:txbxContent>
                  </v:textbox>
                </v:shape>
                <v:shape id="文本框 678" o:spid="_x0000_s1026" o:spt="202" type="#_x0000_t202" style="position:absolute;left:798966;top:2873308;height:297540;width:1495687;"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sXWw1gAAAAYBAAAPAAAAAAAAAAEAIAAAACIAAABkcnMvZG93bnJl&#10;di54bWxQSwECFAAUAAAACACHTuJAC5i+3TgCAAB3BAAADgAAAAAAAAABACAAAAAlAQAAZHJzL2Uy&#10;b0RvYy54bWxQSwUGAAAAAAYABgBZAQAAzwUAAAAA&#10;">
                  <v:fill on="t" focussize="0,0"/>
                  <v:stroke color="#000000" joinstyle="miter"/>
                  <v:imagedata o:title=""/>
                  <o:lock v:ext="edit" aspectratio="f"/>
                  <v:textbox>
                    <w:txbxContent>
                      <w:p>
                        <w:pPr>
                          <w:jc w:val="center"/>
                        </w:pPr>
                        <w:r>
                          <w:rPr>
                            <w:rFonts w:hint="eastAsia"/>
                          </w:rPr>
                          <w:t>监理单位审核或考察</w:t>
                        </w:r>
                      </w:p>
                    </w:txbxContent>
                  </v:textbox>
                </v:shape>
                <v:line id="直线 679" o:spid="_x0000_s1026" o:spt="20" style="position:absolute;left:2743797;top:2179776;flip:y;height:1459;width:733237;" filled="f" stroked="t" coordsize="21600,21600" o:gfxdata="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ZSRN1wAAAAYBAAAPAAAAAAAAAAEAIAAAACIAAABkcnMvZG93bnJl&#10;di54bWxQSwECFAAUAAAACACHTuJAgLW5mP4BAADuAwAADgAAAAAAAAABACAAAAAmAQAAZHJzL2Uy&#10;b0RvYy54bWxQSwUGAAAAAAYABgBZAQAAlgUAAAAA&#10;">
                  <v:fill on="f" focussize="0,0"/>
                  <v:stroke color="#000000" joinstyle="round" endarrow="block"/>
                  <v:imagedata o:title=""/>
                  <o:lock v:ext="edit" aspectratio="f"/>
                </v:line>
                <v:line id="直线 683" o:spid="_x0000_s1026" o:spt="20" style="position:absolute;left:2743797;top:3076044;flip:x;height:729;width:950141;" filled="f" stroked="t" coordsize="21600,21600" o:gfxdata="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O2Bu1QAAAAYBAAAPAAAAAAAAAAEAIAAAACIAAABkcnMvZG93bnJldi54bWxQSwEC&#10;FAAUAAAACACHTuJABiwhdvcBAADpAwAADgAAAAAAAAABACAAAAAkAQAAZHJzL2Uyb0RvYy54bWxQ&#10;SwUGAAAAAAYABgBZAQAAjQUAAAAA&#10;">
                  <v:fill on="f" focussize="0,0"/>
                  <v:stroke color="#000000" joinstyle="round"/>
                  <v:imagedata o:title=""/>
                  <o:lock v:ext="edit" aspectratio="f"/>
                </v:line>
                <v:line id="直线 655" o:spid="_x0000_s1026" o:spt="20" style="position:absolute;left:2743066;top:2181234;height:894809;width:730;" filled="f" stroked="t" coordsize="21600,21600" o:gfxdata="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Hh4Z9UAAAAGAQAADwAAAAAAAAABACAAAAAiAAAAZHJzL2Rvd25yZXYueG1sUEsBAhQAFAAAAAgA&#10;h07iQNC5cz/vAQAA3wMAAA4AAAAAAAAAAQAgAAAAJAEAAGRycy9lMm9Eb2MueG1sUEsFBgAAAAAG&#10;AAYAWQEAAIUFAAAAAA==&#10;">
                  <v:fill on="f" focussize="0,0"/>
                  <v:stroke color="#000000" joinstyle="round"/>
                  <v:imagedata o:title=""/>
                  <o:lock v:ext="edit" aspectratio="f"/>
                </v:line>
                <v:shape id="文本框 652" o:spid="_x0000_s1026" o:spt="202" type="#_x0000_t202" style="position:absolute;left:156288;top:2231554;height:693532;width:577680;" fillcolor="#FFFFFF" filled="t" stroked="f" coordsize="21600,21600" o:gfxdata="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bb&#10;+lfUAAAABgEAAA8AAAAAAAAAAQAgAAAAIgAAAGRycy9kb3ducmV2LnhtbFBLAQIUABQAAAAIAIdO&#10;4kBh/xLO7gEAALcDAAAOAAAAAAAAAAEAIAAAACMBAABkcnMvZTJvRG9jLnhtbFBLBQYAAAAABgAG&#10;AFkBAACDBQAAAAA=&#10;">
                  <v:fill on="t" focussize="0,0"/>
                  <v:stroke on="f"/>
                  <v:imagedata o:title=""/>
                  <o:lock v:ext="edit" aspectratio="f"/>
                  <v:textbox>
                    <w:txbxContent>
                      <w:p>
                        <w:pPr>
                          <w:spacing w:line="200" w:lineRule="atLeast"/>
                          <w:rPr>
                            <w:spacing w:val="-20"/>
                            <w:kern w:val="10"/>
                            <w:position w:val="-6"/>
                            <w:szCs w:val="21"/>
                          </w:rPr>
                        </w:pPr>
                        <w:r>
                          <w:rPr>
                            <w:rFonts w:hint="eastAsia"/>
                            <w:spacing w:val="-20"/>
                            <w:kern w:val="10"/>
                            <w:position w:val="-6"/>
                            <w:szCs w:val="21"/>
                          </w:rPr>
                          <w:t>不符合规定要求</w:t>
                        </w:r>
                      </w:p>
                    </w:txbxContent>
                  </v:textbox>
                </v:shape>
                <v:line id="直线 680" o:spid="_x0000_s1026" o:spt="20" style="position:absolute;left:4208080;top:3223355;height:296082;width:1461;"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usjY1wAAAAYBAAAPAAAAAAAAAAEAIAAAACIAAABkcnMvZG93bnJldi54bWxQSwEC&#10;FAAUAAAACACHTuJA9erNUPUBAADkAwAADgAAAAAAAAABACAAAAAmAQAAZHJzL2Uyb0RvYy54bWxQ&#10;SwUGAAAAAAYABgBZAQAAjQUAAAAA&#10;">
                  <v:fill on="f" focussize="0,0"/>
                  <v:stroke color="#000000" joinstyle="round" endarrow="block"/>
                  <v:imagedata o:title=""/>
                  <o:lock v:ext="edit" aspectratio="f"/>
                </v:line>
                <v:line id="直线 664" o:spid="_x0000_s1026" o:spt="20" style="position:absolute;left:4209541;top:2674947;height:250138;width:730;"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66yNjXAAAABgEAAA8AAAAAAAAAAQAgAAAAIgAAAGRycy9kb3ducmV2LnhtbFBL&#10;AQIUABQAAAAIAIdO4kBcaFfp9wEAAOMDAAAOAAAAAAAAAAEAIAAAACYBAABkcnMvZTJvRG9jLnht&#10;bFBLBQYAAAAABgAGAFkBAACPBQAAAAA=&#10;">
                  <v:fill on="f" focussize="0,0"/>
                  <v:stroke color="#000000" joinstyle="round" endarrow="block"/>
                  <v:imagedata o:title=""/>
                  <o:lock v:ext="edit" aspectratio="f"/>
                </v:line>
                <v:shape id="AutoShape 66" o:spid="_x0000_s1026" o:spt="4" type="#_x0000_t4" style="position:absolute;left:3608491;top:3519437;height:927626;width:1188954;" fillcolor="#FFFFFF" filled="t" stroked="t" coordsize="21600,21600" o:gfxdata="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UkX61QAA&#10;AAYBAAAPAAAAAAAAAAEAIAAAACIAAABkcnMvZG93bnJldi54bWxQSwECFAAUAAAACACHTuJArJ+N&#10;EyECAABlBAAADgAAAAAAAAABACAAAAAkAQAAZHJzL2Uyb0RvYy54bWxQSwUGAAAAAAYABgBZAQAA&#10;twUAAAAA&#10;">
                  <v:fill on="t" focussize="0,0"/>
                  <v:stroke color="#000000" joinstyle="miter"/>
                  <v:imagedata o:title=""/>
                  <o:lock v:ext="edit" aspectratio="f"/>
                </v:shape>
                <v:shape id="Text Box 73" o:spid="_x0000_s1026" o:spt="202" type="#_x0000_t202" style="position:absolute;left:5193276;top:3711963;height:486420;width:1131259;"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rF1sNYAAAAGAQAADwAAAAAAAAABACAAAAAiAAAAZHJzL2Rvd25yZXYueG1sUEsBAhQAFAAA&#10;AAgAh07iQLt6jMsqAgAAdgQAAA4AAAAAAAAAAQAgAAAAJQ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施工单位进行样板区（段）施工</w:t>
                        </w:r>
                      </w:p>
                    </w:txbxContent>
                  </v:textbox>
                </v:shape>
                <v:line id="直线 679" o:spid="_x0000_s1026" o:spt="20" style="position:absolute;left:4797445;top:3986167;flip:y;height:2188;width:395831;" filled="f" stroked="t" coordsize="21600,21600" o:gfxdata="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GUkTdcAAAAGAQAADwAAAAAAAAABACAAAAAiAAAAZHJzL2Rvd25y&#10;ZXYueG1sUEsBAhQAFAAAAAgAh07iQAbdTCH/AQAA7gMAAA4AAAAAAAAAAQAgAAAAJgEAAGRycy9l&#10;Mm9Eb2MueG1sUEsFBgAAAAAGAAYAWQEAAJcFAAAAAA==&#10;">
                  <v:fill on="f" focussize="0,0"/>
                  <v:stroke color="#000000" joinstyle="round" endarrow="block"/>
                  <v:imagedata o:title=""/>
                  <o:lock v:ext="edit" aspectratio="f"/>
                </v:line>
                <v:shape id="Text Box 76" o:spid="_x0000_s1026" o:spt="202" type="#_x0000_t202" style="position:absolute;left:3708544;top:3770305;height:589247;width:959635;" filled="f" stroked="f" coordsize="21600,21600" o:gfxdata="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w+g4tQAAAAGAQAADwAAAAAAAAABACAAAAAiAAAAZHJzL2Rvd25y&#10;ZXYueG1sUEsBAhQAFAAAAAgAh07iQOsappLJAQAAjQMAAA4AAAAAAAAAAQAgAAAAIwEAAGRycy9l&#10;Mm9Eb2MueG1sUEsFBgAAAAAGAAYAWQEAAF4FAAAAAA==&#10;">
                  <v:fill on="f" focussize="0,0"/>
                  <v:stroke on="f"/>
                  <v:imagedata o:title=""/>
                  <o:lock v:ext="edit" aspectratio="f"/>
                  <v:textbox>
                    <w:txbxContent>
                      <w:p>
                        <w:pPr>
                          <w:spacing w:line="240" w:lineRule="exact"/>
                          <w:jc w:val="center"/>
                          <w:rPr>
                            <w:sz w:val="18"/>
                          </w:rPr>
                        </w:pPr>
                        <w:r>
                          <w:rPr>
                            <w:rFonts w:hint="eastAsia"/>
                            <w:sz w:val="18"/>
                          </w:rPr>
                          <w:t>是否对装饰、装修景观效果有重大影响</w:t>
                        </w:r>
                      </w:p>
                    </w:txbxContent>
                  </v:textbox>
                </v:shape>
                <v:shape id="Text Box 83" o:spid="_x0000_s1026" o:spt="202" type="#_x0000_t202" style="position:absolute;left:3813710;top:5540962;height:267641;width:850818;"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sXWw1gAAAAYBAAAPAAAAAAAAAAEAIAAAACIAAABkcnMvZG93bnJldi54bWxQSwECFAAUAAAA&#10;CACHTuJAN7q6ESkCAAB1BAAADgAAAAAAAAABACAAAAAlAQAAZHJzL2Uyb0RvYy54bWxQSwUGAAAA&#10;AAYABgBZAQAAwAUAAAAA&#10;">
                  <v:fill on="t" focussize="0,0"/>
                  <v:stroke color="#000000" joinstyle="miter"/>
                  <v:imagedata o:title=""/>
                  <o:lock v:ext="edit" aspectratio="f"/>
                  <v:textbox>
                    <w:txbxContent>
                      <w:p>
                        <w:pPr>
                          <w:spacing w:line="240" w:lineRule="exact"/>
                          <w:jc w:val="center"/>
                        </w:pPr>
                        <w:r>
                          <w:rPr>
                            <w:rFonts w:hint="eastAsia"/>
                          </w:rPr>
                          <w:t>封样定板</w:t>
                        </w:r>
                      </w:p>
                    </w:txbxContent>
                  </v:textbox>
                </v:shape>
                <v:shape id="Text Box 83" o:spid="_x0000_s1026" o:spt="202" type="#_x0000_t202" style="position:absolute;left:3655231;top:4817531;height:427350;width:1142214;" fillcolor="#FFFFFF" filled="t" stroked="t" coordsize="21600,21600" o:gfxdata="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rF1sNYAAAAGAQAADwAAAAAAAAABACAAAAAiAAAAZHJzL2Rvd25yZXYueG1sUEsBAhQAFAAAAAgA&#10;h07iQHPGWSsnAgAAdgQAAA4AAAAAAAAAAQAgAAAAJQEAAGRycy9lMm9Eb2MueG1sUEsFBgAAAAAG&#10;AAYAWQEAAL4FAAAAAA==&#10;">
                  <v:fill on="t" focussize="0,0"/>
                  <v:stroke color="#000000" joinstyle="miter"/>
                  <v:imagedata o:title=""/>
                  <o:lock v:ext="edit" aspectratio="f"/>
                  <v:textbox>
                    <w:txbxContent>
                      <w:p>
                        <w:pPr>
                          <w:spacing w:line="240" w:lineRule="exact"/>
                          <w:jc w:val="center"/>
                        </w:pPr>
                        <w:r>
                          <w:rPr>
                            <w:rFonts w:hint="eastAsia"/>
                          </w:rPr>
                          <w:t>看样定板会议集中评审</w:t>
                        </w:r>
                      </w:p>
                    </w:txbxContent>
                  </v:textbox>
                </v:shape>
                <v:line id="直线 680" o:spid="_x0000_s1026" o:spt="20" style="position:absolute;left:4204429;top:5244880;height:296082;width:2191;" filled="f" stroked="t" coordsize="21600,21600" o:gfxdata="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rrI2NcAAAAGAQAADwAAAAAAAAABACAAAAAiAAAAZHJzL2Rvd25yZXYueG1sUEsB&#10;AhQAFAAAAAgAh07iQGg3bjX2AQAA5AMAAA4AAAAAAAAAAQAgAAAAJgEAAGRycy9lMm9Eb2MueG1s&#10;UEsFBgAAAAAGAAYAWQEAAI4FAAAAAA==&#10;">
                  <v:fill on="f" focussize="0,0"/>
                  <v:stroke color="#000000" joinstyle="round" endarrow="block"/>
                  <v:imagedata o:title=""/>
                  <o:lock v:ext="edit" aspectratio="f"/>
                </v:line>
                <v:line id="直线 680" o:spid="_x0000_s1026" o:spt="20" style="position:absolute;left:4208080;top:4447063;flip:x;height:370467;width:2191;" filled="f" stroked="t" coordsize="21600,21600" o:gfxdata="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RlJE3XAAAABgEAAA8AAAAAAAAAAQAgAAAAIgAAAGRycy9kb3ducmV2&#10;LnhtbFBLAQIUABQAAAAIAIdO4kADwHrV/QEAAO4DAAAOAAAAAAAAAAEAIAAAACYBAABkcnMvZTJv&#10;RG9jLnhtbFBLBQYAAAAABgAGAFkBAACVBQAAAAA=&#10;">
                  <v:fill on="f" focussize="0,0"/>
                  <v:stroke color="#000000" joinstyle="round" endarrow="block"/>
                  <v:imagedata o:title=""/>
                  <o:lock v:ext="edit" aspectratio="f"/>
                </v:line>
                <v:shape id="Text Box 78" o:spid="_x0000_s1026" o:spt="202" type="#_x0000_t202" style="position:absolute;left:4797445;top:3666020;height:322336;width:295048;" filled="f" stroked="f" coordsize="21600,21600" o:gfxdata="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w+g4tQAAAAGAQAADwAAAAAAAAABACAAAAAiAAAAZHJzL2Rvd25y&#10;ZXYueG1sUEsBAhQAFAAAAAgAh07iQKrtbqPJAQAAjQMAAA4AAAAAAAAAAQAgAAAAIwEAAGRycy9l&#10;Mm9Eb2MueG1sUEsFBgAAAAAGAAYAWQEAAF4FAAAAAA==&#10;">
                  <v:fill on="f" focussize="0,0"/>
                  <v:stroke on="f"/>
                  <v:imagedata o:title=""/>
                  <o:lock v:ext="edit" aspectratio="f"/>
                  <v:textbox>
                    <w:txbxContent>
                      <w:p>
                        <w:r>
                          <w:rPr>
                            <w:rFonts w:hint="eastAsia"/>
                          </w:rPr>
                          <w:t>是</w:t>
                        </w:r>
                      </w:p>
                    </w:txbxContent>
                  </v:textbox>
                </v:shape>
                <v:line id="直线 655" o:spid="_x0000_s1026" o:spt="20" style="position:absolute;left:5809663;top:4198384;height:840844;width:730;" filled="f" stroked="t" coordsize="21600,21600" o:gfxdata="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eHhn1QAAAAYBAAAPAAAAAAAAAAEAIAAAACIAAABkcnMvZG93bnJldi54bWxQSwECFAAUAAAA&#10;CACHTuJAeepvbfEBAADfAwAADgAAAAAAAAABACAAAAAkAQAAZHJzL2Uyb0RvYy54bWxQSwUGAAAA&#10;AAYABgBZAQAAhwUAAAAA&#10;">
                  <v:fill on="f" focussize="0,0"/>
                  <v:stroke color="#000000" joinstyle="round"/>
                  <v:imagedata o:title=""/>
                  <o:lock v:ext="edit" aspectratio="f"/>
                </v:line>
                <v:shape id="Text Box 78" o:spid="_x0000_s1026" o:spt="202" type="#_x0000_t202" style="position:absolute;left:3748711;top:4447063;height:322336;width:295048;" filled="f" stroked="f" coordsize="21600,21600" o:gfxdata="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w+g4tQAAAAGAQAADwAAAAAAAAABACAAAAAiAAAAZHJzL2Rvd25y&#10;ZXYueG1sUEsBAhQAFAAAAAgAh07iQGMi5T7JAQAAjQMAAA4AAAAAAAAAAQAgAAAAIwEAAGRycy9l&#10;Mm9Eb2MueG1sUEsFBgAAAAAGAAYAWQEAAF4FAAAAAA==&#10;">
                  <v:fill on="f" focussize="0,0"/>
                  <v:stroke on="f"/>
                  <v:imagedata o:title=""/>
                  <o:lock v:ext="edit" aspectratio="f"/>
                  <v:textbox>
                    <w:txbxContent>
                      <w:p>
                        <w:r>
                          <w:rPr>
                            <w:rFonts w:hint="eastAsia"/>
                          </w:rPr>
                          <w:t>否</w:t>
                        </w:r>
                      </w:p>
                    </w:txbxContent>
                  </v:textbox>
                </v:shape>
                <v:line id="直线 679" o:spid="_x0000_s1026" o:spt="20" style="position:absolute;left:4797445;top:5039227;flip:x;height:729;width:1012218;" filled="f" stroked="t" coordsize="21600,21600" o:gfxdata="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GUkTdcAAAAGAQAADwAAAAAAAAABACAAAAAiAAAAZHJzL2Rv&#10;d25yZXYueG1sUEsBAhQAFAAAAAgAh07iQAInFOICAgAA7gMAAA4AAAAAAAAAAQAgAAAAJgEAAGRy&#10;cy9lMm9Eb2MueG1sUEsFBgAAAAAGAAYAWQEAAJoFAAAAAA==&#10;">
                  <v:fill on="f" focussize="0,0"/>
                  <v:stroke color="#000000" joinstyle="round" endarrow="block"/>
                  <v:imagedata o:title=""/>
                  <o:lock v:ext="edit" aspectratio="f"/>
                </v:line>
                <w10:wrap type="none"/>
                <w10:anchorlock/>
              </v:group>
            </w:pict>
          </mc:Fallback>
        </mc:AlternateContent>
      </w:r>
    </w:p>
    <w:p>
      <w:pPr>
        <w:adjustRightInd w:val="0"/>
        <w:snapToGrid w:val="0"/>
        <w:spacing w:line="600" w:lineRule="exact"/>
        <w:ind w:firstLine="420" w:firstLineChars="150"/>
        <w:rPr>
          <w:rFonts w:ascii="仿宋_GB2312" w:hAnsi="宋体" w:eastAsia="仿宋_GB2312" w:cs="Times New Roman"/>
          <w:color w:val="auto"/>
          <w:sz w:val="28"/>
          <w:szCs w:val="28"/>
          <w:highlight w:val="none"/>
        </w:rPr>
      </w:pPr>
      <w:r>
        <w:rPr>
          <w:rFonts w:ascii="仿宋_GB2312" w:hAnsi="宋体" w:eastAsia="仿宋_GB2312"/>
          <w:color w:val="auto"/>
          <w:sz w:val="28"/>
          <w:szCs w:val="28"/>
          <w:highlight w:val="none"/>
        </w:rPr>
        <w:br w:type="page"/>
      </w:r>
      <w:r>
        <w:rPr>
          <w:rFonts w:hint="eastAsia" w:ascii="仿宋_GB2312" w:hAnsi="宋体" w:eastAsia="仿宋_GB2312" w:cs="Times New Roman"/>
          <w:color w:val="auto"/>
          <w:sz w:val="28"/>
          <w:szCs w:val="28"/>
          <w:highlight w:val="none"/>
        </w:rPr>
        <w:t>（二）土建结构类常规材料审批</w:t>
      </w:r>
    </w:p>
    <w:p>
      <w:pPr>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对于土建结构类常规材料，进行</w:t>
      </w:r>
      <w:r>
        <w:rPr>
          <w:rFonts w:hint="eastAsia" w:ascii="仿宋_GB2312" w:hAnsi="宋体" w:eastAsia="仿宋_GB2312"/>
          <w:bCs/>
          <w:color w:val="auto"/>
          <w:sz w:val="28"/>
          <w:szCs w:val="28"/>
          <w:highlight w:val="none"/>
        </w:rPr>
        <w:t>符合性审查</w:t>
      </w:r>
      <w:r>
        <w:rPr>
          <w:rFonts w:hint="eastAsia" w:ascii="仿宋_GB2312" w:hAnsi="宋体" w:eastAsia="仿宋_GB2312"/>
          <w:color w:val="auto"/>
          <w:sz w:val="28"/>
          <w:szCs w:val="28"/>
          <w:highlight w:val="none"/>
        </w:rPr>
        <w:t>。流程如下：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施工单位按照施工图设计质量标准要求并结合投标文件，申报一个或以上的材料品牌，将拟采用厂家的资质、产品质量合格证明文件等资料报监理单位；实行生产许可证或使用产品质量认证标志的产品，还应提供证书编号、批准日期和有效期限。</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2.监理单位对上报的资料进行审核，其中对管桩、混凝土厂家、装配式构件厂家需进行考察并形成考察报告。</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3.审核（考察）通过后，监理单位择优选择某一个或两个品牌（一主选，一备选），并将资料上报建设单位备案，备案后的《乙供材料符合性审查表》下发给施工单位。</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4.施工单位将签订的设备材料供货协议书或合同报监理单位进行备案。</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5.若产品使用期间更换厂家，须重新进行符合性审查工作。</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（三）装饰观感类和机电设备类材料审批</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对于装饰观感类材料和机电设备类材料，按乙供材料看样定板工作流程执行。由施工单位自行申报三个品牌，且每个必须分别填写《乙供材料（设备）定板审批表》并按要求提供样板及资料，在看样定板时择优选择一个品牌，当材料使用量较大，且一个品牌无法满足供货要求时，可申报五个品牌，择优选择两个品牌。</w:t>
      </w:r>
    </w:p>
    <w:p>
      <w:pPr>
        <w:spacing w:line="600" w:lineRule="exact"/>
        <w:ind w:firstLine="560" w:firstLineChars="200"/>
        <w:rPr>
          <w:rFonts w:ascii="仿宋_GB2312" w:hAnsi="宋体" w:eastAsia="仿宋_GB2312"/>
          <w:bCs/>
          <w:color w:val="auto"/>
          <w:sz w:val="28"/>
          <w:szCs w:val="28"/>
          <w:highlight w:val="none"/>
        </w:rPr>
      </w:pPr>
      <w:r>
        <w:rPr>
          <w:rFonts w:hint="eastAsia" w:ascii="仿宋_GB2312" w:hAnsi="宋体" w:eastAsia="仿宋_GB2312"/>
          <w:bCs/>
          <w:color w:val="auto"/>
          <w:sz w:val="28"/>
          <w:szCs w:val="28"/>
          <w:highlight w:val="none"/>
        </w:rPr>
        <w:t>看样定板工作流程如下：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1.材料申报</w:t>
      </w:r>
    </w:p>
    <w:p>
      <w:pPr>
        <w:adjustRightInd w:val="0"/>
        <w:snapToGrid w:val="0"/>
        <w:spacing w:line="600" w:lineRule="exact"/>
        <w:ind w:firstLine="700" w:firstLineChars="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施工单位按照施工图设计质量标准要求并结合投标文件，按每一种乙供材料分别填写《乙供材料看样定板审批表》（附表1），并附以下材料：</w:t>
      </w:r>
    </w:p>
    <w:p>
      <w:pPr>
        <w:adjustRightInd w:val="0"/>
        <w:snapToGrid w:val="0"/>
        <w:spacing w:line="600" w:lineRule="exact"/>
        <w:ind w:firstLine="700" w:firstLineChars="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①材料样板。</w:t>
      </w:r>
    </w:p>
    <w:p>
      <w:pPr>
        <w:adjustRightInd w:val="0"/>
        <w:snapToGrid w:val="0"/>
        <w:spacing w:line="600" w:lineRule="exact"/>
        <w:ind w:firstLine="700" w:firstLineChars="25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②各材料供应商需提供资料（包括但不限于以下内容）：</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a.产品质量检测报告（提供清晰复印件，必要时要求提供原件）。要求：Ⅰ.有效期内的检测报告（建议是产品的型式检验报告或地市级以上政府监督抽查报告）；Ⅱ.检测机构必须具有CMA或CNAL认证。</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b.计划使用产品型号规格、技术参数及对比表、安装及使用说明。</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c.企业资质及信誉证明，如为代理商则需提供生产厂家授权委托书。由材料供货厂家提供供货及服务承诺、联系人信息。</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2.评审办法</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①建设单位自接到申报起5天内组织评审工作，评审工作采用集中办公会审形式进行，建设单位、监理单位、设计单位的项目负责人（或授权人）必须参加。会议由建设单位主持，如涉及建筑景观或特别重要内容，则邀请校方参加定板。</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监理单位应在集中会审前完成施工单位提交的《乙供材料看样定板审批表》的审核并加具意见，与会各方在会议结束时应同时完成《乙供材料看样定板审批表》及《乙供材料现场定板封样表》（附表2）中各项的签名确认工作。</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②装饰观感类材料原则上应以样板观感、尺寸以及技术参数两个方面进行同步控制，机电设备类材料可以技术参数、外形尺寸为主进行控制。</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③重要的土建类材料和机电类材料原则上应事前进行考察。涉及重要装修装饰效果的评审工作必须在完成样板间（段）后由建设单位主持进行评审。</w:t>
      </w:r>
    </w:p>
    <w:p>
      <w:pPr>
        <w:spacing w:line="600" w:lineRule="exact"/>
        <w:ind w:firstLine="646"/>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④为维护乙供材料评审工作的严肃性，具体要求如下：施工单位申报乙供材料准备不充分不组织评审；样板只可在评审现场完成评审；设计人员只负责对技术参数、型号、规格、观感效果等是否满足设计要求提供具体意见，无否决权。</w:t>
      </w:r>
    </w:p>
    <w:p>
      <w:pPr>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3.材料的封板</w:t>
      </w:r>
    </w:p>
    <w:p>
      <w:pPr>
        <w:adjustRightInd w:val="0"/>
        <w:snapToGrid w:val="0"/>
        <w:spacing w:line="600" w:lineRule="exact"/>
        <w:ind w:firstLine="618"/>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经评审确定为合格材料供应商和合格产品的材料样板在现场进行封板，对于体积不大的各类产品可直接进行封板（瓷砖、洁具产品必须封板）；对于较大的机电材料（如电梯）或一些系统性产品（如弱电类大型系统）无法进行实物封板的，可用图片封样，并给出技术说明文件（包括产品照片、规格型号、关键元器件及对应技术参数）作为材料封板的补充。各方在《乙供材料现场定板封样表》签字，并由监理单位保存原始资料，作为乙供材料采购进货及验收的依据。封板的材料设备均需封存在由施工单位设置的现场封板材料仓库中，并由监理单位保管至竣工验收，如因丢失损坏“样品”而造成损失，应追究相关责任单位各责任人的责任。</w:t>
      </w:r>
    </w:p>
    <w:p>
      <w:pPr>
        <w:adjustRightInd w:val="0"/>
        <w:snapToGrid w:val="0"/>
        <w:spacing w:line="600" w:lineRule="exact"/>
        <w:ind w:firstLine="562" w:firstLineChars="200"/>
        <w:rPr>
          <w:rFonts w:ascii="仿宋_GB2312" w:hAnsi="宋体" w:eastAsia="仿宋_GB2312" w:cs="Times New Roman"/>
          <w:b/>
          <w:bCs/>
          <w:color w:val="auto"/>
          <w:sz w:val="28"/>
          <w:szCs w:val="28"/>
          <w:highlight w:val="none"/>
        </w:rPr>
      </w:pPr>
      <w:bookmarkStart w:id="1088" w:name="_Toc12429"/>
      <w:r>
        <w:rPr>
          <w:rFonts w:hint="eastAsia" w:ascii="仿宋_GB2312" w:hAnsi="宋体" w:eastAsia="仿宋_GB2312" w:cs="Times New Roman"/>
          <w:b/>
          <w:bCs/>
          <w:color w:val="auto"/>
          <w:sz w:val="28"/>
          <w:szCs w:val="28"/>
          <w:highlight w:val="none"/>
        </w:rPr>
        <w:t>五、乙供材料质量控制与检测</w:t>
      </w:r>
      <w:bookmarkEnd w:id="1088"/>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089" w:name="_Toc1669"/>
      <w:r>
        <w:rPr>
          <w:rFonts w:hint="eastAsia" w:ascii="仿宋_GB2312" w:hAnsi="宋体" w:eastAsia="仿宋_GB2312" w:cs="Times New Roman"/>
          <w:color w:val="auto"/>
          <w:sz w:val="28"/>
          <w:szCs w:val="28"/>
          <w:highlight w:val="none"/>
        </w:rPr>
        <w:t>（一）乙供材料未进场前的质量保证措施</w:t>
      </w:r>
      <w:bookmarkEnd w:id="1089"/>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建设单位对拟使用的乙供材料生产企业开展调查。调查的主要内容（包括但不限于）：企业的规模、企业的性质、企业的生产保证能力、企业的产品质量保证能力、材料生产工艺、原材料采购等相关内容。施工单位必须保障调查出行及提供其他必要的便利条件。</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2.根据实际情况，对企业计划供应的产品或相同类型产品进行抽查检测，进一步确定产品质量。</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090" w:name="_Toc25317"/>
      <w:r>
        <w:rPr>
          <w:rFonts w:hint="eastAsia" w:ascii="仿宋_GB2312" w:hAnsi="宋体" w:eastAsia="仿宋_GB2312" w:cs="Times New Roman"/>
          <w:color w:val="auto"/>
          <w:sz w:val="28"/>
          <w:szCs w:val="28"/>
          <w:highlight w:val="none"/>
        </w:rPr>
        <w:t>（二）乙供材料到达工地现场的质量控制措施</w:t>
      </w:r>
      <w:bookmarkEnd w:id="1090"/>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1.施工单位应在现场设置材料堆放区，当材料进场时，施工单位须按规定上报监理进行验收，在经验收合格后才可以存放，便于使用前的统一存放与管理。</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2.已进场乙供材料的抽查检测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为确保进场材料、设备是由经建设单位审批确定的生产企业所生产及供应，杜绝假冒品牌进入现场，建设单位会通监理、设计单位对进场材料随机进行核实，主要包括：标志（专供标志），企业出厂供货清单、产品规格型号、数量。必要时可请生产、供应厂家企业直接进入现场确认。</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bookmarkStart w:id="1091" w:name="_Toc23901"/>
      <w:r>
        <w:rPr>
          <w:rFonts w:hint="eastAsia" w:ascii="仿宋_GB2312" w:hAnsi="宋体" w:eastAsia="仿宋_GB2312" w:cs="Times New Roman"/>
          <w:color w:val="auto"/>
          <w:sz w:val="28"/>
          <w:szCs w:val="28"/>
          <w:highlight w:val="none"/>
        </w:rPr>
        <w:t>（三）乙供材料在使用过程中的质量控制措施</w:t>
      </w:r>
      <w:bookmarkEnd w:id="1091"/>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1.</w:t>
      </w:r>
      <w:r>
        <w:rPr>
          <w:rFonts w:hint="eastAsia" w:ascii="仿宋_GB2312" w:hAnsi="宋体" w:eastAsia="仿宋_GB2312"/>
          <w:color w:val="auto"/>
          <w:sz w:val="28"/>
          <w:szCs w:val="28"/>
          <w:highlight w:val="none"/>
        </w:rPr>
        <w:t>现场使用材料抽查检测</w:t>
      </w:r>
      <w:r>
        <w:rPr>
          <w:rFonts w:hint="eastAsia" w:ascii="仿宋_GB2312" w:hAnsi="宋体" w:eastAsia="仿宋_GB2312" w:cs="Times New Roman"/>
          <w:color w:val="auto"/>
          <w:sz w:val="28"/>
          <w:szCs w:val="28"/>
          <w:highlight w:val="none"/>
        </w:rPr>
        <w:t>：进场材料除常规进场见证抽检外，为了</w:t>
      </w:r>
      <w:r>
        <w:rPr>
          <w:rFonts w:hint="eastAsia" w:ascii="仿宋_GB2312" w:hAnsi="宋体" w:eastAsia="仿宋_GB2312"/>
          <w:color w:val="auto"/>
          <w:sz w:val="28"/>
          <w:szCs w:val="28"/>
          <w:highlight w:val="none"/>
        </w:rPr>
        <w:t>进一步</w:t>
      </w:r>
      <w:r>
        <w:rPr>
          <w:rFonts w:hint="eastAsia" w:ascii="仿宋_GB2312" w:hAnsi="宋体" w:eastAsia="仿宋_GB2312" w:cs="Times New Roman"/>
          <w:color w:val="auto"/>
          <w:sz w:val="28"/>
          <w:szCs w:val="28"/>
          <w:highlight w:val="none"/>
        </w:rPr>
        <w:t>保证使用材料</w:t>
      </w:r>
      <w:r>
        <w:rPr>
          <w:rFonts w:hint="eastAsia" w:ascii="仿宋_GB2312" w:hAnsi="宋体" w:eastAsia="仿宋_GB2312"/>
          <w:color w:val="auto"/>
          <w:sz w:val="28"/>
          <w:szCs w:val="28"/>
          <w:highlight w:val="none"/>
        </w:rPr>
        <w:t>质量，</w:t>
      </w:r>
      <w:r>
        <w:rPr>
          <w:rFonts w:hint="eastAsia" w:ascii="仿宋_GB2312" w:hAnsi="宋体" w:eastAsia="仿宋_GB2312" w:cs="Times New Roman"/>
          <w:color w:val="auto"/>
          <w:sz w:val="28"/>
          <w:szCs w:val="28"/>
          <w:highlight w:val="none"/>
        </w:rPr>
        <w:t>建设单位及施工单位可在材料使用过程中</w:t>
      </w:r>
      <w:r>
        <w:rPr>
          <w:rFonts w:hint="eastAsia" w:ascii="仿宋_GB2312" w:hAnsi="宋体" w:eastAsia="仿宋_GB2312"/>
          <w:color w:val="auto"/>
          <w:sz w:val="28"/>
          <w:szCs w:val="28"/>
          <w:highlight w:val="none"/>
        </w:rPr>
        <w:t>随机抽查具有代表性的材料</w:t>
      </w:r>
      <w:r>
        <w:rPr>
          <w:rFonts w:hint="eastAsia" w:ascii="仿宋_GB2312" w:hAnsi="宋体" w:eastAsia="仿宋_GB2312" w:cs="Times New Roman"/>
          <w:color w:val="auto"/>
          <w:sz w:val="28"/>
          <w:szCs w:val="28"/>
          <w:highlight w:val="none"/>
        </w:rPr>
        <w:t>送第三方检验，</w:t>
      </w:r>
      <w:r>
        <w:rPr>
          <w:rFonts w:hint="eastAsia" w:ascii="仿宋_GB2312" w:hAnsi="宋体" w:eastAsia="仿宋_GB2312"/>
          <w:color w:val="auto"/>
          <w:sz w:val="28"/>
          <w:szCs w:val="28"/>
          <w:highlight w:val="none"/>
        </w:rPr>
        <w:t>施工单位必须无条件配合抽样检测。</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2.</w:t>
      </w:r>
      <w:r>
        <w:rPr>
          <w:rFonts w:hint="eastAsia" w:ascii="仿宋_GB2312" w:hAnsi="宋体" w:eastAsia="仿宋_GB2312"/>
          <w:color w:val="auto"/>
          <w:sz w:val="28"/>
          <w:szCs w:val="28"/>
          <w:highlight w:val="none"/>
        </w:rPr>
        <w:t>施工单位应计划预备足够的材料量保证满足抽查检验需要。</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3.</w:t>
      </w:r>
      <w:r>
        <w:rPr>
          <w:rFonts w:hint="eastAsia" w:ascii="仿宋_GB2312" w:hAnsi="宋体" w:eastAsia="仿宋_GB2312"/>
          <w:color w:val="auto"/>
          <w:sz w:val="28"/>
          <w:szCs w:val="28"/>
          <w:highlight w:val="none"/>
        </w:rPr>
        <w:t>出现乙供材料检验不合格情况，应按施工合同及国家相应检验规范执行，且建设单位有权取消该供应商的供货资格。</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4</w:t>
      </w:r>
      <w:r>
        <w:rPr>
          <w:rFonts w:hint="eastAsia" w:ascii="仿宋_GB2312" w:hAnsi="宋体" w:eastAsia="仿宋_GB2312"/>
          <w:color w:val="auto"/>
          <w:sz w:val="28"/>
          <w:szCs w:val="28"/>
          <w:highlight w:val="none"/>
        </w:rPr>
        <w:t>.未经检测合格的产品不准使用于工程上，如已使用，必须无条件拆除并按合同有关条款处理。</w:t>
      </w:r>
    </w:p>
    <w:p>
      <w:pPr>
        <w:adjustRightInd w:val="0"/>
        <w:snapToGrid w:val="0"/>
        <w:spacing w:line="600" w:lineRule="exact"/>
        <w:ind w:firstLine="562" w:firstLineChars="200"/>
        <w:rPr>
          <w:rFonts w:ascii="仿宋_GB2312" w:hAnsi="宋体" w:eastAsia="仿宋_GB2312" w:cs="Times New Roman"/>
          <w:b/>
          <w:bCs/>
          <w:color w:val="auto"/>
          <w:sz w:val="28"/>
          <w:szCs w:val="28"/>
          <w:highlight w:val="none"/>
        </w:rPr>
      </w:pPr>
      <w:bookmarkStart w:id="1092" w:name="_Toc32733"/>
      <w:r>
        <w:rPr>
          <w:rFonts w:hint="eastAsia" w:ascii="仿宋_GB2312" w:hAnsi="宋体" w:eastAsia="仿宋_GB2312" w:cs="Times New Roman"/>
          <w:b/>
          <w:bCs/>
          <w:color w:val="auto"/>
          <w:sz w:val="28"/>
          <w:szCs w:val="28"/>
          <w:highlight w:val="none"/>
        </w:rPr>
        <w:t>六、其他</w:t>
      </w:r>
      <w:bookmarkEnd w:id="1092"/>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（一）乙供材料看样定板节点工期列入工程进度节点工期考核范围。如申报合格供应商、评审、备案、签订合同、加工制作、材料进场的检验，供货完毕均要严格按计划节点工期进行。</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二）乙供材料按照本实施要求完成选用审批后方可采购订货，乙供材料进场后按要求检测合格或验收通过后方可使用安装。监理单位应对现场乙供材料使用严格把关，对未按照本实施要求进行选用审批或进场检测即使用安装的乙供材料，监理单位应按合同约定下发局部停工整改指令，限期落实整改，施工单位除根据合同约定承担相应的违约责任外，建设单位有权暂停支付对应的工程进度款，直到施工单位完成相关工作为止。</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（三）在乙供材料管理工作中涉及到材料技术参数、型号、规格发生变化而需进行设计变更时，应按建设单位设计变更实施要求的相关要求完成变更审批后方可进入乙供材料选用审批流程。</w:t>
      </w:r>
    </w:p>
    <w:p>
      <w:pPr>
        <w:adjustRightInd w:val="0"/>
        <w:snapToGrid w:val="0"/>
        <w:spacing w:line="6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olor w:val="auto"/>
          <w:sz w:val="28"/>
          <w:szCs w:val="28"/>
          <w:highlight w:val="none"/>
        </w:rPr>
        <w:t>（四）</w:t>
      </w:r>
      <w:r>
        <w:rPr>
          <w:rFonts w:hint="eastAsia" w:ascii="仿宋_GB2312" w:hAnsi="宋体" w:eastAsia="仿宋_GB2312" w:cs="Times New Roman"/>
          <w:color w:val="auto"/>
          <w:sz w:val="28"/>
          <w:szCs w:val="28"/>
          <w:highlight w:val="none"/>
        </w:rPr>
        <w:t>施工单位应根据施工总进度计划合理编制材料看样定板计划，如</w:t>
      </w:r>
      <w:r>
        <w:rPr>
          <w:rFonts w:hint="eastAsia" w:ascii="仿宋_GB2312" w:hAnsi="宋体" w:eastAsia="仿宋_GB2312"/>
          <w:color w:val="auto"/>
          <w:sz w:val="28"/>
          <w:szCs w:val="28"/>
          <w:highlight w:val="none"/>
        </w:rPr>
        <w:t>因</w:t>
      </w:r>
      <w:r>
        <w:rPr>
          <w:rFonts w:hint="eastAsia" w:ascii="仿宋_GB2312" w:hAnsi="宋体" w:eastAsia="仿宋_GB2312" w:cs="Times New Roman"/>
          <w:color w:val="auto"/>
          <w:sz w:val="28"/>
          <w:szCs w:val="28"/>
          <w:highlight w:val="none"/>
        </w:rPr>
        <w:t>施工单位提供样板滞后导致影响工期，则工期滞后责任由施工单位承担。</w:t>
      </w:r>
    </w:p>
    <w:p>
      <w:pPr>
        <w:adjustRightInd w:val="0"/>
        <w:snapToGrid w:val="0"/>
        <w:spacing w:line="600" w:lineRule="exact"/>
        <w:ind w:firstLine="560" w:firstLineChars="200"/>
        <w:rPr>
          <w:rFonts w:ascii="仿宋_GB2312" w:hAnsi="宋体" w:eastAsia="仿宋_GB2312"/>
          <w:color w:val="auto"/>
          <w:sz w:val="28"/>
          <w:szCs w:val="28"/>
          <w:highlight w:val="none"/>
        </w:rPr>
      </w:pPr>
      <w:r>
        <w:rPr>
          <w:rFonts w:hint="eastAsia" w:ascii="仿宋_GB2312" w:hAnsi="宋体" w:eastAsia="仿宋_GB2312" w:cs="Times New Roman"/>
          <w:color w:val="auto"/>
          <w:sz w:val="28"/>
          <w:szCs w:val="28"/>
          <w:highlight w:val="none"/>
        </w:rPr>
        <w:t>（五）本要求中乙供材料定板原则，需满足施工总承包合同第三部分专用条款第49.1条款约定：“承包人采购的材料和工程设备：承包人负责采购材料和工程设备，需按照标准与规范、设计要求，所用材料必须是广东地区常用产品，在使用前需经发包人和监理单位确认后方可实施，否则发包人有权不认可...”</w:t>
      </w:r>
    </w:p>
    <w:p>
      <w:pPr>
        <w:adjustRightInd w:val="0"/>
        <w:snapToGrid w:val="0"/>
        <w:spacing w:line="600" w:lineRule="exact"/>
        <w:ind w:firstLine="557" w:firstLineChars="199"/>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附表：1.</w:t>
      </w:r>
      <w:r>
        <w:rPr>
          <w:rFonts w:hint="eastAsia" w:ascii="仿宋_GB2312" w:hAnsi="宋体" w:eastAsia="仿宋_GB2312" w:cs="Times New Roman"/>
          <w:color w:val="auto"/>
          <w:sz w:val="28"/>
          <w:szCs w:val="28"/>
          <w:highlight w:val="none"/>
          <w:lang w:bidi="ar"/>
        </w:rPr>
        <w:t>乙供材料（设备）定板审批表</w:t>
      </w:r>
    </w:p>
    <w:p>
      <w:pPr>
        <w:adjustRightInd w:val="0"/>
        <w:snapToGrid w:val="0"/>
        <w:spacing w:line="600" w:lineRule="exact"/>
        <w:ind w:firstLine="1470" w:firstLineChars="525"/>
        <w:rPr>
          <w:rFonts w:ascii="仿宋_GB2312" w:hAnsi="宋体" w:eastAsia="仿宋_GB2312"/>
          <w:color w:val="auto"/>
          <w:sz w:val="28"/>
          <w:szCs w:val="28"/>
          <w:highlight w:val="none"/>
        </w:rPr>
        <w:sectPr>
          <w:footerReference r:id="rId5" w:type="default"/>
          <w:pgSz w:w="11906" w:h="16838"/>
          <w:pgMar w:top="1588" w:right="1588" w:bottom="1588" w:left="1588" w:header="851" w:footer="992" w:gutter="0"/>
          <w:cols w:space="720" w:num="1"/>
          <w:docGrid w:type="lines" w:linePitch="312" w:charSpace="0"/>
        </w:sectPr>
      </w:pPr>
      <w:r>
        <w:rPr>
          <w:rFonts w:hint="eastAsia" w:ascii="仿宋_GB2312" w:hAnsi="宋体" w:eastAsia="仿宋_GB2312"/>
          <w:color w:val="auto"/>
          <w:sz w:val="28"/>
          <w:szCs w:val="28"/>
          <w:highlight w:val="none"/>
        </w:rPr>
        <w:t>2.乙供材料现场定板封样表</w:t>
      </w:r>
    </w:p>
    <w:tbl>
      <w:tblPr>
        <w:tblStyle w:val="28"/>
        <w:tblW w:w="11220" w:type="dxa"/>
        <w:jc w:val="center"/>
        <w:tblLayout w:type="autofit"/>
        <w:tblCellMar>
          <w:top w:w="0" w:type="dxa"/>
          <w:left w:w="0" w:type="dxa"/>
          <w:bottom w:w="0" w:type="dxa"/>
          <w:right w:w="0" w:type="dxa"/>
        </w:tblCellMar>
      </w:tblPr>
      <w:tblGrid>
        <w:gridCol w:w="3323"/>
        <w:gridCol w:w="42"/>
        <w:gridCol w:w="41"/>
        <w:gridCol w:w="50"/>
        <w:gridCol w:w="1446"/>
        <w:gridCol w:w="40"/>
        <w:gridCol w:w="688"/>
        <w:gridCol w:w="1349"/>
        <w:gridCol w:w="680"/>
        <w:gridCol w:w="1120"/>
        <w:gridCol w:w="1077"/>
        <w:gridCol w:w="1364"/>
      </w:tblGrid>
      <w:tr>
        <w:tblPrEx>
          <w:tblCellMar>
            <w:top w:w="0" w:type="dxa"/>
            <w:left w:w="0" w:type="dxa"/>
            <w:bottom w:w="0" w:type="dxa"/>
            <w:right w:w="0" w:type="dxa"/>
          </w:tblCellMar>
        </w:tblPrEx>
        <w:trPr>
          <w:trHeight w:val="353" w:hRule="atLeast"/>
          <w:jc w:val="center"/>
        </w:trPr>
        <w:tc>
          <w:tcPr>
            <w:tcW w:w="11220" w:type="dxa"/>
            <w:gridSpan w:val="12"/>
            <w:tcBorders>
              <w:top w:val="nil"/>
              <w:left w:val="nil"/>
              <w:bottom w:val="nil"/>
              <w:right w:val="nil"/>
            </w:tcBorders>
            <w:tcMar>
              <w:top w:w="10" w:type="dxa"/>
              <w:left w:w="10" w:type="dxa"/>
              <w:right w:w="10" w:type="dxa"/>
            </w:tcMar>
            <w:vAlign w:val="center"/>
          </w:tcPr>
          <w:p>
            <w:pPr>
              <w:jc w:val="left"/>
              <w:textAlignment w:val="center"/>
              <w:rPr>
                <w:rFonts w:ascii="宋体" w:hAnsi="宋体" w:cs="宋体"/>
                <w:b/>
                <w:bCs/>
                <w:color w:val="auto"/>
                <w:kern w:val="0"/>
                <w:sz w:val="30"/>
                <w:szCs w:val="30"/>
                <w:highlight w:val="none"/>
                <w:lang w:bidi="ar"/>
              </w:rPr>
            </w:pPr>
            <w:r>
              <w:rPr>
                <w:rFonts w:hint="eastAsia" w:ascii="黑体" w:hAnsi="黑体" w:eastAsia="黑体"/>
                <w:color w:val="auto"/>
                <w:sz w:val="24"/>
                <w:highlight w:val="none"/>
              </w:rPr>
              <w:t>附表1</w:t>
            </w:r>
          </w:p>
        </w:tc>
      </w:tr>
      <w:tr>
        <w:tblPrEx>
          <w:tblCellMar>
            <w:top w:w="0" w:type="dxa"/>
            <w:left w:w="0" w:type="dxa"/>
            <w:bottom w:w="0" w:type="dxa"/>
            <w:right w:w="0" w:type="dxa"/>
          </w:tblCellMar>
        </w:tblPrEx>
        <w:trPr>
          <w:trHeight w:val="686" w:hRule="atLeast"/>
          <w:jc w:val="center"/>
        </w:trPr>
        <w:tc>
          <w:tcPr>
            <w:tcW w:w="11220" w:type="dxa"/>
            <w:gridSpan w:val="12"/>
            <w:tcBorders>
              <w:top w:val="nil"/>
              <w:left w:val="nil"/>
              <w:bottom w:val="nil"/>
              <w:right w:val="nil"/>
            </w:tcBorders>
            <w:tcMar>
              <w:top w:w="10" w:type="dxa"/>
              <w:left w:w="10" w:type="dxa"/>
              <w:right w:w="10" w:type="dxa"/>
            </w:tcMar>
            <w:vAlign w:val="center"/>
          </w:tcPr>
          <w:p>
            <w:pPr>
              <w:jc w:val="center"/>
              <w:textAlignment w:val="center"/>
              <w:rPr>
                <w:rFonts w:ascii="宋体" w:hAnsi="宋体" w:cs="宋体"/>
                <w:b/>
                <w:bCs/>
                <w:color w:val="auto"/>
                <w:sz w:val="30"/>
                <w:szCs w:val="30"/>
                <w:highlight w:val="none"/>
              </w:rPr>
            </w:pPr>
            <w:r>
              <w:rPr>
                <w:rFonts w:hint="eastAsia" w:ascii="宋体" w:hAnsi="宋体" w:cs="宋体"/>
                <w:b/>
                <w:bCs/>
                <w:color w:val="auto"/>
                <w:kern w:val="0"/>
                <w:sz w:val="30"/>
                <w:szCs w:val="30"/>
                <w:highlight w:val="none"/>
                <w:lang w:bidi="ar"/>
              </w:rPr>
              <w:t>XXX工程</w:t>
            </w:r>
          </w:p>
        </w:tc>
      </w:tr>
      <w:tr>
        <w:tblPrEx>
          <w:tblCellMar>
            <w:top w:w="0" w:type="dxa"/>
            <w:left w:w="0" w:type="dxa"/>
            <w:bottom w:w="0" w:type="dxa"/>
            <w:right w:w="0" w:type="dxa"/>
          </w:tblCellMar>
        </w:tblPrEx>
        <w:trPr>
          <w:trHeight w:val="686" w:hRule="atLeast"/>
          <w:jc w:val="center"/>
        </w:trPr>
        <w:tc>
          <w:tcPr>
            <w:tcW w:w="11220" w:type="dxa"/>
            <w:gridSpan w:val="12"/>
            <w:tcBorders>
              <w:top w:val="nil"/>
              <w:left w:val="nil"/>
              <w:bottom w:val="nil"/>
              <w:right w:val="nil"/>
            </w:tcBorders>
            <w:tcMar>
              <w:top w:w="10" w:type="dxa"/>
              <w:left w:w="10" w:type="dxa"/>
              <w:right w:w="10" w:type="dxa"/>
            </w:tcMar>
            <w:vAlign w:val="center"/>
          </w:tcPr>
          <w:p>
            <w:pPr>
              <w:jc w:val="center"/>
              <w:textAlignment w:val="center"/>
              <w:rPr>
                <w:rFonts w:ascii="宋体" w:hAnsi="宋体" w:cs="宋体"/>
                <w:b/>
                <w:bCs/>
                <w:color w:val="auto"/>
                <w:sz w:val="30"/>
                <w:szCs w:val="30"/>
                <w:highlight w:val="none"/>
              </w:rPr>
            </w:pPr>
            <w:r>
              <w:rPr>
                <w:rFonts w:hint="eastAsia" w:ascii="宋体" w:hAnsi="宋体" w:cs="宋体"/>
                <w:b/>
                <w:bCs/>
                <w:color w:val="auto"/>
                <w:kern w:val="0"/>
                <w:sz w:val="30"/>
                <w:szCs w:val="30"/>
                <w:highlight w:val="none"/>
                <w:lang w:bidi="ar"/>
              </w:rPr>
              <w:t>乙供材料（设备）定板审批表</w:t>
            </w:r>
          </w:p>
        </w:tc>
      </w:tr>
      <w:tr>
        <w:tblPrEx>
          <w:tblCellMar>
            <w:top w:w="0" w:type="dxa"/>
            <w:left w:w="0" w:type="dxa"/>
            <w:bottom w:w="0" w:type="dxa"/>
            <w:right w:w="0" w:type="dxa"/>
          </w:tblCellMar>
        </w:tblPrEx>
        <w:trPr>
          <w:trHeight w:val="439" w:hRule="atLeast"/>
          <w:jc w:val="center"/>
        </w:trPr>
        <w:tc>
          <w:tcPr>
            <w:tcW w:w="6538" w:type="dxa"/>
            <w:gridSpan w:val="8"/>
            <w:tcBorders>
              <w:top w:val="nil"/>
              <w:left w:val="nil"/>
              <w:bottom w:val="nil"/>
              <w:right w:val="nil"/>
            </w:tcBorders>
            <w:noWrap/>
            <w:tcMar>
              <w:top w:w="10" w:type="dxa"/>
              <w:left w:w="10" w:type="dxa"/>
              <w:right w:w="10" w:type="dxa"/>
            </w:tcMar>
            <w:vAlign w:val="center"/>
          </w:tcPr>
          <w:p>
            <w:pPr>
              <w:jc w:val="left"/>
              <w:rPr>
                <w:rFonts w:ascii="宋体" w:hAnsi="宋体" w:cs="宋体"/>
                <w:b/>
                <w:color w:val="auto"/>
                <w:sz w:val="30"/>
                <w:szCs w:val="30"/>
                <w:highlight w:val="none"/>
              </w:rPr>
            </w:pPr>
            <w:r>
              <w:rPr>
                <w:rFonts w:hint="eastAsia" w:ascii="宋体" w:hAnsi="宋体" w:cs="宋体"/>
                <w:color w:val="auto"/>
                <w:kern w:val="0"/>
                <w:sz w:val="22"/>
                <w:highlight w:val="none"/>
                <w:lang w:bidi="ar"/>
              </w:rPr>
              <w:sym w:font="Wingdings 2" w:char="00A3"/>
            </w:r>
            <w:r>
              <w:rPr>
                <w:rFonts w:hint="eastAsia" w:ascii="宋体" w:hAnsi="宋体" w:cs="宋体"/>
                <w:color w:val="auto"/>
                <w:kern w:val="0"/>
                <w:sz w:val="22"/>
                <w:highlight w:val="none"/>
                <w:lang w:bidi="ar"/>
              </w:rPr>
              <w:t xml:space="preserve">符合性审查               </w:t>
            </w:r>
            <w:r>
              <w:rPr>
                <w:rFonts w:hint="eastAsia" w:ascii="宋体" w:hAnsi="宋体" w:cs="宋体"/>
                <w:color w:val="auto"/>
                <w:kern w:val="0"/>
                <w:sz w:val="22"/>
                <w:highlight w:val="none"/>
                <w:lang w:bidi="ar"/>
              </w:rPr>
              <w:sym w:font="Wingdings 2" w:char="00A3"/>
            </w:r>
            <w:r>
              <w:rPr>
                <w:rFonts w:hint="eastAsia" w:ascii="宋体" w:hAnsi="宋体" w:cs="宋体"/>
                <w:color w:val="auto"/>
                <w:kern w:val="0"/>
                <w:sz w:val="22"/>
                <w:highlight w:val="none"/>
                <w:lang w:bidi="ar"/>
              </w:rPr>
              <w:t>看样定板</w:t>
            </w:r>
          </w:p>
        </w:tc>
        <w:tc>
          <w:tcPr>
            <w:tcW w:w="0" w:type="auto"/>
            <w:tcBorders>
              <w:top w:val="nil"/>
              <w:left w:val="nil"/>
              <w:bottom w:val="nil"/>
              <w:right w:val="nil"/>
            </w:tcBorders>
            <w:noWrap/>
            <w:tcMar>
              <w:top w:w="10" w:type="dxa"/>
              <w:left w:w="10" w:type="dxa"/>
              <w:right w:w="10" w:type="dxa"/>
            </w:tcMar>
            <w:vAlign w:val="center"/>
          </w:tcPr>
          <w:p>
            <w:pPr>
              <w:jc w:val="center"/>
              <w:rPr>
                <w:rFonts w:ascii="宋体" w:hAnsi="宋体" w:cs="宋体"/>
                <w:b/>
                <w:color w:val="auto"/>
                <w:sz w:val="30"/>
                <w:szCs w:val="30"/>
                <w:highlight w:val="none"/>
              </w:rPr>
            </w:pPr>
          </w:p>
        </w:tc>
        <w:tc>
          <w:tcPr>
            <w:tcW w:w="0" w:type="auto"/>
            <w:tcBorders>
              <w:top w:val="nil"/>
              <w:left w:val="nil"/>
              <w:bottom w:val="nil"/>
              <w:right w:val="nil"/>
            </w:tcBorders>
            <w:noWrap/>
            <w:tcMar>
              <w:top w:w="10" w:type="dxa"/>
              <w:left w:w="10" w:type="dxa"/>
              <w:right w:w="10" w:type="dxa"/>
            </w:tcMar>
            <w:vAlign w:val="center"/>
          </w:tcPr>
          <w:p>
            <w:pPr>
              <w:jc w:val="center"/>
              <w:textAlignment w:val="center"/>
              <w:rPr>
                <w:rFonts w:ascii="宋体" w:hAnsi="宋体" w:cs="宋体"/>
                <w:b/>
                <w:color w:val="auto"/>
                <w:sz w:val="30"/>
                <w:szCs w:val="30"/>
                <w:highlight w:val="none"/>
              </w:rPr>
            </w:pPr>
            <w:r>
              <w:rPr>
                <w:rFonts w:hint="eastAsia" w:ascii="宋体" w:hAnsi="宋体" w:cs="宋体"/>
                <w:color w:val="auto"/>
                <w:kern w:val="0"/>
                <w:sz w:val="22"/>
                <w:highlight w:val="none"/>
                <w:lang w:bidi="ar"/>
              </w:rPr>
              <w:t>编号：</w:t>
            </w:r>
          </w:p>
        </w:tc>
        <w:tc>
          <w:tcPr>
            <w:tcW w:w="0" w:type="auto"/>
            <w:tcBorders>
              <w:top w:val="nil"/>
              <w:left w:val="nil"/>
              <w:bottom w:val="nil"/>
              <w:right w:val="nil"/>
            </w:tcBorders>
            <w:noWrap/>
            <w:tcMar>
              <w:top w:w="10" w:type="dxa"/>
              <w:left w:w="10" w:type="dxa"/>
              <w:right w:w="10" w:type="dxa"/>
            </w:tcMar>
            <w:vAlign w:val="center"/>
          </w:tcPr>
          <w:p>
            <w:pPr>
              <w:jc w:val="center"/>
              <w:rPr>
                <w:rFonts w:ascii="宋体" w:hAnsi="宋体" w:cs="宋体"/>
                <w:b/>
                <w:color w:val="auto"/>
                <w:sz w:val="30"/>
                <w:szCs w:val="30"/>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30"/>
                <w:szCs w:val="30"/>
                <w:highlight w:val="none"/>
              </w:rPr>
            </w:pPr>
          </w:p>
        </w:tc>
      </w:tr>
      <w:tr>
        <w:tblPrEx>
          <w:tblCellMar>
            <w:top w:w="0" w:type="dxa"/>
            <w:left w:w="0" w:type="dxa"/>
            <w:bottom w:w="0" w:type="dxa"/>
            <w:right w:w="0" w:type="dxa"/>
          </w:tblCellMar>
        </w:tblPrEx>
        <w:trPr>
          <w:trHeight w:val="395" w:hRule="atLeast"/>
          <w:jc w:val="center"/>
        </w:trPr>
        <w:tc>
          <w:tcPr>
            <w:tcW w:w="0" w:type="auto"/>
            <w:gridSpan w:val="3"/>
            <w:tcBorders>
              <w:top w:val="single" w:color="000000" w:sz="8"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材料或设备名称</w:t>
            </w:r>
          </w:p>
        </w:tc>
        <w:tc>
          <w:tcPr>
            <w:tcW w:w="0" w:type="auto"/>
            <w:gridSpan w:val="2"/>
            <w:tcBorders>
              <w:top w:val="single" w:color="000000" w:sz="8"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使用部位</w:t>
            </w:r>
          </w:p>
        </w:tc>
        <w:tc>
          <w:tcPr>
            <w:tcW w:w="0" w:type="auto"/>
            <w:gridSpan w:val="3"/>
            <w:tcBorders>
              <w:top w:val="single" w:color="000000" w:sz="8"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招标工程量</w:t>
            </w:r>
          </w:p>
        </w:tc>
        <w:tc>
          <w:tcPr>
            <w:tcW w:w="0" w:type="auto"/>
            <w:gridSpan w:val="2"/>
            <w:tcBorders>
              <w:top w:val="single" w:color="000000" w:sz="8"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4"/>
                <w:szCs w:val="24"/>
                <w:highlight w:val="none"/>
              </w:rPr>
            </w:pPr>
            <w:r>
              <w:rPr>
                <w:rFonts w:hint="eastAsia" w:ascii="宋体" w:hAnsi="宋体" w:cs="宋体"/>
                <w:color w:val="auto"/>
                <w:kern w:val="0"/>
                <w:sz w:val="24"/>
                <w:szCs w:val="24"/>
                <w:highlight w:val="none"/>
                <w:lang w:bidi="ar"/>
              </w:rPr>
              <w:t>施工图工程量</w:t>
            </w:r>
          </w:p>
        </w:tc>
        <w:tc>
          <w:tcPr>
            <w:tcW w:w="0" w:type="auto"/>
            <w:tcBorders>
              <w:top w:val="single" w:color="000000" w:sz="8"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概算品牌</w:t>
            </w:r>
          </w:p>
        </w:tc>
        <w:tc>
          <w:tcPr>
            <w:tcW w:w="0" w:type="auto"/>
            <w:tcBorders>
              <w:top w:val="single" w:color="000000" w:sz="8" w:space="0"/>
              <w:left w:val="nil"/>
              <w:bottom w:val="single" w:color="000000" w:sz="4" w:space="0"/>
              <w:right w:val="single" w:color="000000" w:sz="8" w:space="0"/>
            </w:tcBorders>
            <w:noWrap/>
            <w:tcMar>
              <w:top w:w="10" w:type="dxa"/>
              <w:left w:w="10" w:type="dxa"/>
              <w:right w:w="10" w:type="dxa"/>
            </w:tcMar>
            <w:vAlign w:val="center"/>
          </w:tcPr>
          <w:p>
            <w:pPr>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拟选用品牌</w:t>
            </w:r>
          </w:p>
        </w:tc>
      </w:tr>
      <w:tr>
        <w:tblPrEx>
          <w:tblCellMar>
            <w:top w:w="0" w:type="dxa"/>
            <w:left w:w="0" w:type="dxa"/>
            <w:bottom w:w="0" w:type="dxa"/>
            <w:right w:w="0" w:type="dxa"/>
          </w:tblCellMar>
        </w:tblPrEx>
        <w:trPr>
          <w:trHeight w:val="374" w:hRule="atLeast"/>
          <w:jc w:val="center"/>
        </w:trPr>
        <w:tc>
          <w:tcPr>
            <w:tcW w:w="3406" w:type="dxa"/>
            <w:gridSpan w:val="3"/>
            <w:tcBorders>
              <w:top w:val="single" w:color="000000" w:sz="4" w:space="0"/>
              <w:left w:val="single" w:color="000000" w:sz="8" w:space="0"/>
              <w:bottom w:val="nil"/>
              <w:right w:val="single" w:color="000000" w:sz="4" w:space="0"/>
            </w:tcBorders>
            <w:tcMar>
              <w:top w:w="10" w:type="dxa"/>
              <w:left w:w="10" w:type="dxa"/>
              <w:right w:w="10" w:type="dxa"/>
            </w:tcMar>
            <w:vAlign w:val="center"/>
          </w:tcPr>
          <w:p>
            <w:pPr>
              <w:jc w:val="center"/>
              <w:textAlignment w:val="center"/>
              <w:rPr>
                <w:rFonts w:ascii="宋体" w:hAnsi="宋体" w:cs="宋体"/>
                <w:color w:val="auto"/>
                <w:sz w:val="24"/>
                <w:szCs w:val="24"/>
                <w:highlight w:val="none"/>
              </w:rPr>
            </w:pPr>
          </w:p>
        </w:tc>
        <w:tc>
          <w:tcPr>
            <w:tcW w:w="1563" w:type="dxa"/>
            <w:gridSpan w:val="2"/>
            <w:tcBorders>
              <w:top w:val="single" w:color="000000" w:sz="4" w:space="0"/>
              <w:left w:val="single" w:color="000000" w:sz="4" w:space="0"/>
              <w:bottom w:val="nil"/>
              <w:right w:val="single" w:color="000000" w:sz="4" w:space="0"/>
            </w:tcBorders>
            <w:tcMar>
              <w:top w:w="10" w:type="dxa"/>
              <w:left w:w="10" w:type="dxa"/>
              <w:right w:w="10" w:type="dxa"/>
            </w:tcMar>
            <w:vAlign w:val="center"/>
          </w:tcPr>
          <w:p>
            <w:pPr>
              <w:jc w:val="center"/>
              <w:textAlignment w:val="center"/>
              <w:rPr>
                <w:rFonts w:ascii="宋体" w:hAnsi="宋体" w:cs="宋体"/>
                <w:color w:val="auto"/>
                <w:sz w:val="22"/>
                <w:highlight w:val="none"/>
              </w:rPr>
            </w:pPr>
          </w:p>
        </w:tc>
        <w:tc>
          <w:tcPr>
            <w:tcW w:w="1569" w:type="dxa"/>
            <w:gridSpan w:val="3"/>
            <w:tcBorders>
              <w:top w:val="single" w:color="000000" w:sz="4" w:space="0"/>
              <w:left w:val="single" w:color="000000" w:sz="4" w:space="0"/>
              <w:bottom w:val="nil"/>
              <w:right w:val="single" w:color="000000" w:sz="4" w:space="0"/>
            </w:tcBorders>
            <w:tcMar>
              <w:top w:w="10" w:type="dxa"/>
              <w:left w:w="10" w:type="dxa"/>
              <w:right w:w="10" w:type="dxa"/>
            </w:tcMar>
            <w:vAlign w:val="center"/>
          </w:tcPr>
          <w:p>
            <w:pPr>
              <w:jc w:val="center"/>
              <w:rPr>
                <w:rFonts w:ascii="宋体" w:hAnsi="宋体" w:cs="宋体"/>
                <w:color w:val="auto"/>
                <w:sz w:val="22"/>
                <w:highlight w:val="none"/>
              </w:rPr>
            </w:pPr>
          </w:p>
        </w:tc>
        <w:tc>
          <w:tcPr>
            <w:tcW w:w="1804" w:type="dxa"/>
            <w:gridSpan w:val="2"/>
            <w:tcBorders>
              <w:top w:val="single" w:color="000000" w:sz="4" w:space="0"/>
              <w:left w:val="single" w:color="000000" w:sz="4" w:space="0"/>
              <w:bottom w:val="nil"/>
              <w:right w:val="single" w:color="000000" w:sz="4" w:space="0"/>
            </w:tcBorders>
            <w:tcMar>
              <w:top w:w="10" w:type="dxa"/>
              <w:left w:w="10" w:type="dxa"/>
              <w:right w:w="10" w:type="dxa"/>
            </w:tcMar>
            <w:vAlign w:val="center"/>
          </w:tcPr>
          <w:p>
            <w:pPr>
              <w:jc w:val="center"/>
              <w:rPr>
                <w:rFonts w:ascii="宋体" w:hAnsi="宋体" w:cs="宋体"/>
                <w:color w:val="auto"/>
                <w:sz w:val="24"/>
                <w:szCs w:val="24"/>
                <w:highlight w:val="none"/>
              </w:rPr>
            </w:pPr>
          </w:p>
        </w:tc>
        <w:tc>
          <w:tcPr>
            <w:tcW w:w="1251" w:type="dxa"/>
            <w:tcBorders>
              <w:top w:val="single" w:color="000000" w:sz="4" w:space="0"/>
              <w:left w:val="single" w:color="000000" w:sz="4" w:space="0"/>
              <w:bottom w:val="nil"/>
              <w:right w:val="nil"/>
            </w:tcBorders>
            <w:tcMar>
              <w:top w:w="10" w:type="dxa"/>
              <w:left w:w="10" w:type="dxa"/>
              <w:right w:w="10" w:type="dxa"/>
            </w:tcMar>
            <w:vAlign w:val="center"/>
          </w:tcPr>
          <w:p>
            <w:pPr>
              <w:jc w:val="center"/>
              <w:rPr>
                <w:rFonts w:ascii="宋体" w:hAnsi="宋体" w:cs="宋体"/>
                <w:color w:val="auto"/>
                <w:sz w:val="24"/>
                <w:szCs w:val="24"/>
                <w:highlight w:val="none"/>
              </w:rPr>
            </w:pPr>
          </w:p>
        </w:tc>
        <w:tc>
          <w:tcPr>
            <w:tcW w:w="1627" w:type="dxa"/>
            <w:tcBorders>
              <w:top w:val="single" w:color="000000" w:sz="4" w:space="0"/>
              <w:left w:val="single" w:color="000000" w:sz="4" w:space="0"/>
              <w:bottom w:val="nil"/>
              <w:right w:val="single" w:color="000000" w:sz="8" w:space="0"/>
            </w:tcBorders>
            <w:tcMar>
              <w:top w:w="10" w:type="dxa"/>
              <w:left w:w="10" w:type="dxa"/>
              <w:right w:w="10" w:type="dxa"/>
            </w:tcMar>
            <w:vAlign w:val="center"/>
          </w:tcPr>
          <w:p>
            <w:pPr>
              <w:jc w:val="center"/>
              <w:rPr>
                <w:rFonts w:ascii="宋体" w:hAnsi="宋体" w:cs="宋体"/>
                <w:color w:val="auto"/>
                <w:sz w:val="20"/>
                <w:szCs w:val="20"/>
                <w:highlight w:val="none"/>
              </w:rPr>
            </w:pPr>
          </w:p>
        </w:tc>
      </w:tr>
      <w:tr>
        <w:tblPrEx>
          <w:tblCellMar>
            <w:top w:w="0" w:type="dxa"/>
            <w:left w:w="0" w:type="dxa"/>
            <w:bottom w:w="0" w:type="dxa"/>
            <w:right w:w="0" w:type="dxa"/>
          </w:tblCellMar>
        </w:tblPrEx>
        <w:trPr>
          <w:trHeight w:val="395" w:hRule="atLeast"/>
          <w:jc w:val="center"/>
        </w:trPr>
        <w:tc>
          <w:tcPr>
            <w:tcW w:w="8342" w:type="dxa"/>
            <w:gridSpan w:val="10"/>
            <w:tcBorders>
              <w:top w:val="single" w:color="000000" w:sz="8" w:space="0"/>
              <w:left w:val="single" w:color="000000" w:sz="8" w:space="0"/>
              <w:bottom w:val="nil"/>
              <w:right w:val="nil"/>
            </w:tcBorders>
            <w:tcMar>
              <w:top w:w="10" w:type="dxa"/>
              <w:left w:w="10" w:type="dxa"/>
              <w:right w:w="10" w:type="dxa"/>
            </w:tcMar>
            <w:vAlign w:val="center"/>
          </w:tcPr>
          <w:p>
            <w:pPr>
              <w:jc w:val="left"/>
              <w:textAlignment w:val="center"/>
              <w:rPr>
                <w:rFonts w:ascii="仿宋_GB2312" w:hAnsi="宋体" w:eastAsia="仿宋_GB2312" w:cs="仿宋_GB2312"/>
                <w:color w:val="auto"/>
                <w:sz w:val="24"/>
                <w:szCs w:val="24"/>
                <w:highlight w:val="none"/>
              </w:rPr>
            </w:pPr>
            <w:r>
              <w:rPr>
                <w:rFonts w:ascii="仿宋_GB2312" w:hAnsi="宋体" w:eastAsia="仿宋_GB2312" w:cs="仿宋_GB2312"/>
                <w:color w:val="auto"/>
                <w:kern w:val="0"/>
                <w:sz w:val="24"/>
                <w:szCs w:val="24"/>
                <w:highlight w:val="none"/>
                <w:lang w:bidi="ar"/>
              </w:rPr>
              <w:t>施工单位：</w:t>
            </w:r>
          </w:p>
        </w:tc>
        <w:tc>
          <w:tcPr>
            <w:tcW w:w="1251" w:type="dxa"/>
            <w:tcBorders>
              <w:top w:val="single" w:color="000000" w:sz="8" w:space="0"/>
              <w:left w:val="nil"/>
              <w:bottom w:val="nil"/>
              <w:right w:val="nil"/>
            </w:tcBorders>
            <w:tcMar>
              <w:top w:w="10" w:type="dxa"/>
              <w:left w:w="10" w:type="dxa"/>
              <w:right w:w="10" w:type="dxa"/>
            </w:tcMar>
            <w:vAlign w:val="center"/>
          </w:tcPr>
          <w:p>
            <w:pPr>
              <w:jc w:val="left"/>
              <w:rPr>
                <w:rFonts w:ascii="仿宋_GB2312" w:hAnsi="宋体" w:eastAsia="仿宋_GB2312" w:cs="仿宋_GB2312"/>
                <w:color w:val="auto"/>
                <w:sz w:val="24"/>
                <w:szCs w:val="24"/>
                <w:highlight w:val="none"/>
              </w:rPr>
            </w:pPr>
          </w:p>
        </w:tc>
        <w:tc>
          <w:tcPr>
            <w:tcW w:w="0" w:type="auto"/>
            <w:tcBorders>
              <w:top w:val="single" w:color="000000" w:sz="8" w:space="0"/>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1、是否提供样板及资料</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2、技术标准、规格、型号、系列与施工图相比是否有变化</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w:t>
            </w: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3、是否须要重新定价</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w:t>
            </w: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4、其他需说明的：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12"/>
            <w:tcBorders>
              <w:top w:val="nil"/>
              <w:left w:val="single" w:color="000000" w:sz="8" w:space="0"/>
              <w:bottom w:val="nil"/>
              <w:right w:val="single" w:color="000000" w:sz="8"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项目负责人：                      日期：                        盖章：</w:t>
            </w:r>
          </w:p>
        </w:tc>
      </w:tr>
      <w:tr>
        <w:tblPrEx>
          <w:tblCellMar>
            <w:top w:w="0" w:type="dxa"/>
            <w:left w:w="0" w:type="dxa"/>
            <w:bottom w:w="0" w:type="dxa"/>
            <w:right w:w="0" w:type="dxa"/>
          </w:tblCellMar>
        </w:tblPrEx>
        <w:trPr>
          <w:trHeight w:val="353" w:hRule="atLeast"/>
          <w:jc w:val="center"/>
        </w:trPr>
        <w:tc>
          <w:tcPr>
            <w:tcW w:w="0" w:type="auto"/>
            <w:gridSpan w:val="12"/>
            <w:tcBorders>
              <w:top w:val="nil"/>
              <w:left w:val="single" w:color="000000" w:sz="8" w:space="0"/>
              <w:bottom w:val="single" w:color="000000" w:sz="8" w:space="0"/>
              <w:right w:val="single" w:color="000000" w:sz="8" w:space="0"/>
            </w:tcBorders>
            <w:noWrap/>
            <w:tcMar>
              <w:top w:w="10" w:type="dxa"/>
              <w:left w:w="10" w:type="dxa"/>
              <w:right w:w="10" w:type="dxa"/>
            </w:tcMar>
            <w:vAlign w:val="center"/>
          </w:tcPr>
          <w:p>
            <w:pPr>
              <w:jc w:val="left"/>
              <w:rPr>
                <w:rFonts w:ascii="宋体" w:hAnsi="宋体" w:cs="宋体"/>
                <w:color w:val="auto"/>
                <w:sz w:val="22"/>
                <w:highlight w:val="none"/>
              </w:rPr>
            </w:pPr>
          </w:p>
        </w:tc>
      </w:tr>
      <w:tr>
        <w:tblPrEx>
          <w:tblCellMar>
            <w:top w:w="0" w:type="dxa"/>
            <w:left w:w="0" w:type="dxa"/>
            <w:bottom w:w="0" w:type="dxa"/>
            <w:right w:w="0" w:type="dxa"/>
          </w:tblCellMar>
        </w:tblPrEx>
        <w:trPr>
          <w:trHeight w:val="395" w:hRule="atLeast"/>
          <w:jc w:val="center"/>
        </w:trPr>
        <w:tc>
          <w:tcPr>
            <w:tcW w:w="0" w:type="auto"/>
            <w:gridSpan w:val="10"/>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监理单位：</w:t>
            </w: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1、是否提供样板及资料</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2、技术标准、规格、型号、系列与施工图相比是否有变化</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7"/>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3、是否须要重新定价</w:t>
            </w: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【是】</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【否】</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4、是否同意使用：</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5、其他需说明的：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总监理工程师：</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日期：</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盖章：</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95" w:hRule="atLeast"/>
          <w:jc w:val="center"/>
        </w:trPr>
        <w:tc>
          <w:tcPr>
            <w:tcW w:w="0" w:type="auto"/>
            <w:tcBorders>
              <w:top w:val="single" w:color="000000" w:sz="8" w:space="0"/>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设计单位意见：</w:t>
            </w: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single" w:color="000000" w:sz="8" w:space="0"/>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single" w:color="000000" w:sz="8" w:space="0"/>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1、是否需要设计变更</w:t>
            </w: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【需要】</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4"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【不需要】</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2、是否同意使用</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4"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3、其他需说明的：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12"/>
            <w:tcBorders>
              <w:top w:val="nil"/>
              <w:left w:val="single" w:color="000000" w:sz="8" w:space="0"/>
              <w:bottom w:val="single" w:color="000000" w:sz="8" w:space="0"/>
              <w:right w:val="single" w:color="000000" w:sz="8"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项目负责人：                    日期：             </w:t>
            </w:r>
          </w:p>
        </w:tc>
      </w:tr>
      <w:tr>
        <w:tblPrEx>
          <w:tblCellMar>
            <w:top w:w="0" w:type="dxa"/>
            <w:left w:w="0" w:type="dxa"/>
            <w:bottom w:w="0" w:type="dxa"/>
            <w:right w:w="0" w:type="dxa"/>
          </w:tblCellMar>
        </w:tblPrEx>
        <w:trPr>
          <w:trHeight w:val="395" w:hRule="atLeast"/>
          <w:jc w:val="center"/>
        </w:trPr>
        <w:tc>
          <w:tcPr>
            <w:tcW w:w="0" w:type="auto"/>
            <w:gridSpan w:val="10"/>
            <w:tcBorders>
              <w:top w:val="single" w:color="000000" w:sz="8" w:space="0"/>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建设单位意见：</w:t>
            </w:r>
          </w:p>
        </w:tc>
        <w:tc>
          <w:tcPr>
            <w:tcW w:w="0" w:type="auto"/>
            <w:tcBorders>
              <w:top w:val="single" w:color="000000" w:sz="8" w:space="0"/>
              <w:left w:val="nil"/>
              <w:bottom w:val="nil"/>
              <w:right w:val="nil"/>
            </w:tcBorders>
            <w:noWrap/>
            <w:tcMar>
              <w:top w:w="10" w:type="dxa"/>
              <w:left w:w="10" w:type="dxa"/>
              <w:right w:w="10" w:type="dxa"/>
            </w:tcMar>
            <w:vAlign w:val="center"/>
          </w:tcPr>
          <w:p>
            <w:pPr>
              <w:jc w:val="left"/>
              <w:rPr>
                <w:rFonts w:ascii="宋体" w:hAnsi="宋体" w:cs="宋体"/>
                <w:color w:val="auto"/>
                <w:sz w:val="22"/>
                <w:highlight w:val="none"/>
              </w:rPr>
            </w:pPr>
          </w:p>
        </w:tc>
        <w:tc>
          <w:tcPr>
            <w:tcW w:w="0" w:type="auto"/>
            <w:tcBorders>
              <w:top w:val="single" w:color="000000" w:sz="8" w:space="0"/>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1、是否同意使用</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4"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gridSpan w:val="2"/>
            <w:tcBorders>
              <w:top w:val="nil"/>
              <w:left w:val="single" w:color="000000" w:sz="8" w:space="0"/>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建设单位经办人：</w:t>
            </w: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 </w:t>
            </w: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日期：</w:t>
            </w:r>
          </w:p>
        </w:tc>
        <w:tc>
          <w:tcPr>
            <w:tcW w:w="0" w:type="auto"/>
            <w:tcBorders>
              <w:top w:val="nil"/>
              <w:left w:val="nil"/>
              <w:bottom w:val="single" w:color="000000" w:sz="8" w:space="0"/>
              <w:right w:val="nil"/>
            </w:tcBorders>
            <w:noWrap/>
            <w:tcMar>
              <w:top w:w="10" w:type="dxa"/>
              <w:left w:w="10" w:type="dxa"/>
              <w:right w:w="10" w:type="dxa"/>
            </w:tcMar>
            <w:vAlign w:val="center"/>
          </w:tcPr>
          <w:p>
            <w:pPr>
              <w:jc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p>
        </w:tc>
        <w:tc>
          <w:tcPr>
            <w:tcW w:w="0" w:type="auto"/>
            <w:tcBorders>
              <w:top w:val="nil"/>
              <w:left w:val="nil"/>
              <w:bottom w:val="single" w:color="000000" w:sz="8" w:space="0"/>
              <w:right w:val="single" w:color="000000" w:sz="8" w:space="0"/>
            </w:tcBorders>
            <w:noWrap/>
            <w:tcMar>
              <w:top w:w="10" w:type="dxa"/>
              <w:left w:w="10" w:type="dxa"/>
              <w:right w:w="10" w:type="dxa"/>
            </w:tcMar>
            <w:vAlign w:val="center"/>
          </w:tcPr>
          <w:p>
            <w:pPr>
              <w:jc w:val="right"/>
              <w:rPr>
                <w:rFonts w:ascii="宋体" w:hAnsi="宋体" w:cs="宋体"/>
                <w:color w:val="auto"/>
                <w:sz w:val="22"/>
                <w:highlight w:val="none"/>
              </w:rPr>
            </w:pPr>
          </w:p>
        </w:tc>
      </w:tr>
      <w:tr>
        <w:tblPrEx>
          <w:tblCellMar>
            <w:top w:w="0" w:type="dxa"/>
            <w:left w:w="0" w:type="dxa"/>
            <w:bottom w:w="0" w:type="dxa"/>
            <w:right w:w="0" w:type="dxa"/>
          </w:tblCellMar>
        </w:tblPrEx>
        <w:trPr>
          <w:trHeight w:val="395" w:hRule="atLeast"/>
          <w:jc w:val="center"/>
        </w:trPr>
        <w:tc>
          <w:tcPr>
            <w:tcW w:w="0" w:type="auto"/>
            <w:gridSpan w:val="4"/>
            <w:tcBorders>
              <w:top w:val="nil"/>
              <w:left w:val="single" w:color="000000" w:sz="8" w:space="0"/>
              <w:bottom w:val="single" w:color="000000" w:sz="4" w:space="0"/>
              <w:right w:val="nil"/>
            </w:tcBorders>
            <w:noWrap/>
            <w:tcMar>
              <w:top w:w="10" w:type="dxa"/>
              <w:left w:w="10" w:type="dxa"/>
              <w:right w:w="10" w:type="dxa"/>
            </w:tcMar>
            <w:vAlign w:val="center"/>
          </w:tcPr>
          <w:p>
            <w:pPr>
              <w:jc w:val="center"/>
              <w:rPr>
                <w:rFonts w:ascii="宋体" w:hAnsi="宋体" w:cs="宋体"/>
                <w:color w:val="auto"/>
                <w:sz w:val="22"/>
                <w:highlight w:val="none"/>
              </w:rPr>
            </w:pPr>
          </w:p>
        </w:tc>
        <w:tc>
          <w:tcPr>
            <w:tcW w:w="0" w:type="auto"/>
            <w:tcBorders>
              <w:top w:val="nil"/>
              <w:left w:val="nil"/>
              <w:bottom w:val="single" w:color="000000" w:sz="4"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4"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单位</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74"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1、是否同意使用</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4" w:space="0"/>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【不同意】</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2、其他需说明的：</w:t>
            </w: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nil"/>
              <w:right w:val="single" w:color="000000" w:sz="8" w:space="0"/>
            </w:tcBorders>
            <w:noWrap/>
            <w:tcMar>
              <w:top w:w="10" w:type="dxa"/>
              <w:left w:w="10" w:type="dxa"/>
              <w:right w:w="10" w:type="dxa"/>
            </w:tcMar>
            <w:vAlign w:val="center"/>
          </w:tcPr>
          <w:p>
            <w:pPr>
              <w:rPr>
                <w:rFonts w:ascii="宋体" w:hAnsi="宋体" w:cs="宋体"/>
                <w:color w:val="auto"/>
                <w:sz w:val="22"/>
                <w:highlight w:val="none"/>
              </w:rPr>
            </w:pPr>
          </w:p>
        </w:tc>
      </w:tr>
      <w:tr>
        <w:tblPrEx>
          <w:tblCellMar>
            <w:top w:w="0" w:type="dxa"/>
            <w:left w:w="0" w:type="dxa"/>
            <w:bottom w:w="0" w:type="dxa"/>
            <w:right w:w="0" w:type="dxa"/>
          </w:tblCellMar>
        </w:tblPrEx>
        <w:trPr>
          <w:trHeight w:val="353" w:hRule="atLeast"/>
          <w:jc w:val="center"/>
        </w:trPr>
        <w:tc>
          <w:tcPr>
            <w:tcW w:w="0" w:type="auto"/>
            <w:tcBorders>
              <w:top w:val="nil"/>
              <w:left w:val="single" w:color="000000" w:sz="8" w:space="0"/>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经办人：</w:t>
            </w: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 </w:t>
            </w: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 </w:t>
            </w:r>
          </w:p>
        </w:tc>
        <w:tc>
          <w:tcPr>
            <w:tcW w:w="0" w:type="auto"/>
            <w:tcBorders>
              <w:top w:val="nil"/>
              <w:left w:val="nil"/>
              <w:bottom w:val="single" w:color="000000" w:sz="8" w:space="0"/>
              <w:right w:val="nil"/>
            </w:tcBorders>
            <w:noWrap/>
            <w:tcMar>
              <w:top w:w="10" w:type="dxa"/>
              <w:left w:w="10" w:type="dxa"/>
              <w:right w:w="10" w:type="dxa"/>
            </w:tcMar>
            <w:vAlign w:val="center"/>
          </w:tcPr>
          <w:p>
            <w:pP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 xml:space="preserve"> 日期：</w:t>
            </w:r>
          </w:p>
        </w:tc>
        <w:tc>
          <w:tcPr>
            <w:tcW w:w="0" w:type="auto"/>
            <w:tcBorders>
              <w:top w:val="nil"/>
              <w:left w:val="nil"/>
              <w:bottom w:val="single" w:color="000000" w:sz="8" w:space="0"/>
              <w:right w:val="nil"/>
            </w:tcBorders>
            <w:noWrap/>
            <w:tcMar>
              <w:top w:w="10" w:type="dxa"/>
              <w:left w:w="10" w:type="dxa"/>
              <w:right w:w="10" w:type="dxa"/>
            </w:tcMar>
            <w:vAlign w:val="center"/>
          </w:tcPr>
          <w:p>
            <w:pPr>
              <w:jc w:val="right"/>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center"/>
              <w:rPr>
                <w:rFonts w:ascii="宋体" w:hAnsi="宋体" w:cs="宋体"/>
                <w:color w:val="auto"/>
                <w:sz w:val="22"/>
                <w:highlight w:val="none"/>
              </w:rPr>
            </w:pPr>
          </w:p>
        </w:tc>
        <w:tc>
          <w:tcPr>
            <w:tcW w:w="0" w:type="auto"/>
            <w:tcBorders>
              <w:top w:val="nil"/>
              <w:left w:val="nil"/>
              <w:bottom w:val="single" w:color="000000" w:sz="8" w:space="0"/>
              <w:right w:val="nil"/>
            </w:tcBorders>
            <w:noWrap/>
            <w:tcMar>
              <w:top w:w="10" w:type="dxa"/>
              <w:left w:w="10" w:type="dxa"/>
              <w:right w:w="10" w:type="dxa"/>
            </w:tcMar>
            <w:vAlign w:val="center"/>
          </w:tcPr>
          <w:p>
            <w:pPr>
              <w:jc w:val="left"/>
              <w:textAlignment w:val="center"/>
              <w:rPr>
                <w:rFonts w:ascii="宋体" w:hAnsi="宋体" w:cs="宋体"/>
                <w:color w:val="auto"/>
                <w:sz w:val="22"/>
                <w:highlight w:val="none"/>
              </w:rPr>
            </w:pPr>
          </w:p>
        </w:tc>
        <w:tc>
          <w:tcPr>
            <w:tcW w:w="0" w:type="auto"/>
            <w:tcBorders>
              <w:top w:val="nil"/>
              <w:left w:val="nil"/>
              <w:bottom w:val="single" w:color="000000" w:sz="8" w:space="0"/>
              <w:right w:val="single" w:color="000000" w:sz="8" w:space="0"/>
            </w:tcBorders>
            <w:noWrap/>
            <w:tcMar>
              <w:top w:w="10" w:type="dxa"/>
              <w:left w:w="10" w:type="dxa"/>
              <w:right w:w="10" w:type="dxa"/>
            </w:tcMar>
            <w:vAlign w:val="center"/>
          </w:tcPr>
          <w:p>
            <w:pPr>
              <w:jc w:val="right"/>
              <w:rPr>
                <w:rFonts w:ascii="宋体" w:hAnsi="宋体" w:cs="宋体"/>
                <w:color w:val="auto"/>
                <w:sz w:val="22"/>
                <w:highlight w:val="none"/>
              </w:rPr>
            </w:pPr>
          </w:p>
        </w:tc>
      </w:tr>
      <w:tr>
        <w:tblPrEx>
          <w:tblCellMar>
            <w:top w:w="0" w:type="dxa"/>
            <w:left w:w="0" w:type="dxa"/>
            <w:bottom w:w="0" w:type="dxa"/>
            <w:right w:w="0" w:type="dxa"/>
          </w:tblCellMar>
        </w:tblPrEx>
        <w:trPr>
          <w:trHeight w:val="395" w:hRule="atLeast"/>
          <w:jc w:val="center"/>
        </w:trPr>
        <w:tc>
          <w:tcPr>
            <w:tcW w:w="0" w:type="auto"/>
            <w:gridSpan w:val="12"/>
            <w:tcBorders>
              <w:top w:val="single" w:color="000000" w:sz="8" w:space="0"/>
              <w:left w:val="nil"/>
              <w:bottom w:val="nil"/>
              <w:right w:val="nil"/>
            </w:tcBorders>
            <w:noWrap/>
            <w:tcMar>
              <w:top w:w="10" w:type="dxa"/>
              <w:left w:w="10" w:type="dxa"/>
              <w:right w:w="10" w:type="dxa"/>
            </w:tcMar>
            <w:vAlign w:val="center"/>
          </w:tcPr>
          <w:p>
            <w:pPr>
              <w:jc w:val="center"/>
              <w:textAlignment w:val="center"/>
              <w:rPr>
                <w:rFonts w:ascii="宋体" w:hAnsi="宋体" w:cs="宋体"/>
                <w:color w:val="auto"/>
                <w:sz w:val="22"/>
                <w:highlight w:val="none"/>
              </w:rPr>
            </w:pPr>
            <w:r>
              <w:rPr>
                <w:rFonts w:hint="eastAsia" w:ascii="宋体" w:hAnsi="宋体" w:cs="宋体"/>
                <w:color w:val="auto"/>
                <w:kern w:val="0"/>
                <w:sz w:val="22"/>
                <w:highlight w:val="none"/>
                <w:lang w:bidi="ar"/>
              </w:rPr>
              <w:t>填表说明：1、在对应的选项后打“√”。2、该表一式四份，建设单位二份，施工单位一份，监理单位一份</w:t>
            </w:r>
          </w:p>
        </w:tc>
      </w:tr>
    </w:tbl>
    <w:p>
      <w:pPr>
        <w:spacing w:line="600" w:lineRule="exact"/>
        <w:rPr>
          <w:rFonts w:ascii="黑体" w:hAnsi="黑体" w:eastAsia="黑体"/>
          <w:color w:val="auto"/>
          <w:sz w:val="24"/>
          <w:highlight w:val="none"/>
        </w:rPr>
        <w:sectPr>
          <w:pgSz w:w="11906" w:h="16838"/>
          <w:pgMar w:top="720" w:right="720" w:bottom="720" w:left="720" w:header="851" w:footer="992" w:gutter="0"/>
          <w:cols w:space="720" w:num="1"/>
          <w:docGrid w:type="lines" w:linePitch="312" w:charSpace="0"/>
        </w:sectPr>
      </w:pPr>
    </w:p>
    <w:p>
      <w:pPr>
        <w:tabs>
          <w:tab w:val="left" w:pos="10527"/>
        </w:tabs>
        <w:rPr>
          <w:rFonts w:ascii="Calibri" w:hAnsi="Calibri" w:eastAsia="华文中宋"/>
          <w:b/>
          <w:color w:val="auto"/>
          <w:sz w:val="32"/>
          <w:szCs w:val="32"/>
          <w:highlight w:val="none"/>
        </w:rPr>
      </w:pPr>
      <w:r>
        <w:rPr>
          <w:rFonts w:hint="eastAsia" w:ascii="黑体" w:hAnsi="黑体" w:eastAsia="黑体"/>
          <w:color w:val="auto"/>
          <w:sz w:val="24"/>
          <w:highlight w:val="none"/>
        </w:rPr>
        <w:t>附表2</w:t>
      </w:r>
    </w:p>
    <w:tbl>
      <w:tblPr>
        <w:tblStyle w:val="28"/>
        <w:tblW w:w="4998" w:type="pct"/>
        <w:tblInd w:w="0" w:type="dxa"/>
        <w:tblLayout w:type="autofit"/>
        <w:tblCellMar>
          <w:top w:w="0" w:type="dxa"/>
          <w:left w:w="0" w:type="dxa"/>
          <w:bottom w:w="0" w:type="dxa"/>
          <w:right w:w="0" w:type="dxa"/>
        </w:tblCellMar>
      </w:tblPr>
      <w:tblGrid>
        <w:gridCol w:w="950"/>
        <w:gridCol w:w="1472"/>
        <w:gridCol w:w="176"/>
        <w:gridCol w:w="1295"/>
        <w:gridCol w:w="348"/>
        <w:gridCol w:w="1124"/>
        <w:gridCol w:w="696"/>
        <w:gridCol w:w="776"/>
        <w:gridCol w:w="1486"/>
      </w:tblGrid>
      <w:tr>
        <w:tblPrEx>
          <w:tblCellMar>
            <w:top w:w="0" w:type="dxa"/>
            <w:left w:w="0" w:type="dxa"/>
            <w:bottom w:w="0" w:type="dxa"/>
            <w:right w:w="0" w:type="dxa"/>
          </w:tblCellMar>
        </w:tblPrEx>
        <w:trPr>
          <w:trHeight w:val="741" w:hRule="atLeast"/>
        </w:trPr>
        <w:tc>
          <w:tcPr>
            <w:tcW w:w="5000" w:type="pct"/>
            <w:gridSpan w:val="9"/>
            <w:tcBorders>
              <w:top w:val="single" w:color="000000" w:sz="8" w:space="0"/>
              <w:left w:val="single" w:color="000000" w:sz="8" w:space="0"/>
              <w:bottom w:val="nil"/>
              <w:right w:val="single" w:color="000000" w:sz="8" w:space="0"/>
            </w:tcBorders>
            <w:noWrap/>
            <w:tcMar>
              <w:top w:w="10" w:type="dxa"/>
              <w:left w:w="10" w:type="dxa"/>
              <w:right w:w="10" w:type="dxa"/>
            </w:tcMar>
            <w:vAlign w:val="center"/>
          </w:tcPr>
          <w:p>
            <w:pPr>
              <w:jc w:val="center"/>
              <w:textAlignment w:val="center"/>
              <w:rPr>
                <w:rFonts w:ascii="宋体" w:hAnsi="宋体" w:cs="宋体"/>
                <w:b/>
                <w:color w:val="auto"/>
                <w:sz w:val="16"/>
                <w:szCs w:val="16"/>
                <w:highlight w:val="none"/>
              </w:rPr>
            </w:pPr>
            <w:r>
              <w:rPr>
                <w:rFonts w:hint="eastAsia" w:ascii="宋体" w:hAnsi="宋体" w:cs="宋体"/>
                <w:b/>
                <w:color w:val="auto"/>
                <w:kern w:val="0"/>
                <w:sz w:val="32"/>
                <w:szCs w:val="32"/>
                <w:highlight w:val="none"/>
                <w:lang w:bidi="ar"/>
              </w:rPr>
              <w:t>施工材料封样标签</w:t>
            </w:r>
          </w:p>
        </w:tc>
      </w:tr>
      <w:tr>
        <w:tblPrEx>
          <w:tblCellMar>
            <w:top w:w="0" w:type="dxa"/>
            <w:left w:w="0" w:type="dxa"/>
            <w:bottom w:w="0" w:type="dxa"/>
            <w:right w:w="0" w:type="dxa"/>
          </w:tblCellMar>
        </w:tblPrEx>
        <w:trPr>
          <w:trHeight w:val="255"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工程名称</w:t>
            </w:r>
          </w:p>
        </w:tc>
        <w:tc>
          <w:tcPr>
            <w:tcW w:w="4428" w:type="pct"/>
            <w:gridSpan w:val="8"/>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textAlignment w:val="center"/>
              <w:rPr>
                <w:rFonts w:ascii="宋体" w:hAnsi="宋体" w:cs="宋体"/>
                <w:b/>
                <w:color w:val="auto"/>
                <w:sz w:val="14"/>
                <w:szCs w:val="14"/>
                <w:highlight w:val="none"/>
                <w:u w:val="single"/>
              </w:rPr>
            </w:pPr>
          </w:p>
        </w:tc>
      </w:tr>
      <w:tr>
        <w:tblPrEx>
          <w:tblCellMar>
            <w:top w:w="0" w:type="dxa"/>
            <w:left w:w="0" w:type="dxa"/>
            <w:bottom w:w="0" w:type="dxa"/>
            <w:right w:w="0" w:type="dxa"/>
          </w:tblCellMar>
        </w:tblPrEx>
        <w:trPr>
          <w:trHeight w:val="280"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样品名称</w:t>
            </w:r>
          </w:p>
        </w:tc>
        <w:tc>
          <w:tcPr>
            <w:tcW w:w="990" w:type="pct"/>
            <w:gridSpan w:val="2"/>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987" w:type="pct"/>
            <w:gridSpan w:val="2"/>
            <w:tcBorders>
              <w:top w:val="nil"/>
              <w:left w:val="nil"/>
              <w:bottom w:val="nil"/>
              <w:right w:val="nil"/>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1093"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封样编号：</w:t>
            </w:r>
          </w:p>
        </w:tc>
        <w:tc>
          <w:tcPr>
            <w:tcW w:w="135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r>
      <w:tr>
        <w:tblPrEx>
          <w:tblCellMar>
            <w:top w:w="0" w:type="dxa"/>
            <w:left w:w="0" w:type="dxa"/>
            <w:bottom w:w="0" w:type="dxa"/>
            <w:right w:w="0" w:type="dxa"/>
          </w:tblCellMar>
        </w:tblPrEx>
        <w:trPr>
          <w:trHeight w:val="300"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品   牌</w:t>
            </w:r>
          </w:p>
        </w:tc>
        <w:tc>
          <w:tcPr>
            <w:tcW w:w="990"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98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1093"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设计型号/规格</w:t>
            </w:r>
          </w:p>
        </w:tc>
        <w:tc>
          <w:tcPr>
            <w:tcW w:w="1357" w:type="pct"/>
            <w:gridSpan w:val="2"/>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jc w:val="left"/>
              <w:rPr>
                <w:rFonts w:ascii="宋体" w:hAnsi="宋体" w:cs="宋体"/>
                <w:color w:val="auto"/>
                <w:sz w:val="18"/>
                <w:szCs w:val="18"/>
                <w:highlight w:val="none"/>
              </w:rPr>
            </w:pPr>
          </w:p>
        </w:tc>
      </w:tr>
      <w:tr>
        <w:tblPrEx>
          <w:tblCellMar>
            <w:top w:w="0" w:type="dxa"/>
            <w:left w:w="0" w:type="dxa"/>
            <w:bottom w:w="0" w:type="dxa"/>
            <w:right w:w="0" w:type="dxa"/>
          </w:tblCellMar>
        </w:tblPrEx>
        <w:trPr>
          <w:trHeight w:val="300"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产   地</w:t>
            </w:r>
          </w:p>
        </w:tc>
        <w:tc>
          <w:tcPr>
            <w:tcW w:w="990"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98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c>
          <w:tcPr>
            <w:tcW w:w="1093"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定板型号/规格</w:t>
            </w:r>
          </w:p>
        </w:tc>
        <w:tc>
          <w:tcPr>
            <w:tcW w:w="135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left"/>
              <w:rPr>
                <w:rFonts w:ascii="宋体" w:hAnsi="宋体" w:cs="宋体"/>
                <w:color w:val="auto"/>
                <w:sz w:val="18"/>
                <w:szCs w:val="18"/>
                <w:highlight w:val="none"/>
              </w:rPr>
            </w:pPr>
          </w:p>
        </w:tc>
      </w:tr>
      <w:tr>
        <w:tblPrEx>
          <w:tblCellMar>
            <w:top w:w="0" w:type="dxa"/>
            <w:left w:w="0" w:type="dxa"/>
            <w:bottom w:w="0" w:type="dxa"/>
            <w:right w:w="0" w:type="dxa"/>
          </w:tblCellMar>
        </w:tblPrEx>
        <w:trPr>
          <w:trHeight w:val="300" w:hRule="atLeast"/>
        </w:trPr>
        <w:tc>
          <w:tcPr>
            <w:tcW w:w="571" w:type="pct"/>
            <w:tcBorders>
              <w:top w:val="single" w:color="000000" w:sz="4" w:space="0"/>
              <w:left w:val="single" w:color="000000" w:sz="8"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封样时间</w:t>
            </w:r>
          </w:p>
        </w:tc>
        <w:tc>
          <w:tcPr>
            <w:tcW w:w="990"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98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1093"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应用部位</w:t>
            </w:r>
          </w:p>
        </w:tc>
        <w:tc>
          <w:tcPr>
            <w:tcW w:w="1357"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r>
      <w:tr>
        <w:tblPrEx>
          <w:tblCellMar>
            <w:top w:w="0" w:type="dxa"/>
            <w:left w:w="0" w:type="dxa"/>
            <w:bottom w:w="0" w:type="dxa"/>
            <w:right w:w="0" w:type="dxa"/>
          </w:tblCellMar>
        </w:tblPrEx>
        <w:trPr>
          <w:trHeight w:val="300" w:hRule="atLeast"/>
        </w:trPr>
        <w:tc>
          <w:tcPr>
            <w:tcW w:w="571" w:type="pct"/>
            <w:vMerge w:val="restart"/>
            <w:tcBorders>
              <w:left w:val="single" w:color="000000" w:sz="8" w:space="0"/>
              <w:right w:val="single" w:color="000000" w:sz="4" w:space="0"/>
            </w:tcBorders>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封样确认人</w:t>
            </w:r>
          </w:p>
        </w:tc>
        <w:tc>
          <w:tcPr>
            <w:tcW w:w="8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施工单位</w:t>
            </w: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监理单位</w:t>
            </w: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设计单位</w:t>
            </w: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建设单位</w:t>
            </w:r>
          </w:p>
        </w:tc>
        <w:tc>
          <w:tcPr>
            <w:tcW w:w="88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业主单位</w:t>
            </w:r>
          </w:p>
        </w:tc>
      </w:tr>
      <w:tr>
        <w:tblPrEx>
          <w:tblCellMar>
            <w:top w:w="0" w:type="dxa"/>
            <w:left w:w="0" w:type="dxa"/>
            <w:bottom w:w="0" w:type="dxa"/>
            <w:right w:w="0" w:type="dxa"/>
          </w:tblCellMar>
        </w:tblPrEx>
        <w:trPr>
          <w:trHeight w:val="600" w:hRule="atLeast"/>
        </w:trPr>
        <w:tc>
          <w:tcPr>
            <w:tcW w:w="571" w:type="pct"/>
            <w:vMerge w:val="continue"/>
            <w:tcBorders>
              <w:top w:val="single" w:color="000000" w:sz="4" w:space="0"/>
              <w:left w:val="single" w:color="000000" w:sz="8" w:space="0"/>
              <w:bottom w:val="nil"/>
              <w:right w:val="single" w:color="000000" w:sz="4" w:space="0"/>
            </w:tcBorders>
            <w:tcMar>
              <w:top w:w="10" w:type="dxa"/>
              <w:left w:w="10" w:type="dxa"/>
              <w:right w:w="10" w:type="dxa"/>
            </w:tcMar>
            <w:vAlign w:val="center"/>
          </w:tcPr>
          <w:p>
            <w:pPr>
              <w:jc w:val="center"/>
              <w:rPr>
                <w:rFonts w:ascii="宋体" w:hAnsi="宋体" w:cs="宋体"/>
                <w:color w:val="auto"/>
                <w:sz w:val="18"/>
                <w:szCs w:val="18"/>
                <w:highlight w:val="none"/>
              </w:rPr>
            </w:pPr>
          </w:p>
        </w:tc>
        <w:tc>
          <w:tcPr>
            <w:tcW w:w="884"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884" w:type="pct"/>
            <w:gridSpan w:val="2"/>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c>
          <w:tcPr>
            <w:tcW w:w="889"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jc w:val="center"/>
              <w:rPr>
                <w:rFonts w:ascii="宋体" w:hAnsi="宋体" w:cs="宋体"/>
                <w:color w:val="auto"/>
                <w:sz w:val="18"/>
                <w:szCs w:val="18"/>
                <w:highlight w:val="none"/>
              </w:rPr>
            </w:pPr>
          </w:p>
        </w:tc>
      </w:tr>
      <w:tr>
        <w:tblPrEx>
          <w:tblCellMar>
            <w:top w:w="0" w:type="dxa"/>
            <w:left w:w="0" w:type="dxa"/>
            <w:bottom w:w="0" w:type="dxa"/>
            <w:right w:w="0" w:type="dxa"/>
          </w:tblCellMar>
        </w:tblPrEx>
        <w:trPr>
          <w:trHeight w:val="491" w:hRule="atLeast"/>
        </w:trPr>
        <w:tc>
          <w:tcPr>
            <w:tcW w:w="5000" w:type="pct"/>
            <w:gridSpan w:val="9"/>
            <w:tcBorders>
              <w:top w:val="single" w:color="000000" w:sz="4" w:space="0"/>
              <w:left w:val="single" w:color="000000" w:sz="8" w:space="0"/>
              <w:bottom w:val="single" w:color="000000" w:sz="8" w:space="0"/>
              <w:right w:val="single" w:color="000000" w:sz="4" w:space="0"/>
            </w:tcBorders>
            <w:tcMar>
              <w:top w:w="10" w:type="dxa"/>
              <w:left w:w="10" w:type="dxa"/>
              <w:right w:w="10" w:type="dxa"/>
            </w:tcMar>
            <w:vAlign w:val="center"/>
          </w:tcPr>
          <w:p>
            <w:pPr>
              <w:jc w:val="center"/>
              <w:textAlignment w:val="center"/>
              <w:rPr>
                <w:rFonts w:ascii="宋体" w:hAnsi="宋体" w:cs="宋体"/>
                <w:color w:val="auto"/>
                <w:sz w:val="18"/>
                <w:szCs w:val="18"/>
                <w:highlight w:val="none"/>
              </w:rPr>
            </w:pPr>
            <w:r>
              <w:rPr>
                <w:rFonts w:hint="eastAsia" w:ascii="宋体" w:hAnsi="宋体" w:cs="宋体"/>
                <w:b/>
                <w:bCs/>
                <w:color w:val="auto"/>
                <w:kern w:val="0"/>
                <w:sz w:val="24"/>
                <w:szCs w:val="24"/>
                <w:highlight w:val="none"/>
                <w:lang w:bidi="ar"/>
              </w:rPr>
              <w:t>施工单位承诺提供的样板符合国标、设计图纸等的要求，否则无条件整改。</w:t>
            </w:r>
          </w:p>
        </w:tc>
      </w:tr>
    </w:tbl>
    <w:p>
      <w:pPr>
        <w:ind w:firstLine="108"/>
        <w:rPr>
          <w:rFonts w:eastAsia="仿宋_GB2312"/>
          <w:color w:val="auto"/>
          <w:sz w:val="22"/>
          <w:highlight w:val="none"/>
        </w:rPr>
      </w:pPr>
    </w:p>
    <w:p>
      <w:pPr>
        <w:rPr>
          <w:rFonts w:ascii="宋体" w:hAnsi="宋体"/>
          <w:color w:val="auto"/>
          <w:sz w:val="22"/>
          <w:highlight w:val="none"/>
        </w:rPr>
      </w:pPr>
      <w:r>
        <w:rPr>
          <w:rFonts w:hint="eastAsia" w:ascii="宋体" w:hAnsi="宋体"/>
          <w:color w:val="auto"/>
          <w:sz w:val="22"/>
          <w:highlight w:val="none"/>
        </w:rPr>
        <w:t>填表说明：1.如建设单位/业主参与乙供材料定板工作，则需在该表签名确认。2.规格型号及主要技术参数要求填写完整，若填写不完须附技术参数表3.</w:t>
      </w:r>
      <w:r>
        <w:rPr>
          <w:rFonts w:hint="eastAsia" w:ascii="宋体" w:hAnsi="宋体" w:cs="宋体"/>
          <w:color w:val="auto"/>
          <w:kern w:val="0"/>
          <w:sz w:val="22"/>
          <w:highlight w:val="none"/>
        </w:rPr>
        <w:t>该表</w:t>
      </w:r>
      <w:r>
        <w:rPr>
          <w:rFonts w:hint="eastAsia" w:ascii="宋体" w:hAnsi="宋体"/>
          <w:color w:val="auto"/>
          <w:sz w:val="22"/>
          <w:highlight w:val="none"/>
        </w:rPr>
        <w:t>贴在现样品上，同时各方要在实物样板上用彩色油墨签名。该表以签名为准，无须盖章。</w:t>
      </w:r>
    </w:p>
    <w:p>
      <w:pPr>
        <w:pStyle w:val="15"/>
        <w:adjustRightInd w:val="0"/>
        <w:snapToGrid w:val="0"/>
        <w:spacing w:line="720" w:lineRule="exact"/>
        <w:ind w:firstLine="0" w:firstLineChars="0"/>
        <w:rPr>
          <w:rFonts w:ascii="方正小标宋简体" w:hAnsi="华文中宋" w:eastAsia="方正小标宋简体"/>
          <w:b/>
          <w:color w:val="auto"/>
          <w:sz w:val="44"/>
          <w:szCs w:val="44"/>
          <w:highlight w:val="none"/>
        </w:rPr>
      </w:pPr>
    </w:p>
    <w:p>
      <w:pPr>
        <w:jc w:val="left"/>
        <w:rPr>
          <w:rStyle w:val="37"/>
          <w:rFonts w:ascii="宋体" w:hAnsi="宋体"/>
          <w:color w:val="auto"/>
          <w:sz w:val="24"/>
          <w:szCs w:val="24"/>
          <w:highlight w:val="none"/>
        </w:rPr>
      </w:pPr>
      <w:r>
        <w:rPr>
          <w:rStyle w:val="37"/>
          <w:rFonts w:ascii="宋体" w:hAnsi="宋体"/>
          <w:color w:val="auto"/>
          <w:sz w:val="24"/>
          <w:szCs w:val="24"/>
          <w:highlight w:val="none"/>
        </w:rPr>
        <w:br w:type="page"/>
      </w:r>
    </w:p>
    <w:p>
      <w:pPr>
        <w:spacing w:line="360" w:lineRule="exact"/>
        <w:ind w:right="-20"/>
        <w:jc w:val="both"/>
        <w:outlineLvl w:val="2"/>
        <w:rPr>
          <w:rStyle w:val="37"/>
          <w:rFonts w:ascii="宋体" w:hAnsi="宋体" w:cs="Times New Roman"/>
          <w:color w:val="auto"/>
          <w:sz w:val="24"/>
          <w:szCs w:val="24"/>
          <w:highlight w:val="none"/>
        </w:rPr>
      </w:pPr>
      <w:bookmarkStart w:id="1093" w:name="_Toc17524"/>
      <w:bookmarkStart w:id="1094" w:name="_Toc6102"/>
      <w:bookmarkStart w:id="1095" w:name="_Toc4685"/>
      <w:bookmarkStart w:id="1096" w:name="_Toc25675"/>
      <w:bookmarkStart w:id="1097" w:name="_Toc6381"/>
      <w:r>
        <w:rPr>
          <w:rStyle w:val="37"/>
          <w:rFonts w:ascii="宋体" w:hAnsi="宋体" w:cs="Times New Roman"/>
          <w:color w:val="auto"/>
          <w:sz w:val="24"/>
          <w:szCs w:val="24"/>
          <w:highlight w:val="none"/>
        </w:rPr>
        <w:t>附件</w:t>
      </w:r>
      <w:r>
        <w:rPr>
          <w:rStyle w:val="37"/>
          <w:rFonts w:hint="default" w:ascii="宋体" w:hAnsi="宋体" w:cs="Times New Roman"/>
          <w:color w:val="auto"/>
          <w:sz w:val="24"/>
          <w:szCs w:val="24"/>
          <w:highlight w:val="none"/>
        </w:rPr>
        <w:t>五</w:t>
      </w:r>
      <w:bookmarkEnd w:id="1093"/>
      <w:bookmarkEnd w:id="1094"/>
      <w:bookmarkEnd w:id="1095"/>
      <w:bookmarkEnd w:id="1096"/>
      <w:bookmarkEnd w:id="1097"/>
    </w:p>
    <w:p>
      <w:pPr>
        <w:pStyle w:val="5"/>
        <w:spacing w:line="500" w:lineRule="exact"/>
        <w:jc w:val="center"/>
        <w:outlineLvl w:val="2"/>
        <w:rPr>
          <w:rStyle w:val="30"/>
          <w:rFonts w:hint="eastAsia" w:ascii="Times New Roman" w:hAnsi="Times New Roman" w:cstheme="minorBidi"/>
          <w:bCs w:val="0"/>
          <w:color w:val="auto"/>
          <w:kern w:val="44"/>
          <w:sz w:val="36"/>
          <w:szCs w:val="20"/>
          <w:highlight w:val="none"/>
        </w:rPr>
      </w:pPr>
      <w:bookmarkStart w:id="1098" w:name="_Toc5828"/>
      <w:bookmarkStart w:id="1099" w:name="_Toc19083"/>
      <w:bookmarkStart w:id="1100" w:name="_Toc30034"/>
      <w:bookmarkStart w:id="1101" w:name="_Toc5792"/>
      <w:bookmarkStart w:id="1102" w:name="_Toc28189"/>
      <w:r>
        <w:rPr>
          <w:rStyle w:val="30"/>
          <w:rFonts w:hint="eastAsia" w:ascii="Times New Roman" w:hAnsi="Times New Roman" w:cstheme="minorBidi"/>
          <w:bCs w:val="0"/>
          <w:color w:val="auto"/>
          <w:kern w:val="44"/>
          <w:sz w:val="36"/>
          <w:szCs w:val="20"/>
          <w:highlight w:val="none"/>
        </w:rPr>
        <w:t>项目样板引路实施要求</w:t>
      </w:r>
      <w:bookmarkEnd w:id="1098"/>
      <w:bookmarkEnd w:id="1099"/>
      <w:bookmarkEnd w:id="1100"/>
      <w:bookmarkEnd w:id="1101"/>
      <w:bookmarkEnd w:id="1102"/>
    </w:p>
    <w:p>
      <w:pPr>
        <w:jc w:val="center"/>
        <w:rPr>
          <w:rFonts w:ascii="宋体" w:hAnsi="宋体" w:cs="宋体"/>
          <w:b/>
          <w:color w:val="auto"/>
          <w:sz w:val="36"/>
          <w:szCs w:val="36"/>
          <w:highlight w:val="none"/>
        </w:rPr>
      </w:pP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一、样板引路目的</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为现场质量验收、质量检查提供统一的判断标准，有利于消除建筑通病，有效促进工程施工质量的整体提高。</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二、样板引路对象</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实施分项、分部、子单位工程（单元、楼层）和样板段（样板区）的样板引路。包括建筑工程中的地基与基础、主体结构、建筑装饰装修、建筑屋面、建筑设备安装工序等。</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三、工作职责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3.1施工单位职责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施工单位根据施工承包合同的质量管理目标，在项目正式开工之前制定工程样板实施方案，报监理单位及建设单位审批。</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实施方案必须含有工程样板质量标准、作业指导书等内容。其针对工程质量通病的预防和控制措施，在以往工程的实践检验中是可行、有效的。工程样板质量验收标准，应达到或超过国家、省市的工程质量验收标准。做好技术交底、资料收集和施工质量管控。</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3.2监理单位职责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监理单位在正式开工之前完成监理细则的编制，其内容需包含样板引路专项篇章。篇章包括工程样板监理计划与监理目标，并报建设单位审批。</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监理单位须建立工程样板监理责任制，明确职责，落实到人；按要求严格验收，过程中加强工程样板达标的监控、对不能达到工程样板标准的工序要及时发出监理工程师通知书，要求返工，并做好资料归档记录工作。</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3.3设计单位职责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设计单位应对施工单位制定的工程样板实施内容及工程样板质量标准进行意见回复（收到方案后一周内），同时到现场参与实体样板验收。</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3.4建设单位职责</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建设单位负责样板引路日常工作，审批监理单位和总承包上报的工程样板实施方案、工程样板质量标准及作业指导书，组织实施工程样板引路计划，与业主（或使用方）沟通协调。</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四、样板引路管理程序</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各样板引路施工之前，先由施工单位根据现行施工质量验收规范、施工标准、设计图纸、企业质量内控标准（或企业标准、工法等）编制作业指导书，用以指导施工样板。作业指导书应经施工单位公司技术负责人及监理单位项目总监审批。</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在单位工程全面铺开施工之前，先由施工单位项目技术负责人及监理单位项目总监确定样板，报建设单位同意后，施工单位安排班组严格按照作业指导书施工。</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施工单位项目质检员对施工过程进行全过程监控，包括目测观测与实体检测，核定其不存在质量通病并达到质量验收标准后，填写《样板验收表》呈送施工单位项目技术负责人和项目经理审批。施工单位项目技术负责人组织自检，并在完成自检后报监理单位。监理单位项目总监（或总监代表）根据样板实施计划组织施工单位、设计单位等人员参与验收，经验收合格后方可按样板开展施工。对于关键部位样板，在监理单位通过初验后，还应报建设单位最后验收确认。</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样板验收合格，在各单位工程全面铺开施工之前，施工单位项目经理或项目技术负责人应组织每一个参与作业的班组人员观看样板，根据作业指导书做技术交底，确保工程每道工序（检验批）符合样板标准。</w:t>
      </w:r>
    </w:p>
    <w:p>
      <w:pPr>
        <w:widowControl w:val="0"/>
        <w:ind w:firstLine="480" w:firstLineChars="200"/>
        <w:textAlignment w:val="auto"/>
        <w:rPr>
          <w:rFonts w:ascii="宋体" w:hAnsi="宋体" w:cs="宋体"/>
          <w:bCs/>
          <w:color w:val="auto"/>
          <w:sz w:val="24"/>
          <w:szCs w:val="24"/>
          <w:highlight w:val="none"/>
        </w:rPr>
      </w:pPr>
    </w:p>
    <w:p>
      <w:pPr>
        <w:widowControl w:val="0"/>
        <w:ind w:firstLine="480" w:firstLineChars="200"/>
        <w:textAlignment w:val="auto"/>
        <w:rPr>
          <w:rFonts w:ascii="宋体" w:hAnsi="宋体" w:cs="宋体"/>
          <w:bCs/>
          <w:color w:val="auto"/>
          <w:sz w:val="24"/>
          <w:szCs w:val="24"/>
          <w:highlight w:val="none"/>
        </w:rPr>
      </w:pP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附表：</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1、项目样板引路实施流程图</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2、样板引路实施计划 </w:t>
      </w:r>
    </w:p>
    <w:p>
      <w:pPr>
        <w:widowControl w:val="0"/>
        <w:ind w:firstLine="480" w:firstLineChars="200"/>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3、工程样板验收表</w:t>
      </w:r>
    </w:p>
    <w:p>
      <w:pPr>
        <w:widowControl w:val="0"/>
        <w:ind w:firstLine="480" w:firstLineChars="200"/>
        <w:textAlignment w:val="auto"/>
        <w:rPr>
          <w:rFonts w:ascii="宋体" w:hAnsi="宋体" w:cs="宋体"/>
          <w:bCs/>
          <w:color w:val="auto"/>
          <w:sz w:val="24"/>
          <w:szCs w:val="24"/>
          <w:highlight w:val="none"/>
        </w:rPr>
      </w:pPr>
    </w:p>
    <w:p>
      <w:pPr>
        <w:widowControl w:val="0"/>
        <w:ind w:firstLine="480" w:firstLineChars="200"/>
        <w:textAlignment w:val="auto"/>
        <w:rPr>
          <w:rFonts w:ascii="宋体" w:hAnsi="宋体" w:cs="宋体"/>
          <w:bCs/>
          <w:color w:val="auto"/>
          <w:sz w:val="24"/>
          <w:szCs w:val="24"/>
          <w:highlight w:val="none"/>
        </w:rPr>
      </w:pPr>
    </w:p>
    <w:p>
      <w:pPr>
        <w:widowControl w:val="0"/>
        <w:ind w:firstLine="480" w:firstLineChars="200"/>
        <w:textAlignment w:val="auto"/>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p>
    <w:p>
      <w:pPr>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p>
    <w:p>
      <w:pPr>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p>
    <w:p>
      <w:pPr>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p>
    <w:p>
      <w:pPr>
        <w:rPr>
          <w:rFonts w:ascii="宋体" w:hAnsi="宋体" w:cs="宋体"/>
          <w:bCs/>
          <w:color w:val="auto"/>
          <w:sz w:val="24"/>
          <w:szCs w:val="24"/>
          <w:highlight w:val="none"/>
        </w:rPr>
      </w:pPr>
    </w:p>
    <w:p>
      <w:pPr>
        <w:outlineLvl w:val="9"/>
        <w:rPr>
          <w:rFonts w:ascii="宋体" w:hAnsi="宋体" w:cs="宋体"/>
          <w:b w:val="0"/>
          <w:bCs/>
          <w:color w:val="auto"/>
          <w:sz w:val="24"/>
          <w:szCs w:val="24"/>
          <w:highlight w:val="none"/>
        </w:rPr>
      </w:pPr>
      <w:r>
        <w:rPr>
          <w:rFonts w:hint="eastAsia" w:ascii="宋体" w:hAnsi="宋体" w:cs="宋体"/>
          <w:b w:val="0"/>
          <w:bCs/>
          <w:color w:val="auto"/>
          <w:sz w:val="24"/>
          <w:szCs w:val="24"/>
          <w:highlight w:val="none"/>
        </w:rPr>
        <w:t>附表1</w:t>
      </w:r>
    </w:p>
    <w:p>
      <w:pPr>
        <w:outlineLvl w:val="9"/>
        <w:rPr>
          <w:rFonts w:ascii="宋体" w:hAnsi="宋体" w:cs="宋体"/>
          <w:b w:val="0"/>
          <w:bCs/>
          <w:color w:val="auto"/>
          <w:sz w:val="24"/>
          <w:szCs w:val="24"/>
          <w:highlight w:val="none"/>
        </w:rPr>
      </w:pPr>
      <w:r>
        <w:rPr>
          <w:color w:val="auto"/>
          <w:highlight w:val="none"/>
        </w:rPr>
        <w:drawing>
          <wp:inline distT="0" distB="0" distL="114300" distR="114300">
            <wp:extent cx="4171950" cy="7407275"/>
            <wp:effectExtent l="0" t="0" r="0" b="3175"/>
            <wp:docPr id="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
                    <pic:cNvPicPr>
                      <a:picLocks noChangeAspect="1"/>
                    </pic:cNvPicPr>
                  </pic:nvPicPr>
                  <pic:blipFill>
                    <a:blip r:embed="rId15"/>
                    <a:srcRect l="29776" r="26968" b="2895"/>
                    <a:stretch>
                      <a:fillRect/>
                    </a:stretch>
                  </pic:blipFill>
                  <pic:spPr>
                    <a:xfrm>
                      <a:off x="0" y="0"/>
                      <a:ext cx="4171950" cy="7407275"/>
                    </a:xfrm>
                    <a:prstGeom prst="rect">
                      <a:avLst/>
                    </a:prstGeom>
                    <a:noFill/>
                    <a:ln>
                      <a:noFill/>
                    </a:ln>
                  </pic:spPr>
                </pic:pic>
              </a:graphicData>
            </a:graphic>
          </wp:inline>
        </w:drawing>
      </w:r>
      <w:r>
        <w:rPr>
          <w:rFonts w:hint="eastAsia"/>
          <w:color w:val="auto"/>
          <w:highlight w:val="none"/>
        </w:rPr>
        <w:t xml:space="preserve">  </w:t>
      </w:r>
    </w:p>
    <w:p>
      <w:pPr>
        <w:widowControl w:val="0"/>
        <w:ind w:firstLine="480" w:firstLineChars="200"/>
        <w:jc w:val="left"/>
        <w:textAlignment w:val="auto"/>
        <w:rPr>
          <w:rFonts w:ascii="宋体" w:hAnsi="宋体" w:cs="宋体"/>
          <w:bCs/>
          <w:color w:val="auto"/>
          <w:sz w:val="24"/>
          <w:szCs w:val="24"/>
          <w:highlight w:val="none"/>
        </w:rPr>
      </w:pPr>
    </w:p>
    <w:p>
      <w:pPr>
        <w:pStyle w:val="3"/>
        <w:rPr>
          <w:color w:val="auto"/>
          <w:highlight w:val="none"/>
        </w:rPr>
        <w:sectPr>
          <w:headerReference r:id="rId6" w:type="default"/>
          <w:footerReference r:id="rId7" w:type="default"/>
          <w:pgSz w:w="11906" w:h="16838"/>
          <w:pgMar w:top="1440" w:right="1800" w:bottom="1440" w:left="1800" w:header="851" w:footer="992" w:gutter="0"/>
          <w:cols w:space="425" w:num="1"/>
          <w:docGrid w:type="lines" w:linePitch="312" w:charSpace="0"/>
        </w:sectPr>
      </w:pPr>
    </w:p>
    <w:p>
      <w:pPr>
        <w:tabs>
          <w:tab w:val="left" w:pos="1515"/>
        </w:tabs>
        <w:jc w:val="left"/>
        <w:rPr>
          <w:rFonts w:ascii="宋体" w:hAnsi="宋体" w:cs="宋体"/>
          <w:b/>
          <w:color w:val="auto"/>
          <w:sz w:val="36"/>
          <w:szCs w:val="36"/>
          <w:highlight w:val="none"/>
        </w:rPr>
      </w:pPr>
      <w:r>
        <w:rPr>
          <w:rFonts w:hint="eastAsia" w:ascii="宋体" w:hAnsi="宋体" w:cs="宋体"/>
          <w:b/>
          <w:color w:val="auto"/>
          <w:sz w:val="36"/>
          <w:szCs w:val="36"/>
          <w:highlight w:val="none"/>
        </w:rPr>
        <w:t>以下表格为示例，具体内容须根据项目实施内容制定</w:t>
      </w:r>
    </w:p>
    <w:p>
      <w:pPr>
        <w:tabs>
          <w:tab w:val="left" w:pos="1515"/>
        </w:tabs>
        <w:jc w:val="left"/>
        <w:rPr>
          <w:rFonts w:ascii="宋体" w:hAnsi="宋体" w:cs="宋体"/>
          <w:b/>
          <w:color w:val="auto"/>
          <w:sz w:val="36"/>
          <w:szCs w:val="36"/>
          <w:highlight w:val="none"/>
        </w:rPr>
      </w:pPr>
      <w:r>
        <w:rPr>
          <w:rFonts w:hint="eastAsia" w:asciiTheme="minorEastAsia" w:hAnsiTheme="minorEastAsia" w:eastAsiaTheme="minorEastAsia" w:cstheme="minorEastAsia"/>
          <w:bCs/>
          <w:color w:val="auto"/>
          <w:sz w:val="24"/>
          <w:szCs w:val="24"/>
          <w:highlight w:val="none"/>
        </w:rPr>
        <w:t xml:space="preserve">附表2                                   </w:t>
      </w:r>
      <w:r>
        <w:rPr>
          <w:rFonts w:hint="eastAsia" w:ascii="宋体" w:hAnsi="宋体" w:cs="宋体"/>
          <w:b/>
          <w:color w:val="auto"/>
          <w:sz w:val="36"/>
          <w:szCs w:val="36"/>
          <w:highlight w:val="none"/>
        </w:rPr>
        <w:t>XXX项目“样板引路”实施计划</w:t>
      </w: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备注：要求施工和监理单位加盖公章或项目章。</w:t>
      </w:r>
    </w:p>
    <w:tbl>
      <w:tblPr>
        <w:tblStyle w:val="28"/>
        <w:tblpPr w:leftFromText="180" w:rightFromText="180" w:vertAnchor="text" w:horzAnchor="page" w:tblpX="1535" w:tblpY="302"/>
        <w:tblOverlap w:val="never"/>
        <w:tblW w:w="14174" w:type="dxa"/>
        <w:tblInd w:w="0" w:type="dxa"/>
        <w:tblLayout w:type="fixed"/>
        <w:tblCellMar>
          <w:top w:w="0" w:type="dxa"/>
          <w:left w:w="108" w:type="dxa"/>
          <w:bottom w:w="0" w:type="dxa"/>
          <w:right w:w="108" w:type="dxa"/>
        </w:tblCellMar>
      </w:tblPr>
      <w:tblGrid>
        <w:gridCol w:w="629"/>
        <w:gridCol w:w="1282"/>
        <w:gridCol w:w="1609"/>
        <w:gridCol w:w="2214"/>
        <w:gridCol w:w="2044"/>
        <w:gridCol w:w="2251"/>
        <w:gridCol w:w="1382"/>
        <w:gridCol w:w="1381"/>
        <w:gridCol w:w="1382"/>
      </w:tblGrid>
      <w:tr>
        <w:tblPrEx>
          <w:tblCellMar>
            <w:top w:w="0" w:type="dxa"/>
            <w:left w:w="108" w:type="dxa"/>
            <w:bottom w:w="0" w:type="dxa"/>
            <w:right w:w="108" w:type="dxa"/>
          </w:tblCellMar>
        </w:tblPrEx>
        <w:trPr>
          <w:cantSplit/>
          <w:trHeight w:val="458" w:hRule="atLeast"/>
          <w:tblHeader/>
        </w:trPr>
        <w:tc>
          <w:tcPr>
            <w:tcW w:w="629"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282"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分部工程</w:t>
            </w:r>
          </w:p>
        </w:tc>
        <w:tc>
          <w:tcPr>
            <w:tcW w:w="1609"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子分部</w:t>
            </w:r>
          </w:p>
        </w:tc>
        <w:tc>
          <w:tcPr>
            <w:tcW w:w="2214"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分项</w:t>
            </w:r>
          </w:p>
        </w:tc>
        <w:tc>
          <w:tcPr>
            <w:tcW w:w="2044"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计划实施时间</w:t>
            </w:r>
          </w:p>
        </w:tc>
        <w:tc>
          <w:tcPr>
            <w:tcW w:w="2251" w:type="dxa"/>
            <w:vMerge w:val="restart"/>
            <w:tcBorders>
              <w:top w:val="single" w:color="auto" w:sz="4" w:space="0"/>
              <w:left w:val="single" w:color="auto" w:sz="4" w:space="0"/>
              <w:right w:val="single" w:color="auto"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实施部位</w:t>
            </w:r>
          </w:p>
        </w:tc>
        <w:tc>
          <w:tcPr>
            <w:tcW w:w="4145" w:type="dxa"/>
            <w:gridSpan w:val="3"/>
            <w:tcBorders>
              <w:top w:val="single" w:color="auto" w:sz="4" w:space="0"/>
              <w:left w:val="nil"/>
              <w:bottom w:val="single" w:color="000000" w:sz="4" w:space="0"/>
              <w:right w:val="single" w:color="000000"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验收单位</w:t>
            </w:r>
          </w:p>
        </w:tc>
      </w:tr>
      <w:tr>
        <w:tblPrEx>
          <w:tblCellMar>
            <w:top w:w="0" w:type="dxa"/>
            <w:left w:w="108" w:type="dxa"/>
            <w:bottom w:w="0" w:type="dxa"/>
            <w:right w:w="108" w:type="dxa"/>
          </w:tblCellMar>
        </w:tblPrEx>
        <w:trPr>
          <w:cantSplit/>
          <w:trHeight w:val="458" w:hRule="atLeast"/>
          <w:tblHeader/>
        </w:trPr>
        <w:tc>
          <w:tcPr>
            <w:tcW w:w="629"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1282"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1609"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2214"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2044"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2251" w:type="dxa"/>
            <w:vMerge w:val="continue"/>
            <w:tcBorders>
              <w:left w:val="single" w:color="auto" w:sz="4" w:space="0"/>
              <w:bottom w:val="single" w:color="auto" w:sz="4" w:space="0"/>
              <w:right w:val="single" w:color="auto" w:sz="4" w:space="0"/>
            </w:tcBorders>
            <w:vAlign w:val="center"/>
          </w:tcPr>
          <w:p>
            <w:pPr>
              <w:jc w:val="center"/>
              <w:rPr>
                <w:color w:val="auto"/>
                <w:highlight w:val="none"/>
              </w:rPr>
            </w:pPr>
          </w:p>
        </w:tc>
        <w:tc>
          <w:tcPr>
            <w:tcW w:w="1382" w:type="dxa"/>
            <w:tcBorders>
              <w:top w:val="single" w:color="auto" w:sz="4" w:space="0"/>
              <w:left w:val="nil"/>
              <w:bottom w:val="single" w:color="000000" w:sz="4" w:space="0"/>
              <w:right w:val="single" w:color="000000"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施工单位</w:t>
            </w:r>
          </w:p>
        </w:tc>
        <w:tc>
          <w:tcPr>
            <w:tcW w:w="1381" w:type="dxa"/>
            <w:tcBorders>
              <w:top w:val="single" w:color="auto" w:sz="4" w:space="0"/>
              <w:left w:val="nil"/>
              <w:bottom w:val="single" w:color="000000" w:sz="4" w:space="0"/>
              <w:right w:val="single" w:color="000000"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监理单位</w:t>
            </w:r>
          </w:p>
        </w:tc>
        <w:tc>
          <w:tcPr>
            <w:tcW w:w="1382" w:type="dxa"/>
            <w:tcBorders>
              <w:top w:val="single" w:color="auto" w:sz="4" w:space="0"/>
              <w:left w:val="nil"/>
              <w:bottom w:val="single" w:color="000000" w:sz="4" w:space="0"/>
              <w:right w:val="single" w:color="000000" w:sz="4" w:space="0"/>
            </w:tcBorders>
            <w:vAlign w:val="center"/>
          </w:tcPr>
          <w:p>
            <w:pPr>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建设单位</w:t>
            </w: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282"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地基与基础</w:t>
            </w:r>
          </w:p>
        </w:tc>
        <w:tc>
          <w:tcPr>
            <w:tcW w:w="1609"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基础</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钢筋混凝土扩展基础</w:t>
            </w:r>
          </w:p>
        </w:tc>
        <w:tc>
          <w:tcPr>
            <w:tcW w:w="2044" w:type="dxa"/>
            <w:tcBorders>
              <w:top w:val="nil"/>
              <w:left w:val="nil"/>
              <w:bottom w:val="single" w:color="auto" w:sz="4" w:space="0"/>
              <w:right w:val="single" w:color="auto" w:sz="4" w:space="0"/>
            </w:tcBorders>
            <w:vAlign w:val="center"/>
          </w:tcPr>
          <w:p>
            <w:pPr>
              <w:jc w:val="center"/>
              <w:rPr>
                <w:rFonts w:ascii="宋体" w:hAnsi="宋体" w:cs="宋体" w:eastAsiaTheme="minorEastAsia"/>
                <w:color w:val="auto"/>
                <w:kern w:val="0"/>
                <w:sz w:val="24"/>
                <w:highlight w:val="none"/>
              </w:rPr>
            </w:pPr>
            <w:r>
              <w:rPr>
                <w:rFonts w:hint="eastAsia" w:ascii="宋体" w:hAnsi="宋体" w:cs="宋体"/>
                <w:color w:val="auto"/>
                <w:kern w:val="0"/>
                <w:sz w:val="24"/>
                <w:highlight w:val="none"/>
              </w:rPr>
              <w:t>20xx.xx.xx</w:t>
            </w: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5#图书馆天然基础</w:t>
            </w: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ascii="Arial" w:hAnsi="Arial" w:cs="Arial"/>
                <w:color w:val="auto"/>
                <w:kern w:val="0"/>
                <w:sz w:val="24"/>
                <w:highlight w:val="none"/>
              </w:rPr>
              <w:t>√</w:t>
            </w: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ascii="Arial" w:hAnsi="Arial" w:cs="Arial"/>
                <w:color w:val="auto"/>
                <w:kern w:val="0"/>
                <w:sz w:val="24"/>
                <w:highlight w:val="none"/>
              </w:rPr>
              <w:t>√</w:t>
            </w: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ascii="Arial" w:hAnsi="Arial" w:cs="Arial"/>
                <w:color w:val="auto"/>
                <w:kern w:val="0"/>
                <w:sz w:val="24"/>
                <w:highlight w:val="none"/>
              </w:rPr>
              <w:t>√</w:t>
            </w: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钢筋混凝土预制桩基础</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边坡</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边坡开挖</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90"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挡土墙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90"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边坡喷锚</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地下防水</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底板防水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7</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防潮地面防水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景观池防水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9</w:t>
            </w:r>
          </w:p>
        </w:tc>
        <w:tc>
          <w:tcPr>
            <w:tcW w:w="1282" w:type="dxa"/>
            <w:vMerge w:val="restart"/>
            <w:tcBorders>
              <w:top w:val="nil"/>
              <w:left w:val="single" w:color="auto" w:sz="4" w:space="0"/>
              <w:bottom w:val="nil"/>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主体结构</w:t>
            </w:r>
          </w:p>
        </w:tc>
        <w:tc>
          <w:tcPr>
            <w:tcW w:w="1609" w:type="dxa"/>
            <w:vMerge w:val="restart"/>
            <w:tcBorders>
              <w:top w:val="nil"/>
              <w:left w:val="single" w:color="auto" w:sz="4" w:space="0"/>
              <w:bottom w:val="nil"/>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混凝土结构</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钢筋工程</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10</w:t>
            </w:r>
          </w:p>
        </w:tc>
        <w:tc>
          <w:tcPr>
            <w:tcW w:w="1282"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模板工程</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1282"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混凝土工程</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12</w:t>
            </w:r>
          </w:p>
        </w:tc>
        <w:tc>
          <w:tcPr>
            <w:tcW w:w="1282" w:type="dxa"/>
            <w:vMerge w:val="continue"/>
            <w:tcBorders>
              <w:top w:val="nil"/>
              <w:left w:val="single" w:color="auto" w:sz="4" w:space="0"/>
              <w:bottom w:val="nil"/>
              <w:right w:val="single" w:color="auto" w:sz="4" w:space="0"/>
            </w:tcBorders>
            <w:vAlign w:val="center"/>
          </w:tcPr>
          <w:p>
            <w:pPr>
              <w:jc w:val="left"/>
              <w:rPr>
                <w:rFonts w:ascii="宋体" w:hAnsi="宋体" w:cs="宋体"/>
                <w:color w:val="auto"/>
                <w:kern w:val="0"/>
                <w:sz w:val="24"/>
                <w:highlight w:val="none"/>
              </w:rPr>
            </w:pPr>
          </w:p>
        </w:tc>
        <w:tc>
          <w:tcPr>
            <w:tcW w:w="1609"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砌体结构</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填充墙砌体</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13</w:t>
            </w:r>
          </w:p>
        </w:tc>
        <w:tc>
          <w:tcPr>
            <w:tcW w:w="128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建筑装饰装修</w:t>
            </w:r>
          </w:p>
        </w:tc>
        <w:tc>
          <w:tcPr>
            <w:tcW w:w="1609"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建筑地面</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地面基层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14</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地面面层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15</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卫生间防水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16</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抹灰</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一般抹灰</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17</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外墙</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基层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18</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外墙防水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19</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外墙涂料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20</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门窗</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铝合金门窗安装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21</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吊顶</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面层吊顶</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22</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饰面砖</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内墙饰面砖</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636"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23</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外墙饰面砖</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24</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幕墙</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玻璃幕墙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25</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金属幕墙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26</w:t>
            </w:r>
          </w:p>
        </w:tc>
        <w:tc>
          <w:tcPr>
            <w:tcW w:w="128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石材幕墙</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27</w:t>
            </w:r>
          </w:p>
        </w:tc>
        <w:tc>
          <w:tcPr>
            <w:tcW w:w="1282" w:type="dxa"/>
            <w:vMerge w:val="restart"/>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屋面</w:t>
            </w: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基层与保护</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找平层、保护层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28</w:t>
            </w:r>
          </w:p>
        </w:tc>
        <w:tc>
          <w:tcPr>
            <w:tcW w:w="1282"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保温与隔热</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保温层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29</w:t>
            </w:r>
          </w:p>
        </w:tc>
        <w:tc>
          <w:tcPr>
            <w:tcW w:w="1282"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防水与密封</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屋面防水</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30</w:t>
            </w:r>
          </w:p>
        </w:tc>
        <w:tc>
          <w:tcPr>
            <w:tcW w:w="1282" w:type="dxa"/>
            <w:vMerge w:val="continue"/>
            <w:tcBorders>
              <w:top w:val="nil"/>
              <w:left w:val="single" w:color="auto" w:sz="4" w:space="0"/>
              <w:bottom w:val="single" w:color="auto"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细部构造</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女儿墙、变形缝</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31</w:t>
            </w:r>
          </w:p>
        </w:tc>
        <w:tc>
          <w:tcPr>
            <w:tcW w:w="1282"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建筑给水、排水及采暖</w:t>
            </w: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室内给水系统</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给水管道及配件安装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32</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室内排水系统</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排水管道雨水管道及配件安装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33</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室内热水供应系统</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热水管道及配件安装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34</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卫生器具安装</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卫生器具安装、卫生器具给水、排水配件安装，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35</w:t>
            </w:r>
          </w:p>
        </w:tc>
        <w:tc>
          <w:tcPr>
            <w:tcW w:w="1282"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建筑电气</w:t>
            </w: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室外电气</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线槽敷设及接地跨接</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36</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电气照明安装</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插座、灯具、配管安装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68"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37</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防雷接地</w:t>
            </w: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引下线、避雷带安装</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42</w:t>
            </w:r>
          </w:p>
        </w:tc>
        <w:tc>
          <w:tcPr>
            <w:tcW w:w="1282" w:type="dxa"/>
            <w:vMerge w:val="restart"/>
            <w:tcBorders>
              <w:top w:val="nil"/>
              <w:left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sz w:val="20"/>
                <w:szCs w:val="20"/>
                <w:highlight w:val="none"/>
              </w:rPr>
              <w:t>园林</w:t>
            </w:r>
          </w:p>
        </w:tc>
        <w:tc>
          <w:tcPr>
            <w:tcW w:w="1609" w:type="dxa"/>
            <w:vMerge w:val="restart"/>
            <w:tcBorders>
              <w:top w:val="nil"/>
              <w:left w:val="single" w:color="auto" w:sz="4" w:space="0"/>
              <w:bottom w:val="single" w:color="000000"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铺装</w:t>
            </w:r>
          </w:p>
        </w:tc>
        <w:tc>
          <w:tcPr>
            <w:tcW w:w="2214"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碎石垫层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43</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砼垫层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r>
        <w:tblPrEx>
          <w:tblCellMar>
            <w:top w:w="0" w:type="dxa"/>
            <w:left w:w="108" w:type="dxa"/>
            <w:bottom w:w="0" w:type="dxa"/>
            <w:right w:w="108" w:type="dxa"/>
          </w:tblCellMar>
        </w:tblPrEx>
        <w:trPr>
          <w:cantSplit/>
          <w:trHeight w:val="345" w:hRule="atLeast"/>
        </w:trPr>
        <w:tc>
          <w:tcPr>
            <w:tcW w:w="629" w:type="dxa"/>
            <w:tcBorders>
              <w:top w:val="nil"/>
              <w:left w:val="single" w:color="auto" w:sz="4" w:space="0"/>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44</w:t>
            </w:r>
          </w:p>
        </w:tc>
        <w:tc>
          <w:tcPr>
            <w:tcW w:w="1282"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1609" w:type="dxa"/>
            <w:vMerge w:val="continue"/>
            <w:tcBorders>
              <w:top w:val="nil"/>
              <w:left w:val="single" w:color="auto" w:sz="4" w:space="0"/>
              <w:bottom w:val="single" w:color="000000" w:sz="4" w:space="0"/>
              <w:right w:val="single" w:color="auto" w:sz="4" w:space="0"/>
            </w:tcBorders>
            <w:vAlign w:val="center"/>
          </w:tcPr>
          <w:p>
            <w:pPr>
              <w:jc w:val="left"/>
              <w:rPr>
                <w:rFonts w:ascii="宋体" w:hAnsi="宋体" w:cs="宋体"/>
                <w:color w:val="auto"/>
                <w:kern w:val="0"/>
                <w:sz w:val="24"/>
                <w:highlight w:val="none"/>
              </w:rPr>
            </w:pPr>
          </w:p>
        </w:tc>
        <w:tc>
          <w:tcPr>
            <w:tcW w:w="221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石材面层</w:t>
            </w:r>
          </w:p>
        </w:tc>
        <w:tc>
          <w:tcPr>
            <w:tcW w:w="2044"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225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1"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c>
          <w:tcPr>
            <w:tcW w:w="1382" w:type="dxa"/>
            <w:tcBorders>
              <w:top w:val="nil"/>
              <w:left w:val="nil"/>
              <w:bottom w:val="single" w:color="auto" w:sz="4" w:space="0"/>
              <w:right w:val="single" w:color="auto" w:sz="4" w:space="0"/>
            </w:tcBorders>
            <w:vAlign w:val="center"/>
          </w:tcPr>
          <w:p>
            <w:pPr>
              <w:jc w:val="center"/>
              <w:rPr>
                <w:rFonts w:ascii="宋体" w:hAnsi="宋体" w:cs="宋体"/>
                <w:color w:val="auto"/>
                <w:kern w:val="0"/>
                <w:sz w:val="24"/>
                <w:highlight w:val="none"/>
              </w:rPr>
            </w:pPr>
          </w:p>
        </w:tc>
      </w:tr>
    </w:tbl>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 xml:space="preserve">施工单位：                                                          </w:t>
      </w: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监理单位：</w:t>
      </w:r>
    </w:p>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640" w:firstLineChars="200"/>
        <w:jc w:val="left"/>
        <w:textAlignment w:val="auto"/>
        <w:rPr>
          <w:rFonts w:ascii="仿宋_GB2312" w:hAnsi="仿宋_GB2312" w:eastAsia="仿宋_GB2312" w:cs="仿宋_GB2312"/>
          <w:bCs/>
          <w:color w:val="auto"/>
          <w:sz w:val="32"/>
          <w:szCs w:val="32"/>
          <w:highlight w:val="none"/>
        </w:rPr>
      </w:pPr>
    </w:p>
    <w:tbl>
      <w:tblPr>
        <w:tblStyle w:val="28"/>
        <w:tblW w:w="13988" w:type="dxa"/>
        <w:tblInd w:w="0" w:type="dxa"/>
        <w:tblLayout w:type="fixed"/>
        <w:tblCellMar>
          <w:top w:w="15" w:type="dxa"/>
          <w:left w:w="15" w:type="dxa"/>
          <w:bottom w:w="15" w:type="dxa"/>
          <w:right w:w="15" w:type="dxa"/>
        </w:tblCellMar>
      </w:tblPr>
      <w:tblGrid>
        <w:gridCol w:w="519"/>
        <w:gridCol w:w="1798"/>
        <w:gridCol w:w="2041"/>
        <w:gridCol w:w="2991"/>
        <w:gridCol w:w="1435"/>
        <w:gridCol w:w="1608"/>
        <w:gridCol w:w="1106"/>
        <w:gridCol w:w="1246"/>
        <w:gridCol w:w="1244"/>
      </w:tblGrid>
      <w:tr>
        <w:tblPrEx>
          <w:tblCellMar>
            <w:top w:w="15" w:type="dxa"/>
            <w:left w:w="15" w:type="dxa"/>
            <w:bottom w:w="15" w:type="dxa"/>
            <w:right w:w="15" w:type="dxa"/>
          </w:tblCellMar>
        </w:tblPrEx>
        <w:trPr>
          <w:trHeight w:val="360" w:hRule="atLeast"/>
        </w:trPr>
        <w:tc>
          <w:tcPr>
            <w:tcW w:w="13988" w:type="dxa"/>
            <w:gridSpan w:val="9"/>
            <w:vAlign w:val="center"/>
          </w:tcPr>
          <w:p>
            <w:pPr>
              <w:jc w:val="center"/>
              <w:textAlignment w:val="center"/>
              <w:rPr>
                <w:rFonts w:ascii="方正姚体" w:hAnsi="方正姚体" w:eastAsia="方正姚体" w:cs="方正姚体"/>
                <w:color w:val="auto"/>
                <w:sz w:val="30"/>
                <w:szCs w:val="30"/>
                <w:highlight w:val="none"/>
              </w:rPr>
            </w:pPr>
            <w:r>
              <w:rPr>
                <w:rFonts w:hint="eastAsia" w:ascii="方正姚体" w:hAnsi="方正姚体" w:eastAsia="方正姚体" w:cs="方正姚体"/>
                <w:color w:val="auto"/>
                <w:kern w:val="0"/>
                <w:sz w:val="30"/>
                <w:szCs w:val="30"/>
                <w:highlight w:val="none"/>
                <w:lang w:bidi="ar"/>
              </w:rPr>
              <w:t>Xx中学天河校区建设工程施工总承包（标段二）“样板引路”实施计划</w:t>
            </w:r>
          </w:p>
        </w:tc>
      </w:tr>
      <w:tr>
        <w:tblPrEx>
          <w:tblCellMar>
            <w:top w:w="15" w:type="dxa"/>
            <w:left w:w="15" w:type="dxa"/>
            <w:bottom w:w="15" w:type="dxa"/>
            <w:right w:w="15" w:type="dxa"/>
          </w:tblCellMar>
        </w:tblPrEx>
        <w:trPr>
          <w:trHeight w:val="450" w:hRule="atLeast"/>
        </w:trPr>
        <w:tc>
          <w:tcPr>
            <w:tcW w:w="13988" w:type="dxa"/>
            <w:gridSpan w:val="9"/>
            <w:vAlign w:val="center"/>
          </w:tcPr>
          <w:p>
            <w:pPr>
              <w:jc w:val="left"/>
              <w:textAlignment w:val="center"/>
              <w:rPr>
                <w:rFonts w:ascii="宋体" w:hAnsi="宋体" w:cs="宋体"/>
                <w:color w:val="auto"/>
                <w:sz w:val="22"/>
                <w:highlight w:val="none"/>
              </w:rPr>
            </w:pPr>
            <w:r>
              <w:rPr>
                <w:rFonts w:hint="eastAsia" w:ascii="宋体" w:hAnsi="宋体" w:cs="宋体"/>
                <w:color w:val="auto"/>
                <w:kern w:val="0"/>
                <w:sz w:val="22"/>
                <w:highlight w:val="none"/>
                <w:lang w:bidi="ar"/>
              </w:rPr>
              <w:t>施工单位：xx建筑xxx有限公司</w:t>
            </w:r>
          </w:p>
        </w:tc>
      </w:tr>
      <w:tr>
        <w:tblPrEx>
          <w:tblCellMar>
            <w:top w:w="15" w:type="dxa"/>
            <w:left w:w="15" w:type="dxa"/>
            <w:bottom w:w="15" w:type="dxa"/>
            <w:right w:w="15" w:type="dxa"/>
          </w:tblCellMar>
        </w:tblPrEx>
        <w:trPr>
          <w:trHeight w:val="285" w:hRule="atLeast"/>
        </w:trPr>
        <w:tc>
          <w:tcPr>
            <w:tcW w:w="519"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序号</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分部工程</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子分部工程</w:t>
            </w:r>
          </w:p>
        </w:tc>
        <w:tc>
          <w:tcPr>
            <w:tcW w:w="299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分项工程</w:t>
            </w:r>
          </w:p>
        </w:tc>
        <w:tc>
          <w:tcPr>
            <w:tcW w:w="1435"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计划时间</w:t>
            </w:r>
          </w:p>
        </w:tc>
        <w:tc>
          <w:tcPr>
            <w:tcW w:w="160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实施部位</w:t>
            </w:r>
          </w:p>
        </w:tc>
        <w:tc>
          <w:tcPr>
            <w:tcW w:w="3596" w:type="dxa"/>
            <w:gridSpan w:val="3"/>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验收单位</w:t>
            </w:r>
          </w:p>
        </w:tc>
      </w:tr>
      <w:tr>
        <w:tblPrEx>
          <w:tblCellMar>
            <w:top w:w="15" w:type="dxa"/>
            <w:left w:w="15" w:type="dxa"/>
            <w:bottom w:w="15" w:type="dxa"/>
            <w:right w:w="15" w:type="dxa"/>
          </w:tblCellMar>
        </w:tblPrEx>
        <w:trPr>
          <w:trHeight w:val="285" w:hRule="atLeast"/>
        </w:trPr>
        <w:tc>
          <w:tcPr>
            <w:tcW w:w="5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299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143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160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b/>
                <w:color w:val="auto"/>
                <w:sz w:val="20"/>
                <w:szCs w:val="20"/>
                <w:highlight w:val="none"/>
              </w:rPr>
            </w:pP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施工单位</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监理单位</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color w:val="auto"/>
                <w:sz w:val="20"/>
                <w:szCs w:val="20"/>
                <w:highlight w:val="none"/>
              </w:rPr>
            </w:pPr>
            <w:r>
              <w:rPr>
                <w:rFonts w:hint="eastAsia" w:ascii="宋体" w:hAnsi="宋体" w:cs="宋体"/>
                <w:b/>
                <w:color w:val="auto"/>
                <w:kern w:val="0"/>
                <w:sz w:val="20"/>
                <w:szCs w:val="20"/>
                <w:highlight w:val="none"/>
                <w:lang w:bidi="ar"/>
              </w:rPr>
              <w:t>建设单位</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地基与基础</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基础</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钢筋混凝土扩展基础</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10#天然基础</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钢筋混凝土预制桩基础</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9#桩基</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边坡</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边坡开挖</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2020.1.3</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11#地下室</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挡土墙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10#挡土墙</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边坡喷锚</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11#地下室</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地下防水</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底板防水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10#泳池底板</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7</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防潮地面防水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泳池防水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10#泳池内壁</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9</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主体结构</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混凝土结构</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钢筋工程</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模板工程</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混凝土工程</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一体化构件</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2020.4.10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8#、11#首层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砌体结构</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填充墙砌体</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钢结构</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钢结构焊接</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2020.3.16</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10#屋架</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钢结构防火涂料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2020.3.16</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10#屋架</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型钢混凝土结构</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型钢焊接</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17</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型钢柱模板</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型钢柱钢筋绑扎</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2020.3.20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10#首层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建筑装饰装修</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建筑地面</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地面基层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9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地面面层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21</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卫生间防水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抹灰</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一般抹灰</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2020.7.1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23</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外墙</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基层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24</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外墙防水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外墙涂料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门窗</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铝合金门窗安装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2020.10.8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27</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吊顶</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面层吊顶</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28</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饰面砖</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内墙饰面砖</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29</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外墙饰面砖</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2020.10.8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幕墙</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玻璃幕墙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10#二层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31</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金属幕墙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10#二层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石材幕墙</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2020.5.10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10#二层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33</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屋面</w:t>
            </w: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基层与保护</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找平层、保护层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34</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保温与隔热</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保温层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防水与密封</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屋面防水</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细部构造</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女儿墙、变形缝</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2020.8.18</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8#三层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37</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建筑给水、排水及采暖</w:t>
            </w: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室内给水系统</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给水管道及配件安装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495"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38</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室内排水系统</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排水管道雨水管道及配件安装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39</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室内热水供应系统</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热水管道及配件安装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495"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卫生器具安装</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卫生器具安装、卫生器具给水、排水配件安装，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2020.5.30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41</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建筑电气</w:t>
            </w: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室外电气</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线槽敷设及接地跨接</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42</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电气照明安装</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插座、灯具、配管安装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43</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防雷接地</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引下线、避雷带安装</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2020.3.30</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11#三层</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sz w:val="20"/>
                <w:szCs w:val="20"/>
                <w:highlight w:val="none"/>
              </w:rPr>
            </w:pPr>
            <w:r>
              <w:rPr>
                <w:rFonts w:ascii="Arial" w:hAnsi="Arial" w:cs="Arial"/>
                <w:color w:val="auto"/>
                <w:kern w:val="0"/>
                <w:sz w:val="24"/>
                <w:highlight w:val="none"/>
              </w:rPr>
              <w:t>√</w:t>
            </w: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kern w:val="0"/>
                <w:sz w:val="20"/>
                <w:szCs w:val="20"/>
                <w:highlight w:val="none"/>
                <w:lang w:bidi="ar"/>
              </w:rPr>
            </w:pPr>
            <w:r>
              <w:rPr>
                <w:rFonts w:hint="eastAsia" w:ascii="宋体" w:hAnsi="宋体" w:cs="宋体"/>
                <w:color w:val="auto"/>
                <w:kern w:val="0"/>
                <w:sz w:val="24"/>
                <w:highlight w:val="none"/>
              </w:rPr>
              <w:t>44</w:t>
            </w:r>
          </w:p>
        </w:tc>
        <w:tc>
          <w:tcPr>
            <w:tcW w:w="179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园林</w:t>
            </w:r>
          </w:p>
        </w:tc>
        <w:tc>
          <w:tcPr>
            <w:tcW w:w="2041"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铺装</w:t>
            </w: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碎石垫层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2020.12.3</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中央广场</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kern w:val="0"/>
                <w:sz w:val="20"/>
                <w:szCs w:val="20"/>
                <w:highlight w:val="none"/>
                <w:lang w:bidi="ar"/>
              </w:rPr>
            </w:pPr>
            <w:r>
              <w:rPr>
                <w:rFonts w:hint="eastAsia" w:ascii="宋体" w:hAnsi="宋体" w:cs="宋体"/>
                <w:color w:val="auto"/>
                <w:kern w:val="0"/>
                <w:sz w:val="24"/>
                <w:highlight w:val="none"/>
              </w:rPr>
              <w:t>45</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砼垫层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2020.12.5</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中央广场</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r>
      <w:tr>
        <w:tblPrEx>
          <w:tblCellMar>
            <w:top w:w="15" w:type="dxa"/>
            <w:left w:w="15" w:type="dxa"/>
            <w:bottom w:w="15" w:type="dxa"/>
            <w:right w:w="15" w:type="dxa"/>
          </w:tblCellMar>
        </w:tblPrEx>
        <w:trPr>
          <w:trHeight w:val="300" w:hRule="atLeast"/>
        </w:trPr>
        <w:tc>
          <w:tcPr>
            <w:tcW w:w="51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auto"/>
                <w:kern w:val="0"/>
                <w:sz w:val="20"/>
                <w:szCs w:val="20"/>
                <w:highlight w:val="none"/>
                <w:lang w:bidi="ar"/>
              </w:rPr>
            </w:pPr>
            <w:r>
              <w:rPr>
                <w:rFonts w:hint="eastAsia" w:ascii="宋体" w:hAnsi="宋体" w:cs="宋体"/>
                <w:color w:val="auto"/>
                <w:kern w:val="0"/>
                <w:sz w:val="24"/>
                <w:highlight w:val="none"/>
              </w:rPr>
              <w:t>46</w:t>
            </w:r>
          </w:p>
        </w:tc>
        <w:tc>
          <w:tcPr>
            <w:tcW w:w="1798" w:type="dxa"/>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c>
          <w:tcPr>
            <w:tcW w:w="2041" w:type="dxa"/>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p>
        </w:tc>
        <w:tc>
          <w:tcPr>
            <w:tcW w:w="299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石材面层</w:t>
            </w:r>
          </w:p>
        </w:tc>
        <w:tc>
          <w:tcPr>
            <w:tcW w:w="14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2020.12.7</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中央广场</w:t>
            </w:r>
          </w:p>
        </w:tc>
        <w:tc>
          <w:tcPr>
            <w:tcW w:w="110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c>
          <w:tcPr>
            <w:tcW w:w="124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color w:val="auto"/>
                <w:kern w:val="0"/>
                <w:sz w:val="20"/>
                <w:szCs w:val="20"/>
                <w:highlight w:val="none"/>
                <w:lang w:bidi="ar"/>
              </w:rPr>
            </w:pPr>
            <w:r>
              <w:rPr>
                <w:rFonts w:hint="eastAsia" w:ascii="宋体" w:hAnsi="宋体" w:cs="宋体"/>
                <w:color w:val="auto"/>
                <w:kern w:val="0"/>
                <w:sz w:val="20"/>
                <w:szCs w:val="20"/>
                <w:highlight w:val="none"/>
                <w:lang w:bidi="ar"/>
              </w:rPr>
              <w:t>√</w:t>
            </w:r>
          </w:p>
        </w:tc>
      </w:tr>
    </w:tbl>
    <w:p>
      <w:pPr>
        <w:widowControl w:val="0"/>
        <w:ind w:firstLine="640" w:firstLineChars="200"/>
        <w:jc w:val="left"/>
        <w:textAlignment w:val="auto"/>
        <w:rPr>
          <w:rFonts w:ascii="仿宋_GB2312" w:hAnsi="仿宋_GB2312" w:eastAsia="仿宋_GB2312" w:cs="仿宋_GB2312"/>
          <w:bCs/>
          <w:color w:val="auto"/>
          <w:sz w:val="32"/>
          <w:szCs w:val="32"/>
          <w:highlight w:val="none"/>
        </w:rPr>
      </w:pP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 xml:space="preserve">施工单位：                                                          </w:t>
      </w:r>
    </w:p>
    <w:p>
      <w:pPr>
        <w:widowControl w:val="0"/>
        <w:ind w:firstLine="480" w:firstLineChars="200"/>
        <w:jc w:val="left"/>
        <w:textAlignment w:val="auto"/>
        <w:rPr>
          <w:rFonts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监理单位：</w:t>
      </w:r>
    </w:p>
    <w:p>
      <w:pPr>
        <w:widowControl w:val="0"/>
        <w:ind w:firstLine="640" w:firstLineChars="200"/>
        <w:jc w:val="left"/>
        <w:textAlignment w:val="auto"/>
        <w:rPr>
          <w:rFonts w:ascii="仿宋_GB2312" w:hAnsi="仿宋_GB2312" w:eastAsia="仿宋_GB2312" w:cs="仿宋_GB2312"/>
          <w:bCs/>
          <w:color w:val="auto"/>
          <w:sz w:val="32"/>
          <w:szCs w:val="32"/>
          <w:highlight w:val="none"/>
        </w:rPr>
        <w:sectPr>
          <w:pgSz w:w="16838" w:h="11906" w:orient="landscape"/>
          <w:pgMar w:top="1800" w:right="1440" w:bottom="1800" w:left="1440" w:header="851" w:footer="992" w:gutter="0"/>
          <w:cols w:space="425" w:num="1"/>
          <w:docGrid w:type="lines" w:linePitch="312" w:charSpace="0"/>
        </w:sectPr>
      </w:pPr>
    </w:p>
    <w:p>
      <w:pPr>
        <w:spacing w:line="360" w:lineRule="auto"/>
        <w:jc w:val="left"/>
        <w:rPr>
          <w:rFonts w:ascii="宋体" w:hAnsi="宋体"/>
          <w:b/>
          <w:color w:val="auto"/>
          <w:sz w:val="24"/>
          <w:highlight w:val="none"/>
        </w:rPr>
      </w:pPr>
      <w:r>
        <w:rPr>
          <w:rFonts w:hint="eastAsia" w:asciiTheme="minorEastAsia" w:hAnsiTheme="minorEastAsia" w:eastAsiaTheme="minorEastAsia" w:cstheme="minorEastAsia"/>
          <w:bCs/>
          <w:color w:val="auto"/>
          <w:sz w:val="24"/>
          <w:szCs w:val="24"/>
          <w:highlight w:val="none"/>
        </w:rPr>
        <w:t xml:space="preserve">附表3          </w:t>
      </w:r>
      <w:r>
        <w:rPr>
          <w:rFonts w:hint="eastAsia" w:ascii="宋体" w:hAnsi="宋体"/>
          <w:b/>
          <w:color w:val="auto"/>
          <w:sz w:val="24"/>
          <w:highlight w:val="none"/>
        </w:rPr>
        <w:t xml:space="preserve">                 </w:t>
      </w:r>
      <w:r>
        <w:rPr>
          <w:rFonts w:hint="eastAsia" w:ascii="宋体" w:hAnsi="宋体"/>
          <w:b/>
          <w:color w:val="auto"/>
          <w:sz w:val="32"/>
          <w:highlight w:val="none"/>
        </w:rPr>
        <w:t>工程样板验收表</w:t>
      </w:r>
      <w:r>
        <w:rPr>
          <w:rFonts w:hint="eastAsia" w:ascii="宋体" w:hAnsi="宋体"/>
          <w:b/>
          <w:color w:val="auto"/>
          <w:sz w:val="24"/>
          <w:highlight w:val="none"/>
        </w:rPr>
        <w:t xml:space="preserve">      编号：例A-I-01</w:t>
      </w:r>
    </w:p>
    <w:tbl>
      <w:tblPr>
        <w:tblStyle w:val="28"/>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780"/>
        <w:gridCol w:w="357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90" w:type="dxa"/>
            <w:gridSpan w:val="2"/>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项目名称</w:t>
            </w:r>
          </w:p>
        </w:tc>
        <w:tc>
          <w:tcPr>
            <w:tcW w:w="7530" w:type="dxa"/>
            <w:gridSpan w:val="2"/>
            <w:vAlign w:val="center"/>
          </w:tcPr>
          <w:p>
            <w:pPr>
              <w:spacing w:line="28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190" w:type="dxa"/>
            <w:gridSpan w:val="2"/>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样板所在部位</w:t>
            </w:r>
          </w:p>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（样板工序）</w:t>
            </w:r>
          </w:p>
        </w:tc>
        <w:tc>
          <w:tcPr>
            <w:tcW w:w="7530" w:type="dxa"/>
            <w:gridSpan w:val="2"/>
            <w:vAlign w:val="center"/>
          </w:tcPr>
          <w:p>
            <w:pPr>
              <w:spacing w:line="360" w:lineRule="auto"/>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2190" w:type="dxa"/>
            <w:gridSpan w:val="2"/>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施工员：</w:t>
            </w:r>
          </w:p>
        </w:tc>
        <w:tc>
          <w:tcPr>
            <w:tcW w:w="3570" w:type="dxa"/>
            <w:vAlign w:val="center"/>
          </w:tcPr>
          <w:p>
            <w:pPr>
              <w:spacing w:line="360" w:lineRule="auto"/>
              <w:rPr>
                <w:rFonts w:ascii="仿宋_GB2312" w:hAnsi="宋体" w:eastAsia="仿宋_GB2312"/>
                <w:color w:val="auto"/>
                <w:sz w:val="24"/>
                <w:highlight w:val="none"/>
              </w:rPr>
            </w:pPr>
          </w:p>
        </w:tc>
        <w:tc>
          <w:tcPr>
            <w:tcW w:w="3960" w:type="dxa"/>
            <w:vAlign w:val="center"/>
          </w:tcPr>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班组长：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90" w:type="dxa"/>
            <w:gridSpan w:val="2"/>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质量员验收意见</w:t>
            </w:r>
          </w:p>
        </w:tc>
        <w:tc>
          <w:tcPr>
            <w:tcW w:w="7530" w:type="dxa"/>
            <w:gridSpan w:val="2"/>
            <w:vAlign w:val="center"/>
          </w:tcPr>
          <w:p>
            <w:pPr>
              <w:wordWrap w:val="0"/>
              <w:spacing w:line="360" w:lineRule="auto"/>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签名：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trPr>
        <w:tc>
          <w:tcPr>
            <w:tcW w:w="1410" w:type="dxa"/>
            <w:vAlign w:val="center"/>
          </w:tcPr>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施工单位</w:t>
            </w:r>
          </w:p>
        </w:tc>
        <w:tc>
          <w:tcPr>
            <w:tcW w:w="8310" w:type="dxa"/>
            <w:gridSpan w:val="3"/>
          </w:tcPr>
          <w:p>
            <w:pP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关于主控项目的意见： </w:t>
            </w:r>
          </w:p>
          <w:p>
            <w:pPr>
              <w:rPr>
                <w:rFonts w:ascii="仿宋_GB2312" w:hAnsi="宋体" w:eastAsia="仿宋_GB2312"/>
                <w:color w:val="auto"/>
                <w:sz w:val="24"/>
                <w:highlight w:val="none"/>
              </w:rPr>
            </w:pPr>
          </w:p>
          <w:p>
            <w:pP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关于一般项目的意见： </w:t>
            </w:r>
          </w:p>
          <w:p>
            <w:pPr>
              <w:rPr>
                <w:rFonts w:ascii="仿宋_GB2312" w:hAnsi="宋体" w:eastAsia="仿宋_GB2312"/>
                <w:color w:val="auto"/>
                <w:sz w:val="24"/>
                <w:highlight w:val="none"/>
              </w:rPr>
            </w:pPr>
          </w:p>
          <w:p>
            <w:pPr>
              <w:rPr>
                <w:rFonts w:ascii="仿宋_GB2312" w:hAnsi="宋体" w:eastAsia="仿宋_GB2312"/>
                <w:color w:val="auto"/>
                <w:sz w:val="24"/>
                <w:highlight w:val="none"/>
              </w:rPr>
            </w:pPr>
            <w:r>
              <w:rPr>
                <w:rFonts w:hint="eastAsia" w:ascii="仿宋_GB2312" w:hAnsi="宋体" w:eastAsia="仿宋_GB2312"/>
                <w:color w:val="auto"/>
                <w:sz w:val="24"/>
                <w:highlight w:val="none"/>
              </w:rPr>
              <w:t>能否作为样板：</w:t>
            </w:r>
          </w:p>
          <w:p>
            <w:pPr>
              <w:rPr>
                <w:rFonts w:ascii="仿宋_GB2312" w:hAnsi="宋体" w:eastAsia="仿宋_GB2312"/>
                <w:color w:val="auto"/>
                <w:sz w:val="24"/>
                <w:highlight w:val="none"/>
              </w:rPr>
            </w:pPr>
          </w:p>
          <w:p>
            <w:pPr>
              <w:tabs>
                <w:tab w:val="left" w:pos="4437"/>
                <w:tab w:val="left" w:pos="6852"/>
              </w:tabs>
              <w:ind w:right="420"/>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项目技术负责人：        项目经理：             日期：       （章）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1410" w:type="dxa"/>
            <w:vAlign w:val="center"/>
          </w:tcPr>
          <w:p>
            <w:pPr>
              <w:spacing w:line="360" w:lineRule="auto"/>
              <w:rPr>
                <w:rFonts w:ascii="仿宋_GB2312" w:hAnsi="宋体" w:eastAsia="仿宋_GB2312"/>
                <w:color w:val="auto"/>
                <w:sz w:val="24"/>
                <w:highlight w:val="none"/>
              </w:rPr>
            </w:pPr>
            <w:r>
              <w:rPr>
                <w:rFonts w:hint="eastAsia" w:ascii="仿宋_GB2312" w:hAnsi="宋体" w:eastAsia="仿宋_GB2312"/>
                <w:color w:val="auto"/>
                <w:sz w:val="24"/>
                <w:highlight w:val="none"/>
              </w:rPr>
              <w:t>监理单位</w:t>
            </w:r>
          </w:p>
        </w:tc>
        <w:tc>
          <w:tcPr>
            <w:tcW w:w="8310" w:type="dxa"/>
            <w:gridSpan w:val="3"/>
          </w:tcPr>
          <w:p>
            <w:pPr>
              <w:rPr>
                <w:rFonts w:ascii="仿宋_GB2312" w:hAnsi="宋体" w:eastAsia="仿宋_GB2312"/>
                <w:color w:val="auto"/>
                <w:sz w:val="24"/>
                <w:highlight w:val="none"/>
              </w:rPr>
            </w:pPr>
          </w:p>
          <w:p>
            <w:pPr>
              <w:tabs>
                <w:tab w:val="left" w:pos="4437"/>
                <w:tab w:val="left" w:pos="6852"/>
              </w:tabs>
              <w:ind w:right="560" w:firstLine="2400" w:firstLineChars="1000"/>
              <w:rPr>
                <w:rFonts w:ascii="仿宋_GB2312" w:hAnsi="宋体" w:eastAsia="仿宋_GB2312"/>
                <w:color w:val="auto"/>
                <w:sz w:val="24"/>
                <w:highlight w:val="none"/>
              </w:rPr>
            </w:pPr>
          </w:p>
          <w:p>
            <w:pPr>
              <w:tabs>
                <w:tab w:val="left" w:pos="4437"/>
                <w:tab w:val="left" w:pos="6852"/>
              </w:tabs>
              <w:ind w:right="560" w:firstLine="2400" w:firstLineChars="1000"/>
              <w:rPr>
                <w:rFonts w:ascii="仿宋_GB2312" w:hAnsi="宋体" w:eastAsia="仿宋_GB2312"/>
                <w:color w:val="auto"/>
                <w:sz w:val="24"/>
                <w:highlight w:val="none"/>
              </w:rPr>
            </w:pPr>
          </w:p>
          <w:p>
            <w:pPr>
              <w:tabs>
                <w:tab w:val="left" w:pos="4437"/>
                <w:tab w:val="left" w:pos="6852"/>
              </w:tabs>
              <w:ind w:right="560"/>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监理员：                总监/总代：            日期：      （章）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41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设计单位</w:t>
            </w:r>
          </w:p>
        </w:tc>
        <w:tc>
          <w:tcPr>
            <w:tcW w:w="8310" w:type="dxa"/>
            <w:gridSpan w:val="3"/>
          </w:tcPr>
          <w:p>
            <w:pPr>
              <w:rPr>
                <w:rFonts w:ascii="仿宋_GB2312" w:hAnsi="宋体" w:eastAsia="仿宋_GB2312"/>
                <w:color w:val="auto"/>
                <w:sz w:val="24"/>
                <w:highlight w:val="none"/>
              </w:rPr>
            </w:pPr>
          </w:p>
          <w:p>
            <w:pPr>
              <w:ind w:firstLine="2400" w:firstLineChars="1000"/>
              <w:rPr>
                <w:rFonts w:ascii="仿宋_GB2312" w:hAnsi="宋体" w:eastAsia="仿宋_GB2312"/>
                <w:color w:val="auto"/>
                <w:sz w:val="24"/>
                <w:highlight w:val="none"/>
              </w:rPr>
            </w:pPr>
          </w:p>
          <w:p>
            <w:pPr>
              <w:rPr>
                <w:rFonts w:ascii="仿宋_GB2312" w:hAnsi="宋体" w:eastAsia="仿宋_GB2312"/>
                <w:color w:val="auto"/>
                <w:sz w:val="24"/>
                <w:highlight w:val="none"/>
              </w:rPr>
            </w:pPr>
          </w:p>
          <w:p>
            <w:pPr>
              <w:ind w:firstLine="2160" w:firstLineChars="900"/>
              <w:rPr>
                <w:rFonts w:ascii="仿宋_GB2312" w:hAnsi="宋体" w:eastAsia="仿宋_GB2312"/>
                <w:color w:val="auto"/>
                <w:sz w:val="24"/>
                <w:highlight w:val="none"/>
              </w:rPr>
            </w:pPr>
            <w:r>
              <w:rPr>
                <w:rFonts w:hint="eastAsia" w:ascii="仿宋_GB2312" w:hAnsi="宋体" w:eastAsia="仿宋_GB2312"/>
                <w:color w:val="auto"/>
                <w:sz w:val="24"/>
                <w:highlight w:val="none"/>
              </w:rPr>
              <w:t>项目负责人/专业负责人：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1410" w:type="dxa"/>
            <w:vAlign w:val="center"/>
          </w:tcPr>
          <w:p>
            <w:pPr>
              <w:spacing w:line="360" w:lineRule="auto"/>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建设单位</w:t>
            </w:r>
          </w:p>
        </w:tc>
        <w:tc>
          <w:tcPr>
            <w:tcW w:w="8310" w:type="dxa"/>
            <w:gridSpan w:val="3"/>
          </w:tcPr>
          <w:p>
            <w:pPr>
              <w:ind w:firstLine="2400" w:firstLineChars="1000"/>
              <w:rPr>
                <w:rFonts w:ascii="仿宋_GB2312" w:hAnsi="宋体" w:eastAsia="仿宋_GB2312"/>
                <w:color w:val="auto"/>
                <w:sz w:val="24"/>
                <w:highlight w:val="none"/>
              </w:rPr>
            </w:pPr>
          </w:p>
          <w:p>
            <w:pPr>
              <w:ind w:firstLine="2400" w:firstLineChars="1000"/>
              <w:rPr>
                <w:rFonts w:ascii="仿宋_GB2312" w:hAnsi="宋体" w:eastAsia="仿宋_GB2312"/>
                <w:color w:val="auto"/>
                <w:sz w:val="24"/>
                <w:highlight w:val="none"/>
              </w:rPr>
            </w:pPr>
          </w:p>
          <w:p>
            <w:pPr>
              <w:ind w:firstLine="2400" w:firstLineChars="1000"/>
              <w:rPr>
                <w:rFonts w:ascii="仿宋_GB2312" w:hAnsi="宋体" w:eastAsia="仿宋_GB2312"/>
                <w:color w:val="auto"/>
                <w:sz w:val="24"/>
                <w:highlight w:val="none"/>
              </w:rPr>
            </w:pPr>
          </w:p>
          <w:p>
            <w:pPr>
              <w:ind w:firstLine="2400" w:firstLineChars="1000"/>
              <w:rPr>
                <w:rFonts w:ascii="仿宋_GB2312" w:hAnsi="宋体" w:eastAsia="仿宋_GB2312"/>
                <w:color w:val="auto"/>
                <w:sz w:val="24"/>
                <w:highlight w:val="none"/>
              </w:rPr>
            </w:pPr>
            <w:r>
              <w:rPr>
                <w:rFonts w:hint="eastAsia" w:ascii="仿宋_GB2312" w:hAnsi="宋体" w:eastAsia="仿宋_GB2312"/>
                <w:color w:val="auto"/>
                <w:sz w:val="24"/>
                <w:highlight w:val="none"/>
              </w:rPr>
              <w:t>项目负责人/工程管理员：                日期：</w:t>
            </w:r>
          </w:p>
        </w:tc>
      </w:tr>
    </w:tbl>
    <w:p>
      <w:pPr>
        <w:spacing w:line="360" w:lineRule="auto"/>
        <w:ind w:left="480" w:hanging="480" w:hangingChars="200"/>
        <w:rPr>
          <w:rFonts w:ascii="仿宋_GB2312" w:hAnsi="宋体" w:eastAsia="仿宋_GB2312"/>
          <w:color w:val="auto"/>
          <w:sz w:val="24"/>
          <w:highlight w:val="none"/>
        </w:rPr>
      </w:pPr>
    </w:p>
    <w:p>
      <w:pPr>
        <w:spacing w:line="360" w:lineRule="auto"/>
        <w:ind w:left="480" w:hanging="480" w:hangingChars="200"/>
        <w:rPr>
          <w:rFonts w:ascii="仿宋_GB2312" w:hAnsi="宋体" w:eastAsia="仿宋_GB2312"/>
          <w:color w:val="auto"/>
          <w:sz w:val="24"/>
          <w:highlight w:val="none"/>
        </w:rPr>
      </w:pPr>
      <w:r>
        <w:rPr>
          <w:rFonts w:hint="eastAsia" w:ascii="仿宋_GB2312" w:hAnsi="宋体" w:eastAsia="仿宋_GB2312"/>
          <w:color w:val="auto"/>
          <w:sz w:val="24"/>
          <w:highlight w:val="none"/>
        </w:rPr>
        <w:t>注：此表一式四份：施工单位、监理单位、设计单位、建设单位各一份。</w:t>
      </w:r>
    </w:p>
    <w:p>
      <w:pPr>
        <w:spacing w:line="360" w:lineRule="auto"/>
        <w:ind w:left="480" w:hanging="480" w:hangingChars="200"/>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附件：实体样板图片   </w:t>
      </w:r>
    </w:p>
    <w:p>
      <w:pPr>
        <w:spacing w:line="360" w:lineRule="auto"/>
        <w:ind w:left="480" w:hanging="480" w:hangingChars="200"/>
        <w:rPr>
          <w:rFonts w:ascii="仿宋_GB2312" w:hAnsi="宋体" w:eastAsia="仿宋_GB2312"/>
          <w:color w:val="auto"/>
          <w:sz w:val="24"/>
          <w:highlight w:val="none"/>
        </w:rPr>
      </w:pPr>
    </w:p>
    <w:p>
      <w:pPr>
        <w:spacing w:line="360" w:lineRule="auto"/>
        <w:ind w:left="480" w:hanging="480" w:hangingChars="200"/>
        <w:rPr>
          <w:rFonts w:ascii="仿宋_GB2312" w:hAnsi="宋体" w:eastAsia="仿宋_GB2312"/>
          <w:color w:val="auto"/>
          <w:sz w:val="24"/>
          <w:highlight w:val="none"/>
        </w:rPr>
      </w:pPr>
    </w:p>
    <w:p>
      <w:pPr>
        <w:spacing w:line="360" w:lineRule="auto"/>
        <w:ind w:left="480" w:hanging="480" w:hangingChars="200"/>
        <w:rPr>
          <w:rFonts w:ascii="仿宋_GB2312" w:hAnsi="宋体" w:eastAsia="仿宋_GB2312"/>
          <w:color w:val="auto"/>
          <w:sz w:val="24"/>
          <w:highlight w:val="none"/>
        </w:rPr>
      </w:pPr>
    </w:p>
    <w:p>
      <w:pPr>
        <w:spacing w:line="360" w:lineRule="exact"/>
        <w:ind w:right="-20"/>
        <w:jc w:val="both"/>
        <w:textAlignment w:val="baseline"/>
        <w:outlineLvl w:val="2"/>
        <w:rPr>
          <w:rStyle w:val="37"/>
          <w:rFonts w:hint="eastAsia" w:ascii="宋体" w:hAnsi="宋体" w:eastAsia="宋体" w:cs="Times New Roman"/>
          <w:color w:val="auto"/>
          <w:kern w:val="2"/>
          <w:sz w:val="24"/>
          <w:szCs w:val="24"/>
          <w:highlight w:val="none"/>
          <w:lang w:val="en-US" w:eastAsia="zh-CN" w:bidi="ar-SA"/>
        </w:rPr>
      </w:pPr>
      <w:bookmarkStart w:id="1103" w:name="_Toc17409"/>
      <w:bookmarkStart w:id="1104" w:name="_Toc28551"/>
      <w:bookmarkStart w:id="1105" w:name="_Toc16263"/>
      <w:bookmarkStart w:id="1106" w:name="_Toc25845"/>
      <w:bookmarkStart w:id="1107" w:name="_Toc17623"/>
      <w:bookmarkStart w:id="1108" w:name="_Toc32012"/>
      <w:bookmarkStart w:id="1109" w:name="_Toc19924"/>
      <w:bookmarkStart w:id="1110" w:name="_Toc22526"/>
      <w:bookmarkStart w:id="1111" w:name="_Toc32287"/>
      <w:r>
        <w:rPr>
          <w:rStyle w:val="37"/>
          <w:rFonts w:ascii="宋体" w:hAnsi="宋体" w:eastAsia="宋体" w:cs="Times New Roman"/>
          <w:color w:val="auto"/>
          <w:kern w:val="2"/>
          <w:sz w:val="24"/>
          <w:szCs w:val="24"/>
          <w:highlight w:val="none"/>
          <w:lang w:val="en-US" w:eastAsia="zh-CN" w:bidi="ar-SA"/>
        </w:rPr>
        <w:t>附件</w:t>
      </w:r>
      <w:r>
        <w:rPr>
          <w:rStyle w:val="37"/>
          <w:rFonts w:hint="eastAsia" w:ascii="宋体" w:hAnsi="宋体" w:eastAsia="宋体" w:cs="Times New Roman"/>
          <w:color w:val="auto"/>
          <w:kern w:val="2"/>
          <w:sz w:val="24"/>
          <w:szCs w:val="24"/>
          <w:highlight w:val="none"/>
          <w:lang w:val="en-US" w:eastAsia="zh-CN" w:bidi="ar-SA"/>
        </w:rPr>
        <w:t>六</w:t>
      </w:r>
      <w:bookmarkEnd w:id="1103"/>
      <w:bookmarkEnd w:id="1104"/>
      <w:bookmarkEnd w:id="1105"/>
      <w:bookmarkEnd w:id="1106"/>
      <w:bookmarkEnd w:id="1107"/>
      <w:bookmarkEnd w:id="1108"/>
      <w:bookmarkEnd w:id="1109"/>
      <w:bookmarkEnd w:id="1110"/>
      <w:bookmarkEnd w:id="1111"/>
    </w:p>
    <w:p>
      <w:pPr>
        <w:spacing w:line="420" w:lineRule="exact"/>
        <w:ind w:right="-512" w:rightChars="-244" w:firstLine="480" w:firstLineChars="200"/>
        <w:jc w:val="both"/>
        <w:textAlignment w:val="baseline"/>
        <w:rPr>
          <w:rStyle w:val="37"/>
          <w:rFonts w:hint="eastAsia" w:ascii="宋体" w:hAnsi="宋体"/>
          <w:color w:val="auto"/>
          <w:kern w:val="2"/>
          <w:sz w:val="24"/>
          <w:szCs w:val="24"/>
          <w:highlight w:val="none"/>
          <w:lang w:val="en-US" w:eastAsia="zh-CN" w:bidi="ar-SA"/>
        </w:rPr>
      </w:pPr>
    </w:p>
    <w:p>
      <w:pPr>
        <w:pStyle w:val="5"/>
        <w:spacing w:line="500" w:lineRule="exact"/>
        <w:ind w:firstLine="0" w:firstLineChars="0"/>
        <w:jc w:val="center"/>
        <w:textAlignment w:val="baseline"/>
        <w:outlineLvl w:val="2"/>
        <w:rPr>
          <w:rStyle w:val="30"/>
          <w:rFonts w:hint="eastAsia" w:ascii="Times New Roman" w:hAnsi="Times New Roman" w:cstheme="minorBidi"/>
          <w:b/>
          <w:bCs w:val="0"/>
          <w:color w:val="auto"/>
          <w:kern w:val="44"/>
          <w:sz w:val="36"/>
          <w:szCs w:val="20"/>
          <w:highlight w:val="none"/>
          <w:lang w:val="en-US" w:eastAsia="zh-CN" w:bidi="ar-SA"/>
        </w:rPr>
      </w:pPr>
      <w:bookmarkStart w:id="1112" w:name="_Toc10538"/>
      <w:bookmarkStart w:id="1113" w:name="_Toc3774"/>
      <w:bookmarkStart w:id="1114" w:name="_Toc1883"/>
      <w:bookmarkStart w:id="1115" w:name="_Toc13374"/>
      <w:bookmarkStart w:id="1116" w:name="_Toc13420"/>
      <w:bookmarkStart w:id="1117" w:name="_Toc1746"/>
      <w:bookmarkStart w:id="1118" w:name="_Toc14613"/>
      <w:bookmarkStart w:id="1119" w:name="_Toc22643"/>
      <w:bookmarkStart w:id="1120" w:name="_Toc14861"/>
      <w:r>
        <w:rPr>
          <w:rStyle w:val="30"/>
          <w:rFonts w:hint="eastAsia" w:ascii="Times New Roman" w:hAnsi="Times New Roman" w:cstheme="minorBidi"/>
          <w:b/>
          <w:bCs w:val="0"/>
          <w:color w:val="auto"/>
          <w:kern w:val="44"/>
          <w:sz w:val="36"/>
          <w:szCs w:val="20"/>
          <w:highlight w:val="none"/>
          <w:lang w:val="en-US" w:eastAsia="zh-CN" w:bidi="ar-SA"/>
        </w:rPr>
        <w:t>广州市天河区建设工程项目代建局设计变更管理办法</w:t>
      </w:r>
      <w:bookmarkEnd w:id="1112"/>
      <w:bookmarkEnd w:id="1113"/>
      <w:bookmarkEnd w:id="1114"/>
      <w:bookmarkEnd w:id="1115"/>
      <w:bookmarkEnd w:id="1116"/>
      <w:bookmarkEnd w:id="1117"/>
      <w:bookmarkEnd w:id="1118"/>
      <w:bookmarkEnd w:id="1119"/>
      <w:bookmarkEnd w:id="1120"/>
    </w:p>
    <w:p>
      <w:pPr>
        <w:spacing w:line="420" w:lineRule="exact"/>
        <w:ind w:right="-512" w:rightChars="-244" w:firstLine="800" w:firstLineChars="200"/>
        <w:jc w:val="center"/>
        <w:textAlignment w:val="baseline"/>
        <w:rPr>
          <w:rStyle w:val="37"/>
          <w:rFonts w:hint="eastAsia" w:ascii="宋体" w:hAnsi="宋体"/>
          <w:color w:val="auto"/>
          <w:kern w:val="2"/>
          <w:sz w:val="40"/>
          <w:szCs w:val="40"/>
          <w:highlight w:val="none"/>
          <w:lang w:val="en-US" w:eastAsia="zh-CN" w:bidi="ar-SA"/>
        </w:rPr>
      </w:pPr>
    </w:p>
    <w:p>
      <w:pPr>
        <w:spacing w:line="600" w:lineRule="exact"/>
        <w:jc w:val="center"/>
        <w:rPr>
          <w:rFonts w:ascii="方正小标宋_GBK" w:hAnsi="方正小标宋_GBK" w:eastAsia="方正小标宋_GBK" w:cs="方正小标宋_GBK"/>
          <w:color w:val="auto"/>
          <w:sz w:val="44"/>
          <w:szCs w:val="44"/>
          <w:highlight w:val="none"/>
          <w:u w:val="none"/>
        </w:rPr>
      </w:pPr>
    </w:p>
    <w:p>
      <w:pPr>
        <w:spacing w:line="600" w:lineRule="exact"/>
        <w:jc w:val="center"/>
        <w:rPr>
          <w:rFonts w:hint="eastAsia" w:ascii="方正小标宋_GBK" w:hAnsi="方正小标宋_GBK" w:eastAsia="方正小标宋_GBK" w:cs="方正小标宋_GBK"/>
          <w:color w:val="auto"/>
          <w:sz w:val="44"/>
          <w:szCs w:val="44"/>
          <w:highlight w:val="none"/>
          <w:u w:val="none"/>
        </w:rPr>
      </w:pPr>
      <w:r>
        <w:rPr>
          <w:rFonts w:hint="eastAsia" w:ascii="方正小标宋_GBK" w:hAnsi="方正小标宋_GBK" w:eastAsia="方正小标宋_GBK" w:cs="方正小标宋_GBK"/>
          <w:color w:val="auto"/>
          <w:sz w:val="44"/>
          <w:szCs w:val="44"/>
          <w:highlight w:val="none"/>
          <w:u w:val="none"/>
        </w:rPr>
        <w:t>广州市天河区建设工程项目代建局</w:t>
      </w:r>
    </w:p>
    <w:p>
      <w:pPr>
        <w:spacing w:line="600" w:lineRule="exact"/>
        <w:jc w:val="center"/>
        <w:rPr>
          <w:rFonts w:ascii="Times New Roman" w:hAnsi="Times New Roman" w:eastAsia="方正楷体_GBK"/>
          <w:color w:val="auto"/>
          <w:sz w:val="36"/>
          <w:szCs w:val="36"/>
          <w:highlight w:val="none"/>
          <w:u w:val="none"/>
        </w:rPr>
      </w:pPr>
      <w:r>
        <w:rPr>
          <w:rFonts w:hint="eastAsia" w:ascii="方正小标宋_GBK" w:hAnsi="方正小标宋_GBK" w:eastAsia="方正小标宋_GBK" w:cs="方正小标宋_GBK"/>
          <w:color w:val="auto"/>
          <w:sz w:val="44"/>
          <w:szCs w:val="44"/>
          <w:highlight w:val="none"/>
          <w:u w:val="none"/>
        </w:rPr>
        <w:t>设计变更管理办法</w:t>
      </w:r>
    </w:p>
    <w:p>
      <w:pPr>
        <w:spacing w:line="600" w:lineRule="exact"/>
        <w:jc w:val="center"/>
        <w:rPr>
          <w:rFonts w:ascii="Times New Roman" w:hAnsi="Times New Roman"/>
          <w:color w:val="auto"/>
          <w:sz w:val="28"/>
          <w:szCs w:val="28"/>
          <w:highlight w:val="none"/>
          <w:u w:val="none"/>
        </w:rPr>
      </w:pPr>
      <w:r>
        <w:rPr>
          <w:rFonts w:hint="eastAsia" w:ascii="Times New Roman" w:hAnsi="Times New Roman"/>
          <w:color w:val="auto"/>
          <w:sz w:val="28"/>
          <w:szCs w:val="28"/>
          <w:highlight w:val="none"/>
          <w:u w:val="none"/>
        </w:rPr>
        <w:t>（修订）</w:t>
      </w:r>
    </w:p>
    <w:p>
      <w:pPr>
        <w:spacing w:line="600" w:lineRule="exact"/>
        <w:jc w:val="center"/>
        <w:rPr>
          <w:rFonts w:hint="eastAsia" w:ascii="Times New Roman" w:hAnsi="Times New Roman"/>
          <w:color w:val="auto"/>
          <w:sz w:val="28"/>
          <w:szCs w:val="28"/>
          <w:highlight w:val="none"/>
          <w:u w:val="none"/>
        </w:rPr>
      </w:pPr>
    </w:p>
    <w:p>
      <w:pPr>
        <w:spacing w:line="600" w:lineRule="exact"/>
        <w:jc w:val="center"/>
        <w:rPr>
          <w:rFonts w:ascii="Times New Roman" w:hAnsi="Times New Roman" w:eastAsia="仿宋"/>
          <w:color w:val="auto"/>
          <w:sz w:val="32"/>
          <w:szCs w:val="32"/>
          <w:highlight w:val="none"/>
          <w:u w:val="single"/>
        </w:rPr>
      </w:pPr>
      <w:r>
        <w:rPr>
          <w:rFonts w:ascii="Times New Roman" w:hAnsi="Times New Roman" w:eastAsia="黑体"/>
          <w:color w:val="auto"/>
          <w:sz w:val="32"/>
          <w:szCs w:val="32"/>
          <w:highlight w:val="none"/>
          <w:u w:val="none"/>
        </w:rPr>
        <w:t>第一章　总则</w:t>
      </w:r>
    </w:p>
    <w:p>
      <w:pPr>
        <w:spacing w:line="600" w:lineRule="exact"/>
        <w:ind w:firstLine="627" w:firstLineChars="196"/>
        <w:jc w:val="left"/>
        <w:rPr>
          <w:rFonts w:ascii="Times New Roman" w:hAnsi="Times New Roman"/>
          <w:color w:val="auto"/>
          <w:sz w:val="32"/>
          <w:szCs w:val="32"/>
          <w:highlight w:val="none"/>
          <w:u w:val="none"/>
        </w:rPr>
      </w:pPr>
      <w:r>
        <w:rPr>
          <w:rFonts w:ascii="Times New Roman" w:hAnsi="Times New Roman" w:eastAsia="仿宋"/>
          <w:color w:val="auto"/>
          <w:sz w:val="32"/>
          <w:szCs w:val="32"/>
          <w:highlight w:val="none"/>
          <w:u w:val="none"/>
        </w:rPr>
        <w:t>第一条　</w:t>
      </w:r>
      <w:r>
        <w:rPr>
          <w:rFonts w:hint="eastAsia" w:ascii="Times New Roman" w:hAnsi="Times New Roman" w:eastAsia="仿宋"/>
          <w:color w:val="auto"/>
          <w:sz w:val="32"/>
          <w:szCs w:val="32"/>
          <w:highlight w:val="none"/>
          <w:u w:val="none"/>
        </w:rPr>
        <w:t>为规范工程项目管理，加强投资控制，严格设计变更管理，实现设计变更动态管理，夯实参建各方责任，明确设计变更的分类、申报审批程序、时限及</w:t>
      </w:r>
      <w:r>
        <w:rPr>
          <w:rFonts w:hint="eastAsia" w:ascii="Times New Roman" w:hAnsi="Times New Roman" w:eastAsia="仿宋"/>
          <w:color w:val="auto"/>
          <w:sz w:val="32"/>
          <w:szCs w:val="32"/>
          <w:highlight w:val="none"/>
          <w:u w:val="none"/>
          <w:lang w:eastAsia="zh-CN"/>
        </w:rPr>
        <w:t>造价</w:t>
      </w:r>
      <w:r>
        <w:rPr>
          <w:rFonts w:hint="eastAsia" w:ascii="Times New Roman" w:hAnsi="Times New Roman" w:eastAsia="仿宋"/>
          <w:color w:val="auto"/>
          <w:sz w:val="32"/>
          <w:szCs w:val="32"/>
          <w:highlight w:val="none"/>
          <w:u w:val="none"/>
        </w:rPr>
        <w:t>管理，特制定本办法。</w:t>
      </w:r>
      <w:r>
        <w:rPr>
          <w:rFonts w:ascii="Times New Roman" w:hAnsi="Times New Roman"/>
          <w:color w:val="auto"/>
          <w:sz w:val="32"/>
          <w:szCs w:val="32"/>
          <w:highlight w:val="none"/>
          <w:u w:val="none"/>
        </w:rPr>
        <w:t xml:space="preserve"> </w:t>
      </w:r>
    </w:p>
    <w:p>
      <w:pPr>
        <w:spacing w:line="600" w:lineRule="exact"/>
        <w:jc w:val="left"/>
        <w:rPr>
          <w:rFonts w:ascii="Times New Roman" w:hAnsi="Times New Roman" w:eastAsia="仿宋"/>
          <w:color w:val="auto"/>
          <w:sz w:val="32"/>
          <w:szCs w:val="32"/>
          <w:highlight w:val="none"/>
          <w:u w:val="none"/>
        </w:rPr>
      </w:pPr>
      <w:r>
        <w:rPr>
          <w:rFonts w:ascii="Times New Roman" w:hAnsi="Times New Roman"/>
          <w:color w:val="auto"/>
          <w:sz w:val="32"/>
          <w:szCs w:val="32"/>
          <w:highlight w:val="none"/>
          <w:u w:val="none"/>
        </w:rPr>
        <w:t>　　</w:t>
      </w:r>
      <w:r>
        <w:rPr>
          <w:rFonts w:ascii="Times New Roman" w:hAnsi="Times New Roman" w:eastAsia="仿宋"/>
          <w:color w:val="auto"/>
          <w:sz w:val="32"/>
          <w:szCs w:val="32"/>
          <w:highlight w:val="none"/>
          <w:u w:val="none"/>
        </w:rPr>
        <w:t>第二条　</w:t>
      </w:r>
      <w:r>
        <w:rPr>
          <w:rFonts w:hint="eastAsia" w:ascii="Times New Roman" w:hAnsi="Times New Roman" w:eastAsia="仿宋"/>
          <w:color w:val="auto"/>
          <w:sz w:val="32"/>
          <w:szCs w:val="32"/>
          <w:highlight w:val="none"/>
          <w:u w:val="none"/>
        </w:rPr>
        <w:t>本办法适用于广州市天河区建设工程项目代建局（以下简称“区代建局”）所管理的区指定的本级财政投资建设项目和市委托的辖区内公共建筑项目及城市道路（含桥梁、隧道）、排水设施（含城市防洪、污水处理）及其附属设施等市政设施建设项目（含新建及大中修和加固、改扩建工程）。行业主管部门或市级主管部门另有规定的从其规定。</w:t>
      </w:r>
    </w:p>
    <w:p>
      <w:pPr>
        <w:spacing w:line="600" w:lineRule="exact"/>
        <w:ind w:firstLine="640"/>
        <w:jc w:val="left"/>
        <w:rPr>
          <w:rFonts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第三条　</w:t>
      </w:r>
      <w:r>
        <w:rPr>
          <w:rFonts w:hint="eastAsia" w:ascii="Times New Roman" w:hAnsi="Times New Roman" w:eastAsia="仿宋"/>
          <w:color w:val="auto"/>
          <w:sz w:val="32"/>
          <w:szCs w:val="32"/>
          <w:highlight w:val="none"/>
          <w:u w:val="none"/>
        </w:rPr>
        <w:t>任何单位和个人不得随意更改施工图。由于项目建设要求、条件的改变或施工实际需要变更原设计，应严格按本办法规定执行。</w:t>
      </w:r>
    </w:p>
    <w:p>
      <w:pPr>
        <w:spacing w:line="600" w:lineRule="exact"/>
        <w:ind w:firstLine="640"/>
        <w:jc w:val="left"/>
        <w:rPr>
          <w:rFonts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第四条　</w:t>
      </w:r>
      <w:r>
        <w:rPr>
          <w:rFonts w:hint="eastAsia" w:ascii="Times New Roman" w:hAnsi="Times New Roman" w:eastAsia="仿宋"/>
          <w:color w:val="auto"/>
          <w:sz w:val="32"/>
          <w:szCs w:val="32"/>
          <w:highlight w:val="none"/>
          <w:u w:val="none"/>
        </w:rPr>
        <w:t>设计变更</w:t>
      </w:r>
      <w:r>
        <w:rPr>
          <w:rFonts w:hint="eastAsia" w:ascii="Times New Roman" w:hAnsi="Times New Roman" w:eastAsia="仿宋"/>
          <w:color w:val="auto"/>
          <w:sz w:val="32"/>
          <w:szCs w:val="32"/>
          <w:highlight w:val="none"/>
          <w:u w:val="none"/>
          <w:lang w:val="en-US" w:eastAsia="zh-CN"/>
        </w:rPr>
        <w:t>未经审批</w:t>
      </w:r>
      <w:r>
        <w:rPr>
          <w:rFonts w:hint="eastAsia" w:ascii="Times New Roman" w:hAnsi="Times New Roman" w:eastAsia="仿宋"/>
          <w:color w:val="auto"/>
          <w:sz w:val="32"/>
          <w:szCs w:val="32"/>
          <w:highlight w:val="none"/>
          <w:u w:val="none"/>
        </w:rPr>
        <w:t>不能对规划布局、原方案设计构思、建设规模、建筑等级、建筑整体布局、主要技术标准、主要功能体系、主要结构形式进行变更。</w:t>
      </w:r>
      <w:r>
        <w:rPr>
          <w:rFonts w:ascii="Times New Roman" w:hAnsi="Times New Roman" w:eastAsia="仿宋"/>
          <w:color w:val="auto"/>
          <w:sz w:val="32"/>
          <w:szCs w:val="32"/>
          <w:highlight w:val="none"/>
          <w:u w:val="none"/>
        </w:rPr>
        <w:t xml:space="preserve"> </w:t>
      </w:r>
    </w:p>
    <w:p>
      <w:pPr>
        <w:tabs>
          <w:tab w:val="left" w:pos="1980"/>
        </w:tabs>
        <w:spacing w:line="600" w:lineRule="exact"/>
        <w:ind w:firstLine="64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第五条　</w:t>
      </w:r>
      <w:r>
        <w:rPr>
          <w:rFonts w:hint="eastAsia" w:ascii="Times New Roman" w:hAnsi="Times New Roman" w:eastAsia="仿宋"/>
          <w:color w:val="auto"/>
          <w:sz w:val="32"/>
          <w:szCs w:val="32"/>
          <w:highlight w:val="none"/>
          <w:u w:val="none"/>
        </w:rPr>
        <w:t>凡区代建局、设计单位、监理单位、施工单位等参建各方提出的设计变更，</w:t>
      </w:r>
      <w:r>
        <w:rPr>
          <w:rFonts w:hint="eastAsia" w:ascii="Times New Roman" w:hAnsi="Times New Roman" w:eastAsia="仿宋"/>
          <w:color w:val="auto"/>
          <w:sz w:val="32"/>
          <w:szCs w:val="32"/>
          <w:highlight w:val="none"/>
          <w:u w:val="none"/>
          <w:lang w:val="en-US" w:eastAsia="zh-CN"/>
        </w:rPr>
        <w:t>应遵循“先变更、后实施”原则。</w:t>
      </w:r>
      <w:r>
        <w:rPr>
          <w:rFonts w:hint="eastAsia" w:ascii="Times New Roman" w:hAnsi="Times New Roman" w:eastAsia="仿宋"/>
          <w:color w:val="auto"/>
          <w:sz w:val="32"/>
          <w:szCs w:val="32"/>
          <w:highlight w:val="none"/>
          <w:u w:val="none"/>
        </w:rPr>
        <w:t>按本办法审批后，由设计单位发出设计变更通知单，绘制设计变更图纸（必要时报主管部门或行业部门审批）。</w:t>
      </w:r>
    </w:p>
    <w:p>
      <w:pPr>
        <w:spacing w:line="600" w:lineRule="exact"/>
        <w:ind w:firstLine="64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 xml:space="preserve">第六条  </w:t>
      </w:r>
      <w:r>
        <w:rPr>
          <w:rFonts w:hint="eastAsia" w:ascii="Times New Roman" w:hAnsi="Times New Roman" w:eastAsia="仿宋"/>
          <w:color w:val="auto"/>
          <w:sz w:val="32"/>
          <w:szCs w:val="32"/>
          <w:highlight w:val="none"/>
          <w:u w:val="none"/>
        </w:rPr>
        <w:t>未经审批的任何设计变更文件不得下发，更不能用作工程施工和结算的依据。若施工单位擅自接收设计变更文件，由此带来一切责任由相关单位自行承担。</w:t>
      </w:r>
    </w:p>
    <w:p>
      <w:pPr>
        <w:spacing w:line="600" w:lineRule="exact"/>
        <w:ind w:firstLine="64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第七条  设计变更实施动态管理，参建各方应及时准确提出设计变更。施工单位申请进度款时应提交设计变更台账表（附件一），设计变更作为项目管理重要内容，纳入区代建局项目负责人评优评先、绩效考核评估参考指标，以及参建各方合同履约与诚信评价。</w:t>
      </w:r>
    </w:p>
    <w:p>
      <w:pPr>
        <w:pStyle w:val="13"/>
        <w:ind w:firstLine="640" w:firstLineChars="200"/>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lang w:val="en-US" w:eastAsia="zh-CN"/>
        </w:rPr>
        <w:t>八</w:t>
      </w:r>
      <w:r>
        <w:rPr>
          <w:rFonts w:hint="eastAsia" w:ascii="Times New Roman" w:hAnsi="Times New Roman" w:eastAsia="仿宋"/>
          <w:color w:val="auto"/>
          <w:sz w:val="32"/>
          <w:szCs w:val="32"/>
          <w:highlight w:val="none"/>
          <w:u w:val="none"/>
        </w:rPr>
        <w:t>条</w:t>
      </w:r>
      <w:r>
        <w:rPr>
          <w:rFonts w:hint="eastAsia" w:ascii="Times New Roman" w:hAnsi="Times New Roman" w:eastAsia="仿宋"/>
          <w:color w:val="auto"/>
          <w:sz w:val="32"/>
          <w:szCs w:val="32"/>
          <w:highlight w:val="none"/>
          <w:u w:val="none"/>
          <w:lang w:val="en-US" w:eastAsia="zh-CN"/>
        </w:rPr>
        <w:t xml:space="preserve"> </w:t>
      </w:r>
      <w:r>
        <w:rPr>
          <w:rFonts w:hint="eastAsia" w:ascii="仿宋_GB2312" w:hAnsi="仿宋_GB2312" w:eastAsia="仿宋_GB2312" w:cs="仿宋_GB2312"/>
          <w:color w:val="auto"/>
          <w:kern w:val="2"/>
          <w:sz w:val="32"/>
          <w:szCs w:val="32"/>
          <w:highlight w:val="none"/>
          <w:lang w:val="en-US" w:eastAsia="zh-CN" w:bidi="ar-SA"/>
        </w:rPr>
        <w:t>区代建局责任部门负责组织设计变更报批及管理工作，项目进入施工阶段前由前期管理部门负责，施工阶段由工程管理部门（指工程一科或二科，下同）负责，设计变更应《变更联系单》（附件四）通知设计单位，设计单位依据联系单进行变更设计，出具完整变更图纸等资料</w:t>
      </w:r>
      <w:r>
        <w:rPr>
          <w:rFonts w:hint="eastAsia" w:ascii="仿宋_GB2312" w:hAnsi="仿宋_GB2312" w:eastAsia="仿宋_GB2312" w:cs="仿宋_GB2312"/>
          <w:strike w:val="0"/>
          <w:dstrike w:val="0"/>
          <w:color w:val="auto"/>
          <w:kern w:val="2"/>
          <w:sz w:val="32"/>
          <w:szCs w:val="32"/>
          <w:highlight w:val="none"/>
          <w:lang w:val="en-US" w:eastAsia="zh-CN" w:bidi="ar-SA"/>
        </w:rPr>
        <w:t>。</w:t>
      </w:r>
      <w:r>
        <w:rPr>
          <w:rFonts w:hint="eastAsia" w:ascii="仿宋_GB2312" w:hAnsi="仿宋_GB2312" w:eastAsia="仿宋_GB2312" w:cs="仿宋_GB2312"/>
          <w:color w:val="auto"/>
          <w:kern w:val="2"/>
          <w:sz w:val="32"/>
          <w:szCs w:val="32"/>
          <w:highlight w:val="none"/>
          <w:lang w:val="en-US" w:eastAsia="zh-CN" w:bidi="ar-SA"/>
        </w:rPr>
        <w:t>项目前后期工作交接时，应将设计变更图纸及情况说明一并移交。</w:t>
      </w:r>
    </w:p>
    <w:p>
      <w:pPr>
        <w:spacing w:line="600" w:lineRule="exact"/>
        <w:ind w:firstLine="640"/>
        <w:jc w:val="left"/>
        <w:rPr>
          <w:rFonts w:ascii="Times New Roman" w:hAnsi="Times New Roman" w:eastAsia="仿宋"/>
          <w:color w:val="auto"/>
          <w:sz w:val="32"/>
          <w:szCs w:val="32"/>
          <w:highlight w:val="none"/>
          <w:u w:val="none"/>
        </w:rPr>
      </w:pPr>
    </w:p>
    <w:p>
      <w:pPr>
        <w:spacing w:line="600" w:lineRule="exact"/>
        <w:jc w:val="center"/>
        <w:rPr>
          <w:rFonts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第二章　</w:t>
      </w:r>
      <w:r>
        <w:rPr>
          <w:rFonts w:hint="eastAsia" w:ascii="Times New Roman" w:hAnsi="Times New Roman" w:eastAsia="黑体"/>
          <w:color w:val="auto"/>
          <w:sz w:val="32"/>
          <w:szCs w:val="32"/>
          <w:highlight w:val="none"/>
          <w:u w:val="none"/>
        </w:rPr>
        <w:t>设计变更定义</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九</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设计变更的相关定义</w:t>
      </w:r>
    </w:p>
    <w:p>
      <w:pPr>
        <w:spacing w:line="600" w:lineRule="exact"/>
        <w:ind w:firstLine="64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（一）设计变更指设计单位对已经审定的施工图纸和设计文件中所表达的设计内容（包括功能、规模、设备、材料等）、设计标准及技术标准的修改，以及对施工图设计缺漏的完善和设计内容增补或减少。</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在施工招标时，招标图纸所包含但招标清单中未开列的项目的设计内容引起的工程</w:t>
      </w:r>
      <w:r>
        <w:rPr>
          <w:rFonts w:hint="eastAsia" w:ascii="Times New Roman" w:hAnsi="Times New Roman" w:eastAsia="仿宋"/>
          <w:color w:val="auto"/>
          <w:sz w:val="32"/>
          <w:szCs w:val="32"/>
          <w:highlight w:val="none"/>
          <w:u w:val="none"/>
          <w:lang w:eastAsia="zh-CN"/>
        </w:rPr>
        <w:t>量变化</w:t>
      </w:r>
      <w:r>
        <w:rPr>
          <w:rFonts w:hint="eastAsia" w:ascii="Times New Roman" w:hAnsi="Times New Roman" w:eastAsia="仿宋"/>
          <w:color w:val="auto"/>
          <w:sz w:val="32"/>
          <w:szCs w:val="32"/>
          <w:highlight w:val="none"/>
          <w:u w:val="none"/>
        </w:rPr>
        <w:t>，不属于设计变更的范围，由相关参建单位提出处理意见后报区代建局审批。</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（二）施工图是指设计单位提交的经施工图审查单位审查</w:t>
      </w:r>
      <w:r>
        <w:rPr>
          <w:rFonts w:hint="eastAsia" w:ascii="Times New Roman" w:hAnsi="Times New Roman" w:eastAsia="仿宋"/>
          <w:color w:val="auto"/>
          <w:sz w:val="32"/>
          <w:szCs w:val="32"/>
          <w:highlight w:val="none"/>
          <w:u w:val="none"/>
          <w:lang w:eastAsia="zh-CN"/>
        </w:rPr>
        <w:t>合格</w:t>
      </w:r>
      <w:r>
        <w:rPr>
          <w:rFonts w:hint="eastAsia" w:ascii="Times New Roman" w:hAnsi="Times New Roman" w:eastAsia="仿宋"/>
          <w:color w:val="auto"/>
          <w:sz w:val="32"/>
          <w:szCs w:val="32"/>
          <w:highlight w:val="none"/>
          <w:u w:val="none"/>
        </w:rPr>
        <w:t>通过，并经区代建局确认，同时加盖设计单位出图章、专业注册师章、施工图审查单位审查专用章、区代建局公章（图纸专用章）的施工图设计阶段的设计图纸。</w:t>
      </w:r>
    </w:p>
    <w:p>
      <w:pPr>
        <w:spacing w:line="600" w:lineRule="exact"/>
        <w:ind w:firstLine="640" w:firstLineChars="20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（三）设计变更包。当一个专业的设计变更引起其它专业设计</w:t>
      </w:r>
      <w:r>
        <w:rPr>
          <w:rFonts w:hint="eastAsia" w:ascii="Times New Roman" w:hAnsi="Times New Roman" w:eastAsia="仿宋"/>
          <w:color w:val="auto"/>
          <w:sz w:val="32"/>
          <w:szCs w:val="32"/>
          <w:highlight w:val="none"/>
          <w:u w:val="none"/>
          <w:lang w:eastAsia="zh-CN"/>
        </w:rPr>
        <w:t>须</w:t>
      </w:r>
      <w:r>
        <w:rPr>
          <w:rFonts w:hint="eastAsia" w:ascii="Times New Roman" w:hAnsi="Times New Roman" w:eastAsia="仿宋"/>
          <w:color w:val="auto"/>
          <w:sz w:val="32"/>
          <w:szCs w:val="32"/>
          <w:highlight w:val="none"/>
          <w:u w:val="none"/>
        </w:rPr>
        <w:t>修改时，所牵连的专业应同时完成相关的设计变更，并同时呈送审批。以上所有专业的设计变更合称为一个设计变更包。</w:t>
      </w:r>
    </w:p>
    <w:p>
      <w:pPr>
        <w:spacing w:line="600" w:lineRule="exact"/>
        <w:ind w:firstLine="640" w:firstLineChars="200"/>
        <w:jc w:val="left"/>
        <w:rPr>
          <w:rFonts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十</w:t>
      </w:r>
      <w:r>
        <w:rPr>
          <w:rFonts w:ascii="Times New Roman" w:hAnsi="Times New Roman" w:eastAsia="仿宋"/>
          <w:color w:val="auto"/>
          <w:sz w:val="32"/>
          <w:szCs w:val="32"/>
          <w:highlight w:val="none"/>
          <w:u w:val="none"/>
        </w:rPr>
        <w:t xml:space="preserve">条  </w:t>
      </w:r>
      <w:r>
        <w:rPr>
          <w:rFonts w:hint="eastAsia" w:ascii="Times New Roman" w:hAnsi="Times New Roman" w:eastAsia="仿宋"/>
          <w:color w:val="auto"/>
          <w:sz w:val="32"/>
          <w:szCs w:val="32"/>
          <w:highlight w:val="none"/>
          <w:u w:val="none"/>
        </w:rPr>
        <w:t>设计变更的增减预算</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（一）</w:t>
      </w:r>
      <w:r>
        <w:rPr>
          <w:rFonts w:hint="eastAsia" w:ascii="Times New Roman" w:hAnsi="Times New Roman" w:eastAsia="仿宋"/>
          <w:color w:val="auto"/>
          <w:sz w:val="32"/>
          <w:szCs w:val="32"/>
          <w:highlight w:val="none"/>
          <w:u w:val="none"/>
        </w:rPr>
        <w:t>设计变更的增减预算按设计变更相关专业改动的增减费用的总和计算。</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（二）</w:t>
      </w:r>
      <w:r>
        <w:rPr>
          <w:rFonts w:hint="eastAsia" w:ascii="Times New Roman" w:hAnsi="Times New Roman" w:eastAsia="仿宋"/>
          <w:color w:val="auto"/>
          <w:sz w:val="32"/>
          <w:szCs w:val="32"/>
          <w:highlight w:val="none"/>
          <w:u w:val="none"/>
        </w:rPr>
        <w:t>设计变更的增减预算编制要求。</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1.</w:t>
      </w:r>
      <w:r>
        <w:rPr>
          <w:rFonts w:hint="eastAsia"/>
          <w:color w:val="auto"/>
          <w:highlight w:val="none"/>
          <w:u w:val="none"/>
        </w:rPr>
        <w:t xml:space="preserve"> </w:t>
      </w:r>
      <w:r>
        <w:rPr>
          <w:rFonts w:hint="eastAsia" w:ascii="Times New Roman" w:hAnsi="Times New Roman" w:eastAsia="仿宋"/>
          <w:color w:val="auto"/>
          <w:sz w:val="32"/>
          <w:szCs w:val="32"/>
          <w:highlight w:val="none"/>
          <w:u w:val="none"/>
        </w:rPr>
        <w:t>相关单位应按国家规范和广州市、天河区相关文件规定编制设计变更的增减预算。</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2.</w:t>
      </w:r>
      <w:r>
        <w:rPr>
          <w:rFonts w:hint="eastAsia"/>
          <w:color w:val="auto"/>
          <w:highlight w:val="none"/>
          <w:u w:val="none"/>
        </w:rPr>
        <w:t xml:space="preserve"> </w:t>
      </w:r>
      <w:r>
        <w:rPr>
          <w:rFonts w:hint="eastAsia" w:ascii="Times New Roman" w:hAnsi="Times New Roman" w:eastAsia="仿宋"/>
          <w:color w:val="auto"/>
          <w:sz w:val="32"/>
          <w:szCs w:val="32"/>
          <w:highlight w:val="none"/>
          <w:u w:val="none"/>
        </w:rPr>
        <w:t>当一个专业的设计变更引起其它专业设计修改时，设计变更的增减预算应算出各个专业设计变更的增减预算之和，即是设计变更包的增减预算。</w:t>
      </w:r>
    </w:p>
    <w:p>
      <w:pPr>
        <w:pStyle w:val="13"/>
        <w:rPr>
          <w:rFonts w:hint="eastAsia"/>
          <w:color w:val="auto"/>
          <w:highlight w:val="none"/>
        </w:rPr>
      </w:pPr>
    </w:p>
    <w:p>
      <w:pPr>
        <w:spacing w:line="600" w:lineRule="exact"/>
        <w:jc w:val="center"/>
        <w:rPr>
          <w:rFonts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第三章　</w:t>
      </w:r>
      <w:r>
        <w:rPr>
          <w:rFonts w:hint="eastAsia" w:ascii="Times New Roman" w:hAnsi="Times New Roman" w:eastAsia="黑体"/>
          <w:color w:val="auto"/>
          <w:sz w:val="32"/>
          <w:szCs w:val="32"/>
          <w:highlight w:val="none"/>
          <w:u w:val="none"/>
        </w:rPr>
        <w:t>设计变更的分类</w:t>
      </w:r>
    </w:p>
    <w:p>
      <w:pPr>
        <w:tabs>
          <w:tab w:val="left" w:pos="540"/>
        </w:tabs>
        <w:spacing w:line="600" w:lineRule="exact"/>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 xml:space="preserve">    第十</w:t>
      </w:r>
      <w:r>
        <w:rPr>
          <w:rFonts w:hint="eastAsia" w:ascii="Times New Roman" w:hAnsi="Times New Roman" w:eastAsia="仿宋"/>
          <w:color w:val="auto"/>
          <w:sz w:val="32"/>
          <w:szCs w:val="32"/>
          <w:highlight w:val="none"/>
          <w:u w:val="none"/>
        </w:rPr>
        <w:t>一</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设计变更的分类依据</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（一）设计变更根据变更内容的重要性、技术的复杂程度、增减预算的额度、对建设工期的影响程度等因素分类。</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（二）当一个专业的设计变更引起其它专业设计修改时，设计变更应以设计变更包的内容（设计变更包的增减预算）为分类依据。</w:t>
      </w:r>
    </w:p>
    <w:p>
      <w:pPr>
        <w:spacing w:line="600" w:lineRule="exact"/>
        <w:ind w:firstLine="640" w:firstLineChars="20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审批前的分类只作为审核、审批参考，最终以设计变更的审批结果为准。</w:t>
      </w:r>
    </w:p>
    <w:p>
      <w:pPr>
        <w:spacing w:line="600" w:lineRule="exact"/>
        <w:ind w:firstLine="64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rPr>
        <w:t>二</w:t>
      </w:r>
      <w:r>
        <w:rPr>
          <w:rFonts w:ascii="Times New Roman" w:hAnsi="Times New Roman" w:eastAsia="仿宋"/>
          <w:color w:val="auto"/>
          <w:sz w:val="32"/>
          <w:szCs w:val="32"/>
          <w:highlight w:val="none"/>
          <w:u w:val="none"/>
        </w:rPr>
        <w:t xml:space="preserve">条  </w:t>
      </w:r>
      <w:r>
        <w:rPr>
          <w:rFonts w:hint="eastAsia" w:ascii="Times New Roman" w:hAnsi="Times New Roman" w:eastAsia="仿宋"/>
          <w:color w:val="auto"/>
          <w:sz w:val="32"/>
          <w:szCs w:val="32"/>
          <w:highlight w:val="none"/>
          <w:u w:val="none"/>
        </w:rPr>
        <w:t>设计变更类别</w:t>
      </w:r>
    </w:p>
    <w:p>
      <w:pPr>
        <w:spacing w:line="600" w:lineRule="exact"/>
        <w:ind w:firstLine="640" w:firstLineChars="200"/>
        <w:jc w:val="left"/>
        <w:rPr>
          <w:rFonts w:hint="eastAsia"/>
          <w:color w:val="auto"/>
          <w:highlight w:val="none"/>
          <w:u w:val="none"/>
        </w:rPr>
      </w:pPr>
      <w:r>
        <w:rPr>
          <w:rFonts w:hint="eastAsia" w:ascii="Times New Roman" w:hAnsi="Times New Roman" w:eastAsia="仿宋"/>
          <w:color w:val="auto"/>
          <w:sz w:val="32"/>
          <w:szCs w:val="32"/>
          <w:highlight w:val="none"/>
          <w:u w:val="none"/>
        </w:rPr>
        <w:t>设计变更从大到小分为Ⅰ类</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Ⅱ类</w:t>
      </w:r>
      <w:r>
        <w:rPr>
          <w:rFonts w:hint="eastAsia" w:ascii="Times New Roman" w:hAnsi="Times New Roman" w:eastAsia="仿宋"/>
          <w:color w:val="auto"/>
          <w:sz w:val="32"/>
          <w:szCs w:val="32"/>
          <w:highlight w:val="none"/>
          <w:u w:val="none"/>
          <w:lang w:eastAsia="zh-CN"/>
        </w:rPr>
        <w:t>、</w:t>
      </w:r>
      <w:r>
        <w:rPr>
          <w:rFonts w:hint="eastAsia" w:ascii="仿宋" w:hAnsi="仿宋" w:eastAsia="仿宋" w:cs="仿宋"/>
          <w:color w:val="auto"/>
          <w:sz w:val="32"/>
          <w:szCs w:val="32"/>
          <w:highlight w:val="none"/>
          <w:u w:val="none"/>
          <w:lang w:eastAsia="zh-CN"/>
        </w:rPr>
        <w:t>Ⅲ</w:t>
      </w:r>
      <w:r>
        <w:rPr>
          <w:rFonts w:hint="eastAsia" w:ascii="仿宋" w:hAnsi="仿宋" w:eastAsia="仿宋" w:cs="仿宋"/>
          <w:color w:val="auto"/>
          <w:sz w:val="32"/>
          <w:szCs w:val="32"/>
          <w:highlight w:val="none"/>
          <w:u w:val="none"/>
          <w:lang w:val="en-US" w:eastAsia="zh-CN"/>
        </w:rPr>
        <w:t>类</w:t>
      </w:r>
      <w:r>
        <w:rPr>
          <w:rFonts w:hint="eastAsia" w:ascii="Times New Roman" w:hAnsi="Times New Roman" w:eastAsia="仿宋"/>
          <w:color w:val="auto"/>
          <w:sz w:val="32"/>
          <w:szCs w:val="32"/>
          <w:highlight w:val="none"/>
          <w:u w:val="none"/>
        </w:rPr>
        <w:t>，凡设计变更按分类条件属于较大一类的，不能归到较小一类。</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（一）Ⅰ类设计变更</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对</w:t>
      </w:r>
      <w:r>
        <w:rPr>
          <w:rFonts w:hint="eastAsia" w:ascii="Times New Roman" w:hAnsi="Times New Roman" w:eastAsia="仿宋"/>
          <w:color w:val="auto"/>
          <w:sz w:val="32"/>
          <w:szCs w:val="32"/>
          <w:highlight w:val="none"/>
          <w:u w:val="none"/>
          <w:lang w:val="en-US" w:eastAsia="zh-CN"/>
        </w:rPr>
        <w:t>涉及</w:t>
      </w:r>
      <w:r>
        <w:rPr>
          <w:rFonts w:hint="eastAsia" w:ascii="Times New Roman" w:hAnsi="Times New Roman" w:eastAsia="仿宋"/>
          <w:color w:val="auto"/>
          <w:sz w:val="32"/>
          <w:szCs w:val="32"/>
          <w:highlight w:val="none"/>
          <w:u w:val="none"/>
        </w:rPr>
        <w:t>工程</w:t>
      </w:r>
      <w:r>
        <w:rPr>
          <w:rFonts w:hint="eastAsia" w:ascii="Times New Roman" w:hAnsi="Times New Roman" w:eastAsia="仿宋"/>
          <w:color w:val="auto"/>
          <w:sz w:val="32"/>
          <w:szCs w:val="32"/>
          <w:highlight w:val="none"/>
          <w:u w:val="none"/>
          <w:lang w:val="en-US" w:eastAsia="zh-CN"/>
        </w:rPr>
        <w:t>规划、人防、消防</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重大技术方案，</w:t>
      </w:r>
      <w:r>
        <w:rPr>
          <w:rFonts w:hint="eastAsia" w:ascii="Times New Roman" w:hAnsi="Times New Roman" w:eastAsia="仿宋"/>
          <w:color w:val="auto"/>
          <w:sz w:val="32"/>
          <w:szCs w:val="32"/>
          <w:highlight w:val="none"/>
          <w:u w:val="none"/>
          <w:lang w:val="en-US" w:eastAsia="zh-CN"/>
        </w:rPr>
        <w:t>以及</w:t>
      </w:r>
      <w:r>
        <w:rPr>
          <w:rFonts w:hint="eastAsia" w:ascii="Times New Roman" w:hAnsi="Times New Roman" w:eastAsia="仿宋"/>
          <w:color w:val="auto"/>
          <w:sz w:val="32"/>
          <w:szCs w:val="32"/>
          <w:highlight w:val="none"/>
          <w:u w:val="none"/>
        </w:rPr>
        <w:t>古树、名木、古树后续资源、大树和历史</w:t>
      </w:r>
      <w:r>
        <w:rPr>
          <w:rFonts w:hint="eastAsia" w:ascii="Times New Roman" w:hAnsi="Times New Roman" w:eastAsia="仿宋"/>
          <w:color w:val="auto"/>
          <w:sz w:val="32"/>
          <w:szCs w:val="32"/>
          <w:highlight w:val="none"/>
          <w:u w:val="none"/>
          <w:lang w:val="en-US" w:eastAsia="zh-CN"/>
        </w:rPr>
        <w:t>建筑、</w:t>
      </w:r>
      <w:r>
        <w:rPr>
          <w:rFonts w:hint="eastAsia" w:ascii="Times New Roman" w:hAnsi="Times New Roman" w:eastAsia="仿宋"/>
          <w:color w:val="auto"/>
          <w:sz w:val="32"/>
          <w:szCs w:val="32"/>
          <w:highlight w:val="none"/>
          <w:u w:val="none"/>
        </w:rPr>
        <w:t>文物保护等进行重大设计变更，或一次性增减单项工程预算满</w:t>
      </w:r>
      <w:r>
        <w:rPr>
          <w:rFonts w:hint="eastAsia" w:ascii="Times New Roman" w:hAnsi="Times New Roman" w:eastAsia="仿宋"/>
          <w:color w:val="auto"/>
          <w:sz w:val="32"/>
          <w:szCs w:val="32"/>
          <w:highlight w:val="none"/>
          <w:u w:val="none"/>
          <w:lang w:val="en-US" w:eastAsia="zh-CN"/>
        </w:rPr>
        <w:t>50</w:t>
      </w:r>
      <w:r>
        <w:rPr>
          <w:rFonts w:hint="eastAsia" w:ascii="Times New Roman" w:hAnsi="Times New Roman" w:eastAsia="仿宋"/>
          <w:color w:val="auto"/>
          <w:sz w:val="32"/>
          <w:szCs w:val="32"/>
          <w:highlight w:val="none"/>
          <w:u w:val="none"/>
        </w:rPr>
        <w:t>万元及以上的变更（或超过施工合同价的10%）。</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（二）Ⅱ类设计变更</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对一般设计原则、次要部位、次要体系进行的变更或不涉及到系统，仅是功能性的调整、代换的变更，</w:t>
      </w:r>
      <w:r>
        <w:rPr>
          <w:rFonts w:hint="eastAsia" w:ascii="Times New Roman" w:hAnsi="Times New Roman" w:eastAsia="仿宋"/>
          <w:color w:val="auto"/>
          <w:sz w:val="32"/>
          <w:szCs w:val="32"/>
          <w:highlight w:val="none"/>
          <w:u w:val="none"/>
          <w:lang w:val="en-US" w:eastAsia="zh-CN"/>
        </w:rPr>
        <w:t>且</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大于等于10</w:t>
      </w:r>
      <w:r>
        <w:rPr>
          <w:rFonts w:hint="eastAsia" w:ascii="Times New Roman" w:hAnsi="Times New Roman" w:eastAsia="仿宋"/>
          <w:color w:val="auto"/>
          <w:sz w:val="32"/>
          <w:szCs w:val="32"/>
          <w:highlight w:val="none"/>
          <w:u w:val="none"/>
        </w:rPr>
        <w:t>万元</w:t>
      </w:r>
      <w:r>
        <w:rPr>
          <w:rFonts w:hint="eastAsia" w:ascii="Times New Roman" w:hAnsi="Times New Roman" w:eastAsia="仿宋"/>
          <w:color w:val="auto"/>
          <w:sz w:val="32"/>
          <w:szCs w:val="32"/>
          <w:highlight w:val="none"/>
          <w:u w:val="none"/>
          <w:lang w:val="en-US" w:eastAsia="zh-CN"/>
        </w:rPr>
        <w:t>小于50万元</w:t>
      </w:r>
      <w:r>
        <w:rPr>
          <w:rFonts w:hint="eastAsia" w:ascii="Times New Roman" w:hAnsi="Times New Roman" w:eastAsia="仿宋"/>
          <w:color w:val="auto"/>
          <w:sz w:val="32"/>
          <w:szCs w:val="32"/>
          <w:highlight w:val="none"/>
          <w:u w:val="none"/>
        </w:rPr>
        <w:t>的变更。</w:t>
      </w:r>
    </w:p>
    <w:p>
      <w:pPr>
        <w:pStyle w:val="13"/>
        <w:numPr>
          <w:ilvl w:val="0"/>
          <w:numId w:val="34"/>
        </w:numPr>
        <w:ind w:firstLine="640" w:firstLineChars="200"/>
        <w:rPr>
          <w:rFonts w:hint="eastAsia" w:ascii="Times New Roman" w:hAnsi="Times New Roman" w:eastAsia="仿宋"/>
          <w:color w:val="auto"/>
          <w:sz w:val="32"/>
          <w:szCs w:val="32"/>
          <w:highlight w:val="none"/>
          <w:u w:val="none"/>
        </w:rPr>
      </w:pPr>
      <w:r>
        <w:rPr>
          <w:rFonts w:hint="eastAsia" w:ascii="仿宋" w:hAnsi="仿宋" w:eastAsia="仿宋" w:cs="仿宋"/>
          <w:color w:val="auto"/>
          <w:sz w:val="32"/>
          <w:szCs w:val="32"/>
          <w:highlight w:val="none"/>
          <w:u w:val="none"/>
          <w:lang w:eastAsia="zh-CN"/>
        </w:rPr>
        <w:t>Ⅲ</w:t>
      </w:r>
      <w:r>
        <w:rPr>
          <w:rFonts w:hint="eastAsia" w:ascii="仿宋" w:hAnsi="仿宋" w:eastAsia="仿宋" w:cs="仿宋"/>
          <w:color w:val="auto"/>
          <w:sz w:val="32"/>
          <w:szCs w:val="32"/>
          <w:highlight w:val="none"/>
          <w:u w:val="none"/>
          <w:lang w:val="en-US" w:eastAsia="zh-CN"/>
        </w:rPr>
        <w:t>类</w:t>
      </w:r>
      <w:r>
        <w:rPr>
          <w:rFonts w:hint="eastAsia" w:ascii="Times New Roman" w:hAnsi="Times New Roman" w:eastAsia="仿宋"/>
          <w:color w:val="auto"/>
          <w:sz w:val="32"/>
          <w:szCs w:val="32"/>
          <w:highlight w:val="none"/>
          <w:u w:val="none"/>
        </w:rPr>
        <w:t>设计变更</w:t>
      </w:r>
    </w:p>
    <w:p>
      <w:pPr>
        <w:rPr>
          <w:rFonts w:hint="default" w:eastAsia="宋体"/>
          <w:color w:val="auto"/>
          <w:highlight w:val="none"/>
          <w:u w:val="none"/>
          <w:lang w:val="en-US" w:eastAsia="zh-CN"/>
        </w:rPr>
      </w:pPr>
      <w:r>
        <w:rPr>
          <w:rFonts w:hint="eastAsia" w:ascii="Times New Roman" w:hAnsi="Times New Roman" w:eastAsia="仿宋"/>
          <w:color w:val="auto"/>
          <w:sz w:val="32"/>
          <w:szCs w:val="32"/>
          <w:highlight w:val="none"/>
          <w:u w:val="none"/>
          <w:lang w:val="en-US" w:eastAsia="zh-CN"/>
        </w:rPr>
        <w:t xml:space="preserve">     </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小于10</w:t>
      </w:r>
      <w:r>
        <w:rPr>
          <w:rFonts w:hint="eastAsia" w:ascii="Times New Roman" w:hAnsi="Times New Roman" w:eastAsia="仿宋"/>
          <w:color w:val="auto"/>
          <w:sz w:val="32"/>
          <w:szCs w:val="32"/>
          <w:highlight w:val="none"/>
          <w:u w:val="none"/>
        </w:rPr>
        <w:t>万元</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lang w:val="en-US" w:eastAsia="zh-CN"/>
        </w:rPr>
        <w:t xml:space="preserve"> 不在</w:t>
      </w:r>
      <w:r>
        <w:rPr>
          <w:rFonts w:hint="eastAsia" w:ascii="Times New Roman" w:hAnsi="Times New Roman" w:eastAsia="仿宋"/>
          <w:color w:val="auto"/>
          <w:sz w:val="32"/>
          <w:szCs w:val="32"/>
          <w:highlight w:val="none"/>
          <w:u w:val="none"/>
        </w:rPr>
        <w:t>Ⅰ类</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Ⅱ类</w:t>
      </w:r>
      <w:r>
        <w:rPr>
          <w:rFonts w:hint="eastAsia" w:ascii="Times New Roman" w:hAnsi="Times New Roman" w:eastAsia="仿宋"/>
          <w:color w:val="auto"/>
          <w:sz w:val="32"/>
          <w:szCs w:val="32"/>
          <w:highlight w:val="none"/>
          <w:u w:val="none"/>
          <w:lang w:val="en-US" w:eastAsia="zh-CN"/>
        </w:rPr>
        <w:t>设计变更范围内的其余设计变更。</w:t>
      </w:r>
    </w:p>
    <w:p>
      <w:pPr>
        <w:spacing w:line="600" w:lineRule="exact"/>
        <w:jc w:val="center"/>
        <w:rPr>
          <w:rFonts w:hint="eastAsia" w:ascii="Times New Roman" w:hAnsi="Times New Roman" w:eastAsia="黑体"/>
          <w:color w:val="auto"/>
          <w:sz w:val="32"/>
          <w:szCs w:val="32"/>
          <w:highlight w:val="none"/>
          <w:u w:val="none"/>
        </w:rPr>
      </w:pPr>
    </w:p>
    <w:p>
      <w:pPr>
        <w:spacing w:line="600" w:lineRule="exact"/>
        <w:jc w:val="center"/>
        <w:rPr>
          <w:rFonts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第四章　</w:t>
      </w:r>
      <w:r>
        <w:rPr>
          <w:rFonts w:hint="eastAsia" w:ascii="Times New Roman" w:hAnsi="Times New Roman" w:eastAsia="黑体"/>
          <w:color w:val="auto"/>
          <w:sz w:val="32"/>
          <w:szCs w:val="32"/>
          <w:highlight w:val="none"/>
          <w:u w:val="none"/>
        </w:rPr>
        <w:t>设计变更程序</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设计变更程序包括设计变更的申请、设计变更的审批和设计变更的实施。</w:t>
      </w:r>
    </w:p>
    <w:p>
      <w:pPr>
        <w:spacing w:line="600" w:lineRule="exact"/>
        <w:ind w:firstLine="64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 xml:space="preserve"> 第十</w:t>
      </w:r>
      <w:r>
        <w:rPr>
          <w:rFonts w:hint="eastAsia" w:ascii="Times New Roman" w:hAnsi="Times New Roman" w:eastAsia="仿宋"/>
          <w:color w:val="auto"/>
          <w:sz w:val="32"/>
          <w:szCs w:val="32"/>
          <w:highlight w:val="none"/>
          <w:u w:val="none"/>
        </w:rPr>
        <w:t>三</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设计变更的申请</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（一）项目进入施工阶段之前</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1.</w:t>
      </w:r>
      <w:r>
        <w:rPr>
          <w:rFonts w:hint="eastAsia" w:ascii="Times New Roman" w:hAnsi="Times New Roman" w:eastAsia="仿宋"/>
          <w:strike w:val="0"/>
          <w:dstrike w:val="0"/>
          <w:color w:val="auto"/>
          <w:sz w:val="32"/>
          <w:szCs w:val="32"/>
          <w:highlight w:val="none"/>
          <w:u w:val="none"/>
          <w:lang w:val="en-US" w:eastAsia="zh-CN"/>
        </w:rPr>
        <w:t>项目进入施工阶段前的设计变更</w:t>
      </w:r>
      <w:r>
        <w:rPr>
          <w:rFonts w:hint="eastAsia" w:ascii="Times New Roman" w:hAnsi="Times New Roman" w:eastAsia="仿宋"/>
          <w:color w:val="auto"/>
          <w:sz w:val="32"/>
          <w:szCs w:val="32"/>
          <w:highlight w:val="none"/>
          <w:u w:val="none"/>
        </w:rPr>
        <w:t>，由代建局设计管理部门组织填写《设计变更审批表》（附件二）并按程序组织审批。</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2.设计单位出于修正错误、完善图纸等原因自发的设计变更,由设计单位填写《设计变更审批表》，附《设计变更通知单》（附件四），一次性备齐变更设计图纸及相关支持性资料报代建局设计管理部门按程序审批。</w:t>
      </w:r>
    </w:p>
    <w:p>
      <w:pPr>
        <w:spacing w:line="600" w:lineRule="exact"/>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（二）项目进入施工阶段后</w:t>
      </w:r>
    </w:p>
    <w:p>
      <w:pPr>
        <w:spacing w:line="600" w:lineRule="exact"/>
        <w:ind w:firstLine="640" w:firstLineChars="20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1.施工阶段工程设计变更，均由工程管理部门组织填写《设计变更审批表》，按程序组织审批。</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2.在施工过程中牵涉到设备、材料和技术参数的改变，应按设计变更程序组织审批。</w:t>
      </w:r>
    </w:p>
    <w:p>
      <w:pPr>
        <w:pStyle w:val="13"/>
        <w:rPr>
          <w:rFonts w:hint="default" w:eastAsia="仿宋"/>
          <w:color w:val="auto"/>
          <w:highlight w:val="none"/>
          <w:u w:val="none"/>
          <w:lang w:val="en-US" w:eastAsia="zh-CN"/>
        </w:rPr>
      </w:pPr>
      <w:r>
        <w:rPr>
          <w:rFonts w:hint="eastAsia" w:ascii="Times New Roman" w:hAnsi="Times New Roman" w:eastAsia="仿宋"/>
          <w:color w:val="auto"/>
          <w:sz w:val="32"/>
          <w:szCs w:val="32"/>
          <w:highlight w:val="none"/>
          <w:u w:val="none"/>
          <w:lang w:val="en-US" w:eastAsia="zh-CN"/>
        </w:rPr>
        <w:t xml:space="preserve">   </w:t>
      </w:r>
    </w:p>
    <w:p>
      <w:pPr>
        <w:numPr>
          <w:ilvl w:val="0"/>
          <w:numId w:val="35"/>
        </w:numPr>
        <w:spacing w:line="600" w:lineRule="exact"/>
        <w:ind w:firstLine="630"/>
        <w:jc w:val="left"/>
        <w:rPr>
          <w:rFonts w:hint="eastAsia" w:ascii="Times New Roman" w:hAnsi="Times New Roman" w:eastAsia="仿宋"/>
          <w:color w:val="auto"/>
          <w:sz w:val="32"/>
          <w:szCs w:val="32"/>
          <w:highlight w:val="none"/>
          <w:u w:val="none"/>
          <w:lang w:val="en-US" w:eastAsia="zh-CN"/>
        </w:rPr>
      </w:pPr>
      <w:r>
        <w:rPr>
          <w:rFonts w:hint="eastAsia" w:ascii="Times New Roman" w:hAnsi="Times New Roman" w:eastAsia="仿宋"/>
          <w:color w:val="auto"/>
          <w:sz w:val="32"/>
          <w:szCs w:val="32"/>
          <w:highlight w:val="none"/>
          <w:u w:val="none"/>
        </w:rPr>
        <w:t>设计变更的审批</w:t>
      </w:r>
      <w:r>
        <w:rPr>
          <w:rFonts w:hint="eastAsia" w:ascii="Times New Roman" w:hAnsi="Times New Roman" w:eastAsia="仿宋"/>
          <w:color w:val="auto"/>
          <w:sz w:val="32"/>
          <w:szCs w:val="32"/>
          <w:highlight w:val="none"/>
          <w:u w:val="none"/>
          <w:lang w:val="en-US" w:eastAsia="zh-CN"/>
        </w:rPr>
        <w:t>程序</w:t>
      </w:r>
    </w:p>
    <w:p>
      <w:pPr>
        <w:spacing w:line="600" w:lineRule="exact"/>
        <w:ind w:firstLine="640" w:firstLineChars="200"/>
        <w:jc w:val="left"/>
        <w:rPr>
          <w:rFonts w:hint="eastAsia"/>
          <w:color w:val="auto"/>
          <w:highlight w:val="none"/>
          <w:lang w:val="en-US" w:eastAsia="zh-CN"/>
        </w:rPr>
      </w:pPr>
      <w:r>
        <w:rPr>
          <w:rFonts w:hint="eastAsia" w:ascii="Times New Roman" w:hAnsi="Times New Roman" w:eastAsia="仿宋" w:cs="Times New Roman"/>
          <w:color w:val="auto"/>
          <w:kern w:val="2"/>
          <w:sz w:val="32"/>
          <w:szCs w:val="32"/>
          <w:highlight w:val="none"/>
          <w:u w:val="none"/>
          <w:lang w:val="en-US" w:eastAsia="zh-CN" w:bidi="ar-SA"/>
        </w:rPr>
        <w:t>（一）</w:t>
      </w:r>
      <w:r>
        <w:rPr>
          <w:rFonts w:hint="eastAsia" w:ascii="Times New Roman" w:hAnsi="Times New Roman" w:eastAsia="仿宋"/>
          <w:color w:val="auto"/>
          <w:sz w:val="32"/>
          <w:szCs w:val="32"/>
          <w:highlight w:val="none"/>
          <w:u w:val="none"/>
        </w:rPr>
        <w:t>设计变更的增减预算由施工单位就设计变更的内容按照施工合同和施工招标文件规定编制，并由监理单位加注详细意见后，作为设计变更审批的参考资料。尚未确定施工和监理单位的，设计变更的增减预算由设计单位编制。</w:t>
      </w:r>
    </w:p>
    <w:p>
      <w:pPr>
        <w:pStyle w:val="13"/>
        <w:ind w:firstLine="640" w:firstLineChars="200"/>
        <w:rPr>
          <w:rFonts w:hint="eastAsia" w:ascii="Times New Roman" w:hAnsi="Times New Roman" w:eastAsia="仿宋"/>
          <w:color w:val="auto"/>
          <w:sz w:val="32"/>
          <w:szCs w:val="32"/>
          <w:highlight w:val="none"/>
          <w:u w:val="none"/>
          <w:lang w:val="en-US" w:eastAsia="zh-CN"/>
        </w:rPr>
      </w:pPr>
      <w:r>
        <w:rPr>
          <w:rFonts w:hint="eastAsia" w:ascii="Times New Roman" w:hAnsi="Times New Roman" w:eastAsia="仿宋" w:cs="Times New Roman"/>
          <w:color w:val="auto"/>
          <w:kern w:val="2"/>
          <w:sz w:val="32"/>
          <w:szCs w:val="32"/>
          <w:highlight w:val="none"/>
          <w:u w:val="none"/>
          <w:lang w:val="en-US" w:eastAsia="zh-CN" w:bidi="ar-SA"/>
        </w:rPr>
        <w:t>（二）</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大于等于</w:t>
      </w:r>
      <w:r>
        <w:rPr>
          <w:rFonts w:hint="eastAsia" w:ascii="Times New Roman" w:hAnsi="Times New Roman" w:eastAsia="仿宋"/>
          <w:color w:val="auto"/>
          <w:sz w:val="32"/>
          <w:szCs w:val="32"/>
          <w:highlight w:val="none"/>
          <w:u w:val="none"/>
        </w:rPr>
        <w:t>50万元</w:t>
      </w:r>
      <w:r>
        <w:rPr>
          <w:rFonts w:hint="eastAsia" w:ascii="Times New Roman" w:hAnsi="Times New Roman" w:eastAsia="仿宋"/>
          <w:color w:val="auto"/>
          <w:sz w:val="32"/>
          <w:szCs w:val="32"/>
          <w:highlight w:val="none"/>
          <w:u w:val="none"/>
          <w:lang w:val="en-US" w:eastAsia="zh-CN"/>
        </w:rPr>
        <w:t>小于100万元</w:t>
      </w:r>
      <w:r>
        <w:rPr>
          <w:rFonts w:hint="eastAsia" w:ascii="Times New Roman" w:hAnsi="Times New Roman" w:eastAsia="仿宋"/>
          <w:color w:val="auto"/>
          <w:sz w:val="32"/>
          <w:szCs w:val="32"/>
          <w:highlight w:val="none"/>
          <w:u w:val="none"/>
        </w:rPr>
        <w:t>的</w:t>
      </w:r>
      <w:r>
        <w:rPr>
          <w:rFonts w:hint="eastAsia" w:ascii="Times New Roman" w:hAnsi="Times New Roman" w:eastAsia="仿宋"/>
          <w:color w:val="auto"/>
          <w:sz w:val="32"/>
          <w:szCs w:val="32"/>
          <w:highlight w:val="none"/>
          <w:u w:val="none"/>
          <w:lang w:val="en-US" w:eastAsia="zh-CN"/>
        </w:rPr>
        <w:t>设计变更</w:t>
      </w:r>
      <w:r>
        <w:rPr>
          <w:rFonts w:hint="eastAsia" w:ascii="Times New Roman" w:hAnsi="Times New Roman" w:eastAsia="仿宋"/>
          <w:color w:val="auto"/>
          <w:sz w:val="32"/>
          <w:szCs w:val="32"/>
          <w:highlight w:val="none"/>
          <w:u w:val="none"/>
        </w:rPr>
        <w:t>，</w:t>
      </w:r>
      <w:r>
        <w:rPr>
          <w:rFonts w:hint="eastAsia" w:ascii="Times New Roman" w:hAnsi="Times New Roman" w:eastAsia="仿宋"/>
          <w:color w:val="auto"/>
          <w:sz w:val="32"/>
          <w:szCs w:val="32"/>
          <w:highlight w:val="none"/>
          <w:u w:val="none"/>
          <w:lang w:val="en-US" w:eastAsia="zh-CN"/>
        </w:rPr>
        <w:t>报局务会研究审定</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lang w:val="en-US" w:eastAsia="zh-CN"/>
        </w:rPr>
        <w:t>形成会议纪要；</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大于等于100万元</w:t>
      </w:r>
      <w:r>
        <w:rPr>
          <w:rFonts w:hint="eastAsia" w:ascii="Times New Roman" w:hAnsi="Times New Roman" w:eastAsia="仿宋"/>
          <w:color w:val="auto"/>
          <w:sz w:val="32"/>
          <w:szCs w:val="32"/>
          <w:highlight w:val="none"/>
          <w:u w:val="none"/>
        </w:rPr>
        <w:t>的</w:t>
      </w:r>
      <w:r>
        <w:rPr>
          <w:rFonts w:hint="eastAsia" w:ascii="Times New Roman" w:hAnsi="Times New Roman" w:eastAsia="仿宋"/>
          <w:color w:val="auto"/>
          <w:sz w:val="32"/>
          <w:szCs w:val="32"/>
          <w:highlight w:val="none"/>
          <w:u w:val="none"/>
          <w:lang w:val="en-US" w:eastAsia="zh-CN"/>
        </w:rPr>
        <w:t>设计变更</w:t>
      </w:r>
      <w:r>
        <w:rPr>
          <w:rFonts w:hint="eastAsia" w:ascii="Times New Roman" w:hAnsi="Times New Roman" w:eastAsia="仿宋"/>
          <w:color w:val="auto"/>
          <w:sz w:val="32"/>
          <w:szCs w:val="32"/>
          <w:highlight w:val="none"/>
          <w:u w:val="none"/>
        </w:rPr>
        <w:t>，</w:t>
      </w:r>
      <w:r>
        <w:rPr>
          <w:rFonts w:hint="eastAsia" w:ascii="Times New Roman" w:hAnsi="Times New Roman" w:eastAsia="仿宋"/>
          <w:color w:val="auto"/>
          <w:sz w:val="32"/>
          <w:szCs w:val="32"/>
          <w:highlight w:val="none"/>
          <w:u w:val="none"/>
          <w:lang w:val="en-US" w:eastAsia="zh-CN"/>
        </w:rPr>
        <w:t>报党组会研究审定，形成会议纪要。</w:t>
      </w:r>
    </w:p>
    <w:p>
      <w:pPr>
        <w:ind w:firstLine="640" w:firstLineChars="200"/>
        <w:rPr>
          <w:rFonts w:hint="eastAsia"/>
          <w:color w:val="auto"/>
          <w:highlight w:val="none"/>
          <w:lang w:val="en-US" w:eastAsia="zh-CN"/>
        </w:rPr>
      </w:pPr>
      <w:r>
        <w:rPr>
          <w:rFonts w:hint="eastAsia" w:ascii="Times New Roman" w:hAnsi="Times New Roman" w:eastAsia="仿宋" w:cs="Times New Roman"/>
          <w:color w:val="auto"/>
          <w:sz w:val="32"/>
          <w:szCs w:val="32"/>
          <w:highlight w:val="none"/>
          <w:u w:val="none"/>
          <w:lang w:val="en-US" w:eastAsia="zh-CN"/>
        </w:rPr>
        <w:t>（三）相关审批流程见附件三。</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lang w:val="en-US" w:eastAsia="zh-CN"/>
        </w:rPr>
        <w:t>（四）</w:t>
      </w:r>
      <w:r>
        <w:rPr>
          <w:rFonts w:hint="eastAsia" w:ascii="Times New Roman" w:hAnsi="Times New Roman" w:eastAsia="仿宋"/>
          <w:color w:val="auto"/>
          <w:sz w:val="32"/>
          <w:szCs w:val="32"/>
          <w:highlight w:val="none"/>
          <w:u w:val="none"/>
        </w:rPr>
        <w:t>一次性增减单项工程预算</w:t>
      </w:r>
      <w:r>
        <w:rPr>
          <w:rFonts w:hint="eastAsia" w:ascii="Times New Roman" w:hAnsi="Times New Roman" w:eastAsia="仿宋"/>
          <w:color w:val="auto"/>
          <w:sz w:val="32"/>
          <w:szCs w:val="32"/>
          <w:highlight w:val="none"/>
          <w:u w:val="none"/>
          <w:lang w:val="en-US" w:eastAsia="zh-CN"/>
        </w:rPr>
        <w:t>大于等于</w:t>
      </w:r>
      <w:r>
        <w:rPr>
          <w:rFonts w:hint="eastAsia" w:ascii="Times New Roman" w:hAnsi="Times New Roman" w:eastAsia="仿宋"/>
          <w:color w:val="auto"/>
          <w:sz w:val="32"/>
          <w:szCs w:val="32"/>
          <w:highlight w:val="none"/>
          <w:u w:val="none"/>
        </w:rPr>
        <w:t>50万元</w:t>
      </w:r>
      <w:r>
        <w:rPr>
          <w:rFonts w:hint="eastAsia" w:ascii="Times New Roman" w:hAnsi="Times New Roman" w:eastAsia="仿宋"/>
          <w:color w:val="auto"/>
          <w:sz w:val="32"/>
          <w:szCs w:val="32"/>
          <w:highlight w:val="none"/>
          <w:u w:val="none"/>
          <w:lang w:val="en-US" w:eastAsia="zh-CN"/>
        </w:rPr>
        <w:t>设计变更，必要时，由技术科组织合理性论证和造价审核，通过合理性论证和造价审核后，由相应管理部门报局党组（局务）会议研究审定；相关论证和审核费用在项目经费中列支。</w:t>
      </w:r>
    </w:p>
    <w:p>
      <w:pPr>
        <w:pStyle w:val="13"/>
        <w:ind w:firstLine="640"/>
        <w:rPr>
          <w:rFonts w:hint="eastAsia" w:ascii="Times New Roman" w:hAnsi="Times New Roman" w:eastAsia="仿宋"/>
          <w:color w:val="auto"/>
          <w:sz w:val="32"/>
          <w:szCs w:val="32"/>
          <w:highlight w:val="none"/>
          <w:u w:val="none"/>
          <w:lang w:val="en-US" w:eastAsia="zh-CN"/>
        </w:rPr>
      </w:pPr>
      <w:r>
        <w:rPr>
          <w:rFonts w:hint="eastAsia" w:ascii="Times New Roman" w:hAnsi="Times New Roman" w:eastAsia="仿宋"/>
          <w:color w:val="auto"/>
          <w:sz w:val="32"/>
          <w:szCs w:val="32"/>
          <w:highlight w:val="none"/>
          <w:u w:val="none"/>
          <w:lang w:val="en-US" w:eastAsia="zh-CN"/>
        </w:rPr>
        <w:t>（六）当设计变更累计金额达到施工合同中暂列金额时，工程管理部门应作预警提级办理，即</w:t>
      </w:r>
      <w:r>
        <w:rPr>
          <w:rFonts w:hint="eastAsia" w:ascii="仿宋" w:hAnsi="仿宋" w:eastAsia="仿宋" w:cs="仿宋"/>
          <w:color w:val="auto"/>
          <w:sz w:val="32"/>
          <w:szCs w:val="32"/>
          <w:highlight w:val="none"/>
          <w:u w:val="none"/>
          <w:lang w:eastAsia="zh-CN"/>
        </w:rPr>
        <w:t>Ⅲ</w:t>
      </w:r>
      <w:r>
        <w:rPr>
          <w:rFonts w:hint="eastAsia" w:ascii="仿宋" w:hAnsi="仿宋" w:eastAsia="仿宋" w:cs="仿宋"/>
          <w:color w:val="auto"/>
          <w:sz w:val="32"/>
          <w:szCs w:val="32"/>
          <w:highlight w:val="none"/>
          <w:u w:val="none"/>
          <w:lang w:val="en-US" w:eastAsia="zh-CN"/>
        </w:rPr>
        <w:t>类</w:t>
      </w:r>
      <w:r>
        <w:rPr>
          <w:rFonts w:hint="eastAsia" w:ascii="Times New Roman" w:hAnsi="Times New Roman" w:eastAsia="仿宋"/>
          <w:color w:val="auto"/>
          <w:sz w:val="32"/>
          <w:szCs w:val="32"/>
          <w:highlight w:val="none"/>
          <w:u w:val="none"/>
        </w:rPr>
        <w:t>设计变更</w:t>
      </w:r>
      <w:r>
        <w:rPr>
          <w:rFonts w:hint="eastAsia" w:ascii="Times New Roman" w:hAnsi="Times New Roman" w:eastAsia="仿宋"/>
          <w:color w:val="auto"/>
          <w:sz w:val="32"/>
          <w:szCs w:val="32"/>
          <w:highlight w:val="none"/>
          <w:u w:val="none"/>
          <w:lang w:val="en-US" w:eastAsia="zh-CN"/>
        </w:rPr>
        <w:t>提级至</w:t>
      </w:r>
      <w:r>
        <w:rPr>
          <w:rFonts w:hint="eastAsia" w:ascii="Times New Roman" w:hAnsi="Times New Roman" w:eastAsia="仿宋"/>
          <w:color w:val="auto"/>
          <w:sz w:val="32"/>
          <w:szCs w:val="32"/>
          <w:highlight w:val="none"/>
          <w:u w:val="none"/>
        </w:rPr>
        <w:t>Ⅱ类设计变更</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Ⅱ类设计变更</w:t>
      </w:r>
      <w:r>
        <w:rPr>
          <w:rFonts w:hint="eastAsia" w:ascii="Times New Roman" w:hAnsi="Times New Roman" w:eastAsia="仿宋"/>
          <w:color w:val="auto"/>
          <w:sz w:val="32"/>
          <w:szCs w:val="32"/>
          <w:highlight w:val="none"/>
          <w:u w:val="none"/>
          <w:lang w:val="en-US" w:eastAsia="zh-CN"/>
        </w:rPr>
        <w:t>提级至</w:t>
      </w:r>
      <w:r>
        <w:rPr>
          <w:rFonts w:hint="eastAsia" w:ascii="Times New Roman" w:hAnsi="Times New Roman" w:eastAsia="仿宋"/>
          <w:color w:val="auto"/>
          <w:sz w:val="32"/>
          <w:szCs w:val="32"/>
          <w:highlight w:val="none"/>
          <w:u w:val="none"/>
        </w:rPr>
        <w:t>Ⅰ类设计变更</w:t>
      </w:r>
      <w:r>
        <w:rPr>
          <w:rFonts w:hint="eastAsia" w:ascii="Times New Roman" w:hAnsi="Times New Roman" w:eastAsia="仿宋"/>
          <w:color w:val="auto"/>
          <w:sz w:val="32"/>
          <w:szCs w:val="32"/>
          <w:highlight w:val="none"/>
          <w:u w:val="none"/>
          <w:lang w:val="en-US" w:eastAsia="zh-CN"/>
        </w:rPr>
        <w:t>办理。</w:t>
      </w:r>
    </w:p>
    <w:p>
      <w:pPr>
        <w:spacing w:line="600" w:lineRule="exact"/>
        <w:ind w:firstLine="640" w:firstLineChars="200"/>
        <w:jc w:val="left"/>
        <w:rPr>
          <w:rFonts w:hint="eastAsia" w:ascii="仿宋_GB2312" w:hAnsi="Times New Roman" w:eastAsia="仿宋_GB2312"/>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rPr>
        <w:t>五</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设计变更的实施</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（一）设计变更经程序审批通过后，相关表格、图纸文件由代建局各阶段责任部门归档保存和发放。</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（二）审批成立并完善手续的《设计变更通知单》和图纸是进行现场施工的依据，各参建单位必须依此开展相关工作。</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（三）设计单位和施工单位必须建立设计变更台帐，定期对新下发的设计变更按照合同和招标文件规定编制预算，经监理单位审核后，作为计量支付的依据。</w:t>
      </w:r>
    </w:p>
    <w:p>
      <w:pPr>
        <w:spacing w:line="600" w:lineRule="exact"/>
        <w:jc w:val="center"/>
        <w:rPr>
          <w:rFonts w:ascii="Times New Roman" w:hAnsi="Times New Roman" w:eastAsia="黑体"/>
          <w:color w:val="auto"/>
          <w:sz w:val="32"/>
          <w:szCs w:val="32"/>
          <w:highlight w:val="none"/>
          <w:u w:val="none"/>
        </w:rPr>
      </w:pPr>
    </w:p>
    <w:p>
      <w:pPr>
        <w:spacing w:line="600" w:lineRule="exact"/>
        <w:jc w:val="center"/>
        <w:rPr>
          <w:rFonts w:hint="eastAsia"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w:t>
      </w:r>
      <w:r>
        <w:rPr>
          <w:rFonts w:hint="eastAsia" w:ascii="Times New Roman" w:hAnsi="Times New Roman" w:eastAsia="黑体"/>
          <w:color w:val="auto"/>
          <w:sz w:val="32"/>
          <w:szCs w:val="32"/>
          <w:highlight w:val="none"/>
          <w:u w:val="none"/>
        </w:rPr>
        <w:t>五</w:t>
      </w:r>
      <w:r>
        <w:rPr>
          <w:rFonts w:ascii="Times New Roman" w:hAnsi="Times New Roman" w:eastAsia="黑体"/>
          <w:color w:val="auto"/>
          <w:sz w:val="32"/>
          <w:szCs w:val="32"/>
          <w:highlight w:val="none"/>
          <w:u w:val="none"/>
        </w:rPr>
        <w:t>章　</w:t>
      </w:r>
      <w:r>
        <w:rPr>
          <w:rFonts w:hint="eastAsia" w:ascii="Times New Roman" w:hAnsi="Times New Roman" w:eastAsia="黑体"/>
          <w:color w:val="auto"/>
          <w:sz w:val="32"/>
          <w:szCs w:val="32"/>
          <w:highlight w:val="none"/>
          <w:u w:val="none"/>
        </w:rPr>
        <w:t>设计变更各单位或部门的职责</w:t>
      </w:r>
    </w:p>
    <w:p>
      <w:pPr>
        <w:spacing w:line="600" w:lineRule="exact"/>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 xml:space="preserve">    </w:t>
      </w:r>
      <w:r>
        <w:rPr>
          <w:rFonts w:hint="eastAsia" w:ascii="Times New Roman" w:hAnsi="Times New Roman" w:eastAsia="仿宋"/>
          <w:color w:val="auto"/>
          <w:sz w:val="32"/>
          <w:szCs w:val="32"/>
          <w:highlight w:val="none"/>
          <w:u w:val="none"/>
        </w:rPr>
        <w:t>设计变更申请单位和部门应充分考虑审批程序及变更对工期的影响，</w:t>
      </w:r>
      <w:r>
        <w:rPr>
          <w:rFonts w:hint="eastAsia" w:ascii="Times New Roman" w:hAnsi="Times New Roman" w:eastAsia="仿宋"/>
          <w:color w:val="auto"/>
          <w:sz w:val="32"/>
          <w:szCs w:val="32"/>
          <w:highlight w:val="none"/>
          <w:u w:val="none"/>
          <w:lang w:val="en-US" w:eastAsia="zh-CN"/>
        </w:rPr>
        <w:t>应</w:t>
      </w:r>
      <w:r>
        <w:rPr>
          <w:rFonts w:hint="eastAsia" w:ascii="Times New Roman" w:hAnsi="Times New Roman" w:eastAsia="仿宋"/>
          <w:color w:val="auto"/>
          <w:sz w:val="32"/>
          <w:szCs w:val="32"/>
          <w:highlight w:val="none"/>
          <w:u w:val="none"/>
        </w:rPr>
        <w:t>提前申请和报批。各有关单位和部门应结合规划、初步设计和各政府主管部门批文等进行审核，对设计变更的申请和审批认真负责地加具明确详细的处理意见，避免不合理变更的发生。</w:t>
      </w:r>
    </w:p>
    <w:p>
      <w:pPr>
        <w:spacing w:line="600" w:lineRule="exact"/>
        <w:ind w:firstLine="627" w:firstLineChars="196"/>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lang w:val="en-US" w:eastAsia="zh-CN"/>
        </w:rPr>
        <w:t>六</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设计单位的职责</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单位应本着对工程质量、工期、投资等三大控制相结合的原则，对设计过程中的错、漏、碰、优化等问题，及时提出变更申请，对变更理由、内容、对相关专业的影响、可能导致的废弃工程等应全局考虑，加以详细说明，并按照本办法程序报批；</w:t>
      </w:r>
    </w:p>
    <w:p>
      <w:pPr>
        <w:spacing w:line="600" w:lineRule="exact"/>
        <w:ind w:firstLine="640" w:firstLineChars="200"/>
        <w:jc w:val="left"/>
        <w:rPr>
          <w:rFonts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（二）设计单位对其他单位提出的设计变更申请，应本着维护规划及设计构思和控制投资的原则，在不降低使用功能和设计质量的前提下，实事求是地提出详细的审核意见，并在本办法时限内提供草图</w:t>
      </w:r>
      <w:r>
        <w:rPr>
          <w:rFonts w:hint="eastAsia" w:ascii="Times New Roman" w:hAnsi="Times New Roman" w:eastAsia="仿宋"/>
          <w:color w:val="auto"/>
          <w:sz w:val="32"/>
          <w:szCs w:val="32"/>
          <w:highlight w:val="none"/>
          <w:u w:val="none"/>
          <w:lang w:eastAsia="zh-CN"/>
        </w:rPr>
        <w:t>，如对设计图纸进行修正或者涉及结构安全，设计单位需提供签章的草图</w:t>
      </w:r>
      <w:r>
        <w:rPr>
          <w:rFonts w:hint="eastAsia" w:ascii="Times New Roman" w:hAnsi="Times New Roman" w:eastAsia="仿宋"/>
          <w:color w:val="auto"/>
          <w:sz w:val="32"/>
          <w:szCs w:val="32"/>
          <w:highlight w:val="none"/>
          <w:u w:val="none"/>
        </w:rPr>
        <w:t>。</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lang w:val="en-US" w:eastAsia="zh-CN"/>
        </w:rPr>
        <w:t>七</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施工单位的职责。</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（一）项目进入施工阶段，施工单位应在本办法时限内编制预算，复核变更的合理性和可操作性，保证变更贴合现场实际，并签署具体意见。</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施工单位在工程施工过程中，发现现场情况与设计图纸不符合；或为了减少投资，缩短工期，确保质量和安全生产，以更好地推进工程建设，合理提出变更要求，并明确所采取的施工技术措施，经项目经理审查同意后，以正式函件（联系单）向代建局提出，并按本办法报批。</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第十</w:t>
      </w:r>
      <w:r>
        <w:rPr>
          <w:rFonts w:hint="eastAsia" w:ascii="Times New Roman" w:hAnsi="Times New Roman" w:eastAsia="仿宋"/>
          <w:color w:val="auto"/>
          <w:sz w:val="32"/>
          <w:szCs w:val="32"/>
          <w:highlight w:val="none"/>
          <w:u w:val="none"/>
          <w:lang w:val="en-US" w:eastAsia="zh-CN"/>
        </w:rPr>
        <w:t>八</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监理单位的职责</w:t>
      </w:r>
    </w:p>
    <w:p>
      <w:pPr>
        <w:spacing w:line="600" w:lineRule="exact"/>
        <w:ind w:firstLine="630"/>
        <w:jc w:val="left"/>
        <w:rPr>
          <w:rFonts w:hint="default" w:ascii="Times New Roman" w:hAnsi="Times New Roman" w:eastAsia="仿宋"/>
          <w:color w:val="auto"/>
          <w:sz w:val="32"/>
          <w:szCs w:val="32"/>
          <w:highlight w:val="none"/>
          <w:u w:val="none"/>
          <w:lang w:val="en-US" w:eastAsia="zh-CN"/>
        </w:rPr>
      </w:pPr>
      <w:r>
        <w:rPr>
          <w:rFonts w:hint="eastAsia" w:ascii="Times New Roman" w:hAnsi="Times New Roman" w:eastAsia="仿宋"/>
          <w:color w:val="auto"/>
          <w:sz w:val="32"/>
          <w:szCs w:val="32"/>
          <w:highlight w:val="none"/>
          <w:u w:val="none"/>
        </w:rPr>
        <w:t>（一）项目进入施工阶段后设计变更，由工程管理部门组织监理单位收集支持性资料，填写《设计变更审批表》，经其他相关参建单位会签后，按设计变更程序审批。</w:t>
      </w:r>
      <w:r>
        <w:rPr>
          <w:rFonts w:hint="eastAsia" w:ascii="Times New Roman" w:hAnsi="Times New Roman" w:eastAsia="仿宋"/>
          <w:color w:val="auto"/>
          <w:sz w:val="32"/>
          <w:szCs w:val="32"/>
          <w:highlight w:val="none"/>
          <w:u w:val="none"/>
          <w:lang w:val="en-US" w:eastAsia="zh-CN"/>
        </w:rPr>
        <w:t>根据项目的实际情况，原则上，提前一个月发起设计变更流程。</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监理单位在工程施工过程中，发现现场情况与设计图纸不符合，或为了减少投资，缩短工期，确保质量和安全生产，以更好地推进工程建设，根据监理规范，合理提出变更要求，经项目总监审查同意后，以正式函件（联系单）向代建局提出，并按本办法报批；</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（三）监理单位对施工单位提出的设计变更申请，应综合考虑质量、工期、投资等方面的因素，结合施工合同的相关规定，实事求是签署具体意见。</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lang w:val="en-US" w:eastAsia="zh-CN"/>
        </w:rPr>
        <w:t>十九</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区代建局设计管理部门的职责</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代建局设计管理部门负责项目进入施工阶段之前设计变更的组织、审核、归档工作。负责项目进入施工阶段后设计变更的复核，复核时应审核设计变更依据及资料的完整性，对设计变更文件从设计规范要求、规划要求、消防要求、深度要求、是否有变更肢解等方面进行复核，并签署具体意见，对需要由施工图审查单位进行审查的设计变更组织办理审查。</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二十</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区代建局工程管理部门的职责</w:t>
      </w:r>
    </w:p>
    <w:p>
      <w:pPr>
        <w:spacing w:line="600" w:lineRule="exact"/>
        <w:ind w:firstLine="630"/>
        <w:jc w:val="left"/>
        <w:rPr>
          <w:rFonts w:hint="default" w:eastAsia="仿宋"/>
          <w:color w:val="auto"/>
          <w:highlight w:val="none"/>
          <w:lang w:val="en-US" w:eastAsia="zh-CN"/>
        </w:rPr>
      </w:pPr>
      <w:r>
        <w:rPr>
          <w:rFonts w:hint="eastAsia" w:ascii="Times New Roman" w:hAnsi="Times New Roman" w:eastAsia="仿宋"/>
          <w:color w:val="auto"/>
          <w:sz w:val="32"/>
          <w:szCs w:val="32"/>
          <w:highlight w:val="none"/>
          <w:u w:val="none"/>
        </w:rPr>
        <w:t>区代建局工程管理部门负责项目进入施工阶段后设计变更的组织、审核、实施、归档。审核时应审核设计变更依据、原因、类别、造价及资料的完整性和真实性，对设计变更意见和文件从设计技术规范要求、质量要求、深度要求、是否有变更肢解等方面进行技术审查，应对设计变更的工程可实施性和是否符合相关已经签署的施工合同规定，及由此可能引起的工期延误给出明确意见，并对设计变更造成已完成建设内容的废弃办理现场签证。</w:t>
      </w:r>
      <w:r>
        <w:rPr>
          <w:rFonts w:hint="eastAsia" w:ascii="Times New Roman" w:hAnsi="Times New Roman" w:eastAsia="仿宋"/>
          <w:color w:val="auto"/>
          <w:sz w:val="32"/>
          <w:szCs w:val="32"/>
          <w:highlight w:val="none"/>
          <w:u w:val="none"/>
          <w:lang w:val="en-US" w:eastAsia="zh-CN"/>
        </w:rPr>
        <w:t>建立项目投资管理预警机制。</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第二十</w:t>
      </w:r>
      <w:r>
        <w:rPr>
          <w:rFonts w:hint="eastAsia" w:ascii="Times New Roman" w:hAnsi="Times New Roman" w:eastAsia="仿宋"/>
          <w:color w:val="auto"/>
          <w:sz w:val="32"/>
          <w:szCs w:val="32"/>
          <w:highlight w:val="none"/>
          <w:u w:val="none"/>
          <w:lang w:val="en-US" w:eastAsia="zh-CN"/>
        </w:rPr>
        <w:t>一</w:t>
      </w:r>
      <w:r>
        <w:rPr>
          <w:rFonts w:hint="eastAsia" w:ascii="Times New Roman" w:hAnsi="Times New Roman" w:eastAsia="仿宋"/>
          <w:color w:val="auto"/>
          <w:sz w:val="32"/>
          <w:szCs w:val="32"/>
          <w:highlight w:val="none"/>
          <w:u w:val="none"/>
        </w:rPr>
        <w:t>条 区代建局技术科的职责</w:t>
      </w:r>
    </w:p>
    <w:p>
      <w:pPr>
        <w:spacing w:line="600" w:lineRule="exact"/>
        <w:ind w:firstLine="640" w:firstLineChars="200"/>
        <w:rPr>
          <w:rFonts w:hint="eastAsia" w:ascii="Times New Roman" w:hAnsi="Times New Roman" w:eastAsia="黑体"/>
          <w:color w:val="auto"/>
          <w:sz w:val="32"/>
          <w:szCs w:val="32"/>
          <w:highlight w:val="none"/>
          <w:u w:val="none"/>
        </w:rPr>
      </w:pPr>
      <w:r>
        <w:rPr>
          <w:rFonts w:hint="eastAsia" w:ascii="Times New Roman" w:hAnsi="Times New Roman" w:eastAsia="仿宋"/>
          <w:color w:val="auto"/>
          <w:sz w:val="32"/>
          <w:szCs w:val="32"/>
          <w:highlight w:val="none"/>
          <w:u w:val="none"/>
        </w:rPr>
        <w:t>区代建局技术科负责</w:t>
      </w:r>
      <w:r>
        <w:rPr>
          <w:rFonts w:hint="eastAsia" w:ascii="Times New Roman" w:hAnsi="Times New Roman" w:eastAsia="仿宋"/>
          <w:color w:val="auto"/>
          <w:sz w:val="32"/>
          <w:szCs w:val="32"/>
          <w:highlight w:val="none"/>
          <w:u w:val="none"/>
          <w:lang w:val="en-US" w:eastAsia="zh-CN"/>
        </w:rPr>
        <w:t>必要时组织专家论证</w:t>
      </w:r>
      <w:r>
        <w:rPr>
          <w:rFonts w:hint="eastAsia" w:ascii="Times New Roman" w:hAnsi="Times New Roman" w:eastAsia="仿宋"/>
          <w:color w:val="auto"/>
          <w:sz w:val="32"/>
          <w:szCs w:val="32"/>
          <w:highlight w:val="none"/>
          <w:u w:val="none"/>
        </w:rPr>
        <w:t>，包括设计变更主体资格、时效、费用调整等，组织相关专家进行论证。</w:t>
      </w:r>
    </w:p>
    <w:p>
      <w:pPr>
        <w:spacing w:line="600" w:lineRule="exact"/>
        <w:jc w:val="both"/>
        <w:rPr>
          <w:rFonts w:ascii="Times New Roman" w:hAnsi="Times New Roman" w:eastAsia="黑体"/>
          <w:color w:val="auto"/>
          <w:sz w:val="32"/>
          <w:szCs w:val="32"/>
          <w:highlight w:val="none"/>
          <w:u w:val="none"/>
        </w:rPr>
      </w:pPr>
    </w:p>
    <w:p>
      <w:pPr>
        <w:spacing w:line="600" w:lineRule="exact"/>
        <w:jc w:val="center"/>
        <w:rPr>
          <w:rFonts w:hint="eastAsia" w:ascii="Times New Roman" w:hAnsi="Times New Roman" w:eastAsia="黑体"/>
          <w:color w:val="auto"/>
          <w:sz w:val="32"/>
          <w:szCs w:val="32"/>
          <w:highlight w:val="none"/>
          <w:u w:val="none"/>
        </w:rPr>
      </w:pPr>
      <w:r>
        <w:rPr>
          <w:rFonts w:ascii="Times New Roman" w:hAnsi="Times New Roman" w:eastAsia="黑体"/>
          <w:color w:val="auto"/>
          <w:sz w:val="32"/>
          <w:szCs w:val="32"/>
          <w:highlight w:val="none"/>
          <w:u w:val="none"/>
        </w:rPr>
        <w:t>第</w:t>
      </w:r>
      <w:r>
        <w:rPr>
          <w:rFonts w:hint="eastAsia" w:ascii="Times New Roman" w:hAnsi="Times New Roman" w:eastAsia="黑体"/>
          <w:color w:val="auto"/>
          <w:sz w:val="32"/>
          <w:szCs w:val="32"/>
          <w:highlight w:val="none"/>
          <w:u w:val="none"/>
        </w:rPr>
        <w:t>六</w:t>
      </w:r>
      <w:r>
        <w:rPr>
          <w:rFonts w:ascii="Times New Roman" w:hAnsi="Times New Roman" w:eastAsia="黑体"/>
          <w:color w:val="auto"/>
          <w:sz w:val="32"/>
          <w:szCs w:val="32"/>
          <w:highlight w:val="none"/>
          <w:u w:val="none"/>
        </w:rPr>
        <w:t>章　</w:t>
      </w:r>
      <w:r>
        <w:rPr>
          <w:rFonts w:hint="eastAsia" w:ascii="Times New Roman" w:hAnsi="Times New Roman" w:eastAsia="黑体"/>
          <w:color w:val="auto"/>
          <w:sz w:val="32"/>
          <w:szCs w:val="32"/>
          <w:highlight w:val="none"/>
          <w:u w:val="none"/>
        </w:rPr>
        <w:t>设计变更各相关表格的填写说明</w:t>
      </w:r>
    </w:p>
    <w:p>
      <w:pPr>
        <w:spacing w:line="600" w:lineRule="exact"/>
        <w:jc w:val="center"/>
        <w:rPr>
          <w:rFonts w:hint="eastAsia" w:ascii="Times New Roman" w:hAnsi="Times New Roman" w:eastAsia="黑体"/>
          <w:color w:val="auto"/>
          <w:sz w:val="32"/>
          <w:szCs w:val="32"/>
          <w:highlight w:val="none"/>
          <w:u w:val="none"/>
        </w:rPr>
      </w:pPr>
      <w:r>
        <w:rPr>
          <w:rFonts w:hint="eastAsia" w:ascii="Times New Roman" w:hAnsi="Times New Roman" w:eastAsia="黑体"/>
          <w:color w:val="auto"/>
          <w:sz w:val="32"/>
          <w:szCs w:val="32"/>
          <w:highlight w:val="none"/>
          <w:u w:val="none"/>
        </w:rPr>
        <w:t>和相关资料的要求</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二十</w:t>
      </w:r>
      <w:r>
        <w:rPr>
          <w:rFonts w:hint="eastAsia" w:ascii="Times New Roman" w:hAnsi="Times New Roman" w:eastAsia="仿宋"/>
          <w:color w:val="auto"/>
          <w:sz w:val="32"/>
          <w:szCs w:val="32"/>
          <w:highlight w:val="none"/>
          <w:u w:val="none"/>
          <w:lang w:val="en-US" w:eastAsia="zh-CN"/>
        </w:rPr>
        <w:t>二</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设计变更各相关表格、文件的填写和提交要求</w:t>
      </w:r>
      <w:r>
        <w:rPr>
          <w:rFonts w:hint="eastAsia" w:ascii="仿宋_GB2312" w:hAnsi="Times New Roman" w:eastAsia="仿宋_GB2312"/>
          <w:color w:val="auto"/>
          <w:sz w:val="32"/>
          <w:szCs w:val="32"/>
          <w:highlight w:val="none"/>
          <w:u w:val="none"/>
        </w:rPr>
        <w:t>:</w:t>
      </w:r>
    </w:p>
    <w:p>
      <w:pPr>
        <w:spacing w:line="600" w:lineRule="exact"/>
        <w:ind w:firstLine="63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变更审批表》的填写要求及提交份数：《设计变更审批表》由设计变更申请单位或部门填写。《设计变更审批表》表格原件一式一份(本表为打印格式，一表不够时，可以另加附件，附件签名盖章和提交分数要求同《设计变更审批表》一致)，项目负责人签字盖章后，随同一份变更依据文件（如图纸会审记录、会议记录、工作联系单、函件、草图等，可以是复印件）、一份变更预算详细分析文件和其他支持性资料文件按程序呈批。各相关审查单位及部门签署具体意见和会签,并加盖章,作为变更设计的审批依据。经审批后原件由代建局各阶段负责部门的项目负责人存档，复印件可分发代建局各会签科室相应项目负责人。</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设计变更通知单》作为设计变更图的必要部分，当变更的内容可以在《设计变更通知单》中表达清楚时，不需要再提交其他图纸；当变更的内容不能在《设计变更通知单》中表达清楚时，应该附上变更图纸，此时，《设计变更通知单》作为设计变更图的总说明，必须详细说明每张附图及附图对原施工图修改的部位和内容。设计单位设计人填写《设计变更通知单》还应符合国家相关技术规范的要求。《设计变更通知单》应加盖设计单位正式出图章和相关</w:t>
      </w:r>
      <w:r>
        <w:rPr>
          <w:rFonts w:hint="eastAsia" w:ascii="Times New Roman" w:hAnsi="Times New Roman" w:eastAsia="仿宋"/>
          <w:color w:val="auto"/>
          <w:sz w:val="32"/>
          <w:szCs w:val="32"/>
          <w:highlight w:val="none"/>
          <w:u w:val="none"/>
          <w:lang w:eastAsia="zh-CN"/>
        </w:rPr>
        <w:t>专业</w:t>
      </w:r>
      <w:r>
        <w:rPr>
          <w:rFonts w:hint="eastAsia" w:ascii="Times New Roman" w:hAnsi="Times New Roman" w:eastAsia="仿宋"/>
          <w:color w:val="auto"/>
          <w:sz w:val="32"/>
          <w:szCs w:val="32"/>
          <w:highlight w:val="none"/>
          <w:u w:val="none"/>
        </w:rPr>
        <w:t>注册师章。审批后，《设计变更通知单》加盖代建局公章（图纸专用章），按照施工图纸性质分发与归档，份数与施工图纸相同。</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（三）设计变更图纸应满足以下要求：</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1.</w:t>
      </w:r>
      <w:r>
        <w:rPr>
          <w:rFonts w:hint="eastAsia"/>
          <w:color w:val="auto"/>
          <w:highlight w:val="none"/>
          <w:u w:val="none"/>
        </w:rPr>
        <w:t xml:space="preserve"> </w:t>
      </w:r>
      <w:r>
        <w:rPr>
          <w:rFonts w:hint="eastAsia" w:ascii="Times New Roman" w:hAnsi="Times New Roman" w:eastAsia="仿宋"/>
          <w:color w:val="auto"/>
          <w:sz w:val="32"/>
          <w:szCs w:val="32"/>
          <w:highlight w:val="none"/>
          <w:u w:val="none"/>
        </w:rPr>
        <w:t>必须是带图框图签和专业会签栏的各种正式标准版式的白图或蓝图。设计变更图纸的编制必须符合国家相关技术标准的要求。</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2.</w:t>
      </w:r>
      <w:r>
        <w:rPr>
          <w:rFonts w:hint="eastAsia"/>
          <w:color w:val="auto"/>
          <w:highlight w:val="none"/>
          <w:u w:val="none"/>
        </w:rPr>
        <w:t xml:space="preserve"> </w:t>
      </w:r>
      <w:r>
        <w:rPr>
          <w:rFonts w:hint="eastAsia" w:ascii="Times New Roman" w:hAnsi="Times New Roman" w:eastAsia="仿宋"/>
          <w:color w:val="auto"/>
          <w:sz w:val="32"/>
          <w:szCs w:val="32"/>
          <w:highlight w:val="none"/>
          <w:u w:val="none"/>
        </w:rPr>
        <w:t>设计变更图纸必须完成会签，并加盖设计单位正式出图章和相关</w:t>
      </w:r>
      <w:r>
        <w:rPr>
          <w:rFonts w:hint="eastAsia" w:ascii="Times New Roman" w:hAnsi="Times New Roman" w:eastAsia="仿宋"/>
          <w:color w:val="auto"/>
          <w:sz w:val="32"/>
          <w:szCs w:val="32"/>
          <w:highlight w:val="none"/>
          <w:u w:val="none"/>
          <w:lang w:eastAsia="zh-CN"/>
        </w:rPr>
        <w:t>专业</w:t>
      </w:r>
      <w:r>
        <w:rPr>
          <w:rFonts w:hint="eastAsia" w:ascii="Times New Roman" w:hAnsi="Times New Roman" w:eastAsia="仿宋"/>
          <w:color w:val="auto"/>
          <w:sz w:val="32"/>
          <w:szCs w:val="32"/>
          <w:highlight w:val="none"/>
          <w:u w:val="none"/>
        </w:rPr>
        <w:t>注册师章。审批后设计变更图纸按照施工图纸性质分发与归档，份数与施工图纸相同。</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（四）设计变更电子文件提交要求：设计变更通知单和设计变更图纸必须提交电子文件，具体要求与原设计电子文件的提交要求一致。</w:t>
      </w:r>
    </w:p>
    <w:p>
      <w:pPr>
        <w:spacing w:line="600" w:lineRule="exact"/>
        <w:ind w:firstLine="630"/>
        <w:jc w:val="left"/>
        <w:rPr>
          <w:rFonts w:hint="eastAsia" w:ascii="Times New Roman" w:hAnsi="Times New Roman" w:eastAsia="仿宋"/>
          <w:color w:val="auto"/>
          <w:sz w:val="32"/>
          <w:szCs w:val="32"/>
          <w:highlight w:val="none"/>
          <w:u w:val="none"/>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二十</w:t>
      </w:r>
      <w:r>
        <w:rPr>
          <w:rFonts w:hint="eastAsia" w:ascii="Times New Roman" w:hAnsi="Times New Roman" w:eastAsia="仿宋"/>
          <w:color w:val="auto"/>
          <w:sz w:val="32"/>
          <w:szCs w:val="32"/>
          <w:highlight w:val="none"/>
          <w:u w:val="none"/>
          <w:lang w:val="en-US" w:eastAsia="zh-CN"/>
        </w:rPr>
        <w:t>三</w:t>
      </w:r>
      <w:r>
        <w:rPr>
          <w:rFonts w:ascii="Times New Roman" w:hAnsi="Times New Roman" w:eastAsia="仿宋"/>
          <w:color w:val="auto"/>
          <w:sz w:val="32"/>
          <w:szCs w:val="32"/>
          <w:highlight w:val="none"/>
          <w:u w:val="none"/>
        </w:rPr>
        <w:t>条　</w:t>
      </w:r>
      <w:r>
        <w:rPr>
          <w:rFonts w:hint="eastAsia" w:ascii="Times New Roman" w:hAnsi="Times New Roman" w:eastAsia="仿宋"/>
          <w:color w:val="auto"/>
          <w:sz w:val="32"/>
          <w:szCs w:val="32"/>
          <w:highlight w:val="none"/>
          <w:u w:val="none"/>
        </w:rPr>
        <w:t>设计变更的图纸合法性</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（一）设计单位设计变更的文件依据是代建局的书面文件。</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（二）设计变更必须按规定的程序和审批权限进行审批。未按规定程序完成审核审批而自行变更设计和施工的，由该行为主体承担由此引发的一切责任和后果。</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（三）各类设计变更必须由设计单位出《设计变更通知单》,和随同附上的设计变更施工图作为最终确认，并加盖设计</w:t>
      </w:r>
      <w:r>
        <w:rPr>
          <w:rFonts w:hint="eastAsia" w:ascii="Times New Roman" w:hAnsi="Times New Roman" w:eastAsia="仿宋"/>
          <w:color w:val="auto"/>
          <w:sz w:val="32"/>
          <w:szCs w:val="32"/>
          <w:highlight w:val="none"/>
          <w:u w:val="none"/>
          <w:lang w:eastAsia="zh-CN"/>
        </w:rPr>
        <w:t>单位</w:t>
      </w:r>
      <w:r>
        <w:rPr>
          <w:rFonts w:hint="eastAsia" w:ascii="Times New Roman" w:hAnsi="Times New Roman" w:eastAsia="仿宋"/>
          <w:color w:val="auto"/>
          <w:sz w:val="32"/>
          <w:szCs w:val="32"/>
          <w:highlight w:val="none"/>
          <w:u w:val="none"/>
        </w:rPr>
        <w:t>设计出图专用章和相关专业注册师章。</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（四）设计变更经审批后，《设计变更通知单》、设计变更图纸应加盖代建局公章（图纸专用章）后方能发给施工单位，施工单位必须依照审批手续齐备的设计变更文件进行施工。</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（五）凡设计单位签字（包括专业会签）不齐全或未加盖设计单位出图专用章、专业注册师章，或未加盖代建局公章（图纸专用章）的设计变更施工图和《设计变更通知单》，均属无效文件。</w:t>
      </w:r>
    </w:p>
    <w:p>
      <w:pPr>
        <w:spacing w:line="600" w:lineRule="exact"/>
        <w:ind w:firstLine="640" w:firstLineChars="200"/>
        <w:jc w:val="left"/>
        <w:rPr>
          <w:rFonts w:hint="eastAsia" w:ascii="Times New Roman" w:hAnsi="Times New Roman" w:eastAsia="仿宋"/>
          <w:color w:val="auto"/>
          <w:sz w:val="32"/>
          <w:szCs w:val="32"/>
          <w:highlight w:val="none"/>
          <w:u w:val="none"/>
        </w:rPr>
      </w:pPr>
      <w:r>
        <w:rPr>
          <w:rFonts w:hint="eastAsia" w:ascii="Times New Roman" w:hAnsi="Times New Roman" w:eastAsia="仿宋"/>
          <w:color w:val="auto"/>
          <w:sz w:val="32"/>
          <w:szCs w:val="32"/>
          <w:highlight w:val="none"/>
          <w:u w:val="none"/>
        </w:rPr>
        <w:t>（六）设计单位不能在变更申请内容范围以外对施工图进行修改。一经发现，设计单位按设计合同的约定，承担违约责任；给建设方造成损失的，设计单位承担违约责任外，还应按合同约定赔偿建设方损失。</w:t>
      </w:r>
    </w:p>
    <w:p>
      <w:pPr>
        <w:spacing w:line="600" w:lineRule="exact"/>
        <w:ind w:firstLine="640" w:firstLineChars="200"/>
        <w:jc w:val="left"/>
        <w:rPr>
          <w:rFonts w:hint="eastAsia" w:ascii="Times New Roman" w:hAnsi="Times New Roman" w:eastAsia="仿宋"/>
          <w:color w:val="auto"/>
          <w:sz w:val="32"/>
          <w:szCs w:val="32"/>
          <w:highlight w:val="none"/>
          <w:u w:val="none"/>
          <w:lang w:eastAsia="zh-CN"/>
        </w:rPr>
      </w:pPr>
      <w:r>
        <w:rPr>
          <w:rFonts w:hint="eastAsia" w:ascii="Times New Roman" w:hAnsi="Times New Roman" w:eastAsia="仿宋"/>
          <w:color w:val="auto"/>
          <w:sz w:val="32"/>
          <w:szCs w:val="32"/>
          <w:highlight w:val="none"/>
          <w:u w:val="none"/>
        </w:rPr>
        <w:t>（七）凡由于设计单位设计失误、设计缺漏的，设计单位应在总投资控制指标内做出设计变更。给建设方造成损失的，设计单位承担违约责任外，还应按合同规定赔偿建设方损失</w:t>
      </w:r>
      <w:r>
        <w:rPr>
          <w:rFonts w:hint="eastAsia" w:ascii="Times New Roman" w:hAnsi="Times New Roman" w:eastAsia="仿宋"/>
          <w:color w:val="auto"/>
          <w:sz w:val="32"/>
          <w:szCs w:val="32"/>
          <w:highlight w:val="none"/>
          <w:u w:val="none"/>
          <w:lang w:eastAsia="zh-CN"/>
        </w:rPr>
        <w:t>。</w:t>
      </w:r>
    </w:p>
    <w:p>
      <w:pPr>
        <w:spacing w:line="600" w:lineRule="exact"/>
        <w:ind w:firstLine="640" w:firstLineChars="200"/>
        <w:jc w:val="left"/>
        <w:rPr>
          <w:rFonts w:hint="eastAsia" w:ascii="Times New Roman" w:hAnsi="Times New Roman" w:eastAsia="仿宋"/>
          <w:color w:val="auto"/>
          <w:sz w:val="32"/>
          <w:szCs w:val="32"/>
          <w:highlight w:val="none"/>
          <w:u w:val="none"/>
          <w:lang w:eastAsia="zh-CN"/>
        </w:rPr>
      </w:pPr>
    </w:p>
    <w:p>
      <w:pPr>
        <w:spacing w:line="600" w:lineRule="exact"/>
        <w:jc w:val="center"/>
        <w:rPr>
          <w:rFonts w:hint="default" w:ascii="Times New Roman" w:hAnsi="Times New Roman" w:eastAsia="黑体" w:cs="Times New Roman"/>
          <w:color w:val="auto"/>
          <w:sz w:val="32"/>
          <w:szCs w:val="32"/>
          <w:highlight w:val="none"/>
          <w:u w:val="none"/>
          <w:lang w:val="en-US" w:eastAsia="zh-CN"/>
        </w:rPr>
      </w:pPr>
      <w:r>
        <w:rPr>
          <w:rFonts w:hint="eastAsia" w:ascii="Times New Roman" w:hAnsi="Times New Roman" w:eastAsia="黑体" w:cs="Times New Roman"/>
          <w:color w:val="auto"/>
          <w:sz w:val="32"/>
          <w:szCs w:val="32"/>
          <w:highlight w:val="none"/>
          <w:u w:val="none"/>
          <w:lang w:val="en-US" w:eastAsia="zh-CN"/>
        </w:rPr>
        <w:t>第七章 附则</w:t>
      </w:r>
    </w:p>
    <w:p>
      <w:pPr>
        <w:spacing w:line="600" w:lineRule="exact"/>
        <w:ind w:firstLine="630"/>
        <w:jc w:val="left"/>
        <w:rPr>
          <w:rFonts w:hint="eastAsia" w:ascii="仿宋" w:hAnsi="仿宋" w:eastAsia="仿宋" w:cs="仿宋"/>
          <w:b w:val="0"/>
          <w:bCs w:val="0"/>
          <w:color w:val="auto"/>
          <w:kern w:val="2"/>
          <w:sz w:val="30"/>
          <w:szCs w:val="30"/>
          <w:highlight w:val="none"/>
          <w:u w:val="none"/>
          <w:lang w:val="en-US" w:eastAsia="zh-CN" w:bidi="ar-SA"/>
        </w:rPr>
      </w:pPr>
      <w:r>
        <w:rPr>
          <w:rFonts w:ascii="Times New Roman" w:hAnsi="Times New Roman" w:eastAsia="仿宋"/>
          <w:color w:val="auto"/>
          <w:sz w:val="32"/>
          <w:szCs w:val="32"/>
          <w:highlight w:val="none"/>
          <w:u w:val="none"/>
        </w:rPr>
        <w:t>第</w:t>
      </w:r>
      <w:r>
        <w:rPr>
          <w:rFonts w:hint="eastAsia" w:ascii="Times New Roman" w:hAnsi="Times New Roman" w:eastAsia="仿宋"/>
          <w:color w:val="auto"/>
          <w:sz w:val="32"/>
          <w:szCs w:val="32"/>
          <w:highlight w:val="none"/>
          <w:u w:val="none"/>
        </w:rPr>
        <w:t>二十</w:t>
      </w:r>
      <w:r>
        <w:rPr>
          <w:rFonts w:hint="eastAsia" w:ascii="Times New Roman" w:hAnsi="Times New Roman" w:eastAsia="仿宋"/>
          <w:color w:val="auto"/>
          <w:sz w:val="32"/>
          <w:szCs w:val="32"/>
          <w:highlight w:val="none"/>
          <w:u w:val="none"/>
          <w:lang w:val="en-US" w:eastAsia="zh-CN"/>
        </w:rPr>
        <w:t>四</w:t>
      </w:r>
      <w:r>
        <w:rPr>
          <w:rFonts w:ascii="Times New Roman" w:hAnsi="Times New Roman" w:eastAsia="仿宋"/>
          <w:color w:val="auto"/>
          <w:sz w:val="32"/>
          <w:szCs w:val="32"/>
          <w:highlight w:val="none"/>
          <w:u w:val="none"/>
        </w:rPr>
        <w:t>条</w:t>
      </w:r>
      <w:r>
        <w:rPr>
          <w:rFonts w:hint="eastAsia" w:ascii="Times New Roman" w:hAnsi="Times New Roman" w:eastAsia="仿宋"/>
          <w:color w:val="auto"/>
          <w:sz w:val="32"/>
          <w:szCs w:val="32"/>
          <w:highlight w:val="none"/>
          <w:u w:val="none"/>
          <w:lang w:val="en-US" w:eastAsia="zh-CN"/>
        </w:rPr>
        <w:t xml:space="preserve"> </w:t>
      </w:r>
      <w:r>
        <w:rPr>
          <w:rFonts w:hint="eastAsia" w:ascii="仿宋" w:hAnsi="仿宋" w:eastAsia="仿宋" w:cs="仿宋"/>
          <w:b w:val="0"/>
          <w:bCs w:val="0"/>
          <w:color w:val="auto"/>
          <w:kern w:val="2"/>
          <w:sz w:val="30"/>
          <w:szCs w:val="30"/>
          <w:highlight w:val="none"/>
          <w:u w:val="none"/>
          <w:lang w:val="en-US" w:eastAsia="zh-CN" w:bidi="ar-SA"/>
        </w:rPr>
        <w:t>本办法条文由建设单位技术科负责解释，实施过程中有意见建议请向技术科反映。</w:t>
      </w:r>
    </w:p>
    <w:p>
      <w:pPr>
        <w:spacing w:line="600" w:lineRule="exact"/>
        <w:ind w:firstLine="630"/>
        <w:jc w:val="left"/>
        <w:rPr>
          <w:rFonts w:hint="eastAsia" w:ascii="仿宋" w:hAnsi="仿宋" w:eastAsia="仿宋" w:cs="仿宋"/>
          <w:b w:val="0"/>
          <w:bCs w:val="0"/>
          <w:color w:val="auto"/>
          <w:kern w:val="2"/>
          <w:sz w:val="30"/>
          <w:szCs w:val="30"/>
          <w:highlight w:val="none"/>
          <w:u w:val="none"/>
          <w:lang w:val="en-US" w:eastAsia="zh-CN" w:bidi="ar-SA"/>
        </w:rPr>
      </w:pPr>
      <w:r>
        <w:rPr>
          <w:rFonts w:hint="eastAsia" w:ascii="仿宋" w:hAnsi="仿宋" w:eastAsia="仿宋" w:cs="仿宋"/>
          <w:b w:val="0"/>
          <w:bCs w:val="0"/>
          <w:color w:val="auto"/>
          <w:kern w:val="2"/>
          <w:sz w:val="30"/>
          <w:szCs w:val="30"/>
          <w:highlight w:val="none"/>
          <w:u w:val="none"/>
          <w:lang w:val="en-US" w:eastAsia="zh-CN" w:bidi="ar-SA"/>
        </w:rPr>
        <w:t>第二十五条 本办法自2023年5月23日起实施，有效期一年。</w:t>
      </w:r>
    </w:p>
    <w:p>
      <w:pPr>
        <w:widowControl/>
        <w:spacing w:line="600" w:lineRule="exact"/>
        <w:rPr>
          <w:rFonts w:ascii="仿宋" w:hAnsi="仿宋" w:eastAsia="仿宋" w:cs="仿宋"/>
          <w:color w:val="auto"/>
          <w:kern w:val="0"/>
          <w:sz w:val="24"/>
          <w:highlight w:val="none"/>
          <w:u w:val="none"/>
        </w:rPr>
      </w:pPr>
      <w:r>
        <w:rPr>
          <w:rFonts w:hint="eastAsia" w:ascii="仿宋" w:hAnsi="仿宋" w:eastAsia="仿宋" w:cs="仿宋"/>
          <w:color w:val="auto"/>
          <w:kern w:val="0"/>
          <w:sz w:val="24"/>
          <w:highlight w:val="none"/>
          <w:u w:val="none"/>
        </w:rPr>
        <w:br w:type="page"/>
      </w:r>
      <w:r>
        <w:rPr>
          <w:rFonts w:hint="eastAsia" w:ascii="仿宋" w:hAnsi="仿宋" w:eastAsia="仿宋" w:cs="仿宋"/>
          <w:color w:val="auto"/>
          <w:kern w:val="0"/>
          <w:sz w:val="24"/>
          <w:highlight w:val="none"/>
          <w:u w:val="none"/>
        </w:rPr>
        <w:t>附件一</w:t>
      </w:r>
    </w:p>
    <w:tbl>
      <w:tblPr>
        <w:tblStyle w:val="28"/>
        <w:tblW w:w="8820" w:type="dxa"/>
        <w:tblInd w:w="108" w:type="dxa"/>
        <w:tblLayout w:type="autofit"/>
        <w:tblCellMar>
          <w:top w:w="0" w:type="dxa"/>
          <w:left w:w="108" w:type="dxa"/>
          <w:bottom w:w="0" w:type="dxa"/>
          <w:right w:w="108" w:type="dxa"/>
        </w:tblCellMar>
      </w:tblPr>
      <w:tblGrid>
        <w:gridCol w:w="661"/>
        <w:gridCol w:w="1237"/>
        <w:gridCol w:w="871"/>
        <w:gridCol w:w="871"/>
        <w:gridCol w:w="871"/>
        <w:gridCol w:w="1097"/>
        <w:gridCol w:w="1099"/>
        <w:gridCol w:w="957"/>
        <w:gridCol w:w="1156"/>
      </w:tblGrid>
      <w:tr>
        <w:trPr>
          <w:trHeight w:val="643" w:hRule="atLeast"/>
        </w:trPr>
        <w:tc>
          <w:tcPr>
            <w:tcW w:w="8820" w:type="dxa"/>
            <w:gridSpan w:val="9"/>
            <w:tcBorders>
              <w:top w:val="nil"/>
              <w:left w:val="nil"/>
              <w:bottom w:val="nil"/>
              <w:right w:val="nil"/>
            </w:tcBorders>
            <w:noWrap w:val="0"/>
            <w:vAlign w:val="center"/>
          </w:tcPr>
          <w:p>
            <w:pPr>
              <w:widowControl/>
              <w:jc w:val="center"/>
              <w:rPr>
                <w:rFonts w:ascii="方正小标宋简体" w:hAnsi="宋体" w:eastAsia="方正小标宋简体" w:cs="宋体"/>
                <w:color w:val="auto"/>
                <w:kern w:val="0"/>
                <w:sz w:val="32"/>
                <w:szCs w:val="32"/>
                <w:highlight w:val="none"/>
                <w:u w:val="none"/>
              </w:rPr>
            </w:pPr>
            <w:r>
              <w:rPr>
                <w:rFonts w:hint="eastAsia" w:ascii="黑体" w:hAnsi="黑体" w:eastAsia="黑体" w:cs="Times New Roman"/>
                <w:color w:val="auto"/>
                <w:kern w:val="0"/>
                <w:sz w:val="32"/>
                <w:szCs w:val="32"/>
                <w:highlight w:val="none"/>
                <w:u w:val="none"/>
              </w:rPr>
              <w:t>设计变更台账</w:t>
            </w:r>
          </w:p>
        </w:tc>
      </w:tr>
      <w:tr>
        <w:tblPrEx>
          <w:tblCellMar>
            <w:top w:w="0" w:type="dxa"/>
            <w:left w:w="108" w:type="dxa"/>
            <w:bottom w:w="0" w:type="dxa"/>
            <w:right w:w="108" w:type="dxa"/>
          </w:tblCellMar>
        </w:tblPrEx>
        <w:trPr>
          <w:trHeight w:val="643" w:hRule="atLeast"/>
        </w:trPr>
        <w:tc>
          <w:tcPr>
            <w:tcW w:w="661" w:type="dxa"/>
            <w:tcBorders>
              <w:top w:val="nil"/>
              <w:left w:val="nil"/>
              <w:bottom w:val="nil"/>
              <w:right w:val="nil"/>
            </w:tcBorders>
            <w:noWrap w:val="0"/>
            <w:vAlign w:val="center"/>
          </w:tcPr>
          <w:p>
            <w:pPr>
              <w:widowControl/>
              <w:jc w:val="center"/>
              <w:rPr>
                <w:rFonts w:hint="eastAsia" w:ascii="方正小标宋简体" w:hAnsi="宋体" w:eastAsia="方正小标宋简体" w:cs="宋体"/>
                <w:color w:val="auto"/>
                <w:kern w:val="0"/>
                <w:sz w:val="32"/>
                <w:szCs w:val="32"/>
                <w:highlight w:val="none"/>
                <w:u w:val="none"/>
              </w:rPr>
            </w:pPr>
          </w:p>
        </w:tc>
        <w:tc>
          <w:tcPr>
            <w:tcW w:w="1237" w:type="dxa"/>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p>
        </w:tc>
        <w:tc>
          <w:tcPr>
            <w:tcW w:w="871" w:type="dxa"/>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p>
        </w:tc>
        <w:tc>
          <w:tcPr>
            <w:tcW w:w="871" w:type="dxa"/>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p>
        </w:tc>
        <w:tc>
          <w:tcPr>
            <w:tcW w:w="871" w:type="dxa"/>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p>
        </w:tc>
        <w:tc>
          <w:tcPr>
            <w:tcW w:w="4309" w:type="dxa"/>
            <w:gridSpan w:val="4"/>
            <w:tcBorders>
              <w:top w:val="nil"/>
              <w:left w:val="nil"/>
              <w:bottom w:val="nil"/>
              <w:right w:val="nil"/>
            </w:tcBorders>
            <w:noWrap w:val="0"/>
            <w:vAlign w:val="center"/>
          </w:tcPr>
          <w:p>
            <w:pPr>
              <w:widowControl/>
              <w:snapToGrid w:val="0"/>
              <w:spacing w:line="600" w:lineRule="exact"/>
              <w:ind w:left="225"/>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汇总时间：     年   月   日</w:t>
            </w:r>
          </w:p>
        </w:tc>
      </w:tr>
      <w:tr>
        <w:tblPrEx>
          <w:tblCellMar>
            <w:top w:w="0" w:type="dxa"/>
            <w:left w:w="108" w:type="dxa"/>
            <w:bottom w:w="0" w:type="dxa"/>
            <w:right w:w="108" w:type="dxa"/>
          </w:tblCellMar>
        </w:tblPrEx>
        <w:trPr>
          <w:trHeight w:val="536" w:hRule="atLeast"/>
        </w:trPr>
        <w:tc>
          <w:tcPr>
            <w:tcW w:w="1898" w:type="dxa"/>
            <w:gridSpan w:val="2"/>
            <w:tcBorders>
              <w:top w:val="single" w:color="auto" w:sz="4" w:space="0"/>
              <w:left w:val="single" w:color="auto" w:sz="4" w:space="0"/>
              <w:bottom w:val="single" w:color="auto" w:sz="4" w:space="0"/>
              <w:right w:val="nil"/>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项目名称</w:t>
            </w:r>
          </w:p>
        </w:tc>
        <w:tc>
          <w:tcPr>
            <w:tcW w:w="6922" w:type="dxa"/>
            <w:gridSpan w:val="7"/>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1898"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立项文号</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19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eastAsia="zh-CN"/>
              </w:rPr>
              <w:t>可研</w:t>
            </w:r>
            <w:r>
              <w:rPr>
                <w:rFonts w:hint="eastAsia" w:ascii="仿宋" w:hAnsi="仿宋" w:eastAsia="仿宋" w:cs="仿宋"/>
                <w:color w:val="auto"/>
                <w:kern w:val="0"/>
                <w:sz w:val="18"/>
                <w:szCs w:val="18"/>
                <w:highlight w:val="none"/>
                <w:u w:val="none"/>
              </w:rPr>
              <w:t>中的建安费（元）</w:t>
            </w:r>
          </w:p>
        </w:tc>
        <w:tc>
          <w:tcPr>
            <w:tcW w:w="2113"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639" w:hRule="atLeast"/>
        </w:trPr>
        <w:tc>
          <w:tcPr>
            <w:tcW w:w="1898" w:type="dxa"/>
            <w:gridSpan w:val="2"/>
            <w:tcBorders>
              <w:top w:val="single" w:color="auto" w:sz="4" w:space="0"/>
              <w:left w:val="single" w:color="auto" w:sz="4" w:space="0"/>
              <w:bottom w:val="single" w:color="auto" w:sz="4" w:space="0"/>
              <w:right w:val="nil"/>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施工/EPC合同价（元）</w:t>
            </w:r>
          </w:p>
        </w:tc>
        <w:tc>
          <w:tcPr>
            <w:tcW w:w="2613" w:type="dxa"/>
            <w:gridSpan w:val="3"/>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19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暂列金额（元）</w:t>
            </w:r>
          </w:p>
        </w:tc>
        <w:tc>
          <w:tcPr>
            <w:tcW w:w="2113"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1898" w:type="dxa"/>
            <w:gridSpan w:val="2"/>
            <w:tcBorders>
              <w:top w:val="single" w:color="auto" w:sz="4" w:space="0"/>
              <w:left w:val="single" w:color="auto" w:sz="4" w:space="0"/>
              <w:bottom w:val="single" w:color="auto" w:sz="4" w:space="0"/>
              <w:right w:val="nil"/>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设计变更合计数量</w:t>
            </w:r>
          </w:p>
        </w:tc>
        <w:tc>
          <w:tcPr>
            <w:tcW w:w="2613" w:type="dxa"/>
            <w:gridSpan w:val="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19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设计变更合计金额</w:t>
            </w:r>
          </w:p>
        </w:tc>
        <w:tc>
          <w:tcPr>
            <w:tcW w:w="2113"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1052"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序号</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w:t>
            </w:r>
            <w:r>
              <w:rPr>
                <w:rFonts w:hint="eastAsia" w:ascii="仿宋" w:hAnsi="仿宋" w:eastAsia="仿宋" w:cs="仿宋"/>
                <w:color w:val="auto"/>
                <w:kern w:val="0"/>
                <w:sz w:val="18"/>
                <w:szCs w:val="18"/>
                <w:highlight w:val="none"/>
                <w:u w:val="none"/>
              </w:rPr>
              <w:br w:type="textWrapping"/>
            </w:r>
            <w:r>
              <w:rPr>
                <w:rFonts w:hint="eastAsia" w:ascii="仿宋" w:hAnsi="仿宋" w:eastAsia="仿宋" w:cs="仿宋"/>
                <w:color w:val="auto"/>
                <w:kern w:val="0"/>
                <w:sz w:val="18"/>
                <w:szCs w:val="18"/>
                <w:highlight w:val="none"/>
                <w:u w:val="none"/>
              </w:rPr>
              <w:t>审批表编号</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变更内容</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增减造价（元）</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发起单位</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发起时间</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备注</w:t>
            </w:r>
          </w:p>
        </w:tc>
      </w:tr>
      <w:tr>
        <w:tblPrEx>
          <w:tblCellMar>
            <w:top w:w="0" w:type="dxa"/>
            <w:left w:w="108" w:type="dxa"/>
            <w:bottom w:w="0" w:type="dxa"/>
            <w:right w:w="108" w:type="dxa"/>
          </w:tblCellMar>
        </w:tblPrEx>
        <w:trPr>
          <w:trHeight w:val="536" w:hRule="atLeast"/>
        </w:trPr>
        <w:tc>
          <w:tcPr>
            <w:tcW w:w="8820" w:type="dxa"/>
            <w:gridSpan w:val="9"/>
            <w:tcBorders>
              <w:top w:val="single" w:color="auto" w:sz="4" w:space="0"/>
              <w:left w:val="single" w:color="auto" w:sz="4" w:space="0"/>
              <w:bottom w:val="single" w:color="auto" w:sz="4" w:space="0"/>
              <w:right w:val="single" w:color="000000" w:sz="4" w:space="0"/>
            </w:tcBorders>
            <w:shd w:val="clear" w:color="000000" w:fill="D9D9D9"/>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待发起的设计变更</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8820" w:type="dxa"/>
            <w:gridSpan w:val="9"/>
            <w:tcBorders>
              <w:top w:val="single" w:color="auto" w:sz="4" w:space="0"/>
              <w:left w:val="single" w:color="auto" w:sz="4" w:space="0"/>
              <w:bottom w:val="single" w:color="auto" w:sz="4" w:space="0"/>
              <w:right w:val="single" w:color="000000" w:sz="4" w:space="0"/>
            </w:tcBorders>
            <w:shd w:val="clear" w:color="000000" w:fill="D9D9D9"/>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呈批中的设计变更</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8820" w:type="dxa"/>
            <w:gridSpan w:val="9"/>
            <w:tcBorders>
              <w:top w:val="single" w:color="auto" w:sz="4" w:space="0"/>
              <w:left w:val="single" w:color="auto" w:sz="4" w:space="0"/>
              <w:bottom w:val="single" w:color="auto" w:sz="4" w:space="0"/>
              <w:right w:val="single" w:color="000000" w:sz="4" w:space="0"/>
            </w:tcBorders>
            <w:shd w:val="clear" w:color="000000" w:fill="D9D9D9"/>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已完成的设计变更</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536" w:hRule="atLeast"/>
        </w:trPr>
        <w:tc>
          <w:tcPr>
            <w:tcW w:w="66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23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26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099"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957"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c>
          <w:tcPr>
            <w:tcW w:w="1156"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w:t>
            </w:r>
          </w:p>
        </w:tc>
      </w:tr>
      <w:tr>
        <w:tblPrEx>
          <w:tblCellMar>
            <w:top w:w="0" w:type="dxa"/>
            <w:left w:w="108" w:type="dxa"/>
            <w:bottom w:w="0" w:type="dxa"/>
            <w:right w:w="108" w:type="dxa"/>
          </w:tblCellMar>
        </w:tblPrEx>
        <w:trPr>
          <w:trHeight w:val="986" w:hRule="atLeast"/>
        </w:trPr>
        <w:tc>
          <w:tcPr>
            <w:tcW w:w="8820" w:type="dxa"/>
            <w:gridSpan w:val="9"/>
            <w:tcBorders>
              <w:top w:val="nil"/>
              <w:left w:val="nil"/>
              <w:bottom w:val="nil"/>
              <w:right w:val="nil"/>
            </w:tcBorders>
            <w:noWrap w:val="0"/>
            <w:vAlign w:val="center"/>
          </w:tcPr>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施工单位（章）：                                        监理单位（章）：</w:t>
            </w:r>
          </w:p>
          <w:p>
            <w:pPr>
              <w:widowControl/>
              <w:jc w:val="left"/>
              <w:rPr>
                <w:rFonts w:hint="eastAsia" w:ascii="仿宋" w:hAnsi="仿宋" w:eastAsia="仿宋" w:cs="仿宋"/>
                <w:color w:val="auto"/>
                <w:kern w:val="0"/>
                <w:sz w:val="18"/>
                <w:szCs w:val="18"/>
                <w:highlight w:val="none"/>
                <w:u w:val="none"/>
              </w:rPr>
            </w:pP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注：1、设计变更合计的份数和金额包括待发起、呈批中、已完成的设计变更。</w:t>
            </w:r>
          </w:p>
        </w:tc>
      </w:tr>
      <w:tr>
        <w:tblPrEx>
          <w:tblCellMar>
            <w:top w:w="0" w:type="dxa"/>
            <w:left w:w="108" w:type="dxa"/>
            <w:bottom w:w="0" w:type="dxa"/>
            <w:right w:w="108" w:type="dxa"/>
          </w:tblCellMar>
        </w:tblPrEx>
        <w:trPr>
          <w:trHeight w:val="643" w:hRule="atLeast"/>
        </w:trPr>
        <w:tc>
          <w:tcPr>
            <w:tcW w:w="8820" w:type="dxa"/>
            <w:gridSpan w:val="9"/>
            <w:tcBorders>
              <w:top w:val="nil"/>
              <w:left w:val="nil"/>
              <w:bottom w:val="nil"/>
              <w:right w:val="nil"/>
            </w:tcBorders>
            <w:noWrap w:val="0"/>
            <w:vAlign w:val="center"/>
          </w:tcPr>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    2、施工单位需在每次申请进度款时提供最新汇总的设计变更台账表，供区代建局内部管理使用，无需报区财局，一式一份。</w:t>
            </w:r>
          </w:p>
        </w:tc>
      </w:tr>
      <w:tr>
        <w:tblPrEx>
          <w:tblCellMar>
            <w:top w:w="0" w:type="dxa"/>
            <w:left w:w="108" w:type="dxa"/>
            <w:bottom w:w="0" w:type="dxa"/>
            <w:right w:w="108" w:type="dxa"/>
          </w:tblCellMar>
        </w:tblPrEx>
        <w:trPr>
          <w:trHeight w:val="643" w:hRule="atLeast"/>
        </w:trPr>
        <w:tc>
          <w:tcPr>
            <w:tcW w:w="8820" w:type="dxa"/>
            <w:gridSpan w:val="9"/>
            <w:tcBorders>
              <w:top w:val="nil"/>
              <w:left w:val="nil"/>
              <w:bottom w:val="nil"/>
              <w:right w:val="nil"/>
            </w:tcBorders>
            <w:noWrap w:val="0"/>
            <w:vAlign w:val="center"/>
          </w:tcPr>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3、</w:t>
            </w:r>
            <w:r>
              <w:rPr>
                <w:rFonts w:hint="eastAsia" w:ascii="仿宋" w:hAnsi="仿宋" w:eastAsia="仿宋" w:cs="仿宋"/>
                <w:color w:val="auto"/>
                <w:kern w:val="0"/>
                <w:sz w:val="18"/>
                <w:szCs w:val="18"/>
                <w:highlight w:val="none"/>
                <w:u w:val="none"/>
              </w:rPr>
              <w:t>本表由各项目阶段的负责单位进行校对、整理，并在每次设计变更审批时提供。</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4、</w:t>
            </w:r>
            <w:r>
              <w:rPr>
                <w:rFonts w:hint="eastAsia" w:ascii="仿宋" w:hAnsi="仿宋" w:eastAsia="仿宋" w:cs="仿宋"/>
                <w:color w:val="auto"/>
                <w:kern w:val="0"/>
                <w:sz w:val="18"/>
                <w:szCs w:val="18"/>
                <w:highlight w:val="none"/>
                <w:u w:val="none"/>
                <w:lang w:eastAsia="zh-CN"/>
              </w:rPr>
              <w:t>如项目无需编制可行性研究报告，可研中的建安费填立项中的建安费。</w:t>
            </w:r>
          </w:p>
        </w:tc>
      </w:tr>
    </w:tbl>
    <w:p>
      <w:pPr>
        <w:widowControl/>
        <w:spacing w:line="600" w:lineRule="exact"/>
        <w:rPr>
          <w:rFonts w:hint="eastAsia" w:ascii="仿宋" w:hAnsi="仿宋" w:eastAsia="仿宋" w:cs="仿宋"/>
          <w:color w:val="auto"/>
          <w:kern w:val="0"/>
          <w:szCs w:val="21"/>
          <w:highlight w:val="none"/>
          <w:u w:val="none"/>
        </w:rPr>
      </w:pPr>
    </w:p>
    <w:p>
      <w:pPr>
        <w:widowControl/>
        <w:spacing w:line="240" w:lineRule="auto"/>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br w:type="page"/>
      </w:r>
    </w:p>
    <w:p>
      <w:pPr>
        <w:widowControl/>
        <w:spacing w:line="600" w:lineRule="exact"/>
        <w:rPr>
          <w:rFonts w:hint="default" w:ascii="仿宋" w:hAnsi="仿宋" w:eastAsia="仿宋" w:cs="仿宋"/>
          <w:color w:val="auto"/>
          <w:kern w:val="0"/>
          <w:szCs w:val="21"/>
          <w:highlight w:val="none"/>
          <w:u w:val="none"/>
          <w:lang w:val="en-US" w:eastAsia="zh-CN"/>
        </w:rPr>
      </w:pPr>
      <w:r>
        <w:rPr>
          <w:rFonts w:hint="eastAsia" w:ascii="仿宋" w:hAnsi="仿宋" w:eastAsia="仿宋" w:cs="仿宋"/>
          <w:color w:val="auto"/>
          <w:kern w:val="0"/>
          <w:szCs w:val="21"/>
          <w:highlight w:val="none"/>
          <w:u w:val="none"/>
        </w:rPr>
        <w:t>附件二：</w:t>
      </w:r>
      <w:r>
        <w:rPr>
          <w:rFonts w:hint="eastAsia" w:ascii="仿宋" w:hAnsi="仿宋" w:eastAsia="仿宋" w:cs="仿宋"/>
          <w:color w:val="auto"/>
          <w:kern w:val="0"/>
          <w:szCs w:val="21"/>
          <w:highlight w:val="none"/>
          <w:u w:val="none"/>
          <w:lang w:val="en-US" w:eastAsia="zh-CN"/>
        </w:rPr>
        <w:t>2-1</w:t>
      </w:r>
    </w:p>
    <w:p>
      <w:pPr>
        <w:widowControl/>
        <w:spacing w:line="600" w:lineRule="exact"/>
        <w:ind w:firstLine="480"/>
        <w:jc w:val="center"/>
        <w:rPr>
          <w:rFonts w:hint="eastAsia" w:ascii="黑体" w:hAnsi="黑体" w:eastAsia="黑体"/>
          <w:color w:val="auto"/>
          <w:kern w:val="0"/>
          <w:sz w:val="32"/>
          <w:szCs w:val="32"/>
          <w:highlight w:val="none"/>
          <w:u w:val="none"/>
        </w:rPr>
      </w:pPr>
      <w:r>
        <w:rPr>
          <w:rFonts w:hint="eastAsia" w:ascii="黑体" w:hAnsi="黑体" w:eastAsia="黑体"/>
          <w:color w:val="auto"/>
          <w:kern w:val="0"/>
          <w:sz w:val="32"/>
          <w:szCs w:val="32"/>
          <w:highlight w:val="none"/>
          <w:u w:val="none"/>
        </w:rPr>
        <w:t>设计变更审批表</w:t>
      </w:r>
    </w:p>
    <w:p>
      <w:pPr>
        <w:widowControl/>
        <w:spacing w:line="600" w:lineRule="exact"/>
        <w:ind w:firstLine="480"/>
        <w:jc w:val="center"/>
        <w:rPr>
          <w:rFonts w:hint="eastAsia" w:ascii="黑体" w:hAnsi="黑体" w:eastAsia="黑体"/>
          <w:color w:val="auto"/>
          <w:kern w:val="0"/>
          <w:sz w:val="32"/>
          <w:szCs w:val="32"/>
          <w:highlight w:val="none"/>
          <w:u w:val="none"/>
          <w:lang w:eastAsia="zh-CN"/>
        </w:rPr>
      </w:pPr>
      <w:r>
        <w:rPr>
          <w:rFonts w:hint="eastAsia" w:ascii="仿宋" w:hAnsi="仿宋" w:eastAsia="仿宋" w:cs="仿宋"/>
          <w:color w:val="auto"/>
          <w:kern w:val="0"/>
          <w:sz w:val="18"/>
          <w:szCs w:val="18"/>
          <w:highlight w:val="none"/>
          <w:u w:val="none"/>
          <w:lang w:val="en-US" w:eastAsia="zh-CN"/>
        </w:rPr>
        <w:t>（适用I类设计变更）</w:t>
      </w:r>
    </w:p>
    <w:p>
      <w:pPr>
        <w:widowControl/>
        <w:snapToGrid w:val="0"/>
        <w:spacing w:line="600" w:lineRule="exact"/>
        <w:ind w:left="225"/>
        <w:rPr>
          <w:rFonts w:hint="eastAsia" w:ascii="仿宋" w:hAnsi="仿宋" w:eastAsia="仿宋" w:cs="仿宋"/>
          <w:color w:val="auto"/>
          <w:kern w:val="0"/>
          <w:sz w:val="28"/>
          <w:szCs w:val="28"/>
          <w:highlight w:val="none"/>
          <w:u w:val="none"/>
        </w:rPr>
      </w:pPr>
      <w:r>
        <w:rPr>
          <w:rFonts w:hint="eastAsia" w:ascii="仿宋" w:hAnsi="仿宋" w:eastAsia="仿宋" w:cs="仿宋"/>
          <w:color w:val="auto"/>
          <w:kern w:val="0"/>
          <w:szCs w:val="21"/>
          <w:highlight w:val="none"/>
          <w:u w:val="none"/>
        </w:rPr>
        <w:t>工程名称：                                            编号：</w:t>
      </w:r>
    </w:p>
    <w:tbl>
      <w:tblPr>
        <w:tblStyle w:val="28"/>
        <w:tblW w:w="8599" w:type="dxa"/>
        <w:tblInd w:w="108" w:type="dxa"/>
        <w:tblLayout w:type="fixed"/>
        <w:tblCellMar>
          <w:top w:w="0" w:type="dxa"/>
          <w:left w:w="108" w:type="dxa"/>
          <w:bottom w:w="0" w:type="dxa"/>
          <w:right w:w="108" w:type="dxa"/>
        </w:tblCellMar>
      </w:tblPr>
      <w:tblGrid>
        <w:gridCol w:w="1792"/>
        <w:gridCol w:w="6807"/>
      </w:tblGrid>
      <w:tr>
        <w:tblPrEx>
          <w:tblCellMar>
            <w:top w:w="0" w:type="dxa"/>
            <w:left w:w="108" w:type="dxa"/>
            <w:bottom w:w="0" w:type="dxa"/>
            <w:right w:w="108" w:type="dxa"/>
          </w:tblCellMar>
        </w:tblPrEx>
        <w:trPr>
          <w:trHeight w:val="1544" w:hRule="atLeast"/>
        </w:trPr>
        <w:tc>
          <w:tcPr>
            <w:tcW w:w="1792"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hint="eastAsia" w:ascii="仿宋" w:hAnsi="仿宋" w:eastAsia="仿宋" w:cs="仿宋"/>
                <w:color w:val="auto"/>
                <w:kern w:val="0"/>
                <w:sz w:val="18"/>
                <w:szCs w:val="18"/>
                <w:highlight w:val="none"/>
                <w:u w:val="none"/>
              </w:rPr>
            </w:pP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原设计</w:t>
            </w:r>
          </w:p>
          <w:p>
            <w:pPr>
              <w:widowControl/>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t>情况</w:t>
            </w:r>
          </w:p>
        </w:tc>
        <w:tc>
          <w:tcPr>
            <w:tcW w:w="6807" w:type="dxa"/>
            <w:tcBorders>
              <w:top w:val="single" w:color="000000" w:sz="4" w:space="0"/>
              <w:left w:val="nil"/>
              <w:bottom w:val="single" w:color="000000" w:sz="4" w:space="0"/>
              <w:right w:val="single" w:color="000000" w:sz="4" w:space="0"/>
            </w:tcBorders>
            <w:noWrap w:val="0"/>
            <w:vAlign w:val="center"/>
          </w:tcPr>
          <w:p>
            <w:pPr>
              <w:widowControl/>
              <w:numPr>
                <w:ilvl w:val="0"/>
                <w:numId w:val="36"/>
              </w:numPr>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本次设计变更发起单位（部门）：</w:t>
            </w:r>
          </w:p>
          <w:p>
            <w:pPr>
              <w:pStyle w:val="13"/>
              <w:rPr>
                <w:rFonts w:hint="eastAsia"/>
                <w:color w:val="auto"/>
                <w:highlight w:val="none"/>
              </w:rPr>
            </w:pPr>
          </w:p>
          <w:p>
            <w:pPr>
              <w:widowControl/>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2.原设计情况为：</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变更原因</w:t>
            </w:r>
          </w:p>
        </w:tc>
        <w:tc>
          <w:tcPr>
            <w:tcW w:w="6807" w:type="dxa"/>
            <w:tcBorders>
              <w:top w:val="single" w:color="000000" w:sz="4" w:space="0"/>
              <w:left w:val="nil"/>
              <w:bottom w:val="single" w:color="000000" w:sz="4" w:space="0"/>
              <w:right w:val="single" w:color="000000" w:sz="4" w:space="0"/>
            </w:tcBorders>
            <w:noWrap w:val="0"/>
            <w:vAlign w:val="top"/>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1.变更原因选择：□设计失误、缺漏/□审查意见修改/ □业主要求/□深化设计/□现场自然状况与原设计不符或有变/□施工失误/□材料、设备变/□优化设计/□其他                  ；</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2.具体原因描述：</w:t>
            </w:r>
          </w:p>
        </w:tc>
      </w:tr>
      <w:tr>
        <w:tblPrEx>
          <w:tblCellMar>
            <w:top w:w="0" w:type="dxa"/>
            <w:left w:w="108" w:type="dxa"/>
            <w:bottom w:w="0" w:type="dxa"/>
            <w:right w:w="108" w:type="dxa"/>
          </w:tblCellMar>
        </w:tblPrEx>
        <w:trPr>
          <w:trHeight w:val="1074"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设计变更内容及对其他专业的影响</w:t>
            </w:r>
          </w:p>
        </w:tc>
        <w:tc>
          <w:tcPr>
            <w:tcW w:w="6807" w:type="dxa"/>
            <w:tcBorders>
              <w:top w:val="single" w:color="000000" w:sz="4" w:space="0"/>
              <w:left w:val="nil"/>
              <w:bottom w:val="single" w:color="000000" w:sz="4" w:space="0"/>
              <w:right w:val="single" w:color="000000" w:sz="4" w:space="0"/>
            </w:tcBorders>
            <w:noWrap w:val="0"/>
            <w:vAlign w:val="top"/>
          </w:tcPr>
          <w:p>
            <w:pPr>
              <w:widowControl/>
              <w:jc w:val="left"/>
              <w:rPr>
                <w:rFonts w:hint="eastAsia" w:ascii="仿宋" w:hAnsi="仿宋" w:eastAsia="仿宋" w:cs="仿宋"/>
                <w:color w:val="auto"/>
                <w:kern w:val="0"/>
                <w:sz w:val="18"/>
                <w:szCs w:val="18"/>
                <w:highlight w:val="none"/>
                <w:u w:val="none"/>
              </w:rPr>
            </w:pP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1.设计变更内容：</w:t>
            </w: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2.影响连带专业有：</w:t>
            </w:r>
          </w:p>
        </w:tc>
      </w:tr>
      <w:tr>
        <w:tblPrEx>
          <w:tblCellMar>
            <w:top w:w="0" w:type="dxa"/>
            <w:left w:w="108" w:type="dxa"/>
            <w:bottom w:w="0" w:type="dxa"/>
            <w:right w:w="108" w:type="dxa"/>
          </w:tblCellMar>
        </w:tblPrEx>
        <w:trPr>
          <w:trHeight w:val="1228"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工程造价</w:t>
            </w:r>
          </w:p>
          <w:p>
            <w:pPr>
              <w:widowControl/>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t>增减预算</w:t>
            </w: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□有造价增减:合计□增加/ □减少                                     元。</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□无造价增减。</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监理单位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监理单位意见：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监理工程师:  </w:t>
            </w:r>
            <w:r>
              <w:rPr>
                <w:rFonts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rPr>
              <w:t xml:space="preserve">造价监理工程师：       </w:t>
            </w:r>
            <w:r>
              <w:rPr>
                <w:rFonts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rPr>
              <w:t>项目总监：         年   月   日</w:t>
            </w:r>
          </w:p>
        </w:tc>
      </w:tr>
      <w:tr>
        <w:tblPrEx>
          <w:tblCellMar>
            <w:top w:w="0" w:type="dxa"/>
            <w:left w:w="108" w:type="dxa"/>
            <w:bottom w:w="0" w:type="dxa"/>
            <w:right w:w="108" w:type="dxa"/>
          </w:tblCellMar>
        </w:tblPrEx>
        <w:trPr>
          <w:trHeight w:val="1858"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施工单位意见：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施工技术负责人:                  项目经理：                     年   月   日</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设计</w:t>
            </w:r>
            <w:r>
              <w:rPr>
                <w:rFonts w:hint="eastAsia" w:ascii="仿宋" w:hAnsi="仿宋" w:eastAsia="仿宋" w:cs="仿宋"/>
                <w:color w:val="auto"/>
                <w:kern w:val="0"/>
                <w:sz w:val="18"/>
                <w:szCs w:val="18"/>
                <w:highlight w:val="none"/>
                <w:u w:val="none"/>
              </w:rPr>
              <w:t>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设计单位意见：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专业负责人：                       项目负责人：                  年   月   日</w:t>
            </w:r>
          </w:p>
        </w:tc>
      </w:tr>
      <w:tr>
        <w:tblPrEx>
          <w:tblCellMar>
            <w:top w:w="0" w:type="dxa"/>
            <w:left w:w="108" w:type="dxa"/>
            <w:bottom w:w="0" w:type="dxa"/>
            <w:right w:w="108" w:type="dxa"/>
          </w:tblCellMar>
        </w:tblPrEx>
        <w:trPr>
          <w:trHeight w:val="1837"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工程管理</w:t>
            </w:r>
          </w:p>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部门意见</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numPr>
                <w:ilvl w:val="0"/>
                <w:numId w:val="37"/>
              </w:numPr>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审核意见：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同意变更申请。</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经办人：                          部门负责人:                   年   月   日</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前期管理部门意见</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1.审核意见：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同意变更申请。</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经办人：                          部门负责人:                    年   月   日</w:t>
            </w:r>
          </w:p>
        </w:tc>
      </w:tr>
      <w:tr>
        <w:tblPrEx>
          <w:tblCellMar>
            <w:top w:w="0" w:type="dxa"/>
            <w:left w:w="108" w:type="dxa"/>
            <w:bottom w:w="0" w:type="dxa"/>
            <w:right w:w="108" w:type="dxa"/>
          </w:tblCellMar>
        </w:tblPrEx>
        <w:trPr>
          <w:trHeight w:val="2446"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lang w:val="en-US" w:eastAsia="zh-CN"/>
              </w:rPr>
              <w:t>分管工程管理部门领导意见</w:t>
            </w: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left"/>
              <w:rPr>
                <w:rFonts w:hint="eastAsia" w:ascii="仿宋" w:hAnsi="仿宋" w:eastAsia="仿宋" w:cs="仿宋"/>
                <w:color w:val="auto"/>
                <w:kern w:val="0"/>
                <w:sz w:val="18"/>
                <w:szCs w:val="18"/>
                <w:highlight w:val="none"/>
                <w:u w:val="none"/>
              </w:rPr>
            </w:pPr>
          </w:p>
          <w:p>
            <w:pPr>
              <w:widowControl/>
              <w:snapToGrid w:val="0"/>
              <w:spacing w:line="600" w:lineRule="exact"/>
              <w:ind w:left="2340" w:hanging="2340" w:hangingChars="1300"/>
              <w:jc w:val="left"/>
              <w:rPr>
                <w:rFonts w:hint="eastAsia" w:ascii="仿宋" w:hAnsi="仿宋" w:eastAsia="仿宋" w:cs="仿宋"/>
                <w:color w:val="auto"/>
                <w:kern w:val="0"/>
                <w:sz w:val="18"/>
                <w:szCs w:val="18"/>
                <w:highlight w:val="none"/>
                <w:u w:val="none"/>
              </w:rPr>
            </w:pPr>
          </w:p>
          <w:p>
            <w:pPr>
              <w:widowControl/>
              <w:snapToGrid w:val="0"/>
              <w:spacing w:line="600" w:lineRule="exact"/>
              <w:ind w:left="2340" w:hanging="2340" w:hangingChars="13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分管领导：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年   月   日</w:t>
            </w:r>
          </w:p>
        </w:tc>
      </w:tr>
      <w:tr>
        <w:tblPrEx>
          <w:tblCellMar>
            <w:top w:w="0" w:type="dxa"/>
            <w:left w:w="108" w:type="dxa"/>
            <w:bottom w:w="0" w:type="dxa"/>
            <w:right w:w="108" w:type="dxa"/>
          </w:tblCellMar>
        </w:tblPrEx>
        <w:trPr>
          <w:trHeight w:val="1837" w:hRule="atLeast"/>
        </w:trPr>
        <w:tc>
          <w:tcPr>
            <w:tcW w:w="1792"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lang w:val="en-US" w:eastAsia="zh-CN"/>
              </w:rPr>
              <w:t>分管前期管理部门领导意见</w:t>
            </w:r>
          </w:p>
        </w:tc>
        <w:tc>
          <w:tcPr>
            <w:tcW w:w="6807"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left"/>
              <w:rPr>
                <w:rFonts w:hint="eastAsia" w:ascii="仿宋" w:hAnsi="仿宋" w:eastAsia="仿宋" w:cs="仿宋"/>
                <w:color w:val="auto"/>
                <w:kern w:val="0"/>
                <w:sz w:val="18"/>
                <w:szCs w:val="18"/>
                <w:highlight w:val="none"/>
                <w:u w:val="none"/>
              </w:rPr>
            </w:pP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分管领导：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 xml:space="preserve"> 年   月   日</w:t>
            </w:r>
          </w:p>
        </w:tc>
      </w:tr>
      <w:tr>
        <w:tblPrEx>
          <w:tblCellMar>
            <w:top w:w="0" w:type="dxa"/>
            <w:left w:w="108" w:type="dxa"/>
            <w:bottom w:w="0" w:type="dxa"/>
            <w:right w:w="108" w:type="dxa"/>
          </w:tblCellMar>
        </w:tblPrEx>
        <w:trPr>
          <w:trHeight w:val="629" w:hRule="atLeast"/>
        </w:trPr>
        <w:tc>
          <w:tcPr>
            <w:tcW w:w="859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备注：</w:t>
            </w:r>
          </w:p>
        </w:tc>
      </w:tr>
    </w:tbl>
    <w:p>
      <w:pPr>
        <w:widowControl/>
        <w:ind w:firstLine="360" w:firstLineChars="200"/>
        <w:jc w:val="left"/>
        <w:rPr>
          <w:rFonts w:hint="eastAsia" w:ascii="仿宋" w:hAnsi="仿宋" w:eastAsia="仿宋" w:cs="仿宋"/>
          <w:color w:val="auto"/>
          <w:kern w:val="0"/>
          <w:sz w:val="18"/>
          <w:szCs w:val="18"/>
          <w:highlight w:val="none"/>
          <w:u w:val="none"/>
        </w:rPr>
      </w:pPr>
    </w:p>
    <w:p>
      <w:pPr>
        <w:widowControl/>
        <w:ind w:firstLine="360" w:firstLineChars="200"/>
        <w:jc w:val="left"/>
        <w:rPr>
          <w:rFonts w:hint="eastAsia" w:ascii="仿宋" w:hAnsi="仿宋" w:eastAsia="仿宋" w:cs="仿宋"/>
          <w:color w:val="auto"/>
          <w:kern w:val="0"/>
          <w:sz w:val="18"/>
          <w:szCs w:val="18"/>
          <w:highlight w:val="none"/>
          <w:u w:val="none"/>
        </w:rPr>
      </w:pPr>
    </w:p>
    <w:p>
      <w:pPr>
        <w:rPr>
          <w:rFonts w:hint="eastAsia"/>
          <w:color w:val="auto"/>
          <w:highlight w:val="none"/>
        </w:rPr>
      </w:pPr>
      <w:r>
        <w:rPr>
          <w:rFonts w:hint="eastAsia"/>
          <w:color w:val="auto"/>
          <w:highlight w:val="none"/>
        </w:rPr>
        <w:br w:type="page"/>
      </w:r>
    </w:p>
    <w:p>
      <w:pPr>
        <w:widowControl/>
        <w:spacing w:line="600" w:lineRule="exact"/>
        <w:rPr>
          <w:rFonts w:hint="default" w:ascii="仿宋" w:hAnsi="仿宋" w:eastAsia="仿宋" w:cs="仿宋"/>
          <w:color w:val="auto"/>
          <w:kern w:val="0"/>
          <w:szCs w:val="21"/>
          <w:highlight w:val="none"/>
          <w:u w:val="none"/>
          <w:lang w:val="en-US" w:eastAsia="zh-CN"/>
        </w:rPr>
      </w:pPr>
      <w:r>
        <w:rPr>
          <w:rFonts w:hint="eastAsia" w:ascii="仿宋" w:hAnsi="仿宋" w:eastAsia="仿宋" w:cs="仿宋"/>
          <w:color w:val="auto"/>
          <w:kern w:val="0"/>
          <w:szCs w:val="21"/>
          <w:highlight w:val="none"/>
          <w:u w:val="none"/>
        </w:rPr>
        <w:t>附件二：</w:t>
      </w:r>
      <w:r>
        <w:rPr>
          <w:rFonts w:hint="eastAsia" w:ascii="仿宋" w:hAnsi="仿宋" w:eastAsia="仿宋" w:cs="仿宋"/>
          <w:color w:val="auto"/>
          <w:kern w:val="0"/>
          <w:szCs w:val="21"/>
          <w:highlight w:val="none"/>
          <w:u w:val="none"/>
          <w:lang w:val="en-US" w:eastAsia="zh-CN"/>
        </w:rPr>
        <w:t>2-2</w:t>
      </w:r>
    </w:p>
    <w:p>
      <w:pPr>
        <w:widowControl/>
        <w:spacing w:line="600" w:lineRule="exact"/>
        <w:ind w:firstLine="480"/>
        <w:jc w:val="center"/>
        <w:rPr>
          <w:rFonts w:hint="eastAsia" w:ascii="黑体" w:hAnsi="黑体" w:eastAsia="黑体"/>
          <w:color w:val="auto"/>
          <w:kern w:val="0"/>
          <w:sz w:val="32"/>
          <w:szCs w:val="32"/>
          <w:highlight w:val="none"/>
          <w:u w:val="none"/>
        </w:rPr>
      </w:pPr>
      <w:r>
        <w:rPr>
          <w:rFonts w:hint="eastAsia" w:ascii="黑体" w:hAnsi="黑体" w:eastAsia="黑体"/>
          <w:color w:val="auto"/>
          <w:kern w:val="0"/>
          <w:sz w:val="32"/>
          <w:szCs w:val="32"/>
          <w:highlight w:val="none"/>
          <w:u w:val="none"/>
        </w:rPr>
        <w:t>设计变更审批表</w:t>
      </w:r>
    </w:p>
    <w:p>
      <w:pPr>
        <w:widowControl/>
        <w:spacing w:line="600" w:lineRule="exact"/>
        <w:ind w:firstLine="480"/>
        <w:jc w:val="center"/>
        <w:rPr>
          <w:rFonts w:hint="eastAsia" w:ascii="黑体" w:hAnsi="黑体" w:eastAsia="黑体"/>
          <w:color w:val="auto"/>
          <w:kern w:val="0"/>
          <w:sz w:val="32"/>
          <w:szCs w:val="32"/>
          <w:highlight w:val="none"/>
          <w:u w:val="none"/>
          <w:lang w:eastAsia="zh-CN"/>
        </w:rPr>
      </w:pPr>
      <w:r>
        <w:rPr>
          <w:rFonts w:hint="eastAsia" w:ascii="仿宋" w:hAnsi="仿宋" w:eastAsia="仿宋" w:cs="仿宋"/>
          <w:color w:val="auto"/>
          <w:kern w:val="0"/>
          <w:sz w:val="18"/>
          <w:szCs w:val="18"/>
          <w:highlight w:val="none"/>
          <w:u w:val="none"/>
          <w:lang w:val="en-US" w:eastAsia="zh-CN"/>
        </w:rPr>
        <w:t>（适用</w:t>
      </w:r>
      <w:r>
        <w:rPr>
          <w:rFonts w:hint="eastAsia" w:ascii="仿宋" w:hAnsi="仿宋" w:eastAsia="仿宋" w:cs="仿宋"/>
          <w:color w:val="auto"/>
          <w:kern w:val="0"/>
          <w:sz w:val="18"/>
          <w:szCs w:val="18"/>
          <w:highlight w:val="none"/>
          <w:u w:val="none"/>
        </w:rPr>
        <w:t>II类</w:t>
      </w:r>
      <w:r>
        <w:rPr>
          <w:rFonts w:hint="eastAsia" w:ascii="仿宋" w:hAnsi="仿宋" w:eastAsia="仿宋" w:cs="仿宋"/>
          <w:color w:val="auto"/>
          <w:kern w:val="0"/>
          <w:sz w:val="18"/>
          <w:szCs w:val="18"/>
          <w:highlight w:val="none"/>
          <w:u w:val="none"/>
          <w:lang w:eastAsia="zh-CN"/>
        </w:rPr>
        <w:t>、Ⅲ</w:t>
      </w:r>
      <w:r>
        <w:rPr>
          <w:rFonts w:hint="eastAsia" w:ascii="仿宋" w:hAnsi="仿宋" w:eastAsia="仿宋" w:cs="仿宋"/>
          <w:color w:val="auto"/>
          <w:kern w:val="0"/>
          <w:sz w:val="18"/>
          <w:szCs w:val="18"/>
          <w:highlight w:val="none"/>
          <w:u w:val="none"/>
        </w:rPr>
        <w:t>类</w:t>
      </w:r>
      <w:r>
        <w:rPr>
          <w:rFonts w:hint="eastAsia" w:ascii="仿宋" w:hAnsi="仿宋" w:eastAsia="仿宋" w:cs="仿宋"/>
          <w:color w:val="auto"/>
          <w:kern w:val="0"/>
          <w:sz w:val="18"/>
          <w:szCs w:val="18"/>
          <w:highlight w:val="none"/>
          <w:u w:val="none"/>
          <w:lang w:val="en-US" w:eastAsia="zh-CN"/>
        </w:rPr>
        <w:t>设计变更）</w:t>
      </w:r>
    </w:p>
    <w:p>
      <w:pPr>
        <w:widowControl/>
        <w:snapToGrid w:val="0"/>
        <w:spacing w:line="600" w:lineRule="exact"/>
        <w:ind w:left="225"/>
        <w:rPr>
          <w:rFonts w:hint="eastAsia" w:ascii="仿宋" w:hAnsi="仿宋" w:eastAsia="仿宋" w:cs="仿宋"/>
          <w:color w:val="auto"/>
          <w:kern w:val="0"/>
          <w:sz w:val="28"/>
          <w:szCs w:val="28"/>
          <w:highlight w:val="none"/>
          <w:u w:val="none"/>
        </w:rPr>
      </w:pPr>
      <w:r>
        <w:rPr>
          <w:rFonts w:hint="eastAsia" w:ascii="仿宋" w:hAnsi="仿宋" w:eastAsia="仿宋" w:cs="仿宋"/>
          <w:color w:val="auto"/>
          <w:kern w:val="0"/>
          <w:szCs w:val="21"/>
          <w:highlight w:val="none"/>
          <w:u w:val="none"/>
        </w:rPr>
        <w:t>工程名称：                                            编号：</w:t>
      </w:r>
    </w:p>
    <w:tbl>
      <w:tblPr>
        <w:tblStyle w:val="28"/>
        <w:tblW w:w="8819" w:type="dxa"/>
        <w:tblInd w:w="108" w:type="dxa"/>
        <w:tblLayout w:type="fixed"/>
        <w:tblCellMar>
          <w:top w:w="0" w:type="dxa"/>
          <w:left w:w="108" w:type="dxa"/>
          <w:bottom w:w="0" w:type="dxa"/>
          <w:right w:w="108" w:type="dxa"/>
        </w:tblCellMar>
      </w:tblPr>
      <w:tblGrid>
        <w:gridCol w:w="1838"/>
        <w:gridCol w:w="6981"/>
      </w:tblGrid>
      <w:tr>
        <w:tblPrEx>
          <w:tblCellMar>
            <w:top w:w="0" w:type="dxa"/>
            <w:left w:w="108" w:type="dxa"/>
            <w:bottom w:w="0" w:type="dxa"/>
            <w:right w:w="108" w:type="dxa"/>
          </w:tblCellMar>
        </w:tblPrEx>
        <w:trPr>
          <w:trHeight w:val="1203" w:hRule="atLeast"/>
        </w:trPr>
        <w:tc>
          <w:tcPr>
            <w:tcW w:w="1838"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rPr>
                <w:rFonts w:hint="eastAsia" w:ascii="仿宋" w:hAnsi="仿宋" w:eastAsia="仿宋" w:cs="仿宋"/>
                <w:color w:val="auto"/>
                <w:kern w:val="0"/>
                <w:sz w:val="18"/>
                <w:szCs w:val="18"/>
                <w:highlight w:val="none"/>
                <w:u w:val="none"/>
              </w:rPr>
            </w:pP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原设计</w:t>
            </w:r>
          </w:p>
          <w:p>
            <w:pPr>
              <w:widowControl/>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t>情况</w:t>
            </w:r>
          </w:p>
        </w:tc>
        <w:tc>
          <w:tcPr>
            <w:tcW w:w="6981" w:type="dxa"/>
            <w:tcBorders>
              <w:top w:val="single" w:color="000000" w:sz="4" w:space="0"/>
              <w:left w:val="nil"/>
              <w:bottom w:val="single" w:color="000000" w:sz="4" w:space="0"/>
              <w:right w:val="single" w:color="000000" w:sz="4" w:space="0"/>
            </w:tcBorders>
            <w:noWrap w:val="0"/>
            <w:vAlign w:val="center"/>
          </w:tcPr>
          <w:p>
            <w:pPr>
              <w:widowControl/>
              <w:numPr>
                <w:ilvl w:val="0"/>
                <w:numId w:val="36"/>
              </w:numPr>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本次设计变更发起单位（部门）：</w:t>
            </w:r>
          </w:p>
          <w:p>
            <w:pPr>
              <w:widowControl/>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2.原设计情况为：</w:t>
            </w:r>
          </w:p>
        </w:tc>
      </w:tr>
      <w:tr>
        <w:tblPrEx>
          <w:tblCellMar>
            <w:top w:w="0" w:type="dxa"/>
            <w:left w:w="108" w:type="dxa"/>
            <w:bottom w:w="0" w:type="dxa"/>
            <w:right w:w="108" w:type="dxa"/>
          </w:tblCellMar>
        </w:tblPrEx>
        <w:trPr>
          <w:trHeight w:val="2396"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变更原因</w:t>
            </w:r>
          </w:p>
        </w:tc>
        <w:tc>
          <w:tcPr>
            <w:tcW w:w="6981" w:type="dxa"/>
            <w:tcBorders>
              <w:top w:val="single" w:color="000000" w:sz="4" w:space="0"/>
              <w:left w:val="nil"/>
              <w:bottom w:val="single" w:color="000000" w:sz="4" w:space="0"/>
              <w:right w:val="single" w:color="000000" w:sz="4" w:space="0"/>
            </w:tcBorders>
            <w:noWrap w:val="0"/>
            <w:vAlign w:val="top"/>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1.变更原因选择：□设计失误、缺漏/□审查意见修改/ □业主要求/□深化设计/□现场自然状况与原设计不符或有变/□施工失误/□材料、设备变/□优化设计/□其他                  ；</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2.具体原因描述：</w:t>
            </w:r>
          </w:p>
        </w:tc>
      </w:tr>
      <w:tr>
        <w:tblPrEx>
          <w:tblCellMar>
            <w:top w:w="0" w:type="dxa"/>
            <w:left w:w="108" w:type="dxa"/>
            <w:bottom w:w="0" w:type="dxa"/>
            <w:right w:w="108" w:type="dxa"/>
          </w:tblCellMar>
        </w:tblPrEx>
        <w:trPr>
          <w:trHeight w:val="941"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设计变更内容及对其他专业的影响</w:t>
            </w:r>
          </w:p>
        </w:tc>
        <w:tc>
          <w:tcPr>
            <w:tcW w:w="6981" w:type="dxa"/>
            <w:tcBorders>
              <w:top w:val="single" w:color="000000" w:sz="4" w:space="0"/>
              <w:left w:val="nil"/>
              <w:bottom w:val="single" w:color="000000" w:sz="4" w:space="0"/>
              <w:right w:val="single" w:color="000000" w:sz="4" w:space="0"/>
            </w:tcBorders>
            <w:noWrap w:val="0"/>
            <w:vAlign w:val="top"/>
          </w:tcPr>
          <w:p>
            <w:pPr>
              <w:widowControl/>
              <w:jc w:val="left"/>
              <w:rPr>
                <w:rFonts w:hint="eastAsia" w:ascii="仿宋" w:hAnsi="仿宋" w:eastAsia="仿宋" w:cs="仿宋"/>
                <w:color w:val="auto"/>
                <w:kern w:val="0"/>
                <w:sz w:val="18"/>
                <w:szCs w:val="18"/>
                <w:highlight w:val="none"/>
                <w:u w:val="none"/>
              </w:rPr>
            </w:pP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1.设计变更内容：</w:t>
            </w:r>
          </w:p>
          <w:p>
            <w:pPr>
              <w:widowControl/>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2.影响连带专业有：</w:t>
            </w:r>
          </w:p>
        </w:tc>
      </w:tr>
      <w:tr>
        <w:tblPrEx>
          <w:tblCellMar>
            <w:top w:w="0" w:type="dxa"/>
            <w:left w:w="108" w:type="dxa"/>
            <w:bottom w:w="0" w:type="dxa"/>
            <w:right w:w="108" w:type="dxa"/>
          </w:tblCellMar>
        </w:tblPrEx>
        <w:trPr>
          <w:trHeight w:val="1800"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工程造价</w:t>
            </w:r>
          </w:p>
          <w:p>
            <w:pPr>
              <w:widowControl/>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t>增减预算</w:t>
            </w: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□有造价增减:合计□增加/ □减少                                     元。</w:t>
            </w:r>
          </w:p>
          <w:p>
            <w:pPr>
              <w:widowControl/>
              <w:snapToGrid w:val="0"/>
              <w:spacing w:line="600" w:lineRule="exact"/>
              <w:rPr>
                <w:rFonts w:hint="default"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rPr>
              <w:t>设计变更分类     II类□</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lang w:eastAsia="zh-CN"/>
              </w:rPr>
              <w:t>Ⅲ</w:t>
            </w:r>
            <w:r>
              <w:rPr>
                <w:rFonts w:hint="eastAsia" w:ascii="仿宋" w:hAnsi="仿宋" w:eastAsia="仿宋" w:cs="仿宋"/>
                <w:color w:val="auto"/>
                <w:kern w:val="0"/>
                <w:sz w:val="18"/>
                <w:szCs w:val="18"/>
                <w:highlight w:val="none"/>
                <w:u w:val="none"/>
              </w:rPr>
              <w:t>类□</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□无造价增减。</w:t>
            </w:r>
          </w:p>
        </w:tc>
      </w:tr>
      <w:tr>
        <w:tblPrEx>
          <w:tblCellMar>
            <w:top w:w="0" w:type="dxa"/>
            <w:left w:w="108" w:type="dxa"/>
            <w:bottom w:w="0" w:type="dxa"/>
            <w:right w:w="108" w:type="dxa"/>
          </w:tblCellMar>
        </w:tblPrEx>
        <w:trPr>
          <w:trHeight w:val="2396"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监理单位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监理单位意见：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监理工程师:  </w:t>
            </w:r>
            <w:r>
              <w:rPr>
                <w:rFonts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rPr>
              <w:t xml:space="preserve">造价监理工程师：       </w:t>
            </w:r>
            <w:r>
              <w:rPr>
                <w:rFonts w:ascii="仿宋" w:hAnsi="仿宋" w:eastAsia="仿宋" w:cs="仿宋"/>
                <w:color w:val="auto"/>
                <w:kern w:val="0"/>
                <w:sz w:val="18"/>
                <w:szCs w:val="18"/>
                <w:highlight w:val="none"/>
                <w:u w:val="none"/>
              </w:rPr>
              <w:t xml:space="preserve">   </w:t>
            </w:r>
            <w:r>
              <w:rPr>
                <w:rFonts w:hint="eastAsia" w:ascii="仿宋" w:hAnsi="仿宋" w:eastAsia="仿宋" w:cs="仿宋"/>
                <w:color w:val="auto"/>
                <w:kern w:val="0"/>
                <w:sz w:val="18"/>
                <w:szCs w:val="18"/>
                <w:highlight w:val="none"/>
                <w:u w:val="none"/>
              </w:rPr>
              <w:t>项目总监：         年   月   日</w:t>
            </w:r>
          </w:p>
        </w:tc>
      </w:tr>
      <w:tr>
        <w:tblPrEx>
          <w:tblCellMar>
            <w:top w:w="0" w:type="dxa"/>
            <w:left w:w="108" w:type="dxa"/>
            <w:bottom w:w="0" w:type="dxa"/>
            <w:right w:w="108" w:type="dxa"/>
          </w:tblCellMar>
        </w:tblPrEx>
        <w:trPr>
          <w:trHeight w:val="1820"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施工单位意见：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施工技术负责人:                  项目经理：                     年   月   日</w:t>
            </w:r>
          </w:p>
        </w:tc>
      </w:tr>
      <w:tr>
        <w:tblPrEx>
          <w:tblCellMar>
            <w:top w:w="0" w:type="dxa"/>
            <w:left w:w="108" w:type="dxa"/>
            <w:bottom w:w="0" w:type="dxa"/>
            <w:right w:w="108" w:type="dxa"/>
          </w:tblCellMar>
        </w:tblPrEx>
        <w:trPr>
          <w:trHeight w:val="2396"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设计</w:t>
            </w:r>
            <w:r>
              <w:rPr>
                <w:rFonts w:hint="eastAsia" w:ascii="仿宋" w:hAnsi="仿宋" w:eastAsia="仿宋" w:cs="仿宋"/>
                <w:color w:val="auto"/>
                <w:kern w:val="0"/>
                <w:sz w:val="18"/>
                <w:szCs w:val="18"/>
                <w:highlight w:val="none"/>
                <w:u w:val="none"/>
              </w:rPr>
              <w:t>单位</w:t>
            </w:r>
          </w:p>
          <w:p>
            <w:pPr>
              <w:widowControl/>
              <w:jc w:val="center"/>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会签</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 设计单位意见：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需要设计变更。</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专业负责人：                       项目负责人：                  年   月   日</w:t>
            </w:r>
          </w:p>
        </w:tc>
      </w:tr>
      <w:tr>
        <w:tblPrEx>
          <w:tblCellMar>
            <w:top w:w="0" w:type="dxa"/>
            <w:left w:w="108" w:type="dxa"/>
            <w:bottom w:w="0" w:type="dxa"/>
            <w:right w:w="108" w:type="dxa"/>
          </w:tblCellMar>
        </w:tblPrEx>
        <w:trPr>
          <w:trHeight w:val="1800"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工程管理</w:t>
            </w:r>
          </w:p>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部门意见</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numPr>
                <w:ilvl w:val="0"/>
                <w:numId w:val="37"/>
              </w:numPr>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审核意见：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同意变更申请。</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经办人：                          部门负责人:                   年   月   日</w:t>
            </w:r>
          </w:p>
        </w:tc>
      </w:tr>
      <w:tr>
        <w:tblPrEx>
          <w:tblCellMar>
            <w:top w:w="0" w:type="dxa"/>
            <w:left w:w="108" w:type="dxa"/>
            <w:bottom w:w="0" w:type="dxa"/>
            <w:right w:w="108" w:type="dxa"/>
          </w:tblCellMar>
        </w:tblPrEx>
        <w:trPr>
          <w:trHeight w:val="2396"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前期管理部门意见</w:t>
            </w:r>
          </w:p>
          <w:p>
            <w:pPr>
              <w:widowControl/>
              <w:snapToGrid w:val="0"/>
              <w:spacing w:line="600" w:lineRule="exact"/>
              <w:jc w:val="center"/>
              <w:rPr>
                <w:rFonts w:hint="eastAsia" w:ascii="仿宋" w:hAnsi="仿宋" w:eastAsia="仿宋" w:cs="仿宋"/>
                <w:color w:val="auto"/>
                <w:kern w:val="0"/>
                <w:szCs w:val="21"/>
                <w:highlight w:val="none"/>
                <w:u w:val="none"/>
              </w:rPr>
            </w:pP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1.审核意见：</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 □是/□否  同意变更申请。</w:t>
            </w:r>
          </w:p>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经办人：                          部门负责人:                    年   月   日</w:t>
            </w:r>
          </w:p>
        </w:tc>
      </w:tr>
      <w:tr>
        <w:tblPrEx>
          <w:tblCellMar>
            <w:top w:w="0" w:type="dxa"/>
            <w:left w:w="108" w:type="dxa"/>
            <w:bottom w:w="0" w:type="dxa"/>
            <w:right w:w="108" w:type="dxa"/>
          </w:tblCellMar>
        </w:tblPrEx>
        <w:trPr>
          <w:trHeight w:val="1800"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lang w:val="en-US" w:eastAsia="zh-CN"/>
              </w:rPr>
              <w:t>分管工程管理部门领导审核意见</w:t>
            </w: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ind w:left="2340" w:hanging="2340" w:hangingChars="1300"/>
              <w:jc w:val="left"/>
              <w:rPr>
                <w:rFonts w:hint="eastAsia" w:ascii="仿宋" w:hAnsi="仿宋" w:eastAsia="仿宋" w:cs="仿宋"/>
                <w:color w:val="auto"/>
                <w:kern w:val="0"/>
                <w:sz w:val="18"/>
                <w:szCs w:val="18"/>
                <w:highlight w:val="none"/>
                <w:u w:val="none"/>
              </w:rPr>
            </w:pPr>
          </w:p>
          <w:p>
            <w:pPr>
              <w:widowControl/>
              <w:snapToGrid w:val="0"/>
              <w:spacing w:line="600" w:lineRule="exact"/>
              <w:ind w:left="2340" w:hanging="2340" w:hangingChars="13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分管领导：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年   月   日</w:t>
            </w:r>
          </w:p>
        </w:tc>
      </w:tr>
      <w:tr>
        <w:tblPrEx>
          <w:tblCellMar>
            <w:top w:w="0" w:type="dxa"/>
            <w:left w:w="108" w:type="dxa"/>
            <w:bottom w:w="0" w:type="dxa"/>
            <w:right w:w="108" w:type="dxa"/>
          </w:tblCellMar>
        </w:tblPrEx>
        <w:trPr>
          <w:trHeight w:val="1203"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分管前期管理部门领导意见</w:t>
            </w: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分管领导：                                                       年   月   日</w:t>
            </w:r>
          </w:p>
        </w:tc>
      </w:tr>
      <w:tr>
        <w:tblPrEx>
          <w:tblCellMar>
            <w:top w:w="0" w:type="dxa"/>
            <w:left w:w="108" w:type="dxa"/>
            <w:bottom w:w="0" w:type="dxa"/>
            <w:right w:w="108" w:type="dxa"/>
          </w:tblCellMar>
        </w:tblPrEx>
        <w:trPr>
          <w:trHeight w:val="1203" w:hRule="atLeast"/>
        </w:trPr>
        <w:tc>
          <w:tcPr>
            <w:tcW w:w="1838" w:type="dxa"/>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jc w:val="center"/>
              <w:rPr>
                <w:rFonts w:hint="eastAsia"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主要领导意见</w:t>
            </w:r>
          </w:p>
          <w:p>
            <w:pPr>
              <w:widowControl/>
              <w:snapToGrid w:val="0"/>
              <w:spacing w:line="600" w:lineRule="exact"/>
              <w:jc w:val="center"/>
              <w:rPr>
                <w:rFonts w:hint="default" w:ascii="仿宋" w:hAnsi="仿宋" w:eastAsia="仿宋" w:cs="仿宋"/>
                <w:color w:val="auto"/>
                <w:kern w:val="0"/>
                <w:sz w:val="18"/>
                <w:szCs w:val="18"/>
                <w:highlight w:val="none"/>
                <w:u w:val="none"/>
                <w:lang w:val="en-US" w:eastAsia="zh-CN"/>
              </w:rPr>
            </w:pPr>
            <w:r>
              <w:rPr>
                <w:rFonts w:hint="eastAsia" w:ascii="仿宋" w:hAnsi="仿宋" w:eastAsia="仿宋" w:cs="仿宋"/>
                <w:color w:val="auto"/>
                <w:kern w:val="0"/>
                <w:sz w:val="18"/>
                <w:szCs w:val="18"/>
                <w:highlight w:val="none"/>
                <w:u w:val="none"/>
                <w:lang w:val="en-US" w:eastAsia="zh-CN"/>
              </w:rPr>
              <w:t>（适用</w:t>
            </w:r>
            <w:r>
              <w:rPr>
                <w:rFonts w:hint="eastAsia" w:ascii="仿宋" w:hAnsi="仿宋" w:eastAsia="仿宋" w:cs="仿宋"/>
                <w:color w:val="auto"/>
                <w:kern w:val="0"/>
                <w:sz w:val="18"/>
                <w:szCs w:val="18"/>
                <w:highlight w:val="none"/>
                <w:u w:val="none"/>
              </w:rPr>
              <w:t>II类</w:t>
            </w:r>
            <w:r>
              <w:rPr>
                <w:rFonts w:hint="eastAsia" w:ascii="仿宋" w:hAnsi="仿宋" w:eastAsia="仿宋" w:cs="仿宋"/>
                <w:color w:val="auto"/>
                <w:kern w:val="0"/>
                <w:sz w:val="18"/>
                <w:szCs w:val="18"/>
                <w:highlight w:val="none"/>
                <w:u w:val="none"/>
                <w:lang w:val="en-US" w:eastAsia="zh-CN"/>
              </w:rPr>
              <w:t>）</w:t>
            </w:r>
          </w:p>
        </w:tc>
        <w:tc>
          <w:tcPr>
            <w:tcW w:w="6981" w:type="dxa"/>
            <w:tcBorders>
              <w:top w:val="single" w:color="000000" w:sz="4" w:space="0"/>
              <w:left w:val="nil"/>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主要</w:t>
            </w:r>
            <w:r>
              <w:rPr>
                <w:rFonts w:hint="eastAsia" w:ascii="仿宋" w:hAnsi="仿宋" w:eastAsia="仿宋" w:cs="仿宋"/>
                <w:color w:val="auto"/>
                <w:kern w:val="0"/>
                <w:sz w:val="18"/>
                <w:szCs w:val="18"/>
                <w:highlight w:val="none"/>
                <w:u w:val="none"/>
              </w:rPr>
              <w:t xml:space="preserve">领导：                                               </w:t>
            </w:r>
            <w:r>
              <w:rPr>
                <w:rFonts w:hint="eastAsia" w:ascii="仿宋" w:hAnsi="仿宋" w:eastAsia="仿宋" w:cs="仿宋"/>
                <w:color w:val="auto"/>
                <w:kern w:val="0"/>
                <w:sz w:val="18"/>
                <w:szCs w:val="18"/>
                <w:highlight w:val="none"/>
                <w:u w:val="none"/>
                <w:lang w:val="en-US" w:eastAsia="zh-CN"/>
              </w:rPr>
              <w:t xml:space="preserve">       </w:t>
            </w:r>
            <w:r>
              <w:rPr>
                <w:rFonts w:hint="eastAsia" w:ascii="仿宋" w:hAnsi="仿宋" w:eastAsia="仿宋" w:cs="仿宋"/>
                <w:color w:val="auto"/>
                <w:kern w:val="0"/>
                <w:sz w:val="18"/>
                <w:szCs w:val="18"/>
                <w:highlight w:val="none"/>
                <w:u w:val="none"/>
              </w:rPr>
              <w:t xml:space="preserve"> 年   月   日</w:t>
            </w:r>
          </w:p>
        </w:tc>
      </w:tr>
      <w:tr>
        <w:tblPrEx>
          <w:tblCellMar>
            <w:top w:w="0" w:type="dxa"/>
            <w:left w:w="108" w:type="dxa"/>
            <w:bottom w:w="0" w:type="dxa"/>
            <w:right w:w="108" w:type="dxa"/>
          </w:tblCellMar>
        </w:tblPrEx>
        <w:trPr>
          <w:trHeight w:val="617" w:hRule="atLeast"/>
        </w:trPr>
        <w:tc>
          <w:tcPr>
            <w:tcW w:w="8819"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lang w:val="en-US" w:eastAsia="zh-CN"/>
              </w:rPr>
              <w:t>备注：</w:t>
            </w:r>
          </w:p>
        </w:tc>
      </w:tr>
    </w:tbl>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注：1.本表由设计变更发起单位（部门）填写，由代建局各阶段责任部门负责编号并组织呈批。</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2.本表正件一式一份，双面打印，审批后原件由代建局各阶段项目负责人归档，并作为相关图纸材料、洽商函盖代建局公章（图纸章）的审批依据。本表仅在代建局内部流转。</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 xml:space="preserve">    3.在所选类别的“□”中画“√”。</w:t>
      </w:r>
    </w:p>
    <w:p>
      <w:pPr>
        <w:spacing w:line="600" w:lineRule="exact"/>
        <w:ind w:firstLine="360" w:firstLineChars="200"/>
        <w:jc w:val="left"/>
        <w:rPr>
          <w:rFonts w:hint="eastAsia" w:ascii="仿宋" w:hAnsi="仿宋" w:eastAsia="仿宋" w:cs="仿宋"/>
          <w:color w:val="auto"/>
          <w:kern w:val="0"/>
          <w:szCs w:val="21"/>
          <w:highlight w:val="none"/>
          <w:u w:val="none"/>
        </w:rPr>
      </w:pPr>
      <w:r>
        <w:rPr>
          <w:rFonts w:hint="eastAsia" w:ascii="仿宋" w:hAnsi="仿宋" w:eastAsia="仿宋" w:cs="仿宋"/>
          <w:color w:val="auto"/>
          <w:kern w:val="0"/>
          <w:sz w:val="18"/>
          <w:szCs w:val="18"/>
          <w:highlight w:val="none"/>
          <w:u w:val="none"/>
        </w:rPr>
        <w:br w:type="page"/>
      </w:r>
      <w:r>
        <w:rPr>
          <w:rFonts w:hint="eastAsia" w:ascii="仿宋" w:hAnsi="仿宋" w:eastAsia="仿宋" w:cs="仿宋"/>
          <w:color w:val="auto"/>
          <w:kern w:val="0"/>
          <w:szCs w:val="21"/>
          <w:highlight w:val="none"/>
          <w:u w:val="none"/>
        </w:rPr>
        <w:t>附件三：</w:t>
      </w:r>
    </w:p>
    <w:p>
      <w:pPr>
        <w:widowControl/>
        <w:spacing w:line="600" w:lineRule="exact"/>
        <w:ind w:firstLine="480"/>
        <w:jc w:val="center"/>
        <w:rPr>
          <w:rFonts w:hint="default" w:ascii="黑体" w:hAnsi="黑体" w:eastAsia="黑体" w:cs="Times New Roman"/>
          <w:color w:val="auto"/>
          <w:kern w:val="0"/>
          <w:sz w:val="32"/>
          <w:szCs w:val="32"/>
          <w:highlight w:val="none"/>
          <w:u w:val="none"/>
          <w:lang w:val="en-US" w:eastAsia="zh-CN"/>
        </w:rPr>
      </w:pPr>
      <w:r>
        <w:rPr>
          <w:rFonts w:hint="eastAsia" w:ascii="黑体" w:hAnsi="黑体" w:eastAsia="黑体" w:cs="Times New Roman"/>
          <w:color w:val="auto"/>
          <w:kern w:val="0"/>
          <w:sz w:val="32"/>
          <w:szCs w:val="32"/>
          <w:highlight w:val="none"/>
          <w:u w:val="none"/>
          <w:lang w:val="en-US" w:eastAsia="zh-CN"/>
        </w:rPr>
        <w:t>设计变更审批流程表</w:t>
      </w:r>
    </w:p>
    <w:p>
      <w:pPr>
        <w:spacing w:line="600" w:lineRule="exact"/>
        <w:ind w:firstLine="360" w:firstLineChars="200"/>
        <w:jc w:val="left"/>
        <w:rPr>
          <w:rFonts w:hint="eastAsia" w:ascii="Times New Roman" w:hAnsi="Times New Roman" w:eastAsia="仿宋"/>
          <w:color w:val="auto"/>
          <w:sz w:val="18"/>
          <w:szCs w:val="18"/>
          <w:highlight w:val="none"/>
          <w:u w:val="none"/>
          <w:lang w:eastAsia="zh-CN"/>
        </w:rPr>
      </w:pPr>
      <w:r>
        <w:rPr>
          <w:rFonts w:hint="eastAsia" w:ascii="Times New Roman" w:hAnsi="Times New Roman" w:eastAsia="仿宋"/>
          <w:color w:val="auto"/>
          <w:sz w:val="18"/>
          <w:szCs w:val="18"/>
          <w:highlight w:val="none"/>
          <w:u w:val="none"/>
        </w:rPr>
        <w:t>（一）项目进入施工阶段之前</w:t>
      </w:r>
      <w:r>
        <w:rPr>
          <w:rFonts w:hint="eastAsia" w:ascii="Times New Roman" w:hAnsi="Times New Roman" w:eastAsia="仿宋"/>
          <w:color w:val="auto"/>
          <w:sz w:val="18"/>
          <w:szCs w:val="18"/>
          <w:highlight w:val="none"/>
          <w:u w:val="none"/>
          <w:lang w:eastAsia="zh-CN"/>
        </w:rPr>
        <w:t>（</w:t>
      </w:r>
      <w:r>
        <w:rPr>
          <w:rFonts w:hint="eastAsia" w:ascii="Times New Roman" w:hAnsi="Times New Roman" w:eastAsia="仿宋"/>
          <w:color w:val="auto"/>
          <w:sz w:val="18"/>
          <w:szCs w:val="18"/>
          <w:highlight w:val="none"/>
          <w:u w:val="none"/>
          <w:lang w:val="en-US" w:eastAsia="zh-CN"/>
        </w:rPr>
        <w:t>含图纸会审</w:t>
      </w:r>
      <w:r>
        <w:rPr>
          <w:rFonts w:hint="eastAsia" w:ascii="Times New Roman" w:hAnsi="Times New Roman" w:eastAsia="仿宋"/>
          <w:color w:val="auto"/>
          <w:sz w:val="18"/>
          <w:szCs w:val="18"/>
          <w:highlight w:val="none"/>
          <w:u w:val="none"/>
          <w:lang w:eastAsia="zh-CN"/>
        </w:rPr>
        <w:t>）</w:t>
      </w:r>
    </w:p>
    <w:tbl>
      <w:tblPr>
        <w:tblStyle w:val="28"/>
        <w:tblW w:w="8927" w:type="dxa"/>
        <w:jc w:val="center"/>
        <w:tblBorders>
          <w:top w:val="none" w:color="auto" w:sz="0" w:space="0"/>
          <w:left w:val="none" w:color="auto" w:sz="0" w:space="0"/>
          <w:bottom w:val="none" w:color="auto" w:sz="0" w:space="0"/>
          <w:right w:val="none" w:color="auto" w:sz="0" w:space="0"/>
          <w:insideH w:val="dotDash" w:color="auto" w:sz="4" w:space="0"/>
          <w:insideV w:val="dotDash" w:color="auto" w:sz="4" w:space="0"/>
        </w:tblBorders>
        <w:tblLayout w:type="autofit"/>
        <w:tblCellMar>
          <w:top w:w="0" w:type="dxa"/>
          <w:left w:w="108" w:type="dxa"/>
          <w:bottom w:w="0" w:type="dxa"/>
          <w:right w:w="108" w:type="dxa"/>
        </w:tblCellMar>
      </w:tblPr>
      <w:tblGrid>
        <w:gridCol w:w="1076"/>
        <w:gridCol w:w="1521"/>
        <w:gridCol w:w="1222"/>
        <w:gridCol w:w="1232"/>
        <w:gridCol w:w="1232"/>
        <w:gridCol w:w="1234"/>
        <w:gridCol w:w="1410"/>
      </w:tblGrid>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500" w:hRule="atLeast"/>
          <w:jc w:val="center"/>
        </w:trPr>
        <w:tc>
          <w:tcPr>
            <w:tcW w:w="1076" w:type="dxa"/>
            <w:tcBorders>
              <w:bottom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过程</w:t>
            </w:r>
          </w:p>
        </w:tc>
        <w:tc>
          <w:tcPr>
            <w:tcW w:w="1521" w:type="dxa"/>
            <w:tcBorders>
              <w:left w:val="single" w:color="auto" w:sz="12" w:space="0"/>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负责单位（部门）</w:t>
            </w:r>
          </w:p>
        </w:tc>
        <w:tc>
          <w:tcPr>
            <w:tcW w:w="1222"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工作摘要</w:t>
            </w:r>
          </w:p>
        </w:tc>
        <w:tc>
          <w:tcPr>
            <w:tcW w:w="1232"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Ⅰ类设计变更时限</w:t>
            </w:r>
          </w:p>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（工作日）</w:t>
            </w:r>
          </w:p>
        </w:tc>
        <w:tc>
          <w:tcPr>
            <w:tcW w:w="1232"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Ⅱ类设计变更时限</w:t>
            </w:r>
          </w:p>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（工作日）</w:t>
            </w:r>
          </w:p>
        </w:tc>
        <w:tc>
          <w:tcPr>
            <w:tcW w:w="1234"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lang w:eastAsia="zh-CN"/>
              </w:rPr>
              <w:t>Ⅲ</w:t>
            </w:r>
            <w:r>
              <w:rPr>
                <w:rFonts w:hint="eastAsia" w:ascii="仿宋" w:hAnsi="仿宋" w:eastAsia="仿宋" w:cs="仿宋"/>
                <w:color w:val="auto"/>
                <w:sz w:val="18"/>
                <w:szCs w:val="18"/>
                <w:highlight w:val="none"/>
                <w:u w:val="none"/>
                <w:lang w:val="en-US" w:eastAsia="zh-CN"/>
              </w:rPr>
              <w:t>类</w:t>
            </w:r>
            <w:r>
              <w:rPr>
                <w:rFonts w:hint="eastAsia" w:ascii="仿宋" w:hAnsi="仿宋" w:eastAsia="仿宋" w:cs="仿宋"/>
                <w:color w:val="auto"/>
                <w:sz w:val="18"/>
                <w:szCs w:val="18"/>
                <w:highlight w:val="none"/>
                <w:u w:val="none"/>
              </w:rPr>
              <w:t>设计变更时限</w:t>
            </w:r>
          </w:p>
          <w:p>
            <w:pPr>
              <w:widowControl/>
              <w:jc w:val="center"/>
              <w:textAlignment w:val="center"/>
              <w:rPr>
                <w:rFonts w:hint="eastAsia" w:ascii="仿宋" w:hAnsi="仿宋" w:eastAsia="仿宋" w:cs="仿宋"/>
                <w:color w:val="auto"/>
                <w:kern w:val="0"/>
                <w:sz w:val="18"/>
                <w:szCs w:val="18"/>
                <w:highlight w:val="none"/>
                <w:u w:val="none"/>
                <w:lang w:bidi="ar"/>
              </w:rPr>
            </w:pPr>
            <w:r>
              <w:rPr>
                <w:rFonts w:hint="eastAsia" w:ascii="仿宋" w:hAnsi="仿宋" w:eastAsia="仿宋" w:cs="仿宋"/>
                <w:color w:val="auto"/>
                <w:sz w:val="18"/>
                <w:szCs w:val="18"/>
                <w:highlight w:val="none"/>
                <w:u w:val="none"/>
              </w:rPr>
              <w:t>（工作日）</w:t>
            </w:r>
          </w:p>
        </w:tc>
        <w:tc>
          <w:tcPr>
            <w:tcW w:w="1410"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379" w:hRule="atLeast"/>
          <w:jc w:val="center"/>
        </w:trPr>
        <w:tc>
          <w:tcPr>
            <w:tcW w:w="1076" w:type="dxa"/>
            <w:tcBorders>
              <w:top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发起</w:t>
            </w:r>
            <w:r>
              <w:rPr>
                <w:rFonts w:hint="eastAsia" w:ascii="仿宋" w:hAnsi="仿宋" w:eastAsia="仿宋" w:cs="仿宋"/>
                <w:b/>
                <w:bCs/>
                <w:color w:val="auto"/>
                <w:kern w:val="0"/>
                <w:sz w:val="18"/>
                <w:szCs w:val="18"/>
                <w:highlight w:val="none"/>
                <w:u w:val="none"/>
                <w:lang w:bidi="ar"/>
              </w:rPr>
              <w:br w:type="textWrapping"/>
            </w:r>
          </w:p>
        </w:tc>
        <w:tc>
          <w:tcPr>
            <w:tcW w:w="1521" w:type="dxa"/>
            <w:tcBorders>
              <w:top w:val="single" w:color="auto" w:sz="12" w:space="0"/>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设计单位</w:t>
            </w:r>
          </w:p>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w:t>
            </w:r>
            <w:r>
              <w:rPr>
                <w:rFonts w:hint="eastAsia" w:ascii="仿宋" w:hAnsi="仿宋" w:eastAsia="仿宋" w:cs="仿宋"/>
                <w:color w:val="auto"/>
                <w:sz w:val="18"/>
                <w:szCs w:val="18"/>
                <w:highlight w:val="none"/>
                <w:u w:val="none"/>
                <w:lang w:eastAsia="zh-CN"/>
              </w:rPr>
              <w:t>前期管理部门</w:t>
            </w:r>
            <w:r>
              <w:rPr>
                <w:rFonts w:hint="eastAsia" w:ascii="仿宋" w:hAnsi="仿宋" w:eastAsia="仿宋" w:cs="仿宋"/>
                <w:color w:val="auto"/>
                <w:sz w:val="18"/>
                <w:szCs w:val="18"/>
                <w:highlight w:val="none"/>
                <w:u w:val="none"/>
              </w:rPr>
              <w:t>组织）</w:t>
            </w:r>
          </w:p>
        </w:tc>
        <w:tc>
          <w:tcPr>
            <w:tcW w:w="1222"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rPr>
            </w:pPr>
          </w:p>
          <w:p>
            <w:pPr>
              <w:jc w:val="left"/>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绘制草图，编制预算，发起设计变更</w:t>
            </w:r>
          </w:p>
        </w:tc>
        <w:tc>
          <w:tcPr>
            <w:tcW w:w="1232"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5</w:t>
            </w:r>
          </w:p>
        </w:tc>
        <w:tc>
          <w:tcPr>
            <w:tcW w:w="1232"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5</w:t>
            </w:r>
          </w:p>
        </w:tc>
        <w:tc>
          <w:tcPr>
            <w:tcW w:w="1234"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5</w:t>
            </w:r>
          </w:p>
        </w:tc>
        <w:tc>
          <w:tcPr>
            <w:tcW w:w="1410"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singl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949" w:hRule="atLeast"/>
          <w:jc w:val="center"/>
        </w:trPr>
        <w:tc>
          <w:tcPr>
            <w:tcW w:w="1076" w:type="dxa"/>
            <w:vMerge w:val="restart"/>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内部呈批</w:t>
            </w: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eastAsia="zh-CN"/>
              </w:rPr>
              <w:t>前期管理部门</w:t>
            </w:r>
          </w:p>
        </w:tc>
        <w:tc>
          <w:tcPr>
            <w:tcW w:w="1222"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复核</w:t>
            </w:r>
          </w:p>
        </w:tc>
        <w:tc>
          <w:tcPr>
            <w:tcW w:w="1232"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3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410"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37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b/>
                <w:bCs/>
                <w:color w:val="auto"/>
                <w:kern w:val="0"/>
                <w:sz w:val="18"/>
                <w:szCs w:val="18"/>
                <w:highlight w:val="none"/>
                <w:u w:val="none"/>
                <w:lang w:bidi="ar"/>
              </w:rPr>
            </w:pP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工程管理部门</w:t>
            </w:r>
          </w:p>
          <w:p>
            <w:pPr>
              <w:jc w:val="center"/>
              <w:rPr>
                <w:rFonts w:hint="eastAsia" w:ascii="仿宋" w:hAnsi="仿宋" w:eastAsia="仿宋" w:cs="仿宋"/>
                <w:color w:val="auto"/>
                <w:sz w:val="18"/>
                <w:szCs w:val="18"/>
                <w:highlight w:val="none"/>
                <w:u w:val="none"/>
                <w:lang w:eastAsia="zh-CN"/>
              </w:rPr>
            </w:pPr>
          </w:p>
        </w:tc>
        <w:tc>
          <w:tcPr>
            <w:tcW w:w="1222"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会签</w:t>
            </w:r>
          </w:p>
        </w:tc>
        <w:tc>
          <w:tcPr>
            <w:tcW w:w="1232"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3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410" w:type="dxa"/>
            <w:noWrap w:val="0"/>
            <w:vAlign w:val="center"/>
          </w:tcPr>
          <w:p>
            <w:pPr>
              <w:jc w:val="left"/>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eastAsia="zh-CN"/>
              </w:rPr>
              <w:t>Ⅲ</w:t>
            </w:r>
            <w:r>
              <w:rPr>
                <w:rFonts w:hint="eastAsia" w:ascii="仿宋" w:hAnsi="仿宋" w:eastAsia="仿宋" w:cs="仿宋"/>
                <w:color w:val="auto"/>
                <w:sz w:val="18"/>
                <w:szCs w:val="18"/>
                <w:highlight w:val="none"/>
                <w:u w:val="none"/>
                <w:lang w:val="en-US" w:eastAsia="zh-CN"/>
              </w:rPr>
              <w:t>类</w:t>
            </w:r>
            <w:r>
              <w:rPr>
                <w:rFonts w:hint="eastAsia" w:ascii="仿宋" w:hAnsi="仿宋" w:eastAsia="仿宋" w:cs="仿宋"/>
                <w:color w:val="auto"/>
                <w:sz w:val="18"/>
                <w:szCs w:val="18"/>
                <w:highlight w:val="none"/>
                <w:u w:val="none"/>
              </w:rPr>
              <w:t>设计变更</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前期管理部门认为必要时，工程管理部门予以会签。</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88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局党组会</w:t>
            </w:r>
          </w:p>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（局务会）</w:t>
            </w:r>
          </w:p>
        </w:tc>
        <w:tc>
          <w:tcPr>
            <w:tcW w:w="122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审定</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根据实际时间</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34"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0" w:type="dxa"/>
            <w:noWrap w:val="0"/>
            <w:vAlign w:val="center"/>
          </w:tcPr>
          <w:p>
            <w:pPr>
              <w:jc w:val="left"/>
              <w:rPr>
                <w:rFonts w:hint="eastAsia" w:ascii="仿宋" w:hAnsi="仿宋" w:eastAsia="仿宋" w:cs="仿宋"/>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37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1" w:type="dxa"/>
            <w:tcBorders>
              <w:left w:val="single" w:color="auto" w:sz="12" w:space="0"/>
            </w:tcBorders>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rPr>
              <w:t>分管工程管理部门局领导</w:t>
            </w:r>
          </w:p>
        </w:tc>
        <w:tc>
          <w:tcPr>
            <w:tcW w:w="1222"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rPr>
              <w:t>审核</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32"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w:t>
            </w:r>
          </w:p>
        </w:tc>
        <w:tc>
          <w:tcPr>
            <w:tcW w:w="1410" w:type="dxa"/>
            <w:noWrap w:val="0"/>
            <w:vAlign w:val="center"/>
          </w:tcPr>
          <w:p>
            <w:pPr>
              <w:jc w:val="left"/>
              <w:rPr>
                <w:rFonts w:hint="default"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rPr>
              <w:t>Ⅱ类设计变更</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分管工程管理部门局领导应审核</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72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分管</w:t>
            </w:r>
            <w:r>
              <w:rPr>
                <w:rFonts w:hint="eastAsia" w:ascii="仿宋" w:hAnsi="仿宋" w:eastAsia="仿宋" w:cs="仿宋"/>
                <w:color w:val="auto"/>
                <w:sz w:val="18"/>
                <w:szCs w:val="18"/>
                <w:highlight w:val="none"/>
                <w:u w:val="none"/>
                <w:lang w:eastAsia="zh-CN"/>
              </w:rPr>
              <w:t>前期管理部门</w:t>
            </w:r>
            <w:r>
              <w:rPr>
                <w:rFonts w:hint="eastAsia" w:ascii="仿宋" w:hAnsi="仿宋" w:eastAsia="仿宋" w:cs="仿宋"/>
                <w:color w:val="auto"/>
                <w:sz w:val="18"/>
                <w:szCs w:val="18"/>
                <w:highlight w:val="none"/>
                <w:u w:val="none"/>
              </w:rPr>
              <w:t>局领导</w:t>
            </w:r>
          </w:p>
        </w:tc>
        <w:tc>
          <w:tcPr>
            <w:tcW w:w="122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rPr>
              <w:t>审核</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审批</w:t>
            </w:r>
            <w:r>
              <w:rPr>
                <w:rFonts w:hint="eastAsia" w:ascii="仿宋" w:hAnsi="仿宋" w:eastAsia="仿宋" w:cs="仿宋"/>
                <w:color w:val="auto"/>
                <w:sz w:val="18"/>
                <w:szCs w:val="18"/>
                <w:highlight w:val="none"/>
                <w:u w:val="none"/>
                <w:lang w:eastAsia="zh-CN"/>
              </w:rPr>
              <w:t>）</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3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410"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379" w:hRule="atLeast"/>
          <w:jc w:val="center"/>
        </w:trPr>
        <w:tc>
          <w:tcPr>
            <w:tcW w:w="1076"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1"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主要领导</w:t>
            </w:r>
          </w:p>
        </w:tc>
        <w:tc>
          <w:tcPr>
            <w:tcW w:w="1222"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审批</w:t>
            </w:r>
          </w:p>
        </w:tc>
        <w:tc>
          <w:tcPr>
            <w:tcW w:w="123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32"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34"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0" w:type="dxa"/>
            <w:noWrap w:val="0"/>
            <w:vAlign w:val="center"/>
          </w:tcPr>
          <w:p>
            <w:pPr>
              <w:jc w:val="center"/>
              <w:rPr>
                <w:rFonts w:hint="eastAsia" w:ascii="仿宋" w:hAnsi="仿宋" w:eastAsia="仿宋" w:cs="仿宋"/>
                <w:color w:val="auto"/>
                <w:sz w:val="18"/>
                <w:szCs w:val="18"/>
                <w:highlight w:val="none"/>
                <w:u w:val="none"/>
              </w:rPr>
            </w:pPr>
          </w:p>
        </w:tc>
      </w:tr>
    </w:tbl>
    <w:p>
      <w:pPr>
        <w:spacing w:line="600" w:lineRule="exact"/>
        <w:jc w:val="both"/>
        <w:rPr>
          <w:rFonts w:hint="eastAsia" w:ascii="Times New Roman" w:hAnsi="Times New Roman" w:eastAsia="仿宋"/>
          <w:color w:val="auto"/>
          <w:sz w:val="32"/>
          <w:szCs w:val="32"/>
          <w:highlight w:val="none"/>
          <w:u w:val="none"/>
        </w:rPr>
      </w:pPr>
      <w:r>
        <w:rPr>
          <w:rFonts w:hint="eastAsia" w:ascii="仿宋" w:hAnsi="仿宋" w:eastAsia="仿宋" w:cs="仿宋"/>
          <w:color w:val="auto"/>
          <w:sz w:val="18"/>
          <w:szCs w:val="18"/>
          <w:highlight w:val="none"/>
          <w:u w:val="none"/>
          <w:lang w:val="en-US" w:eastAsia="zh-CN"/>
        </w:rPr>
        <w:t>注：图纸会审阶段要求：施工招标完成后，由工程管理部门牵头，会同前期管理部门，组织各参建单位开展图纸会审工作。原则上，图纸会审工作需在签订施工合同后3个月内完成。</w:t>
      </w:r>
    </w:p>
    <w:p>
      <w:pPr>
        <w:spacing w:line="600" w:lineRule="exact"/>
        <w:ind w:firstLine="360" w:firstLineChars="200"/>
        <w:jc w:val="left"/>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续上文</w:t>
      </w:r>
      <w:r>
        <w:rPr>
          <w:rFonts w:hint="eastAsia" w:ascii="仿宋" w:hAnsi="仿宋" w:eastAsia="仿宋" w:cs="仿宋"/>
          <w:color w:val="auto"/>
          <w:sz w:val="18"/>
          <w:szCs w:val="18"/>
          <w:highlight w:val="none"/>
          <w:u w:val="none"/>
          <w:lang w:eastAsia="zh-CN"/>
        </w:rPr>
        <w:t>）</w:t>
      </w:r>
    </w:p>
    <w:p>
      <w:pPr>
        <w:spacing w:line="600" w:lineRule="exact"/>
        <w:ind w:firstLine="360" w:firstLineChars="200"/>
        <w:jc w:val="left"/>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rPr>
        <w:t>（二）项目进入施工阶段后</w:t>
      </w:r>
    </w:p>
    <w:tbl>
      <w:tblPr>
        <w:tblStyle w:val="28"/>
        <w:tblW w:w="8944" w:type="dxa"/>
        <w:jc w:val="center"/>
        <w:tblBorders>
          <w:top w:val="none" w:color="auto" w:sz="0" w:space="0"/>
          <w:left w:val="none" w:color="auto" w:sz="0" w:space="0"/>
          <w:bottom w:val="none" w:color="auto" w:sz="0" w:space="0"/>
          <w:right w:val="none" w:color="auto" w:sz="0" w:space="0"/>
          <w:insideH w:val="dotDash" w:color="auto" w:sz="4" w:space="0"/>
          <w:insideV w:val="dotDash" w:color="auto" w:sz="4" w:space="0"/>
        </w:tblBorders>
        <w:tblLayout w:type="autofit"/>
        <w:tblCellMar>
          <w:top w:w="0" w:type="dxa"/>
          <w:left w:w="108" w:type="dxa"/>
          <w:bottom w:w="0" w:type="dxa"/>
          <w:right w:w="108" w:type="dxa"/>
        </w:tblCellMar>
      </w:tblPr>
      <w:tblGrid>
        <w:gridCol w:w="1087"/>
        <w:gridCol w:w="1529"/>
        <w:gridCol w:w="1211"/>
        <w:gridCol w:w="1245"/>
        <w:gridCol w:w="1215"/>
        <w:gridCol w:w="1245"/>
        <w:gridCol w:w="1412"/>
      </w:tblGrid>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500" w:hRule="atLeast"/>
          <w:jc w:val="center"/>
        </w:trPr>
        <w:tc>
          <w:tcPr>
            <w:tcW w:w="1087" w:type="dxa"/>
            <w:tcBorders>
              <w:bottom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过程</w:t>
            </w:r>
          </w:p>
        </w:tc>
        <w:tc>
          <w:tcPr>
            <w:tcW w:w="1529" w:type="dxa"/>
            <w:tcBorders>
              <w:left w:val="single" w:color="auto" w:sz="12" w:space="0"/>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负责单位（部门）</w:t>
            </w:r>
          </w:p>
        </w:tc>
        <w:tc>
          <w:tcPr>
            <w:tcW w:w="1211"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kern w:val="0"/>
                <w:sz w:val="18"/>
                <w:szCs w:val="18"/>
                <w:highlight w:val="none"/>
                <w:u w:val="none"/>
                <w:lang w:bidi="ar"/>
              </w:rPr>
              <w:t>工作摘要</w:t>
            </w:r>
          </w:p>
        </w:tc>
        <w:tc>
          <w:tcPr>
            <w:tcW w:w="1245"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Ⅰ类设计变更时限</w:t>
            </w:r>
          </w:p>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（工作日）</w:t>
            </w:r>
          </w:p>
        </w:tc>
        <w:tc>
          <w:tcPr>
            <w:tcW w:w="1215"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Ⅱ</w:t>
            </w:r>
            <w:r>
              <w:rPr>
                <w:rFonts w:hint="eastAsia" w:ascii="仿宋" w:hAnsi="仿宋" w:eastAsia="仿宋" w:cs="仿宋"/>
                <w:color w:val="auto"/>
                <w:kern w:val="0"/>
                <w:sz w:val="18"/>
                <w:szCs w:val="18"/>
                <w:highlight w:val="none"/>
                <w:u w:val="none"/>
                <w:lang w:bidi="ar"/>
              </w:rPr>
              <w:t>类设计变更时限（工作日）</w:t>
            </w:r>
          </w:p>
        </w:tc>
        <w:tc>
          <w:tcPr>
            <w:tcW w:w="1245" w:type="dxa"/>
            <w:tcBorders>
              <w:bottom w:val="single" w:color="auto" w:sz="12" w:space="0"/>
            </w:tcBorders>
            <w:noWrap w:val="0"/>
            <w:vAlign w:val="center"/>
          </w:tcPr>
          <w:p>
            <w:pPr>
              <w:widowControl/>
              <w:jc w:val="center"/>
              <w:textAlignment w:val="center"/>
              <w:rPr>
                <w:rFonts w:hint="eastAsia" w:ascii="仿宋" w:hAnsi="仿宋" w:eastAsia="仿宋" w:cs="仿宋"/>
                <w:color w:val="auto"/>
                <w:kern w:val="0"/>
                <w:sz w:val="18"/>
                <w:szCs w:val="18"/>
                <w:highlight w:val="none"/>
                <w:u w:val="none"/>
                <w:lang w:bidi="ar"/>
              </w:rPr>
            </w:pPr>
            <w:r>
              <w:rPr>
                <w:rFonts w:hint="eastAsia" w:ascii="仿宋" w:hAnsi="仿宋" w:eastAsia="仿宋" w:cs="仿宋"/>
                <w:color w:val="auto"/>
                <w:sz w:val="18"/>
                <w:szCs w:val="18"/>
                <w:highlight w:val="none"/>
                <w:u w:val="none"/>
                <w:lang w:eastAsia="zh-CN"/>
              </w:rPr>
              <w:t>Ⅲ</w:t>
            </w:r>
            <w:r>
              <w:rPr>
                <w:rFonts w:hint="eastAsia" w:ascii="仿宋" w:hAnsi="仿宋" w:eastAsia="仿宋" w:cs="仿宋"/>
                <w:color w:val="auto"/>
                <w:sz w:val="18"/>
                <w:szCs w:val="18"/>
                <w:highlight w:val="none"/>
                <w:u w:val="none"/>
                <w:lang w:val="en-US" w:eastAsia="zh-CN"/>
              </w:rPr>
              <w:t>类</w:t>
            </w:r>
            <w:r>
              <w:rPr>
                <w:rFonts w:hint="eastAsia" w:ascii="仿宋" w:hAnsi="仿宋" w:eastAsia="仿宋" w:cs="仿宋"/>
                <w:color w:val="auto"/>
                <w:kern w:val="0"/>
                <w:sz w:val="18"/>
                <w:szCs w:val="18"/>
                <w:highlight w:val="none"/>
                <w:u w:val="none"/>
                <w:lang w:bidi="ar"/>
              </w:rPr>
              <w:t>设计变更时限（工作日）</w:t>
            </w:r>
          </w:p>
        </w:tc>
        <w:tc>
          <w:tcPr>
            <w:tcW w:w="1412"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700" w:hRule="atLeast"/>
          <w:jc w:val="center"/>
        </w:trPr>
        <w:tc>
          <w:tcPr>
            <w:tcW w:w="1087" w:type="dxa"/>
            <w:tcBorders>
              <w:top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发起</w:t>
            </w:r>
            <w:r>
              <w:rPr>
                <w:rFonts w:hint="eastAsia" w:ascii="仿宋" w:hAnsi="仿宋" w:eastAsia="仿宋" w:cs="仿宋"/>
                <w:b/>
                <w:bCs/>
                <w:color w:val="auto"/>
                <w:kern w:val="0"/>
                <w:sz w:val="18"/>
                <w:szCs w:val="18"/>
                <w:highlight w:val="none"/>
                <w:u w:val="none"/>
                <w:lang w:bidi="ar"/>
              </w:rPr>
              <w:br w:type="textWrapping"/>
            </w:r>
          </w:p>
        </w:tc>
        <w:tc>
          <w:tcPr>
            <w:tcW w:w="1529" w:type="dxa"/>
            <w:tcBorders>
              <w:top w:val="single" w:color="auto" w:sz="12" w:space="0"/>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监理单位</w:t>
            </w:r>
          </w:p>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（工程管理部门组织）</w:t>
            </w:r>
          </w:p>
        </w:tc>
        <w:tc>
          <w:tcPr>
            <w:tcW w:w="1211" w:type="dxa"/>
            <w:tcBorders>
              <w:top w:val="single" w:color="auto" w:sz="12" w:space="0"/>
            </w:tcBorders>
            <w:noWrap w:val="0"/>
            <w:vAlign w:val="center"/>
          </w:tcPr>
          <w:p>
            <w:pP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发起设计变更</w:t>
            </w:r>
          </w:p>
        </w:tc>
        <w:tc>
          <w:tcPr>
            <w:tcW w:w="1245"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rPr>
              <w:t>3</w:t>
            </w:r>
          </w:p>
        </w:tc>
        <w:tc>
          <w:tcPr>
            <w:tcW w:w="1215"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3</w:t>
            </w:r>
          </w:p>
        </w:tc>
        <w:tc>
          <w:tcPr>
            <w:tcW w:w="1245"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3</w:t>
            </w:r>
          </w:p>
        </w:tc>
        <w:tc>
          <w:tcPr>
            <w:tcW w:w="1412" w:type="dxa"/>
            <w:tcBorders>
              <w:top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655" w:hRule="atLeast"/>
          <w:jc w:val="center"/>
        </w:trPr>
        <w:tc>
          <w:tcPr>
            <w:tcW w:w="1087" w:type="dxa"/>
            <w:vMerge w:val="restart"/>
            <w:tcBorders>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外部呈批</w:t>
            </w: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设计单位</w:t>
            </w:r>
          </w:p>
        </w:tc>
        <w:tc>
          <w:tcPr>
            <w:tcW w:w="1211"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绘制草图</w:t>
            </w:r>
          </w:p>
        </w:tc>
        <w:tc>
          <w:tcPr>
            <w:tcW w:w="124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5</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5</w:t>
            </w:r>
          </w:p>
        </w:tc>
        <w:tc>
          <w:tcPr>
            <w:tcW w:w="1245"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5</w:t>
            </w:r>
          </w:p>
        </w:tc>
        <w:tc>
          <w:tcPr>
            <w:tcW w:w="1412" w:type="dxa"/>
            <w:noWrap w:val="0"/>
            <w:vAlign w:val="center"/>
          </w:tcPr>
          <w:p>
            <w:pPr>
              <w:jc w:val="center"/>
              <w:rPr>
                <w:rFonts w:hint="eastAsia" w:ascii="仿宋" w:hAnsi="仿宋" w:eastAsia="仿宋" w:cs="仿宋"/>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640"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施工单位</w:t>
            </w:r>
          </w:p>
        </w:tc>
        <w:tc>
          <w:tcPr>
            <w:tcW w:w="1211"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编制预算</w:t>
            </w:r>
          </w:p>
        </w:tc>
        <w:tc>
          <w:tcPr>
            <w:tcW w:w="124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5</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5</w:t>
            </w:r>
          </w:p>
        </w:tc>
        <w:tc>
          <w:tcPr>
            <w:tcW w:w="1245"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5</w:t>
            </w:r>
          </w:p>
        </w:tc>
        <w:tc>
          <w:tcPr>
            <w:tcW w:w="1412" w:type="dxa"/>
            <w:noWrap w:val="0"/>
            <w:vAlign w:val="center"/>
          </w:tcPr>
          <w:p>
            <w:pPr>
              <w:jc w:val="center"/>
              <w:rPr>
                <w:rFonts w:hint="eastAsia" w:ascii="仿宋" w:hAnsi="仿宋" w:eastAsia="仿宋" w:cs="仿宋"/>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532" w:hRule="atLeast"/>
          <w:jc w:val="center"/>
        </w:trPr>
        <w:tc>
          <w:tcPr>
            <w:tcW w:w="1087" w:type="dxa"/>
            <w:vMerge w:val="restart"/>
            <w:tcBorders>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u w:val="none"/>
              </w:rPr>
            </w:pPr>
            <w:r>
              <w:rPr>
                <w:rFonts w:hint="eastAsia" w:ascii="仿宋" w:hAnsi="仿宋" w:eastAsia="仿宋" w:cs="仿宋"/>
                <w:b/>
                <w:bCs/>
                <w:color w:val="auto"/>
                <w:kern w:val="0"/>
                <w:sz w:val="18"/>
                <w:szCs w:val="18"/>
                <w:highlight w:val="none"/>
                <w:u w:val="none"/>
                <w:lang w:bidi="ar"/>
              </w:rPr>
              <w:t>内部呈批</w:t>
            </w: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工程管理部门</w:t>
            </w:r>
          </w:p>
        </w:tc>
        <w:tc>
          <w:tcPr>
            <w:tcW w:w="1211"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复核</w:t>
            </w:r>
          </w:p>
        </w:tc>
        <w:tc>
          <w:tcPr>
            <w:tcW w:w="124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2</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412"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081"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eastAsia="zh-CN"/>
              </w:rPr>
              <w:t>前期管理部门</w:t>
            </w:r>
          </w:p>
        </w:tc>
        <w:tc>
          <w:tcPr>
            <w:tcW w:w="1211"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会签</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412" w:type="dxa"/>
            <w:noWrap w:val="0"/>
            <w:vAlign w:val="center"/>
          </w:tcPr>
          <w:p>
            <w:pPr>
              <w:jc w:val="left"/>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eastAsia="zh-CN"/>
              </w:rPr>
              <w:t>Ⅲ</w:t>
            </w:r>
            <w:r>
              <w:rPr>
                <w:rFonts w:hint="eastAsia" w:ascii="仿宋" w:hAnsi="仿宋" w:eastAsia="仿宋" w:cs="仿宋"/>
                <w:color w:val="auto"/>
                <w:sz w:val="18"/>
                <w:szCs w:val="18"/>
                <w:highlight w:val="none"/>
                <w:u w:val="none"/>
                <w:lang w:val="en-US" w:eastAsia="zh-CN"/>
              </w:rPr>
              <w:t>类</w:t>
            </w:r>
            <w:r>
              <w:rPr>
                <w:rFonts w:hint="eastAsia" w:ascii="仿宋" w:hAnsi="仿宋" w:eastAsia="仿宋" w:cs="仿宋"/>
                <w:color w:val="auto"/>
                <w:sz w:val="18"/>
                <w:szCs w:val="18"/>
                <w:highlight w:val="none"/>
                <w:u w:val="none"/>
              </w:rPr>
              <w:t>设计变更</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工程管理部门认为必要时，工程管理部门予以会签。</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703"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局党组会</w:t>
            </w:r>
          </w:p>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lang w:val="en-US" w:eastAsia="zh-CN"/>
              </w:rPr>
              <w:t>（局务会）</w:t>
            </w:r>
          </w:p>
        </w:tc>
        <w:tc>
          <w:tcPr>
            <w:tcW w:w="1211" w:type="dxa"/>
            <w:noWrap w:val="0"/>
            <w:vAlign w:val="center"/>
          </w:tcPr>
          <w:p>
            <w:pPr>
              <w:jc w:val="center"/>
              <w:rPr>
                <w:rFonts w:hint="default"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kern w:val="2"/>
                <w:sz w:val="18"/>
                <w:szCs w:val="18"/>
                <w:highlight w:val="none"/>
                <w:u w:val="none"/>
                <w:lang w:val="en-US" w:eastAsia="zh-CN" w:bidi="ar-SA"/>
              </w:rPr>
              <w:t>审定</w:t>
            </w:r>
          </w:p>
        </w:tc>
        <w:tc>
          <w:tcPr>
            <w:tcW w:w="124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根据实际时间</w:t>
            </w:r>
          </w:p>
        </w:tc>
        <w:tc>
          <w:tcPr>
            <w:tcW w:w="1215" w:type="dxa"/>
            <w:noWrap w:val="0"/>
            <w:vAlign w:val="center"/>
          </w:tcPr>
          <w:p>
            <w:pPr>
              <w:jc w:val="center"/>
              <w:rPr>
                <w:rFonts w:hint="eastAsia" w:ascii="仿宋" w:hAnsi="仿宋" w:eastAsia="仿宋" w:cs="仿宋"/>
                <w:color w:val="auto"/>
                <w:kern w:val="2"/>
                <w:sz w:val="18"/>
                <w:szCs w:val="18"/>
                <w:highlight w:val="none"/>
                <w:u w:val="none"/>
                <w:lang w:val="en-US" w:eastAsia="zh-CN" w:bidi="ar-SA"/>
              </w:rPr>
            </w:pPr>
            <w:r>
              <w:rPr>
                <w:rFonts w:hint="eastAsia" w:ascii="仿宋" w:hAnsi="仿宋" w:eastAsia="仿宋" w:cs="仿宋"/>
                <w:color w:val="auto"/>
                <w:sz w:val="18"/>
                <w:szCs w:val="18"/>
                <w:highlight w:val="none"/>
                <w:u w:val="none"/>
                <w:lang w:val="en-US" w:eastAsia="zh-CN"/>
              </w:rPr>
              <w:t>/</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2"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703"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分管工程管理部门局领导</w:t>
            </w:r>
          </w:p>
        </w:tc>
        <w:tc>
          <w:tcPr>
            <w:tcW w:w="1211"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rPr>
              <w:t>审核</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审批</w:t>
            </w:r>
            <w:r>
              <w:rPr>
                <w:rFonts w:hint="eastAsia" w:ascii="仿宋" w:hAnsi="仿宋" w:eastAsia="仿宋" w:cs="仿宋"/>
                <w:color w:val="auto"/>
                <w:sz w:val="18"/>
                <w:szCs w:val="18"/>
                <w:highlight w:val="none"/>
                <w:u w:val="none"/>
                <w:lang w:eastAsia="zh-CN"/>
              </w:rPr>
              <w:t>）</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2</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412" w:type="dxa"/>
            <w:noWrap w:val="0"/>
            <w:vAlign w:val="center"/>
          </w:tcPr>
          <w:p>
            <w:pPr>
              <w:jc w:val="center"/>
              <w:rPr>
                <w:rFonts w:hint="eastAsia" w:ascii="仿宋" w:hAnsi="仿宋" w:eastAsia="仿宋" w:cs="仿宋"/>
                <w:color w:val="auto"/>
                <w:sz w:val="18"/>
                <w:szCs w:val="18"/>
                <w:highlight w:val="none"/>
                <w:u w:val="none"/>
                <w:lang w:val="en-US" w:eastAsia="zh-CN"/>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880" w:hRule="atLeast"/>
          <w:jc w:val="center"/>
        </w:trPr>
        <w:tc>
          <w:tcPr>
            <w:tcW w:w="1087"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分管</w:t>
            </w:r>
            <w:r>
              <w:rPr>
                <w:rFonts w:hint="eastAsia" w:ascii="仿宋" w:hAnsi="仿宋" w:eastAsia="仿宋" w:cs="仿宋"/>
                <w:color w:val="auto"/>
                <w:sz w:val="18"/>
                <w:szCs w:val="18"/>
                <w:highlight w:val="none"/>
                <w:lang w:eastAsia="zh-CN"/>
              </w:rPr>
              <w:t>前期管理部门</w:t>
            </w:r>
            <w:r>
              <w:rPr>
                <w:rFonts w:hint="eastAsia" w:ascii="仿宋" w:hAnsi="仿宋" w:eastAsia="仿宋" w:cs="仿宋"/>
                <w:color w:val="auto"/>
                <w:sz w:val="18"/>
                <w:szCs w:val="18"/>
                <w:highlight w:val="none"/>
              </w:rPr>
              <w:t>局领导</w:t>
            </w:r>
          </w:p>
        </w:tc>
        <w:tc>
          <w:tcPr>
            <w:tcW w:w="1211"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rPr>
              <w:t>审核</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2"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rPr>
              <w:t>Ⅱ类设计变更</w:t>
            </w:r>
            <w:r>
              <w:rPr>
                <w:rFonts w:hint="eastAsia" w:ascii="仿宋" w:hAnsi="仿宋" w:eastAsia="仿宋" w:cs="仿宋"/>
                <w:color w:val="auto"/>
                <w:sz w:val="18"/>
                <w:szCs w:val="18"/>
                <w:highlight w:val="none"/>
                <w:u w:val="none"/>
                <w:lang w:eastAsia="zh-CN"/>
              </w:rPr>
              <w:t>，</w:t>
            </w:r>
            <w:r>
              <w:rPr>
                <w:rFonts w:hint="eastAsia" w:ascii="仿宋" w:hAnsi="仿宋" w:eastAsia="仿宋" w:cs="仿宋"/>
                <w:color w:val="auto"/>
                <w:sz w:val="18"/>
                <w:szCs w:val="18"/>
                <w:highlight w:val="none"/>
                <w:u w:val="none"/>
                <w:lang w:val="en-US" w:eastAsia="zh-CN"/>
              </w:rPr>
              <w:t>分管前期管理部门局领导应审核</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275" w:hRule="atLeast"/>
          <w:jc w:val="center"/>
        </w:trPr>
        <w:tc>
          <w:tcPr>
            <w:tcW w:w="1087" w:type="dxa"/>
            <w:tcBorders>
              <w:right w:val="single" w:color="auto" w:sz="12" w:space="0"/>
            </w:tcBorders>
            <w:noWrap w:val="0"/>
            <w:vAlign w:val="center"/>
          </w:tcPr>
          <w:p>
            <w:pPr>
              <w:jc w:val="center"/>
              <w:rPr>
                <w:rFonts w:hint="eastAsia" w:ascii="仿宋" w:hAnsi="仿宋" w:eastAsia="仿宋" w:cs="仿宋"/>
                <w:color w:val="auto"/>
                <w:sz w:val="18"/>
                <w:szCs w:val="18"/>
                <w:highlight w:val="none"/>
                <w:u w:val="none"/>
              </w:rPr>
            </w:pPr>
          </w:p>
        </w:tc>
        <w:tc>
          <w:tcPr>
            <w:tcW w:w="1529"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主要领导</w:t>
            </w:r>
          </w:p>
        </w:tc>
        <w:tc>
          <w:tcPr>
            <w:tcW w:w="1211" w:type="dxa"/>
            <w:noWrap w:val="0"/>
            <w:vAlign w:val="center"/>
          </w:tcPr>
          <w:p>
            <w:pPr>
              <w:jc w:val="center"/>
              <w:rPr>
                <w:rFonts w:hint="eastAsia" w:ascii="仿宋" w:hAnsi="仿宋" w:eastAsia="仿宋" w:cs="仿宋"/>
                <w:color w:val="auto"/>
                <w:sz w:val="18"/>
                <w:szCs w:val="18"/>
                <w:highlight w:val="none"/>
                <w:u w:val="none"/>
              </w:rPr>
            </w:pPr>
            <w:r>
              <w:rPr>
                <w:rFonts w:hint="eastAsia" w:ascii="仿宋" w:hAnsi="仿宋" w:eastAsia="仿宋" w:cs="仿宋"/>
                <w:color w:val="auto"/>
                <w:sz w:val="18"/>
                <w:szCs w:val="18"/>
                <w:highlight w:val="none"/>
                <w:u w:val="none"/>
              </w:rPr>
              <w:t>审批</w:t>
            </w:r>
          </w:p>
        </w:tc>
        <w:tc>
          <w:tcPr>
            <w:tcW w:w="1245" w:type="dxa"/>
            <w:noWrap w:val="0"/>
            <w:vAlign w:val="center"/>
          </w:tcPr>
          <w:p>
            <w:pPr>
              <w:jc w:val="center"/>
              <w:rPr>
                <w:rFonts w:hint="default"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215" w:type="dxa"/>
            <w:noWrap w:val="0"/>
            <w:vAlign w:val="center"/>
          </w:tcPr>
          <w:p>
            <w:pPr>
              <w:jc w:val="center"/>
              <w:rPr>
                <w:rFonts w:hint="eastAsia" w:ascii="仿宋" w:hAnsi="仿宋" w:eastAsia="仿宋" w:cs="仿宋"/>
                <w:color w:val="auto"/>
                <w:sz w:val="18"/>
                <w:szCs w:val="18"/>
                <w:highlight w:val="none"/>
                <w:u w:val="none"/>
                <w:lang w:eastAsia="zh-CN"/>
              </w:rPr>
            </w:pPr>
            <w:r>
              <w:rPr>
                <w:rFonts w:hint="eastAsia" w:ascii="仿宋" w:hAnsi="仿宋" w:eastAsia="仿宋" w:cs="仿宋"/>
                <w:color w:val="auto"/>
                <w:sz w:val="18"/>
                <w:szCs w:val="18"/>
                <w:highlight w:val="none"/>
                <w:u w:val="none"/>
                <w:lang w:val="en-US" w:eastAsia="zh-CN"/>
              </w:rPr>
              <w:t>2</w:t>
            </w:r>
          </w:p>
        </w:tc>
        <w:tc>
          <w:tcPr>
            <w:tcW w:w="1245" w:type="dxa"/>
            <w:noWrap w:val="0"/>
            <w:vAlign w:val="center"/>
          </w:tcPr>
          <w:p>
            <w:pPr>
              <w:jc w:val="center"/>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w:t>
            </w:r>
          </w:p>
        </w:tc>
        <w:tc>
          <w:tcPr>
            <w:tcW w:w="1412" w:type="dxa"/>
            <w:noWrap w:val="0"/>
            <w:vAlign w:val="center"/>
          </w:tcPr>
          <w:p>
            <w:pPr>
              <w:jc w:val="center"/>
              <w:rPr>
                <w:rFonts w:hint="eastAsia" w:ascii="仿宋" w:hAnsi="仿宋" w:eastAsia="仿宋" w:cs="仿宋"/>
                <w:color w:val="auto"/>
                <w:sz w:val="18"/>
                <w:szCs w:val="18"/>
                <w:highlight w:val="none"/>
                <w:u w:val="none"/>
              </w:rPr>
            </w:pPr>
          </w:p>
        </w:tc>
      </w:tr>
    </w:tbl>
    <w:p>
      <w:pPr>
        <w:widowControl/>
        <w:spacing w:line="600" w:lineRule="exact"/>
        <w:jc w:val="left"/>
        <w:rPr>
          <w:rFonts w:hint="eastAsia" w:ascii="仿宋" w:hAnsi="仿宋" w:eastAsia="仿宋" w:cs="仿宋"/>
          <w:color w:val="auto"/>
          <w:sz w:val="18"/>
          <w:szCs w:val="18"/>
          <w:highlight w:val="none"/>
          <w:u w:val="none"/>
          <w:lang w:val="en-US" w:eastAsia="zh-CN"/>
        </w:rPr>
      </w:pPr>
      <w:r>
        <w:rPr>
          <w:rFonts w:hint="eastAsia" w:ascii="仿宋" w:hAnsi="仿宋" w:eastAsia="仿宋" w:cs="仿宋"/>
          <w:color w:val="auto"/>
          <w:sz w:val="18"/>
          <w:szCs w:val="18"/>
          <w:highlight w:val="none"/>
          <w:u w:val="none"/>
          <w:lang w:val="en-US" w:eastAsia="zh-CN"/>
        </w:rPr>
        <w:t>注：本审批时限为一般情况下办理时限要求，特殊情况下除外，不含设计变更需要行政审批、专家论证、局党组、局务会议、完善资料、调整造价等时间。</w:t>
      </w:r>
    </w:p>
    <w:p>
      <w:pPr>
        <w:widowControl/>
        <w:spacing w:line="600" w:lineRule="exact"/>
        <w:jc w:val="left"/>
        <w:rPr>
          <w:rFonts w:hint="eastAsia" w:ascii="仿宋" w:hAnsi="仿宋" w:eastAsia="仿宋" w:cs="仿宋"/>
          <w:color w:val="auto"/>
          <w:sz w:val="18"/>
          <w:szCs w:val="18"/>
          <w:highlight w:val="none"/>
          <w:u w:val="none"/>
          <w:lang w:val="en-US" w:eastAsia="zh-CN"/>
        </w:rPr>
      </w:pPr>
    </w:p>
    <w:p>
      <w:pPr>
        <w:widowControl/>
        <w:spacing w:line="240" w:lineRule="auto"/>
        <w:jc w:val="left"/>
        <w:rPr>
          <w:rFonts w:hint="eastAsia" w:ascii="仿宋" w:hAnsi="仿宋" w:eastAsia="仿宋" w:cs="仿宋"/>
          <w:color w:val="auto"/>
          <w:highlight w:val="none"/>
          <w:u w:val="none"/>
        </w:rPr>
      </w:pPr>
      <w:r>
        <w:rPr>
          <w:rFonts w:hint="eastAsia" w:ascii="仿宋" w:hAnsi="仿宋" w:eastAsia="仿宋" w:cs="仿宋"/>
          <w:color w:val="auto"/>
          <w:highlight w:val="none"/>
          <w:u w:val="none"/>
        </w:rPr>
        <w:br w:type="page"/>
      </w:r>
    </w:p>
    <w:p>
      <w:pPr>
        <w:widowControl/>
        <w:spacing w:line="600" w:lineRule="exact"/>
        <w:jc w:val="left"/>
        <w:rPr>
          <w:rFonts w:hint="eastAsia" w:ascii="黑体" w:hAnsi="黑体" w:eastAsia="黑体"/>
          <w:color w:val="auto"/>
          <w:kern w:val="0"/>
          <w:sz w:val="32"/>
          <w:szCs w:val="32"/>
          <w:highlight w:val="none"/>
          <w:u w:val="none"/>
        </w:rPr>
      </w:pPr>
      <w:r>
        <w:rPr>
          <w:rFonts w:hint="eastAsia" w:ascii="仿宋" w:hAnsi="仿宋" w:eastAsia="仿宋" w:cs="仿宋"/>
          <w:color w:val="auto"/>
          <w:highlight w:val="none"/>
          <w:u w:val="none"/>
        </w:rPr>
        <w:t>附件四：</w:t>
      </w:r>
    </w:p>
    <w:p>
      <w:pPr>
        <w:widowControl/>
        <w:spacing w:line="600" w:lineRule="exact"/>
        <w:jc w:val="center"/>
        <w:rPr>
          <w:rFonts w:hint="eastAsia" w:ascii="黑体" w:hAnsi="黑体" w:eastAsia="黑体"/>
          <w:color w:val="auto"/>
          <w:kern w:val="0"/>
          <w:sz w:val="32"/>
          <w:szCs w:val="32"/>
          <w:highlight w:val="none"/>
          <w:u w:val="none"/>
        </w:rPr>
      </w:pPr>
      <w:r>
        <w:rPr>
          <w:rFonts w:hint="eastAsia" w:ascii="黑体" w:hAnsi="黑体" w:eastAsia="黑体"/>
          <w:color w:val="auto"/>
          <w:kern w:val="0"/>
          <w:sz w:val="32"/>
          <w:szCs w:val="32"/>
          <w:highlight w:val="none"/>
          <w:u w:val="none"/>
        </w:rPr>
        <w:t>广州市天河区建设工程项目代建局设计变更联系单</w:t>
      </w:r>
    </w:p>
    <w:p>
      <w:pPr>
        <w:widowControl/>
        <w:snapToGrid w:val="0"/>
        <w:spacing w:line="600" w:lineRule="exact"/>
        <w:ind w:left="225"/>
        <w:rPr>
          <w:rFonts w:hint="eastAsia" w:ascii="仿宋" w:hAnsi="仿宋" w:eastAsia="仿宋" w:cs="仿宋"/>
          <w:color w:val="auto"/>
          <w:kern w:val="0"/>
          <w:sz w:val="28"/>
          <w:szCs w:val="28"/>
          <w:highlight w:val="none"/>
          <w:u w:val="none"/>
        </w:rPr>
      </w:pPr>
      <w:r>
        <w:rPr>
          <w:rFonts w:hint="eastAsia" w:ascii="仿宋" w:hAnsi="仿宋" w:eastAsia="仿宋" w:cs="仿宋"/>
          <w:color w:val="auto"/>
          <w:kern w:val="0"/>
          <w:szCs w:val="21"/>
          <w:highlight w:val="none"/>
          <w:u w:val="none"/>
        </w:rPr>
        <w:t>工程名称：                                            编号：</w:t>
      </w:r>
    </w:p>
    <w:tbl>
      <w:tblPr>
        <w:tblStyle w:val="28"/>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3" w:hRule="atLeast"/>
        </w:trPr>
        <w:tc>
          <w:tcPr>
            <w:tcW w:w="8685" w:type="dxa"/>
            <w:noWrap w:val="0"/>
            <w:vAlign w:val="top"/>
          </w:tcPr>
          <w:p>
            <w:pPr>
              <w:widowControl/>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致                                     ：(设计单位)</w:t>
            </w: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由                           （单位或部门）提出的设计变更事项：</w:t>
            </w: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一、变更原因：</w:t>
            </w: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二、主要变更内容：</w:t>
            </w: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业经我局研究同意，请按规定办理设计变更。</w:t>
            </w:r>
          </w:p>
          <w:p>
            <w:pPr>
              <w:widowControl/>
              <w:spacing w:line="600" w:lineRule="exact"/>
              <w:ind w:firstLine="420"/>
              <w:rPr>
                <w:rFonts w:hint="eastAsia" w:ascii="仿宋" w:hAnsi="仿宋" w:eastAsia="仿宋" w:cs="仿宋"/>
                <w:color w:val="auto"/>
                <w:kern w:val="0"/>
                <w:szCs w:val="21"/>
                <w:highlight w:val="none"/>
                <w:u w:val="none"/>
              </w:rPr>
            </w:pPr>
          </w:p>
          <w:p>
            <w:pPr>
              <w:widowControl/>
              <w:spacing w:line="600" w:lineRule="exact"/>
              <w:ind w:firstLine="420"/>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附件：设计变更依据材料。</w:t>
            </w:r>
          </w:p>
          <w:p>
            <w:pPr>
              <w:widowControl/>
              <w:spacing w:line="600" w:lineRule="exact"/>
              <w:rPr>
                <w:rFonts w:hint="eastAsia" w:ascii="仿宋" w:hAnsi="仿宋" w:eastAsia="仿宋" w:cs="仿宋"/>
                <w:color w:val="auto"/>
                <w:kern w:val="0"/>
                <w:szCs w:val="21"/>
                <w:highlight w:val="none"/>
                <w:u w:val="none"/>
              </w:rPr>
            </w:pPr>
          </w:p>
          <w:p>
            <w:pPr>
              <w:widowControl/>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 xml:space="preserve">                                      建设单位（章）：                          </w:t>
            </w:r>
          </w:p>
          <w:p>
            <w:pPr>
              <w:widowControl/>
              <w:wordWrap w:val="0"/>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 xml:space="preserve">                                      项目负责人：                              </w:t>
            </w:r>
          </w:p>
          <w:p>
            <w:pPr>
              <w:widowControl/>
              <w:wordWrap w:val="0"/>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 xml:space="preserve">                                      日期：                                    </w:t>
            </w:r>
          </w:p>
        </w:tc>
      </w:tr>
    </w:tbl>
    <w:p>
      <w:pPr>
        <w:widowControl/>
        <w:snapToGrid w:val="0"/>
        <w:spacing w:line="600" w:lineRule="exac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注：本表由代建局发给设计单位，作为通知设计单位办理设计变更的书面材料。本表一式二份，代建局、设计单位各存一份。</w:t>
      </w:r>
    </w:p>
    <w:p>
      <w:pPr>
        <w:pStyle w:val="391"/>
        <w:spacing w:line="600" w:lineRule="exact"/>
        <w:rPr>
          <w:rFonts w:ascii="仿宋_GB2312" w:hAnsi="仿宋_GB2312"/>
          <w:color w:val="auto"/>
          <w:sz w:val="44"/>
          <w:szCs w:val="44"/>
          <w:highlight w:val="none"/>
          <w:u w:val="none"/>
        </w:rPr>
      </w:pPr>
      <w:r>
        <w:rPr>
          <w:rFonts w:hint="eastAsia" w:ascii="仿宋_GB2312" w:hAnsi="仿宋_GB2312"/>
          <w:color w:val="auto"/>
          <w:sz w:val="18"/>
          <w:szCs w:val="18"/>
          <w:highlight w:val="none"/>
          <w:u w:val="none"/>
        </w:rPr>
        <w:br w:type="page"/>
      </w:r>
      <w:r>
        <w:rPr>
          <w:rFonts w:hint="eastAsia" w:ascii="仿宋" w:hAnsi="仿宋" w:eastAsia="仿宋" w:cs="仿宋"/>
          <w:color w:val="auto"/>
          <w:highlight w:val="none"/>
          <w:u w:val="none"/>
        </w:rPr>
        <w:t>附件</w:t>
      </w:r>
      <w:r>
        <w:rPr>
          <w:rFonts w:hint="eastAsia" w:ascii="仿宋" w:hAnsi="仿宋" w:eastAsia="仿宋" w:cs="仿宋"/>
          <w:color w:val="auto"/>
          <w:highlight w:val="none"/>
          <w:u w:val="none"/>
          <w:lang w:val="en-US" w:eastAsia="zh-CN"/>
        </w:rPr>
        <w:t>五</w:t>
      </w:r>
      <w:r>
        <w:rPr>
          <w:rFonts w:hint="eastAsia" w:ascii="仿宋" w:hAnsi="仿宋" w:eastAsia="仿宋" w:cs="仿宋"/>
          <w:color w:val="auto"/>
          <w:highlight w:val="none"/>
          <w:u w:val="none"/>
        </w:rPr>
        <w:t>：</w:t>
      </w:r>
    </w:p>
    <w:p>
      <w:pPr>
        <w:widowControl/>
        <w:spacing w:line="600" w:lineRule="exact"/>
        <w:jc w:val="center"/>
        <w:rPr>
          <w:rFonts w:ascii="黑体" w:hAnsi="黑体" w:eastAsia="黑体"/>
          <w:color w:val="auto"/>
          <w:kern w:val="0"/>
          <w:sz w:val="32"/>
          <w:szCs w:val="32"/>
          <w:highlight w:val="none"/>
          <w:u w:val="none"/>
        </w:rPr>
      </w:pPr>
      <w:r>
        <w:rPr>
          <w:rFonts w:hint="eastAsia" w:ascii="黑体" w:hAnsi="黑体" w:eastAsia="黑体"/>
          <w:color w:val="auto"/>
          <w:kern w:val="0"/>
          <w:sz w:val="32"/>
          <w:szCs w:val="32"/>
          <w:highlight w:val="none"/>
          <w:u w:val="none"/>
        </w:rPr>
        <w:t>设计变更通知单</w:t>
      </w:r>
    </w:p>
    <w:p>
      <w:pPr>
        <w:widowControl/>
        <w:spacing w:line="600" w:lineRule="exact"/>
        <w:ind w:firstLine="210"/>
        <w:rPr>
          <w:rFonts w:hint="eastAsia" w:ascii="华文细黑" w:hAnsi="华文细黑" w:eastAsia="华文细黑"/>
          <w:color w:val="auto"/>
          <w:kern w:val="0"/>
          <w:szCs w:val="21"/>
          <w:highlight w:val="none"/>
          <w:u w:val="none"/>
        </w:rPr>
      </w:pPr>
      <w:r>
        <w:rPr>
          <w:rFonts w:hint="eastAsia" w:ascii="仿宋" w:hAnsi="仿宋" w:eastAsia="仿宋" w:cs="仿宋"/>
          <w:color w:val="auto"/>
          <w:kern w:val="0"/>
          <w:szCs w:val="21"/>
          <w:highlight w:val="none"/>
          <w:u w:val="none"/>
        </w:rPr>
        <w:t>工程名称:                                              共      页，第      页</w:t>
      </w:r>
    </w:p>
    <w:tbl>
      <w:tblPr>
        <w:tblStyle w:val="28"/>
        <w:tblW w:w="0" w:type="auto"/>
        <w:tblInd w:w="225" w:type="dxa"/>
        <w:tblLayout w:type="fixed"/>
        <w:tblCellMar>
          <w:top w:w="0" w:type="dxa"/>
          <w:left w:w="108" w:type="dxa"/>
          <w:bottom w:w="0" w:type="dxa"/>
          <w:right w:w="108" w:type="dxa"/>
        </w:tblCellMar>
      </w:tblPr>
      <w:tblGrid>
        <w:gridCol w:w="8373"/>
      </w:tblGrid>
      <w:tr>
        <w:tblPrEx>
          <w:tblCellMar>
            <w:top w:w="0" w:type="dxa"/>
            <w:left w:w="108" w:type="dxa"/>
            <w:bottom w:w="0" w:type="dxa"/>
            <w:right w:w="108" w:type="dxa"/>
          </w:tblCellMar>
        </w:tblPrEx>
        <w:trPr>
          <w:trHeight w:val="9019" w:hRule="atLeast"/>
        </w:trPr>
        <w:tc>
          <w:tcPr>
            <w:tcW w:w="8373" w:type="dxa"/>
            <w:tcBorders>
              <w:top w:val="single" w:color="000000" w:sz="4" w:space="0"/>
              <w:left w:val="single" w:color="000000" w:sz="4" w:space="0"/>
              <w:bottom w:val="single" w:color="000000" w:sz="4" w:space="0"/>
              <w:right w:val="single" w:color="000000" w:sz="4" w:space="0"/>
            </w:tcBorders>
            <w:noWrap w:val="0"/>
            <w:vAlign w:val="top"/>
          </w:tcPr>
          <w:p>
            <w:pPr>
              <w:widowControl/>
              <w:spacing w:line="600" w:lineRule="exact"/>
              <w:rPr>
                <w:rFonts w:hint="eastAsia" w:ascii="仿宋" w:hAnsi="仿宋" w:eastAsia="仿宋" w:cs="仿宋"/>
                <w:color w:val="auto"/>
                <w:kern w:val="0"/>
                <w:szCs w:val="21"/>
                <w:highlight w:val="none"/>
                <w:u w:val="none"/>
              </w:rPr>
            </w:pPr>
            <w:r>
              <w:rPr>
                <w:rFonts w:hint="eastAsia" w:ascii="仿宋" w:hAnsi="仿宋" w:eastAsia="仿宋" w:cs="仿宋"/>
                <w:color w:val="auto"/>
                <w:kern w:val="0"/>
                <w:szCs w:val="21"/>
                <w:highlight w:val="none"/>
                <w:u w:val="none"/>
              </w:rPr>
              <w:t>（格式可按本项目设计单位的执行）</w:t>
            </w:r>
          </w:p>
        </w:tc>
      </w:tr>
    </w:tbl>
    <w:p>
      <w:pPr>
        <w:widowControl/>
        <w:spacing w:line="600" w:lineRule="exact"/>
        <w:ind w:firstLine="180"/>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注：1.本表由设计单位分专业填写，一表一专业，审查和呈批通过后，作为现场设计变更实施的依据。</w:t>
      </w:r>
    </w:p>
    <w:p>
      <w:pPr>
        <w:numPr>
          <w:ilvl w:val="0"/>
          <w:numId w:val="38"/>
        </w:numPr>
        <w:spacing w:line="600" w:lineRule="exact"/>
        <w:ind w:firstLine="560"/>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本表正件一式八份，分发与归档同正式施工图纸</w:t>
      </w:r>
    </w:p>
    <w:p>
      <w:pPr>
        <w:spacing w:line="420" w:lineRule="exact"/>
        <w:ind w:right="-512" w:rightChars="-244" w:firstLine="0" w:firstLineChars="0"/>
        <w:jc w:val="center"/>
        <w:textAlignment w:val="baseline"/>
        <w:rPr>
          <w:rStyle w:val="37"/>
          <w:rFonts w:hint="eastAsia" w:ascii="宋体" w:hAnsi="宋体"/>
          <w:color w:val="auto"/>
          <w:kern w:val="2"/>
          <w:sz w:val="40"/>
          <w:szCs w:val="40"/>
          <w:highlight w:val="none"/>
          <w:lang w:val="en-US" w:eastAsia="zh-CN" w:bidi="ar-SA"/>
        </w:rPr>
      </w:pPr>
    </w:p>
    <w:p>
      <w:pPr>
        <w:spacing w:line="420" w:lineRule="exact"/>
        <w:ind w:right="-512" w:rightChars="-244" w:firstLine="800" w:firstLineChars="200"/>
        <w:jc w:val="center"/>
        <w:textAlignment w:val="baseline"/>
        <w:rPr>
          <w:rStyle w:val="37"/>
          <w:rFonts w:hint="eastAsia" w:ascii="宋体" w:hAnsi="宋体"/>
          <w:color w:val="auto"/>
          <w:kern w:val="2"/>
          <w:sz w:val="40"/>
          <w:szCs w:val="40"/>
          <w:highlight w:val="none"/>
          <w:lang w:val="en-US" w:eastAsia="zh-CN" w:bidi="ar-SA"/>
        </w:rPr>
      </w:pPr>
    </w:p>
    <w:p>
      <w:pPr>
        <w:spacing w:line="420" w:lineRule="exact"/>
        <w:ind w:right="-512" w:rightChars="-244" w:firstLine="800" w:firstLineChars="200"/>
        <w:jc w:val="center"/>
        <w:textAlignment w:val="baseline"/>
        <w:rPr>
          <w:rStyle w:val="37"/>
          <w:rFonts w:hint="eastAsia" w:ascii="宋体" w:hAnsi="宋体"/>
          <w:color w:val="auto"/>
          <w:kern w:val="2"/>
          <w:sz w:val="40"/>
          <w:szCs w:val="40"/>
          <w:highlight w:val="none"/>
          <w:lang w:val="en-US" w:eastAsia="zh-CN" w:bidi="ar-SA"/>
        </w:rPr>
      </w:pPr>
    </w:p>
    <w:p>
      <w:pPr>
        <w:rPr>
          <w:rStyle w:val="37"/>
          <w:rFonts w:ascii="宋体" w:hAnsi="宋体" w:eastAsia="宋体" w:cs="Times New Roman"/>
          <w:color w:val="auto"/>
          <w:kern w:val="2"/>
          <w:sz w:val="24"/>
          <w:szCs w:val="24"/>
          <w:highlight w:val="none"/>
          <w:lang w:val="en-US" w:eastAsia="zh-CN" w:bidi="ar-SA"/>
        </w:rPr>
      </w:pPr>
      <w:r>
        <w:rPr>
          <w:rStyle w:val="37"/>
          <w:rFonts w:ascii="宋体" w:hAnsi="宋体" w:eastAsia="宋体" w:cs="Times New Roman"/>
          <w:color w:val="auto"/>
          <w:kern w:val="2"/>
          <w:sz w:val="24"/>
          <w:szCs w:val="24"/>
          <w:highlight w:val="none"/>
          <w:lang w:val="en-US" w:eastAsia="zh-CN" w:bidi="ar-SA"/>
        </w:rPr>
        <w:br w:type="page"/>
      </w:r>
    </w:p>
    <w:p>
      <w:pPr>
        <w:spacing w:line="360" w:lineRule="exact"/>
        <w:ind w:right="-20"/>
        <w:jc w:val="both"/>
        <w:textAlignment w:val="baseline"/>
        <w:outlineLvl w:val="2"/>
        <w:rPr>
          <w:rStyle w:val="37"/>
          <w:rFonts w:hint="default" w:ascii="宋体" w:hAnsi="宋体" w:eastAsia="宋体" w:cs="Times New Roman"/>
          <w:color w:val="auto"/>
          <w:kern w:val="2"/>
          <w:sz w:val="24"/>
          <w:szCs w:val="24"/>
          <w:highlight w:val="none"/>
          <w:lang w:val="en-US" w:eastAsia="zh-CN" w:bidi="ar-SA"/>
        </w:rPr>
      </w:pPr>
      <w:bookmarkStart w:id="1121" w:name="_Toc3067"/>
      <w:bookmarkStart w:id="1122" w:name="_Toc25008"/>
      <w:bookmarkStart w:id="1123" w:name="_Toc6416"/>
      <w:bookmarkStart w:id="1124" w:name="_Toc2395"/>
      <w:bookmarkStart w:id="1125" w:name="_Toc23345"/>
      <w:bookmarkStart w:id="1126" w:name="_Toc22307"/>
      <w:bookmarkStart w:id="1127" w:name="_Toc27092"/>
      <w:bookmarkStart w:id="1128" w:name="_Toc17076"/>
      <w:bookmarkStart w:id="1129" w:name="_Toc18116"/>
      <w:r>
        <w:rPr>
          <w:rStyle w:val="37"/>
          <w:rFonts w:ascii="宋体" w:hAnsi="宋体" w:eastAsia="宋体" w:cs="Times New Roman"/>
          <w:color w:val="auto"/>
          <w:kern w:val="2"/>
          <w:sz w:val="24"/>
          <w:szCs w:val="24"/>
          <w:highlight w:val="none"/>
          <w:lang w:val="en-US" w:eastAsia="zh-CN" w:bidi="ar-SA"/>
        </w:rPr>
        <w:t>附件</w:t>
      </w:r>
      <w:r>
        <w:rPr>
          <w:rStyle w:val="37"/>
          <w:rFonts w:hint="eastAsia" w:ascii="宋体" w:hAnsi="宋体" w:eastAsia="宋体" w:cs="Times New Roman"/>
          <w:color w:val="auto"/>
          <w:kern w:val="2"/>
          <w:sz w:val="24"/>
          <w:szCs w:val="24"/>
          <w:highlight w:val="none"/>
          <w:lang w:val="en-US" w:eastAsia="zh-CN" w:bidi="ar-SA"/>
        </w:rPr>
        <w:t>七</w:t>
      </w:r>
      <w:bookmarkEnd w:id="1121"/>
      <w:bookmarkEnd w:id="1122"/>
      <w:bookmarkEnd w:id="1123"/>
      <w:bookmarkEnd w:id="1124"/>
      <w:bookmarkEnd w:id="1125"/>
      <w:bookmarkEnd w:id="1126"/>
      <w:bookmarkEnd w:id="1127"/>
      <w:bookmarkEnd w:id="1128"/>
      <w:bookmarkEnd w:id="1129"/>
    </w:p>
    <w:p>
      <w:pPr>
        <w:spacing w:line="420" w:lineRule="exact"/>
        <w:ind w:right="-512" w:rightChars="-244" w:firstLine="640" w:firstLineChars="200"/>
        <w:jc w:val="center"/>
        <w:textAlignment w:val="baseline"/>
        <w:rPr>
          <w:rStyle w:val="37"/>
          <w:rFonts w:hint="eastAsia" w:ascii="宋体" w:hAnsi="宋体"/>
          <w:color w:val="auto"/>
          <w:kern w:val="2"/>
          <w:sz w:val="32"/>
          <w:szCs w:val="32"/>
          <w:highlight w:val="none"/>
          <w:lang w:val="en-US" w:eastAsia="zh-CN" w:bidi="ar-SA"/>
        </w:rPr>
      </w:pPr>
    </w:p>
    <w:p>
      <w:pPr>
        <w:pStyle w:val="5"/>
        <w:spacing w:line="500" w:lineRule="exact"/>
        <w:ind w:firstLine="0" w:firstLineChars="0"/>
        <w:jc w:val="center"/>
        <w:textAlignment w:val="baseline"/>
        <w:outlineLvl w:val="2"/>
        <w:rPr>
          <w:rStyle w:val="30"/>
          <w:rFonts w:hint="eastAsia" w:ascii="Times New Roman" w:hAnsi="Times New Roman" w:cstheme="minorBidi"/>
          <w:b/>
          <w:bCs w:val="0"/>
          <w:color w:val="auto"/>
          <w:kern w:val="44"/>
          <w:sz w:val="36"/>
          <w:szCs w:val="20"/>
          <w:highlight w:val="none"/>
          <w:lang w:val="en-US" w:eastAsia="zh-CN" w:bidi="ar-SA"/>
        </w:rPr>
      </w:pPr>
      <w:bookmarkStart w:id="1130" w:name="_Toc10209"/>
      <w:bookmarkStart w:id="1131" w:name="_Toc19486"/>
      <w:bookmarkStart w:id="1132" w:name="_Toc3289"/>
      <w:bookmarkStart w:id="1133" w:name="_Toc1950"/>
      <w:bookmarkStart w:id="1134" w:name="_Toc2555"/>
      <w:bookmarkStart w:id="1135" w:name="_Toc26980"/>
      <w:bookmarkStart w:id="1136" w:name="_Toc20136"/>
      <w:bookmarkStart w:id="1137" w:name="_Toc23160"/>
      <w:bookmarkStart w:id="1138" w:name="_Toc25506"/>
      <w:r>
        <w:rPr>
          <w:rStyle w:val="30"/>
          <w:rFonts w:hint="eastAsia" w:ascii="Times New Roman" w:hAnsi="Times New Roman" w:cstheme="minorBidi"/>
          <w:b/>
          <w:bCs w:val="0"/>
          <w:color w:val="auto"/>
          <w:kern w:val="44"/>
          <w:sz w:val="36"/>
          <w:szCs w:val="20"/>
          <w:highlight w:val="none"/>
          <w:lang w:val="en-US" w:eastAsia="zh-CN" w:bidi="ar-SA"/>
        </w:rPr>
        <w:t>广州市天河区建设工程项目代建局工程签证管理办法</w:t>
      </w:r>
      <w:bookmarkEnd w:id="1130"/>
      <w:bookmarkEnd w:id="1131"/>
      <w:bookmarkEnd w:id="1132"/>
      <w:bookmarkEnd w:id="1133"/>
      <w:bookmarkEnd w:id="1134"/>
      <w:bookmarkEnd w:id="1135"/>
      <w:bookmarkEnd w:id="1136"/>
      <w:bookmarkEnd w:id="1137"/>
      <w:bookmarkEnd w:id="1138"/>
    </w:p>
    <w:p>
      <w:pPr>
        <w:tabs>
          <w:tab w:val="left" w:pos="9720"/>
        </w:tabs>
        <w:spacing w:line="600" w:lineRule="exact"/>
        <w:ind w:firstLine="220" w:firstLineChars="50"/>
        <w:jc w:val="center"/>
        <w:rPr>
          <w:rFonts w:eastAsia="方正小标宋_GBK"/>
          <w:bCs/>
          <w:color w:val="auto"/>
          <w:sz w:val="44"/>
          <w:szCs w:val="44"/>
          <w:highlight w:val="none"/>
        </w:rPr>
      </w:pPr>
      <w:r>
        <w:rPr>
          <w:rFonts w:eastAsia="方正小标宋_GBK"/>
          <w:bCs/>
          <w:color w:val="auto"/>
          <w:sz w:val="44"/>
          <w:szCs w:val="44"/>
          <w:highlight w:val="none"/>
        </w:rPr>
        <w:t>广州市天河区建设工程项目代建局</w:t>
      </w:r>
    </w:p>
    <w:p>
      <w:pPr>
        <w:tabs>
          <w:tab w:val="left" w:pos="9720"/>
        </w:tabs>
        <w:spacing w:line="600" w:lineRule="exact"/>
        <w:ind w:firstLine="220" w:firstLineChars="50"/>
        <w:jc w:val="center"/>
        <w:rPr>
          <w:rFonts w:eastAsia="仿宋_GB2312"/>
          <w:bCs/>
          <w:color w:val="auto"/>
          <w:sz w:val="32"/>
          <w:szCs w:val="32"/>
          <w:highlight w:val="none"/>
        </w:rPr>
      </w:pPr>
      <w:r>
        <w:rPr>
          <w:rFonts w:eastAsia="方正小标宋_GBK"/>
          <w:bCs/>
          <w:color w:val="auto"/>
          <w:sz w:val="44"/>
          <w:szCs w:val="44"/>
          <w:highlight w:val="none"/>
        </w:rPr>
        <w:t>工程签证管理办法</w:t>
      </w:r>
    </w:p>
    <w:p>
      <w:pPr>
        <w:pStyle w:val="392"/>
        <w:tabs>
          <w:tab w:val="left" w:pos="9720"/>
        </w:tabs>
        <w:spacing w:before="0" w:after="0" w:line="600" w:lineRule="exact"/>
        <w:ind w:left="0" w:right="0"/>
        <w:jc w:val="center"/>
        <w:rPr>
          <w:rFonts w:ascii="宋体" w:hAnsi="宋体" w:eastAsia="宋体"/>
          <w:bCs/>
          <w:color w:val="auto"/>
          <w:sz w:val="32"/>
          <w:szCs w:val="32"/>
          <w:highlight w:val="none"/>
        </w:rPr>
      </w:pPr>
      <w:bookmarkStart w:id="1139" w:name="_Toc194736707"/>
      <w:r>
        <w:rPr>
          <w:rFonts w:hint="eastAsia" w:ascii="宋体" w:hAnsi="宋体" w:eastAsia="宋体"/>
          <w:bCs/>
          <w:color w:val="auto"/>
          <w:sz w:val="32"/>
          <w:szCs w:val="32"/>
          <w:highlight w:val="none"/>
        </w:rPr>
        <w:t>（修订）</w:t>
      </w:r>
    </w:p>
    <w:p>
      <w:pPr>
        <w:pStyle w:val="392"/>
        <w:tabs>
          <w:tab w:val="left" w:pos="9720"/>
        </w:tabs>
        <w:spacing w:before="0" w:after="0" w:line="600" w:lineRule="exact"/>
        <w:ind w:left="0" w:right="0"/>
        <w:jc w:val="center"/>
        <w:rPr>
          <w:rFonts w:eastAsia="黑体"/>
          <w:bCs/>
          <w:color w:val="auto"/>
          <w:sz w:val="32"/>
          <w:szCs w:val="32"/>
          <w:highlight w:val="none"/>
        </w:rPr>
      </w:pPr>
      <w:r>
        <w:rPr>
          <w:rFonts w:eastAsia="黑体"/>
          <w:bCs/>
          <w:color w:val="auto"/>
          <w:sz w:val="32"/>
          <w:szCs w:val="32"/>
          <w:highlight w:val="none"/>
        </w:rPr>
        <w:t>第一章  总  则</w:t>
      </w:r>
      <w:bookmarkEnd w:id="1139"/>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 xml:space="preserve">1.1 </w:t>
      </w:r>
      <w:r>
        <w:rPr>
          <w:rFonts w:hint="eastAsia" w:eastAsia="仿宋_GB2312"/>
          <w:bCs/>
          <w:color w:val="auto"/>
          <w:sz w:val="32"/>
          <w:szCs w:val="32"/>
          <w:highlight w:val="none"/>
        </w:rPr>
        <w:t>为</w:t>
      </w:r>
      <w:r>
        <w:rPr>
          <w:rFonts w:eastAsia="仿宋_GB2312"/>
          <w:bCs/>
          <w:color w:val="auto"/>
          <w:sz w:val="32"/>
          <w:szCs w:val="32"/>
          <w:highlight w:val="none"/>
        </w:rPr>
        <w:t>加强广州市天河区建设工程项目代建局(以下简称“代建局”)建设项目投资控制，规范工程签证申请、审批流程及费用管理，维护相关单位合法权益，特制定本办法。</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1.2 本办法适用于代建局负责建设的所有工程项目。</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1.3 本办法中所称的工程签证，是指在施工过程中，由于非承包单位原因引起费用增减而发生的，且在竣工图中无法反映的，经监理单位和代建局确认的工程（作）量按规定办理的凭证。</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1.4 参与工程签证的人员须遵守“守法、公正、科学</w:t>
      </w:r>
      <w:r>
        <w:rPr>
          <w:rFonts w:hint="eastAsia" w:eastAsia="仿宋_GB2312"/>
          <w:bCs/>
          <w:color w:val="auto"/>
          <w:sz w:val="32"/>
          <w:szCs w:val="32"/>
          <w:highlight w:val="none"/>
        </w:rPr>
        <w:t>、及时</w:t>
      </w:r>
      <w:r>
        <w:rPr>
          <w:rFonts w:eastAsia="仿宋_GB2312"/>
          <w:bCs/>
          <w:color w:val="auto"/>
          <w:sz w:val="32"/>
          <w:szCs w:val="32"/>
          <w:highlight w:val="none"/>
        </w:rPr>
        <w:t xml:space="preserve">”的准则，签证内容必须真实反映事实，工程签证的计量计价须严格按合同及招标文件的相关规定执行。 </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1.5 工程签证的支持材料必须合法有效、内容完整、记录真实、说明详尽、文字表述无异议、图示尺寸准确。</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1.6 按照本办法规定程序审批通过的工程签证费用，可作为办理工程款计量支付的依据；只有符合本办法规定的工程签证费用才能纳入工程结算内容。工程签证费用最终以政府结算审核终审部门审定为准。</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1.7 工程签证必须要“一事一签、随发生随签”，承包单位应及时报送工程签证，逾期报送的，代建局有权不予受理。</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w:t>
      </w:r>
      <w:r>
        <w:rPr>
          <w:rFonts w:hint="eastAsia" w:eastAsia="仿宋_GB2312"/>
          <w:bCs/>
          <w:color w:val="auto"/>
          <w:sz w:val="32"/>
          <w:szCs w:val="32"/>
          <w:highlight w:val="none"/>
        </w:rPr>
        <w:t>8</w:t>
      </w:r>
      <w:r>
        <w:rPr>
          <w:rFonts w:eastAsia="仿宋_GB2312"/>
          <w:bCs/>
          <w:color w:val="auto"/>
          <w:sz w:val="32"/>
          <w:szCs w:val="32"/>
          <w:highlight w:val="none"/>
        </w:rPr>
        <w:t xml:space="preserve"> 代建局工程管理部门（指代建局负责工程现场管理的工程一科或工程二科，以下同）是工程签证的归口管理部门，负责在代建局内部按本办法规定的程序组织工程签证的审批。</w:t>
      </w:r>
    </w:p>
    <w:p>
      <w:pPr>
        <w:pStyle w:val="392"/>
        <w:tabs>
          <w:tab w:val="left" w:pos="9720"/>
        </w:tabs>
        <w:spacing w:before="0" w:after="0" w:line="600" w:lineRule="exact"/>
        <w:ind w:left="0" w:right="0"/>
        <w:jc w:val="center"/>
        <w:rPr>
          <w:rFonts w:eastAsia="仿宋_GB2312"/>
          <w:bCs/>
          <w:color w:val="auto"/>
          <w:sz w:val="32"/>
          <w:szCs w:val="32"/>
          <w:highlight w:val="none"/>
        </w:rPr>
      </w:pPr>
      <w:bookmarkStart w:id="1140" w:name="_Toc194736710"/>
      <w:r>
        <w:rPr>
          <w:rFonts w:eastAsia="黑体"/>
          <w:bCs/>
          <w:color w:val="auto"/>
          <w:sz w:val="32"/>
          <w:szCs w:val="32"/>
          <w:highlight w:val="none"/>
        </w:rPr>
        <w:t>第二章  工程签证内容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 可办理工程签证的内容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2.1.1 因施工现场条件与合同条款及招标文件的约定不符，或合同及招标文件约定必须由承包单位承担的费用（风险）以外而发生的工作内容。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2.1.2 承包单位已按原施工图纸施工，因设计变更引起的拆除、返工、修改的工程(作)量，且在竣工图中无法反映原施工情况的工作内容。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2.1.3 代建局指令承包单位实施且属于合同及招标文件约定必须由承包单位承担的费用（风险）以外而发生的临时工程（作）量。</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2.1.4 施工过程中由于施工环境及条件限制，或代建局施工总体部署要求等原因，其他承包单位在严格按照经代建局、监理单位审批的施工方案进行施工时，不可避免造成承包单位已完</w:t>
      </w:r>
      <w:r>
        <w:rPr>
          <w:rFonts w:hint="eastAsia" w:eastAsia="仿宋_GB2312"/>
          <w:bCs/>
          <w:color w:val="auto"/>
          <w:sz w:val="32"/>
          <w:szCs w:val="32"/>
          <w:highlight w:val="none"/>
          <w:lang w:eastAsia="zh-CN"/>
        </w:rPr>
        <w:t>成的</w:t>
      </w:r>
      <w:r>
        <w:rPr>
          <w:rFonts w:eastAsia="仿宋_GB2312"/>
          <w:bCs/>
          <w:color w:val="auto"/>
          <w:sz w:val="32"/>
          <w:szCs w:val="32"/>
          <w:highlight w:val="none"/>
        </w:rPr>
        <w:t>工</w:t>
      </w:r>
      <w:r>
        <w:rPr>
          <w:rFonts w:hint="eastAsia" w:eastAsia="仿宋_GB2312"/>
          <w:bCs/>
          <w:color w:val="auto"/>
          <w:sz w:val="32"/>
          <w:szCs w:val="32"/>
          <w:highlight w:val="none"/>
          <w:lang w:eastAsia="zh-CN"/>
        </w:rPr>
        <w:t>程</w:t>
      </w:r>
      <w:r>
        <w:rPr>
          <w:rFonts w:eastAsia="仿宋_GB2312"/>
          <w:bCs/>
          <w:color w:val="auto"/>
          <w:sz w:val="32"/>
          <w:szCs w:val="32"/>
          <w:highlight w:val="none"/>
        </w:rPr>
        <w:t>发生修补、返工、废弃的工作内容。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 xml:space="preserve">2.1.5 其它需要办理工程签证的内容。 </w:t>
      </w:r>
    </w:p>
    <w:p>
      <w:pPr>
        <w:spacing w:line="600" w:lineRule="exact"/>
        <w:ind w:firstLine="640" w:firstLineChars="200"/>
        <w:rPr>
          <w:rFonts w:hint="eastAsia" w:eastAsia="仿宋_GB2312"/>
          <w:bCs/>
          <w:color w:val="auto"/>
          <w:sz w:val="32"/>
          <w:szCs w:val="32"/>
          <w:highlight w:val="none"/>
        </w:rPr>
      </w:pP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2.2 不得办理工程签证的内容</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2.2.</w:t>
      </w:r>
      <w:r>
        <w:rPr>
          <w:rFonts w:hint="eastAsia" w:eastAsia="仿宋_GB2312"/>
          <w:bCs/>
          <w:color w:val="auto"/>
          <w:sz w:val="32"/>
          <w:szCs w:val="32"/>
          <w:highlight w:val="none"/>
        </w:rPr>
        <w:t>1</w:t>
      </w:r>
      <w:r>
        <w:rPr>
          <w:rFonts w:eastAsia="仿宋_GB2312"/>
          <w:bCs/>
          <w:color w:val="auto"/>
          <w:sz w:val="32"/>
          <w:szCs w:val="32"/>
          <w:highlight w:val="none"/>
        </w:rPr>
        <w:t xml:space="preserve"> 招标文件、施工合同中已包含的项目与费用。 </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2.2.</w:t>
      </w:r>
      <w:r>
        <w:rPr>
          <w:rFonts w:hint="eastAsia" w:eastAsia="仿宋_GB2312"/>
          <w:bCs/>
          <w:color w:val="auto"/>
          <w:sz w:val="32"/>
          <w:szCs w:val="32"/>
          <w:highlight w:val="none"/>
        </w:rPr>
        <w:t>2</w:t>
      </w:r>
      <w:r>
        <w:rPr>
          <w:rFonts w:eastAsia="仿宋_GB2312"/>
          <w:bCs/>
          <w:color w:val="auto"/>
          <w:sz w:val="32"/>
          <w:szCs w:val="32"/>
          <w:highlight w:val="none"/>
        </w:rPr>
        <w:t xml:space="preserve"> 因承包单位责任而增加的费用。</w:t>
      </w: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2.2.</w:t>
      </w:r>
      <w:r>
        <w:rPr>
          <w:rFonts w:hint="eastAsia" w:eastAsia="仿宋_GB2312"/>
          <w:bCs/>
          <w:color w:val="auto"/>
          <w:sz w:val="32"/>
          <w:szCs w:val="32"/>
          <w:highlight w:val="none"/>
        </w:rPr>
        <w:t>3</w:t>
      </w:r>
      <w:r>
        <w:rPr>
          <w:rFonts w:eastAsia="仿宋_GB2312"/>
          <w:bCs/>
          <w:color w:val="auto"/>
          <w:sz w:val="32"/>
          <w:szCs w:val="32"/>
          <w:highlight w:val="none"/>
        </w:rPr>
        <w:t xml:space="preserve"> 其它不得办理工程签证的内容。</w:t>
      </w:r>
    </w:p>
    <w:p>
      <w:pPr>
        <w:pStyle w:val="392"/>
        <w:tabs>
          <w:tab w:val="left" w:pos="9720"/>
        </w:tabs>
        <w:spacing w:before="0" w:after="0" w:line="600" w:lineRule="exact"/>
        <w:ind w:left="0" w:right="0"/>
        <w:jc w:val="center"/>
        <w:rPr>
          <w:rFonts w:hint="eastAsia" w:eastAsia="黑体"/>
          <w:bCs/>
          <w:color w:val="auto"/>
          <w:sz w:val="32"/>
          <w:szCs w:val="32"/>
          <w:highlight w:val="none"/>
        </w:rPr>
      </w:pPr>
      <w:r>
        <w:rPr>
          <w:rFonts w:eastAsia="黑体"/>
          <w:bCs/>
          <w:color w:val="auto"/>
          <w:sz w:val="32"/>
          <w:szCs w:val="32"/>
          <w:highlight w:val="none"/>
        </w:rPr>
        <w:t>第三章  工程签证管理职责</w:t>
      </w:r>
    </w:p>
    <w:bookmarkEnd w:id="1140"/>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3.1 承包单位职责</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3.1.1 承包单位须按本办法规定，如实并及时填写</w:t>
      </w:r>
      <w:r>
        <w:rPr>
          <w:rFonts w:hint="eastAsia" w:eastAsia="仿宋_GB2312"/>
          <w:bCs/>
          <w:color w:val="auto"/>
          <w:sz w:val="32"/>
          <w:szCs w:val="32"/>
          <w:highlight w:val="none"/>
        </w:rPr>
        <w:t>《工程量现场草签单》、</w:t>
      </w:r>
      <w:r>
        <w:rPr>
          <w:rFonts w:eastAsia="仿宋_GB2312"/>
          <w:bCs/>
          <w:color w:val="auto"/>
          <w:sz w:val="32"/>
          <w:szCs w:val="32"/>
          <w:highlight w:val="none"/>
        </w:rPr>
        <w:t>《工程签证联系单》、《工程量签证表》</w:t>
      </w:r>
      <w:r>
        <w:rPr>
          <w:rFonts w:hint="eastAsia" w:eastAsia="仿宋_GB2312"/>
          <w:bCs/>
          <w:color w:val="auto"/>
          <w:sz w:val="32"/>
          <w:szCs w:val="32"/>
          <w:highlight w:val="none"/>
        </w:rPr>
        <w:t>、</w:t>
      </w:r>
      <w:r>
        <w:rPr>
          <w:rFonts w:eastAsia="仿宋_GB2312"/>
          <w:bCs/>
          <w:color w:val="auto"/>
          <w:sz w:val="32"/>
          <w:szCs w:val="32"/>
          <w:highlight w:val="none"/>
        </w:rPr>
        <w:t>《工程签证</w:t>
      </w:r>
      <w:r>
        <w:rPr>
          <w:rFonts w:hint="eastAsia" w:eastAsia="仿宋_GB2312"/>
          <w:bCs/>
          <w:color w:val="auto"/>
          <w:sz w:val="32"/>
          <w:szCs w:val="32"/>
          <w:highlight w:val="none"/>
        </w:rPr>
        <w:t>费用</w:t>
      </w:r>
      <w:r>
        <w:rPr>
          <w:rFonts w:eastAsia="仿宋_GB2312"/>
          <w:bCs/>
          <w:color w:val="auto"/>
          <w:sz w:val="32"/>
          <w:szCs w:val="32"/>
          <w:highlight w:val="none"/>
        </w:rPr>
        <w:t>审批表》和</w:t>
      </w:r>
      <w:r>
        <w:rPr>
          <w:rFonts w:hint="eastAsia" w:eastAsia="仿宋_GB2312"/>
          <w:bCs/>
          <w:color w:val="auto"/>
          <w:sz w:val="32"/>
          <w:szCs w:val="32"/>
          <w:highlight w:val="none"/>
        </w:rPr>
        <w:t>《工程签证台账》</w:t>
      </w:r>
      <w:r>
        <w:rPr>
          <w:rFonts w:eastAsia="仿宋_GB2312"/>
          <w:bCs/>
          <w:color w:val="auto"/>
          <w:sz w:val="32"/>
          <w:szCs w:val="32"/>
          <w:highlight w:val="none"/>
        </w:rPr>
        <w:t>，同时须附上此项签证有关的详细支持材料</w:t>
      </w:r>
      <w:r>
        <w:rPr>
          <w:rFonts w:hint="eastAsia" w:eastAsia="仿宋_GB2312"/>
          <w:bCs/>
          <w:color w:val="auto"/>
          <w:sz w:val="32"/>
          <w:szCs w:val="32"/>
          <w:highlight w:val="none"/>
        </w:rPr>
        <w:t>（需含“签证造价预算书”、“现场实施前后对比照片”等）</w:t>
      </w:r>
      <w:r>
        <w:rPr>
          <w:rFonts w:eastAsia="仿宋_GB2312"/>
          <w:bCs/>
          <w:color w:val="auto"/>
          <w:sz w:val="32"/>
          <w:szCs w:val="32"/>
          <w:highlight w:val="none"/>
        </w:rPr>
        <w:t>后报监理单位和代建局，并根据监理单位和代建局的审核意见实施。承包单位对其提交材料的合法性、真实性、准确性和完整性负责。</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3.1.2 施工过程中承包单位必须严格按图施工、按合同施工。因承包单位擅自不按设计、不按合同规定所施工的项目，导致工程费用增加或工期延误，由承包单位承担。</w:t>
      </w:r>
    </w:p>
    <w:p>
      <w:pPr>
        <w:tabs>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3.1.3 施工过程中承包单位必须建立工程签证台账表，</w:t>
      </w:r>
      <w:r>
        <w:rPr>
          <w:rFonts w:hint="eastAsia" w:eastAsia="仿宋_GB2312"/>
          <w:bCs/>
          <w:color w:val="auto"/>
          <w:sz w:val="32"/>
          <w:szCs w:val="32"/>
          <w:highlight w:val="none"/>
        </w:rPr>
        <w:t>每月</w:t>
      </w:r>
      <w:r>
        <w:rPr>
          <w:rFonts w:eastAsia="仿宋_GB2312"/>
          <w:bCs/>
          <w:color w:val="auto"/>
          <w:sz w:val="32"/>
          <w:szCs w:val="32"/>
          <w:highlight w:val="none"/>
        </w:rPr>
        <w:t xml:space="preserve">与监理单位和代建局进行核对。 </w:t>
      </w:r>
    </w:p>
    <w:p>
      <w:pPr>
        <w:tabs>
          <w:tab w:val="left" w:pos="9720"/>
        </w:tabs>
        <w:spacing w:line="600" w:lineRule="exact"/>
        <w:ind w:firstLine="640" w:firstLineChars="200"/>
        <w:rPr>
          <w:rFonts w:eastAsia="仿宋_GB2312"/>
          <w:bCs/>
          <w:color w:val="auto"/>
          <w:sz w:val="32"/>
          <w:szCs w:val="32"/>
          <w:highlight w:val="none"/>
        </w:rPr>
      </w:pP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3.2. 监理单位职责</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3.2.1 监理单位须依据委托监理合同和施工合同，对工程签证按规定并及时签署意见，监督工程签证的实施。及时发现、解决工程签证中的问题，并认真落实代建局对工程签证的工作要求。</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3.2.2 监理单位负责核实签证的所有支持材料、工程量及费用，审核人员必须按合同、招标文件和有关文件规定执行。监理单位对签证合法性、真实性、准确性、签证资料完整性负审核责任。</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3.2.3  监理单位须</w:t>
      </w:r>
      <w:r>
        <w:rPr>
          <w:rFonts w:hint="eastAsia" w:eastAsia="仿宋_GB2312"/>
          <w:bCs/>
          <w:color w:val="auto"/>
          <w:sz w:val="32"/>
          <w:szCs w:val="32"/>
          <w:highlight w:val="none"/>
        </w:rPr>
        <w:t>每月</w:t>
      </w:r>
      <w:r>
        <w:rPr>
          <w:rFonts w:eastAsia="仿宋_GB2312"/>
          <w:bCs/>
          <w:color w:val="auto"/>
          <w:sz w:val="32"/>
          <w:szCs w:val="32"/>
          <w:highlight w:val="none"/>
        </w:rPr>
        <w:t>与承包单位、代建局进行核对，确保工程签证台帐及时、准确和完整。</w:t>
      </w:r>
    </w:p>
    <w:p>
      <w:pPr>
        <w:spacing w:line="600" w:lineRule="exact"/>
        <w:ind w:firstLine="640" w:firstLineChars="200"/>
        <w:rPr>
          <w:rFonts w:hint="eastAsia" w:eastAsia="仿宋_GB2312"/>
          <w:bCs/>
          <w:color w:val="auto"/>
          <w:sz w:val="32"/>
          <w:szCs w:val="32"/>
          <w:highlight w:val="none"/>
        </w:rPr>
      </w:pPr>
    </w:p>
    <w:p>
      <w:pPr>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3.3 代建局工程管理部门职责</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3.3.1 代建局工程管理部门是工程签证的归口管理部门，负责监督检查工程建设中发生签证的实施情况。对签证事项的合法性、真实性、签证资料的完整性及有效性、工程量准确性进行全面审核，并对签证事项的真实性、工程量准确性负审核责任。</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3.3.2 代建局工程管理部门</w:t>
      </w:r>
      <w:r>
        <w:rPr>
          <w:rFonts w:hint="eastAsia" w:eastAsia="仿宋_GB2312"/>
          <w:bCs/>
          <w:color w:val="auto"/>
          <w:sz w:val="32"/>
          <w:szCs w:val="32"/>
          <w:highlight w:val="none"/>
        </w:rPr>
        <w:t>每月</w:t>
      </w:r>
      <w:r>
        <w:rPr>
          <w:rFonts w:eastAsia="仿宋_GB2312"/>
          <w:bCs/>
          <w:color w:val="auto"/>
          <w:sz w:val="32"/>
          <w:szCs w:val="32"/>
          <w:highlight w:val="none"/>
        </w:rPr>
        <w:t>与承包单位、监理单位对工程签证台账进行核对，以便严格控制工程签证，严格控制工程投资。</w:t>
      </w:r>
    </w:p>
    <w:p>
      <w:pPr>
        <w:pStyle w:val="392"/>
        <w:tabs>
          <w:tab w:val="left" w:pos="9720"/>
        </w:tabs>
        <w:spacing w:before="0" w:after="0" w:line="600" w:lineRule="exact"/>
        <w:ind w:left="0" w:right="0"/>
        <w:jc w:val="center"/>
        <w:rPr>
          <w:rFonts w:eastAsia="黑体"/>
          <w:bCs/>
          <w:color w:val="auto"/>
          <w:sz w:val="32"/>
          <w:szCs w:val="32"/>
          <w:highlight w:val="none"/>
        </w:rPr>
      </w:pPr>
      <w:r>
        <w:rPr>
          <w:rFonts w:eastAsia="黑体"/>
          <w:bCs/>
          <w:color w:val="auto"/>
          <w:sz w:val="32"/>
          <w:szCs w:val="32"/>
          <w:highlight w:val="none"/>
        </w:rPr>
        <w:t>第四章  工程签证申请与审批流程</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 《工程签证联系单》</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4.1.1 《工程签证联系单》是对可能发生的签证事件及其原因进行确认的凭证，承包单位在提出《工程签证联系单》申请时应附签证事件由来的证明材料，如：设计变更、施工图纸、代建局文件、会议纪要、监理联系单、监理指令等相关支持材料，若为监理单位或代建局指令时则在《工程签证联系单》内详细说明。签证事件为招投标工程量清单里面已经包含的拆除工程（作）量的实施确认，也需在《工程签证联系单》内说明。</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4.1.2 承包单位须在实施工程签证内容前，将签证意向以《工程签证联系单》的形式一式</w:t>
      </w:r>
      <w:r>
        <w:rPr>
          <w:rFonts w:hint="eastAsia" w:eastAsia="仿宋_GB2312"/>
          <w:bCs/>
          <w:color w:val="auto"/>
          <w:sz w:val="32"/>
          <w:szCs w:val="32"/>
          <w:highlight w:val="none"/>
          <w:lang w:eastAsia="zh-CN"/>
        </w:rPr>
        <w:t>四份</w:t>
      </w:r>
      <w:r>
        <w:rPr>
          <w:rFonts w:eastAsia="仿宋_GB2312"/>
          <w:bCs/>
          <w:color w:val="auto"/>
          <w:sz w:val="32"/>
          <w:szCs w:val="32"/>
          <w:highlight w:val="none"/>
        </w:rPr>
        <w:t>报监理单位，经总监理工程师审核后报代建局工程管理部门。</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4.1.3 监理单位在收到承包单位的《工程签证联系单》后，现场监理人员应立即到现场核实情况，确认签证事件原因的真实性，并将现场情况记录备忘。</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4.1.4 承包单位须在《工程签证联系单》经代建局工程管理部门同意后实施，但对于影响工程进度或施工安全的紧急事件在</w:t>
      </w:r>
      <w:r>
        <w:rPr>
          <w:rFonts w:hint="eastAsia" w:eastAsia="仿宋_GB2312"/>
          <w:bCs/>
          <w:color w:val="auto"/>
          <w:sz w:val="32"/>
          <w:szCs w:val="32"/>
          <w:highlight w:val="none"/>
        </w:rPr>
        <w:t>取</w:t>
      </w:r>
      <w:r>
        <w:rPr>
          <w:rFonts w:eastAsia="仿宋_GB2312"/>
          <w:bCs/>
          <w:color w:val="auto"/>
          <w:sz w:val="32"/>
          <w:szCs w:val="32"/>
          <w:highlight w:val="none"/>
        </w:rPr>
        <w:t>得监理单位和代建局工程管理部门同意后实施。</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4.2 《工程量签证表》</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4.2.1 《工程量签证表》是在《工程签证联系单》的工作内容完成后，对签证工程量进行核实确认的凭证。《工程量签证表》应附详细的工程量计算书（必要时附计算简图）</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 xml:space="preserve"> 工程签证</w:t>
      </w:r>
      <w:r>
        <w:rPr>
          <w:rFonts w:hint="eastAsia" w:eastAsia="仿宋_GB2312"/>
          <w:bCs/>
          <w:color w:val="auto"/>
          <w:sz w:val="32"/>
          <w:szCs w:val="32"/>
          <w:highlight w:val="none"/>
        </w:rPr>
        <w:t>的</w:t>
      </w:r>
      <w:r>
        <w:rPr>
          <w:rFonts w:eastAsia="仿宋_GB2312"/>
          <w:bCs/>
          <w:color w:val="auto"/>
          <w:sz w:val="32"/>
          <w:szCs w:val="32"/>
          <w:highlight w:val="none"/>
        </w:rPr>
        <w:t>审批</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1</w:t>
      </w:r>
      <w:r>
        <w:rPr>
          <w:rFonts w:eastAsia="仿宋_GB2312"/>
          <w:bCs/>
          <w:color w:val="auto"/>
          <w:sz w:val="32"/>
          <w:szCs w:val="32"/>
          <w:highlight w:val="none"/>
        </w:rPr>
        <w:t xml:space="preserve"> 承包单位在《工程签证联系单》工作内容完成后，提交《工程签证审批表》（一式一份）、《工程量签证表》</w:t>
      </w:r>
      <w:r>
        <w:rPr>
          <w:rFonts w:hint="eastAsia" w:eastAsia="仿宋_GB2312"/>
          <w:bCs/>
          <w:color w:val="auto"/>
          <w:sz w:val="32"/>
          <w:szCs w:val="32"/>
          <w:highlight w:val="none"/>
        </w:rPr>
        <w:t>、《工程量现场草签单》</w:t>
      </w:r>
      <w:r>
        <w:rPr>
          <w:rFonts w:eastAsia="仿宋_GB2312"/>
          <w:bCs/>
          <w:color w:val="auto"/>
          <w:sz w:val="32"/>
          <w:szCs w:val="32"/>
          <w:highlight w:val="none"/>
        </w:rPr>
        <w:t>及支持材料（一式</w:t>
      </w:r>
      <w:r>
        <w:rPr>
          <w:rFonts w:hint="eastAsia" w:eastAsia="仿宋_GB2312"/>
          <w:bCs/>
          <w:color w:val="auto"/>
          <w:sz w:val="32"/>
          <w:szCs w:val="32"/>
          <w:highlight w:val="none"/>
          <w:lang w:eastAsia="zh-CN"/>
        </w:rPr>
        <w:t>四份</w:t>
      </w:r>
      <w:r>
        <w:rPr>
          <w:rFonts w:eastAsia="仿宋_GB2312"/>
          <w:bCs/>
          <w:color w:val="auto"/>
          <w:sz w:val="32"/>
          <w:szCs w:val="32"/>
          <w:highlight w:val="none"/>
        </w:rPr>
        <w:t>）报监理单位审核。</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2</w:t>
      </w:r>
      <w:r>
        <w:rPr>
          <w:rFonts w:eastAsia="仿宋_GB2312"/>
          <w:bCs/>
          <w:color w:val="auto"/>
          <w:sz w:val="32"/>
          <w:szCs w:val="32"/>
          <w:highlight w:val="none"/>
        </w:rPr>
        <w:t xml:space="preserve"> 监理单位对</w:t>
      </w:r>
      <w:r>
        <w:rPr>
          <w:rFonts w:hint="eastAsia" w:eastAsia="仿宋_GB2312"/>
          <w:bCs/>
          <w:color w:val="auto"/>
          <w:sz w:val="32"/>
          <w:szCs w:val="32"/>
          <w:highlight w:val="none"/>
        </w:rPr>
        <w:t>工程签证所有书面</w:t>
      </w:r>
      <w:r>
        <w:rPr>
          <w:rFonts w:eastAsia="仿宋_GB2312"/>
          <w:bCs/>
          <w:color w:val="auto"/>
          <w:sz w:val="32"/>
          <w:szCs w:val="32"/>
          <w:highlight w:val="none"/>
        </w:rPr>
        <w:t>材料审核完毕后报代建局工程管理部门。</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3</w:t>
      </w:r>
      <w:r>
        <w:rPr>
          <w:rFonts w:eastAsia="仿宋_GB2312"/>
          <w:bCs/>
          <w:color w:val="auto"/>
          <w:sz w:val="32"/>
          <w:szCs w:val="32"/>
          <w:highlight w:val="none"/>
        </w:rPr>
        <w:t>监理单位应跟踪签证事件的全过程，及时检查签证工作内容的完成情况，对</w:t>
      </w:r>
      <w:r>
        <w:rPr>
          <w:rFonts w:hint="eastAsia" w:eastAsia="仿宋_GB2312"/>
          <w:bCs/>
          <w:color w:val="auto"/>
          <w:sz w:val="32"/>
          <w:szCs w:val="32"/>
          <w:highlight w:val="none"/>
        </w:rPr>
        <w:t>签证</w:t>
      </w:r>
      <w:r>
        <w:rPr>
          <w:rFonts w:eastAsia="仿宋_GB2312"/>
          <w:bCs/>
          <w:color w:val="auto"/>
          <w:sz w:val="32"/>
          <w:szCs w:val="32"/>
          <w:highlight w:val="none"/>
        </w:rPr>
        <w:t>工程量应认真、严格的审核。对签证工程量</w:t>
      </w:r>
      <w:r>
        <w:rPr>
          <w:rFonts w:hint="eastAsia" w:eastAsia="仿宋_GB2312"/>
          <w:bCs/>
          <w:color w:val="auto"/>
          <w:sz w:val="32"/>
          <w:szCs w:val="32"/>
          <w:highlight w:val="none"/>
        </w:rPr>
        <w:t>涉及</w:t>
      </w:r>
      <w:r>
        <w:rPr>
          <w:rFonts w:eastAsia="仿宋_GB2312"/>
          <w:bCs/>
          <w:color w:val="auto"/>
          <w:sz w:val="32"/>
          <w:szCs w:val="32"/>
          <w:highlight w:val="none"/>
        </w:rPr>
        <w:t>有回收使用价值的材料设备应提出具体的处理意见。</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4</w:t>
      </w:r>
      <w:r>
        <w:rPr>
          <w:rFonts w:eastAsia="仿宋_GB2312"/>
          <w:bCs/>
          <w:color w:val="auto"/>
          <w:sz w:val="32"/>
          <w:szCs w:val="32"/>
          <w:highlight w:val="none"/>
        </w:rPr>
        <w:t xml:space="preserve"> 代建局工程管理部门在收到监理单位报送的</w:t>
      </w:r>
      <w:r>
        <w:rPr>
          <w:rFonts w:hint="eastAsia" w:eastAsia="仿宋_GB2312"/>
          <w:bCs/>
          <w:color w:val="auto"/>
          <w:sz w:val="32"/>
          <w:szCs w:val="32"/>
          <w:highlight w:val="none"/>
        </w:rPr>
        <w:t>工程签证所有书面</w:t>
      </w:r>
      <w:r>
        <w:rPr>
          <w:rFonts w:eastAsia="仿宋_GB2312"/>
          <w:bCs/>
          <w:color w:val="auto"/>
          <w:sz w:val="32"/>
          <w:szCs w:val="32"/>
          <w:highlight w:val="none"/>
        </w:rPr>
        <w:t>材料后</w:t>
      </w:r>
      <w:r>
        <w:rPr>
          <w:rFonts w:hint="eastAsia" w:eastAsia="仿宋_GB2312"/>
          <w:bCs/>
          <w:color w:val="auto"/>
          <w:sz w:val="32"/>
          <w:szCs w:val="32"/>
          <w:highlight w:val="none"/>
        </w:rPr>
        <w:t>进行审核</w:t>
      </w:r>
      <w:r>
        <w:rPr>
          <w:rFonts w:eastAsia="仿宋_GB2312"/>
          <w:bCs/>
          <w:color w:val="auto"/>
          <w:sz w:val="32"/>
          <w:szCs w:val="32"/>
          <w:highlight w:val="none"/>
        </w:rPr>
        <w:t>，应对现场情况进行检查。经代建局审核确认的签证工程量才能作为工程结算依据。</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工程签证审批权限规定如下：</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.1  I类签证即工程签证费用</w:t>
      </w:r>
      <w:r>
        <w:rPr>
          <w:rFonts w:hint="eastAsia" w:eastAsia="仿宋_GB2312"/>
          <w:bCs/>
          <w:color w:val="auto"/>
          <w:sz w:val="32"/>
          <w:szCs w:val="32"/>
          <w:highlight w:val="none"/>
        </w:rPr>
        <w:t>金额</w:t>
      </w:r>
      <w:r>
        <w:rPr>
          <w:rFonts w:eastAsia="仿宋_GB2312"/>
          <w:bCs/>
          <w:color w:val="auto"/>
          <w:sz w:val="32"/>
          <w:szCs w:val="32"/>
          <w:highlight w:val="none"/>
        </w:rPr>
        <w:t>在10万元以上（含10万元）</w:t>
      </w:r>
      <w:r>
        <w:rPr>
          <w:rFonts w:hint="eastAsia" w:eastAsia="仿宋_GB2312"/>
          <w:bCs/>
          <w:color w:val="auto"/>
          <w:sz w:val="32"/>
          <w:szCs w:val="32"/>
          <w:highlight w:val="none"/>
        </w:rPr>
        <w:t>重大签证</w:t>
      </w:r>
      <w:r>
        <w:rPr>
          <w:rFonts w:eastAsia="仿宋_GB2312"/>
          <w:bCs/>
          <w:color w:val="auto"/>
          <w:sz w:val="32"/>
          <w:szCs w:val="32"/>
          <w:highlight w:val="none"/>
        </w:rPr>
        <w:t>：由工程管理部门初审，报分管工程管理部门的局领导审核后，报局主要领导审批。</w:t>
      </w:r>
      <w:r>
        <w:rPr>
          <w:rFonts w:hint="eastAsia" w:eastAsia="仿宋_GB2312"/>
          <w:bCs/>
          <w:color w:val="auto"/>
          <w:sz w:val="32"/>
          <w:szCs w:val="32"/>
          <w:highlight w:val="none"/>
          <w:lang w:eastAsia="zh-CN"/>
        </w:rPr>
        <w:t>其中，工程</w:t>
      </w:r>
      <w:r>
        <w:rPr>
          <w:rFonts w:hint="eastAsia" w:ascii="Times New Roman" w:hAnsi="Times New Roman" w:eastAsia="仿宋"/>
          <w:color w:val="auto"/>
          <w:sz w:val="32"/>
          <w:szCs w:val="32"/>
          <w:highlight w:val="none"/>
          <w:u w:val="none"/>
          <w:lang w:eastAsia="zh-CN"/>
        </w:rPr>
        <w:t>签证费用金额</w:t>
      </w:r>
      <w:r>
        <w:rPr>
          <w:rFonts w:hint="eastAsia" w:ascii="Times New Roman" w:hAnsi="Times New Roman" w:eastAsia="仿宋"/>
          <w:color w:val="auto"/>
          <w:sz w:val="32"/>
          <w:szCs w:val="32"/>
          <w:highlight w:val="none"/>
          <w:u w:val="none"/>
          <w:lang w:val="en-US" w:eastAsia="zh-CN"/>
        </w:rPr>
        <w:t>大于等于</w:t>
      </w:r>
      <w:r>
        <w:rPr>
          <w:rFonts w:hint="eastAsia" w:ascii="Times New Roman" w:hAnsi="Times New Roman" w:eastAsia="仿宋"/>
          <w:color w:val="auto"/>
          <w:sz w:val="32"/>
          <w:szCs w:val="32"/>
          <w:highlight w:val="none"/>
          <w:u w:val="none"/>
        </w:rPr>
        <w:t>50万元</w:t>
      </w:r>
      <w:r>
        <w:rPr>
          <w:rFonts w:hint="eastAsia" w:ascii="Times New Roman" w:hAnsi="Times New Roman" w:eastAsia="仿宋"/>
          <w:color w:val="auto"/>
          <w:sz w:val="32"/>
          <w:szCs w:val="32"/>
          <w:highlight w:val="none"/>
          <w:u w:val="none"/>
          <w:lang w:val="en-US" w:eastAsia="zh-CN"/>
        </w:rPr>
        <w:t>小于100万元</w:t>
      </w:r>
      <w:r>
        <w:rPr>
          <w:rFonts w:hint="eastAsia" w:ascii="Times New Roman" w:hAnsi="Times New Roman" w:eastAsia="仿宋"/>
          <w:color w:val="auto"/>
          <w:sz w:val="32"/>
          <w:szCs w:val="32"/>
          <w:highlight w:val="none"/>
          <w:u w:val="none"/>
        </w:rPr>
        <w:t>的，</w:t>
      </w:r>
      <w:r>
        <w:rPr>
          <w:rFonts w:hint="eastAsia" w:ascii="Times New Roman" w:hAnsi="Times New Roman" w:eastAsia="仿宋"/>
          <w:color w:val="auto"/>
          <w:sz w:val="32"/>
          <w:szCs w:val="32"/>
          <w:highlight w:val="none"/>
          <w:u w:val="none"/>
          <w:lang w:val="en-US" w:eastAsia="zh-CN"/>
        </w:rPr>
        <w:t>报局务会研究审定</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lang w:val="en-US" w:eastAsia="zh-CN"/>
        </w:rPr>
        <w:t>形成会议纪要；</w:t>
      </w:r>
      <w:r>
        <w:rPr>
          <w:rFonts w:hint="eastAsia" w:eastAsia="仿宋_GB2312"/>
          <w:bCs/>
          <w:color w:val="auto"/>
          <w:sz w:val="32"/>
          <w:szCs w:val="32"/>
          <w:highlight w:val="none"/>
          <w:lang w:eastAsia="zh-CN"/>
        </w:rPr>
        <w:t>工程</w:t>
      </w:r>
      <w:r>
        <w:rPr>
          <w:rFonts w:hint="eastAsia" w:ascii="Times New Roman" w:hAnsi="Times New Roman" w:eastAsia="仿宋"/>
          <w:color w:val="auto"/>
          <w:sz w:val="32"/>
          <w:szCs w:val="32"/>
          <w:highlight w:val="none"/>
          <w:u w:val="none"/>
          <w:lang w:eastAsia="zh-CN"/>
        </w:rPr>
        <w:t>签证费用金额</w:t>
      </w:r>
      <w:r>
        <w:rPr>
          <w:rFonts w:hint="eastAsia" w:ascii="Times New Roman" w:hAnsi="Times New Roman" w:eastAsia="仿宋"/>
          <w:color w:val="auto"/>
          <w:sz w:val="32"/>
          <w:szCs w:val="32"/>
          <w:highlight w:val="none"/>
          <w:u w:val="none"/>
          <w:lang w:val="en-US" w:eastAsia="zh-CN"/>
        </w:rPr>
        <w:t>大于等于100万元的，报党组会研究审定，形成会议纪要</w:t>
      </w:r>
      <w:r>
        <w:rPr>
          <w:rFonts w:hint="eastAsia" w:ascii="Times New Roman" w:hAnsi="Times New Roman" w:eastAsia="仿宋"/>
          <w:color w:val="auto"/>
          <w:sz w:val="32"/>
          <w:szCs w:val="32"/>
          <w:highlight w:val="none"/>
          <w:u w:val="none"/>
          <w:lang w:eastAsia="zh-CN"/>
        </w:rPr>
        <w:t>。</w:t>
      </w:r>
      <w:r>
        <w:rPr>
          <w:rFonts w:hint="eastAsia" w:ascii="Times New Roman" w:hAnsi="Times New Roman" w:eastAsia="仿宋"/>
          <w:color w:val="auto"/>
          <w:sz w:val="32"/>
          <w:szCs w:val="32"/>
          <w:highlight w:val="none"/>
          <w:u w:val="none"/>
        </w:rPr>
        <w:t>有牵涉到相关主管部门已经批复的内容的</w:t>
      </w:r>
      <w:r>
        <w:rPr>
          <w:rFonts w:hint="eastAsia" w:ascii="Times New Roman" w:hAnsi="Times New Roman" w:eastAsia="仿宋"/>
          <w:color w:val="auto"/>
          <w:sz w:val="32"/>
          <w:szCs w:val="32"/>
          <w:highlight w:val="none"/>
          <w:u w:val="none"/>
          <w:lang w:eastAsia="zh-CN"/>
        </w:rPr>
        <w:t>工程签证</w:t>
      </w:r>
      <w:r>
        <w:rPr>
          <w:rFonts w:hint="eastAsia" w:ascii="Times New Roman" w:hAnsi="Times New Roman" w:eastAsia="仿宋"/>
          <w:color w:val="auto"/>
          <w:sz w:val="32"/>
          <w:szCs w:val="32"/>
          <w:highlight w:val="none"/>
          <w:u w:val="none"/>
        </w:rPr>
        <w:t>，必须报相关主管部门审查，取得正式批复后，方可按照以</w:t>
      </w:r>
      <w:r>
        <w:rPr>
          <w:rFonts w:hint="eastAsia" w:ascii="Times New Roman" w:hAnsi="Times New Roman" w:eastAsia="仿宋"/>
          <w:color w:val="auto"/>
          <w:sz w:val="32"/>
          <w:szCs w:val="32"/>
          <w:highlight w:val="none"/>
          <w:u w:val="none"/>
          <w:lang w:val="en-US" w:eastAsia="zh-CN"/>
        </w:rPr>
        <w:t>上</w:t>
      </w:r>
      <w:r>
        <w:rPr>
          <w:rFonts w:hint="eastAsia" w:ascii="Times New Roman" w:hAnsi="Times New Roman" w:eastAsia="仿宋"/>
          <w:color w:val="auto"/>
          <w:sz w:val="32"/>
          <w:szCs w:val="32"/>
          <w:highlight w:val="none"/>
          <w:u w:val="none"/>
        </w:rPr>
        <w:t>审批程序呈送审批。</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.2  II类签证即工程签证费用</w:t>
      </w:r>
      <w:r>
        <w:rPr>
          <w:rFonts w:hint="eastAsia" w:eastAsia="仿宋_GB2312"/>
          <w:bCs/>
          <w:color w:val="auto"/>
          <w:sz w:val="32"/>
          <w:szCs w:val="32"/>
          <w:highlight w:val="none"/>
        </w:rPr>
        <w:t>金额</w:t>
      </w:r>
      <w:r>
        <w:rPr>
          <w:rFonts w:eastAsia="仿宋_GB2312"/>
          <w:bCs/>
          <w:color w:val="auto"/>
          <w:sz w:val="32"/>
          <w:szCs w:val="32"/>
          <w:highlight w:val="none"/>
        </w:rPr>
        <w:t>在10万元以下：由工程管理部门初审后，报分管工程管理部门的局领导审批。</w:t>
      </w:r>
    </w:p>
    <w:p>
      <w:pPr>
        <w:tabs>
          <w:tab w:val="left" w:pos="9135"/>
          <w:tab w:val="left" w:pos="9450"/>
          <w:tab w:val="left" w:pos="9720"/>
        </w:tabs>
        <w:ind w:firstLine="607"/>
        <w:rPr>
          <w:rFonts w:eastAsia="黑体"/>
          <w:bCs/>
          <w:color w:val="auto"/>
          <w:sz w:val="32"/>
          <w:szCs w:val="32"/>
          <w:highlight w:val="none"/>
        </w:rPr>
      </w:pPr>
      <w:r>
        <w:rPr>
          <w:rFonts w:eastAsia="仿宋_GB2312"/>
          <w:bCs/>
          <w:color w:val="auto"/>
          <w:sz w:val="32"/>
          <w:szCs w:val="32"/>
          <w:highlight w:val="none"/>
        </w:rPr>
        <w:t>4.</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 xml:space="preserve">5.3 </w:t>
      </w:r>
      <w:r>
        <w:rPr>
          <w:rFonts w:hint="eastAsia" w:eastAsia="仿宋_GB2312"/>
          <w:bCs/>
          <w:color w:val="auto"/>
          <w:sz w:val="32"/>
          <w:szCs w:val="32"/>
          <w:highlight w:val="none"/>
          <w:lang w:val="en-US" w:eastAsia="zh-CN"/>
        </w:rPr>
        <w:t>工程签证审批流程表见附件2</w:t>
      </w:r>
      <w:r>
        <w:rPr>
          <w:rFonts w:eastAsia="黑体"/>
          <w:bCs/>
          <w:color w:val="auto"/>
          <w:sz w:val="32"/>
          <w:szCs w:val="32"/>
          <w:highlight w:val="none"/>
        </w:rPr>
        <w:t xml:space="preserve"> </w:t>
      </w:r>
    </w:p>
    <w:p>
      <w:pPr>
        <w:tabs>
          <w:tab w:val="left" w:pos="9135"/>
          <w:tab w:val="left" w:pos="9450"/>
          <w:tab w:val="left" w:pos="9720"/>
        </w:tabs>
        <w:ind w:firstLine="607"/>
        <w:jc w:val="center"/>
        <w:rPr>
          <w:rFonts w:eastAsia="黑体"/>
          <w:bCs/>
          <w:color w:val="auto"/>
          <w:sz w:val="32"/>
          <w:szCs w:val="32"/>
          <w:highlight w:val="none"/>
        </w:rPr>
      </w:pPr>
      <w:r>
        <w:rPr>
          <w:rFonts w:eastAsia="黑体"/>
          <w:bCs/>
          <w:color w:val="auto"/>
          <w:sz w:val="32"/>
          <w:szCs w:val="32"/>
          <w:highlight w:val="none"/>
        </w:rPr>
        <w:t>第五章  工程签证资料规定</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5.1 工程签证事项在符合合同及招标文件相关规定、经代建局确认成立时,承包单位须按本办法的规定提供签证资料, 所提供的资料应能够相互解释、不存在分歧。</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 xml:space="preserve">5.2 </w:t>
      </w:r>
      <w:r>
        <w:rPr>
          <w:rFonts w:hint="eastAsia" w:eastAsia="仿宋_GB2312"/>
          <w:bCs/>
          <w:color w:val="auto"/>
          <w:sz w:val="32"/>
          <w:szCs w:val="32"/>
          <w:highlight w:val="none"/>
        </w:rPr>
        <w:t>现场签证资料的主要框架为“一表一图一书”。“一表”指工程签证使用本管理办法统一的表格模板。“一图”对于现场签证，如有条件，指工程签证发生所在的平面位置图，及施工前、中、后的现场照片。 “一书”指造价预算书。预算书所采用的综合单价以合同约定的方式为准。有些现场签证的内容简单，可以直接在工程签证费用审批表上清晰表达出来，则可以不附预算书。</w:t>
      </w:r>
      <w:r>
        <w:rPr>
          <w:rFonts w:eastAsia="仿宋_GB2312"/>
          <w:bCs/>
          <w:color w:val="auto"/>
          <w:sz w:val="32"/>
          <w:szCs w:val="32"/>
          <w:highlight w:val="none"/>
        </w:rPr>
        <w:t>承包单位在报送</w:t>
      </w:r>
      <w:r>
        <w:rPr>
          <w:rFonts w:hint="eastAsia" w:eastAsia="仿宋_GB2312"/>
          <w:bCs/>
          <w:color w:val="auto"/>
          <w:sz w:val="32"/>
          <w:szCs w:val="32"/>
          <w:highlight w:val="none"/>
        </w:rPr>
        <w:t>工程签证</w:t>
      </w:r>
      <w:r>
        <w:rPr>
          <w:rFonts w:eastAsia="仿宋_GB2312"/>
          <w:bCs/>
          <w:color w:val="auto"/>
          <w:sz w:val="32"/>
          <w:szCs w:val="32"/>
          <w:highlight w:val="none"/>
        </w:rPr>
        <w:t>资料应按</w:t>
      </w:r>
      <w:r>
        <w:rPr>
          <w:rFonts w:hint="eastAsia" w:eastAsia="仿宋_GB2312"/>
          <w:bCs/>
          <w:color w:val="auto"/>
          <w:sz w:val="32"/>
          <w:szCs w:val="32"/>
          <w:highlight w:val="none"/>
        </w:rPr>
        <w:t>以下7点</w:t>
      </w:r>
      <w:r>
        <w:rPr>
          <w:rFonts w:eastAsia="仿宋_GB2312"/>
          <w:bCs/>
          <w:color w:val="auto"/>
          <w:sz w:val="32"/>
          <w:szCs w:val="32"/>
          <w:highlight w:val="none"/>
        </w:rPr>
        <w:t>顺序装订，所提供资料均需按顺序编制页码</w:t>
      </w:r>
      <w:r>
        <w:rPr>
          <w:rFonts w:hint="eastAsia" w:eastAsia="仿宋_GB2312"/>
          <w:bCs/>
          <w:color w:val="auto"/>
          <w:sz w:val="32"/>
          <w:szCs w:val="32"/>
          <w:highlight w:val="none"/>
        </w:rPr>
        <w:t>。</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（1）</w:t>
      </w:r>
      <w:r>
        <w:rPr>
          <w:rFonts w:hint="eastAsia" w:eastAsia="仿宋_GB2312"/>
          <w:bCs/>
          <w:color w:val="auto"/>
          <w:sz w:val="32"/>
          <w:szCs w:val="32"/>
          <w:highlight w:val="none"/>
        </w:rPr>
        <w:t>《工程签证费用审批表》；</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2</w:t>
      </w:r>
      <w:r>
        <w:rPr>
          <w:rFonts w:eastAsia="仿宋_GB2312"/>
          <w:bCs/>
          <w:color w:val="auto"/>
          <w:sz w:val="32"/>
          <w:szCs w:val="32"/>
          <w:highlight w:val="none"/>
        </w:rPr>
        <w:t>）</w:t>
      </w:r>
      <w:r>
        <w:rPr>
          <w:rFonts w:hint="eastAsia" w:eastAsia="仿宋_GB2312"/>
          <w:bCs/>
          <w:color w:val="auto"/>
          <w:sz w:val="32"/>
          <w:szCs w:val="32"/>
          <w:highlight w:val="none"/>
        </w:rPr>
        <w:t>《工程签证联系单》；</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《工程量签证表》；</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4</w:t>
      </w:r>
      <w:r>
        <w:rPr>
          <w:rFonts w:eastAsia="仿宋_GB2312"/>
          <w:bCs/>
          <w:color w:val="auto"/>
          <w:sz w:val="32"/>
          <w:szCs w:val="32"/>
          <w:highlight w:val="none"/>
        </w:rPr>
        <w:t>）</w:t>
      </w:r>
      <w:r>
        <w:rPr>
          <w:rFonts w:hint="eastAsia" w:eastAsia="仿宋_GB2312"/>
          <w:bCs/>
          <w:color w:val="auto"/>
          <w:sz w:val="32"/>
          <w:szCs w:val="32"/>
          <w:highlight w:val="none"/>
        </w:rPr>
        <w:t>《工程量现场草签单》；</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w:t>
      </w:r>
      <w:r>
        <w:rPr>
          <w:rFonts w:hint="eastAsia" w:eastAsia="仿宋_GB2312"/>
          <w:bCs/>
          <w:color w:val="auto"/>
          <w:sz w:val="32"/>
          <w:szCs w:val="32"/>
          <w:highlight w:val="none"/>
        </w:rPr>
        <w:t>产生签证的会议纪要或来往函件；（如有）</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6</w:t>
      </w:r>
      <w:r>
        <w:rPr>
          <w:rFonts w:eastAsia="仿宋_GB2312"/>
          <w:bCs/>
          <w:color w:val="auto"/>
          <w:sz w:val="32"/>
          <w:szCs w:val="32"/>
          <w:highlight w:val="none"/>
        </w:rPr>
        <w:t>）</w:t>
      </w:r>
      <w:r>
        <w:rPr>
          <w:rFonts w:hint="eastAsia" w:eastAsia="仿宋_GB2312"/>
          <w:bCs/>
          <w:color w:val="auto"/>
          <w:sz w:val="32"/>
          <w:szCs w:val="32"/>
          <w:highlight w:val="none"/>
        </w:rPr>
        <w:t>签证位置施工前中后照片；（需在照片下方增加简要的说明—照片施工位置、施工工序及需签证事宜，如签证需要提供现场测量数据，可在照片中用测量工具示出）</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w:t>
      </w:r>
      <w:r>
        <w:rPr>
          <w:rFonts w:hint="eastAsia" w:eastAsia="仿宋_GB2312"/>
          <w:bCs/>
          <w:color w:val="auto"/>
          <w:sz w:val="32"/>
          <w:szCs w:val="32"/>
          <w:highlight w:val="none"/>
        </w:rPr>
        <w:t>7</w:t>
      </w:r>
      <w:r>
        <w:rPr>
          <w:rFonts w:eastAsia="仿宋_GB2312"/>
          <w:bCs/>
          <w:color w:val="auto"/>
          <w:sz w:val="32"/>
          <w:szCs w:val="32"/>
          <w:highlight w:val="none"/>
        </w:rPr>
        <w:t>）</w:t>
      </w:r>
      <w:r>
        <w:rPr>
          <w:rFonts w:hint="eastAsia" w:eastAsia="仿宋_GB2312"/>
          <w:bCs/>
          <w:color w:val="auto"/>
          <w:sz w:val="32"/>
          <w:szCs w:val="32"/>
          <w:highlight w:val="none"/>
        </w:rPr>
        <w:t>造价预算书。</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5.2.1 《工程签证审批表》原件一式一份</w:t>
      </w:r>
      <w:r>
        <w:rPr>
          <w:rFonts w:hint="eastAsia" w:eastAsia="仿宋_GB2312"/>
          <w:bCs/>
          <w:color w:val="auto"/>
          <w:sz w:val="32"/>
          <w:szCs w:val="32"/>
          <w:highlight w:val="none"/>
        </w:rPr>
        <w:t>：</w:t>
      </w:r>
      <w:r>
        <w:rPr>
          <w:rFonts w:eastAsia="仿宋_GB2312"/>
          <w:bCs/>
          <w:color w:val="auto"/>
          <w:sz w:val="32"/>
          <w:szCs w:val="32"/>
          <w:highlight w:val="none"/>
        </w:rPr>
        <w:t>承包单位应将签证的具体内容、工程签证费用详细列明，并附签证费用计算等支持资料。</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5.2.2</w:t>
      </w:r>
      <w:r>
        <w:rPr>
          <w:rFonts w:hint="eastAsia" w:eastAsia="仿宋_GB2312"/>
          <w:bCs/>
          <w:color w:val="auto"/>
          <w:sz w:val="32"/>
          <w:szCs w:val="32"/>
          <w:highlight w:val="none"/>
        </w:rPr>
        <w:t xml:space="preserve"> 其他表格和资料</w:t>
      </w:r>
      <w:r>
        <w:rPr>
          <w:rFonts w:eastAsia="仿宋_GB2312"/>
          <w:bCs/>
          <w:color w:val="auto"/>
          <w:sz w:val="32"/>
          <w:szCs w:val="32"/>
          <w:highlight w:val="none"/>
        </w:rPr>
        <w:t>原件一式</w:t>
      </w:r>
      <w:r>
        <w:rPr>
          <w:rFonts w:hint="eastAsia" w:eastAsia="仿宋_GB2312"/>
          <w:bCs/>
          <w:color w:val="auto"/>
          <w:sz w:val="32"/>
          <w:szCs w:val="32"/>
          <w:highlight w:val="none"/>
          <w:lang w:eastAsia="zh-CN"/>
        </w:rPr>
        <w:t>四份</w:t>
      </w:r>
      <w:r>
        <w:rPr>
          <w:rFonts w:eastAsia="仿宋_GB2312"/>
          <w:bCs/>
          <w:color w:val="auto"/>
          <w:sz w:val="32"/>
          <w:szCs w:val="32"/>
          <w:highlight w:val="none"/>
        </w:rPr>
        <w:t>。</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 xml:space="preserve">3 </w:t>
      </w:r>
      <w:r>
        <w:rPr>
          <w:rFonts w:eastAsia="仿宋_GB2312"/>
          <w:bCs/>
          <w:color w:val="auto"/>
          <w:sz w:val="32"/>
          <w:szCs w:val="32"/>
          <w:highlight w:val="none"/>
        </w:rPr>
        <w:t>相关支持材料：提供经监理单位及代建局确认的与《工程签证联系单》即签证事项是否成立有关资料有：设计变更、施工图纸、有关会议纪要、代建局文件、监理工作联系单、监理指令等。与《工程量签证表》即签证工程量有关的资料</w:t>
      </w:r>
      <w:r>
        <w:rPr>
          <w:rFonts w:hint="eastAsia" w:eastAsia="仿宋_GB2312"/>
          <w:bCs/>
          <w:color w:val="auto"/>
          <w:sz w:val="32"/>
          <w:szCs w:val="32"/>
          <w:highlight w:val="none"/>
        </w:rPr>
        <w:t>应</w:t>
      </w:r>
      <w:r>
        <w:rPr>
          <w:rFonts w:eastAsia="仿宋_GB2312"/>
          <w:bCs/>
          <w:color w:val="auto"/>
          <w:sz w:val="32"/>
          <w:szCs w:val="32"/>
          <w:highlight w:val="none"/>
        </w:rPr>
        <w:t>有：经监理单位及代建局确认的反映原始地形地貌</w:t>
      </w:r>
      <w:r>
        <w:rPr>
          <w:rFonts w:hint="eastAsia" w:eastAsia="仿宋_GB2312"/>
          <w:bCs/>
          <w:color w:val="auto"/>
          <w:sz w:val="32"/>
          <w:szCs w:val="32"/>
          <w:highlight w:val="none"/>
        </w:rPr>
        <w:t>、物件数量规格重量、详细</w:t>
      </w:r>
      <w:r>
        <w:rPr>
          <w:rFonts w:eastAsia="仿宋_GB2312"/>
          <w:bCs/>
          <w:color w:val="auto"/>
          <w:sz w:val="32"/>
          <w:szCs w:val="32"/>
          <w:highlight w:val="none"/>
        </w:rPr>
        <w:t>测量记录</w:t>
      </w:r>
      <w:r>
        <w:rPr>
          <w:rFonts w:hint="eastAsia" w:eastAsia="仿宋_GB2312"/>
          <w:bCs/>
          <w:color w:val="auto"/>
          <w:sz w:val="32"/>
          <w:szCs w:val="32"/>
          <w:highlight w:val="none"/>
        </w:rPr>
        <w:t>（含照片）</w:t>
      </w:r>
      <w:r>
        <w:rPr>
          <w:rFonts w:eastAsia="仿宋_GB2312"/>
          <w:bCs/>
          <w:color w:val="auto"/>
          <w:sz w:val="32"/>
          <w:szCs w:val="32"/>
          <w:highlight w:val="none"/>
        </w:rPr>
        <w:t>，</w:t>
      </w:r>
      <w:r>
        <w:rPr>
          <w:rFonts w:hint="eastAsia" w:eastAsia="仿宋_GB2312"/>
          <w:bCs/>
          <w:color w:val="auto"/>
          <w:sz w:val="32"/>
          <w:szCs w:val="32"/>
          <w:highlight w:val="none"/>
        </w:rPr>
        <w:t>当日监理签署的工程量草签单，</w:t>
      </w:r>
      <w:r>
        <w:rPr>
          <w:rFonts w:eastAsia="仿宋_GB2312"/>
          <w:bCs/>
          <w:color w:val="auto"/>
          <w:sz w:val="32"/>
          <w:szCs w:val="32"/>
          <w:highlight w:val="none"/>
        </w:rPr>
        <w:t>批准的施工方案，签证整体所发生位置、</w:t>
      </w:r>
      <w:r>
        <w:rPr>
          <w:rFonts w:hint="eastAsia" w:eastAsia="仿宋_GB2312"/>
          <w:bCs/>
          <w:color w:val="auto"/>
          <w:sz w:val="32"/>
          <w:szCs w:val="32"/>
          <w:highlight w:val="none"/>
        </w:rPr>
        <w:t>现场实施前后照片</w:t>
      </w:r>
      <w:r>
        <w:rPr>
          <w:rFonts w:eastAsia="仿宋_GB2312"/>
          <w:bCs/>
          <w:color w:val="auto"/>
          <w:sz w:val="32"/>
          <w:szCs w:val="32"/>
          <w:highlight w:val="none"/>
        </w:rPr>
        <w:t>，试验资料、地质勘察资料及施工记录等。发生以下工程签证内容时，其签证支持材料还需满足以下规定：</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 xml:space="preserve">.1 土石方工程 </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所有涉及土石方工程签证须提供经监理单位、代建局(业主测量队)确认的签证事件发生前及结束时方格网图或纵横断面图（路基土方）或基坑断面图（基坑土方）；图上应标注土质成份和实际的土石分界线；发生土石方外运的应有运距证明材料。</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 xml:space="preserve">.2 </w:t>
      </w:r>
      <w:r>
        <w:rPr>
          <w:rFonts w:hint="eastAsia" w:eastAsia="仿宋_GB2312"/>
          <w:bCs/>
          <w:color w:val="auto"/>
          <w:sz w:val="32"/>
          <w:szCs w:val="32"/>
          <w:highlight w:val="none"/>
        </w:rPr>
        <w:t>桩基础工程</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所有涉及</w:t>
      </w:r>
      <w:r>
        <w:rPr>
          <w:rFonts w:hint="eastAsia" w:eastAsia="仿宋_GB2312"/>
          <w:bCs/>
          <w:color w:val="auto"/>
          <w:sz w:val="32"/>
          <w:szCs w:val="32"/>
          <w:highlight w:val="none"/>
        </w:rPr>
        <w:t>桩基础</w:t>
      </w:r>
      <w:r>
        <w:rPr>
          <w:rFonts w:eastAsia="仿宋_GB2312"/>
          <w:bCs/>
          <w:color w:val="auto"/>
          <w:sz w:val="32"/>
          <w:szCs w:val="32"/>
          <w:highlight w:val="none"/>
        </w:rPr>
        <w:t>工程</w:t>
      </w:r>
      <w:r>
        <w:rPr>
          <w:rFonts w:hint="eastAsia" w:eastAsia="仿宋_GB2312"/>
          <w:bCs/>
          <w:color w:val="auto"/>
          <w:sz w:val="32"/>
          <w:szCs w:val="32"/>
          <w:highlight w:val="none"/>
        </w:rPr>
        <w:t>量</w:t>
      </w:r>
      <w:r>
        <w:rPr>
          <w:rFonts w:eastAsia="仿宋_GB2312"/>
          <w:bCs/>
          <w:color w:val="auto"/>
          <w:sz w:val="32"/>
          <w:szCs w:val="32"/>
          <w:highlight w:val="none"/>
        </w:rPr>
        <w:t>签证须提供经监理单位、代建局</w:t>
      </w:r>
      <w:r>
        <w:rPr>
          <w:rFonts w:hint="eastAsia" w:eastAsia="仿宋_GB2312"/>
          <w:bCs/>
          <w:color w:val="auto"/>
          <w:sz w:val="32"/>
          <w:szCs w:val="32"/>
          <w:highlight w:val="none"/>
        </w:rPr>
        <w:t>项目负责人确认的桩基础工程施工记录表、工程桩检测报告（抽芯、小应变、超声波等）、监理单位收桩汇总照片等相关资料。</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 xml:space="preserve">.3发生不可抗力事件 </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须提供国家或地方主管部门发布的资料，并且有相关资料证明该灾害影响到工程的顺利实施，或者影响工程质量需要返工或部分废弃。</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4</w:t>
      </w:r>
      <w:r>
        <w:rPr>
          <w:rFonts w:eastAsia="仿宋_GB2312"/>
          <w:bCs/>
          <w:color w:val="auto"/>
          <w:sz w:val="32"/>
          <w:szCs w:val="32"/>
          <w:highlight w:val="none"/>
        </w:rPr>
        <w:t xml:space="preserve"> 设计变更 </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因设计变更造成的废弃工程，应提供经监理单位、代建局工程管理部门对已按图施工又需拆除或迁改的工程量的核查确认意见，同时应附拆除或迁改的照片，照片内容应能够反映时间、拆改部位、参加现场确认的</w:t>
      </w:r>
      <w:r>
        <w:rPr>
          <w:rFonts w:hint="eastAsia" w:eastAsia="仿宋_GB2312"/>
          <w:bCs/>
          <w:color w:val="auto"/>
          <w:sz w:val="32"/>
          <w:szCs w:val="32"/>
          <w:highlight w:val="none"/>
        </w:rPr>
        <w:t>各方</w:t>
      </w:r>
      <w:r>
        <w:rPr>
          <w:rFonts w:eastAsia="仿宋_GB2312"/>
          <w:bCs/>
          <w:color w:val="auto"/>
          <w:sz w:val="32"/>
          <w:szCs w:val="32"/>
          <w:highlight w:val="none"/>
        </w:rPr>
        <w:t>人员。</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 提供设计变更前及变更后的施工图纸或设计变更单(对局部复印图纸无签章或签章不全时，须经监理单位、代建局工程管理部门确认后盖章)，并在变更前的施工图上标明拆除或迁改的部位。</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（3）对废弃工程中有使用价值的材料设备，监理单位及代建局工程管理科室应提出具体处理意见。</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5</w:t>
      </w:r>
      <w:r>
        <w:rPr>
          <w:rFonts w:eastAsia="仿宋_GB2312"/>
          <w:bCs/>
          <w:color w:val="auto"/>
          <w:sz w:val="32"/>
          <w:szCs w:val="32"/>
          <w:highlight w:val="none"/>
        </w:rPr>
        <w:t xml:space="preserve"> 业主指令的临时工程（作）量</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 当发生实物量工程（作）量时，有业主下发图纸的需附图纸；无图的由承包单位绘图，经监理单位、代建局工程管理部门对图纸进行确认。依据图纸计算工程（作）量；无法按图计算的，由承包单位、监理单位、代建局工程管理部门现场测量确定。</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（2）当发生机械台班时,必须经监理单位</w:t>
      </w:r>
      <w:r>
        <w:rPr>
          <w:rFonts w:hint="eastAsia" w:eastAsia="仿宋_GB2312"/>
          <w:bCs/>
          <w:color w:val="auto"/>
          <w:sz w:val="32"/>
          <w:szCs w:val="32"/>
          <w:highlight w:val="none"/>
        </w:rPr>
        <w:t>和</w:t>
      </w:r>
      <w:r>
        <w:rPr>
          <w:rFonts w:eastAsia="仿宋_GB2312"/>
          <w:bCs/>
          <w:color w:val="auto"/>
          <w:sz w:val="32"/>
          <w:szCs w:val="32"/>
          <w:highlight w:val="none"/>
        </w:rPr>
        <w:t>代建局</w:t>
      </w:r>
      <w:r>
        <w:rPr>
          <w:rFonts w:hint="eastAsia" w:eastAsia="仿宋_GB2312"/>
          <w:bCs/>
          <w:color w:val="auto"/>
          <w:sz w:val="32"/>
          <w:szCs w:val="32"/>
          <w:highlight w:val="none"/>
        </w:rPr>
        <w:t>项目负责人</w:t>
      </w:r>
      <w:r>
        <w:rPr>
          <w:rFonts w:eastAsia="仿宋_GB2312"/>
          <w:bCs/>
          <w:color w:val="auto"/>
          <w:sz w:val="32"/>
          <w:szCs w:val="32"/>
          <w:highlight w:val="none"/>
        </w:rPr>
        <w:t>一日一签,同时应有详细记录。</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6</w:t>
      </w:r>
      <w:r>
        <w:rPr>
          <w:rFonts w:eastAsia="仿宋_GB2312"/>
          <w:bCs/>
          <w:color w:val="auto"/>
          <w:sz w:val="32"/>
          <w:szCs w:val="32"/>
          <w:highlight w:val="none"/>
        </w:rPr>
        <w:t xml:space="preserve"> 其他承包单位的影响</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应提供其他承包单位影响的部位、照片及实施情况的说明，按索赔签证处理的应列明原因，索赔签证办理程序及要求同工程签证。</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5.2.</w:t>
      </w:r>
      <w:r>
        <w:rPr>
          <w:rFonts w:hint="eastAsia" w:eastAsia="仿宋_GB2312"/>
          <w:bCs/>
          <w:color w:val="auto"/>
          <w:sz w:val="32"/>
          <w:szCs w:val="32"/>
          <w:highlight w:val="none"/>
        </w:rPr>
        <w:t>3</w:t>
      </w:r>
      <w:r>
        <w:rPr>
          <w:rFonts w:eastAsia="仿宋_GB2312"/>
          <w:bCs/>
          <w:color w:val="auto"/>
          <w:sz w:val="32"/>
          <w:szCs w:val="32"/>
          <w:highlight w:val="none"/>
        </w:rPr>
        <w:t>.</w:t>
      </w:r>
      <w:r>
        <w:rPr>
          <w:rFonts w:hint="eastAsia" w:eastAsia="仿宋_GB2312"/>
          <w:bCs/>
          <w:color w:val="auto"/>
          <w:sz w:val="32"/>
          <w:szCs w:val="32"/>
          <w:highlight w:val="none"/>
        </w:rPr>
        <w:t>7</w:t>
      </w:r>
      <w:r>
        <w:rPr>
          <w:rFonts w:eastAsia="仿宋_GB2312"/>
          <w:bCs/>
          <w:color w:val="auto"/>
          <w:sz w:val="32"/>
          <w:szCs w:val="32"/>
          <w:highlight w:val="none"/>
        </w:rPr>
        <w:t xml:space="preserve"> 停工</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（1）省市人民政府、上级主管部门、代建局下发的停工指令。</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（2）提供停工期间施工现场留守人员的信息，停滞的大型机械设备照片（吊车、塔吊、挖掘机等）；同时提供经监理单位、代建局工程管理科室一日一签的资料。</w:t>
      </w:r>
    </w:p>
    <w:p>
      <w:pPr>
        <w:tabs>
          <w:tab w:val="left" w:pos="9135"/>
          <w:tab w:val="left" w:pos="9450"/>
          <w:tab w:val="left" w:pos="9720"/>
        </w:tabs>
        <w:spacing w:line="600" w:lineRule="exact"/>
        <w:ind w:firstLine="640" w:firstLineChars="200"/>
        <w:rPr>
          <w:rFonts w:hint="eastAsia" w:eastAsia="仿宋_GB2312"/>
          <w:bCs/>
          <w:color w:val="auto"/>
          <w:sz w:val="32"/>
          <w:szCs w:val="32"/>
          <w:highlight w:val="none"/>
        </w:rPr>
      </w:pP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5.3 工程签证资料其他规定：</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5.3.1 因工程签证而发生的合同外换算/新增项目综合单价及乙供材料/设备定价时，须按代建局与承包单位签订的施工合同以及天河区的相关规定办理。</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5.3.2 工程签证资料</w:t>
      </w:r>
      <w:r>
        <w:rPr>
          <w:rFonts w:hint="eastAsia" w:eastAsia="仿宋_GB2312"/>
          <w:bCs/>
          <w:color w:val="auto"/>
          <w:sz w:val="32"/>
          <w:szCs w:val="32"/>
          <w:highlight w:val="none"/>
        </w:rPr>
        <w:t>必须提</w:t>
      </w:r>
      <w:r>
        <w:rPr>
          <w:rFonts w:eastAsia="仿宋_GB2312"/>
          <w:bCs/>
          <w:color w:val="auto"/>
          <w:sz w:val="32"/>
          <w:szCs w:val="32"/>
          <w:highlight w:val="none"/>
        </w:rPr>
        <w:t>供纸制材料</w:t>
      </w:r>
      <w:r>
        <w:rPr>
          <w:rFonts w:hint="eastAsia" w:eastAsia="仿宋_GB2312"/>
          <w:bCs/>
          <w:color w:val="auto"/>
          <w:sz w:val="32"/>
          <w:szCs w:val="32"/>
          <w:highlight w:val="none"/>
        </w:rPr>
        <w:t>，同</w:t>
      </w:r>
      <w:r>
        <w:rPr>
          <w:rFonts w:eastAsia="仿宋_GB2312"/>
          <w:bCs/>
          <w:color w:val="auto"/>
          <w:sz w:val="32"/>
          <w:szCs w:val="32"/>
          <w:highlight w:val="none"/>
        </w:rPr>
        <w:t>时</w:t>
      </w:r>
      <w:r>
        <w:rPr>
          <w:rFonts w:hint="eastAsia" w:eastAsia="仿宋_GB2312"/>
          <w:bCs/>
          <w:color w:val="auto"/>
          <w:sz w:val="32"/>
          <w:szCs w:val="32"/>
          <w:highlight w:val="none"/>
        </w:rPr>
        <w:t>需</w:t>
      </w:r>
      <w:r>
        <w:rPr>
          <w:rFonts w:eastAsia="仿宋_GB2312"/>
          <w:bCs/>
          <w:color w:val="auto"/>
          <w:sz w:val="32"/>
          <w:szCs w:val="32"/>
          <w:highlight w:val="none"/>
        </w:rPr>
        <w:t>提供电子文档。</w:t>
      </w:r>
    </w:p>
    <w:p>
      <w:pPr>
        <w:tabs>
          <w:tab w:val="left" w:pos="9135"/>
          <w:tab w:val="left" w:pos="9450"/>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5.3.3 经代建局审批的《工程签证审批表》原件一式一份，审批完成后由代建局工程项目负责人留存；《工程签证联系单》、《工程量签证表》连同所附支持材料原件共一式</w:t>
      </w:r>
      <w:r>
        <w:rPr>
          <w:rFonts w:hint="eastAsia" w:eastAsia="仿宋_GB2312"/>
          <w:bCs/>
          <w:color w:val="auto"/>
          <w:sz w:val="32"/>
          <w:szCs w:val="32"/>
          <w:highlight w:val="none"/>
          <w:lang w:eastAsia="zh-CN"/>
        </w:rPr>
        <w:t>四份</w:t>
      </w:r>
      <w:r>
        <w:rPr>
          <w:rFonts w:eastAsia="仿宋_GB2312"/>
          <w:bCs/>
          <w:color w:val="auto"/>
          <w:sz w:val="32"/>
          <w:szCs w:val="32"/>
          <w:highlight w:val="none"/>
        </w:rPr>
        <w:t>，代建局工程项目负责人、监理单位各存一份，承包单位四份（承包单位向代建局申报的工程结算资料中，工程签证材料应为原件）。</w:t>
      </w:r>
    </w:p>
    <w:p>
      <w:pPr>
        <w:tabs>
          <w:tab w:val="left" w:pos="9135"/>
          <w:tab w:val="left" w:pos="9450"/>
          <w:tab w:val="left" w:pos="9720"/>
        </w:tabs>
        <w:spacing w:line="600" w:lineRule="exact"/>
        <w:ind w:firstLine="640" w:firstLineChars="200"/>
        <w:outlineLvl w:val="9"/>
        <w:rPr>
          <w:rFonts w:eastAsia="黑体"/>
          <w:bCs/>
          <w:color w:val="auto"/>
          <w:sz w:val="32"/>
          <w:szCs w:val="32"/>
          <w:highlight w:val="none"/>
        </w:rPr>
      </w:pPr>
      <w:r>
        <w:rPr>
          <w:rFonts w:eastAsia="仿宋_GB2312"/>
          <w:bCs/>
          <w:color w:val="auto"/>
          <w:sz w:val="32"/>
          <w:szCs w:val="32"/>
          <w:highlight w:val="none"/>
        </w:rPr>
        <w:t>5.3.4 承包单位、监理单位、代建局工程管理部门须各自建立工程签证台账并定期核对（格式见附表4）</w:t>
      </w:r>
      <w:r>
        <w:rPr>
          <w:rFonts w:hint="eastAsia" w:eastAsia="仿宋_GB2312"/>
          <w:bCs/>
          <w:color w:val="auto"/>
          <w:sz w:val="32"/>
          <w:szCs w:val="32"/>
          <w:highlight w:val="none"/>
        </w:rPr>
        <w:t>，签证台账应包括所有已审批、已提交审批、未提交审批的签证内容，其中未提交审批签证需备注具体原因，台账在项目施工期内每月进行汇总更新，作为工程进度款附件确认提交。</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5 工程签证的附件资料都需加盖施工单位及监理单位的公章或者项目章（经授权），有多页的需盖骑缝章。</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6 现场签证的的平面位置图及施工前、中、后的现场照片需各相关参建单位项目经办人签名。</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7 工程签证需简明扼要的表达清楚三个内容：发生的原因、采用的依据、建议的措施。建议的措施需简明表达变更或签证整体所发生位置、数量、尺寸等。</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8原则上，工程签证当月发生，当月上报，且各相关参建单位项目负责人需按实签署上报的日期。</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9 《工程量签证表》上的计算数据，需注明数据的来源（如长、宽、高、数量等）。</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.10 工程签证佐证附件资料除了图纸和预算书，根据项目的实际情况，增加其他相应的依据，如函件、会议纪要、勘察报告等。</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11 工程签证审核单位项目负责人应认真审核呈批文件，尽量一次性告知修改意见。施工单位如未彻底完善，且存在编制质量问题，</w:t>
      </w:r>
      <w:r>
        <w:rPr>
          <w:rFonts w:hint="eastAsia" w:eastAsia="仿宋_GB2312"/>
          <w:bCs/>
          <w:color w:val="auto"/>
          <w:sz w:val="32"/>
          <w:szCs w:val="32"/>
          <w:highlight w:val="none"/>
          <w:lang w:eastAsia="zh-CN"/>
        </w:rPr>
        <w:t>三</w:t>
      </w:r>
      <w:r>
        <w:rPr>
          <w:rFonts w:hint="eastAsia" w:eastAsia="仿宋_GB2312"/>
          <w:bCs/>
          <w:color w:val="auto"/>
          <w:sz w:val="32"/>
          <w:szCs w:val="32"/>
          <w:highlight w:val="none"/>
        </w:rPr>
        <w:t>次告知如仍未达到要求，可按合同</w:t>
      </w:r>
      <w:r>
        <w:rPr>
          <w:rFonts w:hint="eastAsia" w:eastAsia="仿宋_GB2312"/>
          <w:bCs/>
          <w:color w:val="auto"/>
          <w:sz w:val="32"/>
          <w:szCs w:val="32"/>
          <w:highlight w:val="none"/>
          <w:lang w:eastAsia="zh-CN"/>
        </w:rPr>
        <w:t>约定</w:t>
      </w:r>
      <w:r>
        <w:rPr>
          <w:rFonts w:hint="eastAsia" w:eastAsia="仿宋_GB2312"/>
          <w:bCs/>
          <w:color w:val="auto"/>
          <w:sz w:val="32"/>
          <w:szCs w:val="32"/>
          <w:highlight w:val="none"/>
        </w:rPr>
        <w:t>进行违约处罚。</w:t>
      </w:r>
    </w:p>
    <w:p>
      <w:pPr>
        <w:tabs>
          <w:tab w:val="left" w:pos="9135"/>
          <w:tab w:val="left" w:pos="9450"/>
          <w:tab w:val="left" w:pos="9720"/>
        </w:tabs>
        <w:spacing w:line="600" w:lineRule="exact"/>
        <w:ind w:firstLine="640" w:firstLineChars="200"/>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12 已报呈批的文件，若非涉及核心数据（量、价）的修改，可要求施工单位提交补充说明，以免文件反复修改提交。</w:t>
      </w:r>
    </w:p>
    <w:p>
      <w:pPr>
        <w:tabs>
          <w:tab w:val="left" w:pos="9135"/>
          <w:tab w:val="left" w:pos="9450"/>
          <w:tab w:val="left" w:pos="9720"/>
        </w:tabs>
        <w:spacing w:line="600" w:lineRule="exact"/>
        <w:ind w:firstLine="640" w:firstLineChars="200"/>
        <w:jc w:val="both"/>
        <w:outlineLvl w:val="9"/>
        <w:rPr>
          <w:rFonts w:hint="eastAsia" w:eastAsia="仿宋_GB2312"/>
          <w:bCs/>
          <w:color w:val="auto"/>
          <w:sz w:val="32"/>
          <w:szCs w:val="32"/>
          <w:highlight w:val="none"/>
        </w:rPr>
      </w:pPr>
      <w:r>
        <w:rPr>
          <w:rFonts w:eastAsia="仿宋_GB2312"/>
          <w:bCs/>
          <w:color w:val="auto"/>
          <w:sz w:val="32"/>
          <w:szCs w:val="32"/>
          <w:highlight w:val="none"/>
        </w:rPr>
        <w:t>5.3.</w:t>
      </w:r>
      <w:r>
        <w:rPr>
          <w:rFonts w:hint="eastAsia" w:eastAsia="仿宋_GB2312"/>
          <w:bCs/>
          <w:color w:val="auto"/>
          <w:sz w:val="32"/>
          <w:szCs w:val="32"/>
          <w:highlight w:val="none"/>
        </w:rPr>
        <w:t>13 呈批文件退回时备注应保留记录时间、原因，归档备查。</w:t>
      </w:r>
    </w:p>
    <w:p>
      <w:pPr>
        <w:tabs>
          <w:tab w:val="left" w:pos="9135"/>
          <w:tab w:val="left" w:pos="9450"/>
          <w:tab w:val="left" w:pos="9720"/>
        </w:tabs>
        <w:spacing w:line="600" w:lineRule="exact"/>
        <w:ind w:firstLine="640" w:firstLineChars="200"/>
        <w:jc w:val="both"/>
        <w:outlineLvl w:val="9"/>
        <w:rPr>
          <w:rFonts w:hint="eastAsia" w:eastAsia="仿宋_GB2312"/>
          <w:bCs/>
          <w:color w:val="auto"/>
          <w:sz w:val="32"/>
          <w:szCs w:val="32"/>
          <w:highlight w:val="none"/>
        </w:rPr>
      </w:pPr>
    </w:p>
    <w:p>
      <w:pPr>
        <w:tabs>
          <w:tab w:val="left" w:pos="9135"/>
          <w:tab w:val="left" w:pos="9450"/>
          <w:tab w:val="left" w:pos="9720"/>
        </w:tabs>
        <w:spacing w:line="600" w:lineRule="exact"/>
        <w:ind w:firstLine="640" w:firstLineChars="200"/>
        <w:jc w:val="both"/>
        <w:outlineLvl w:val="9"/>
        <w:rPr>
          <w:rFonts w:hint="eastAsia" w:eastAsia="仿宋_GB2312"/>
          <w:bCs/>
          <w:color w:val="auto"/>
          <w:sz w:val="32"/>
          <w:szCs w:val="32"/>
          <w:highlight w:val="none"/>
        </w:rPr>
      </w:pPr>
      <w:r>
        <w:rPr>
          <w:rFonts w:hint="eastAsia" w:eastAsia="仿宋_GB2312"/>
          <w:bCs/>
          <w:color w:val="auto"/>
          <w:sz w:val="32"/>
          <w:szCs w:val="32"/>
          <w:highlight w:val="none"/>
        </w:rPr>
        <w:t>5.4本办法自印发之日起试行，有效期</w:t>
      </w:r>
      <w:r>
        <w:rPr>
          <w:rFonts w:hint="eastAsia" w:eastAsia="仿宋_GB2312"/>
          <w:bCs/>
          <w:color w:val="auto"/>
          <w:sz w:val="32"/>
          <w:szCs w:val="32"/>
          <w:highlight w:val="none"/>
          <w:lang w:val="en-US" w:eastAsia="zh-CN"/>
        </w:rPr>
        <w:t>一</w:t>
      </w:r>
      <w:r>
        <w:rPr>
          <w:rFonts w:hint="eastAsia" w:eastAsia="仿宋_GB2312"/>
          <w:bCs/>
          <w:color w:val="auto"/>
          <w:sz w:val="32"/>
          <w:szCs w:val="32"/>
          <w:highlight w:val="none"/>
        </w:rPr>
        <w:t>年。实施中遇到的问题，请径向区代建局管理部门反映。</w:t>
      </w:r>
    </w:p>
    <w:p>
      <w:pPr>
        <w:tabs>
          <w:tab w:val="left" w:pos="9720"/>
        </w:tabs>
        <w:spacing w:line="600" w:lineRule="exact"/>
        <w:jc w:val="center"/>
        <w:outlineLvl w:val="9"/>
        <w:rPr>
          <w:rFonts w:hint="eastAsia" w:eastAsia="黑体"/>
          <w:bCs/>
          <w:color w:val="auto"/>
          <w:sz w:val="32"/>
          <w:szCs w:val="32"/>
          <w:highlight w:val="none"/>
          <w:lang w:eastAsia="zh-CN"/>
        </w:rPr>
      </w:pPr>
      <w:r>
        <w:rPr>
          <w:rFonts w:eastAsia="黑体"/>
          <w:bCs/>
          <w:color w:val="auto"/>
          <w:sz w:val="32"/>
          <w:szCs w:val="32"/>
          <w:highlight w:val="none"/>
        </w:rPr>
        <w:t xml:space="preserve">附 </w:t>
      </w:r>
      <w:r>
        <w:rPr>
          <w:rFonts w:hint="eastAsia" w:eastAsia="黑体"/>
          <w:bCs/>
          <w:color w:val="auto"/>
          <w:sz w:val="32"/>
          <w:szCs w:val="32"/>
          <w:highlight w:val="none"/>
          <w:lang w:val="en-US" w:eastAsia="zh-CN"/>
        </w:rPr>
        <w:t>件</w:t>
      </w:r>
    </w:p>
    <w:p>
      <w:pPr>
        <w:tabs>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1</w:t>
      </w:r>
      <w:r>
        <w:rPr>
          <w:rFonts w:eastAsia="仿宋_GB2312"/>
          <w:bCs/>
          <w:color w:val="auto"/>
          <w:sz w:val="32"/>
          <w:szCs w:val="32"/>
          <w:highlight w:val="none"/>
        </w:rPr>
        <w:t xml:space="preserve"> </w:t>
      </w:r>
      <w:bookmarkStart w:id="1141" w:name="_Hlk88922963"/>
      <w:r>
        <w:rPr>
          <w:rFonts w:hint="eastAsia" w:eastAsia="仿宋_GB2312"/>
          <w:bCs/>
          <w:color w:val="auto"/>
          <w:sz w:val="32"/>
          <w:szCs w:val="32"/>
          <w:highlight w:val="none"/>
        </w:rPr>
        <w:t>天河区代建局</w:t>
      </w:r>
      <w:r>
        <w:rPr>
          <w:rFonts w:eastAsia="仿宋_GB2312"/>
          <w:bCs/>
          <w:color w:val="auto"/>
          <w:sz w:val="32"/>
          <w:szCs w:val="32"/>
          <w:highlight w:val="none"/>
        </w:rPr>
        <w:t>工程签证</w:t>
      </w:r>
      <w:r>
        <w:rPr>
          <w:rFonts w:hint="eastAsia" w:eastAsia="仿宋_GB2312"/>
          <w:bCs/>
          <w:color w:val="auto"/>
          <w:sz w:val="32"/>
          <w:szCs w:val="32"/>
          <w:highlight w:val="none"/>
        </w:rPr>
        <w:t>管理办法知悉承诺书</w:t>
      </w:r>
      <w:bookmarkEnd w:id="1141"/>
    </w:p>
    <w:p>
      <w:pPr>
        <w:tabs>
          <w:tab w:val="left" w:pos="9720"/>
        </w:tabs>
        <w:spacing w:line="600" w:lineRule="exact"/>
        <w:ind w:firstLine="640" w:firstLineChars="200"/>
        <w:rPr>
          <w:rFonts w:hint="default" w:eastAsia="仿宋_GB2312"/>
          <w:bCs/>
          <w:color w:val="auto"/>
          <w:sz w:val="32"/>
          <w:szCs w:val="32"/>
          <w:highlight w:val="none"/>
          <w:lang w:val="en-US" w:eastAsia="zh-CN"/>
        </w:rPr>
      </w:pPr>
      <w:r>
        <w:rPr>
          <w:rFonts w:hint="eastAsia" w:eastAsia="仿宋_GB2312"/>
          <w:bCs/>
          <w:color w:val="auto"/>
          <w:sz w:val="32"/>
          <w:szCs w:val="32"/>
          <w:highlight w:val="none"/>
          <w:lang w:val="en-US" w:eastAsia="zh-CN"/>
        </w:rPr>
        <w:t>附表2工程签证审批流程图</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2</w:t>
      </w:r>
      <w:r>
        <w:rPr>
          <w:rFonts w:eastAsia="仿宋_GB2312"/>
          <w:bCs/>
          <w:color w:val="auto"/>
          <w:sz w:val="32"/>
          <w:szCs w:val="32"/>
          <w:highlight w:val="none"/>
        </w:rPr>
        <w:t xml:space="preserve"> 工程签证</w:t>
      </w:r>
      <w:r>
        <w:rPr>
          <w:rFonts w:hint="eastAsia" w:eastAsia="仿宋_GB2312"/>
          <w:bCs/>
          <w:color w:val="auto"/>
          <w:sz w:val="32"/>
          <w:szCs w:val="32"/>
          <w:highlight w:val="none"/>
        </w:rPr>
        <w:t>费用</w:t>
      </w:r>
      <w:r>
        <w:rPr>
          <w:rFonts w:eastAsia="仿宋_GB2312"/>
          <w:bCs/>
          <w:color w:val="auto"/>
          <w:sz w:val="32"/>
          <w:szCs w:val="32"/>
          <w:highlight w:val="none"/>
        </w:rPr>
        <w:t>审批表</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3</w:t>
      </w:r>
      <w:r>
        <w:rPr>
          <w:rFonts w:eastAsia="仿宋_GB2312"/>
          <w:bCs/>
          <w:color w:val="auto"/>
          <w:sz w:val="32"/>
          <w:szCs w:val="32"/>
          <w:highlight w:val="none"/>
        </w:rPr>
        <w:t xml:space="preserve"> 工程签证联系单</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4</w:t>
      </w:r>
      <w:r>
        <w:rPr>
          <w:rFonts w:eastAsia="仿宋_GB2312"/>
          <w:bCs/>
          <w:color w:val="auto"/>
          <w:sz w:val="32"/>
          <w:szCs w:val="32"/>
          <w:highlight w:val="none"/>
        </w:rPr>
        <w:t xml:space="preserve"> 工程量签证表</w:t>
      </w:r>
    </w:p>
    <w:p>
      <w:pPr>
        <w:tabs>
          <w:tab w:val="left" w:pos="9720"/>
        </w:tabs>
        <w:spacing w:line="600" w:lineRule="exact"/>
        <w:ind w:firstLine="640" w:firstLineChars="200"/>
        <w:rPr>
          <w:rFonts w:hint="eastAsia"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5</w:t>
      </w:r>
      <w:r>
        <w:rPr>
          <w:rFonts w:eastAsia="仿宋_GB2312"/>
          <w:bCs/>
          <w:color w:val="auto"/>
          <w:sz w:val="32"/>
          <w:szCs w:val="32"/>
          <w:highlight w:val="none"/>
        </w:rPr>
        <w:t xml:space="preserve"> 工程量</w:t>
      </w:r>
      <w:r>
        <w:rPr>
          <w:rFonts w:hint="eastAsia" w:eastAsia="仿宋_GB2312"/>
          <w:bCs/>
          <w:color w:val="auto"/>
          <w:sz w:val="32"/>
          <w:szCs w:val="32"/>
          <w:highlight w:val="none"/>
        </w:rPr>
        <w:t>现场草签单</w:t>
      </w:r>
    </w:p>
    <w:p>
      <w:pPr>
        <w:tabs>
          <w:tab w:val="left" w:pos="9720"/>
        </w:tabs>
        <w:spacing w:line="600" w:lineRule="exact"/>
        <w:ind w:firstLine="640" w:firstLineChars="200"/>
        <w:rPr>
          <w:rFonts w:eastAsia="仿宋_GB2312"/>
          <w:bCs/>
          <w:color w:val="auto"/>
          <w:sz w:val="32"/>
          <w:szCs w:val="32"/>
          <w:highlight w:val="none"/>
        </w:rPr>
      </w:pPr>
      <w:r>
        <w:rPr>
          <w:rFonts w:eastAsia="仿宋_GB2312"/>
          <w:bCs/>
          <w:color w:val="auto"/>
          <w:sz w:val="32"/>
          <w:szCs w:val="32"/>
          <w:highlight w:val="none"/>
        </w:rPr>
        <w:t>附表</w:t>
      </w:r>
      <w:r>
        <w:rPr>
          <w:rFonts w:hint="eastAsia" w:eastAsia="仿宋_GB2312"/>
          <w:bCs/>
          <w:color w:val="auto"/>
          <w:sz w:val="32"/>
          <w:szCs w:val="32"/>
          <w:highlight w:val="none"/>
          <w:lang w:val="en-US" w:eastAsia="zh-CN"/>
        </w:rPr>
        <w:t>6</w:t>
      </w:r>
      <w:r>
        <w:rPr>
          <w:rFonts w:eastAsia="仿宋_GB2312"/>
          <w:bCs/>
          <w:color w:val="auto"/>
          <w:sz w:val="32"/>
          <w:szCs w:val="32"/>
          <w:highlight w:val="none"/>
        </w:rPr>
        <w:t>工程签证台帐</w:t>
      </w:r>
    </w:p>
    <w:p>
      <w:pPr>
        <w:tabs>
          <w:tab w:val="left" w:pos="9720"/>
        </w:tabs>
        <w:spacing w:line="600" w:lineRule="exact"/>
        <w:jc w:val="left"/>
        <w:rPr>
          <w:rFonts w:eastAsia="仿宋_GB2312"/>
          <w:bCs/>
          <w:color w:val="auto"/>
          <w:sz w:val="32"/>
          <w:szCs w:val="32"/>
          <w:highlight w:val="none"/>
        </w:rPr>
      </w:pPr>
      <w:r>
        <w:rPr>
          <w:rFonts w:eastAsia="仿宋_GB2312"/>
          <w:bCs/>
          <w:color w:val="auto"/>
          <w:sz w:val="28"/>
          <w:szCs w:val="28"/>
          <w:highlight w:val="none"/>
        </w:rPr>
        <w:br w:type="page"/>
      </w:r>
      <w:r>
        <w:rPr>
          <w:rFonts w:eastAsia="仿宋_GB2312"/>
          <w:bCs/>
          <w:color w:val="auto"/>
          <w:sz w:val="28"/>
          <w:szCs w:val="28"/>
          <w:highlight w:val="none"/>
        </w:rPr>
        <w:t>附表</w:t>
      </w:r>
      <w:r>
        <w:rPr>
          <w:rFonts w:hint="eastAsia" w:eastAsia="仿宋_GB2312"/>
          <w:bCs/>
          <w:color w:val="auto"/>
          <w:sz w:val="28"/>
          <w:szCs w:val="28"/>
          <w:highlight w:val="none"/>
          <w:lang w:val="en-US" w:eastAsia="zh-CN"/>
        </w:rPr>
        <w:t>1</w:t>
      </w:r>
    </w:p>
    <w:p>
      <w:pPr>
        <w:jc w:val="center"/>
        <w:rPr>
          <w:rFonts w:hint="eastAsia"/>
          <w:b/>
          <w:color w:val="auto"/>
          <w:sz w:val="44"/>
          <w:szCs w:val="44"/>
          <w:highlight w:val="none"/>
        </w:rPr>
      </w:pPr>
      <w:r>
        <w:rPr>
          <w:rFonts w:hint="eastAsia"/>
          <w:b/>
          <w:color w:val="auto"/>
          <w:sz w:val="44"/>
          <w:szCs w:val="44"/>
          <w:highlight w:val="none"/>
        </w:rPr>
        <w:t>已阅读并执行广州市天河区建设工程项目代建局关于项目设计变更和签证管理办法的承诺书</w:t>
      </w:r>
    </w:p>
    <w:p>
      <w:pPr>
        <w:rPr>
          <w:color w:val="auto"/>
          <w:sz w:val="32"/>
          <w:szCs w:val="32"/>
          <w:highlight w:val="none"/>
        </w:rPr>
      </w:pPr>
    </w:p>
    <w:p>
      <w:pPr>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广州市天河区建设工程项目代建局：</w:t>
      </w:r>
    </w:p>
    <w:p>
      <w:pPr>
        <w:ind w:firstLine="63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《广州市天河区建设工程项目代建局设计变更管理办法》和《广州市天河区建设工程项目代建局工程签证管理办法》我单位已认真审阅，我单位愿贯彻执行天河区代建局项目变更和签证管理工作有关规定，并对</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rPr>
        <w:t>项目做出以下承诺：</w:t>
      </w:r>
    </w:p>
    <w:p>
      <w:pPr>
        <w:ind w:firstLine="63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一、所提供的资料是真实、合法、完整的；</w:t>
      </w:r>
    </w:p>
    <w:p>
      <w:pPr>
        <w:ind w:firstLine="63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二、如提供虚假文件资料，或隐匿资料、隐瞒真实情况，或逾期报送签证文件资料，我单位承担由此引起的不良后果和法律责任。</w:t>
      </w:r>
    </w:p>
    <w:p>
      <w:pPr>
        <w:rPr>
          <w:rFonts w:hint="eastAsia" w:ascii="仿宋_GB2312" w:eastAsia="仿宋_GB2312"/>
          <w:color w:val="auto"/>
          <w:sz w:val="32"/>
          <w:szCs w:val="32"/>
          <w:highlight w:val="none"/>
        </w:rPr>
      </w:pPr>
    </w:p>
    <w:p>
      <w:pPr>
        <w:ind w:firstLine="1600" w:firstLineChars="5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项目监理单位（公章）：</w:t>
      </w:r>
    </w:p>
    <w:p>
      <w:pPr>
        <w:jc w:val="left"/>
        <w:rPr>
          <w:rFonts w:ascii="仿宋_GB2312" w:eastAsia="仿宋_GB2312"/>
          <w:color w:val="auto"/>
          <w:sz w:val="32"/>
          <w:szCs w:val="32"/>
          <w:highlight w:val="none"/>
        </w:rPr>
      </w:pPr>
    </w:p>
    <w:p>
      <w:pPr>
        <w:ind w:firstLine="1600" w:firstLineChars="5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监理项目总监（签名）：</w:t>
      </w:r>
    </w:p>
    <w:p>
      <w:pPr>
        <w:tabs>
          <w:tab w:val="left" w:pos="9720"/>
        </w:tabs>
        <w:spacing w:line="600" w:lineRule="exact"/>
        <w:ind w:firstLine="6560" w:firstLineChars="205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年    月   日 </w:t>
      </w:r>
    </w:p>
    <w:p>
      <w:pPr>
        <w:tabs>
          <w:tab w:val="left" w:pos="9720"/>
        </w:tabs>
        <w:spacing w:line="600" w:lineRule="exact"/>
        <w:rPr>
          <w:rFonts w:hint="eastAsia" w:ascii="仿宋_GB2312" w:eastAsia="仿宋_GB2312"/>
          <w:color w:val="auto"/>
          <w:sz w:val="24"/>
          <w:highlight w:val="none"/>
        </w:rPr>
      </w:pPr>
      <w:r>
        <w:rPr>
          <w:rFonts w:hint="eastAsia" w:ascii="仿宋_GB2312" w:eastAsia="仿宋_GB2312"/>
          <w:color w:val="auto"/>
          <w:sz w:val="24"/>
          <w:highlight w:val="none"/>
        </w:rPr>
        <w:t>注：本表签订监理合同后，连合同文本一并提交至天河区代建局。</w:t>
      </w:r>
    </w:p>
    <w:p>
      <w:pPr>
        <w:tabs>
          <w:tab w:val="left" w:pos="9720"/>
        </w:tabs>
        <w:spacing w:line="600" w:lineRule="exact"/>
        <w:jc w:val="left"/>
        <w:rPr>
          <w:rFonts w:ascii="Times New Roman" w:hAnsi="Times New Roman" w:eastAsia="仿宋_GB2312" w:cs="Times New Roman"/>
          <w:bCs/>
          <w:color w:val="auto"/>
          <w:sz w:val="28"/>
          <w:szCs w:val="28"/>
          <w:highlight w:val="none"/>
        </w:rPr>
      </w:pPr>
      <w:r>
        <w:rPr>
          <w:rFonts w:ascii="Times New Roman" w:hAnsi="Times New Roman" w:eastAsia="仿宋_GB2312" w:cs="Times New Roman"/>
          <w:bCs/>
          <w:color w:val="auto"/>
          <w:sz w:val="28"/>
          <w:szCs w:val="28"/>
          <w:highlight w:val="none"/>
        </w:rPr>
        <w:br w:type="page"/>
      </w:r>
      <w:r>
        <w:rPr>
          <w:rFonts w:ascii="Times New Roman" w:hAnsi="Times New Roman" w:eastAsia="仿宋_GB2312" w:cs="Times New Roman"/>
          <w:bCs/>
          <w:color w:val="auto"/>
          <w:sz w:val="28"/>
          <w:szCs w:val="28"/>
          <w:highlight w:val="none"/>
        </w:rPr>
        <w:t>附表</w:t>
      </w:r>
      <w:r>
        <w:rPr>
          <w:rFonts w:hint="default" w:ascii="Times New Roman" w:hAnsi="Times New Roman" w:eastAsia="仿宋_GB2312" w:cs="Times New Roman"/>
          <w:bCs/>
          <w:color w:val="auto"/>
          <w:sz w:val="28"/>
          <w:szCs w:val="28"/>
          <w:highlight w:val="none"/>
          <w:lang w:val="en-US" w:eastAsia="zh-CN"/>
        </w:rPr>
        <w:t>2</w:t>
      </w:r>
    </w:p>
    <w:p>
      <w:pPr>
        <w:tabs>
          <w:tab w:val="left" w:pos="9720"/>
        </w:tabs>
        <w:spacing w:line="400" w:lineRule="exact"/>
        <w:ind w:firstLine="0" w:firstLineChars="0"/>
        <w:jc w:val="center"/>
        <w:rPr>
          <w:rFonts w:hint="default" w:ascii="Times New Roman" w:hAnsi="Times New Roman" w:eastAsia="方正小标宋_GBK" w:cs="Times New Roman"/>
          <w:bCs/>
          <w:color w:val="auto"/>
          <w:sz w:val="36"/>
          <w:szCs w:val="36"/>
          <w:highlight w:val="none"/>
          <w:lang w:val="en-US" w:eastAsia="zh-CN"/>
        </w:rPr>
      </w:pPr>
      <w:r>
        <w:rPr>
          <w:rFonts w:hint="default" w:ascii="Times New Roman" w:hAnsi="Times New Roman" w:eastAsia="方正小标宋_GBK" w:cs="Times New Roman"/>
          <w:bCs/>
          <w:color w:val="auto"/>
          <w:sz w:val="36"/>
          <w:szCs w:val="36"/>
          <w:highlight w:val="none"/>
          <w:lang w:val="en-US" w:eastAsia="zh-CN"/>
        </w:rPr>
        <w:t>工程签证审批流程</w:t>
      </w:r>
      <w:r>
        <w:rPr>
          <w:rFonts w:hint="eastAsia" w:ascii="Times New Roman" w:hAnsi="Times New Roman" w:eastAsia="方正小标宋_GBK" w:cs="Times New Roman"/>
          <w:bCs/>
          <w:color w:val="auto"/>
          <w:sz w:val="36"/>
          <w:szCs w:val="36"/>
          <w:highlight w:val="none"/>
          <w:lang w:val="en-US" w:eastAsia="zh-CN"/>
        </w:rPr>
        <w:t>表</w:t>
      </w:r>
    </w:p>
    <w:p>
      <w:pPr>
        <w:tabs>
          <w:tab w:val="left" w:pos="9720"/>
        </w:tabs>
        <w:spacing w:line="400" w:lineRule="exact"/>
        <w:ind w:firstLine="0" w:firstLineChars="0"/>
        <w:jc w:val="center"/>
        <w:rPr>
          <w:rFonts w:hint="default" w:ascii="Times New Roman" w:hAnsi="Times New Roman" w:eastAsia="方正小标宋_GBK" w:cs="Times New Roman"/>
          <w:bCs/>
          <w:color w:val="auto"/>
          <w:sz w:val="36"/>
          <w:szCs w:val="36"/>
          <w:highlight w:val="none"/>
          <w:lang w:val="en-US" w:eastAsia="zh-CN"/>
        </w:rPr>
      </w:pPr>
    </w:p>
    <w:tbl>
      <w:tblPr>
        <w:tblStyle w:val="28"/>
        <w:tblW w:w="8946" w:type="dxa"/>
        <w:jc w:val="center"/>
        <w:tblBorders>
          <w:top w:val="none" w:color="auto" w:sz="0" w:space="0"/>
          <w:left w:val="none" w:color="auto" w:sz="0" w:space="0"/>
          <w:bottom w:val="none" w:color="auto" w:sz="0" w:space="0"/>
          <w:right w:val="none" w:color="auto" w:sz="0" w:space="0"/>
          <w:insideH w:val="dotDash" w:color="auto" w:sz="4" w:space="0"/>
          <w:insideV w:val="dotDash" w:color="auto" w:sz="4" w:space="0"/>
        </w:tblBorders>
        <w:tblLayout w:type="autofit"/>
        <w:tblCellMar>
          <w:top w:w="0" w:type="dxa"/>
          <w:left w:w="108" w:type="dxa"/>
          <w:bottom w:w="0" w:type="dxa"/>
          <w:right w:w="108" w:type="dxa"/>
        </w:tblCellMar>
      </w:tblPr>
      <w:tblGrid>
        <w:gridCol w:w="744"/>
        <w:gridCol w:w="1365"/>
        <w:gridCol w:w="1329"/>
        <w:gridCol w:w="1377"/>
        <w:gridCol w:w="1377"/>
        <w:gridCol w:w="1377"/>
        <w:gridCol w:w="11"/>
        <w:gridCol w:w="1366"/>
      </w:tblGrid>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500" w:hRule="atLeast"/>
          <w:jc w:val="center"/>
        </w:trPr>
        <w:tc>
          <w:tcPr>
            <w:tcW w:w="744" w:type="dxa"/>
            <w:tcBorders>
              <w:bottom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过程</w:t>
            </w:r>
          </w:p>
        </w:tc>
        <w:tc>
          <w:tcPr>
            <w:tcW w:w="1365" w:type="dxa"/>
            <w:tcBorders>
              <w:left w:val="single" w:color="auto" w:sz="12" w:space="0"/>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负责单位（部门）</w:t>
            </w:r>
          </w:p>
        </w:tc>
        <w:tc>
          <w:tcPr>
            <w:tcW w:w="1329"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lang w:bidi="ar"/>
              </w:rPr>
              <w:t>工作摘要</w:t>
            </w:r>
          </w:p>
        </w:tc>
        <w:tc>
          <w:tcPr>
            <w:tcW w:w="1377" w:type="dxa"/>
            <w:tcBorders>
              <w:bottom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rPr>
              <w:t>Ⅰ</w:t>
            </w:r>
            <w:r>
              <w:rPr>
                <w:rFonts w:hint="eastAsia" w:ascii="仿宋" w:hAnsi="仿宋" w:eastAsia="仿宋" w:cs="仿宋"/>
                <w:color w:val="auto"/>
                <w:kern w:val="0"/>
                <w:sz w:val="18"/>
                <w:szCs w:val="18"/>
                <w:highlight w:val="none"/>
                <w:lang w:bidi="ar"/>
              </w:rPr>
              <w:t>类工程签证时限（工作日）</w:t>
            </w:r>
            <w:r>
              <w:rPr>
                <w:rFonts w:hint="eastAsia" w:ascii="仿宋" w:hAnsi="仿宋" w:eastAsia="仿宋" w:cs="仿宋"/>
                <w:color w:val="auto"/>
                <w:kern w:val="0"/>
                <w:sz w:val="18"/>
                <w:szCs w:val="18"/>
                <w:highlight w:val="none"/>
                <w:lang w:eastAsia="zh-CN" w:bidi="ar"/>
              </w:rPr>
              <w:t>（</w:t>
            </w:r>
            <w:r>
              <w:rPr>
                <w:rFonts w:hint="eastAsia" w:ascii="仿宋" w:hAnsi="仿宋" w:eastAsia="仿宋" w:cs="仿宋"/>
                <w:color w:val="auto"/>
                <w:kern w:val="0"/>
                <w:sz w:val="18"/>
                <w:szCs w:val="18"/>
                <w:highlight w:val="none"/>
                <w:lang w:val="en-US" w:eastAsia="zh-CN" w:bidi="ar"/>
              </w:rPr>
              <w:t>大于等于50万元</w:t>
            </w:r>
            <w:r>
              <w:rPr>
                <w:rFonts w:hint="eastAsia" w:ascii="仿宋" w:hAnsi="仿宋" w:eastAsia="仿宋" w:cs="仿宋"/>
                <w:color w:val="auto"/>
                <w:kern w:val="0"/>
                <w:sz w:val="18"/>
                <w:szCs w:val="18"/>
                <w:highlight w:val="none"/>
                <w:lang w:eastAsia="zh-CN" w:bidi="ar"/>
              </w:rPr>
              <w:t>）</w:t>
            </w:r>
          </w:p>
        </w:tc>
        <w:tc>
          <w:tcPr>
            <w:tcW w:w="1377" w:type="dxa"/>
            <w:tcBorders>
              <w:bottom w:val="single" w:color="auto" w:sz="12" w:space="0"/>
            </w:tcBorders>
            <w:noWrap w:val="0"/>
            <w:vAlign w:val="center"/>
          </w:tcPr>
          <w:p>
            <w:pPr>
              <w:widowControl/>
              <w:jc w:val="center"/>
              <w:textAlignment w:val="center"/>
              <w:rPr>
                <w:rFonts w:hint="eastAsia" w:ascii="仿宋" w:hAnsi="仿宋" w:eastAsia="仿宋" w:cs="仿宋"/>
                <w:color w:val="auto"/>
                <w:kern w:val="0"/>
                <w:sz w:val="18"/>
                <w:szCs w:val="18"/>
                <w:highlight w:val="none"/>
                <w:lang w:val="en-US" w:eastAsia="zh-CN" w:bidi="ar"/>
              </w:rPr>
            </w:pPr>
            <w:r>
              <w:rPr>
                <w:rFonts w:hint="eastAsia" w:ascii="仿宋" w:hAnsi="仿宋" w:eastAsia="仿宋" w:cs="仿宋"/>
                <w:color w:val="auto"/>
                <w:sz w:val="18"/>
                <w:szCs w:val="18"/>
                <w:highlight w:val="none"/>
              </w:rPr>
              <w:t>Ⅰ</w:t>
            </w:r>
            <w:r>
              <w:rPr>
                <w:rFonts w:hint="eastAsia" w:ascii="仿宋" w:hAnsi="仿宋" w:eastAsia="仿宋" w:cs="仿宋"/>
                <w:color w:val="auto"/>
                <w:kern w:val="0"/>
                <w:sz w:val="18"/>
                <w:szCs w:val="18"/>
                <w:highlight w:val="none"/>
                <w:lang w:bidi="ar"/>
              </w:rPr>
              <w:t>类工程签证时限（工作日）</w:t>
            </w:r>
            <w:r>
              <w:rPr>
                <w:rFonts w:hint="eastAsia" w:ascii="仿宋" w:hAnsi="仿宋" w:eastAsia="仿宋" w:cs="仿宋"/>
                <w:color w:val="auto"/>
                <w:kern w:val="0"/>
                <w:sz w:val="18"/>
                <w:szCs w:val="18"/>
                <w:highlight w:val="none"/>
                <w:lang w:eastAsia="zh-CN" w:bidi="ar"/>
              </w:rPr>
              <w:t>（</w:t>
            </w:r>
            <w:r>
              <w:rPr>
                <w:rFonts w:hint="eastAsia" w:ascii="仿宋" w:hAnsi="仿宋" w:eastAsia="仿宋" w:cs="仿宋"/>
                <w:color w:val="auto"/>
                <w:kern w:val="0"/>
                <w:sz w:val="18"/>
                <w:szCs w:val="18"/>
                <w:highlight w:val="none"/>
                <w:lang w:val="en-US" w:eastAsia="zh-CN" w:bidi="ar"/>
              </w:rPr>
              <w:t>大于等于10万元小于50万元</w:t>
            </w:r>
            <w:r>
              <w:rPr>
                <w:rFonts w:hint="eastAsia" w:ascii="仿宋" w:hAnsi="仿宋" w:eastAsia="仿宋" w:cs="仿宋"/>
                <w:color w:val="auto"/>
                <w:kern w:val="0"/>
                <w:sz w:val="18"/>
                <w:szCs w:val="18"/>
                <w:highlight w:val="none"/>
                <w:lang w:eastAsia="zh-CN" w:bidi="ar"/>
              </w:rPr>
              <w:t>）</w:t>
            </w:r>
          </w:p>
        </w:tc>
        <w:tc>
          <w:tcPr>
            <w:tcW w:w="1377" w:type="dxa"/>
            <w:tcBorders>
              <w:bottom w:val="single" w:color="auto" w:sz="12" w:space="0"/>
            </w:tcBorders>
            <w:noWrap w:val="0"/>
            <w:vAlign w:val="center"/>
          </w:tcPr>
          <w:p>
            <w:pPr>
              <w:widowControl/>
              <w:jc w:val="center"/>
              <w:textAlignment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Ⅱ</w:t>
            </w:r>
            <w:r>
              <w:rPr>
                <w:rFonts w:hint="eastAsia" w:ascii="仿宋" w:hAnsi="仿宋" w:eastAsia="仿宋" w:cs="仿宋"/>
                <w:color w:val="auto"/>
                <w:kern w:val="0"/>
                <w:sz w:val="18"/>
                <w:szCs w:val="18"/>
                <w:highlight w:val="none"/>
                <w:lang w:bidi="ar"/>
              </w:rPr>
              <w:t>类工程签证时限（工作日）</w:t>
            </w:r>
          </w:p>
        </w:tc>
        <w:tc>
          <w:tcPr>
            <w:tcW w:w="1377" w:type="dxa"/>
            <w:gridSpan w:val="2"/>
            <w:tcBorders>
              <w:bottom w:val="single" w:color="auto" w:sz="12" w:space="0"/>
            </w:tcBorders>
            <w:noWrap w:val="0"/>
            <w:vAlign w:val="center"/>
          </w:tcPr>
          <w:p>
            <w:pPr>
              <w:widowControl/>
              <w:jc w:val="center"/>
              <w:textAlignment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18"/>
                <w:szCs w:val="18"/>
                <w:highlight w:val="none"/>
                <w:lang w:val="en-US" w:eastAsia="zh-CN" w:bidi="ar-SA"/>
              </w:rPr>
              <w:t>备注</w:t>
            </w: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1973" w:hRule="atLeast"/>
          <w:jc w:val="center"/>
        </w:trPr>
        <w:tc>
          <w:tcPr>
            <w:tcW w:w="744" w:type="dxa"/>
            <w:vMerge w:val="restart"/>
            <w:tcBorders>
              <w:top w:val="single" w:color="auto" w:sz="12" w:space="0"/>
              <w:right w:val="single" w:color="auto" w:sz="12" w:space="0"/>
            </w:tcBorders>
            <w:noWrap w:val="0"/>
            <w:vAlign w:val="center"/>
          </w:tcPr>
          <w:p>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b/>
                <w:bCs/>
                <w:color w:val="auto"/>
                <w:kern w:val="0"/>
                <w:sz w:val="18"/>
                <w:szCs w:val="18"/>
                <w:highlight w:val="none"/>
                <w:lang w:bidi="ar"/>
              </w:rPr>
              <w:t>发起</w:t>
            </w:r>
            <w:r>
              <w:rPr>
                <w:rFonts w:hint="eastAsia" w:ascii="仿宋" w:hAnsi="仿宋" w:eastAsia="仿宋" w:cs="仿宋"/>
                <w:b/>
                <w:bCs/>
                <w:color w:val="auto"/>
                <w:kern w:val="0"/>
                <w:sz w:val="18"/>
                <w:szCs w:val="18"/>
                <w:highlight w:val="none"/>
                <w:lang w:bidi="ar"/>
              </w:rPr>
              <w:br w:type="textWrapping"/>
            </w:r>
          </w:p>
        </w:tc>
        <w:tc>
          <w:tcPr>
            <w:tcW w:w="1365" w:type="dxa"/>
            <w:tcBorders>
              <w:top w:val="single" w:color="auto" w:sz="12" w:space="0"/>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施工单位</w:t>
            </w:r>
          </w:p>
        </w:tc>
        <w:tc>
          <w:tcPr>
            <w:tcW w:w="1329" w:type="dxa"/>
            <w:tcBorders>
              <w:top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编制</w:t>
            </w:r>
            <w:r>
              <w:rPr>
                <w:rFonts w:hint="eastAsia" w:ascii="仿宋" w:hAnsi="仿宋" w:eastAsia="仿宋" w:cs="仿宋"/>
                <w:color w:val="auto"/>
                <w:sz w:val="18"/>
                <w:szCs w:val="18"/>
                <w:highlight w:val="none"/>
                <w:lang w:eastAsia="zh-CN"/>
              </w:rPr>
              <w:t>签证资料和</w:t>
            </w:r>
            <w:r>
              <w:rPr>
                <w:rFonts w:hint="eastAsia" w:ascii="仿宋" w:hAnsi="仿宋" w:eastAsia="仿宋" w:cs="仿宋"/>
                <w:color w:val="auto"/>
                <w:sz w:val="18"/>
                <w:szCs w:val="18"/>
                <w:highlight w:val="none"/>
              </w:rPr>
              <w:t>预算，发起工程签证申请</w:t>
            </w:r>
          </w:p>
        </w:tc>
        <w:tc>
          <w:tcPr>
            <w:tcW w:w="1377" w:type="dxa"/>
            <w:tcBorders>
              <w:top w:val="single" w:color="auto" w:sz="12" w:space="0"/>
            </w:tcBorders>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7</w:t>
            </w:r>
          </w:p>
        </w:tc>
        <w:tc>
          <w:tcPr>
            <w:tcW w:w="1377"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7</w:t>
            </w:r>
          </w:p>
        </w:tc>
        <w:tc>
          <w:tcPr>
            <w:tcW w:w="1377"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7</w:t>
            </w:r>
          </w:p>
        </w:tc>
        <w:tc>
          <w:tcPr>
            <w:tcW w:w="1377" w:type="dxa"/>
            <w:gridSpan w:val="2"/>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951" w:hRule="atLeast"/>
          <w:jc w:val="center"/>
        </w:trPr>
        <w:tc>
          <w:tcPr>
            <w:tcW w:w="744" w:type="dxa"/>
            <w:vMerge w:val="continue"/>
            <w:tcBorders>
              <w:right w:val="single" w:color="auto" w:sz="12" w:space="0"/>
            </w:tcBorders>
            <w:noWrap w:val="0"/>
            <w:vAlign w:val="center"/>
          </w:tcPr>
          <w:p>
            <w:pPr>
              <w:widowControl/>
              <w:jc w:val="center"/>
              <w:textAlignment w:val="center"/>
              <w:rPr>
                <w:rFonts w:hint="eastAsia" w:ascii="仿宋" w:hAnsi="仿宋" w:eastAsia="仿宋" w:cs="仿宋"/>
                <w:b/>
                <w:bCs/>
                <w:color w:val="auto"/>
                <w:kern w:val="0"/>
                <w:sz w:val="18"/>
                <w:szCs w:val="18"/>
                <w:highlight w:val="none"/>
                <w:lang w:bidi="ar"/>
              </w:rPr>
            </w:pPr>
          </w:p>
        </w:tc>
        <w:tc>
          <w:tcPr>
            <w:tcW w:w="1365" w:type="dxa"/>
            <w:tcBorders>
              <w:top w:val="single" w:color="auto" w:sz="12" w:space="0"/>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监理单位</w:t>
            </w:r>
          </w:p>
        </w:tc>
        <w:tc>
          <w:tcPr>
            <w:tcW w:w="1329" w:type="dxa"/>
            <w:tcBorders>
              <w:top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审核</w:t>
            </w:r>
          </w:p>
        </w:tc>
        <w:tc>
          <w:tcPr>
            <w:tcW w:w="1377" w:type="dxa"/>
            <w:tcBorders>
              <w:top w:val="single" w:color="auto" w:sz="12" w:space="0"/>
            </w:tcBorders>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2</w:t>
            </w:r>
          </w:p>
        </w:tc>
        <w:tc>
          <w:tcPr>
            <w:tcW w:w="1377"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2</w:t>
            </w:r>
          </w:p>
        </w:tc>
        <w:tc>
          <w:tcPr>
            <w:tcW w:w="1388" w:type="dxa"/>
            <w:gridSpan w:val="2"/>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2</w:t>
            </w:r>
          </w:p>
        </w:tc>
        <w:tc>
          <w:tcPr>
            <w:tcW w:w="1366" w:type="dxa"/>
            <w:tcBorders>
              <w:top w:val="single" w:color="auto" w:sz="12" w:space="0"/>
            </w:tcBorders>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871" w:hRule="atLeast"/>
          <w:jc w:val="center"/>
        </w:trPr>
        <w:tc>
          <w:tcPr>
            <w:tcW w:w="744" w:type="dxa"/>
            <w:vMerge w:val="restart"/>
            <w:tcBorders>
              <w:righ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b/>
                <w:bCs/>
                <w:color w:val="auto"/>
                <w:kern w:val="0"/>
                <w:sz w:val="18"/>
                <w:szCs w:val="18"/>
                <w:highlight w:val="none"/>
                <w:lang w:bidi="ar"/>
              </w:rPr>
              <w:t>内部呈批</w:t>
            </w:r>
          </w:p>
        </w:tc>
        <w:tc>
          <w:tcPr>
            <w:tcW w:w="1365" w:type="dxa"/>
            <w:tcBorders>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签证管理部门</w:t>
            </w:r>
          </w:p>
        </w:tc>
        <w:tc>
          <w:tcPr>
            <w:tcW w:w="1329" w:type="dxa"/>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审核</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5</w:t>
            </w:r>
          </w:p>
        </w:tc>
        <w:tc>
          <w:tcPr>
            <w:tcW w:w="1377" w:type="dxa"/>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88" w:type="dxa"/>
            <w:gridSpan w:val="2"/>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66" w:type="dxa"/>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886" w:hRule="atLeast"/>
          <w:jc w:val="center"/>
        </w:trPr>
        <w:tc>
          <w:tcPr>
            <w:tcW w:w="744"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rPr>
            </w:pPr>
          </w:p>
        </w:tc>
        <w:tc>
          <w:tcPr>
            <w:tcW w:w="1365" w:type="dxa"/>
            <w:tcBorders>
              <w:left w:val="single" w:color="auto" w:sz="12" w:space="0"/>
            </w:tcBorders>
            <w:noWrap w:val="0"/>
            <w:vAlign w:val="center"/>
          </w:tcPr>
          <w:p>
            <w:pPr>
              <w:jc w:val="center"/>
              <w:rPr>
                <w:rFonts w:hint="default"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党组会（局务会）</w:t>
            </w:r>
          </w:p>
        </w:tc>
        <w:tc>
          <w:tcPr>
            <w:tcW w:w="1329"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审定</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根据实际时间</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w:t>
            </w:r>
          </w:p>
        </w:tc>
        <w:tc>
          <w:tcPr>
            <w:tcW w:w="1388" w:type="dxa"/>
            <w:gridSpan w:val="2"/>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w:t>
            </w:r>
          </w:p>
        </w:tc>
        <w:tc>
          <w:tcPr>
            <w:tcW w:w="1366" w:type="dxa"/>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949" w:hRule="atLeast"/>
          <w:jc w:val="center"/>
        </w:trPr>
        <w:tc>
          <w:tcPr>
            <w:tcW w:w="744"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rPr>
            </w:pPr>
          </w:p>
        </w:tc>
        <w:tc>
          <w:tcPr>
            <w:tcW w:w="1365" w:type="dxa"/>
            <w:tcBorders>
              <w:left w:val="single" w:color="auto" w:sz="12" w:space="0"/>
            </w:tcBorders>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分管局领导</w:t>
            </w:r>
          </w:p>
        </w:tc>
        <w:tc>
          <w:tcPr>
            <w:tcW w:w="1329" w:type="dxa"/>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审批</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5</w:t>
            </w:r>
          </w:p>
        </w:tc>
        <w:tc>
          <w:tcPr>
            <w:tcW w:w="1377" w:type="dxa"/>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88" w:type="dxa"/>
            <w:gridSpan w:val="2"/>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66" w:type="dxa"/>
            <w:noWrap w:val="0"/>
            <w:vAlign w:val="center"/>
          </w:tcPr>
          <w:p>
            <w:pPr>
              <w:jc w:val="center"/>
              <w:rPr>
                <w:rFonts w:hint="eastAsia" w:ascii="仿宋" w:hAnsi="仿宋" w:eastAsia="仿宋" w:cs="仿宋"/>
                <w:color w:val="auto"/>
                <w:kern w:val="2"/>
                <w:sz w:val="18"/>
                <w:szCs w:val="18"/>
                <w:highlight w:val="none"/>
                <w:lang w:val="en-US" w:eastAsia="zh-CN" w:bidi="ar-SA"/>
              </w:rPr>
            </w:pPr>
          </w:p>
        </w:tc>
      </w:tr>
      <w:tr>
        <w:tblPrEx>
          <w:tblBorders>
            <w:top w:val="none" w:color="auto" w:sz="0" w:space="0"/>
            <w:left w:val="none" w:color="auto" w:sz="0" w:space="0"/>
            <w:bottom w:val="none" w:color="auto" w:sz="0" w:space="0"/>
            <w:right w:val="none" w:color="auto" w:sz="0" w:space="0"/>
            <w:insideH w:val="dotDash" w:color="auto" w:sz="4" w:space="0"/>
            <w:insideV w:val="dotDash" w:color="auto" w:sz="4" w:space="0"/>
          </w:tblBorders>
          <w:tblCellMar>
            <w:top w:w="0" w:type="dxa"/>
            <w:left w:w="108" w:type="dxa"/>
            <w:bottom w:w="0" w:type="dxa"/>
            <w:right w:w="108" w:type="dxa"/>
          </w:tblCellMar>
        </w:tblPrEx>
        <w:trPr>
          <w:trHeight w:val="971" w:hRule="atLeast"/>
          <w:jc w:val="center"/>
        </w:trPr>
        <w:tc>
          <w:tcPr>
            <w:tcW w:w="744" w:type="dxa"/>
            <w:vMerge w:val="continue"/>
            <w:tcBorders>
              <w:right w:val="single" w:color="auto" w:sz="12" w:space="0"/>
            </w:tcBorders>
            <w:noWrap w:val="0"/>
            <w:vAlign w:val="center"/>
          </w:tcPr>
          <w:p>
            <w:pPr>
              <w:jc w:val="center"/>
              <w:rPr>
                <w:rFonts w:hint="eastAsia" w:ascii="仿宋" w:hAnsi="仿宋" w:eastAsia="仿宋" w:cs="仿宋"/>
                <w:color w:val="auto"/>
                <w:sz w:val="18"/>
                <w:szCs w:val="18"/>
                <w:highlight w:val="none"/>
              </w:rPr>
            </w:pPr>
          </w:p>
        </w:tc>
        <w:tc>
          <w:tcPr>
            <w:tcW w:w="1365" w:type="dxa"/>
            <w:tcBorders>
              <w:left w:val="single" w:color="auto" w:sz="12" w:space="0"/>
            </w:tcBorders>
            <w:noWrap w:val="0"/>
            <w:vAlign w:val="center"/>
          </w:tcPr>
          <w:p>
            <w:pPr>
              <w:jc w:val="center"/>
              <w:rPr>
                <w:rFonts w:hint="eastAsia" w:ascii="仿宋" w:hAnsi="仿宋" w:eastAsia="仿宋" w:cs="仿宋"/>
                <w:color w:val="auto"/>
                <w:sz w:val="18"/>
                <w:szCs w:val="18"/>
                <w:highlight w:val="none"/>
                <w:u w:val="single"/>
              </w:rPr>
            </w:pPr>
            <w:r>
              <w:rPr>
                <w:rFonts w:hint="eastAsia" w:ascii="仿宋" w:hAnsi="仿宋" w:eastAsia="仿宋" w:cs="仿宋"/>
                <w:color w:val="auto"/>
                <w:sz w:val="18"/>
                <w:szCs w:val="18"/>
                <w:highlight w:val="none"/>
              </w:rPr>
              <w:t>主要领导</w:t>
            </w:r>
          </w:p>
        </w:tc>
        <w:tc>
          <w:tcPr>
            <w:tcW w:w="1329" w:type="dxa"/>
            <w:noWrap w:val="0"/>
            <w:vAlign w:val="center"/>
          </w:tcPr>
          <w:p>
            <w:pPr>
              <w:jc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审批</w:t>
            </w:r>
          </w:p>
        </w:tc>
        <w:tc>
          <w:tcPr>
            <w:tcW w:w="1377" w:type="dxa"/>
            <w:noWrap w:val="0"/>
            <w:vAlign w:val="center"/>
          </w:tcPr>
          <w:p>
            <w:pPr>
              <w:jc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w:t>
            </w:r>
          </w:p>
        </w:tc>
        <w:tc>
          <w:tcPr>
            <w:tcW w:w="1377" w:type="dxa"/>
            <w:noWrap w:val="0"/>
            <w:vAlign w:val="center"/>
          </w:tcPr>
          <w:p>
            <w:pPr>
              <w:jc w:val="center"/>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sz w:val="18"/>
                <w:szCs w:val="18"/>
                <w:highlight w:val="none"/>
              </w:rPr>
              <w:t>5</w:t>
            </w:r>
          </w:p>
        </w:tc>
        <w:tc>
          <w:tcPr>
            <w:tcW w:w="1388" w:type="dxa"/>
            <w:gridSpan w:val="2"/>
            <w:noWrap w:val="0"/>
            <w:vAlign w:val="center"/>
          </w:tcPr>
          <w:p>
            <w:pPr>
              <w:jc w:val="center"/>
              <w:rPr>
                <w:rFonts w:hint="eastAsia" w:ascii="仿宋" w:hAnsi="仿宋" w:eastAsia="仿宋" w:cs="仿宋"/>
                <w:color w:val="auto"/>
                <w:sz w:val="18"/>
                <w:szCs w:val="18"/>
                <w:highlight w:val="none"/>
              </w:rPr>
            </w:pPr>
          </w:p>
        </w:tc>
        <w:tc>
          <w:tcPr>
            <w:tcW w:w="1366" w:type="dxa"/>
            <w:noWrap w:val="0"/>
            <w:vAlign w:val="center"/>
          </w:tcPr>
          <w:p>
            <w:pPr>
              <w:jc w:val="center"/>
              <w:rPr>
                <w:rFonts w:hint="eastAsia" w:ascii="仿宋" w:hAnsi="仿宋" w:eastAsia="仿宋" w:cs="仿宋"/>
                <w:color w:val="auto"/>
                <w:kern w:val="2"/>
                <w:sz w:val="18"/>
                <w:szCs w:val="18"/>
                <w:highlight w:val="none"/>
                <w:lang w:val="en-US" w:eastAsia="zh-CN" w:bidi="ar-SA"/>
              </w:rPr>
            </w:pPr>
          </w:p>
        </w:tc>
      </w:tr>
    </w:tbl>
    <w:p>
      <w:pPr>
        <w:tabs>
          <w:tab w:val="left" w:pos="9135"/>
          <w:tab w:val="left" w:pos="9450"/>
          <w:tab w:val="left" w:pos="9720"/>
        </w:tabs>
        <w:spacing w:line="600" w:lineRule="exact"/>
        <w:ind w:firstLine="607"/>
        <w:jc w:val="left"/>
        <w:rPr>
          <w:rFonts w:eastAsia="仿宋_GB2312"/>
          <w:bCs/>
          <w:color w:val="auto"/>
          <w:sz w:val="28"/>
          <w:szCs w:val="28"/>
          <w:highlight w:val="none"/>
        </w:rPr>
      </w:pPr>
      <w:r>
        <w:rPr>
          <w:rFonts w:hint="eastAsia" w:eastAsia="仿宋_GB2312"/>
          <w:bCs/>
          <w:color w:val="auto"/>
          <w:sz w:val="24"/>
          <w:szCs w:val="24"/>
          <w:highlight w:val="none"/>
        </w:rPr>
        <w:t>注：本审批时限不含重大签证</w:t>
      </w:r>
      <w:r>
        <w:rPr>
          <w:rFonts w:hint="eastAsia" w:eastAsia="仿宋_GB2312"/>
          <w:bCs/>
          <w:color w:val="auto"/>
          <w:sz w:val="24"/>
          <w:highlight w:val="none"/>
        </w:rPr>
        <w:t>，</w:t>
      </w:r>
      <w:r>
        <w:rPr>
          <w:rFonts w:hint="eastAsia" w:eastAsia="仿宋_GB2312"/>
          <w:bCs/>
          <w:color w:val="auto"/>
          <w:sz w:val="24"/>
          <w:szCs w:val="24"/>
          <w:highlight w:val="none"/>
        </w:rPr>
        <w:t>签证需要专家论证、行政审批或者局党组会议、局务会议等时间。</w:t>
      </w:r>
      <w:r>
        <w:rPr>
          <w:rFonts w:hint="eastAsia" w:eastAsia="仿宋_GB2312"/>
          <w:bCs/>
          <w:color w:val="auto"/>
          <w:sz w:val="24"/>
          <w:highlight w:val="none"/>
        </w:rPr>
        <w:t>原则上资料审核不通过退回重新提交时间不超过5天，因编制质量问题发生</w:t>
      </w:r>
      <w:r>
        <w:rPr>
          <w:rFonts w:hint="eastAsia" w:eastAsia="仿宋_GB2312"/>
          <w:bCs/>
          <w:color w:val="auto"/>
          <w:sz w:val="24"/>
          <w:highlight w:val="none"/>
          <w:lang w:eastAsia="zh-CN"/>
        </w:rPr>
        <w:t>三</w:t>
      </w:r>
      <w:r>
        <w:rPr>
          <w:rFonts w:hint="eastAsia" w:eastAsia="仿宋_GB2312"/>
          <w:bCs/>
          <w:color w:val="auto"/>
          <w:sz w:val="24"/>
          <w:highlight w:val="none"/>
        </w:rPr>
        <w:t>次</w:t>
      </w:r>
      <w:r>
        <w:rPr>
          <w:rFonts w:hint="eastAsia" w:eastAsia="仿宋_GB2312"/>
          <w:bCs/>
          <w:color w:val="auto"/>
          <w:sz w:val="24"/>
          <w:highlight w:val="none"/>
          <w:lang w:eastAsia="zh-CN"/>
        </w:rPr>
        <w:t>以上（含三次）</w:t>
      </w:r>
      <w:r>
        <w:rPr>
          <w:rFonts w:hint="eastAsia" w:eastAsia="仿宋_GB2312"/>
          <w:bCs/>
          <w:color w:val="auto"/>
          <w:sz w:val="24"/>
          <w:highlight w:val="none"/>
        </w:rPr>
        <w:t>退回修改可按</w:t>
      </w:r>
      <w:r>
        <w:rPr>
          <w:rFonts w:hint="eastAsia" w:eastAsia="仿宋_GB2312"/>
          <w:bCs/>
          <w:color w:val="auto"/>
          <w:sz w:val="24"/>
          <w:highlight w:val="none"/>
          <w:lang w:eastAsia="zh-CN"/>
        </w:rPr>
        <w:t>施工</w:t>
      </w:r>
      <w:r>
        <w:rPr>
          <w:rFonts w:hint="eastAsia" w:eastAsia="仿宋_GB2312"/>
          <w:bCs/>
          <w:color w:val="auto"/>
          <w:sz w:val="24"/>
          <w:highlight w:val="none"/>
        </w:rPr>
        <w:t>合同进行违约处罚。</w:t>
      </w:r>
    </w:p>
    <w:p>
      <w:pPr>
        <w:spacing w:line="240" w:lineRule="auto"/>
        <w:jc w:val="left"/>
        <w:rPr>
          <w:rFonts w:eastAsia="仿宋_GB2312"/>
          <w:bCs/>
          <w:color w:val="auto"/>
          <w:sz w:val="28"/>
          <w:szCs w:val="28"/>
          <w:highlight w:val="none"/>
        </w:rPr>
      </w:pPr>
      <w:r>
        <w:rPr>
          <w:rFonts w:eastAsia="仿宋_GB2312"/>
          <w:bCs/>
          <w:color w:val="auto"/>
          <w:sz w:val="28"/>
          <w:szCs w:val="28"/>
          <w:highlight w:val="none"/>
        </w:rPr>
        <w:br w:type="page"/>
      </w:r>
    </w:p>
    <w:p>
      <w:pPr>
        <w:tabs>
          <w:tab w:val="left" w:pos="9720"/>
        </w:tabs>
        <w:spacing w:line="600" w:lineRule="exact"/>
        <w:jc w:val="left"/>
        <w:rPr>
          <w:rFonts w:hint="default" w:eastAsia="仿宋_GB2312"/>
          <w:bCs/>
          <w:color w:val="auto"/>
          <w:sz w:val="32"/>
          <w:szCs w:val="32"/>
          <w:highlight w:val="none"/>
          <w:lang w:val="en-US"/>
        </w:rPr>
      </w:pPr>
      <w:r>
        <w:rPr>
          <w:rFonts w:eastAsia="仿宋_GB2312"/>
          <w:bCs/>
          <w:color w:val="auto"/>
          <w:sz w:val="28"/>
          <w:szCs w:val="28"/>
          <w:highlight w:val="none"/>
        </w:rPr>
        <w:t>附表</w:t>
      </w:r>
      <w:r>
        <w:rPr>
          <w:rFonts w:hint="eastAsia" w:eastAsia="仿宋_GB2312"/>
          <w:bCs/>
          <w:color w:val="auto"/>
          <w:sz w:val="28"/>
          <w:szCs w:val="28"/>
          <w:highlight w:val="none"/>
          <w:lang w:val="en-US" w:eastAsia="zh-CN"/>
        </w:rPr>
        <w:t>3</w:t>
      </w:r>
    </w:p>
    <w:p>
      <w:pPr>
        <w:tabs>
          <w:tab w:val="left" w:pos="9720"/>
        </w:tabs>
        <w:spacing w:line="400" w:lineRule="exact"/>
        <w:jc w:val="center"/>
        <w:rPr>
          <w:rFonts w:eastAsia="仿宋_GB2312"/>
          <w:bCs/>
          <w:color w:val="auto"/>
          <w:sz w:val="32"/>
          <w:szCs w:val="32"/>
          <w:highlight w:val="none"/>
        </w:rPr>
      </w:pPr>
      <w:r>
        <w:rPr>
          <w:rFonts w:eastAsia="方正小标宋_GBK"/>
          <w:bCs/>
          <w:color w:val="auto"/>
          <w:sz w:val="36"/>
          <w:szCs w:val="36"/>
          <w:highlight w:val="none"/>
        </w:rPr>
        <w:t>工程签证费用审批表</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 xml:space="preserve">工程名称：                                </w:t>
      </w:r>
    </w:p>
    <w:p>
      <w:pPr>
        <w:tabs>
          <w:tab w:val="left" w:pos="9720"/>
        </w:tabs>
        <w:spacing w:line="0" w:lineRule="atLeast"/>
        <w:ind w:firstLine="560" w:firstLineChars="200"/>
        <w:rPr>
          <w:rFonts w:eastAsia="仿宋_GB2312"/>
          <w:bCs/>
          <w:color w:val="auto"/>
          <w:sz w:val="28"/>
          <w:szCs w:val="28"/>
          <w:highlight w:val="none"/>
        </w:rPr>
      </w:pPr>
      <w:r>
        <w:rPr>
          <w:rFonts w:eastAsia="仿宋_GB2312"/>
          <w:bCs/>
          <w:color w:val="auto"/>
          <w:sz w:val="28"/>
          <w:szCs w:val="28"/>
          <w:highlight w:val="none"/>
        </w:rPr>
        <w:t>编号：</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7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工程部位</w:t>
            </w:r>
          </w:p>
        </w:tc>
        <w:tc>
          <w:tcPr>
            <w:tcW w:w="7253" w:type="dxa"/>
            <w:noWrap w:val="0"/>
            <w:vAlign w:val="center"/>
          </w:tcPr>
          <w:p>
            <w:pPr>
              <w:tabs>
                <w:tab w:val="left" w:pos="9720"/>
              </w:tabs>
              <w:spacing w:line="400" w:lineRule="exact"/>
              <w:jc w:val="left"/>
              <w:rPr>
                <w:rFonts w:hint="eastAsia" w:eastAsia="仿宋_GB2312"/>
                <w:bCs/>
                <w:color w:val="auto"/>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3"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签证内容</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及造价</w:t>
            </w:r>
          </w:p>
        </w:tc>
        <w:tc>
          <w:tcPr>
            <w:tcW w:w="7253" w:type="dxa"/>
            <w:noWrap w:val="0"/>
            <w:vAlign w:val="center"/>
          </w:tcPr>
          <w:p>
            <w:pPr>
              <w:tabs>
                <w:tab w:val="left" w:pos="9720"/>
              </w:tabs>
              <w:spacing w:line="400" w:lineRule="exact"/>
              <w:rPr>
                <w:rFonts w:eastAsia="仿宋_GB2312"/>
                <w:bCs/>
                <w:color w:val="auto"/>
                <w:sz w:val="24"/>
                <w:highlight w:val="none"/>
              </w:rPr>
            </w:pP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施工单位</w:t>
            </w:r>
            <w:r>
              <w:rPr>
                <w:rFonts w:hint="eastAsia" w:eastAsia="仿宋_GB2312"/>
                <w:bCs/>
                <w:color w:val="auto"/>
                <w:sz w:val="24"/>
                <w:highlight w:val="none"/>
              </w:rPr>
              <w:t>（盖章）</w:t>
            </w:r>
            <w:r>
              <w:rPr>
                <w:rFonts w:eastAsia="仿宋_GB2312"/>
                <w:bCs/>
                <w:color w:val="auto"/>
                <w:sz w:val="24"/>
                <w:highlight w:val="none"/>
              </w:rPr>
              <w:t>：</w:t>
            </w:r>
            <w:r>
              <w:rPr>
                <w:rFonts w:eastAsia="仿宋_GB2312"/>
                <w:bCs/>
                <w:color w:val="auto"/>
                <w:sz w:val="24"/>
                <w:highlight w:val="none"/>
                <w:u w:val="single"/>
              </w:rPr>
              <w:t xml:space="preserve">                      </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项目经理</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日    期：</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监理单位</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意见</w:t>
            </w:r>
          </w:p>
        </w:tc>
        <w:tc>
          <w:tcPr>
            <w:tcW w:w="7253" w:type="dxa"/>
            <w:noWrap w:val="0"/>
            <w:vAlign w:val="center"/>
          </w:tcPr>
          <w:p>
            <w:pPr>
              <w:tabs>
                <w:tab w:val="left" w:pos="9720"/>
              </w:tabs>
              <w:spacing w:line="400" w:lineRule="exact"/>
              <w:jc w:val="lef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400" w:lineRule="exact"/>
              <w:jc w:val="lef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监理单位</w:t>
            </w:r>
            <w:r>
              <w:rPr>
                <w:rFonts w:hint="eastAsia" w:eastAsia="仿宋_GB2312"/>
                <w:bCs/>
                <w:color w:val="auto"/>
                <w:sz w:val="24"/>
                <w:highlight w:val="none"/>
              </w:rPr>
              <w:t>（盖章）</w:t>
            </w:r>
            <w:r>
              <w:rPr>
                <w:rFonts w:eastAsia="仿宋_GB2312"/>
                <w:bCs/>
                <w:color w:val="auto"/>
                <w:sz w:val="24"/>
                <w:highlight w:val="none"/>
              </w:rPr>
              <w:t>：</w:t>
            </w:r>
            <w:r>
              <w:rPr>
                <w:rFonts w:eastAsia="仿宋_GB2312"/>
                <w:bCs/>
                <w:color w:val="auto"/>
                <w:sz w:val="24"/>
                <w:highlight w:val="none"/>
                <w:u w:val="single"/>
              </w:rPr>
              <w:t xml:space="preserve">                      </w:t>
            </w:r>
          </w:p>
          <w:p>
            <w:pPr>
              <w:tabs>
                <w:tab w:val="left" w:pos="9720"/>
              </w:tabs>
              <w:spacing w:line="400" w:lineRule="exact"/>
              <w:ind w:firstLine="2520" w:firstLineChars="1050"/>
              <w:rPr>
                <w:rFonts w:eastAsia="仿宋_GB2312"/>
                <w:bCs/>
                <w:color w:val="auto"/>
                <w:sz w:val="24"/>
                <w:highlight w:val="none"/>
              </w:rPr>
            </w:pPr>
            <w:r>
              <w:rPr>
                <w:rFonts w:eastAsia="仿宋_GB2312"/>
                <w:bCs/>
                <w:color w:val="auto"/>
                <w:sz w:val="24"/>
                <w:highlight w:val="none"/>
              </w:rPr>
              <w:t xml:space="preserve">  </w:t>
            </w:r>
            <w:r>
              <w:rPr>
                <w:rFonts w:hint="eastAsia" w:eastAsia="仿宋_GB2312"/>
                <w:bCs/>
                <w:color w:val="auto"/>
                <w:sz w:val="24"/>
                <w:highlight w:val="none"/>
              </w:rPr>
              <w:t>项目</w:t>
            </w:r>
            <w:r>
              <w:rPr>
                <w:rFonts w:eastAsia="仿宋_GB2312"/>
                <w:bCs/>
                <w:color w:val="auto"/>
                <w:sz w:val="24"/>
                <w:highlight w:val="none"/>
              </w:rPr>
              <w:t>总监</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widowControl/>
              <w:spacing w:line="400" w:lineRule="exact"/>
              <w:jc w:val="center"/>
              <w:rPr>
                <w:rFonts w:eastAsia="仿宋_GB2312"/>
                <w:bCs/>
                <w:color w:val="auto"/>
                <w:sz w:val="24"/>
                <w:highlight w:val="none"/>
              </w:rPr>
            </w:pPr>
            <w:r>
              <w:rPr>
                <w:rFonts w:eastAsia="仿宋_GB2312"/>
                <w:bCs/>
                <w:color w:val="auto"/>
                <w:sz w:val="24"/>
                <w:highlight w:val="none"/>
              </w:rPr>
              <w:t xml:space="preserve">         日    期：</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代建局工程</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管理部门</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意见</w:t>
            </w:r>
          </w:p>
        </w:tc>
        <w:tc>
          <w:tcPr>
            <w:tcW w:w="7253" w:type="dxa"/>
            <w:noWrap w:val="0"/>
            <w:vAlign w:val="center"/>
          </w:tcPr>
          <w:p>
            <w:pPr>
              <w:tabs>
                <w:tab w:val="left" w:pos="9720"/>
              </w:tabs>
              <w:spacing w:line="400" w:lineRule="exact"/>
              <w:rPr>
                <w:rFonts w:eastAsia="仿宋_GB2312"/>
                <w:bCs/>
                <w:color w:val="auto"/>
                <w:sz w:val="24"/>
                <w:highlight w:val="none"/>
              </w:rPr>
            </w:pPr>
          </w:p>
          <w:p>
            <w:pPr>
              <w:tabs>
                <w:tab w:val="left" w:pos="9720"/>
              </w:tabs>
              <w:spacing w:line="400" w:lineRule="exact"/>
              <w:rPr>
                <w:rFonts w:eastAsia="仿宋_GB2312"/>
                <w:bCs/>
                <w:color w:val="auto"/>
                <w:sz w:val="24"/>
                <w:highlight w:val="none"/>
              </w:rPr>
            </w:pPr>
          </w:p>
          <w:p>
            <w:pPr>
              <w:tabs>
                <w:tab w:val="left" w:pos="9720"/>
              </w:tabs>
              <w:spacing w:line="400" w:lineRule="exact"/>
              <w:rPr>
                <w:rFonts w:eastAsia="仿宋_GB2312"/>
                <w:bCs/>
                <w:color w:val="auto"/>
                <w:sz w:val="24"/>
                <w:highlight w:val="none"/>
              </w:rPr>
            </w:pPr>
          </w:p>
          <w:p>
            <w:pPr>
              <w:tabs>
                <w:tab w:val="left" w:pos="9720"/>
              </w:tabs>
              <w:spacing w:line="400" w:lineRule="exact"/>
              <w:rPr>
                <w:rFonts w:eastAsia="仿宋_GB2312"/>
                <w:bCs/>
                <w:color w:val="auto"/>
                <w:sz w:val="24"/>
                <w:highlight w:val="none"/>
              </w:rPr>
            </w:pPr>
            <w:r>
              <w:rPr>
                <w:rFonts w:eastAsia="仿宋_GB2312"/>
                <w:bCs/>
                <w:color w:val="auto"/>
                <w:sz w:val="24"/>
                <w:highlight w:val="none"/>
              </w:rPr>
              <w:t xml:space="preserve">项目负责人：                    部门负责人:            </w:t>
            </w:r>
          </w:p>
          <w:p>
            <w:pPr>
              <w:tabs>
                <w:tab w:val="left" w:pos="9720"/>
              </w:tabs>
              <w:spacing w:line="400" w:lineRule="exact"/>
              <w:ind w:firstLine="5040" w:firstLineChars="2100"/>
              <w:rPr>
                <w:rFonts w:eastAsia="仿宋_GB2312"/>
                <w:bCs/>
                <w:color w:val="auto"/>
                <w:sz w:val="24"/>
                <w:highlight w:val="none"/>
              </w:rPr>
            </w:pPr>
            <w:r>
              <w:rPr>
                <w:rFonts w:eastAsia="仿宋_GB2312"/>
                <w:bCs/>
                <w:color w:val="auto"/>
                <w:sz w:val="24"/>
                <w:highlight w:val="none"/>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分管领导</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意见</w:t>
            </w:r>
          </w:p>
        </w:tc>
        <w:tc>
          <w:tcPr>
            <w:tcW w:w="7253" w:type="dxa"/>
            <w:noWrap w:val="0"/>
            <w:vAlign w:val="center"/>
          </w:tcPr>
          <w:p>
            <w:pPr>
              <w:tabs>
                <w:tab w:val="left" w:pos="9720"/>
              </w:tabs>
              <w:spacing w:line="400" w:lineRule="exact"/>
              <w:jc w:val="lef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400" w:lineRule="exact"/>
              <w:jc w:val="lef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467" w:type="dxa"/>
            <w:noWrap w:val="0"/>
            <w:vAlign w:val="center"/>
          </w:tcPr>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主要领导</w:t>
            </w: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意见</w:t>
            </w:r>
          </w:p>
        </w:tc>
        <w:tc>
          <w:tcPr>
            <w:tcW w:w="7253" w:type="dxa"/>
            <w:noWrap w:val="0"/>
            <w:vAlign w:val="center"/>
          </w:tcPr>
          <w:p>
            <w:pPr>
              <w:tabs>
                <w:tab w:val="left" w:pos="9720"/>
              </w:tabs>
              <w:spacing w:line="400" w:lineRule="exact"/>
              <w:jc w:val="left"/>
              <w:rPr>
                <w:rFonts w:eastAsia="仿宋_GB2312"/>
                <w:bCs/>
                <w:color w:val="auto"/>
                <w:sz w:val="24"/>
                <w:highlight w:val="none"/>
              </w:rPr>
            </w:pPr>
          </w:p>
          <w:p>
            <w:pPr>
              <w:tabs>
                <w:tab w:val="left" w:pos="9720"/>
              </w:tabs>
              <w:spacing w:line="400" w:lineRule="exact"/>
              <w:rPr>
                <w:rFonts w:eastAsia="仿宋_GB2312"/>
                <w:bCs/>
                <w:color w:val="auto"/>
                <w:sz w:val="24"/>
                <w:highlight w:val="none"/>
              </w:rPr>
            </w:pPr>
          </w:p>
          <w:p>
            <w:pPr>
              <w:tabs>
                <w:tab w:val="left" w:pos="9720"/>
              </w:tabs>
              <w:spacing w:line="400" w:lineRule="exact"/>
              <w:jc w:val="center"/>
              <w:rPr>
                <w:rFonts w:eastAsia="仿宋_GB2312"/>
                <w:bCs/>
                <w:color w:val="auto"/>
                <w:sz w:val="24"/>
                <w:highlight w:val="none"/>
              </w:rPr>
            </w:pPr>
            <w:r>
              <w:rPr>
                <w:rFonts w:eastAsia="仿宋_GB2312"/>
                <w:bCs/>
                <w:color w:val="auto"/>
                <w:sz w:val="24"/>
                <w:highlight w:val="none"/>
              </w:rPr>
              <w:t xml:space="preserve">                                    年     月     日</w:t>
            </w:r>
          </w:p>
        </w:tc>
      </w:tr>
    </w:tbl>
    <w:p>
      <w:pPr>
        <w:tabs>
          <w:tab w:val="left" w:pos="9720"/>
        </w:tabs>
        <w:spacing w:line="600" w:lineRule="exact"/>
        <w:rPr>
          <w:rFonts w:eastAsia="仿宋_GB2312"/>
          <w:bCs/>
          <w:color w:val="auto"/>
          <w:sz w:val="32"/>
          <w:szCs w:val="32"/>
          <w:highlight w:val="none"/>
        </w:rPr>
      </w:pPr>
      <w:r>
        <w:rPr>
          <w:rFonts w:eastAsia="仿宋_GB2312"/>
          <w:bCs/>
          <w:color w:val="auto"/>
          <w:sz w:val="28"/>
          <w:szCs w:val="28"/>
          <w:highlight w:val="none"/>
        </w:rPr>
        <w:br w:type="page"/>
      </w:r>
      <w:r>
        <w:rPr>
          <w:rFonts w:eastAsia="仿宋_GB2312"/>
          <w:bCs/>
          <w:color w:val="auto"/>
          <w:sz w:val="28"/>
          <w:szCs w:val="28"/>
          <w:highlight w:val="none"/>
        </w:rPr>
        <w:t>附表</w:t>
      </w:r>
      <w:r>
        <w:rPr>
          <w:rFonts w:hint="eastAsia" w:eastAsia="仿宋_GB2312"/>
          <w:bCs/>
          <w:color w:val="auto"/>
          <w:sz w:val="28"/>
          <w:szCs w:val="28"/>
          <w:highlight w:val="none"/>
          <w:lang w:val="en-US" w:eastAsia="zh-CN"/>
        </w:rPr>
        <w:t>4</w:t>
      </w:r>
    </w:p>
    <w:p>
      <w:pPr>
        <w:tabs>
          <w:tab w:val="left" w:pos="9720"/>
        </w:tabs>
        <w:spacing w:line="600" w:lineRule="exact"/>
        <w:jc w:val="center"/>
        <w:rPr>
          <w:rFonts w:eastAsia="仿宋_GB2312"/>
          <w:bCs/>
          <w:color w:val="auto"/>
          <w:sz w:val="32"/>
          <w:szCs w:val="32"/>
          <w:highlight w:val="none"/>
        </w:rPr>
      </w:pPr>
      <w:r>
        <w:rPr>
          <w:rFonts w:eastAsia="方正小标宋_GBK"/>
          <w:bCs/>
          <w:color w:val="auto"/>
          <w:sz w:val="36"/>
          <w:szCs w:val="36"/>
          <w:highlight w:val="none"/>
        </w:rPr>
        <w:t>工程签证联系单</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 xml:space="preserve">工程名称：    </w:t>
      </w:r>
    </w:p>
    <w:p>
      <w:pPr>
        <w:tabs>
          <w:tab w:val="left" w:pos="9720"/>
        </w:tabs>
        <w:spacing w:line="0" w:lineRule="atLeast"/>
        <w:ind w:firstLine="560" w:firstLineChars="200"/>
        <w:rPr>
          <w:rFonts w:eastAsia="仿宋_GB2312"/>
          <w:bCs/>
          <w:color w:val="auto"/>
          <w:sz w:val="28"/>
          <w:szCs w:val="28"/>
          <w:highlight w:val="none"/>
        </w:rPr>
      </w:pPr>
      <w:r>
        <w:rPr>
          <w:rFonts w:eastAsia="仿宋_GB2312"/>
          <w:bCs/>
          <w:color w:val="auto"/>
          <w:sz w:val="28"/>
          <w:szCs w:val="28"/>
          <w:highlight w:val="none"/>
        </w:rPr>
        <w:t>编号：</w:t>
      </w:r>
    </w:p>
    <w:tbl>
      <w:tblPr>
        <w:tblStyle w:val="28"/>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7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568" w:type="dxa"/>
            <w:noWrap w:val="0"/>
            <w:vAlign w:val="center"/>
          </w:tcPr>
          <w:p>
            <w:pPr>
              <w:tabs>
                <w:tab w:val="left" w:pos="9720"/>
              </w:tabs>
              <w:spacing w:line="0" w:lineRule="atLeast"/>
              <w:jc w:val="center"/>
              <w:rPr>
                <w:rFonts w:eastAsia="仿宋_GB2312"/>
                <w:bCs/>
                <w:color w:val="auto"/>
                <w:sz w:val="24"/>
                <w:highlight w:val="none"/>
              </w:rPr>
            </w:pPr>
            <w:r>
              <w:rPr>
                <w:rFonts w:eastAsia="仿宋_GB2312"/>
                <w:bCs/>
                <w:color w:val="auto"/>
                <w:sz w:val="24"/>
                <w:highlight w:val="none"/>
              </w:rPr>
              <w:t>工程部位</w:t>
            </w:r>
          </w:p>
        </w:tc>
        <w:tc>
          <w:tcPr>
            <w:tcW w:w="7180" w:type="dxa"/>
            <w:noWrap w:val="0"/>
            <w:vAlign w:val="center"/>
          </w:tcPr>
          <w:p>
            <w:pPr>
              <w:tabs>
                <w:tab w:val="left" w:pos="9720"/>
              </w:tabs>
              <w:spacing w:line="0" w:lineRule="atLeast"/>
              <w:rPr>
                <w:rFonts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118" w:hRule="atLeast"/>
          <w:jc w:val="center"/>
        </w:trPr>
        <w:tc>
          <w:tcPr>
            <w:tcW w:w="8748" w:type="dxa"/>
            <w:gridSpan w:val="2"/>
            <w:noWrap w:val="0"/>
            <w:vAlign w:val="top"/>
          </w:tcPr>
          <w:p>
            <w:pPr>
              <w:tabs>
                <w:tab w:val="left" w:pos="9720"/>
              </w:tabs>
              <w:spacing w:line="500" w:lineRule="exact"/>
              <w:rPr>
                <w:rFonts w:hint="eastAsia" w:eastAsia="仿宋_GB2312"/>
                <w:bCs/>
                <w:color w:val="auto"/>
                <w:sz w:val="24"/>
                <w:highlight w:val="none"/>
                <w:lang w:eastAsia="zh-CN"/>
              </w:rPr>
            </w:pPr>
            <w:r>
              <w:rPr>
                <w:rFonts w:eastAsia="仿宋_GB2312"/>
                <w:bCs/>
                <w:color w:val="auto"/>
                <w:sz w:val="24"/>
                <w:highlight w:val="none"/>
              </w:rPr>
              <w:t>致：</w:t>
            </w:r>
            <w:r>
              <w:rPr>
                <w:rFonts w:hint="eastAsia" w:eastAsia="仿宋_GB2312"/>
                <w:bCs/>
                <w:color w:val="auto"/>
                <w:sz w:val="24"/>
                <w:highlight w:val="none"/>
                <w:lang w:eastAsia="zh-CN"/>
              </w:rPr>
              <w:t>（建设单位和监理单位名称）</w:t>
            </w:r>
          </w:p>
          <w:p>
            <w:pPr>
              <w:tabs>
                <w:tab w:val="left" w:pos="9720"/>
              </w:tabs>
              <w:spacing w:line="500" w:lineRule="exact"/>
              <w:rPr>
                <w:rFonts w:eastAsia="仿宋_GB2312"/>
                <w:bCs/>
                <w:color w:val="auto"/>
                <w:sz w:val="24"/>
                <w:highlight w:val="none"/>
              </w:rPr>
            </w:pPr>
            <w:r>
              <w:rPr>
                <w:rFonts w:eastAsia="仿宋_GB2312"/>
                <w:bCs/>
                <w:color w:val="auto"/>
                <w:sz w:val="24"/>
                <w:highlight w:val="none"/>
              </w:rPr>
              <w:t>事由：</w:t>
            </w:r>
          </w:p>
          <w:p>
            <w:pPr>
              <w:tabs>
                <w:tab w:val="left" w:pos="9720"/>
              </w:tabs>
              <w:spacing w:line="500" w:lineRule="exact"/>
              <w:ind w:firstLine="4080" w:firstLineChars="1700"/>
              <w:rPr>
                <w:rFonts w:eastAsia="仿宋_GB2312"/>
                <w:bCs/>
                <w:color w:val="auto"/>
                <w:sz w:val="24"/>
                <w:highlight w:val="none"/>
                <w:u w:val="single"/>
              </w:rPr>
            </w:pPr>
            <w:r>
              <w:rPr>
                <w:rFonts w:eastAsia="仿宋_GB2312"/>
                <w:bCs/>
                <w:color w:val="auto"/>
                <w:sz w:val="24"/>
                <w:highlight w:val="none"/>
              </w:rPr>
              <w:t>施工单位</w:t>
            </w:r>
            <w:r>
              <w:rPr>
                <w:rFonts w:hint="eastAsia" w:eastAsia="仿宋_GB2312"/>
                <w:bCs/>
                <w:color w:val="auto"/>
                <w:sz w:val="24"/>
                <w:highlight w:val="none"/>
              </w:rPr>
              <w:t>（盖章）</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ind w:firstLine="4080" w:firstLineChars="1700"/>
              <w:jc w:val="left"/>
              <w:rPr>
                <w:rFonts w:eastAsia="仿宋_GB2312"/>
                <w:bCs/>
                <w:color w:val="auto"/>
                <w:sz w:val="24"/>
                <w:highlight w:val="none"/>
              </w:rPr>
            </w:pPr>
            <w:r>
              <w:rPr>
                <w:rFonts w:eastAsia="仿宋_GB2312"/>
                <w:bCs/>
                <w:color w:val="auto"/>
                <w:sz w:val="24"/>
                <w:highlight w:val="none"/>
              </w:rPr>
              <w:t>项目经理</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ind w:firstLine="5040" w:firstLineChars="2100"/>
              <w:jc w:val="left"/>
              <w:rPr>
                <w:rFonts w:eastAsia="仿宋_GB2312"/>
                <w:bCs/>
                <w:color w:val="auto"/>
                <w:sz w:val="24"/>
                <w:highlight w:val="none"/>
              </w:rPr>
            </w:pPr>
            <w:r>
              <w:rPr>
                <w:rFonts w:eastAsia="仿宋_GB2312"/>
                <w:bCs/>
                <w:color w:val="auto"/>
                <w:sz w:val="24"/>
                <w:highlight w:val="none"/>
              </w:rPr>
              <w:t>日    期：</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2" w:hRule="atLeast"/>
          <w:jc w:val="center"/>
        </w:trPr>
        <w:tc>
          <w:tcPr>
            <w:tcW w:w="8748" w:type="dxa"/>
            <w:gridSpan w:val="2"/>
            <w:noWrap w:val="0"/>
            <w:vAlign w:val="top"/>
          </w:tcPr>
          <w:p>
            <w:pPr>
              <w:tabs>
                <w:tab w:val="left" w:pos="9720"/>
              </w:tabs>
              <w:spacing w:line="500" w:lineRule="exact"/>
              <w:rPr>
                <w:rFonts w:eastAsia="仿宋_GB2312"/>
                <w:bCs/>
                <w:color w:val="auto"/>
                <w:sz w:val="24"/>
                <w:highlight w:val="none"/>
              </w:rPr>
            </w:pPr>
            <w:r>
              <w:rPr>
                <w:rFonts w:eastAsia="仿宋_GB2312"/>
                <w:bCs/>
                <w:color w:val="auto"/>
                <w:sz w:val="24"/>
                <w:highlight w:val="none"/>
              </w:rPr>
              <w:t>监理单位意见：</w:t>
            </w:r>
          </w:p>
          <w:p>
            <w:pPr>
              <w:tabs>
                <w:tab w:val="left" w:pos="9720"/>
              </w:tabs>
              <w:spacing w:line="500" w:lineRule="exact"/>
              <w:rPr>
                <w:rFonts w:eastAsia="仿宋_GB2312"/>
                <w:bCs/>
                <w:color w:val="auto"/>
                <w:sz w:val="24"/>
                <w:highlight w:val="none"/>
              </w:rPr>
            </w:pPr>
          </w:p>
          <w:p>
            <w:pPr>
              <w:tabs>
                <w:tab w:val="left" w:pos="9720"/>
              </w:tabs>
              <w:spacing w:line="500" w:lineRule="exact"/>
              <w:rPr>
                <w:rFonts w:eastAsia="仿宋_GB2312"/>
                <w:bCs/>
                <w:color w:val="auto"/>
                <w:sz w:val="24"/>
                <w:highlight w:val="none"/>
              </w:rPr>
            </w:pPr>
          </w:p>
          <w:p>
            <w:pPr>
              <w:tabs>
                <w:tab w:val="left" w:pos="9720"/>
              </w:tabs>
              <w:spacing w:line="500" w:lineRule="exact"/>
              <w:ind w:firstLine="4200" w:firstLineChars="1750"/>
              <w:rPr>
                <w:rFonts w:eastAsia="仿宋_GB2312"/>
                <w:bCs/>
                <w:color w:val="auto"/>
                <w:sz w:val="24"/>
                <w:highlight w:val="none"/>
              </w:rPr>
            </w:pPr>
            <w:r>
              <w:rPr>
                <w:rFonts w:eastAsia="仿宋_GB2312"/>
                <w:bCs/>
                <w:color w:val="auto"/>
                <w:sz w:val="24"/>
                <w:highlight w:val="none"/>
              </w:rPr>
              <w:t>监理</w:t>
            </w:r>
            <w:r>
              <w:rPr>
                <w:rFonts w:hint="eastAsia" w:eastAsia="仿宋_GB2312"/>
                <w:bCs/>
                <w:color w:val="auto"/>
                <w:sz w:val="24"/>
                <w:highlight w:val="none"/>
              </w:rPr>
              <w:t>单位（盖章）</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rPr>
                <w:rFonts w:eastAsia="仿宋_GB2312"/>
                <w:bCs/>
                <w:color w:val="auto"/>
                <w:sz w:val="24"/>
                <w:highlight w:val="none"/>
              </w:rPr>
            </w:pPr>
            <w:r>
              <w:rPr>
                <w:rFonts w:eastAsia="仿宋_GB2312"/>
                <w:bCs/>
                <w:color w:val="auto"/>
                <w:sz w:val="24"/>
                <w:highlight w:val="none"/>
              </w:rPr>
              <w:t xml:space="preserve">                          总/专业监理工程师</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rPr>
                <w:rFonts w:eastAsia="仿宋_GB2312"/>
                <w:bCs/>
                <w:color w:val="auto"/>
                <w:sz w:val="24"/>
                <w:highlight w:val="none"/>
              </w:rPr>
            </w:pPr>
            <w:r>
              <w:rPr>
                <w:rFonts w:eastAsia="仿宋_GB2312"/>
                <w:bCs/>
                <w:color w:val="auto"/>
                <w:sz w:val="24"/>
                <w:highlight w:val="none"/>
              </w:rPr>
              <w:t xml:space="preserve">                                            日   期：</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4" w:hRule="atLeast"/>
          <w:jc w:val="center"/>
        </w:trPr>
        <w:tc>
          <w:tcPr>
            <w:tcW w:w="8748" w:type="dxa"/>
            <w:gridSpan w:val="2"/>
            <w:noWrap w:val="0"/>
            <w:vAlign w:val="top"/>
          </w:tcPr>
          <w:p>
            <w:pPr>
              <w:tabs>
                <w:tab w:val="left" w:pos="9720"/>
              </w:tabs>
              <w:spacing w:line="500" w:lineRule="exact"/>
              <w:rPr>
                <w:rFonts w:eastAsia="仿宋_GB2312"/>
                <w:bCs/>
                <w:color w:val="auto"/>
                <w:sz w:val="24"/>
                <w:highlight w:val="none"/>
              </w:rPr>
            </w:pPr>
            <w:r>
              <w:rPr>
                <w:rFonts w:eastAsia="仿宋_GB2312"/>
                <w:bCs/>
                <w:color w:val="auto"/>
                <w:sz w:val="24"/>
                <w:highlight w:val="none"/>
              </w:rPr>
              <w:t>建设单位意见：</w:t>
            </w:r>
          </w:p>
          <w:p>
            <w:pPr>
              <w:tabs>
                <w:tab w:val="left" w:pos="9720"/>
              </w:tabs>
              <w:spacing w:line="500" w:lineRule="exact"/>
              <w:rPr>
                <w:rFonts w:eastAsia="仿宋_GB2312"/>
                <w:bCs/>
                <w:color w:val="auto"/>
                <w:sz w:val="24"/>
                <w:highlight w:val="none"/>
              </w:rPr>
            </w:pPr>
          </w:p>
          <w:p>
            <w:pPr>
              <w:tabs>
                <w:tab w:val="left" w:pos="9720"/>
              </w:tabs>
              <w:spacing w:line="500" w:lineRule="exact"/>
              <w:rPr>
                <w:rFonts w:eastAsia="仿宋_GB2312"/>
                <w:bCs/>
                <w:color w:val="auto"/>
                <w:sz w:val="24"/>
                <w:highlight w:val="none"/>
              </w:rPr>
            </w:pPr>
          </w:p>
          <w:p>
            <w:pPr>
              <w:tabs>
                <w:tab w:val="left" w:pos="9720"/>
              </w:tabs>
              <w:spacing w:line="500" w:lineRule="exact"/>
              <w:ind w:right="444"/>
              <w:jc w:val="center"/>
              <w:rPr>
                <w:rFonts w:eastAsia="仿宋_GB2312"/>
                <w:bCs/>
                <w:color w:val="auto"/>
                <w:sz w:val="24"/>
                <w:highlight w:val="none"/>
              </w:rPr>
            </w:pPr>
            <w:r>
              <w:rPr>
                <w:rFonts w:hint="eastAsia" w:eastAsia="仿宋_GB2312"/>
                <w:bCs/>
                <w:color w:val="auto"/>
                <w:sz w:val="24"/>
                <w:highlight w:val="none"/>
              </w:rPr>
              <w:t xml:space="preserve">                     （盖章）</w:t>
            </w:r>
          </w:p>
          <w:p>
            <w:pPr>
              <w:tabs>
                <w:tab w:val="left" w:pos="9720"/>
              </w:tabs>
              <w:spacing w:line="500" w:lineRule="exact"/>
              <w:ind w:left="4436" w:hanging="4768" w:hangingChars="1987"/>
              <w:rPr>
                <w:rFonts w:eastAsia="仿宋_GB2312"/>
                <w:bCs/>
                <w:color w:val="auto"/>
                <w:sz w:val="24"/>
                <w:highlight w:val="none"/>
              </w:rPr>
            </w:pPr>
            <w:r>
              <w:rPr>
                <w:rFonts w:eastAsia="仿宋_GB2312"/>
                <w:bCs/>
                <w:color w:val="auto"/>
                <w:sz w:val="24"/>
                <w:highlight w:val="none"/>
              </w:rPr>
              <w:t xml:space="preserve">                                 项目负责人（签名）：</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500" w:lineRule="exact"/>
              <w:rPr>
                <w:rFonts w:eastAsia="仿宋_GB2312"/>
                <w:bCs/>
                <w:color w:val="auto"/>
                <w:sz w:val="24"/>
                <w:highlight w:val="none"/>
              </w:rPr>
            </w:pPr>
            <w:r>
              <w:rPr>
                <w:rFonts w:eastAsia="仿宋_GB2312"/>
                <w:bCs/>
                <w:color w:val="auto"/>
                <w:sz w:val="24"/>
                <w:highlight w:val="none"/>
              </w:rPr>
              <w:t xml:space="preserve">                                             日  期：</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tc>
      </w:tr>
    </w:tbl>
    <w:p>
      <w:pPr>
        <w:tabs>
          <w:tab w:val="left" w:pos="9720"/>
        </w:tabs>
        <w:spacing w:line="600" w:lineRule="exact"/>
        <w:jc w:val="left"/>
        <w:rPr>
          <w:rFonts w:eastAsia="仿宋_GB2312"/>
          <w:bCs/>
          <w:color w:val="auto"/>
          <w:sz w:val="32"/>
          <w:szCs w:val="32"/>
          <w:highlight w:val="none"/>
        </w:rPr>
      </w:pPr>
      <w:r>
        <w:rPr>
          <w:rFonts w:eastAsia="仿宋_GB2312"/>
          <w:bCs/>
          <w:color w:val="auto"/>
          <w:sz w:val="28"/>
          <w:szCs w:val="28"/>
          <w:highlight w:val="none"/>
        </w:rPr>
        <w:br w:type="page"/>
      </w:r>
      <w:r>
        <w:rPr>
          <w:rFonts w:eastAsia="仿宋_GB2312"/>
          <w:bCs/>
          <w:color w:val="auto"/>
          <w:sz w:val="28"/>
          <w:szCs w:val="28"/>
          <w:highlight w:val="none"/>
        </w:rPr>
        <w:t>附表</w:t>
      </w:r>
      <w:r>
        <w:rPr>
          <w:rFonts w:hint="eastAsia" w:eastAsia="仿宋_GB2312"/>
          <w:bCs/>
          <w:color w:val="auto"/>
          <w:sz w:val="28"/>
          <w:szCs w:val="28"/>
          <w:highlight w:val="none"/>
          <w:lang w:val="en-US" w:eastAsia="zh-CN"/>
        </w:rPr>
        <w:t>5</w:t>
      </w:r>
    </w:p>
    <w:p>
      <w:pPr>
        <w:tabs>
          <w:tab w:val="left" w:pos="9720"/>
        </w:tabs>
        <w:spacing w:line="600" w:lineRule="exact"/>
        <w:jc w:val="center"/>
        <w:rPr>
          <w:rFonts w:eastAsia="仿宋_GB2312"/>
          <w:bCs/>
          <w:color w:val="auto"/>
          <w:sz w:val="32"/>
          <w:szCs w:val="32"/>
          <w:highlight w:val="none"/>
        </w:rPr>
      </w:pPr>
      <w:r>
        <w:rPr>
          <w:rFonts w:eastAsia="方正小标宋_GBK"/>
          <w:bCs/>
          <w:color w:val="auto"/>
          <w:sz w:val="36"/>
          <w:szCs w:val="36"/>
          <w:highlight w:val="none"/>
        </w:rPr>
        <w:t>工程量签证表</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 xml:space="preserve">工程名称：                                  </w:t>
      </w:r>
    </w:p>
    <w:p>
      <w:pPr>
        <w:tabs>
          <w:tab w:val="left" w:pos="9720"/>
        </w:tabs>
        <w:spacing w:line="0" w:lineRule="atLeast"/>
        <w:ind w:firstLine="560" w:firstLineChars="200"/>
        <w:rPr>
          <w:rFonts w:eastAsia="仿宋_GB2312"/>
          <w:bCs/>
          <w:color w:val="auto"/>
          <w:sz w:val="28"/>
          <w:szCs w:val="28"/>
          <w:highlight w:val="none"/>
        </w:rPr>
      </w:pPr>
      <w:r>
        <w:rPr>
          <w:rFonts w:eastAsia="仿宋_GB2312"/>
          <w:bCs/>
          <w:color w:val="auto"/>
          <w:sz w:val="28"/>
          <w:szCs w:val="28"/>
          <w:highlight w:val="none"/>
        </w:rPr>
        <w:t>编号：</w:t>
      </w:r>
    </w:p>
    <w:tbl>
      <w:tblPr>
        <w:tblStyle w:val="28"/>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3089"/>
        <w:gridCol w:w="4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457" w:type="dxa"/>
            <w:noWrap w:val="0"/>
            <w:vAlign w:val="center"/>
          </w:tcPr>
          <w:p>
            <w:pPr>
              <w:tabs>
                <w:tab w:val="left" w:pos="9720"/>
              </w:tabs>
              <w:spacing w:line="0" w:lineRule="atLeast"/>
              <w:jc w:val="center"/>
              <w:rPr>
                <w:rFonts w:eastAsia="仿宋_GB2312"/>
                <w:bCs/>
                <w:color w:val="auto"/>
                <w:sz w:val="24"/>
                <w:highlight w:val="none"/>
              </w:rPr>
            </w:pPr>
            <w:r>
              <w:rPr>
                <w:rFonts w:eastAsia="仿宋_GB2312"/>
                <w:bCs/>
                <w:color w:val="auto"/>
                <w:sz w:val="24"/>
                <w:highlight w:val="none"/>
              </w:rPr>
              <w:t>工程部位</w:t>
            </w:r>
          </w:p>
        </w:tc>
        <w:tc>
          <w:tcPr>
            <w:tcW w:w="7636" w:type="dxa"/>
            <w:gridSpan w:val="2"/>
            <w:noWrap w:val="0"/>
            <w:vAlign w:val="center"/>
          </w:tcPr>
          <w:p>
            <w:pPr>
              <w:tabs>
                <w:tab w:val="left" w:pos="9720"/>
              </w:tabs>
              <w:spacing w:line="0" w:lineRule="atLeast"/>
              <w:jc w:val="left"/>
              <w:rPr>
                <w:rFonts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3" w:hRule="atLeast"/>
          <w:jc w:val="center"/>
        </w:trPr>
        <w:tc>
          <w:tcPr>
            <w:tcW w:w="1457"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签证内容</w:t>
            </w:r>
          </w:p>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和工程量</w:t>
            </w:r>
          </w:p>
        </w:tc>
        <w:tc>
          <w:tcPr>
            <w:tcW w:w="7636" w:type="dxa"/>
            <w:gridSpan w:val="2"/>
            <w:noWrap w:val="0"/>
            <w:vAlign w:val="top"/>
          </w:tcPr>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eastAsia="仿宋_GB2312"/>
                <w:bCs/>
                <w:color w:val="auto"/>
                <w:sz w:val="24"/>
                <w:highlight w:val="none"/>
              </w:rPr>
            </w:pPr>
          </w:p>
          <w:p>
            <w:pPr>
              <w:tabs>
                <w:tab w:val="left" w:pos="9720"/>
              </w:tabs>
              <w:spacing w:line="600" w:lineRule="exact"/>
              <w:rPr>
                <w:rFonts w:eastAsia="仿宋_GB2312"/>
                <w:bCs/>
                <w:color w:val="auto"/>
                <w:sz w:val="24"/>
                <w:highlight w:val="none"/>
              </w:rPr>
            </w:pPr>
          </w:p>
          <w:p>
            <w:pPr>
              <w:tabs>
                <w:tab w:val="left" w:pos="9720"/>
              </w:tabs>
              <w:spacing w:line="600" w:lineRule="exact"/>
              <w:ind w:firstLine="3000" w:firstLineChars="1250"/>
              <w:rPr>
                <w:rFonts w:eastAsia="仿宋_GB2312"/>
                <w:bCs/>
                <w:color w:val="auto"/>
                <w:sz w:val="24"/>
                <w:highlight w:val="none"/>
              </w:rPr>
            </w:pPr>
            <w:r>
              <w:rPr>
                <w:rFonts w:eastAsia="仿宋_GB2312"/>
                <w:bCs/>
                <w:color w:val="auto"/>
                <w:sz w:val="24"/>
                <w:highlight w:val="none"/>
              </w:rPr>
              <w:t>施工单位</w:t>
            </w:r>
            <w:r>
              <w:rPr>
                <w:rFonts w:hint="eastAsia" w:eastAsia="仿宋_GB2312"/>
                <w:bCs/>
                <w:color w:val="auto"/>
                <w:sz w:val="24"/>
                <w:highlight w:val="none"/>
              </w:rPr>
              <w:t>（盖章）</w:t>
            </w:r>
            <w:r>
              <w:rPr>
                <w:rFonts w:eastAsia="仿宋_GB2312"/>
                <w:bCs/>
                <w:color w:val="auto"/>
                <w:sz w:val="24"/>
                <w:highlight w:val="none"/>
              </w:rPr>
              <w:t>：</w:t>
            </w:r>
            <w:r>
              <w:rPr>
                <w:rFonts w:eastAsia="仿宋_GB2312"/>
                <w:bCs/>
                <w:color w:val="auto"/>
                <w:sz w:val="24"/>
                <w:highlight w:val="none"/>
                <w:u w:val="single"/>
              </w:rPr>
              <w:t xml:space="preserve">            </w:t>
            </w:r>
            <w:r>
              <w:rPr>
                <w:rFonts w:hint="eastAsia" w:eastAsia="仿宋_GB2312"/>
                <w:bCs/>
                <w:color w:val="auto"/>
                <w:sz w:val="24"/>
                <w:highlight w:val="none"/>
                <w:u w:val="single"/>
              </w:rPr>
              <w:t xml:space="preserve">  </w:t>
            </w:r>
            <w:r>
              <w:rPr>
                <w:rFonts w:eastAsia="仿宋_GB2312"/>
                <w:bCs/>
                <w:color w:val="auto"/>
                <w:sz w:val="24"/>
                <w:highlight w:val="none"/>
                <w:u w:val="single"/>
              </w:rPr>
              <w:t xml:space="preserve">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r>
              <w:rPr>
                <w:rFonts w:hint="eastAsia" w:eastAsia="仿宋_GB2312"/>
                <w:bCs/>
                <w:color w:val="auto"/>
                <w:sz w:val="24"/>
                <w:highlight w:val="none"/>
              </w:rPr>
              <w:t xml:space="preserve"> </w:t>
            </w:r>
            <w:r>
              <w:rPr>
                <w:rFonts w:eastAsia="仿宋_GB2312"/>
                <w:bCs/>
                <w:color w:val="auto"/>
                <w:sz w:val="24"/>
                <w:highlight w:val="none"/>
              </w:rPr>
              <w:t xml:space="preserve"> 项目经理</w:t>
            </w:r>
            <w:r>
              <w:rPr>
                <w:rFonts w:hint="eastAsia" w:eastAsia="仿宋_GB2312"/>
                <w:bCs/>
                <w:color w:val="auto"/>
                <w:sz w:val="24"/>
                <w:highlight w:val="none"/>
              </w:rPr>
              <w:t>（签名）</w:t>
            </w:r>
            <w:r>
              <w:rPr>
                <w:rFonts w:eastAsia="仿宋_GB2312"/>
                <w:bCs/>
                <w:color w:val="auto"/>
                <w:sz w:val="24"/>
                <w:highlight w:val="none"/>
              </w:rPr>
              <w:t>：</w:t>
            </w:r>
            <w:r>
              <w:rPr>
                <w:rFonts w:eastAsia="仿宋_GB2312"/>
                <w:bCs/>
                <w:color w:val="auto"/>
                <w:sz w:val="24"/>
                <w:highlight w:val="none"/>
                <w:u w:val="single"/>
              </w:rPr>
              <w:t xml:space="preserve">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r>
              <w:rPr>
                <w:rFonts w:hint="eastAsia" w:eastAsia="仿宋_GB2312"/>
                <w:bCs/>
                <w:color w:val="auto"/>
                <w:sz w:val="24"/>
                <w:highlight w:val="none"/>
              </w:rPr>
              <w:t xml:space="preserve">  </w:t>
            </w:r>
            <w:r>
              <w:rPr>
                <w:rFonts w:eastAsia="仿宋_GB2312"/>
                <w:bCs/>
                <w:color w:val="auto"/>
                <w:sz w:val="24"/>
                <w:highlight w:val="none"/>
              </w:rPr>
              <w:t xml:space="preserve">  日    期：</w:t>
            </w:r>
            <w:r>
              <w:rPr>
                <w:rFonts w:eastAsia="仿宋_GB2312"/>
                <w:bCs/>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0" w:hRule="atLeast"/>
          <w:jc w:val="center"/>
        </w:trPr>
        <w:tc>
          <w:tcPr>
            <w:tcW w:w="4546" w:type="dxa"/>
            <w:gridSpan w:val="2"/>
            <w:noWrap w:val="0"/>
            <w:vAlign w:val="top"/>
          </w:tcPr>
          <w:p>
            <w:pPr>
              <w:tabs>
                <w:tab w:val="left" w:pos="9720"/>
              </w:tabs>
              <w:spacing w:line="600" w:lineRule="exact"/>
              <w:rPr>
                <w:rFonts w:eastAsia="仿宋_GB2312"/>
                <w:bCs/>
                <w:color w:val="auto"/>
                <w:sz w:val="24"/>
                <w:highlight w:val="none"/>
              </w:rPr>
            </w:pPr>
            <w:r>
              <w:rPr>
                <w:rFonts w:eastAsia="仿宋_GB2312"/>
                <w:bCs/>
                <w:color w:val="auto"/>
                <w:sz w:val="24"/>
                <w:highlight w:val="none"/>
              </w:rPr>
              <w:t>监理</w:t>
            </w:r>
            <w:r>
              <w:rPr>
                <w:rFonts w:hint="eastAsia" w:eastAsia="仿宋_GB2312"/>
                <w:bCs/>
                <w:color w:val="auto"/>
                <w:sz w:val="24"/>
                <w:highlight w:val="none"/>
              </w:rPr>
              <w:t>单位</w:t>
            </w:r>
            <w:r>
              <w:rPr>
                <w:rFonts w:eastAsia="仿宋_GB2312"/>
                <w:bCs/>
                <w:color w:val="auto"/>
                <w:sz w:val="24"/>
                <w:highlight w:val="none"/>
              </w:rPr>
              <w:t>意见：</w:t>
            </w:r>
          </w:p>
          <w:p>
            <w:pPr>
              <w:tabs>
                <w:tab w:val="left" w:pos="9720"/>
              </w:tabs>
              <w:spacing w:line="600" w:lineRule="exact"/>
              <w:rPr>
                <w:rFonts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ind w:firstLine="2040" w:firstLineChars="850"/>
              <w:rPr>
                <w:rFonts w:hint="eastAsia" w:eastAsia="仿宋_GB2312"/>
                <w:bCs/>
                <w:color w:val="auto"/>
                <w:sz w:val="24"/>
                <w:highlight w:val="none"/>
              </w:rPr>
            </w:pPr>
            <w:r>
              <w:rPr>
                <w:rFonts w:hint="eastAsia" w:eastAsia="仿宋_GB2312"/>
                <w:bCs/>
                <w:color w:val="auto"/>
                <w:sz w:val="24"/>
                <w:highlight w:val="none"/>
              </w:rPr>
              <w:t xml:space="preserve">（盖章）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总/专业监理工程师</w:t>
            </w:r>
            <w:r>
              <w:rPr>
                <w:rFonts w:hint="eastAsia" w:eastAsia="仿宋_GB2312"/>
                <w:bCs/>
                <w:color w:val="auto"/>
                <w:sz w:val="24"/>
                <w:highlight w:val="none"/>
              </w:rPr>
              <w:t>（签名）：</w:t>
            </w:r>
            <w:r>
              <w:rPr>
                <w:rFonts w:eastAsia="仿宋_GB2312"/>
                <w:bCs/>
                <w:color w:val="auto"/>
                <w:sz w:val="24"/>
                <w:highlight w:val="none"/>
              </w:rPr>
              <w:t xml:space="preserve">                 </w:t>
            </w:r>
          </w:p>
          <w:p>
            <w:pPr>
              <w:tabs>
                <w:tab w:val="left" w:pos="9720"/>
              </w:tabs>
              <w:spacing w:line="600" w:lineRule="exact"/>
              <w:jc w:val="right"/>
              <w:rPr>
                <w:rFonts w:eastAsia="仿宋_GB2312"/>
                <w:bCs/>
                <w:color w:val="auto"/>
                <w:sz w:val="24"/>
                <w:highlight w:val="none"/>
              </w:rPr>
            </w:pPr>
            <w:r>
              <w:rPr>
                <w:rFonts w:eastAsia="仿宋_GB2312"/>
                <w:bCs/>
                <w:color w:val="auto"/>
                <w:sz w:val="24"/>
                <w:highlight w:val="none"/>
              </w:rPr>
              <w:t>年      月     日</w:t>
            </w:r>
          </w:p>
        </w:tc>
        <w:tc>
          <w:tcPr>
            <w:tcW w:w="4547" w:type="dxa"/>
            <w:noWrap w:val="0"/>
            <w:vAlign w:val="top"/>
          </w:tcPr>
          <w:p>
            <w:pPr>
              <w:tabs>
                <w:tab w:val="left" w:pos="9720"/>
              </w:tabs>
              <w:spacing w:line="600" w:lineRule="exact"/>
              <w:rPr>
                <w:rFonts w:eastAsia="仿宋_GB2312"/>
                <w:bCs/>
                <w:color w:val="auto"/>
                <w:sz w:val="24"/>
                <w:highlight w:val="none"/>
              </w:rPr>
            </w:pPr>
            <w:r>
              <w:rPr>
                <w:rFonts w:eastAsia="仿宋_GB2312"/>
                <w:bCs/>
                <w:color w:val="auto"/>
                <w:sz w:val="24"/>
                <w:highlight w:val="none"/>
              </w:rPr>
              <w:t>建设单位意见：</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 xml:space="preserve"> </w:t>
            </w:r>
          </w:p>
          <w:p>
            <w:pPr>
              <w:tabs>
                <w:tab w:val="left" w:pos="9720"/>
              </w:tabs>
              <w:spacing w:line="600" w:lineRule="exact"/>
              <w:ind w:firstLine="1200" w:firstLineChars="500"/>
              <w:rPr>
                <w:rFonts w:hint="eastAsia" w:eastAsia="仿宋_GB2312"/>
                <w:bCs/>
                <w:color w:val="auto"/>
                <w:sz w:val="24"/>
                <w:highlight w:val="none"/>
              </w:rPr>
            </w:pPr>
            <w:r>
              <w:rPr>
                <w:rFonts w:hint="eastAsia" w:eastAsia="仿宋_GB2312"/>
                <w:bCs/>
                <w:color w:val="auto"/>
                <w:sz w:val="24"/>
                <w:highlight w:val="none"/>
              </w:rPr>
              <w:t>（盖章）</w:t>
            </w:r>
          </w:p>
          <w:p>
            <w:pPr>
              <w:tabs>
                <w:tab w:val="left" w:pos="9720"/>
              </w:tabs>
              <w:spacing w:line="600" w:lineRule="exact"/>
              <w:rPr>
                <w:rFonts w:eastAsia="仿宋_GB2312"/>
                <w:bCs/>
                <w:color w:val="auto"/>
                <w:sz w:val="24"/>
                <w:highlight w:val="none"/>
              </w:rPr>
            </w:pPr>
            <w:r>
              <w:rPr>
                <w:rFonts w:eastAsia="仿宋_GB2312"/>
                <w:bCs/>
                <w:color w:val="auto"/>
                <w:sz w:val="24"/>
                <w:highlight w:val="none"/>
              </w:rPr>
              <w:t>项目负责人</w:t>
            </w:r>
            <w:r>
              <w:rPr>
                <w:rFonts w:hint="eastAsia" w:eastAsia="仿宋_GB2312"/>
                <w:bCs/>
                <w:color w:val="auto"/>
                <w:sz w:val="24"/>
                <w:highlight w:val="none"/>
              </w:rPr>
              <w:t>（</w:t>
            </w:r>
            <w:r>
              <w:rPr>
                <w:rFonts w:eastAsia="仿宋_GB2312"/>
                <w:bCs/>
                <w:color w:val="auto"/>
                <w:sz w:val="24"/>
                <w:highlight w:val="none"/>
              </w:rPr>
              <w:t>签名</w:t>
            </w:r>
            <w:r>
              <w:rPr>
                <w:rFonts w:hint="eastAsia" w:eastAsia="仿宋_GB2312"/>
                <w:bCs/>
                <w:color w:val="auto"/>
                <w:sz w:val="24"/>
                <w:highlight w:val="none"/>
              </w:rPr>
              <w:t>）</w:t>
            </w:r>
            <w:r>
              <w:rPr>
                <w:rFonts w:eastAsia="仿宋_GB2312"/>
                <w:bCs/>
                <w:color w:val="auto"/>
                <w:sz w:val="24"/>
                <w:highlight w:val="none"/>
              </w:rPr>
              <w:t xml:space="preserve">：  </w:t>
            </w:r>
          </w:p>
          <w:p>
            <w:pPr>
              <w:tabs>
                <w:tab w:val="left" w:pos="9720"/>
              </w:tabs>
              <w:spacing w:line="600" w:lineRule="exact"/>
              <w:jc w:val="right"/>
              <w:rPr>
                <w:rFonts w:eastAsia="仿宋_GB2312"/>
                <w:bCs/>
                <w:color w:val="auto"/>
                <w:sz w:val="24"/>
                <w:highlight w:val="none"/>
              </w:rPr>
            </w:pPr>
            <w:r>
              <w:rPr>
                <w:rFonts w:eastAsia="仿宋_GB2312"/>
                <w:bCs/>
                <w:color w:val="auto"/>
                <w:sz w:val="24"/>
                <w:highlight w:val="none"/>
              </w:rPr>
              <w:t>年      月     日</w:t>
            </w:r>
          </w:p>
        </w:tc>
      </w:tr>
    </w:tbl>
    <w:p>
      <w:pPr>
        <w:tabs>
          <w:tab w:val="left" w:pos="9720"/>
        </w:tabs>
        <w:spacing w:line="600" w:lineRule="exact"/>
        <w:jc w:val="left"/>
        <w:rPr>
          <w:rFonts w:eastAsia="仿宋_GB2312"/>
          <w:bCs/>
          <w:color w:val="auto"/>
          <w:sz w:val="28"/>
          <w:szCs w:val="28"/>
          <w:highlight w:val="none"/>
        </w:rPr>
        <w:sectPr>
          <w:headerReference r:id="rId8" w:type="default"/>
          <w:footerReference r:id="rId9" w:type="default"/>
          <w:footerReference r:id="rId10" w:type="even"/>
          <w:pgSz w:w="11906" w:h="16838"/>
          <w:pgMar w:top="1440" w:right="1588" w:bottom="1440" w:left="1588" w:header="851" w:footer="992" w:gutter="0"/>
          <w:lnNumType w:countBy="0"/>
          <w:pgNumType w:fmt="decimal"/>
          <w:cols w:space="720" w:num="1"/>
          <w:docGrid w:type="lines" w:linePitch="312" w:charSpace="0"/>
        </w:sectPr>
      </w:pPr>
    </w:p>
    <w:p>
      <w:pPr>
        <w:tabs>
          <w:tab w:val="left" w:pos="9720"/>
        </w:tabs>
        <w:spacing w:line="600" w:lineRule="exact"/>
        <w:jc w:val="left"/>
        <w:rPr>
          <w:rFonts w:eastAsia="仿宋_GB2312"/>
          <w:bCs/>
          <w:color w:val="auto"/>
          <w:sz w:val="32"/>
          <w:szCs w:val="32"/>
          <w:highlight w:val="none"/>
        </w:rPr>
      </w:pPr>
      <w:r>
        <w:rPr>
          <w:rFonts w:eastAsia="仿宋_GB2312"/>
          <w:bCs/>
          <w:color w:val="auto"/>
          <w:sz w:val="28"/>
          <w:szCs w:val="28"/>
          <w:highlight w:val="none"/>
        </w:rPr>
        <w:t>附表</w:t>
      </w:r>
      <w:r>
        <w:rPr>
          <w:rFonts w:hint="eastAsia" w:eastAsia="仿宋_GB2312"/>
          <w:bCs/>
          <w:color w:val="auto"/>
          <w:sz w:val="28"/>
          <w:szCs w:val="28"/>
          <w:highlight w:val="none"/>
          <w:lang w:val="en-US" w:eastAsia="zh-CN"/>
        </w:rPr>
        <w:t>6</w:t>
      </w:r>
    </w:p>
    <w:p>
      <w:pPr>
        <w:tabs>
          <w:tab w:val="left" w:pos="9720"/>
        </w:tabs>
        <w:spacing w:line="600" w:lineRule="exact"/>
        <w:jc w:val="center"/>
        <w:rPr>
          <w:rFonts w:eastAsia="仿宋_GB2312"/>
          <w:bCs/>
          <w:color w:val="auto"/>
          <w:sz w:val="32"/>
          <w:szCs w:val="32"/>
          <w:highlight w:val="none"/>
        </w:rPr>
      </w:pPr>
      <w:r>
        <w:rPr>
          <w:rFonts w:hint="eastAsia" w:eastAsia="方正小标宋_GBK"/>
          <w:bCs/>
          <w:color w:val="auto"/>
          <w:sz w:val="36"/>
          <w:szCs w:val="36"/>
          <w:highlight w:val="none"/>
        </w:rPr>
        <w:t>工程量现场草签单</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工程名称：</w:t>
      </w:r>
    </w:p>
    <w:p>
      <w:pPr>
        <w:tabs>
          <w:tab w:val="left" w:pos="9720"/>
        </w:tabs>
        <w:spacing w:line="0" w:lineRule="atLeast"/>
        <w:ind w:firstLine="560" w:firstLineChars="200"/>
        <w:rPr>
          <w:rFonts w:hint="eastAsia" w:eastAsia="仿宋_GB2312"/>
          <w:bCs/>
          <w:color w:val="auto"/>
          <w:sz w:val="28"/>
          <w:szCs w:val="28"/>
          <w:highlight w:val="none"/>
        </w:rPr>
      </w:pPr>
      <w:r>
        <w:rPr>
          <w:rFonts w:eastAsia="仿宋_GB2312"/>
          <w:bCs/>
          <w:color w:val="auto"/>
          <w:sz w:val="28"/>
          <w:szCs w:val="28"/>
          <w:highlight w:val="none"/>
        </w:rPr>
        <w:t>编号：</w:t>
      </w:r>
    </w:p>
    <w:tbl>
      <w:tblPr>
        <w:tblStyle w:val="28"/>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2884"/>
        <w:gridCol w:w="4650"/>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33" w:type="pct"/>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工程部位</w:t>
            </w:r>
          </w:p>
        </w:tc>
        <w:tc>
          <w:tcPr>
            <w:tcW w:w="4366" w:type="pct"/>
            <w:gridSpan w:val="3"/>
            <w:noWrap w:val="0"/>
            <w:vAlign w:val="top"/>
          </w:tcPr>
          <w:p>
            <w:pPr>
              <w:tabs>
                <w:tab w:val="left" w:pos="9720"/>
              </w:tabs>
              <w:spacing w:line="600" w:lineRule="exact"/>
              <w:rPr>
                <w:rFonts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0" w:hRule="atLeast"/>
          <w:jc w:val="center"/>
        </w:trPr>
        <w:tc>
          <w:tcPr>
            <w:tcW w:w="633" w:type="pct"/>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签证内容</w:t>
            </w:r>
          </w:p>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和工程量</w:t>
            </w:r>
          </w:p>
        </w:tc>
        <w:tc>
          <w:tcPr>
            <w:tcW w:w="4366" w:type="pct"/>
            <w:gridSpan w:val="3"/>
            <w:noWrap w:val="0"/>
            <w:vAlign w:val="top"/>
          </w:tcPr>
          <w:p>
            <w:pPr>
              <w:tabs>
                <w:tab w:val="left" w:pos="9720"/>
              </w:tabs>
              <w:spacing w:line="600" w:lineRule="exact"/>
              <w:rPr>
                <w:rFonts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hint="eastAsia" w:eastAsia="仿宋_GB2312"/>
                <w:bCs/>
                <w:color w:val="auto"/>
                <w:sz w:val="24"/>
                <w:highlight w:val="none"/>
              </w:rPr>
            </w:pPr>
          </w:p>
          <w:p>
            <w:pPr>
              <w:tabs>
                <w:tab w:val="left" w:pos="9720"/>
              </w:tabs>
              <w:spacing w:line="600" w:lineRule="exact"/>
              <w:rPr>
                <w:rFonts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1667" w:type="pct"/>
            <w:gridSpan w:val="2"/>
            <w:noWrap w:val="0"/>
            <w:vAlign w:val="top"/>
          </w:tcPr>
          <w:p>
            <w:pPr>
              <w:tabs>
                <w:tab w:val="left" w:pos="9720"/>
              </w:tabs>
              <w:spacing w:line="600" w:lineRule="exact"/>
              <w:rPr>
                <w:rFonts w:hint="eastAsia" w:eastAsia="仿宋_GB2312"/>
                <w:bCs/>
                <w:color w:val="auto"/>
                <w:sz w:val="24"/>
                <w:highlight w:val="none"/>
              </w:rPr>
            </w:pPr>
            <w:r>
              <w:rPr>
                <w:rFonts w:hint="eastAsia" w:eastAsia="仿宋_GB2312"/>
                <w:bCs/>
                <w:color w:val="auto"/>
                <w:sz w:val="24"/>
                <w:highlight w:val="none"/>
              </w:rPr>
              <w:t xml:space="preserve">施工单位（盖章）： </w:t>
            </w:r>
          </w:p>
          <w:p>
            <w:pPr>
              <w:tabs>
                <w:tab w:val="left" w:pos="9720"/>
              </w:tabs>
              <w:spacing w:line="600" w:lineRule="exact"/>
              <w:ind w:firstLine="240" w:firstLineChars="100"/>
              <w:rPr>
                <w:rFonts w:hint="eastAsia" w:eastAsia="仿宋_GB2312"/>
                <w:bCs/>
                <w:color w:val="auto"/>
                <w:sz w:val="24"/>
                <w:highlight w:val="none"/>
              </w:rPr>
            </w:pPr>
            <w:r>
              <w:rPr>
                <w:rFonts w:hint="eastAsia" w:eastAsia="仿宋_GB2312"/>
                <w:bCs/>
                <w:color w:val="auto"/>
                <w:sz w:val="24"/>
                <w:highlight w:val="none"/>
              </w:rPr>
              <w:t xml:space="preserve">经办人（签名）： </w:t>
            </w:r>
          </w:p>
          <w:p>
            <w:pPr>
              <w:tabs>
                <w:tab w:val="left" w:pos="9720"/>
              </w:tabs>
              <w:spacing w:line="600" w:lineRule="exact"/>
              <w:ind w:firstLine="960" w:firstLineChars="400"/>
              <w:rPr>
                <w:rFonts w:hint="eastAsia" w:eastAsia="仿宋_GB2312"/>
                <w:bCs/>
                <w:color w:val="auto"/>
                <w:sz w:val="24"/>
                <w:highlight w:val="none"/>
              </w:rPr>
            </w:pPr>
            <w:r>
              <w:rPr>
                <w:rFonts w:hint="eastAsia" w:eastAsia="仿宋_GB2312"/>
                <w:bCs/>
                <w:color w:val="auto"/>
                <w:sz w:val="24"/>
                <w:highlight w:val="none"/>
              </w:rPr>
              <w:t>日    期：</w:t>
            </w:r>
          </w:p>
        </w:tc>
        <w:tc>
          <w:tcPr>
            <w:tcW w:w="1667" w:type="pct"/>
            <w:noWrap w:val="0"/>
            <w:vAlign w:val="top"/>
          </w:tcPr>
          <w:p>
            <w:pPr>
              <w:tabs>
                <w:tab w:val="left" w:pos="9720"/>
              </w:tabs>
              <w:spacing w:line="600" w:lineRule="exact"/>
              <w:rPr>
                <w:rFonts w:hint="eastAsia" w:eastAsia="仿宋_GB2312"/>
                <w:bCs/>
                <w:color w:val="auto"/>
                <w:sz w:val="24"/>
                <w:highlight w:val="none"/>
              </w:rPr>
            </w:pPr>
            <w:r>
              <w:rPr>
                <w:rFonts w:hint="eastAsia" w:eastAsia="仿宋_GB2312"/>
                <w:bCs/>
                <w:color w:val="auto"/>
                <w:sz w:val="24"/>
                <w:highlight w:val="none"/>
              </w:rPr>
              <w:t xml:space="preserve">监理单位（盖章）： </w:t>
            </w:r>
          </w:p>
          <w:p>
            <w:pPr>
              <w:tabs>
                <w:tab w:val="left" w:pos="9720"/>
              </w:tabs>
              <w:spacing w:line="600" w:lineRule="exact"/>
              <w:ind w:firstLine="240" w:firstLineChars="100"/>
              <w:rPr>
                <w:rFonts w:hint="eastAsia" w:eastAsia="仿宋_GB2312"/>
                <w:bCs/>
                <w:color w:val="auto"/>
                <w:sz w:val="24"/>
                <w:highlight w:val="none"/>
              </w:rPr>
            </w:pPr>
            <w:r>
              <w:rPr>
                <w:rFonts w:hint="eastAsia" w:eastAsia="仿宋_GB2312"/>
                <w:bCs/>
                <w:color w:val="auto"/>
                <w:sz w:val="24"/>
                <w:highlight w:val="none"/>
              </w:rPr>
              <w:t xml:space="preserve">经办人（签名）： </w:t>
            </w:r>
          </w:p>
          <w:p>
            <w:pPr>
              <w:tabs>
                <w:tab w:val="left" w:pos="9720"/>
              </w:tabs>
              <w:spacing w:line="600" w:lineRule="exact"/>
              <w:ind w:right="444" w:firstLine="960" w:firstLineChars="400"/>
              <w:rPr>
                <w:rFonts w:eastAsia="仿宋_GB2312"/>
                <w:bCs/>
                <w:color w:val="auto"/>
                <w:sz w:val="24"/>
                <w:highlight w:val="none"/>
              </w:rPr>
            </w:pPr>
            <w:r>
              <w:rPr>
                <w:rFonts w:hint="eastAsia" w:eastAsia="仿宋_GB2312"/>
                <w:bCs/>
                <w:color w:val="auto"/>
                <w:sz w:val="24"/>
                <w:highlight w:val="none"/>
              </w:rPr>
              <w:t xml:space="preserve">日    期： </w:t>
            </w:r>
          </w:p>
        </w:tc>
        <w:tc>
          <w:tcPr>
            <w:tcW w:w="1665" w:type="pct"/>
            <w:noWrap w:val="0"/>
            <w:vAlign w:val="top"/>
          </w:tcPr>
          <w:p>
            <w:pPr>
              <w:tabs>
                <w:tab w:val="left" w:pos="9720"/>
              </w:tabs>
              <w:spacing w:line="600" w:lineRule="exact"/>
              <w:rPr>
                <w:rFonts w:hint="eastAsia" w:eastAsia="仿宋_GB2312"/>
                <w:bCs/>
                <w:color w:val="auto"/>
                <w:sz w:val="24"/>
                <w:highlight w:val="none"/>
              </w:rPr>
            </w:pPr>
            <w:r>
              <w:rPr>
                <w:rFonts w:hint="eastAsia" w:eastAsia="仿宋_GB2312"/>
                <w:bCs/>
                <w:color w:val="auto"/>
                <w:sz w:val="24"/>
                <w:highlight w:val="none"/>
              </w:rPr>
              <w:t xml:space="preserve">建设单位（盖章）：                      </w:t>
            </w:r>
          </w:p>
          <w:p>
            <w:pPr>
              <w:tabs>
                <w:tab w:val="left" w:pos="9720"/>
              </w:tabs>
              <w:spacing w:line="600" w:lineRule="exact"/>
              <w:ind w:firstLine="240" w:firstLineChars="100"/>
              <w:rPr>
                <w:rFonts w:hint="eastAsia" w:eastAsia="仿宋_GB2312"/>
                <w:bCs/>
                <w:color w:val="auto"/>
                <w:sz w:val="24"/>
                <w:highlight w:val="none"/>
              </w:rPr>
            </w:pPr>
            <w:r>
              <w:rPr>
                <w:rFonts w:hint="eastAsia" w:eastAsia="仿宋_GB2312"/>
                <w:bCs/>
                <w:color w:val="auto"/>
                <w:sz w:val="24"/>
                <w:highlight w:val="none"/>
              </w:rPr>
              <w:t xml:space="preserve">经办人（签名）：                      </w:t>
            </w:r>
          </w:p>
          <w:p>
            <w:pPr>
              <w:tabs>
                <w:tab w:val="left" w:pos="9720"/>
              </w:tabs>
              <w:spacing w:line="600" w:lineRule="exact"/>
              <w:ind w:right="777" w:firstLine="960" w:firstLineChars="400"/>
              <w:rPr>
                <w:rFonts w:eastAsia="仿宋_GB2312"/>
                <w:bCs/>
                <w:color w:val="auto"/>
                <w:sz w:val="24"/>
                <w:highlight w:val="none"/>
              </w:rPr>
            </w:pPr>
            <w:r>
              <w:rPr>
                <w:rFonts w:hint="eastAsia" w:eastAsia="仿宋_GB2312"/>
                <w:bCs/>
                <w:color w:val="auto"/>
                <w:sz w:val="24"/>
                <w:highlight w:val="none"/>
              </w:rPr>
              <w:t xml:space="preserve">日    期：                      </w:t>
            </w:r>
          </w:p>
        </w:tc>
      </w:tr>
    </w:tbl>
    <w:p>
      <w:pPr>
        <w:tabs>
          <w:tab w:val="left" w:pos="9720"/>
        </w:tabs>
        <w:spacing w:line="0" w:lineRule="atLeast"/>
        <w:jc w:val="left"/>
        <w:rPr>
          <w:rFonts w:eastAsia="仿宋_GB2312"/>
          <w:bCs/>
          <w:color w:val="auto"/>
          <w:sz w:val="32"/>
          <w:szCs w:val="32"/>
          <w:highlight w:val="none"/>
        </w:rPr>
      </w:pPr>
      <w:r>
        <w:rPr>
          <w:rFonts w:ascii="宋体" w:hAnsi="宋体"/>
          <w:bCs/>
          <w:color w:val="auto"/>
          <w:szCs w:val="21"/>
          <w:highlight w:val="none"/>
        </w:rPr>
        <w:br w:type="page"/>
      </w:r>
      <w:r>
        <w:rPr>
          <w:rFonts w:eastAsia="仿宋_GB2312"/>
          <w:bCs/>
          <w:color w:val="auto"/>
          <w:sz w:val="28"/>
          <w:szCs w:val="28"/>
          <w:highlight w:val="none"/>
        </w:rPr>
        <w:t>附表</w:t>
      </w:r>
      <w:r>
        <w:rPr>
          <w:rFonts w:hint="eastAsia" w:eastAsia="仿宋_GB2312"/>
          <w:bCs/>
          <w:color w:val="auto"/>
          <w:sz w:val="28"/>
          <w:szCs w:val="28"/>
          <w:highlight w:val="none"/>
          <w:lang w:val="en-US" w:eastAsia="zh-CN"/>
        </w:rPr>
        <w:t>7</w:t>
      </w:r>
    </w:p>
    <w:p>
      <w:pPr>
        <w:tabs>
          <w:tab w:val="left" w:pos="9720"/>
        </w:tabs>
        <w:spacing w:line="0" w:lineRule="atLeast"/>
        <w:jc w:val="center"/>
        <w:rPr>
          <w:rFonts w:eastAsia="仿宋_GB2312"/>
          <w:bCs/>
          <w:color w:val="auto"/>
          <w:sz w:val="32"/>
          <w:szCs w:val="32"/>
          <w:highlight w:val="none"/>
        </w:rPr>
      </w:pPr>
      <w:r>
        <w:rPr>
          <w:rFonts w:eastAsia="方正小标宋_GBK"/>
          <w:bCs/>
          <w:color w:val="auto"/>
          <w:sz w:val="36"/>
          <w:szCs w:val="36"/>
          <w:highlight w:val="none"/>
        </w:rPr>
        <w:t>工程签证台账</w:t>
      </w:r>
    </w:p>
    <w:p>
      <w:pPr>
        <w:tabs>
          <w:tab w:val="left" w:pos="9720"/>
        </w:tabs>
        <w:spacing w:line="0" w:lineRule="atLeast"/>
        <w:rPr>
          <w:rFonts w:hint="eastAsia" w:eastAsia="仿宋_GB2312"/>
          <w:bCs/>
          <w:color w:val="auto"/>
          <w:sz w:val="28"/>
          <w:szCs w:val="28"/>
          <w:highlight w:val="none"/>
        </w:rPr>
      </w:pPr>
      <w:r>
        <w:rPr>
          <w:rFonts w:eastAsia="仿宋_GB2312"/>
          <w:bCs/>
          <w:color w:val="auto"/>
          <w:sz w:val="28"/>
          <w:szCs w:val="28"/>
          <w:highlight w:val="none"/>
        </w:rPr>
        <w:t xml:space="preserve">工程名称： </w:t>
      </w:r>
    </w:p>
    <w:p>
      <w:pPr>
        <w:tabs>
          <w:tab w:val="left" w:pos="9720"/>
        </w:tabs>
        <w:spacing w:line="0" w:lineRule="atLeast"/>
        <w:rPr>
          <w:rFonts w:hint="eastAsia" w:eastAsia="仿宋_GB2312"/>
          <w:bCs/>
          <w:color w:val="auto"/>
          <w:sz w:val="24"/>
          <w:highlight w:val="none"/>
        </w:rPr>
      </w:pPr>
      <w:r>
        <w:rPr>
          <w:rFonts w:hint="eastAsia" w:eastAsia="仿宋_GB2312"/>
          <w:bCs/>
          <w:color w:val="auto"/>
          <w:sz w:val="28"/>
          <w:szCs w:val="28"/>
          <w:highlight w:val="none"/>
        </w:rPr>
        <w:t>汇编日期</w:t>
      </w:r>
      <w:r>
        <w:rPr>
          <w:rFonts w:eastAsia="仿宋_GB2312"/>
          <w:bCs/>
          <w:color w:val="auto"/>
          <w:sz w:val="28"/>
          <w:szCs w:val="28"/>
          <w:highlight w:val="none"/>
        </w:rPr>
        <w:t>：</w:t>
      </w:r>
      <w:r>
        <w:rPr>
          <w:rFonts w:hint="eastAsia" w:eastAsia="仿宋_GB2312"/>
          <w:bCs/>
          <w:color w:val="auto"/>
          <w:sz w:val="28"/>
          <w:szCs w:val="28"/>
          <w:highlight w:val="none"/>
        </w:rPr>
        <w:t xml:space="preserve">          年     月    日</w:t>
      </w:r>
      <w:r>
        <w:rPr>
          <w:rFonts w:eastAsia="仿宋_GB2312"/>
          <w:bCs/>
          <w:color w:val="auto"/>
          <w:sz w:val="24"/>
          <w:highlight w:val="none"/>
        </w:rPr>
        <w:t xml:space="preserve"> </w:t>
      </w:r>
    </w:p>
    <w:tbl>
      <w:tblPr>
        <w:tblStyle w:val="28"/>
        <w:tblW w:w="13878" w:type="dxa"/>
        <w:tblInd w:w="108" w:type="dxa"/>
        <w:tblLayout w:type="autofit"/>
        <w:tblCellMar>
          <w:top w:w="0" w:type="dxa"/>
          <w:left w:w="108" w:type="dxa"/>
          <w:bottom w:w="0" w:type="dxa"/>
          <w:right w:w="108" w:type="dxa"/>
        </w:tblCellMar>
      </w:tblPr>
      <w:tblGrid>
        <w:gridCol w:w="18"/>
        <w:gridCol w:w="750"/>
        <w:gridCol w:w="897"/>
        <w:gridCol w:w="766"/>
        <w:gridCol w:w="1182"/>
        <w:gridCol w:w="2784"/>
        <w:gridCol w:w="1279"/>
        <w:gridCol w:w="1138"/>
        <w:gridCol w:w="397"/>
        <w:gridCol w:w="768"/>
        <w:gridCol w:w="1535"/>
        <w:gridCol w:w="2364"/>
      </w:tblGrid>
      <w:tr>
        <w:tblPrEx>
          <w:tblCellMar>
            <w:top w:w="0" w:type="dxa"/>
            <w:left w:w="108" w:type="dxa"/>
            <w:bottom w:w="0" w:type="dxa"/>
            <w:right w:w="108" w:type="dxa"/>
          </w:tblCellMar>
        </w:tblPrEx>
        <w:trPr>
          <w:trHeight w:val="334" w:hRule="atLeast"/>
        </w:trPr>
        <w:tc>
          <w:tcPr>
            <w:tcW w:w="2431"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立项文号</w:t>
            </w:r>
          </w:p>
        </w:tc>
        <w:tc>
          <w:tcPr>
            <w:tcW w:w="396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c>
          <w:tcPr>
            <w:tcW w:w="2814"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立项中的建安费（元）</w:t>
            </w:r>
          </w:p>
        </w:tc>
        <w:tc>
          <w:tcPr>
            <w:tcW w:w="4667"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r>
      <w:tr>
        <w:tblPrEx>
          <w:tblCellMar>
            <w:top w:w="0" w:type="dxa"/>
            <w:left w:w="108" w:type="dxa"/>
            <w:bottom w:w="0" w:type="dxa"/>
            <w:right w:w="108" w:type="dxa"/>
          </w:tblCellMar>
        </w:tblPrEx>
        <w:trPr>
          <w:trHeight w:val="334" w:hRule="atLeast"/>
        </w:trPr>
        <w:tc>
          <w:tcPr>
            <w:tcW w:w="2431" w:type="dxa"/>
            <w:gridSpan w:val="4"/>
            <w:tcBorders>
              <w:top w:val="single" w:color="auto" w:sz="4" w:space="0"/>
              <w:left w:val="single" w:color="auto" w:sz="4" w:space="0"/>
              <w:bottom w:val="single" w:color="auto" w:sz="4" w:space="0"/>
              <w:right w:val="nil"/>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施工/EPC合同价（元）</w:t>
            </w:r>
          </w:p>
        </w:tc>
        <w:tc>
          <w:tcPr>
            <w:tcW w:w="3966"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c>
          <w:tcPr>
            <w:tcW w:w="2814"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暂列金额（元）</w:t>
            </w:r>
          </w:p>
        </w:tc>
        <w:tc>
          <w:tcPr>
            <w:tcW w:w="4667"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r>
      <w:tr>
        <w:tblPrEx>
          <w:tblCellMar>
            <w:top w:w="0" w:type="dxa"/>
            <w:left w:w="108" w:type="dxa"/>
            <w:bottom w:w="0" w:type="dxa"/>
            <w:right w:w="108" w:type="dxa"/>
          </w:tblCellMar>
        </w:tblPrEx>
        <w:trPr>
          <w:trHeight w:val="334" w:hRule="atLeast"/>
        </w:trPr>
        <w:tc>
          <w:tcPr>
            <w:tcW w:w="2431" w:type="dxa"/>
            <w:gridSpan w:val="4"/>
            <w:tcBorders>
              <w:top w:val="single" w:color="auto" w:sz="4" w:space="0"/>
              <w:left w:val="single" w:color="auto" w:sz="4" w:space="0"/>
              <w:bottom w:val="single" w:color="auto" w:sz="4" w:space="0"/>
              <w:right w:val="nil"/>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工程签证合计数量(份)</w:t>
            </w:r>
          </w:p>
        </w:tc>
        <w:tc>
          <w:tcPr>
            <w:tcW w:w="3966" w:type="dxa"/>
            <w:gridSpan w:val="2"/>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c>
          <w:tcPr>
            <w:tcW w:w="2814"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工程签证合计金额（元）</w:t>
            </w:r>
          </w:p>
        </w:tc>
        <w:tc>
          <w:tcPr>
            <w:tcW w:w="4667" w:type="dxa"/>
            <w:gridSpan w:val="3"/>
            <w:tcBorders>
              <w:top w:val="single" w:color="auto" w:sz="4" w:space="0"/>
              <w:left w:val="nil"/>
              <w:bottom w:val="single" w:color="auto" w:sz="4" w:space="0"/>
              <w:right w:val="single" w:color="000000" w:sz="4" w:space="0"/>
            </w:tcBorders>
            <w:noWrap w:val="0"/>
            <w:vAlign w:val="center"/>
          </w:tcPr>
          <w:p>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774" w:hRule="atLeast"/>
        </w:trPr>
        <w:tc>
          <w:tcPr>
            <w:tcW w:w="750"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序号</w:t>
            </w:r>
          </w:p>
        </w:tc>
        <w:tc>
          <w:tcPr>
            <w:tcW w:w="897"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编号</w:t>
            </w:r>
          </w:p>
        </w:tc>
        <w:tc>
          <w:tcPr>
            <w:tcW w:w="1948" w:type="dxa"/>
            <w:gridSpan w:val="2"/>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签证内容</w:t>
            </w:r>
          </w:p>
        </w:tc>
        <w:tc>
          <w:tcPr>
            <w:tcW w:w="2784"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签证原因</w:t>
            </w:r>
          </w:p>
        </w:tc>
        <w:tc>
          <w:tcPr>
            <w:tcW w:w="1279" w:type="dxa"/>
            <w:noWrap w:val="0"/>
            <w:vAlign w:val="center"/>
          </w:tcPr>
          <w:p>
            <w:pPr>
              <w:tabs>
                <w:tab w:val="left" w:pos="9720"/>
              </w:tabs>
              <w:spacing w:line="600" w:lineRule="exact"/>
              <w:jc w:val="center"/>
              <w:rPr>
                <w:rFonts w:eastAsia="仿宋_GB2312"/>
                <w:bCs/>
                <w:color w:val="auto"/>
                <w:sz w:val="24"/>
                <w:highlight w:val="none"/>
              </w:rPr>
            </w:pPr>
            <w:r>
              <w:rPr>
                <w:rFonts w:eastAsia="仿宋_GB2312"/>
                <w:bCs/>
                <w:color w:val="auto"/>
                <w:sz w:val="24"/>
                <w:highlight w:val="none"/>
              </w:rPr>
              <w:t>签证金额</w:t>
            </w:r>
          </w:p>
        </w:tc>
        <w:tc>
          <w:tcPr>
            <w:tcW w:w="1138" w:type="dxa"/>
            <w:noWrap w:val="0"/>
            <w:vAlign w:val="center"/>
          </w:tcPr>
          <w:p>
            <w:pPr>
              <w:tabs>
                <w:tab w:val="left" w:pos="9720"/>
              </w:tabs>
              <w:spacing w:line="600" w:lineRule="exact"/>
              <w:jc w:val="center"/>
              <w:rPr>
                <w:rFonts w:hint="eastAsia" w:eastAsia="仿宋_GB2312"/>
                <w:bCs/>
                <w:color w:val="auto"/>
                <w:sz w:val="24"/>
                <w:highlight w:val="none"/>
              </w:rPr>
            </w:pPr>
            <w:r>
              <w:rPr>
                <w:rFonts w:hint="eastAsia" w:eastAsia="仿宋_GB2312"/>
                <w:bCs/>
                <w:color w:val="auto"/>
                <w:sz w:val="24"/>
                <w:highlight w:val="none"/>
              </w:rPr>
              <w:t>发生日期</w:t>
            </w:r>
          </w:p>
        </w:tc>
        <w:tc>
          <w:tcPr>
            <w:tcW w:w="1165" w:type="dxa"/>
            <w:gridSpan w:val="2"/>
            <w:noWrap w:val="0"/>
            <w:vAlign w:val="center"/>
          </w:tcPr>
          <w:p>
            <w:pPr>
              <w:tabs>
                <w:tab w:val="left" w:pos="9720"/>
              </w:tabs>
              <w:spacing w:line="600" w:lineRule="exact"/>
              <w:jc w:val="center"/>
              <w:rPr>
                <w:rFonts w:eastAsia="仿宋_GB2312"/>
                <w:bCs/>
                <w:color w:val="auto"/>
                <w:sz w:val="24"/>
                <w:highlight w:val="none"/>
              </w:rPr>
            </w:pPr>
            <w:r>
              <w:rPr>
                <w:rFonts w:hint="eastAsia" w:eastAsia="仿宋_GB2312"/>
                <w:bCs/>
                <w:color w:val="auto"/>
                <w:sz w:val="24"/>
                <w:highlight w:val="none"/>
              </w:rPr>
              <w:t>审批情况</w:t>
            </w:r>
          </w:p>
        </w:tc>
        <w:tc>
          <w:tcPr>
            <w:tcW w:w="1535" w:type="dxa"/>
            <w:noWrap w:val="0"/>
            <w:vAlign w:val="center"/>
          </w:tcPr>
          <w:p>
            <w:pPr>
              <w:tabs>
                <w:tab w:val="left" w:pos="9720"/>
              </w:tabs>
              <w:spacing w:line="600" w:lineRule="exact"/>
              <w:jc w:val="center"/>
              <w:rPr>
                <w:rFonts w:eastAsia="仿宋_GB2312"/>
                <w:bCs/>
                <w:color w:val="auto"/>
                <w:sz w:val="24"/>
                <w:highlight w:val="none"/>
              </w:rPr>
            </w:pPr>
            <w:r>
              <w:rPr>
                <w:rFonts w:hint="eastAsia" w:eastAsia="仿宋_GB2312"/>
                <w:bCs/>
                <w:color w:val="auto"/>
                <w:sz w:val="24"/>
                <w:highlight w:val="none"/>
              </w:rPr>
              <w:t>经办人</w:t>
            </w:r>
          </w:p>
        </w:tc>
        <w:tc>
          <w:tcPr>
            <w:tcW w:w="2364" w:type="dxa"/>
            <w:noWrap w:val="0"/>
            <w:vAlign w:val="center"/>
          </w:tcPr>
          <w:p>
            <w:pPr>
              <w:tabs>
                <w:tab w:val="left" w:pos="9720"/>
              </w:tabs>
              <w:spacing w:line="600" w:lineRule="exact"/>
              <w:jc w:val="center"/>
              <w:rPr>
                <w:rFonts w:hint="eastAsia" w:eastAsia="仿宋_GB2312"/>
                <w:bCs/>
                <w:color w:val="auto"/>
                <w:sz w:val="24"/>
                <w:highlight w:val="none"/>
              </w:rPr>
            </w:pPr>
            <w:r>
              <w:rPr>
                <w:rFonts w:hint="eastAsia" w:eastAsia="仿宋_GB2312"/>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691" w:hRule="atLeast"/>
        </w:trPr>
        <w:tc>
          <w:tcPr>
            <w:tcW w:w="750" w:type="dxa"/>
            <w:noWrap w:val="0"/>
            <w:vAlign w:val="center"/>
          </w:tcPr>
          <w:p>
            <w:pPr>
              <w:tabs>
                <w:tab w:val="left" w:pos="9720"/>
              </w:tabs>
              <w:spacing w:line="0" w:lineRule="atLeast"/>
              <w:jc w:val="center"/>
              <w:rPr>
                <w:rFonts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lang w:eastAsia="zh-CN"/>
              </w:rPr>
            </w:pPr>
          </w:p>
        </w:tc>
        <w:tc>
          <w:tcPr>
            <w:tcW w:w="2784" w:type="dxa"/>
            <w:noWrap w:val="0"/>
            <w:vAlign w:val="center"/>
          </w:tcPr>
          <w:p>
            <w:pPr>
              <w:tabs>
                <w:tab w:val="left" w:pos="9720"/>
              </w:tabs>
              <w:spacing w:line="0" w:lineRule="atLeast"/>
              <w:rPr>
                <w:rFonts w:eastAsia="仿宋_GB2312"/>
                <w:bCs/>
                <w:color w:val="auto"/>
                <w:sz w:val="24"/>
                <w:highlight w:val="none"/>
              </w:rPr>
            </w:pPr>
          </w:p>
        </w:tc>
        <w:tc>
          <w:tcPr>
            <w:tcW w:w="1279" w:type="dxa"/>
            <w:noWrap w:val="0"/>
            <w:vAlign w:val="center"/>
          </w:tcPr>
          <w:p>
            <w:pPr>
              <w:tabs>
                <w:tab w:val="left" w:pos="9720"/>
              </w:tabs>
              <w:spacing w:line="0" w:lineRule="atLeast"/>
              <w:jc w:val="center"/>
              <w:rPr>
                <w:rFonts w:hint="default" w:eastAsia="仿宋_GB2312"/>
                <w:bCs/>
                <w:color w:val="auto"/>
                <w:sz w:val="24"/>
                <w:highlight w:val="none"/>
                <w:lang w:val="en-US" w:eastAsia="zh-CN"/>
              </w:rPr>
            </w:pPr>
          </w:p>
        </w:tc>
        <w:tc>
          <w:tcPr>
            <w:tcW w:w="1138" w:type="dxa"/>
            <w:noWrap w:val="0"/>
            <w:vAlign w:val="center"/>
          </w:tcPr>
          <w:p>
            <w:pPr>
              <w:tabs>
                <w:tab w:val="left" w:pos="9720"/>
              </w:tabs>
              <w:spacing w:line="0" w:lineRule="atLeast"/>
              <w:jc w:val="center"/>
              <w:rPr>
                <w:rFonts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hint="eastAsia" w:eastAsia="仿宋_GB2312"/>
                <w:bCs/>
                <w:color w:val="auto"/>
                <w:sz w:val="24"/>
                <w:highlight w:val="none"/>
              </w:rPr>
            </w:pPr>
          </w:p>
        </w:tc>
        <w:tc>
          <w:tcPr>
            <w:tcW w:w="1535" w:type="dxa"/>
            <w:noWrap w:val="0"/>
            <w:vAlign w:val="center"/>
          </w:tcPr>
          <w:p>
            <w:pPr>
              <w:tabs>
                <w:tab w:val="left" w:pos="9720"/>
              </w:tabs>
              <w:spacing w:line="0" w:lineRule="atLeast"/>
              <w:jc w:val="center"/>
              <w:rPr>
                <w:rFonts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691" w:hRule="atLeast"/>
        </w:trPr>
        <w:tc>
          <w:tcPr>
            <w:tcW w:w="750" w:type="dxa"/>
            <w:noWrap w:val="0"/>
            <w:vAlign w:val="center"/>
          </w:tcPr>
          <w:p>
            <w:pPr>
              <w:tabs>
                <w:tab w:val="left" w:pos="9720"/>
              </w:tabs>
              <w:spacing w:line="0" w:lineRule="atLeast"/>
              <w:jc w:val="center"/>
              <w:rPr>
                <w:rFonts w:hint="eastAsia"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rPr>
            </w:pPr>
          </w:p>
        </w:tc>
        <w:tc>
          <w:tcPr>
            <w:tcW w:w="2784" w:type="dxa"/>
            <w:noWrap w:val="0"/>
            <w:vAlign w:val="center"/>
          </w:tcPr>
          <w:p>
            <w:pPr>
              <w:tabs>
                <w:tab w:val="left" w:pos="9720"/>
              </w:tabs>
              <w:spacing w:line="0" w:lineRule="atLeast"/>
              <w:rPr>
                <w:rFonts w:hint="eastAsia" w:eastAsia="仿宋_GB2312"/>
                <w:bCs/>
                <w:color w:val="auto"/>
                <w:sz w:val="24"/>
                <w:highlight w:val="none"/>
              </w:rPr>
            </w:pPr>
          </w:p>
        </w:tc>
        <w:tc>
          <w:tcPr>
            <w:tcW w:w="1279" w:type="dxa"/>
            <w:noWrap w:val="0"/>
            <w:vAlign w:val="center"/>
          </w:tcPr>
          <w:p>
            <w:pPr>
              <w:tabs>
                <w:tab w:val="left" w:pos="9720"/>
              </w:tabs>
              <w:spacing w:line="0" w:lineRule="atLeast"/>
              <w:jc w:val="center"/>
              <w:rPr>
                <w:rFonts w:hint="eastAsia" w:eastAsia="仿宋_GB2312"/>
                <w:bCs/>
                <w:color w:val="auto"/>
                <w:sz w:val="24"/>
                <w:highlight w:val="none"/>
              </w:rPr>
            </w:pPr>
          </w:p>
        </w:tc>
        <w:tc>
          <w:tcPr>
            <w:tcW w:w="1138" w:type="dxa"/>
            <w:noWrap w:val="0"/>
            <w:vAlign w:val="center"/>
          </w:tcPr>
          <w:p>
            <w:pPr>
              <w:tabs>
                <w:tab w:val="left" w:pos="9720"/>
              </w:tabs>
              <w:spacing w:line="0" w:lineRule="atLeast"/>
              <w:jc w:val="center"/>
              <w:rPr>
                <w:rFonts w:hint="eastAsia"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eastAsia="仿宋_GB2312"/>
                <w:bCs/>
                <w:color w:val="auto"/>
                <w:sz w:val="24"/>
                <w:highlight w:val="none"/>
              </w:rPr>
            </w:pPr>
          </w:p>
        </w:tc>
        <w:tc>
          <w:tcPr>
            <w:tcW w:w="1535" w:type="dxa"/>
            <w:noWrap w:val="0"/>
            <w:vAlign w:val="center"/>
          </w:tcPr>
          <w:p>
            <w:pPr>
              <w:tabs>
                <w:tab w:val="left" w:pos="9720"/>
              </w:tabs>
              <w:spacing w:line="0" w:lineRule="atLeast"/>
              <w:jc w:val="center"/>
              <w:rPr>
                <w:rFonts w:hint="eastAsia"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691" w:hRule="atLeast"/>
        </w:trPr>
        <w:tc>
          <w:tcPr>
            <w:tcW w:w="750" w:type="dxa"/>
            <w:noWrap w:val="0"/>
            <w:vAlign w:val="center"/>
          </w:tcPr>
          <w:p>
            <w:pPr>
              <w:tabs>
                <w:tab w:val="left" w:pos="9720"/>
              </w:tabs>
              <w:spacing w:line="0" w:lineRule="atLeast"/>
              <w:jc w:val="center"/>
              <w:rPr>
                <w:rFonts w:hint="eastAsia"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rPr>
            </w:pPr>
          </w:p>
        </w:tc>
        <w:tc>
          <w:tcPr>
            <w:tcW w:w="2784" w:type="dxa"/>
            <w:noWrap w:val="0"/>
            <w:vAlign w:val="center"/>
          </w:tcPr>
          <w:p>
            <w:pPr>
              <w:tabs>
                <w:tab w:val="left" w:pos="9720"/>
              </w:tabs>
              <w:spacing w:line="0" w:lineRule="atLeast"/>
              <w:rPr>
                <w:rFonts w:hint="eastAsia" w:eastAsia="仿宋_GB2312"/>
                <w:bCs/>
                <w:color w:val="auto"/>
                <w:sz w:val="24"/>
                <w:highlight w:val="none"/>
              </w:rPr>
            </w:pPr>
          </w:p>
        </w:tc>
        <w:tc>
          <w:tcPr>
            <w:tcW w:w="1279" w:type="dxa"/>
            <w:noWrap w:val="0"/>
            <w:vAlign w:val="center"/>
          </w:tcPr>
          <w:p>
            <w:pPr>
              <w:tabs>
                <w:tab w:val="left" w:pos="9720"/>
              </w:tabs>
              <w:spacing w:line="0" w:lineRule="atLeast"/>
              <w:jc w:val="center"/>
              <w:rPr>
                <w:rFonts w:hint="eastAsia" w:eastAsia="仿宋_GB2312"/>
                <w:bCs/>
                <w:color w:val="auto"/>
                <w:sz w:val="24"/>
                <w:highlight w:val="none"/>
              </w:rPr>
            </w:pPr>
          </w:p>
        </w:tc>
        <w:tc>
          <w:tcPr>
            <w:tcW w:w="1138" w:type="dxa"/>
            <w:noWrap w:val="0"/>
            <w:vAlign w:val="center"/>
          </w:tcPr>
          <w:p>
            <w:pPr>
              <w:tabs>
                <w:tab w:val="left" w:pos="9720"/>
              </w:tabs>
              <w:spacing w:line="0" w:lineRule="atLeast"/>
              <w:jc w:val="center"/>
              <w:rPr>
                <w:rFonts w:hint="eastAsia"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eastAsia="仿宋_GB2312"/>
                <w:bCs/>
                <w:color w:val="auto"/>
                <w:sz w:val="24"/>
                <w:highlight w:val="none"/>
              </w:rPr>
            </w:pPr>
          </w:p>
        </w:tc>
        <w:tc>
          <w:tcPr>
            <w:tcW w:w="1535" w:type="dxa"/>
            <w:noWrap w:val="0"/>
            <w:vAlign w:val="center"/>
          </w:tcPr>
          <w:p>
            <w:pPr>
              <w:tabs>
                <w:tab w:val="left" w:pos="9720"/>
              </w:tabs>
              <w:spacing w:line="0" w:lineRule="atLeast"/>
              <w:jc w:val="center"/>
              <w:rPr>
                <w:rFonts w:hint="eastAsia"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691" w:hRule="atLeast"/>
        </w:trPr>
        <w:tc>
          <w:tcPr>
            <w:tcW w:w="750" w:type="dxa"/>
            <w:noWrap w:val="0"/>
            <w:vAlign w:val="center"/>
          </w:tcPr>
          <w:p>
            <w:pPr>
              <w:tabs>
                <w:tab w:val="left" w:pos="9720"/>
              </w:tabs>
              <w:spacing w:line="0" w:lineRule="atLeast"/>
              <w:jc w:val="center"/>
              <w:rPr>
                <w:rFonts w:hint="eastAsia"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rPr>
            </w:pPr>
          </w:p>
        </w:tc>
        <w:tc>
          <w:tcPr>
            <w:tcW w:w="2784" w:type="dxa"/>
            <w:noWrap w:val="0"/>
            <w:vAlign w:val="center"/>
          </w:tcPr>
          <w:p>
            <w:pPr>
              <w:tabs>
                <w:tab w:val="left" w:pos="9720"/>
              </w:tabs>
              <w:spacing w:line="0" w:lineRule="atLeast"/>
              <w:rPr>
                <w:rFonts w:hint="eastAsia" w:eastAsia="仿宋_GB2312"/>
                <w:bCs/>
                <w:color w:val="auto"/>
                <w:sz w:val="24"/>
                <w:highlight w:val="none"/>
              </w:rPr>
            </w:pPr>
          </w:p>
        </w:tc>
        <w:tc>
          <w:tcPr>
            <w:tcW w:w="1279" w:type="dxa"/>
            <w:noWrap w:val="0"/>
            <w:vAlign w:val="center"/>
          </w:tcPr>
          <w:p>
            <w:pPr>
              <w:tabs>
                <w:tab w:val="left" w:pos="9720"/>
              </w:tabs>
              <w:spacing w:line="0" w:lineRule="atLeast"/>
              <w:jc w:val="center"/>
              <w:rPr>
                <w:rFonts w:hint="eastAsia" w:eastAsia="仿宋_GB2312"/>
                <w:bCs/>
                <w:color w:val="auto"/>
                <w:sz w:val="24"/>
                <w:highlight w:val="none"/>
              </w:rPr>
            </w:pPr>
          </w:p>
        </w:tc>
        <w:tc>
          <w:tcPr>
            <w:tcW w:w="1138" w:type="dxa"/>
            <w:noWrap w:val="0"/>
            <w:vAlign w:val="center"/>
          </w:tcPr>
          <w:p>
            <w:pPr>
              <w:tabs>
                <w:tab w:val="left" w:pos="9720"/>
              </w:tabs>
              <w:spacing w:line="0" w:lineRule="atLeast"/>
              <w:jc w:val="center"/>
              <w:rPr>
                <w:rFonts w:hint="eastAsia"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eastAsia="仿宋_GB2312"/>
                <w:bCs/>
                <w:color w:val="auto"/>
                <w:sz w:val="24"/>
                <w:highlight w:val="none"/>
              </w:rPr>
            </w:pPr>
          </w:p>
        </w:tc>
        <w:tc>
          <w:tcPr>
            <w:tcW w:w="1535" w:type="dxa"/>
            <w:noWrap w:val="0"/>
            <w:vAlign w:val="center"/>
          </w:tcPr>
          <w:p>
            <w:pPr>
              <w:tabs>
                <w:tab w:val="left" w:pos="9720"/>
              </w:tabs>
              <w:spacing w:line="0" w:lineRule="atLeast"/>
              <w:jc w:val="center"/>
              <w:rPr>
                <w:rFonts w:hint="eastAsia"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8" w:type="dxa"/>
          <w:trHeight w:val="701" w:hRule="atLeast"/>
        </w:trPr>
        <w:tc>
          <w:tcPr>
            <w:tcW w:w="750" w:type="dxa"/>
            <w:noWrap w:val="0"/>
            <w:vAlign w:val="center"/>
          </w:tcPr>
          <w:p>
            <w:pPr>
              <w:tabs>
                <w:tab w:val="left" w:pos="9720"/>
              </w:tabs>
              <w:spacing w:line="0" w:lineRule="atLeast"/>
              <w:jc w:val="center"/>
              <w:rPr>
                <w:rFonts w:hint="eastAsia" w:eastAsia="仿宋_GB2312"/>
                <w:bCs/>
                <w:color w:val="auto"/>
                <w:sz w:val="24"/>
                <w:highlight w:val="none"/>
              </w:rPr>
            </w:pPr>
          </w:p>
        </w:tc>
        <w:tc>
          <w:tcPr>
            <w:tcW w:w="897" w:type="dxa"/>
            <w:noWrap w:val="0"/>
            <w:vAlign w:val="center"/>
          </w:tcPr>
          <w:p>
            <w:pPr>
              <w:tabs>
                <w:tab w:val="left" w:pos="9720"/>
              </w:tabs>
              <w:spacing w:line="0" w:lineRule="atLeast"/>
              <w:jc w:val="center"/>
              <w:rPr>
                <w:rFonts w:hint="eastAsia" w:eastAsia="仿宋_GB2312"/>
                <w:bCs/>
                <w:color w:val="auto"/>
                <w:sz w:val="24"/>
                <w:highlight w:val="none"/>
              </w:rPr>
            </w:pPr>
          </w:p>
        </w:tc>
        <w:tc>
          <w:tcPr>
            <w:tcW w:w="1948" w:type="dxa"/>
            <w:gridSpan w:val="2"/>
            <w:noWrap w:val="0"/>
            <w:vAlign w:val="center"/>
          </w:tcPr>
          <w:p>
            <w:pPr>
              <w:tabs>
                <w:tab w:val="left" w:pos="9720"/>
              </w:tabs>
              <w:spacing w:line="0" w:lineRule="atLeast"/>
              <w:rPr>
                <w:rFonts w:hint="eastAsia" w:eastAsia="仿宋_GB2312"/>
                <w:bCs/>
                <w:color w:val="auto"/>
                <w:sz w:val="24"/>
                <w:highlight w:val="none"/>
              </w:rPr>
            </w:pPr>
          </w:p>
        </w:tc>
        <w:tc>
          <w:tcPr>
            <w:tcW w:w="2784" w:type="dxa"/>
            <w:noWrap w:val="0"/>
            <w:vAlign w:val="center"/>
          </w:tcPr>
          <w:p>
            <w:pPr>
              <w:tabs>
                <w:tab w:val="left" w:pos="9720"/>
              </w:tabs>
              <w:spacing w:line="0" w:lineRule="atLeast"/>
              <w:rPr>
                <w:rFonts w:hint="eastAsia" w:eastAsia="仿宋_GB2312"/>
                <w:bCs/>
                <w:color w:val="auto"/>
                <w:sz w:val="24"/>
                <w:highlight w:val="none"/>
              </w:rPr>
            </w:pPr>
          </w:p>
        </w:tc>
        <w:tc>
          <w:tcPr>
            <w:tcW w:w="1279" w:type="dxa"/>
            <w:noWrap w:val="0"/>
            <w:vAlign w:val="center"/>
          </w:tcPr>
          <w:p>
            <w:pPr>
              <w:tabs>
                <w:tab w:val="left" w:pos="9720"/>
              </w:tabs>
              <w:spacing w:line="0" w:lineRule="atLeast"/>
              <w:jc w:val="center"/>
              <w:rPr>
                <w:rFonts w:hint="eastAsia" w:eastAsia="仿宋_GB2312"/>
                <w:bCs/>
                <w:color w:val="auto"/>
                <w:sz w:val="24"/>
                <w:highlight w:val="none"/>
              </w:rPr>
            </w:pPr>
          </w:p>
        </w:tc>
        <w:tc>
          <w:tcPr>
            <w:tcW w:w="1138" w:type="dxa"/>
            <w:noWrap w:val="0"/>
            <w:vAlign w:val="center"/>
          </w:tcPr>
          <w:p>
            <w:pPr>
              <w:tabs>
                <w:tab w:val="left" w:pos="9720"/>
              </w:tabs>
              <w:spacing w:line="0" w:lineRule="atLeast"/>
              <w:jc w:val="center"/>
              <w:rPr>
                <w:rFonts w:hint="eastAsia" w:eastAsia="仿宋_GB2312"/>
                <w:bCs/>
                <w:color w:val="auto"/>
                <w:sz w:val="24"/>
                <w:highlight w:val="none"/>
              </w:rPr>
            </w:pPr>
          </w:p>
        </w:tc>
        <w:tc>
          <w:tcPr>
            <w:tcW w:w="1165" w:type="dxa"/>
            <w:gridSpan w:val="2"/>
            <w:noWrap w:val="0"/>
            <w:vAlign w:val="center"/>
          </w:tcPr>
          <w:p>
            <w:pPr>
              <w:tabs>
                <w:tab w:val="left" w:pos="9720"/>
              </w:tabs>
              <w:spacing w:line="0" w:lineRule="atLeast"/>
              <w:jc w:val="center"/>
              <w:rPr>
                <w:rFonts w:eastAsia="仿宋_GB2312"/>
                <w:bCs/>
                <w:color w:val="auto"/>
                <w:sz w:val="24"/>
                <w:highlight w:val="none"/>
              </w:rPr>
            </w:pPr>
          </w:p>
        </w:tc>
        <w:tc>
          <w:tcPr>
            <w:tcW w:w="1535" w:type="dxa"/>
            <w:noWrap w:val="0"/>
            <w:vAlign w:val="center"/>
          </w:tcPr>
          <w:p>
            <w:pPr>
              <w:tabs>
                <w:tab w:val="left" w:pos="9720"/>
              </w:tabs>
              <w:spacing w:line="0" w:lineRule="atLeast"/>
              <w:jc w:val="center"/>
              <w:rPr>
                <w:rFonts w:hint="eastAsia" w:eastAsia="仿宋_GB2312"/>
                <w:bCs/>
                <w:color w:val="auto"/>
                <w:sz w:val="24"/>
                <w:highlight w:val="none"/>
              </w:rPr>
            </w:pPr>
          </w:p>
        </w:tc>
        <w:tc>
          <w:tcPr>
            <w:tcW w:w="2364" w:type="dxa"/>
            <w:noWrap w:val="0"/>
            <w:vAlign w:val="center"/>
          </w:tcPr>
          <w:p>
            <w:pPr>
              <w:tabs>
                <w:tab w:val="left" w:pos="9720"/>
              </w:tabs>
              <w:spacing w:line="0" w:lineRule="atLeast"/>
              <w:jc w:val="center"/>
              <w:rPr>
                <w:rFonts w:hint="eastAsia" w:eastAsia="仿宋_GB2312"/>
                <w:bCs/>
                <w:color w:val="auto"/>
                <w:sz w:val="24"/>
                <w:highlight w:val="none"/>
              </w:rPr>
            </w:pPr>
          </w:p>
        </w:tc>
      </w:tr>
    </w:tbl>
    <w:p>
      <w:pPr>
        <w:tabs>
          <w:tab w:val="left" w:pos="9720"/>
        </w:tabs>
        <w:spacing w:line="600" w:lineRule="exact"/>
        <w:jc w:val="left"/>
        <w:rPr>
          <w:rFonts w:hint="eastAsia" w:ascii="宋体" w:hAnsi="宋体"/>
          <w:bCs/>
          <w:color w:val="auto"/>
          <w:sz w:val="24"/>
          <w:highlight w:val="none"/>
          <w:lang w:eastAsia="zh-CN"/>
        </w:rPr>
        <w:sectPr>
          <w:pgSz w:w="16838" w:h="11906" w:orient="landscape"/>
          <w:pgMar w:top="1587" w:right="1440" w:bottom="1587" w:left="1440" w:header="851" w:footer="992" w:gutter="0"/>
          <w:lnNumType w:countBy="0"/>
          <w:pgNumType w:fmt="decimal"/>
          <w:cols w:space="0" w:num="1"/>
          <w:rtlGutter w:val="0"/>
          <w:docGrid w:type="lines" w:linePitch="323" w:charSpace="0"/>
        </w:sectPr>
      </w:pPr>
      <w:r>
        <w:rPr>
          <w:rFonts w:hint="eastAsia" w:ascii="宋体" w:hAnsi="宋体"/>
          <w:bCs/>
          <w:color w:val="auto"/>
          <w:sz w:val="24"/>
          <w:highlight w:val="none"/>
        </w:rPr>
        <w:t>注：本台账在项目施工期内每月进行汇总更新，作为工程进度款附件确认提交</w:t>
      </w:r>
      <w:r>
        <w:rPr>
          <w:rFonts w:hint="eastAsia" w:ascii="宋体" w:hAnsi="宋体"/>
          <w:bCs/>
          <w:color w:val="auto"/>
          <w:sz w:val="24"/>
          <w:highlight w:val="none"/>
          <w:lang w:eastAsia="zh-CN"/>
        </w:rPr>
        <w:t>。</w:t>
      </w:r>
    </w:p>
    <w:p>
      <w:pPr>
        <w:spacing w:line="360" w:lineRule="exact"/>
        <w:ind w:right="-20"/>
        <w:outlineLvl w:val="2"/>
        <w:rPr>
          <w:rStyle w:val="37"/>
          <w:rFonts w:hint="eastAsia" w:ascii="宋体" w:hAnsi="宋体" w:cs="Times New Roman"/>
          <w:color w:val="auto"/>
          <w:kern w:val="2"/>
          <w:sz w:val="24"/>
          <w:szCs w:val="24"/>
          <w:highlight w:val="none"/>
          <w:lang w:val="en-US" w:eastAsia="zh-CN" w:bidi="ar-SA"/>
        </w:rPr>
      </w:pPr>
      <w:bookmarkStart w:id="1142" w:name="_Toc28602"/>
      <w:bookmarkStart w:id="1143" w:name="_Toc23693"/>
      <w:bookmarkStart w:id="1144" w:name="_Toc10858"/>
      <w:bookmarkStart w:id="1145" w:name="_Toc9863"/>
      <w:bookmarkStart w:id="1146" w:name="_Toc27752"/>
      <w:bookmarkStart w:id="1147" w:name="_Toc13392"/>
      <w:bookmarkStart w:id="1148" w:name="_Toc26565"/>
      <w:bookmarkStart w:id="1149" w:name="_Toc22471"/>
      <w:r>
        <w:rPr>
          <w:rStyle w:val="37"/>
          <w:rFonts w:hint="eastAsia" w:ascii="宋体" w:hAnsi="宋体" w:cs="Times New Roman"/>
          <w:color w:val="auto"/>
          <w:kern w:val="2"/>
          <w:sz w:val="24"/>
          <w:szCs w:val="24"/>
          <w:highlight w:val="none"/>
          <w:lang w:val="en-US" w:eastAsia="zh-CN" w:bidi="ar-SA"/>
        </w:rPr>
        <w:t>附件八</w:t>
      </w:r>
      <w:bookmarkEnd w:id="1142"/>
      <w:bookmarkEnd w:id="1143"/>
      <w:bookmarkEnd w:id="1144"/>
      <w:bookmarkEnd w:id="1145"/>
      <w:bookmarkEnd w:id="1146"/>
      <w:bookmarkEnd w:id="1147"/>
      <w:bookmarkEnd w:id="1148"/>
      <w:bookmarkEnd w:id="1149"/>
    </w:p>
    <w:p>
      <w:pPr>
        <w:rPr>
          <w:rStyle w:val="30"/>
          <w:rFonts w:hint="eastAsia"/>
          <w:b/>
          <w:bCs/>
          <w:color w:val="auto"/>
          <w:sz w:val="36"/>
          <w:szCs w:val="36"/>
          <w:highlight w:val="none"/>
          <w:lang w:val="en-US" w:eastAsia="zh-CN"/>
        </w:rPr>
      </w:pPr>
    </w:p>
    <w:p>
      <w:pPr>
        <w:pStyle w:val="5"/>
        <w:spacing w:line="500" w:lineRule="exact"/>
        <w:jc w:val="center"/>
        <w:outlineLvl w:val="2"/>
        <w:rPr>
          <w:rStyle w:val="30"/>
          <w:rFonts w:hint="eastAsia" w:ascii="Times New Roman" w:hAnsi="Times New Roman" w:cstheme="minorBidi"/>
          <w:b/>
          <w:bCs w:val="0"/>
          <w:color w:val="auto"/>
          <w:kern w:val="44"/>
          <w:sz w:val="36"/>
          <w:szCs w:val="20"/>
          <w:highlight w:val="none"/>
          <w:lang w:val="en-US" w:eastAsia="zh-CN" w:bidi="ar-SA"/>
        </w:rPr>
      </w:pPr>
      <w:bookmarkStart w:id="1150" w:name="_Toc10814"/>
      <w:bookmarkStart w:id="1151" w:name="_Toc18089"/>
      <w:bookmarkStart w:id="1152" w:name="_Toc24033"/>
      <w:bookmarkStart w:id="1153" w:name="_Toc11454"/>
      <w:bookmarkStart w:id="1154" w:name="_Toc6293"/>
      <w:bookmarkStart w:id="1155" w:name="_Toc2216"/>
      <w:bookmarkStart w:id="1156" w:name="_Toc2055"/>
      <w:bookmarkStart w:id="1157" w:name="_Toc14049"/>
      <w:r>
        <w:rPr>
          <w:rStyle w:val="30"/>
          <w:rFonts w:hint="eastAsia" w:ascii="Times New Roman" w:hAnsi="Times New Roman"/>
          <w:b/>
          <w:bCs w:val="0"/>
          <w:color w:val="auto"/>
          <w:kern w:val="44"/>
          <w:sz w:val="36"/>
          <w:szCs w:val="20"/>
          <w:highlight w:val="none"/>
          <w:lang w:val="en-US" w:eastAsia="zh-CN"/>
        </w:rPr>
        <w:t>广州市</w:t>
      </w:r>
      <w:r>
        <w:rPr>
          <w:rStyle w:val="30"/>
          <w:rFonts w:hint="eastAsia" w:ascii="Times New Roman" w:hAnsi="Times New Roman"/>
          <w:b/>
          <w:bCs w:val="0"/>
          <w:color w:val="auto"/>
          <w:kern w:val="44"/>
          <w:sz w:val="36"/>
          <w:szCs w:val="20"/>
          <w:highlight w:val="none"/>
        </w:rPr>
        <w:t>天河区建设工程项目代建局质保项目保修期内工作方案</w:t>
      </w:r>
      <w:bookmarkEnd w:id="1150"/>
      <w:bookmarkEnd w:id="1151"/>
      <w:bookmarkEnd w:id="1152"/>
      <w:bookmarkEnd w:id="1153"/>
      <w:bookmarkEnd w:id="1154"/>
      <w:bookmarkEnd w:id="1155"/>
      <w:bookmarkEnd w:id="1156"/>
      <w:bookmarkEnd w:id="1157"/>
    </w:p>
    <w:p>
      <w:pPr>
        <w:rPr>
          <w:rStyle w:val="30"/>
          <w:rFonts w:hint="eastAsia" w:cstheme="minorBidi"/>
          <w:b/>
          <w:bCs w:val="0"/>
          <w:color w:val="auto"/>
          <w:kern w:val="44"/>
          <w:sz w:val="24"/>
          <w:szCs w:val="15"/>
          <w:highlight w:val="none"/>
          <w:lang w:val="en-US" w:eastAsia="zh-CN" w:bidi="ar-SA"/>
        </w:rPr>
      </w:pPr>
    </w:p>
    <w:p>
      <w:pPr>
        <w:rPr>
          <w:rStyle w:val="30"/>
          <w:rFonts w:hint="eastAsia" w:cstheme="minorBidi"/>
          <w:b/>
          <w:bCs w:val="0"/>
          <w:color w:val="auto"/>
          <w:kern w:val="44"/>
          <w:sz w:val="24"/>
          <w:szCs w:val="15"/>
          <w:highlight w:val="none"/>
          <w:lang w:val="en-US" w:eastAsia="zh-CN" w:bidi="ar-SA"/>
        </w:rPr>
      </w:pPr>
    </w:p>
    <w:p>
      <w:pPr>
        <w:jc w:val="center"/>
        <w:rPr>
          <w:rFonts w:hint="eastAsia"/>
          <w:b/>
          <w:bCs/>
          <w:color w:val="auto"/>
          <w:sz w:val="32"/>
          <w:szCs w:val="40"/>
          <w:highlight w:val="none"/>
          <w:lang w:eastAsia="zh-CN"/>
        </w:rPr>
      </w:pPr>
      <w:r>
        <w:rPr>
          <w:rFonts w:hint="eastAsia"/>
          <w:b/>
          <w:bCs/>
          <w:color w:val="auto"/>
          <w:sz w:val="32"/>
          <w:szCs w:val="40"/>
          <w:highlight w:val="none"/>
          <w:lang w:eastAsia="zh-CN"/>
        </w:rPr>
        <w:t>天河区建设工程项目代建局质保项目</w:t>
      </w:r>
    </w:p>
    <w:p>
      <w:pPr>
        <w:jc w:val="center"/>
        <w:rPr>
          <w:rFonts w:hint="eastAsia"/>
          <w:color w:val="auto"/>
          <w:highlight w:val="none"/>
          <w:lang w:eastAsia="zh-CN"/>
        </w:rPr>
      </w:pPr>
      <w:r>
        <w:rPr>
          <w:rFonts w:hint="eastAsia"/>
          <w:b/>
          <w:bCs/>
          <w:color w:val="auto"/>
          <w:sz w:val="32"/>
          <w:szCs w:val="40"/>
          <w:highlight w:val="none"/>
          <w:lang w:eastAsia="zh-CN"/>
        </w:rPr>
        <w:t>保修期内工作方案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eastAsia="zh-CN"/>
        </w:rPr>
        <w:t>为确保我局已竣工验收交付使用的项目在合理使用期限内正常使用，追踪了解项目各设施设备的运行状态，及时对在合同保修期范围内的相关设施设备开展保修工作，现制定质保项目保修期内工作方案。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szCs w:val="32"/>
          <w:highlight w:val="none"/>
          <w:lang w:val="en-US" w:eastAsia="zh-CN"/>
        </w:rPr>
      </w:pPr>
      <w:r>
        <w:rPr>
          <w:rFonts w:hint="eastAsia" w:asciiTheme="minorHAnsi" w:hAnsiTheme="minorHAnsi" w:eastAsiaTheme="minorEastAsia" w:cstheme="minorBidi"/>
          <w:color w:val="auto"/>
          <w:kern w:val="2"/>
          <w:sz w:val="24"/>
          <w:szCs w:val="32"/>
          <w:highlight w:val="none"/>
          <w:lang w:val="en-US" w:eastAsia="zh-CN" w:bidi="ar-SA"/>
        </w:rPr>
        <w:t>一、</w:t>
      </w:r>
      <w:r>
        <w:rPr>
          <w:rFonts w:hint="eastAsia"/>
          <w:color w:val="auto"/>
          <w:sz w:val="24"/>
          <w:szCs w:val="32"/>
          <w:highlight w:val="none"/>
          <w:lang w:eastAsia="zh-CN"/>
        </w:rPr>
        <w:t>制定依据：《</w:t>
      </w:r>
      <w:r>
        <w:rPr>
          <w:rFonts w:hint="eastAsia"/>
          <w:color w:val="auto"/>
          <w:sz w:val="24"/>
          <w:szCs w:val="32"/>
          <w:highlight w:val="none"/>
          <w:lang w:val="en-US" w:eastAsia="zh-CN"/>
        </w:rPr>
        <w:t>中华人民共和国建筑法</w:t>
      </w:r>
      <w:r>
        <w:rPr>
          <w:rFonts w:hint="eastAsia"/>
          <w:color w:val="auto"/>
          <w:sz w:val="24"/>
          <w:szCs w:val="32"/>
          <w:highlight w:val="none"/>
          <w:lang w:eastAsia="zh-CN"/>
        </w:rPr>
        <w:t>》、《</w:t>
      </w:r>
      <w:r>
        <w:rPr>
          <w:rFonts w:hint="eastAsia"/>
          <w:color w:val="auto"/>
          <w:sz w:val="24"/>
          <w:szCs w:val="32"/>
          <w:highlight w:val="none"/>
          <w:lang w:val="en-US" w:eastAsia="zh-CN"/>
        </w:rPr>
        <w:t>建设工程质量管理条例</w:t>
      </w:r>
      <w:r>
        <w:rPr>
          <w:rFonts w:hint="eastAsia"/>
          <w:color w:val="auto"/>
          <w:sz w:val="24"/>
          <w:szCs w:val="32"/>
          <w:highlight w:val="none"/>
          <w:lang w:eastAsia="zh-CN"/>
        </w:rPr>
        <w:t>》、</w:t>
      </w:r>
      <w:r>
        <w:rPr>
          <w:rFonts w:hint="eastAsia"/>
          <w:color w:val="auto"/>
          <w:sz w:val="24"/>
          <w:szCs w:val="32"/>
          <w:highlight w:val="none"/>
          <w:lang w:val="en-US" w:eastAsia="zh-CN"/>
        </w:rPr>
        <w:t>《房屋建筑工程质量保修办法》、《施工合同》。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szCs w:val="32"/>
          <w:highlight w:val="none"/>
          <w:lang w:val="en-US" w:eastAsia="zh-CN"/>
        </w:rPr>
      </w:pPr>
      <w:r>
        <w:rPr>
          <w:rFonts w:hint="eastAsia"/>
          <w:color w:val="auto"/>
          <w:sz w:val="24"/>
          <w:szCs w:val="32"/>
          <w:highlight w:val="none"/>
          <w:lang w:val="en-US" w:eastAsia="zh-CN"/>
        </w:rPr>
        <w:t>二、项目范围：我局所有已竣工验收交付的项目，含市政、房建、微改造项目。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eastAsia="zh-CN"/>
        </w:rPr>
        <w:t>三、保修对象：凡施工范围内的所有工程项目，包括地基基础工程、主体结构工程、屋面防水工程、有防水要求的卫生间、房间、外墙面的防渗漏工程、电气管线工程、给排水管道工程、设备安装工程、供热、供冷系统工程、装饰装修工程、室外配套工程以及施工合同约定其他项目。（保修范围应与合同约定一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eastAsia="zh-CN"/>
        </w:rPr>
        <w:t>四、保修期限：从合同工程实际竣工之日算起（以竣工验收报告为准）。单项竣工验收的工程，按单项工程分别计算质量保修期，保修期限以合同约定为准。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eastAsia="zh-CN"/>
        </w:rPr>
        <w:t>五、工作要求：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val="en-US" w:eastAsia="zh-CN"/>
        </w:rPr>
        <w:t>1、</w:t>
      </w:r>
      <w:r>
        <w:rPr>
          <w:rFonts w:hint="default"/>
          <w:color w:val="auto"/>
          <w:sz w:val="24"/>
          <w:szCs w:val="32"/>
          <w:highlight w:val="none"/>
          <w:lang w:eastAsia="zh-CN"/>
        </w:rPr>
        <w:t>由工程科统筹安排，工程科项目组成员、项目经理、总监（</w:t>
      </w:r>
      <w:r>
        <w:rPr>
          <w:rFonts w:hint="eastAsia"/>
          <w:color w:val="auto"/>
          <w:sz w:val="24"/>
          <w:szCs w:val="32"/>
          <w:highlight w:val="none"/>
          <w:lang w:eastAsia="zh-CN"/>
        </w:rPr>
        <w:t>或</w:t>
      </w:r>
      <w:r>
        <w:rPr>
          <w:rFonts w:hint="default"/>
          <w:color w:val="auto"/>
          <w:sz w:val="24"/>
          <w:szCs w:val="32"/>
          <w:highlight w:val="none"/>
          <w:lang w:eastAsia="zh-CN"/>
        </w:rPr>
        <w:t>总监代表）组成各项目巡查小组。巡查人员</w:t>
      </w:r>
      <w:r>
        <w:rPr>
          <w:rFonts w:hint="eastAsia"/>
          <w:color w:val="auto"/>
          <w:sz w:val="24"/>
          <w:szCs w:val="32"/>
          <w:highlight w:val="none"/>
          <w:lang w:eastAsia="zh-CN"/>
        </w:rPr>
        <w:t>应充分了解巡查的内容，掌握方法。</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val="en-US" w:eastAsia="zh-CN"/>
        </w:rPr>
        <w:t>2、每个项目</w:t>
      </w:r>
      <w:r>
        <w:rPr>
          <w:rFonts w:hint="default"/>
          <w:color w:val="auto"/>
          <w:sz w:val="24"/>
          <w:szCs w:val="32"/>
          <w:highlight w:val="none"/>
          <w:lang w:eastAsia="zh-CN"/>
        </w:rPr>
        <w:t>在保修期间内至少巡查</w:t>
      </w:r>
      <w:r>
        <w:rPr>
          <w:rFonts w:hint="default"/>
          <w:b w:val="0"/>
          <w:bCs w:val="0"/>
          <w:color w:val="auto"/>
          <w:sz w:val="24"/>
          <w:szCs w:val="32"/>
          <w:highlight w:val="none"/>
          <w:lang w:eastAsia="zh-CN"/>
        </w:rPr>
        <w:t>两次</w:t>
      </w:r>
      <w:r>
        <w:rPr>
          <w:rFonts w:hint="eastAsia"/>
          <w:b w:val="0"/>
          <w:bCs w:val="0"/>
          <w:color w:val="auto"/>
          <w:sz w:val="24"/>
          <w:szCs w:val="32"/>
          <w:highlight w:val="none"/>
          <w:lang w:eastAsia="zh-CN"/>
        </w:rPr>
        <w:t>，可根据项目的情况增加巡查次数，最后一次巡查需在质保期满前一个月</w:t>
      </w:r>
      <w:r>
        <w:rPr>
          <w:rFonts w:hint="default"/>
          <w:b w:val="0"/>
          <w:bCs w:val="0"/>
          <w:color w:val="auto"/>
          <w:sz w:val="24"/>
          <w:szCs w:val="32"/>
          <w:highlight w:val="none"/>
          <w:lang w:eastAsia="zh-CN"/>
        </w:rPr>
        <w:t>。</w:t>
      </w:r>
      <w:r>
        <w:rPr>
          <w:rFonts w:hint="eastAsia"/>
          <w:b w:val="0"/>
          <w:bCs w:val="0"/>
          <w:color w:val="auto"/>
          <w:sz w:val="24"/>
          <w:szCs w:val="32"/>
          <w:highlight w:val="none"/>
          <w:lang w:eastAsia="zh-CN"/>
        </w:rPr>
        <w:t>微改造项目</w:t>
      </w:r>
      <w:r>
        <w:rPr>
          <w:rFonts w:hint="default"/>
          <w:b w:val="0"/>
          <w:bCs w:val="0"/>
          <w:color w:val="auto"/>
          <w:sz w:val="24"/>
          <w:szCs w:val="32"/>
          <w:highlight w:val="none"/>
          <w:lang w:eastAsia="zh-CN"/>
        </w:rPr>
        <w:t>巡查前应收集</w:t>
      </w:r>
      <w:r>
        <w:rPr>
          <w:rFonts w:hint="eastAsia"/>
          <w:b w:val="0"/>
          <w:bCs w:val="0"/>
          <w:color w:val="auto"/>
          <w:sz w:val="24"/>
          <w:szCs w:val="32"/>
          <w:highlight w:val="none"/>
          <w:lang w:eastAsia="zh-CN"/>
        </w:rPr>
        <w:t>项目属地街道、居委会、建管委、物业公司</w:t>
      </w:r>
      <w:r>
        <w:rPr>
          <w:rFonts w:hint="default"/>
          <w:b w:val="0"/>
          <w:bCs w:val="0"/>
          <w:color w:val="auto"/>
          <w:sz w:val="24"/>
          <w:szCs w:val="32"/>
          <w:highlight w:val="none"/>
          <w:lang w:eastAsia="zh-CN"/>
        </w:rPr>
        <w:t>各方相关质量意见，</w:t>
      </w:r>
      <w:r>
        <w:rPr>
          <w:rFonts w:hint="eastAsia"/>
          <w:b w:val="0"/>
          <w:bCs w:val="0"/>
          <w:color w:val="auto"/>
          <w:sz w:val="24"/>
          <w:szCs w:val="32"/>
          <w:highlight w:val="none"/>
          <w:lang w:eastAsia="zh-CN"/>
        </w:rPr>
        <w:t>房建项目巡查前应收集项目业主单位、使用单位相关质量意见，市政项目巡查前应收集</w:t>
      </w:r>
      <w:r>
        <w:rPr>
          <w:rFonts w:hint="eastAsia"/>
          <w:color w:val="auto"/>
          <w:sz w:val="24"/>
          <w:szCs w:val="32"/>
          <w:highlight w:val="none"/>
          <w:lang w:eastAsia="zh-CN"/>
        </w:rPr>
        <w:t>交通管理部门、属地街道、住建园林局等各方相关质量意见，</w:t>
      </w:r>
      <w:r>
        <w:rPr>
          <w:rFonts w:hint="default"/>
          <w:color w:val="auto"/>
          <w:sz w:val="24"/>
          <w:szCs w:val="32"/>
          <w:highlight w:val="none"/>
          <w:lang w:eastAsia="zh-CN"/>
        </w:rPr>
        <w:t>巡查过程中对该意见进行复核，</w:t>
      </w:r>
      <w:r>
        <w:rPr>
          <w:rFonts w:hint="eastAsia"/>
          <w:color w:val="auto"/>
          <w:sz w:val="24"/>
          <w:szCs w:val="32"/>
          <w:highlight w:val="none"/>
          <w:lang w:eastAsia="zh-CN"/>
        </w:rPr>
        <w:t>并记录</w:t>
      </w:r>
      <w:r>
        <w:rPr>
          <w:rFonts w:hint="default"/>
          <w:color w:val="auto"/>
          <w:sz w:val="24"/>
          <w:szCs w:val="32"/>
          <w:highlight w:val="none"/>
          <w:lang w:eastAsia="zh-CN"/>
        </w:rPr>
        <w:t>项目</w:t>
      </w:r>
      <w:r>
        <w:rPr>
          <w:rFonts w:hint="eastAsia"/>
          <w:color w:val="auto"/>
          <w:sz w:val="24"/>
          <w:szCs w:val="32"/>
          <w:highlight w:val="none"/>
          <w:lang w:eastAsia="zh-CN"/>
        </w:rPr>
        <w:t>各设施设备运行状态。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val="en-US" w:eastAsia="zh-CN"/>
        </w:rPr>
        <w:t>3、</w:t>
      </w:r>
      <w:r>
        <w:rPr>
          <w:rFonts w:hint="eastAsia"/>
          <w:color w:val="auto"/>
          <w:sz w:val="24"/>
          <w:szCs w:val="32"/>
          <w:highlight w:val="none"/>
          <w:lang w:eastAsia="zh-CN"/>
        </w:rPr>
        <w:t>巡查结束后，巡查人员应尽快整理、汇总巡查记录</w:t>
      </w:r>
      <w:r>
        <w:rPr>
          <w:rFonts w:hint="default"/>
          <w:color w:val="auto"/>
          <w:sz w:val="24"/>
          <w:szCs w:val="32"/>
          <w:highlight w:val="none"/>
          <w:lang w:eastAsia="zh-CN"/>
        </w:rPr>
        <w:t>及各方意见</w:t>
      </w:r>
      <w:r>
        <w:rPr>
          <w:rFonts w:hint="eastAsia"/>
          <w:color w:val="auto"/>
          <w:sz w:val="24"/>
          <w:szCs w:val="32"/>
          <w:highlight w:val="none"/>
          <w:lang w:eastAsia="zh-CN"/>
        </w:rPr>
        <w:t>，</w:t>
      </w:r>
      <w:r>
        <w:rPr>
          <w:rFonts w:hint="default"/>
          <w:color w:val="auto"/>
          <w:sz w:val="24"/>
          <w:szCs w:val="32"/>
          <w:highlight w:val="none"/>
          <w:lang w:eastAsia="zh-CN"/>
        </w:rPr>
        <w:t>监理单位</w:t>
      </w:r>
      <w:r>
        <w:rPr>
          <w:rFonts w:hint="eastAsia"/>
          <w:color w:val="auto"/>
          <w:sz w:val="24"/>
          <w:szCs w:val="32"/>
          <w:highlight w:val="none"/>
          <w:lang w:eastAsia="zh-CN"/>
        </w:rPr>
        <w:t>就巡查并发现的各设施设备保修期内的质量问题</w:t>
      </w:r>
      <w:r>
        <w:rPr>
          <w:rFonts w:hint="default"/>
          <w:color w:val="auto"/>
          <w:sz w:val="24"/>
          <w:szCs w:val="32"/>
          <w:highlight w:val="none"/>
          <w:lang w:eastAsia="zh-CN"/>
        </w:rPr>
        <w:t>及收集相关质量意见</w:t>
      </w:r>
      <w:r>
        <w:rPr>
          <w:rFonts w:hint="eastAsia"/>
          <w:color w:val="auto"/>
          <w:sz w:val="24"/>
          <w:szCs w:val="32"/>
          <w:highlight w:val="none"/>
          <w:lang w:eastAsia="zh-CN"/>
        </w:rPr>
        <w:t>及时书面通知</w:t>
      </w:r>
      <w:r>
        <w:rPr>
          <w:rFonts w:hint="default"/>
          <w:color w:val="auto"/>
          <w:sz w:val="24"/>
          <w:szCs w:val="32"/>
          <w:highlight w:val="none"/>
          <w:lang w:eastAsia="zh-CN"/>
        </w:rPr>
        <w:t>施工单位</w:t>
      </w:r>
      <w:r>
        <w:rPr>
          <w:rFonts w:hint="eastAsia"/>
          <w:color w:val="auto"/>
          <w:sz w:val="24"/>
          <w:szCs w:val="32"/>
          <w:highlight w:val="none"/>
          <w:lang w:eastAsia="zh-CN"/>
        </w:rPr>
        <w:t>项目</w:t>
      </w:r>
      <w:r>
        <w:rPr>
          <w:rFonts w:hint="default"/>
          <w:color w:val="auto"/>
          <w:sz w:val="24"/>
          <w:szCs w:val="32"/>
          <w:highlight w:val="none"/>
          <w:lang w:eastAsia="zh-CN"/>
        </w:rPr>
        <w:t>经理</w:t>
      </w:r>
      <w:r>
        <w:rPr>
          <w:rFonts w:hint="eastAsia"/>
          <w:color w:val="auto"/>
          <w:sz w:val="24"/>
          <w:szCs w:val="32"/>
          <w:highlight w:val="none"/>
          <w:lang w:eastAsia="zh-CN"/>
        </w:rPr>
        <w:t>，并签发巡查会议纪要，</w:t>
      </w:r>
      <w:r>
        <w:rPr>
          <w:rFonts w:hint="default"/>
          <w:color w:val="auto"/>
          <w:sz w:val="24"/>
          <w:szCs w:val="32"/>
          <w:highlight w:val="none"/>
          <w:lang w:eastAsia="zh-CN"/>
        </w:rPr>
        <w:t>施工单位</w:t>
      </w:r>
      <w:r>
        <w:rPr>
          <w:rFonts w:hint="eastAsia"/>
          <w:color w:val="auto"/>
          <w:sz w:val="24"/>
          <w:szCs w:val="32"/>
          <w:highlight w:val="none"/>
          <w:lang w:eastAsia="zh-CN"/>
        </w:rPr>
        <w:t>需</w:t>
      </w:r>
      <w:r>
        <w:rPr>
          <w:rFonts w:hint="default"/>
          <w:color w:val="auto"/>
          <w:sz w:val="24"/>
          <w:szCs w:val="32"/>
          <w:highlight w:val="none"/>
          <w:lang w:eastAsia="zh-CN"/>
        </w:rPr>
        <w:t>尽快实施相关维修工作</w:t>
      </w:r>
      <w:r>
        <w:rPr>
          <w:rFonts w:hint="eastAsia"/>
          <w:color w:val="auto"/>
          <w:sz w:val="24"/>
          <w:szCs w:val="32"/>
          <w:highlight w:val="none"/>
          <w:lang w:eastAsia="zh-CN"/>
        </w:rPr>
        <w:t>（对严重影响人身安全隐患的问题，需立即采取相关解危措施）。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eastAsia="zh-CN"/>
        </w:rPr>
      </w:pPr>
      <w:r>
        <w:rPr>
          <w:rFonts w:hint="eastAsia"/>
          <w:color w:val="auto"/>
          <w:sz w:val="24"/>
          <w:szCs w:val="32"/>
          <w:highlight w:val="none"/>
          <w:lang w:val="en-US" w:eastAsia="zh-CN"/>
        </w:rPr>
        <w:t>4、施工单位需安排熟悉本工程的技术、施工管理人员作为保修负责人，专门负责本工程的保修工作，并与我局（或使用方）建立可靠联系，保障保修工作的正常开展。保修工作人员为工作需要有权进入工程现场，但应遵守使用方的保安和保密等管理规定。</w:t>
      </w:r>
      <w:r>
        <w:rPr>
          <w:rFonts w:hint="eastAsia"/>
          <w:color w:val="auto"/>
          <w:sz w:val="24"/>
          <w:szCs w:val="32"/>
          <w:highlight w:val="none"/>
          <w:lang w:eastAsia="zh-CN"/>
        </w:rPr>
        <w:t>如施工单位未能在施工合同规定的时间内派人保修，我局将按合同约定自行委托其他单位保修，由此产生的费用由施工单位承担。</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color w:val="auto"/>
          <w:sz w:val="24"/>
          <w:szCs w:val="32"/>
          <w:highlight w:val="none"/>
          <w:lang w:eastAsia="zh-CN"/>
        </w:rPr>
      </w:pPr>
      <w:r>
        <w:rPr>
          <w:rFonts w:hint="eastAsia"/>
          <w:color w:val="auto"/>
          <w:sz w:val="24"/>
          <w:szCs w:val="32"/>
          <w:highlight w:val="none"/>
          <w:u w:val="none"/>
          <w:lang w:val="en-US" w:eastAsia="zh-CN"/>
        </w:rPr>
        <w:t>5、</w:t>
      </w:r>
      <w:r>
        <w:rPr>
          <w:rFonts w:hint="default"/>
          <w:color w:val="auto"/>
          <w:sz w:val="24"/>
          <w:szCs w:val="32"/>
          <w:highlight w:val="none"/>
          <w:u w:val="none"/>
          <w:lang w:eastAsia="zh-CN"/>
        </w:rPr>
        <w:t>巡查结束后我局及时</w:t>
      </w:r>
      <w:r>
        <w:rPr>
          <w:rFonts w:hint="eastAsia"/>
          <w:color w:val="auto"/>
          <w:sz w:val="24"/>
          <w:szCs w:val="32"/>
          <w:highlight w:val="none"/>
          <w:u w:val="none"/>
          <w:lang w:val="en-US" w:eastAsia="zh-CN"/>
        </w:rPr>
        <w:t>组织召开联席会议，对巡查工作中发现的问题、采取的措施和跟踪解决问题情况进行通报，并形成会议纪要。</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val="en-US" w:eastAsia="zh-CN"/>
        </w:rPr>
        <w:t>6、最后一次巡查同步进行工程项目回访工作，建设单位组织业主单位、使用单位共同对服务单位保修期内的服务进行书面评价，形成《工程项目回访单》由业主单位盖章确认。回访时，建设单位同时告知保修期结束时间。</w:t>
      </w:r>
      <w:r>
        <w:rPr>
          <w:rFonts w:hint="default"/>
          <w:b w:val="0"/>
          <w:bCs w:val="0"/>
          <w:color w:val="auto"/>
          <w:sz w:val="24"/>
          <w:szCs w:val="24"/>
          <w:highlight w:val="none"/>
          <w:vertAlign w:val="baseline"/>
          <w:lang w:eastAsia="zh-CN"/>
        </w:rPr>
        <w:t>需要整改的，</w:t>
      </w:r>
      <w:r>
        <w:rPr>
          <w:rFonts w:hint="eastAsia"/>
          <w:b w:val="0"/>
          <w:bCs w:val="0"/>
          <w:color w:val="auto"/>
          <w:sz w:val="24"/>
          <w:szCs w:val="24"/>
          <w:highlight w:val="none"/>
          <w:vertAlign w:val="baseline"/>
          <w:lang w:eastAsia="zh-CN"/>
        </w:rPr>
        <w:t>施工</w:t>
      </w:r>
      <w:r>
        <w:rPr>
          <w:rFonts w:hint="default"/>
          <w:b w:val="0"/>
          <w:bCs w:val="0"/>
          <w:color w:val="auto"/>
          <w:sz w:val="24"/>
          <w:szCs w:val="24"/>
          <w:highlight w:val="none"/>
          <w:vertAlign w:val="baseline"/>
          <w:lang w:eastAsia="zh-CN"/>
        </w:rPr>
        <w:t>单位必须在合理期限内完成整改</w:t>
      </w:r>
      <w:r>
        <w:rPr>
          <w:rFonts w:hint="eastAsia"/>
          <w:b w:val="0"/>
          <w:bCs w:val="0"/>
          <w:color w:val="auto"/>
          <w:sz w:val="24"/>
          <w:szCs w:val="24"/>
          <w:highlight w:val="none"/>
          <w:vertAlign w:val="baseline"/>
          <w:lang w:eastAsia="zh-CN"/>
        </w:rPr>
        <w:t>并提交《工程项目回访单》给我局留存。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val="en-US" w:eastAsia="zh-CN"/>
        </w:rPr>
        <w:t>7、房建项目及市政项目质保期满后均由建设单位发函至业主单位，告知项目质保期满事项，明确项目保修工作由项目接收单位全权负责。保修期满，项目使用单位或项目接收单位非业主单位时，应由业主单位负责告知项目接收单位。如有其他特殊情况，由业主单位与项目接收单位共同协商处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val="en-US" w:eastAsia="zh-CN"/>
        </w:rPr>
        <w:t>8、</w:t>
      </w:r>
      <w:r>
        <w:rPr>
          <w:rFonts w:hint="eastAsia"/>
          <w:color w:val="auto"/>
          <w:sz w:val="24"/>
          <w:szCs w:val="32"/>
          <w:highlight w:val="none"/>
          <w:lang w:eastAsia="zh-CN"/>
        </w:rPr>
        <w:t>与各方建立沟通机制，共同做好改造项目保修期内的后期管养、各方意见收集及信访维稳工作。</w:t>
      </w:r>
    </w:p>
    <w:p>
      <w:pPr>
        <w:rPr>
          <w:rFonts w:hint="eastAsia"/>
          <w:color w:val="auto"/>
          <w:sz w:val="24"/>
          <w:szCs w:val="32"/>
          <w:highlight w:val="none"/>
          <w:lang w:eastAsia="zh-CN"/>
        </w:rPr>
      </w:pPr>
    </w:p>
    <w:p>
      <w:pPr>
        <w:rPr>
          <w:rFonts w:hint="eastAsia"/>
          <w:color w:val="auto"/>
          <w:sz w:val="24"/>
          <w:szCs w:val="32"/>
          <w:highlight w:val="none"/>
          <w:lang w:eastAsia="zh-CN"/>
        </w:rPr>
      </w:pPr>
    </w:p>
    <w:p>
      <w:pPr>
        <w:rPr>
          <w:rFonts w:hint="eastAsia"/>
          <w:color w:val="auto"/>
          <w:sz w:val="24"/>
          <w:szCs w:val="32"/>
          <w:highlight w:val="none"/>
          <w:lang w:val="en-US" w:eastAsia="zh-CN"/>
        </w:rPr>
      </w:pPr>
      <w:r>
        <w:rPr>
          <w:rFonts w:hint="eastAsia"/>
          <w:color w:val="auto"/>
          <w:sz w:val="24"/>
          <w:szCs w:val="32"/>
          <w:highlight w:val="none"/>
          <w:lang w:eastAsia="zh-CN"/>
        </w:rPr>
        <w:t>附件：</w:t>
      </w:r>
      <w:r>
        <w:rPr>
          <w:rFonts w:hint="eastAsia"/>
          <w:color w:val="auto"/>
          <w:sz w:val="24"/>
          <w:szCs w:val="32"/>
          <w:highlight w:val="none"/>
          <w:lang w:val="en-US" w:eastAsia="zh-CN"/>
        </w:rPr>
        <w:t>1、工程巡查记录表</w:t>
      </w:r>
    </w:p>
    <w:p>
      <w:pPr>
        <w:keepNext w:val="0"/>
        <w:keepLines w:val="0"/>
        <w:pageBreakBefore w:val="0"/>
        <w:widowControl w:val="0"/>
        <w:numPr>
          <w:ilvl w:val="0"/>
          <w:numId w:val="39"/>
        </w:numPr>
        <w:kinsoku/>
        <w:wordWrap/>
        <w:overflowPunct/>
        <w:topLinePunct w:val="0"/>
        <w:autoSpaceDE/>
        <w:autoSpaceDN/>
        <w:bidi w:val="0"/>
        <w:adjustRightInd/>
        <w:snapToGrid/>
        <w:spacing w:line="520" w:lineRule="exact"/>
        <w:ind w:left="660" w:leftChars="0" w:firstLine="0" w:firstLineChars="0"/>
        <w:jc w:val="both"/>
        <w:textAlignment w:val="auto"/>
        <w:rPr>
          <w:rFonts w:hint="eastAsia"/>
          <w:color w:val="auto"/>
          <w:sz w:val="24"/>
          <w:szCs w:val="32"/>
          <w:highlight w:val="none"/>
          <w:lang w:val="en-US" w:eastAsia="zh-CN"/>
        </w:rPr>
      </w:pPr>
      <w:r>
        <w:rPr>
          <w:rFonts w:hint="default"/>
          <w:color w:val="auto"/>
          <w:sz w:val="24"/>
          <w:szCs w:val="32"/>
          <w:highlight w:val="none"/>
          <w:lang w:eastAsia="zh-CN"/>
        </w:rPr>
        <w:t>工程项目回访单</w:t>
      </w:r>
    </w:p>
    <w:p>
      <w:pPr>
        <w:rPr>
          <w:rFonts w:hint="eastAsia"/>
          <w:color w:val="auto"/>
          <w:sz w:val="22"/>
          <w:szCs w:val="28"/>
          <w:highlight w:val="none"/>
          <w:lang w:val="en-US" w:eastAsia="zh-CN"/>
        </w:rPr>
      </w:pPr>
      <w:r>
        <w:rPr>
          <w:rFonts w:hint="eastAsia"/>
          <w:color w:val="auto"/>
          <w:sz w:val="22"/>
          <w:szCs w:val="28"/>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color w:val="auto"/>
          <w:sz w:val="22"/>
          <w:szCs w:val="28"/>
          <w:highlight w:val="none"/>
          <w:lang w:val="en-US" w:eastAsia="zh-CN"/>
        </w:rPr>
      </w:pPr>
      <w:r>
        <w:rPr>
          <w:rFonts w:hint="eastAsia"/>
          <w:color w:val="auto"/>
          <w:sz w:val="22"/>
          <w:szCs w:val="28"/>
          <w:highlight w:val="none"/>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b/>
          <w:bCs/>
          <w:color w:val="auto"/>
          <w:sz w:val="36"/>
          <w:szCs w:val="44"/>
          <w:highlight w:val="none"/>
          <w:lang w:val="en-US" w:eastAsia="zh-CN"/>
        </w:rPr>
      </w:pPr>
      <w:r>
        <w:rPr>
          <w:rFonts w:hint="eastAsia"/>
          <w:b/>
          <w:bCs/>
          <w:color w:val="auto"/>
          <w:sz w:val="36"/>
          <w:szCs w:val="44"/>
          <w:highlight w:val="none"/>
          <w:lang w:val="en-US" w:eastAsia="zh-CN"/>
        </w:rPr>
        <w:t>工程巡查情况记录表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color w:val="auto"/>
          <w:sz w:val="21"/>
          <w:szCs w:val="24"/>
          <w:highlight w:val="none"/>
          <w:lang w:val="en-US" w:eastAsia="zh-CN"/>
        </w:rPr>
      </w:pPr>
      <w:r>
        <w:rPr>
          <w:rFonts w:hint="eastAsia"/>
          <w:color w:val="auto"/>
          <w:sz w:val="21"/>
          <w:szCs w:val="24"/>
          <w:highlight w:val="none"/>
          <w:lang w:val="en-US" w:eastAsia="zh-CN"/>
        </w:rPr>
        <w:t>巡查日期：</w:t>
      </w:r>
    </w:p>
    <w:tbl>
      <w:tblPr>
        <w:tblStyle w:val="29"/>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2530"/>
        <w:gridCol w:w="1531"/>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项目名称</w:t>
            </w:r>
          </w:p>
        </w:tc>
        <w:tc>
          <w:tcPr>
            <w:tcW w:w="2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c>
          <w:tcPr>
            <w:tcW w:w="15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属地街道</w:t>
            </w:r>
          </w:p>
        </w:tc>
        <w:tc>
          <w:tcPr>
            <w:tcW w:w="2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竣工日期</w:t>
            </w:r>
          </w:p>
        </w:tc>
        <w:tc>
          <w:tcPr>
            <w:tcW w:w="25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c>
          <w:tcPr>
            <w:tcW w:w="15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保修期</w:t>
            </w:r>
          </w:p>
        </w:tc>
        <w:tc>
          <w:tcPr>
            <w:tcW w:w="2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巡查内容</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街道/居委会/建管委/物业/使用方/业主单位联系人及电话</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9" w:hRule="atLeast"/>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已完工设施设备情况及质量现状描述</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atLeast"/>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eastAsia="zh-CN"/>
              </w:rPr>
            </w:pPr>
            <w:r>
              <w:rPr>
                <w:rFonts w:hint="eastAsia"/>
                <w:color w:val="auto"/>
                <w:sz w:val="20"/>
                <w:szCs w:val="22"/>
                <w:highlight w:val="none"/>
                <w:vertAlign w:val="baseline"/>
                <w:lang w:val="en-US" w:eastAsia="zh-CN"/>
              </w:rPr>
              <w:t>参加人员</w:t>
            </w:r>
            <w:r>
              <w:rPr>
                <w:rFonts w:hint="default"/>
                <w:color w:val="auto"/>
                <w:sz w:val="20"/>
                <w:szCs w:val="22"/>
                <w:highlight w:val="none"/>
                <w:vertAlign w:val="baseline"/>
                <w:lang w:eastAsia="zh-CN"/>
              </w:rPr>
              <w:t>签名</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20"/>
                <w:szCs w:val="22"/>
                <w:highlight w:val="none"/>
                <w:vertAlign w:val="baseline"/>
                <w:lang w:val="en-US" w:eastAsia="zh-CN"/>
              </w:rPr>
            </w:pPr>
            <w:r>
              <w:rPr>
                <w:rFonts w:hint="eastAsia"/>
                <w:color w:val="auto"/>
                <w:sz w:val="20"/>
                <w:szCs w:val="22"/>
                <w:highlight w:val="none"/>
                <w:vertAlign w:val="baseline"/>
                <w:lang w:val="en-US" w:eastAsia="zh-CN"/>
              </w:rPr>
              <w:t>备注</w:t>
            </w:r>
          </w:p>
        </w:tc>
        <w:tc>
          <w:tcPr>
            <w:tcW w:w="621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default"/>
                <w:color w:val="auto"/>
                <w:sz w:val="18"/>
                <w:szCs w:val="21"/>
                <w:highlight w:val="none"/>
                <w:vertAlign w:val="baseline"/>
                <w:lang w:val="en-US" w:eastAsia="zh-CN"/>
              </w:rPr>
            </w:pPr>
          </w:p>
        </w:tc>
      </w:tr>
    </w:tbl>
    <w:p>
      <w:pPr>
        <w:rPr>
          <w:rFonts w:hint="eastAsia"/>
          <w:b/>
          <w:bCs/>
          <w:color w:val="auto"/>
          <w:sz w:val="44"/>
          <w:szCs w:val="44"/>
          <w:highlight w:val="none"/>
          <w:lang w:val="en-US" w:eastAsia="zh-CN"/>
        </w:rPr>
      </w:pPr>
      <w:r>
        <w:rPr>
          <w:rFonts w:hint="eastAsia"/>
          <w:b/>
          <w:bCs/>
          <w:color w:val="auto"/>
          <w:sz w:val="44"/>
          <w:szCs w:val="44"/>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color w:val="auto"/>
          <w:sz w:val="22"/>
          <w:szCs w:val="28"/>
          <w:highlight w:val="none"/>
          <w:lang w:val="en-US" w:eastAsia="zh-CN"/>
        </w:rPr>
      </w:pPr>
      <w:r>
        <w:rPr>
          <w:rFonts w:hint="eastAsia"/>
          <w:color w:val="auto"/>
          <w:sz w:val="22"/>
          <w:szCs w:val="28"/>
          <w:highlight w:val="none"/>
          <w:lang w:val="en-US" w:eastAsia="zh-CN"/>
        </w:rPr>
        <w:t>附件2：</w:t>
      </w:r>
    </w:p>
    <w:p>
      <w:pPr>
        <w:jc w:val="center"/>
        <w:rPr>
          <w:rFonts w:hint="eastAsia"/>
          <w:b/>
          <w:bCs/>
          <w:color w:val="auto"/>
          <w:sz w:val="44"/>
          <w:szCs w:val="44"/>
          <w:highlight w:val="none"/>
          <w:lang w:val="en-US" w:eastAsia="zh-CN"/>
        </w:rPr>
      </w:pPr>
      <w:r>
        <w:rPr>
          <w:rFonts w:hint="eastAsia"/>
          <w:b/>
          <w:bCs/>
          <w:color w:val="auto"/>
          <w:sz w:val="44"/>
          <w:szCs w:val="44"/>
          <w:highlight w:val="none"/>
          <w:lang w:val="en-US" w:eastAsia="zh-CN"/>
        </w:rPr>
        <w:t>工程项目回访单</w:t>
      </w:r>
    </w:p>
    <w:tbl>
      <w:tblPr>
        <w:tblStyle w:val="29"/>
        <w:tblW w:w="9064" w:type="dxa"/>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431"/>
        <w:gridCol w:w="4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4236" w:type="dxa"/>
            <w:gridSpan w:val="2"/>
            <w:vAlign w:val="center"/>
          </w:tcPr>
          <w:p>
            <w:pPr>
              <w:jc w:val="left"/>
              <w:rPr>
                <w:rFonts w:hint="eastAsia" w:eastAsiaTheme="minor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项目名称：</w:t>
            </w:r>
          </w:p>
        </w:tc>
        <w:tc>
          <w:tcPr>
            <w:tcW w:w="4828" w:type="dxa"/>
            <w:vAlign w:val="center"/>
          </w:tcPr>
          <w:p>
            <w:pPr>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项目地址：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236" w:type="dxa"/>
            <w:gridSpan w:val="2"/>
            <w:vAlign w:val="center"/>
          </w:tcPr>
          <w:p>
            <w:pPr>
              <w:jc w:val="left"/>
              <w:rPr>
                <w:rFonts w:hint="default"/>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竣工日期：</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年</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 xml:space="preserve">月 </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日</w:t>
            </w:r>
          </w:p>
        </w:tc>
        <w:tc>
          <w:tcPr>
            <w:tcW w:w="4828" w:type="dxa"/>
            <w:vAlign w:val="center"/>
          </w:tcPr>
          <w:p>
            <w:pPr>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业主单位：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trPr>
        <w:tc>
          <w:tcPr>
            <w:tcW w:w="805" w:type="dxa"/>
            <w:vAlign w:val="center"/>
          </w:tcPr>
          <w:p>
            <w:pPr>
              <w:spacing w:line="48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工程范围</w:t>
            </w:r>
          </w:p>
        </w:tc>
        <w:tc>
          <w:tcPr>
            <w:tcW w:w="8259" w:type="dxa"/>
            <w:gridSpan w:val="2"/>
            <w:vAlign w:val="top"/>
          </w:tcPr>
          <w:p>
            <w:pPr>
              <w:spacing w:line="360" w:lineRule="auto"/>
              <w:ind w:left="0" w:leftChars="0" w:firstLine="0" w:firstLineChars="0"/>
              <w:jc w:val="left"/>
              <w:rPr>
                <w:rFonts w:hint="default" w:ascii="宋体" w:hAnsi="宋体" w:eastAsia="宋体" w:cs="宋体"/>
                <w:color w:val="auto"/>
                <w:sz w:val="24"/>
                <w:szCs w:val="24"/>
                <w:highlight w:val="none"/>
                <w:u w:val="none"/>
              </w:rPr>
            </w:pPr>
            <w:r>
              <w:rPr>
                <w:rFonts w:hint="eastAsia"/>
                <w:b w:val="0"/>
                <w:bCs w:val="0"/>
                <w:color w:val="auto"/>
                <w:sz w:val="24"/>
                <w:szCs w:val="24"/>
                <w:highlight w:val="none"/>
                <w:vertAlign w:val="baseline"/>
                <w:lang w:val="en-US" w:eastAsia="zh-CN"/>
              </w:rPr>
              <w:t>由我公司负责的</w:t>
            </w:r>
            <w:r>
              <w:rPr>
                <w:rFonts w:hint="default"/>
                <w:b w:val="0"/>
                <w:bCs w:val="0"/>
                <w:color w:val="auto"/>
                <w:sz w:val="24"/>
                <w:szCs w:val="24"/>
                <w:highlight w:val="none"/>
                <w:u w:val="single"/>
                <w:vertAlign w:val="baseline"/>
                <w:lang w:eastAsia="zh-CN"/>
              </w:rPr>
              <w:t xml:space="preserve">             </w:t>
            </w:r>
            <w:r>
              <w:rPr>
                <w:rFonts w:hint="eastAsia" w:ascii="宋体" w:hAnsi="宋体" w:eastAsia="宋体" w:cs="宋体"/>
                <w:color w:val="auto"/>
                <w:sz w:val="24"/>
                <w:szCs w:val="24"/>
                <w:highlight w:val="none"/>
                <w:u w:val="none"/>
              </w:rPr>
              <w:t>工程</w:t>
            </w:r>
            <w:r>
              <w:rPr>
                <w:rFonts w:hint="eastAsia" w:ascii="宋体" w:hAnsi="宋体" w:eastAsia="宋体" w:cs="宋体"/>
                <w:color w:val="auto"/>
                <w:sz w:val="24"/>
                <w:szCs w:val="24"/>
                <w:highlight w:val="none"/>
                <w:u w:val="none"/>
                <w:lang w:eastAsia="zh-CN"/>
              </w:rPr>
              <w:t>，工程范围</w:t>
            </w:r>
            <w:r>
              <w:rPr>
                <w:rFonts w:hint="eastAsia" w:ascii="宋体" w:hAnsi="宋体" w:eastAsia="宋体" w:cs="宋体"/>
                <w:color w:val="auto"/>
                <w:sz w:val="24"/>
                <w:szCs w:val="24"/>
                <w:highlight w:val="none"/>
                <w:u w:val="none"/>
              </w:rPr>
              <w:t>为</w:t>
            </w:r>
            <w:r>
              <w:rPr>
                <w:rFonts w:hint="eastAsia" w:ascii="宋体" w:hAnsi="宋体" w:eastAsia="宋体" w:cs="宋体"/>
                <w:color w:val="auto"/>
                <w:sz w:val="24"/>
                <w:szCs w:val="24"/>
                <w:highlight w:val="none"/>
                <w:u w:val="single"/>
                <w:lang w:val="en-US" w:eastAsia="zh-CN"/>
              </w:rPr>
              <w:t xml:space="preserve"> </w:t>
            </w:r>
            <w:r>
              <w:rPr>
                <w:rFonts w:hint="default" w:ascii="宋体" w:hAnsi="宋体" w:eastAsia="宋体" w:cs="宋体"/>
                <w:color w:val="auto"/>
                <w:sz w:val="24"/>
                <w:szCs w:val="24"/>
                <w:highlight w:val="none"/>
                <w:u w:val="single"/>
                <w:lang w:eastAsia="zh-CN"/>
              </w:rPr>
              <w:t xml:space="preserve">                    </w:t>
            </w:r>
            <w:r>
              <w:rPr>
                <w:rFonts w:hint="default" w:ascii="宋体" w:hAnsi="宋体" w:eastAsia="宋体" w:cs="宋体"/>
                <w:color w:val="auto"/>
                <w:sz w:val="24"/>
                <w:szCs w:val="24"/>
                <w:highlight w:val="none"/>
                <w:u w:val="none"/>
                <w:lang w:eastAsia="zh-CN"/>
              </w:rPr>
              <w:t>。</w:t>
            </w:r>
          </w:p>
          <w:p>
            <w:pPr>
              <w:spacing w:line="360" w:lineRule="auto"/>
              <w:jc w:val="left"/>
              <w:rPr>
                <w:rFonts w:hint="eastAsia" w:ascii="宋体" w:hAnsi="宋体" w:eastAsia="宋体" w:cs="宋体"/>
                <w:color w:val="auto"/>
                <w:sz w:val="24"/>
                <w:szCs w:val="24"/>
                <w:highlight w:val="none"/>
                <w:u w:val="single"/>
              </w:rPr>
            </w:pPr>
          </w:p>
          <w:p>
            <w:pPr>
              <w:spacing w:line="360" w:lineRule="auto"/>
              <w:jc w:val="left"/>
              <w:rPr>
                <w:rFonts w:hint="eastAsia" w:ascii="宋体" w:hAnsi="宋体" w:eastAsia="宋体" w:cs="宋体"/>
                <w:color w:val="auto"/>
                <w:sz w:val="24"/>
                <w:szCs w:val="24"/>
                <w:highlight w:val="none"/>
                <w:u w:val="none"/>
                <w:lang w:eastAsia="zh-CN"/>
              </w:rPr>
            </w:pPr>
          </w:p>
          <w:p>
            <w:pPr>
              <w:spacing w:line="360" w:lineRule="auto"/>
              <w:jc w:val="left"/>
              <w:rPr>
                <w:rFonts w:hint="eastAsia" w:ascii="宋体" w:hAnsi="宋体" w:eastAsia="宋体" w:cs="宋体"/>
                <w:color w:val="auto"/>
                <w:sz w:val="24"/>
                <w:szCs w:val="24"/>
                <w:highlight w:val="none"/>
                <w:u w:val="none"/>
                <w:lang w:eastAsia="zh-CN"/>
              </w:rPr>
            </w:pPr>
          </w:p>
          <w:p>
            <w:pPr>
              <w:spacing w:line="360" w:lineRule="auto"/>
              <w:jc w:val="left"/>
              <w:rPr>
                <w:rFonts w:hint="eastAsia" w:ascii="宋体" w:hAnsi="宋体" w:eastAsia="宋体" w:cs="宋体"/>
                <w:color w:val="auto"/>
                <w:sz w:val="24"/>
                <w:szCs w:val="24"/>
                <w:highlight w:val="none"/>
                <w:u w:val="none"/>
                <w:lang w:eastAsia="zh-CN"/>
              </w:rPr>
            </w:pPr>
          </w:p>
          <w:p>
            <w:pPr>
              <w:spacing w:line="360" w:lineRule="auto"/>
              <w:jc w:val="left"/>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施工单位（盖章）：</w:t>
            </w:r>
          </w:p>
          <w:p>
            <w:pPr>
              <w:spacing w:line="360" w:lineRule="auto"/>
              <w:jc w:val="left"/>
              <w:rPr>
                <w:rFonts w:hint="eastAsia" w:ascii="宋体" w:hAnsi="宋体" w:eastAsia="宋体" w:cs="宋体"/>
                <w:color w:val="auto"/>
                <w:sz w:val="24"/>
                <w:szCs w:val="24"/>
                <w:highlight w:val="none"/>
                <w:u w:val="none"/>
                <w:lang w:eastAsia="zh-CN"/>
              </w:rPr>
            </w:pPr>
            <w:r>
              <w:rPr>
                <w:rFonts w:hint="eastAsia"/>
                <w:b w:val="0"/>
                <w:bCs w:val="0"/>
                <w:color w:val="auto"/>
                <w:sz w:val="24"/>
                <w:szCs w:val="24"/>
                <w:highlight w:val="none"/>
                <w:vertAlign w:val="baseline"/>
                <w:lang w:val="en-US" w:eastAsia="zh-CN"/>
              </w:rPr>
              <w:t>项目负责人签名：</w:t>
            </w:r>
          </w:p>
          <w:p>
            <w:pPr>
              <w:spacing w:line="360" w:lineRule="auto"/>
              <w:ind w:firstLine="4560" w:firstLineChars="1900"/>
              <w:jc w:val="right"/>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eastAsia="zh-CN"/>
              </w:rPr>
              <w:t>年</w:t>
            </w:r>
            <w:r>
              <w:rPr>
                <w:rFonts w:hint="eastAsia" w:ascii="宋体" w:hAnsi="宋体" w:eastAsia="宋体" w:cs="宋体"/>
                <w:color w:val="auto"/>
                <w:sz w:val="24"/>
                <w:szCs w:val="24"/>
                <w:highlight w:val="none"/>
                <w:u w:val="none"/>
                <w:lang w:val="en-US" w:eastAsia="zh-CN"/>
              </w:rPr>
              <w:t xml:space="preserve">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0" w:hRule="atLeast"/>
        </w:trPr>
        <w:tc>
          <w:tcPr>
            <w:tcW w:w="805" w:type="dxa"/>
            <w:vAlign w:val="center"/>
          </w:tcPr>
          <w:p>
            <w:pPr>
              <w:spacing w:line="48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回访内容</w:t>
            </w:r>
          </w:p>
        </w:tc>
        <w:tc>
          <w:tcPr>
            <w:tcW w:w="8259" w:type="dxa"/>
            <w:gridSpan w:val="2"/>
          </w:tcPr>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该项目</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年</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月</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日保修期已结束，对该服务单位保修期内的服务评价是：</w:t>
            </w:r>
          </w:p>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 ）满意</w:t>
            </w:r>
          </w:p>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 ）一般</w:t>
            </w:r>
          </w:p>
          <w:p>
            <w:pPr>
              <w:spacing w:line="360" w:lineRule="auto"/>
              <w:jc w:val="left"/>
              <w:rPr>
                <w:rFonts w:hint="eastAsia"/>
                <w:b w:val="0"/>
                <w:bCs w:val="0"/>
                <w:color w:val="auto"/>
                <w:sz w:val="24"/>
                <w:szCs w:val="24"/>
                <w:highlight w:val="none"/>
                <w:u w:val="none"/>
                <w:vertAlign w:val="baseline"/>
                <w:lang w:val="en-US" w:eastAsia="zh-CN"/>
              </w:rPr>
            </w:pPr>
            <w:r>
              <w:rPr>
                <w:rFonts w:hint="eastAsia"/>
                <w:b w:val="0"/>
                <w:bCs w:val="0"/>
                <w:color w:val="auto"/>
                <w:sz w:val="24"/>
                <w:szCs w:val="24"/>
                <w:highlight w:val="none"/>
                <w:vertAlign w:val="baseline"/>
                <w:lang w:val="en-US" w:eastAsia="zh-CN"/>
              </w:rPr>
              <w:t>（ ）不满意，主要原因是</w:t>
            </w:r>
            <w:r>
              <w:rPr>
                <w:rFonts w:hint="eastAsia"/>
                <w:b w:val="0"/>
                <w:bCs w:val="0"/>
                <w:color w:val="auto"/>
                <w:sz w:val="24"/>
                <w:szCs w:val="24"/>
                <w:highlight w:val="none"/>
                <w:u w:val="none"/>
                <w:vertAlign w:val="baseline"/>
                <w:lang w:val="en-US" w:eastAsia="zh-CN"/>
              </w:rPr>
              <w:t>：</w:t>
            </w:r>
            <w:r>
              <w:rPr>
                <w:rFonts w:hint="eastAsia"/>
                <w:b w:val="0"/>
                <w:bCs w:val="0"/>
                <w:color w:val="auto"/>
                <w:sz w:val="24"/>
                <w:szCs w:val="24"/>
                <w:highlight w:val="none"/>
                <w:u w:val="single"/>
                <w:vertAlign w:val="baseline"/>
                <w:lang w:val="en-US" w:eastAsia="zh-CN"/>
              </w:rPr>
              <w:t xml:space="preserve">                                          </w:t>
            </w:r>
            <w:r>
              <w:rPr>
                <w:rFonts w:hint="eastAsia"/>
                <w:b w:val="0"/>
                <w:bCs w:val="0"/>
                <w:color w:val="auto"/>
                <w:sz w:val="24"/>
                <w:szCs w:val="24"/>
                <w:highlight w:val="none"/>
                <w:u w:val="none"/>
                <w:vertAlign w:val="baseline"/>
                <w:lang w:val="en-US" w:eastAsia="zh-CN"/>
              </w:rPr>
              <w:t xml:space="preserve">                          </w:t>
            </w:r>
          </w:p>
          <w:p>
            <w:pPr>
              <w:spacing w:line="360" w:lineRule="auto"/>
              <w:jc w:val="left"/>
              <w:rPr>
                <w:rFonts w:hint="eastAsia"/>
                <w:b w:val="0"/>
                <w:bCs w:val="0"/>
                <w:color w:val="auto"/>
                <w:sz w:val="24"/>
                <w:szCs w:val="24"/>
                <w:highlight w:val="none"/>
                <w:shd w:val="clear" w:color="auto" w:fill="auto"/>
                <w:vertAlign w:val="baseline"/>
                <w:lang w:val="en-US" w:eastAsia="zh-CN"/>
              </w:rPr>
            </w:pPr>
            <w:r>
              <w:rPr>
                <w:rFonts w:hint="eastAsia"/>
                <w:b w:val="0"/>
                <w:bCs w:val="0"/>
                <w:color w:val="auto"/>
                <w:sz w:val="24"/>
                <w:szCs w:val="24"/>
                <w:highlight w:val="none"/>
                <w:vertAlign w:val="baseline"/>
                <w:lang w:val="en-US" w:eastAsia="zh-CN"/>
              </w:rPr>
              <w:t>如不满意，施工单位需整改，整改后的评价意见：</w:t>
            </w:r>
            <w:r>
              <w:rPr>
                <w:rFonts w:hint="eastAsia"/>
                <w:b w:val="0"/>
                <w:bCs w:val="0"/>
                <w:color w:val="auto"/>
                <w:sz w:val="24"/>
                <w:szCs w:val="24"/>
                <w:highlight w:val="none"/>
                <w:u w:val="single"/>
                <w:vertAlign w:val="baseline"/>
                <w:lang w:val="en-US" w:eastAsia="zh-CN"/>
              </w:rPr>
              <w:t xml:space="preserve">                          </w:t>
            </w:r>
          </w:p>
          <w:p>
            <w:pPr>
              <w:spacing w:line="360" w:lineRule="auto"/>
              <w:jc w:val="left"/>
              <w:rPr>
                <w:rFonts w:hint="eastAsia"/>
                <w:b w:val="0"/>
                <w:bCs w:val="0"/>
                <w:color w:val="auto"/>
                <w:sz w:val="24"/>
                <w:szCs w:val="24"/>
                <w:highlight w:val="none"/>
                <w:shd w:val="clear" w:color="auto" w:fill="auto"/>
                <w:vertAlign w:val="baseline"/>
                <w:lang w:val="en-US" w:eastAsia="zh-CN"/>
              </w:rPr>
            </w:pPr>
          </w:p>
          <w:p>
            <w:pPr>
              <w:spacing w:line="360" w:lineRule="auto"/>
              <w:jc w:val="left"/>
              <w:rPr>
                <w:rFonts w:hint="eastAsia"/>
                <w:b w:val="0"/>
                <w:bCs w:val="0"/>
                <w:color w:val="auto"/>
                <w:sz w:val="24"/>
                <w:szCs w:val="24"/>
                <w:highlight w:val="none"/>
                <w:shd w:val="clear" w:color="auto" w:fill="auto"/>
                <w:vertAlign w:val="baseline"/>
                <w:lang w:val="en-US" w:eastAsia="zh-CN"/>
              </w:rPr>
            </w:pPr>
          </w:p>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业主单位（盖章）</w:t>
            </w:r>
          </w:p>
          <w:p>
            <w:pPr>
              <w:spacing w:line="360" w:lineRule="auto"/>
              <w:jc w:val="left"/>
              <w:rPr>
                <w:rFonts w:hint="eastAsia"/>
                <w:b w:val="0"/>
                <w:bCs w:val="0"/>
                <w:color w:val="auto"/>
                <w:sz w:val="24"/>
                <w:szCs w:val="24"/>
                <w:highlight w:val="none"/>
                <w:vertAlign w:val="baseline"/>
                <w:lang w:val="en-US" w:eastAsia="zh-CN"/>
              </w:rPr>
            </w:pPr>
            <w:r>
              <w:rPr>
                <w:rFonts w:hint="eastAsia"/>
                <w:b w:val="0"/>
                <w:bCs w:val="0"/>
                <w:color w:val="auto"/>
                <w:sz w:val="24"/>
                <w:szCs w:val="24"/>
                <w:highlight w:val="none"/>
                <w:vertAlign w:val="baseline"/>
                <w:lang w:val="en-US" w:eastAsia="zh-CN"/>
              </w:rPr>
              <w:t>签名：</w:t>
            </w:r>
          </w:p>
          <w:p>
            <w:pPr>
              <w:spacing w:line="360" w:lineRule="auto"/>
              <w:ind w:left="0" w:leftChars="0" w:firstLine="0" w:firstLineChars="0"/>
              <w:jc w:val="right"/>
              <w:rPr>
                <w:rFonts w:hint="default"/>
                <w:b w:val="0"/>
                <w:bCs w:val="0"/>
                <w:color w:val="auto"/>
                <w:sz w:val="24"/>
                <w:szCs w:val="24"/>
                <w:highlight w:val="none"/>
                <w:vertAlign w:val="baseline"/>
                <w:lang w:val="en-US" w:eastAsia="zh-CN"/>
              </w:rPr>
            </w:pP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 xml:space="preserve">年 </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 xml:space="preserve"> 月  </w:t>
            </w:r>
            <w:r>
              <w:rPr>
                <w:rFonts w:hint="default"/>
                <w:b w:val="0"/>
                <w:bCs w:val="0"/>
                <w:color w:val="auto"/>
                <w:sz w:val="24"/>
                <w:szCs w:val="24"/>
                <w:highlight w:val="none"/>
                <w:vertAlign w:val="baseline"/>
                <w:lang w:eastAsia="zh-CN"/>
              </w:rPr>
              <w:t xml:space="preserve"> </w:t>
            </w:r>
            <w:r>
              <w:rPr>
                <w:rFonts w:hint="eastAsia"/>
                <w:b w:val="0"/>
                <w:bCs w:val="0"/>
                <w:color w:val="auto"/>
                <w:sz w:val="24"/>
                <w:szCs w:val="24"/>
                <w:highlight w:val="none"/>
                <w:vertAlign w:val="baseline"/>
                <w:lang w:val="en-US" w:eastAsia="zh-CN"/>
              </w:rPr>
              <w:t>日</w:t>
            </w:r>
          </w:p>
        </w:tc>
      </w:tr>
    </w:tbl>
    <w:p>
      <w:pPr>
        <w:rPr>
          <w:rStyle w:val="30"/>
          <w:rFonts w:hint="eastAsia" w:cstheme="minorBidi"/>
          <w:b/>
          <w:bCs w:val="0"/>
          <w:color w:val="auto"/>
          <w:kern w:val="44"/>
          <w:sz w:val="24"/>
          <w:szCs w:val="15"/>
          <w:highlight w:val="none"/>
          <w:lang w:val="en-US" w:eastAsia="zh-CN" w:bidi="ar-SA"/>
        </w:rPr>
      </w:pPr>
    </w:p>
    <w:p>
      <w:pPr>
        <w:spacing w:line="240" w:lineRule="auto"/>
        <w:ind w:right="0"/>
        <w:outlineLvl w:val="9"/>
        <w:rPr>
          <w:rStyle w:val="37"/>
          <w:rFonts w:hint="eastAsia" w:ascii="宋体" w:hAnsi="宋体" w:cs="Times New Roman"/>
          <w:color w:val="auto"/>
          <w:kern w:val="2"/>
          <w:sz w:val="24"/>
          <w:szCs w:val="24"/>
          <w:highlight w:val="none"/>
          <w:lang w:val="en-US" w:eastAsia="zh-CN" w:bidi="ar-SA"/>
        </w:rPr>
      </w:pPr>
      <w:r>
        <w:rPr>
          <w:rStyle w:val="37"/>
          <w:rFonts w:hint="eastAsia" w:ascii="宋体" w:hAnsi="宋体" w:cs="Times New Roman"/>
          <w:color w:val="auto"/>
          <w:kern w:val="2"/>
          <w:sz w:val="24"/>
          <w:szCs w:val="24"/>
          <w:highlight w:val="none"/>
          <w:lang w:val="en-US" w:eastAsia="zh-CN" w:bidi="ar-SA"/>
        </w:rPr>
        <w:br w:type="page"/>
      </w:r>
    </w:p>
    <w:p>
      <w:pPr>
        <w:spacing w:line="360" w:lineRule="exact"/>
        <w:ind w:right="-20"/>
        <w:outlineLvl w:val="2"/>
        <w:rPr>
          <w:rStyle w:val="37"/>
          <w:rFonts w:hint="eastAsia" w:ascii="宋体" w:hAnsi="宋体" w:cs="Times New Roman"/>
          <w:color w:val="auto"/>
          <w:kern w:val="2"/>
          <w:sz w:val="24"/>
          <w:szCs w:val="24"/>
          <w:highlight w:val="none"/>
          <w:lang w:val="en-US" w:eastAsia="zh-CN" w:bidi="ar-SA"/>
        </w:rPr>
      </w:pPr>
      <w:bookmarkStart w:id="1158" w:name="_Toc5926"/>
      <w:bookmarkStart w:id="1159" w:name="_Toc21572"/>
      <w:bookmarkStart w:id="1160" w:name="_Toc20573"/>
      <w:bookmarkStart w:id="1161" w:name="_Toc984"/>
      <w:bookmarkStart w:id="1162" w:name="_Toc30329"/>
      <w:bookmarkStart w:id="1163" w:name="_Toc8449"/>
      <w:bookmarkStart w:id="1164" w:name="_Toc10310"/>
      <w:bookmarkStart w:id="1165" w:name="_Toc9027"/>
      <w:r>
        <w:rPr>
          <w:rStyle w:val="37"/>
          <w:rFonts w:hint="eastAsia" w:ascii="宋体" w:hAnsi="宋体" w:cs="Times New Roman"/>
          <w:color w:val="auto"/>
          <w:kern w:val="2"/>
          <w:sz w:val="24"/>
          <w:szCs w:val="24"/>
          <w:highlight w:val="none"/>
          <w:lang w:val="en-US" w:eastAsia="zh-CN" w:bidi="ar-SA"/>
        </w:rPr>
        <w:t>附件九</w:t>
      </w:r>
      <w:bookmarkEnd w:id="1158"/>
      <w:bookmarkEnd w:id="1159"/>
      <w:bookmarkEnd w:id="1160"/>
      <w:bookmarkEnd w:id="1161"/>
      <w:bookmarkEnd w:id="1162"/>
      <w:bookmarkEnd w:id="1163"/>
      <w:bookmarkEnd w:id="1164"/>
      <w:bookmarkEnd w:id="1165"/>
    </w:p>
    <w:p>
      <w:pPr>
        <w:pStyle w:val="5"/>
        <w:spacing w:line="500" w:lineRule="exact"/>
        <w:jc w:val="center"/>
        <w:outlineLvl w:val="2"/>
        <w:rPr>
          <w:rStyle w:val="30"/>
          <w:rFonts w:hint="eastAsia" w:ascii="Times New Roman" w:hAnsi="Times New Roman" w:cstheme="minorBidi"/>
          <w:b/>
          <w:bCs w:val="0"/>
          <w:color w:val="auto"/>
          <w:kern w:val="44"/>
          <w:sz w:val="36"/>
          <w:szCs w:val="20"/>
          <w:highlight w:val="none"/>
          <w:lang w:val="en-US" w:eastAsia="zh-CN"/>
        </w:rPr>
      </w:pPr>
      <w:bookmarkStart w:id="1166" w:name="_Toc10651"/>
      <w:bookmarkStart w:id="1167" w:name="_Toc30795"/>
      <w:bookmarkStart w:id="1168" w:name="_Toc27687"/>
      <w:bookmarkStart w:id="1169" w:name="_Toc25415"/>
      <w:bookmarkStart w:id="1170" w:name="_Toc13169"/>
      <w:bookmarkStart w:id="1171" w:name="_Toc10849"/>
      <w:bookmarkStart w:id="1172" w:name="_Toc26136"/>
      <w:bookmarkStart w:id="1173" w:name="_Toc24818"/>
      <w:r>
        <w:rPr>
          <w:rStyle w:val="30"/>
          <w:rFonts w:hint="eastAsia" w:ascii="Times New Roman" w:hAnsi="Times New Roman" w:cstheme="minorBidi"/>
          <w:b/>
          <w:bCs w:val="0"/>
          <w:color w:val="auto"/>
          <w:kern w:val="44"/>
          <w:sz w:val="36"/>
          <w:szCs w:val="20"/>
          <w:highlight w:val="none"/>
          <w:lang w:val="en-US" w:eastAsia="zh-CN"/>
        </w:rPr>
        <w:t>广州市天河区建设工程项目</w:t>
      </w:r>
      <w:r>
        <w:rPr>
          <w:rStyle w:val="30"/>
          <w:rFonts w:hint="eastAsia" w:ascii="Times New Roman" w:hAnsi="Times New Roman" w:cstheme="minorBidi"/>
          <w:b/>
          <w:bCs w:val="0"/>
          <w:color w:val="auto"/>
          <w:kern w:val="44"/>
          <w:sz w:val="36"/>
          <w:szCs w:val="20"/>
          <w:highlight w:val="none"/>
        </w:rPr>
        <w:t>代建局</w:t>
      </w:r>
      <w:r>
        <w:rPr>
          <w:rStyle w:val="30"/>
          <w:rFonts w:hint="eastAsia" w:ascii="Times New Roman" w:hAnsi="Times New Roman" w:cstheme="minorBidi"/>
          <w:b/>
          <w:bCs w:val="0"/>
          <w:color w:val="auto"/>
          <w:kern w:val="44"/>
          <w:sz w:val="36"/>
          <w:szCs w:val="20"/>
          <w:highlight w:val="none"/>
          <w:lang w:val="en-US" w:eastAsia="zh-CN"/>
        </w:rPr>
        <w:t>建设工程分包审批管理指引</w:t>
      </w:r>
      <w:bookmarkEnd w:id="1166"/>
      <w:bookmarkEnd w:id="1167"/>
      <w:bookmarkEnd w:id="1168"/>
      <w:bookmarkEnd w:id="1169"/>
      <w:bookmarkEnd w:id="1170"/>
      <w:bookmarkEnd w:id="1171"/>
      <w:bookmarkEnd w:id="1172"/>
      <w:bookmarkEnd w:id="1173"/>
    </w:p>
    <w:p>
      <w:pPr>
        <w:jc w:val="center"/>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6"/>
          <w:szCs w:val="36"/>
          <w:highlight w:val="none"/>
          <w:lang w:val="en-US" w:eastAsia="zh-CN"/>
        </w:rPr>
        <w:t>建设工程分包审批管理指引</w:t>
      </w:r>
    </w:p>
    <w:p>
      <w:pPr>
        <w:numPr>
          <w:ilvl w:val="0"/>
          <w:numId w:val="40"/>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为了规范房屋建筑和市政基础设分包活动，维护参建方合法权益，保证工程质量和施工安全，根据《中华人民共和国建筑法》、《中华人民共和国招标投标法》、《建设工程质量管理条例》、《建设工程勘察设计管理条例》、《房屋建筑和市政基础设施工程施工分包管理办法</w:t>
      </w:r>
      <w:r>
        <w:rPr>
          <w:rFonts w:hint="eastAsia" w:ascii="仿宋" w:hAnsi="仿宋" w:eastAsia="仿宋" w:cs="仿宋"/>
          <w:i w:val="0"/>
          <w:caps w:val="0"/>
          <w:color w:val="auto"/>
          <w:spacing w:val="0"/>
          <w:sz w:val="30"/>
          <w:szCs w:val="30"/>
          <w:highlight w:val="none"/>
          <w:u w:val="none"/>
          <w:shd w:val="clear" w:fill="FFFFFF"/>
          <w:lang w:val="en-US" w:eastAsia="zh-CN"/>
        </w:rPr>
        <w:t>》等有关法律、法规，制定本指引。</w:t>
      </w:r>
    </w:p>
    <w:p>
      <w:pPr>
        <w:numPr>
          <w:ilvl w:val="0"/>
          <w:numId w:val="40"/>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sz w:val="30"/>
          <w:szCs w:val="30"/>
          <w:highlight w:val="none"/>
          <w:u w:val="none"/>
          <w:shd w:val="clear" w:fill="FFFFFF"/>
          <w:lang w:val="en-US" w:eastAsia="zh-CN"/>
        </w:rPr>
        <w:t>本指引适用于广州市天河区建设工程项目代建局（以下简称“建设单位”）建设的各类工程各阶段</w:t>
      </w:r>
      <w:r>
        <w:rPr>
          <w:rFonts w:hint="eastAsia" w:ascii="仿宋" w:hAnsi="仿宋" w:eastAsia="仿宋" w:cs="仿宋"/>
          <w:i w:val="0"/>
          <w:caps w:val="0"/>
          <w:color w:val="auto"/>
          <w:spacing w:val="0"/>
          <w:sz w:val="30"/>
          <w:szCs w:val="30"/>
          <w:highlight w:val="none"/>
          <w:u w:val="none"/>
          <w:shd w:val="clear" w:fill="FFFFFF"/>
        </w:rPr>
        <w:t>分包活动</w:t>
      </w:r>
      <w:r>
        <w:rPr>
          <w:rFonts w:hint="eastAsia" w:ascii="仿宋" w:hAnsi="仿宋" w:eastAsia="仿宋" w:cs="仿宋"/>
          <w:i w:val="0"/>
          <w:caps w:val="0"/>
          <w:color w:val="auto"/>
          <w:spacing w:val="0"/>
          <w:sz w:val="30"/>
          <w:szCs w:val="30"/>
          <w:highlight w:val="none"/>
          <w:u w:val="none"/>
          <w:shd w:val="clear" w:fill="FFFFFF"/>
          <w:lang w:eastAsia="zh-CN"/>
        </w:rPr>
        <w:t>。</w:t>
      </w:r>
    </w:p>
    <w:p>
      <w:pPr>
        <w:numPr>
          <w:ilvl w:val="0"/>
          <w:numId w:val="40"/>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本指引所称分包，含勘察设计阶段分包和施工阶段专业分包。所谓勘察设计阶段分包是指勘察设计阶段，</w:t>
      </w:r>
      <w:r>
        <w:rPr>
          <w:rFonts w:hint="eastAsia" w:ascii="仿宋" w:hAnsi="仿宋" w:eastAsia="仿宋" w:cs="仿宋"/>
          <w:i w:val="0"/>
          <w:caps w:val="0"/>
          <w:color w:val="auto"/>
          <w:spacing w:val="0"/>
          <w:sz w:val="30"/>
          <w:szCs w:val="30"/>
          <w:highlight w:val="none"/>
          <w:u w:val="none"/>
        </w:rPr>
        <w:t>除建设工程主体部分的勘察、设计外</w:t>
      </w:r>
      <w:r>
        <w:rPr>
          <w:rFonts w:hint="eastAsia" w:ascii="仿宋" w:hAnsi="仿宋" w:eastAsia="仿宋" w:cs="仿宋"/>
          <w:i w:val="0"/>
          <w:caps w:val="0"/>
          <w:color w:val="auto"/>
          <w:spacing w:val="0"/>
          <w:sz w:val="30"/>
          <w:szCs w:val="30"/>
          <w:highlight w:val="none"/>
          <w:u w:val="none"/>
          <w:lang w:eastAsia="zh-CN"/>
        </w:rPr>
        <w:t>，</w:t>
      </w:r>
      <w:r>
        <w:rPr>
          <w:rFonts w:hint="eastAsia" w:ascii="仿宋" w:hAnsi="仿宋" w:eastAsia="仿宋" w:cs="仿宋"/>
          <w:i w:val="0"/>
          <w:caps w:val="0"/>
          <w:color w:val="auto"/>
          <w:spacing w:val="0"/>
          <w:sz w:val="30"/>
          <w:szCs w:val="30"/>
          <w:highlight w:val="none"/>
          <w:u w:val="none"/>
        </w:rPr>
        <w:t>承包</w:t>
      </w:r>
      <w:r>
        <w:rPr>
          <w:rFonts w:hint="eastAsia" w:ascii="仿宋" w:hAnsi="仿宋" w:eastAsia="仿宋" w:cs="仿宋"/>
          <w:i w:val="0"/>
          <w:caps w:val="0"/>
          <w:color w:val="auto"/>
          <w:spacing w:val="0"/>
          <w:sz w:val="30"/>
          <w:szCs w:val="30"/>
          <w:highlight w:val="none"/>
          <w:u w:val="none"/>
          <w:lang w:val="en-US" w:eastAsia="zh-CN"/>
        </w:rPr>
        <w:t>人</w:t>
      </w:r>
      <w:r>
        <w:rPr>
          <w:rFonts w:hint="eastAsia" w:ascii="仿宋" w:hAnsi="仿宋" w:eastAsia="仿宋" w:cs="仿宋"/>
          <w:i w:val="0"/>
          <w:caps w:val="0"/>
          <w:color w:val="auto"/>
          <w:spacing w:val="0"/>
          <w:sz w:val="30"/>
          <w:szCs w:val="30"/>
          <w:highlight w:val="none"/>
          <w:u w:val="none"/>
        </w:rPr>
        <w:t>将建设工程其他部分的勘察、设计再分包给其他具有相应资质等级的建设工程勘察、设计单位</w:t>
      </w:r>
      <w:r>
        <w:rPr>
          <w:rFonts w:hint="eastAsia" w:ascii="仿宋" w:hAnsi="仿宋" w:eastAsia="仿宋" w:cs="仿宋"/>
          <w:i w:val="0"/>
          <w:caps w:val="0"/>
          <w:color w:val="auto"/>
          <w:spacing w:val="0"/>
          <w:sz w:val="30"/>
          <w:szCs w:val="30"/>
          <w:highlight w:val="none"/>
          <w:u w:val="none"/>
          <w:lang w:val="en-US" w:eastAsia="zh-CN"/>
        </w:rPr>
        <w:t>的活动；施工阶段分包，</w:t>
      </w:r>
      <w:r>
        <w:rPr>
          <w:rFonts w:hint="eastAsia" w:ascii="仿宋" w:hAnsi="仿宋" w:eastAsia="仿宋" w:cs="仿宋"/>
          <w:i w:val="0"/>
          <w:caps w:val="0"/>
          <w:color w:val="auto"/>
          <w:spacing w:val="0"/>
          <w:kern w:val="2"/>
          <w:sz w:val="30"/>
          <w:szCs w:val="30"/>
          <w:highlight w:val="none"/>
          <w:u w:val="none"/>
          <w:shd w:val="clear" w:fill="FFFFFF"/>
          <w:lang w:val="en-US" w:eastAsia="zh-CN" w:bidi="ar-SA"/>
        </w:rPr>
        <w:t>承包人将其所承包工程中的专业工程分包给其他具有相应资质企业完成的活动。</w:t>
      </w:r>
    </w:p>
    <w:p>
      <w:pPr>
        <w:numPr>
          <w:ilvl w:val="0"/>
          <w:numId w:val="0"/>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本指引所称分包，不含施工阶段劳务分包。</w:t>
      </w:r>
    </w:p>
    <w:p>
      <w:pPr>
        <w:numPr>
          <w:ilvl w:val="0"/>
          <w:numId w:val="40"/>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承包人发包的分包工程必须经建设单位认可。分包工程承包人必须自行完成所承包的工程。</w:t>
      </w:r>
    </w:p>
    <w:p>
      <w:pPr>
        <w:numPr>
          <w:ilvl w:val="0"/>
          <w:numId w:val="40"/>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分包单位的企业资信、人员、业绩等应与建设单位发布的招标文件、承包人提交的投标件、承包人与建设单位签订的合同相匹配，不得以分包名义降低相关标准。</w:t>
      </w:r>
    </w:p>
    <w:p>
      <w:pPr>
        <w:numPr>
          <w:ilvl w:val="0"/>
          <w:numId w:val="40"/>
        </w:numPr>
        <w:ind w:firstLine="56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sz w:val="28"/>
          <w:szCs w:val="28"/>
          <w:highlight w:val="none"/>
          <w:u w:val="none"/>
          <w:shd w:val="clear" w:fill="FFFFFF"/>
        </w:rPr>
        <w:t>分包</w:t>
      </w:r>
      <w:r>
        <w:rPr>
          <w:rFonts w:hint="eastAsia" w:ascii="仿宋" w:hAnsi="仿宋" w:eastAsia="仿宋" w:cs="仿宋"/>
          <w:i w:val="0"/>
          <w:caps w:val="0"/>
          <w:color w:val="auto"/>
          <w:spacing w:val="0"/>
          <w:sz w:val="28"/>
          <w:szCs w:val="28"/>
          <w:highlight w:val="none"/>
          <w:u w:val="none"/>
          <w:shd w:val="clear" w:fill="FFFFFF"/>
          <w:lang w:val="en-US" w:eastAsia="zh-CN"/>
        </w:rPr>
        <w:t>单位</w:t>
      </w:r>
      <w:r>
        <w:rPr>
          <w:rFonts w:hint="eastAsia" w:ascii="仿宋" w:hAnsi="仿宋" w:eastAsia="仿宋" w:cs="仿宋"/>
          <w:i w:val="0"/>
          <w:caps w:val="0"/>
          <w:color w:val="auto"/>
          <w:spacing w:val="0"/>
          <w:sz w:val="28"/>
          <w:szCs w:val="28"/>
          <w:highlight w:val="none"/>
          <w:u w:val="none"/>
          <w:shd w:val="clear" w:fill="FFFFFF"/>
        </w:rPr>
        <w:t>应当设立项目管理机构，组织管理所承包工程活动。项目管理机构应当具有与承包工程的规模、技术复杂程度相适应的技术、经济管理人员。</w:t>
      </w:r>
    </w:p>
    <w:p>
      <w:pPr>
        <w:numPr>
          <w:ilvl w:val="0"/>
          <w:numId w:val="0"/>
        </w:numPr>
        <w:ind w:firstLine="56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sz w:val="28"/>
          <w:szCs w:val="28"/>
          <w:highlight w:val="none"/>
          <w:u w:val="none"/>
          <w:shd w:val="clear" w:fill="FFFFFF"/>
          <w:lang w:val="en-US" w:eastAsia="zh-CN"/>
        </w:rPr>
        <w:t>属施工阶段分包的，分包单位</w:t>
      </w:r>
      <w:r>
        <w:rPr>
          <w:rFonts w:hint="eastAsia" w:ascii="仿宋" w:hAnsi="仿宋" w:eastAsia="仿宋" w:cs="仿宋"/>
          <w:i w:val="0"/>
          <w:caps w:val="0"/>
          <w:color w:val="auto"/>
          <w:spacing w:val="0"/>
          <w:sz w:val="28"/>
          <w:szCs w:val="28"/>
          <w:highlight w:val="none"/>
          <w:u w:val="none"/>
          <w:shd w:val="clear" w:fill="FFFFFF"/>
        </w:rPr>
        <w:t>项目负责人、技术负责人、项目核算负责人、质量管理人员、安全管理人员必须是本单位的人员。</w:t>
      </w:r>
    </w:p>
    <w:p>
      <w:pPr>
        <w:numPr>
          <w:ilvl w:val="0"/>
          <w:numId w:val="40"/>
        </w:numPr>
        <w:ind w:firstLine="56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sz w:val="28"/>
          <w:szCs w:val="28"/>
          <w:highlight w:val="none"/>
          <w:u w:val="none"/>
          <w:shd w:val="clear" w:fill="FFFFFF"/>
          <w:lang w:val="en-US" w:eastAsia="zh-CN"/>
        </w:rPr>
        <w:t>承包人应在分包活动实施前，应以书面形式报建设单位审批同意后，才能进行实施分包行为。建设单位收到承包人书面意见后，属勘察设计阶段的，前期管理部门应对相关材料进行审核，报分管局领导审批；属施工阶段的，监理单位应对相关材料先行审核把关，工程管理部门复核，报分管局领导审批（见附件一）。必要时，建设单位可组织相关单位和人员对分包单位进行现场考察。</w:t>
      </w:r>
    </w:p>
    <w:p>
      <w:pPr>
        <w:numPr>
          <w:ilvl w:val="0"/>
          <w:numId w:val="0"/>
        </w:numPr>
        <w:ind w:firstLine="560" w:firstLineChars="200"/>
        <w:jc w:val="both"/>
        <w:rPr>
          <w:rFonts w:hint="eastAsia" w:ascii="仿宋" w:hAnsi="仿宋" w:eastAsia="仿宋" w:cs="仿宋"/>
          <w:i w:val="0"/>
          <w:caps w:val="0"/>
          <w:color w:val="auto"/>
          <w:spacing w:val="0"/>
          <w:sz w:val="28"/>
          <w:szCs w:val="28"/>
          <w:highlight w:val="none"/>
          <w:u w:val="none"/>
          <w:shd w:val="clear" w:fill="FFFFFF"/>
          <w:lang w:val="en-US" w:eastAsia="zh-CN"/>
        </w:rPr>
      </w:pPr>
      <w:r>
        <w:rPr>
          <w:rFonts w:hint="eastAsia" w:ascii="仿宋" w:hAnsi="仿宋" w:eastAsia="仿宋" w:cs="仿宋"/>
          <w:i w:val="0"/>
          <w:caps w:val="0"/>
          <w:color w:val="auto"/>
          <w:spacing w:val="0"/>
          <w:sz w:val="28"/>
          <w:szCs w:val="28"/>
          <w:highlight w:val="none"/>
          <w:u w:val="none"/>
          <w:shd w:val="clear" w:fill="FFFFFF"/>
          <w:lang w:val="en-US" w:eastAsia="zh-CN"/>
        </w:rPr>
        <w:t>属承包勘察设计分包的，承包人应提交的书面材料包括分包单位营业执照、资质证书、相关业绩、管理人员架构和相关管理制度、拟签订的分包合同等。</w:t>
      </w:r>
    </w:p>
    <w:p>
      <w:pPr>
        <w:numPr>
          <w:ilvl w:val="0"/>
          <w:numId w:val="0"/>
        </w:numPr>
        <w:ind w:firstLine="560" w:firstLineChars="200"/>
        <w:jc w:val="both"/>
        <w:rPr>
          <w:rFonts w:hint="default" w:ascii="仿宋" w:hAnsi="仿宋" w:eastAsia="仿宋" w:cs="仿宋"/>
          <w:i w:val="0"/>
          <w:caps w:val="0"/>
          <w:color w:val="auto"/>
          <w:spacing w:val="0"/>
          <w:sz w:val="28"/>
          <w:szCs w:val="28"/>
          <w:highlight w:val="none"/>
          <w:u w:val="none"/>
          <w:shd w:val="clear" w:fill="FFFFFF"/>
          <w:lang w:val="en-US" w:eastAsia="zh-CN"/>
        </w:rPr>
      </w:pPr>
      <w:r>
        <w:rPr>
          <w:rFonts w:hint="eastAsia" w:ascii="仿宋" w:hAnsi="仿宋" w:eastAsia="仿宋" w:cs="仿宋"/>
          <w:i w:val="0"/>
          <w:caps w:val="0"/>
          <w:color w:val="auto"/>
          <w:spacing w:val="0"/>
          <w:sz w:val="28"/>
          <w:szCs w:val="28"/>
          <w:highlight w:val="none"/>
          <w:u w:val="none"/>
          <w:shd w:val="clear" w:fill="FFFFFF"/>
          <w:lang w:val="en-US" w:eastAsia="zh-CN"/>
        </w:rPr>
        <w:t>属施工阶段分包的，承包人应提交的书面材料包括分包单位营业执照、资质证书、安全生产许可文件、相关业绩、管理人员架构和相关管理制度、拟签订的分包合同等。</w:t>
      </w:r>
    </w:p>
    <w:p>
      <w:pPr>
        <w:numPr>
          <w:ilvl w:val="0"/>
          <w:numId w:val="40"/>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建设单位前期管理部门和工程管理部门应建立分包管理台帐（见附件二）。</w:t>
      </w:r>
    </w:p>
    <w:p>
      <w:pPr>
        <w:numPr>
          <w:ilvl w:val="0"/>
          <w:numId w:val="40"/>
        </w:numPr>
        <w:ind w:firstLine="600" w:firstLineChars="200"/>
        <w:jc w:val="both"/>
        <w:rPr>
          <w:rFonts w:hint="eastAsia" w:ascii="仿宋" w:hAnsi="仿宋" w:eastAsia="仿宋" w:cs="仿宋"/>
          <w:i w:val="0"/>
          <w:caps w:val="0"/>
          <w:color w:val="auto"/>
          <w:spacing w:val="0"/>
          <w:kern w:val="2"/>
          <w:sz w:val="30"/>
          <w:szCs w:val="30"/>
          <w:highlight w:val="none"/>
          <w:u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未按本指引规定，未经报批确定分包单位的，按相关法律法规规定和合同约定，追究相关单位和人员责任。</w:t>
      </w:r>
    </w:p>
    <w:p>
      <w:pPr>
        <w:numPr>
          <w:ilvl w:val="0"/>
          <w:numId w:val="40"/>
        </w:numPr>
        <w:ind w:firstLine="600" w:firstLineChars="200"/>
        <w:jc w:val="both"/>
        <w:rPr>
          <w:rFonts w:hint="eastAsia" w:ascii="仿宋" w:hAnsi="仿宋" w:eastAsia="仿宋" w:cs="仿宋"/>
          <w:i w:val="0"/>
          <w:caps w:val="0"/>
          <w:color w:val="auto"/>
          <w:spacing w:val="0"/>
          <w:kern w:val="2"/>
          <w:sz w:val="30"/>
          <w:szCs w:val="30"/>
          <w:highlight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t>本指引由建设单位负责解释，自印发之起日试行，有效期一年。</w:t>
      </w:r>
    </w:p>
    <w:p>
      <w:pPr>
        <w:rPr>
          <w:rFonts w:hint="eastAsia" w:ascii="仿宋" w:hAnsi="仿宋" w:eastAsia="仿宋" w:cs="仿宋"/>
          <w:i w:val="0"/>
          <w:caps w:val="0"/>
          <w:color w:val="auto"/>
          <w:spacing w:val="0"/>
          <w:kern w:val="2"/>
          <w:sz w:val="30"/>
          <w:szCs w:val="30"/>
          <w:highlight w:val="none"/>
          <w:shd w:val="clear" w:fill="FFFFFF"/>
          <w:lang w:val="en-US" w:eastAsia="zh-CN" w:bidi="ar-SA"/>
        </w:rPr>
      </w:pPr>
      <w:r>
        <w:rPr>
          <w:rFonts w:hint="eastAsia" w:ascii="仿宋" w:hAnsi="仿宋" w:eastAsia="仿宋" w:cs="仿宋"/>
          <w:i w:val="0"/>
          <w:caps w:val="0"/>
          <w:color w:val="auto"/>
          <w:spacing w:val="0"/>
          <w:kern w:val="2"/>
          <w:sz w:val="30"/>
          <w:szCs w:val="30"/>
          <w:highlight w:val="none"/>
          <w:u w:val="none"/>
          <w:shd w:val="clear" w:fill="FFFFFF"/>
          <w:lang w:val="en-US" w:eastAsia="zh-CN" w:bidi="ar-SA"/>
        </w:rPr>
        <w:br w:type="page"/>
      </w: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附件一：1-1</w:t>
      </w:r>
    </w:p>
    <w:p>
      <w:pPr>
        <w:widowControl w:val="0"/>
        <w:numPr>
          <w:ilvl w:val="0"/>
          <w:numId w:val="0"/>
        </w:numPr>
        <w:jc w:val="center"/>
        <w:rPr>
          <w:rFonts w:hint="eastAsia"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分包单位资格审批表</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（用于前期阶段）</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1347"/>
        <w:gridCol w:w="5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8"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5961" w:type="dxa"/>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9" w:hRule="atLeast"/>
        </w:trPr>
        <w:tc>
          <w:tcPr>
            <w:tcW w:w="1011"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承包人申报函</w:t>
            </w:r>
          </w:p>
        </w:tc>
        <w:tc>
          <w:tcPr>
            <w:tcW w:w="7308" w:type="dxa"/>
            <w:gridSpan w:val="2"/>
          </w:tcPr>
          <w:p>
            <w:pPr>
              <w:widowControl w:val="0"/>
              <w:numPr>
                <w:ilvl w:val="0"/>
                <w:numId w:val="0"/>
              </w:numPr>
              <w:jc w:val="both"/>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广州市天河区建设工程项目代建局</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现按相关法律法规规定，我方认为</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（分包单位名称）具备专业承包资格和能力，</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拟将</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（分包工程名称）分包上述单位实施。分包后，我方仍履行承包的全部相关责任，并与分包单位承担连带责任。</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请予以审核。</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附件：</w:t>
            </w:r>
          </w:p>
          <w:p>
            <w:pPr>
              <w:widowControl w:val="0"/>
              <w:numPr>
                <w:ilvl w:val="0"/>
                <w:numId w:val="41"/>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分包单位营业执照、资质证书；</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分包单位相关业绩；</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负责本项目分包单位管理人员架构和相关管理制度；</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负责本项目管理人员执业资格、证书、劳动合同、社保证明文件等；</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拟签订的分包合同；</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其他：</w:t>
            </w:r>
          </w:p>
          <w:p>
            <w:pPr>
              <w:widowControl w:val="0"/>
              <w:numPr>
                <w:ilvl w:val="0"/>
                <w:numId w:val="0"/>
              </w:numPr>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承包人法定代表人</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或委托授权人签字：</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100"/>
              <w:jc w:val="cente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011" w:type="dxa"/>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前期科</w:t>
            </w: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意见</w:t>
            </w:r>
          </w:p>
        </w:tc>
        <w:tc>
          <w:tcPr>
            <w:tcW w:w="7308" w:type="dxa"/>
            <w:gridSpan w:val="2"/>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经办人：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        科长：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1"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分管局领导意见</w:t>
            </w:r>
          </w:p>
        </w:tc>
        <w:tc>
          <w:tcPr>
            <w:tcW w:w="7308" w:type="dxa"/>
            <w:gridSpan w:val="2"/>
          </w:tcPr>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w:t>
            </w: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right"/>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签名：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w:t>
            </w:r>
          </w:p>
        </w:tc>
      </w:tr>
    </w:tbl>
    <w:p>
      <w:pPr>
        <w:widowControl/>
        <w:ind w:firstLine="360" w:firstLineChars="200"/>
        <w:jc w:val="left"/>
        <w:rPr>
          <w:rFonts w:hint="eastAsia" w:ascii="仿宋" w:hAnsi="仿宋" w:eastAsia="仿宋" w:cs="仿宋"/>
          <w:color w:val="auto"/>
          <w:kern w:val="0"/>
          <w:sz w:val="18"/>
          <w:szCs w:val="18"/>
          <w:highlight w:val="none"/>
          <w:u w:val="none"/>
          <w:lang w:eastAsia="zh-CN"/>
        </w:rPr>
      </w:pPr>
      <w:r>
        <w:rPr>
          <w:rFonts w:hint="eastAsia" w:ascii="仿宋" w:hAnsi="仿宋" w:eastAsia="仿宋" w:cs="仿宋"/>
          <w:color w:val="auto"/>
          <w:kern w:val="0"/>
          <w:sz w:val="18"/>
          <w:szCs w:val="18"/>
          <w:highlight w:val="none"/>
          <w:u w:val="none"/>
        </w:rPr>
        <w:t>注：1.本表由</w:t>
      </w:r>
      <w:r>
        <w:rPr>
          <w:rFonts w:hint="eastAsia" w:ascii="仿宋" w:hAnsi="仿宋" w:eastAsia="仿宋" w:cs="仿宋"/>
          <w:color w:val="auto"/>
          <w:kern w:val="0"/>
          <w:sz w:val="18"/>
          <w:szCs w:val="18"/>
          <w:highlight w:val="none"/>
          <w:u w:val="none"/>
          <w:lang w:val="en-US" w:eastAsia="zh-CN"/>
        </w:rPr>
        <w:t>承包人负责</w:t>
      </w:r>
      <w:r>
        <w:rPr>
          <w:rFonts w:hint="eastAsia" w:ascii="仿宋" w:hAnsi="仿宋" w:eastAsia="仿宋" w:cs="仿宋"/>
          <w:color w:val="auto"/>
          <w:kern w:val="0"/>
          <w:sz w:val="18"/>
          <w:szCs w:val="18"/>
          <w:highlight w:val="none"/>
          <w:u w:val="none"/>
        </w:rPr>
        <w:t>填写，由</w:t>
      </w:r>
      <w:r>
        <w:rPr>
          <w:rFonts w:hint="eastAsia" w:ascii="仿宋" w:hAnsi="仿宋" w:eastAsia="仿宋" w:cs="仿宋"/>
          <w:color w:val="auto"/>
          <w:kern w:val="0"/>
          <w:sz w:val="18"/>
          <w:szCs w:val="18"/>
          <w:highlight w:val="none"/>
          <w:u w:val="none"/>
          <w:lang w:val="en-US" w:eastAsia="zh-CN"/>
        </w:rPr>
        <w:t>建设单位前期管理部门项目负责人组织</w:t>
      </w:r>
      <w:r>
        <w:rPr>
          <w:rFonts w:hint="eastAsia" w:ascii="仿宋" w:hAnsi="仿宋" w:eastAsia="仿宋" w:cs="仿宋"/>
          <w:color w:val="auto"/>
          <w:kern w:val="0"/>
          <w:sz w:val="18"/>
          <w:szCs w:val="18"/>
          <w:highlight w:val="none"/>
          <w:u w:val="none"/>
        </w:rPr>
        <w:t>呈批</w:t>
      </w:r>
      <w:r>
        <w:rPr>
          <w:rFonts w:hint="eastAsia" w:ascii="仿宋" w:hAnsi="仿宋" w:eastAsia="仿宋" w:cs="仿宋"/>
          <w:color w:val="auto"/>
          <w:kern w:val="0"/>
          <w:sz w:val="18"/>
          <w:szCs w:val="18"/>
          <w:highlight w:val="none"/>
          <w:u w:val="none"/>
          <w:lang w:val="en-US" w:eastAsia="zh-CN"/>
        </w:rPr>
        <w:t>；</w:t>
      </w:r>
    </w:p>
    <w:p>
      <w:pPr>
        <w:widowControl/>
        <w:ind w:firstLine="720" w:firstLineChars="4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2.本表一式一份，</w:t>
      </w:r>
      <w:r>
        <w:rPr>
          <w:rFonts w:hint="eastAsia" w:ascii="仿宋" w:hAnsi="仿宋" w:eastAsia="仿宋" w:cs="仿宋"/>
          <w:color w:val="auto"/>
          <w:kern w:val="0"/>
          <w:sz w:val="18"/>
          <w:szCs w:val="18"/>
          <w:highlight w:val="none"/>
          <w:u w:val="none"/>
          <w:lang w:val="en-US" w:eastAsia="zh-CN"/>
        </w:rPr>
        <w:t>由建设单位前期管理部门</w:t>
      </w:r>
      <w:r>
        <w:rPr>
          <w:rFonts w:hint="eastAsia" w:ascii="仿宋" w:hAnsi="仿宋" w:eastAsia="仿宋" w:cs="仿宋"/>
          <w:color w:val="auto"/>
          <w:kern w:val="0"/>
          <w:sz w:val="18"/>
          <w:szCs w:val="18"/>
          <w:highlight w:val="none"/>
          <w:u w:val="none"/>
        </w:rPr>
        <w:t>项目负责人归档，</w:t>
      </w:r>
      <w:r>
        <w:rPr>
          <w:rFonts w:hint="eastAsia" w:ascii="仿宋" w:hAnsi="仿宋" w:eastAsia="仿宋" w:cs="仿宋"/>
          <w:color w:val="auto"/>
          <w:kern w:val="0"/>
          <w:sz w:val="18"/>
          <w:szCs w:val="18"/>
          <w:highlight w:val="none"/>
          <w:u w:val="none"/>
          <w:lang w:val="en-US" w:eastAsia="zh-CN"/>
        </w:rPr>
        <w:t>并</w:t>
      </w:r>
      <w:r>
        <w:rPr>
          <w:rFonts w:hint="eastAsia" w:ascii="仿宋" w:hAnsi="仿宋" w:eastAsia="仿宋" w:cs="仿宋"/>
          <w:color w:val="auto"/>
          <w:kern w:val="0"/>
          <w:sz w:val="18"/>
          <w:szCs w:val="18"/>
          <w:highlight w:val="none"/>
          <w:u w:val="none"/>
        </w:rPr>
        <w:t>作为</w:t>
      </w:r>
      <w:r>
        <w:rPr>
          <w:rFonts w:hint="eastAsia" w:ascii="仿宋" w:hAnsi="仿宋" w:eastAsia="仿宋" w:cs="仿宋"/>
          <w:color w:val="auto"/>
          <w:kern w:val="0"/>
          <w:sz w:val="18"/>
          <w:szCs w:val="18"/>
          <w:highlight w:val="none"/>
          <w:u w:val="none"/>
          <w:lang w:val="en-US" w:eastAsia="zh-CN"/>
        </w:rPr>
        <w:t>《分包单位资格报审表》（用于前期阶段）盖建设单位</w:t>
      </w:r>
      <w:r>
        <w:rPr>
          <w:rFonts w:hint="eastAsia" w:ascii="仿宋" w:hAnsi="仿宋" w:eastAsia="仿宋" w:cs="仿宋"/>
          <w:color w:val="auto"/>
          <w:kern w:val="0"/>
          <w:sz w:val="18"/>
          <w:szCs w:val="18"/>
          <w:highlight w:val="none"/>
          <w:u w:val="none"/>
        </w:rPr>
        <w:t>公章</w:t>
      </w:r>
      <w:r>
        <w:rPr>
          <w:rFonts w:hint="eastAsia" w:ascii="仿宋" w:hAnsi="仿宋" w:eastAsia="仿宋" w:cs="仿宋"/>
          <w:color w:val="auto"/>
          <w:kern w:val="0"/>
          <w:sz w:val="18"/>
          <w:szCs w:val="18"/>
          <w:highlight w:val="none"/>
          <w:u w:val="none"/>
          <w:lang w:val="en-US" w:eastAsia="zh-CN"/>
        </w:rPr>
        <w:t>的</w:t>
      </w:r>
      <w:r>
        <w:rPr>
          <w:rFonts w:hint="eastAsia" w:ascii="仿宋" w:hAnsi="仿宋" w:eastAsia="仿宋" w:cs="仿宋"/>
          <w:color w:val="auto"/>
          <w:kern w:val="0"/>
          <w:sz w:val="18"/>
          <w:szCs w:val="18"/>
          <w:highlight w:val="none"/>
          <w:u w:val="none"/>
        </w:rPr>
        <w:t>依据。本表仅在</w:t>
      </w:r>
      <w:r>
        <w:rPr>
          <w:rFonts w:hint="eastAsia" w:ascii="仿宋" w:hAnsi="仿宋" w:eastAsia="仿宋" w:cs="仿宋"/>
          <w:color w:val="auto"/>
          <w:kern w:val="0"/>
          <w:sz w:val="18"/>
          <w:szCs w:val="18"/>
          <w:highlight w:val="none"/>
          <w:u w:val="none"/>
          <w:lang w:val="en-US" w:eastAsia="zh-CN"/>
        </w:rPr>
        <w:t>建设单位</w:t>
      </w:r>
      <w:r>
        <w:rPr>
          <w:rFonts w:hint="eastAsia" w:ascii="仿宋" w:hAnsi="仿宋" w:eastAsia="仿宋" w:cs="仿宋"/>
          <w:color w:val="auto"/>
          <w:kern w:val="0"/>
          <w:sz w:val="18"/>
          <w:szCs w:val="18"/>
          <w:highlight w:val="none"/>
          <w:u w:val="none"/>
        </w:rPr>
        <w:t>内部流转。</w:t>
      </w: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lang w:val="en-US" w:eastAsia="zh-CN" w:bidi="ar-SA"/>
        </w:rPr>
      </w:pPr>
    </w:p>
    <w:p>
      <w:pPr>
        <w:widowControl/>
        <w:numPr>
          <w:ilvl w:val="-1"/>
          <w:numId w:val="0"/>
        </w:numPr>
        <w:jc w:val="left"/>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br w:type="page"/>
      </w:r>
    </w:p>
    <w:p>
      <w:pPr>
        <w:widowControl w:val="0"/>
        <w:numPr>
          <w:ilvl w:val="0"/>
          <w:numId w:val="0"/>
        </w:numPr>
        <w:jc w:val="both"/>
        <w:rPr>
          <w:rFonts w:hint="eastAsia"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附件一：1-2</w:t>
      </w:r>
    </w:p>
    <w:p>
      <w:pPr>
        <w:widowControl w:val="0"/>
        <w:numPr>
          <w:ilvl w:val="0"/>
          <w:numId w:val="0"/>
        </w:numPr>
        <w:jc w:val="center"/>
        <w:rPr>
          <w:rFonts w:hint="eastAsia"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分包单位资格报审表</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（用于前期阶段）</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380"/>
        <w:gridCol w:w="6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6"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6106" w:type="dxa"/>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9" w:hRule="atLeast"/>
        </w:trPr>
        <w:tc>
          <w:tcPr>
            <w:tcW w:w="103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承包人申报函</w:t>
            </w:r>
          </w:p>
        </w:tc>
        <w:tc>
          <w:tcPr>
            <w:tcW w:w="7486" w:type="dxa"/>
            <w:gridSpan w:val="2"/>
          </w:tcPr>
          <w:p>
            <w:pPr>
              <w:widowControl w:val="0"/>
              <w:numPr>
                <w:ilvl w:val="0"/>
                <w:numId w:val="0"/>
              </w:numPr>
              <w:jc w:val="both"/>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广州市天河区建设工程项目代建局</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现按相关法律法规规定，我方认为</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（分包单位名称）具备专业承包资格和能力，</w:t>
            </w: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拟将</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（分包工程名称）分包上述单位实施。分包后，我方仍履行承包的全部相关责任，并与分包单位承担连带责任。</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请予以审核。</w:t>
            </w: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附件：</w:t>
            </w:r>
          </w:p>
          <w:p>
            <w:pPr>
              <w:widowControl w:val="0"/>
              <w:numPr>
                <w:ilvl w:val="0"/>
                <w:numId w:val="41"/>
              </w:numPr>
              <w:ind w:firstLine="480" w:firstLineChars="200"/>
              <w:jc w:val="both"/>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分包单位营业执照、资质证书；</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分包单位相关业绩；</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负责本项目分包单位管理人员架构和相关管理制度；</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负责本项目管理人员执业资格、证书、劳动合同、社保证明文件等；</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拟签订的分包合同；</w:t>
            </w:r>
          </w:p>
          <w:p>
            <w:pPr>
              <w:widowControl w:val="0"/>
              <w:numPr>
                <w:ilvl w:val="0"/>
                <w:numId w:val="41"/>
              </w:numPr>
              <w:ind w:firstLine="480" w:firstLineChars="200"/>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其他：</w:t>
            </w:r>
          </w:p>
          <w:p>
            <w:pPr>
              <w:widowControl w:val="0"/>
              <w:numPr>
                <w:ilvl w:val="0"/>
                <w:numId w:val="0"/>
              </w:numPr>
              <w:jc w:val="both"/>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承包人法定代表人</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或委托授权人签字：</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100"/>
              <w:jc w:val="cente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103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建设单位意见</w:t>
            </w:r>
          </w:p>
        </w:tc>
        <w:tc>
          <w:tcPr>
            <w:tcW w:w="7486" w:type="dxa"/>
            <w:gridSpan w:val="2"/>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p>
            <w:pPr>
              <w:widowControl w:val="0"/>
              <w:numPr>
                <w:ilvl w:val="0"/>
                <w:numId w:val="0"/>
              </w:numPr>
              <w:ind w:leftChars="1000"/>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ind w:leftChars="1000"/>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ind w:leftChars="1000"/>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（公章）</w:t>
            </w: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right"/>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项目负责人：   </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bl>
    <w:p>
      <w:pPr>
        <w:widowControl/>
        <w:ind w:firstLine="360" w:firstLineChars="200"/>
        <w:jc w:val="left"/>
        <w:rPr>
          <w:rFonts w:hint="eastAsia" w:ascii="仿宋" w:hAnsi="仿宋" w:eastAsia="仿宋" w:cs="仿宋"/>
          <w:color w:val="auto"/>
          <w:kern w:val="0"/>
          <w:sz w:val="18"/>
          <w:szCs w:val="18"/>
          <w:highlight w:val="none"/>
          <w:u w:val="none"/>
        </w:rPr>
      </w:pPr>
    </w:p>
    <w:p>
      <w:pPr>
        <w:widowControl w:val="0"/>
        <w:numPr>
          <w:ilvl w:val="0"/>
          <w:numId w:val="0"/>
        </w:numPr>
        <w:jc w:val="left"/>
        <w:rPr>
          <w:rFonts w:hint="default" w:ascii="仿宋" w:hAnsi="仿宋" w:eastAsia="仿宋" w:cs="仿宋"/>
          <w:color w:val="auto"/>
          <w:kern w:val="0"/>
          <w:sz w:val="18"/>
          <w:szCs w:val="18"/>
          <w:highlight w:val="none"/>
          <w:u w:val="none"/>
          <w:lang w:val="en-US"/>
        </w:rPr>
      </w:pPr>
      <w:r>
        <w:rPr>
          <w:rFonts w:hint="eastAsia" w:ascii="仿宋" w:hAnsi="仿宋" w:eastAsia="仿宋" w:cs="仿宋"/>
          <w:color w:val="auto"/>
          <w:kern w:val="0"/>
          <w:sz w:val="18"/>
          <w:szCs w:val="18"/>
          <w:highlight w:val="none"/>
          <w:u w:val="none"/>
        </w:rPr>
        <w:t>注：1.本表由</w:t>
      </w:r>
      <w:r>
        <w:rPr>
          <w:rFonts w:hint="eastAsia" w:ascii="仿宋" w:hAnsi="仿宋" w:eastAsia="仿宋" w:cs="仿宋"/>
          <w:color w:val="auto"/>
          <w:kern w:val="0"/>
          <w:sz w:val="18"/>
          <w:szCs w:val="18"/>
          <w:highlight w:val="none"/>
          <w:u w:val="none"/>
          <w:lang w:val="en-US" w:eastAsia="zh-CN"/>
        </w:rPr>
        <w:t>承包人负责</w:t>
      </w:r>
      <w:r>
        <w:rPr>
          <w:rFonts w:hint="eastAsia" w:ascii="仿宋" w:hAnsi="仿宋" w:eastAsia="仿宋" w:cs="仿宋"/>
          <w:color w:val="auto"/>
          <w:kern w:val="0"/>
          <w:sz w:val="18"/>
          <w:szCs w:val="18"/>
          <w:highlight w:val="none"/>
          <w:u w:val="none"/>
        </w:rPr>
        <w:t>填写，由</w:t>
      </w:r>
      <w:r>
        <w:rPr>
          <w:rFonts w:hint="eastAsia" w:ascii="仿宋" w:hAnsi="仿宋" w:eastAsia="仿宋" w:cs="仿宋"/>
          <w:color w:val="auto"/>
          <w:kern w:val="0"/>
          <w:sz w:val="18"/>
          <w:szCs w:val="18"/>
          <w:highlight w:val="none"/>
          <w:u w:val="none"/>
          <w:lang w:val="en-US" w:eastAsia="zh-CN"/>
        </w:rPr>
        <w:t>建设单位前期管理部门项目负责人根据《分包单位资格审批表》（用于前期阶段）科室负责人及分管局领导审批意见，填写建设单位审批意见；</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2.本表一式</w:t>
      </w:r>
      <w:r>
        <w:rPr>
          <w:rFonts w:hint="eastAsia" w:ascii="仿宋" w:hAnsi="仿宋" w:eastAsia="仿宋" w:cs="仿宋"/>
          <w:color w:val="auto"/>
          <w:kern w:val="0"/>
          <w:sz w:val="18"/>
          <w:szCs w:val="18"/>
          <w:highlight w:val="none"/>
          <w:u w:val="none"/>
          <w:lang w:val="en-US" w:eastAsia="zh-CN"/>
        </w:rPr>
        <w:t>三</w:t>
      </w:r>
      <w:r>
        <w:rPr>
          <w:rFonts w:hint="eastAsia" w:ascii="仿宋" w:hAnsi="仿宋" w:eastAsia="仿宋" w:cs="仿宋"/>
          <w:color w:val="auto"/>
          <w:kern w:val="0"/>
          <w:sz w:val="18"/>
          <w:szCs w:val="18"/>
          <w:highlight w:val="none"/>
          <w:u w:val="none"/>
        </w:rPr>
        <w:t>份，</w:t>
      </w:r>
      <w:r>
        <w:rPr>
          <w:rFonts w:hint="eastAsia" w:ascii="仿宋" w:hAnsi="仿宋" w:eastAsia="仿宋" w:cs="仿宋"/>
          <w:color w:val="auto"/>
          <w:kern w:val="0"/>
          <w:sz w:val="18"/>
          <w:szCs w:val="18"/>
          <w:highlight w:val="none"/>
          <w:u w:val="none"/>
          <w:lang w:val="en-US" w:eastAsia="zh-CN"/>
        </w:rPr>
        <w:t>一份由建设单位前期管理部门</w:t>
      </w:r>
      <w:r>
        <w:rPr>
          <w:rFonts w:hint="eastAsia" w:ascii="仿宋" w:hAnsi="仿宋" w:eastAsia="仿宋" w:cs="仿宋"/>
          <w:color w:val="auto"/>
          <w:kern w:val="0"/>
          <w:sz w:val="18"/>
          <w:szCs w:val="18"/>
          <w:highlight w:val="none"/>
          <w:u w:val="none"/>
        </w:rPr>
        <w:t>项目负责人归档</w:t>
      </w:r>
      <w:r>
        <w:rPr>
          <w:rFonts w:hint="eastAsia" w:ascii="仿宋" w:hAnsi="仿宋" w:eastAsia="仿宋" w:cs="仿宋"/>
          <w:color w:val="auto"/>
          <w:kern w:val="0"/>
          <w:sz w:val="18"/>
          <w:szCs w:val="18"/>
          <w:highlight w:val="none"/>
          <w:u w:val="none"/>
          <w:lang w:eastAsia="zh-CN"/>
        </w:rPr>
        <w:t>，</w:t>
      </w:r>
      <w:r>
        <w:rPr>
          <w:rFonts w:hint="eastAsia" w:ascii="仿宋" w:hAnsi="仿宋" w:eastAsia="仿宋" w:cs="仿宋"/>
          <w:color w:val="auto"/>
          <w:kern w:val="0"/>
          <w:sz w:val="18"/>
          <w:szCs w:val="18"/>
          <w:highlight w:val="none"/>
          <w:u w:val="none"/>
          <w:lang w:val="en-US" w:eastAsia="zh-CN"/>
        </w:rPr>
        <w:t>其余两份归承包人</w:t>
      </w:r>
      <w:r>
        <w:rPr>
          <w:rFonts w:hint="eastAsia" w:ascii="仿宋" w:hAnsi="仿宋" w:eastAsia="仿宋" w:cs="仿宋"/>
          <w:color w:val="auto"/>
          <w:kern w:val="0"/>
          <w:sz w:val="18"/>
          <w:szCs w:val="18"/>
          <w:highlight w:val="none"/>
          <w:u w:val="none"/>
        </w:rPr>
        <w:t>。</w:t>
      </w: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lang w:val="en-US" w:eastAsia="zh-CN" w:bidi="ar-SA"/>
        </w:rPr>
      </w:pPr>
    </w:p>
    <w:p>
      <w:pPr>
        <w:pStyle w:val="13"/>
        <w:rPr>
          <w:rFonts w:hint="eastAsia" w:ascii="仿宋" w:hAnsi="仿宋" w:eastAsia="仿宋" w:cs="仿宋"/>
          <w:i w:val="0"/>
          <w:caps w:val="0"/>
          <w:color w:val="auto"/>
          <w:spacing w:val="0"/>
          <w:kern w:val="2"/>
          <w:sz w:val="24"/>
          <w:szCs w:val="24"/>
          <w:highlight w:val="none"/>
          <w:shd w:val="clear" w:fill="FFFFFF"/>
          <w:lang w:val="en-US" w:eastAsia="zh-CN" w:bidi="ar-SA"/>
        </w:rPr>
      </w:pPr>
    </w:p>
    <w:p>
      <w:pPr>
        <w:pStyle w:val="13"/>
        <w:rPr>
          <w:rFonts w:hint="eastAsia"/>
          <w:color w:val="auto"/>
          <w:highlight w:val="none"/>
          <w:lang w:val="en-US" w:eastAsia="zh-CN"/>
        </w:rPr>
      </w:pPr>
    </w:p>
    <w:p>
      <w:pPr>
        <w:widowControl/>
        <w:numPr>
          <w:ilvl w:val="-1"/>
          <w:numId w:val="0"/>
        </w:numPr>
        <w:jc w:val="left"/>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br w:type="page"/>
      </w: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附件一：1-3</w:t>
      </w:r>
    </w:p>
    <w:p>
      <w:pPr>
        <w:widowControl w:val="0"/>
        <w:numPr>
          <w:ilvl w:val="0"/>
          <w:numId w:val="0"/>
        </w:numPr>
        <w:jc w:val="center"/>
        <w:rPr>
          <w:rFonts w:hint="default"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分包单位资格审批表</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（用于施工阶段）</w:t>
      </w:r>
    </w:p>
    <w:tbl>
      <w:tblPr>
        <w:tblStyle w:val="29"/>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389"/>
        <w:gridCol w:w="2132"/>
        <w:gridCol w:w="4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237"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6222" w:type="dxa"/>
            <w:gridSpan w:val="2"/>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7" w:hRule="atLeast"/>
        </w:trPr>
        <w:tc>
          <w:tcPr>
            <w:tcW w:w="848" w:type="dxa"/>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专</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业</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包</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施</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单</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位</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申</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报</w:t>
            </w: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函</w:t>
            </w:r>
          </w:p>
        </w:tc>
        <w:tc>
          <w:tcPr>
            <w:tcW w:w="7611" w:type="dxa"/>
            <w:gridSpan w:val="3"/>
          </w:tcPr>
          <w:p>
            <w:pPr>
              <w:widowControl w:val="0"/>
              <w:numPr>
                <w:ilvl w:val="0"/>
                <w:numId w:val="0"/>
              </w:numPr>
              <w:ind w:firstLine="480" w:firstLineChars="20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我方自认为具备</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[分部/子分部/分项（或系统/子系统）等的工程名称]工程的专业分包资格，现根据相关法律法规要求，提供我单位的以下申报文件资料；请予以审核，并同意我方作为上述项目的专业分包施工单位。</w:t>
            </w:r>
          </w:p>
          <w:p>
            <w:pPr>
              <w:widowControl w:val="0"/>
              <w:numPr>
                <w:ilvl w:val="0"/>
                <w:numId w:val="0"/>
              </w:numPr>
              <w:ind w:firstLine="480" w:firstLineChars="200"/>
              <w:jc w:val="left"/>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附件：</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营业执照、资质证书、安全生产许可证；</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工程业绩材料；</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关于本工程项目的质量管理体系（架构）及相关管理制度文件；</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关于本工程项目技术管理人员的配备计划文件资料及其执业资格证书、技术职称资格证书，其他相关的人员资格证明文件；</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主要工种操作人员（其中包括特种作业人员）的上岗资格证书；</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拟签订的分包合同；</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其他：</w:t>
            </w:r>
          </w:p>
          <w:p>
            <w:pPr>
              <w:widowControl w:val="0"/>
              <w:numPr>
                <w:ilvl w:val="0"/>
                <w:numId w:val="0"/>
              </w:numPr>
              <w:ind w:leftChars="19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分包施工企业负责人签名：</w:t>
            </w:r>
          </w:p>
          <w:p>
            <w:pPr>
              <w:widowControl w:val="0"/>
              <w:numPr>
                <w:ilvl w:val="0"/>
                <w:numId w:val="0"/>
              </w:numPr>
              <w:ind w:leftChars="19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900"/>
              <w:jc w:val="cente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3" w:hRule="atLeast"/>
        </w:trPr>
        <w:tc>
          <w:tcPr>
            <w:tcW w:w="848"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总承包施工单位审查意见</w:t>
            </w:r>
          </w:p>
        </w:tc>
        <w:tc>
          <w:tcPr>
            <w:tcW w:w="7611" w:type="dxa"/>
            <w:gridSpan w:val="3"/>
          </w:tcPr>
          <w:p>
            <w:pPr>
              <w:widowControl w:val="0"/>
              <w:numPr>
                <w:ilvl w:val="0"/>
                <w:numId w:val="0"/>
              </w:numPr>
              <w:ind w:firstLine="480" w:firstLineChars="200"/>
              <w:jc w:val="left"/>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经考察审查，我方认为上列的专业分包施工单位具备承担上列专业工程的施工资质和能力，可以保证上列专业工程按分包合同规定进行施工</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w:t>
            </w: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选择其作为专业分包施工单位。分包后，我方仍履行总承包的全部相关责任。请监理（建设）单位予以审核。</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总承包施工单位法定代表人</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或项目负责人签字：</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000" w:firstLine="480" w:firstLineChars="200"/>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848" w:type="dxa"/>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监理单位审核意见</w:t>
            </w:r>
          </w:p>
        </w:tc>
        <w:tc>
          <w:tcPr>
            <w:tcW w:w="3521" w:type="dxa"/>
            <w:gridSpan w:val="2"/>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专业监理工程签名：    年 月 日</w:t>
            </w:r>
          </w:p>
        </w:tc>
        <w:tc>
          <w:tcPr>
            <w:tcW w:w="4090" w:type="dxa"/>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盖章</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总监理工程师签名：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848" w:type="dxa"/>
            <w:vMerge w:val="restart"/>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建设单位意见</w:t>
            </w:r>
          </w:p>
        </w:tc>
        <w:tc>
          <w:tcPr>
            <w:tcW w:w="3521" w:type="dxa"/>
            <w:gridSpan w:val="2"/>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项目负责人签名：    年 月 日</w:t>
            </w:r>
          </w:p>
        </w:tc>
        <w:tc>
          <w:tcPr>
            <w:tcW w:w="4090" w:type="dxa"/>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科长签名：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848" w:type="dxa"/>
            <w:vMerge w:val="continue"/>
            <w:vAlign w:val="center"/>
          </w:tcPr>
          <w:p>
            <w:pPr>
              <w:widowControl w:val="0"/>
              <w:numPr>
                <w:ilvl w:val="0"/>
                <w:numId w:val="0"/>
              </w:numPr>
              <w:jc w:val="center"/>
              <w:rPr>
                <w:rFonts w:hint="eastAsia" w:ascii="仿宋" w:hAnsi="仿宋" w:eastAsia="仿宋" w:cs="仿宋"/>
                <w:i w:val="0"/>
                <w:caps w:val="0"/>
                <w:color w:val="auto"/>
                <w:spacing w:val="0"/>
                <w:kern w:val="2"/>
                <w:sz w:val="30"/>
                <w:szCs w:val="30"/>
                <w:highlight w:val="none"/>
                <w:shd w:val="clear" w:fill="FFFFFF"/>
                <w:vertAlign w:val="baseline"/>
                <w:lang w:val="en-US" w:eastAsia="zh-CN" w:bidi="ar-SA"/>
              </w:rPr>
            </w:pPr>
          </w:p>
        </w:tc>
        <w:tc>
          <w:tcPr>
            <w:tcW w:w="7611" w:type="dxa"/>
            <w:gridSpan w:val="3"/>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（公章）</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w:t>
            </w:r>
          </w:p>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分管局领导签名：               年 月 日</w:t>
            </w:r>
          </w:p>
        </w:tc>
      </w:tr>
    </w:tbl>
    <w:p>
      <w:pPr>
        <w:widowControl/>
        <w:ind w:firstLine="360" w:firstLineChars="200"/>
        <w:jc w:val="left"/>
        <w:rPr>
          <w:rFonts w:hint="eastAsia" w:ascii="仿宋" w:hAnsi="仿宋" w:eastAsia="仿宋" w:cs="仿宋"/>
          <w:color w:val="auto"/>
          <w:kern w:val="0"/>
          <w:sz w:val="18"/>
          <w:szCs w:val="18"/>
          <w:highlight w:val="none"/>
          <w:u w:val="none"/>
          <w:lang w:eastAsia="zh-CN"/>
        </w:rPr>
      </w:pPr>
      <w:r>
        <w:rPr>
          <w:rFonts w:hint="eastAsia" w:ascii="仿宋" w:hAnsi="仿宋" w:eastAsia="仿宋" w:cs="仿宋"/>
          <w:color w:val="auto"/>
          <w:kern w:val="0"/>
          <w:sz w:val="18"/>
          <w:szCs w:val="18"/>
          <w:highlight w:val="none"/>
          <w:u w:val="none"/>
        </w:rPr>
        <w:t>注：1.本表由</w:t>
      </w:r>
      <w:r>
        <w:rPr>
          <w:rFonts w:hint="eastAsia" w:ascii="仿宋" w:hAnsi="仿宋" w:eastAsia="仿宋" w:cs="仿宋"/>
          <w:color w:val="auto"/>
          <w:kern w:val="0"/>
          <w:sz w:val="18"/>
          <w:szCs w:val="18"/>
          <w:highlight w:val="none"/>
          <w:u w:val="none"/>
          <w:lang w:val="en-US" w:eastAsia="zh-CN"/>
        </w:rPr>
        <w:t>施工总承包人组织</w:t>
      </w:r>
      <w:r>
        <w:rPr>
          <w:rFonts w:hint="eastAsia" w:ascii="仿宋" w:hAnsi="仿宋" w:eastAsia="仿宋" w:cs="仿宋"/>
          <w:color w:val="auto"/>
          <w:kern w:val="0"/>
          <w:sz w:val="18"/>
          <w:szCs w:val="18"/>
          <w:highlight w:val="none"/>
          <w:u w:val="none"/>
        </w:rPr>
        <w:t>填写，由</w:t>
      </w:r>
      <w:r>
        <w:rPr>
          <w:rFonts w:hint="eastAsia" w:ascii="仿宋" w:hAnsi="仿宋" w:eastAsia="仿宋" w:cs="仿宋"/>
          <w:color w:val="auto"/>
          <w:kern w:val="0"/>
          <w:sz w:val="18"/>
          <w:szCs w:val="18"/>
          <w:highlight w:val="none"/>
          <w:u w:val="none"/>
          <w:lang w:val="en-US" w:eastAsia="zh-CN"/>
        </w:rPr>
        <w:t>建设单位工程管理部门项目负责人负责</w:t>
      </w:r>
      <w:r>
        <w:rPr>
          <w:rFonts w:hint="eastAsia" w:ascii="仿宋" w:hAnsi="仿宋" w:eastAsia="仿宋" w:cs="仿宋"/>
          <w:color w:val="auto"/>
          <w:kern w:val="0"/>
          <w:sz w:val="18"/>
          <w:szCs w:val="18"/>
          <w:highlight w:val="none"/>
          <w:u w:val="none"/>
        </w:rPr>
        <w:t>呈批</w:t>
      </w:r>
      <w:r>
        <w:rPr>
          <w:rFonts w:hint="eastAsia" w:ascii="仿宋" w:hAnsi="仿宋" w:eastAsia="仿宋" w:cs="仿宋"/>
          <w:color w:val="auto"/>
          <w:kern w:val="0"/>
          <w:sz w:val="18"/>
          <w:szCs w:val="18"/>
          <w:highlight w:val="none"/>
          <w:u w:val="none"/>
          <w:lang w:val="en-US" w:eastAsia="zh-CN"/>
        </w:rPr>
        <w:t>；</w:t>
      </w:r>
    </w:p>
    <w:p>
      <w:pPr>
        <w:widowControl/>
        <w:ind w:firstLine="720" w:firstLineChars="4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2.本表一式</w:t>
      </w:r>
      <w:r>
        <w:rPr>
          <w:rFonts w:hint="eastAsia" w:ascii="仿宋" w:hAnsi="仿宋" w:eastAsia="仿宋" w:cs="仿宋"/>
          <w:color w:val="auto"/>
          <w:kern w:val="0"/>
          <w:sz w:val="18"/>
          <w:szCs w:val="18"/>
          <w:highlight w:val="none"/>
          <w:u w:val="none"/>
          <w:lang w:val="en-US" w:eastAsia="zh-CN"/>
        </w:rPr>
        <w:t>一</w:t>
      </w:r>
      <w:r>
        <w:rPr>
          <w:rFonts w:hint="eastAsia" w:ascii="仿宋" w:hAnsi="仿宋" w:eastAsia="仿宋" w:cs="仿宋"/>
          <w:color w:val="auto"/>
          <w:kern w:val="0"/>
          <w:sz w:val="18"/>
          <w:szCs w:val="18"/>
          <w:highlight w:val="none"/>
          <w:u w:val="none"/>
        </w:rPr>
        <w:t>份，</w:t>
      </w:r>
      <w:r>
        <w:rPr>
          <w:rFonts w:hint="eastAsia" w:ascii="仿宋" w:hAnsi="仿宋" w:eastAsia="仿宋" w:cs="仿宋"/>
          <w:color w:val="auto"/>
          <w:kern w:val="0"/>
          <w:sz w:val="18"/>
          <w:szCs w:val="18"/>
          <w:highlight w:val="none"/>
          <w:u w:val="none"/>
          <w:lang w:val="en-US" w:eastAsia="zh-CN"/>
        </w:rPr>
        <w:t>由建设单位工程管理部门</w:t>
      </w:r>
      <w:r>
        <w:rPr>
          <w:rFonts w:hint="eastAsia" w:ascii="仿宋" w:hAnsi="仿宋" w:eastAsia="仿宋" w:cs="仿宋"/>
          <w:color w:val="auto"/>
          <w:kern w:val="0"/>
          <w:sz w:val="18"/>
          <w:szCs w:val="18"/>
          <w:highlight w:val="none"/>
          <w:u w:val="none"/>
        </w:rPr>
        <w:t>项目负责人归档，</w:t>
      </w:r>
      <w:r>
        <w:rPr>
          <w:rFonts w:hint="eastAsia" w:ascii="仿宋" w:hAnsi="仿宋" w:eastAsia="仿宋" w:cs="仿宋"/>
          <w:color w:val="auto"/>
          <w:kern w:val="0"/>
          <w:sz w:val="18"/>
          <w:szCs w:val="18"/>
          <w:highlight w:val="none"/>
          <w:u w:val="none"/>
          <w:lang w:val="en-US" w:eastAsia="zh-CN"/>
        </w:rPr>
        <w:t>并</w:t>
      </w:r>
      <w:r>
        <w:rPr>
          <w:rFonts w:hint="eastAsia" w:ascii="仿宋" w:hAnsi="仿宋" w:eastAsia="仿宋" w:cs="仿宋"/>
          <w:color w:val="auto"/>
          <w:kern w:val="0"/>
          <w:sz w:val="18"/>
          <w:szCs w:val="18"/>
          <w:highlight w:val="none"/>
          <w:u w:val="none"/>
        </w:rPr>
        <w:t>作为</w:t>
      </w:r>
      <w:r>
        <w:rPr>
          <w:rFonts w:hint="eastAsia" w:ascii="仿宋" w:hAnsi="仿宋" w:eastAsia="仿宋" w:cs="仿宋"/>
          <w:color w:val="auto"/>
          <w:kern w:val="0"/>
          <w:sz w:val="18"/>
          <w:szCs w:val="18"/>
          <w:highlight w:val="none"/>
          <w:u w:val="none"/>
          <w:lang w:val="en-US" w:eastAsia="zh-CN"/>
        </w:rPr>
        <w:t>《分包单位资格报审表》（用于施工阶段）盖建设单位</w:t>
      </w:r>
      <w:r>
        <w:rPr>
          <w:rFonts w:hint="eastAsia" w:ascii="仿宋" w:hAnsi="仿宋" w:eastAsia="仿宋" w:cs="仿宋"/>
          <w:color w:val="auto"/>
          <w:kern w:val="0"/>
          <w:sz w:val="18"/>
          <w:szCs w:val="18"/>
          <w:highlight w:val="none"/>
          <w:u w:val="none"/>
        </w:rPr>
        <w:t>公章</w:t>
      </w:r>
      <w:r>
        <w:rPr>
          <w:rFonts w:hint="eastAsia" w:ascii="仿宋" w:hAnsi="仿宋" w:eastAsia="仿宋" w:cs="仿宋"/>
          <w:color w:val="auto"/>
          <w:kern w:val="0"/>
          <w:sz w:val="18"/>
          <w:szCs w:val="18"/>
          <w:highlight w:val="none"/>
          <w:u w:val="none"/>
          <w:lang w:val="en-US" w:eastAsia="zh-CN"/>
        </w:rPr>
        <w:t>的</w:t>
      </w:r>
      <w:r>
        <w:rPr>
          <w:rFonts w:hint="eastAsia" w:ascii="仿宋" w:hAnsi="仿宋" w:eastAsia="仿宋" w:cs="仿宋"/>
          <w:color w:val="auto"/>
          <w:kern w:val="0"/>
          <w:sz w:val="18"/>
          <w:szCs w:val="18"/>
          <w:highlight w:val="none"/>
          <w:u w:val="none"/>
        </w:rPr>
        <w:t>依据。本表仅在</w:t>
      </w:r>
      <w:r>
        <w:rPr>
          <w:rFonts w:hint="eastAsia" w:ascii="仿宋" w:hAnsi="仿宋" w:eastAsia="仿宋" w:cs="仿宋"/>
          <w:color w:val="auto"/>
          <w:kern w:val="0"/>
          <w:sz w:val="18"/>
          <w:szCs w:val="18"/>
          <w:highlight w:val="none"/>
          <w:u w:val="none"/>
          <w:lang w:val="en-US" w:eastAsia="zh-CN"/>
        </w:rPr>
        <w:t>建设单位</w:t>
      </w:r>
      <w:r>
        <w:rPr>
          <w:rFonts w:hint="eastAsia" w:ascii="仿宋" w:hAnsi="仿宋" w:eastAsia="仿宋" w:cs="仿宋"/>
          <w:color w:val="auto"/>
          <w:kern w:val="0"/>
          <w:sz w:val="18"/>
          <w:szCs w:val="18"/>
          <w:highlight w:val="none"/>
          <w:u w:val="none"/>
        </w:rPr>
        <w:t>内部流转。</w:t>
      </w:r>
    </w:p>
    <w:p>
      <w:pPr>
        <w:widowControl/>
        <w:numPr>
          <w:ilvl w:val="-1"/>
          <w:numId w:val="0"/>
        </w:numPr>
        <w:jc w:val="left"/>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br w:type="page"/>
      </w: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附件一：1-4</w:t>
      </w:r>
    </w:p>
    <w:p>
      <w:pPr>
        <w:widowControl w:val="0"/>
        <w:numPr>
          <w:ilvl w:val="0"/>
          <w:numId w:val="0"/>
        </w:numPr>
        <w:jc w:val="center"/>
        <w:rPr>
          <w:rFonts w:hint="default"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分包单位资格报审表</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（用于施工阶段）</w:t>
      </w:r>
    </w:p>
    <w:tbl>
      <w:tblPr>
        <w:tblStyle w:val="29"/>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392"/>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242"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6237" w:type="dxa"/>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2" w:hRule="atLeast"/>
        </w:trPr>
        <w:tc>
          <w:tcPr>
            <w:tcW w:w="850" w:type="dxa"/>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专</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业</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包</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施</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单</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位</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申</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报</w:t>
            </w: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函</w:t>
            </w:r>
          </w:p>
        </w:tc>
        <w:tc>
          <w:tcPr>
            <w:tcW w:w="7629" w:type="dxa"/>
            <w:gridSpan w:val="2"/>
          </w:tcPr>
          <w:p>
            <w:pPr>
              <w:widowControl w:val="0"/>
              <w:numPr>
                <w:ilvl w:val="0"/>
                <w:numId w:val="0"/>
              </w:numPr>
              <w:ind w:firstLine="480" w:firstLineChars="20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我方自认为具备</w:t>
            </w:r>
            <w:r>
              <w:rPr>
                <w:rFonts w:hint="eastAsia" w:ascii="仿宋" w:hAnsi="仿宋" w:eastAsia="仿宋" w:cs="仿宋"/>
                <w:i w:val="0"/>
                <w:caps w:val="0"/>
                <w:color w:val="auto"/>
                <w:spacing w:val="0"/>
                <w:kern w:val="2"/>
                <w:sz w:val="24"/>
                <w:szCs w:val="24"/>
                <w:highlight w:val="none"/>
                <w:u w:val="single"/>
                <w:shd w:val="clear" w:fill="FFFFFF"/>
                <w:vertAlign w:val="baseline"/>
                <w:lang w:val="en-US" w:eastAsia="zh-CN" w:bidi="ar-SA"/>
              </w:rPr>
              <w:t xml:space="preserve">     </w:t>
            </w: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[分部/子分部/分项（或系统/子系统）等的工程名称]工程的专业分包资格，现根据相关法律法规要求，提供我单位的以下申报文件资料；请予以审核，并同意我方作为上述项目的专业分包施工单位。</w:t>
            </w:r>
          </w:p>
          <w:p>
            <w:pPr>
              <w:widowControl w:val="0"/>
              <w:numPr>
                <w:ilvl w:val="0"/>
                <w:numId w:val="0"/>
              </w:numPr>
              <w:ind w:firstLine="480" w:firstLineChars="200"/>
              <w:jc w:val="left"/>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附件：</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营业执照、资质证书、安全生产许可证；</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工程业绩材料；</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关于本工程项目的质量管理体系（架构）及相关管理制度文件；</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关于本工程项目技术管理人员的配备计划文件资料及其执业资格证书、技术职称资格证书，其他相关的人员资格证明文件；</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主要工种操作人员（其中包括特种作业人员）的上岗资格证书；</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拟签订的分包合同；</w:t>
            </w:r>
          </w:p>
          <w:p>
            <w:pPr>
              <w:widowControl w:val="0"/>
              <w:numPr>
                <w:ilvl w:val="0"/>
                <w:numId w:val="42"/>
              </w:numPr>
              <w:ind w:left="-60" w:leftChars="0" w:firstLine="480" w:firstLineChars="0"/>
              <w:jc w:val="left"/>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其他：</w:t>
            </w:r>
          </w:p>
          <w:p>
            <w:pPr>
              <w:widowControl w:val="0"/>
              <w:numPr>
                <w:ilvl w:val="0"/>
                <w:numId w:val="0"/>
              </w:numPr>
              <w:ind w:leftChars="19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分包施工企业负责人签名：</w:t>
            </w:r>
          </w:p>
          <w:p>
            <w:pPr>
              <w:widowControl w:val="0"/>
              <w:numPr>
                <w:ilvl w:val="0"/>
                <w:numId w:val="0"/>
              </w:numPr>
              <w:ind w:leftChars="19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900"/>
              <w:jc w:val="cente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8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总承包施工单位审查意见</w:t>
            </w:r>
          </w:p>
        </w:tc>
        <w:tc>
          <w:tcPr>
            <w:tcW w:w="7629" w:type="dxa"/>
            <w:gridSpan w:val="2"/>
          </w:tcPr>
          <w:p>
            <w:pPr>
              <w:widowControl w:val="0"/>
              <w:numPr>
                <w:ilvl w:val="0"/>
                <w:numId w:val="0"/>
              </w:numPr>
              <w:ind w:firstLine="480" w:firstLineChars="200"/>
              <w:jc w:val="left"/>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经考察审查，我方认为上列的专业分包施工单位具备承担上列专业工程的施工资质和能力，可以保证上列专业工程按分包合同规定进行施工</w:t>
            </w: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，拟</w:t>
            </w:r>
            <w:r>
              <w:rPr>
                <w:rFonts w:hint="default" w:ascii="仿宋" w:hAnsi="仿宋" w:eastAsia="仿宋" w:cs="仿宋"/>
                <w:i w:val="0"/>
                <w:caps w:val="0"/>
                <w:color w:val="auto"/>
                <w:spacing w:val="0"/>
                <w:kern w:val="2"/>
                <w:sz w:val="24"/>
                <w:szCs w:val="24"/>
                <w:highlight w:val="none"/>
                <w:u w:val="none"/>
                <w:shd w:val="clear" w:fill="FFFFFF"/>
                <w:vertAlign w:val="baseline"/>
                <w:lang w:val="en-US" w:eastAsia="zh-CN" w:bidi="ar-SA"/>
              </w:rPr>
              <w:t>选择其作为专业分包施工单位。分包后，我方仍履行总承包的全部相关责任。请监理（建设）单位予以审核。</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总承包施工单位法定代表人</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或项目负责人签字：</w:t>
            </w:r>
          </w:p>
          <w:p>
            <w:pPr>
              <w:widowControl w:val="0"/>
              <w:numPr>
                <w:ilvl w:val="0"/>
                <w:numId w:val="0"/>
              </w:numPr>
              <w:ind w:leftChars="1100"/>
              <w:jc w:val="cente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（公章）</w:t>
            </w:r>
          </w:p>
          <w:p>
            <w:pPr>
              <w:widowControl w:val="0"/>
              <w:numPr>
                <w:ilvl w:val="0"/>
                <w:numId w:val="0"/>
              </w:numPr>
              <w:ind w:leftChars="1000" w:firstLine="480" w:firstLineChars="200"/>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u w:val="none"/>
                <w:shd w:val="clear" w:fill="FFFFFF"/>
                <w:vertAlign w:val="baseline"/>
                <w:lang w:val="en-US" w:eastAsia="zh-CN" w:bidi="ar-S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850" w:type="dxa"/>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监理单位审核意见</w:t>
            </w:r>
          </w:p>
        </w:tc>
        <w:tc>
          <w:tcPr>
            <w:tcW w:w="7629" w:type="dxa"/>
            <w:gridSpan w:val="2"/>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（公章）</w:t>
            </w:r>
          </w:p>
          <w:p>
            <w:pPr>
              <w:widowControl w:val="0"/>
              <w:numPr>
                <w:ilvl w:val="0"/>
                <w:numId w:val="0"/>
              </w:numPr>
              <w:jc w:val="right"/>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总监理工程师签名：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850" w:type="dxa"/>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建设单位意见</w:t>
            </w:r>
          </w:p>
        </w:tc>
        <w:tc>
          <w:tcPr>
            <w:tcW w:w="7629" w:type="dxa"/>
            <w:gridSpan w:val="2"/>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 xml:space="preserve">             （公章）</w:t>
            </w:r>
          </w:p>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p>
          <w:p>
            <w:pPr>
              <w:widowControl w:val="0"/>
              <w:numPr>
                <w:ilvl w:val="0"/>
                <w:numId w:val="0"/>
              </w:numPr>
              <w:jc w:val="right"/>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项目负责人签名：          年 月 日</w:t>
            </w:r>
          </w:p>
        </w:tc>
      </w:tr>
    </w:tbl>
    <w:p>
      <w:pPr>
        <w:widowControl w:val="0"/>
        <w:numPr>
          <w:ilvl w:val="0"/>
          <w:numId w:val="0"/>
        </w:numPr>
        <w:ind w:firstLine="360" w:firstLineChars="200"/>
        <w:jc w:val="left"/>
        <w:rPr>
          <w:rFonts w:hint="default" w:ascii="仿宋" w:hAnsi="仿宋" w:eastAsia="仿宋" w:cs="仿宋"/>
          <w:color w:val="auto"/>
          <w:kern w:val="0"/>
          <w:sz w:val="18"/>
          <w:szCs w:val="18"/>
          <w:highlight w:val="none"/>
          <w:u w:val="none"/>
          <w:lang w:val="en-US"/>
        </w:rPr>
      </w:pPr>
      <w:r>
        <w:rPr>
          <w:rFonts w:hint="eastAsia" w:ascii="仿宋" w:hAnsi="仿宋" w:eastAsia="仿宋" w:cs="仿宋"/>
          <w:color w:val="auto"/>
          <w:kern w:val="0"/>
          <w:sz w:val="18"/>
          <w:szCs w:val="18"/>
          <w:highlight w:val="none"/>
          <w:u w:val="none"/>
          <w:lang w:val="en-US" w:eastAsia="zh-CN"/>
        </w:rPr>
        <w:t>注：</w:t>
      </w:r>
      <w:r>
        <w:rPr>
          <w:rFonts w:hint="eastAsia" w:ascii="仿宋" w:hAnsi="仿宋" w:eastAsia="仿宋" w:cs="仿宋"/>
          <w:color w:val="auto"/>
          <w:kern w:val="0"/>
          <w:sz w:val="18"/>
          <w:szCs w:val="18"/>
          <w:highlight w:val="none"/>
          <w:u w:val="none"/>
        </w:rPr>
        <w:t>1.本表由</w:t>
      </w:r>
      <w:r>
        <w:rPr>
          <w:rFonts w:hint="eastAsia" w:ascii="仿宋" w:hAnsi="仿宋" w:eastAsia="仿宋" w:cs="仿宋"/>
          <w:color w:val="auto"/>
          <w:kern w:val="0"/>
          <w:sz w:val="18"/>
          <w:szCs w:val="18"/>
          <w:highlight w:val="none"/>
          <w:u w:val="none"/>
          <w:lang w:val="en-US" w:eastAsia="zh-CN"/>
        </w:rPr>
        <w:t>施工总承包人组织</w:t>
      </w:r>
      <w:r>
        <w:rPr>
          <w:rFonts w:hint="eastAsia" w:ascii="仿宋" w:hAnsi="仿宋" w:eastAsia="仿宋" w:cs="仿宋"/>
          <w:color w:val="auto"/>
          <w:kern w:val="0"/>
          <w:sz w:val="18"/>
          <w:szCs w:val="18"/>
          <w:highlight w:val="none"/>
          <w:u w:val="none"/>
        </w:rPr>
        <w:t>填写，由</w:t>
      </w:r>
      <w:r>
        <w:rPr>
          <w:rFonts w:hint="eastAsia" w:ascii="仿宋" w:hAnsi="仿宋" w:eastAsia="仿宋" w:cs="仿宋"/>
          <w:color w:val="auto"/>
          <w:kern w:val="0"/>
          <w:sz w:val="18"/>
          <w:szCs w:val="18"/>
          <w:highlight w:val="none"/>
          <w:u w:val="none"/>
          <w:lang w:val="en-US" w:eastAsia="zh-CN"/>
        </w:rPr>
        <w:t>建设单位工程管理部门项目负责人根据《分包单位资格审批表》（用于施工阶段）科室负责人及分管局领导审批意见，填写建设单位审批意见；</w:t>
      </w:r>
    </w:p>
    <w:p>
      <w:pPr>
        <w:widowControl/>
        <w:ind w:firstLine="360" w:firstLineChars="200"/>
        <w:jc w:val="left"/>
        <w:rPr>
          <w:rFonts w:hint="eastAsia" w:ascii="仿宋" w:hAnsi="仿宋" w:eastAsia="仿宋" w:cs="仿宋"/>
          <w:color w:val="auto"/>
          <w:kern w:val="0"/>
          <w:sz w:val="18"/>
          <w:szCs w:val="18"/>
          <w:highlight w:val="none"/>
          <w:u w:val="none"/>
        </w:rPr>
      </w:pPr>
      <w:r>
        <w:rPr>
          <w:rFonts w:hint="eastAsia" w:ascii="仿宋" w:hAnsi="仿宋" w:eastAsia="仿宋" w:cs="仿宋"/>
          <w:color w:val="auto"/>
          <w:kern w:val="0"/>
          <w:sz w:val="18"/>
          <w:szCs w:val="18"/>
          <w:highlight w:val="none"/>
          <w:u w:val="none"/>
        </w:rPr>
        <w:t>2.本表一式</w:t>
      </w:r>
      <w:r>
        <w:rPr>
          <w:rFonts w:hint="eastAsia" w:ascii="仿宋" w:hAnsi="仿宋" w:eastAsia="仿宋" w:cs="仿宋"/>
          <w:color w:val="auto"/>
          <w:kern w:val="0"/>
          <w:sz w:val="18"/>
          <w:szCs w:val="18"/>
          <w:highlight w:val="none"/>
          <w:u w:val="none"/>
          <w:lang w:val="en-US" w:eastAsia="zh-CN"/>
        </w:rPr>
        <w:t>四</w:t>
      </w:r>
      <w:r>
        <w:rPr>
          <w:rFonts w:hint="eastAsia" w:ascii="仿宋" w:hAnsi="仿宋" w:eastAsia="仿宋" w:cs="仿宋"/>
          <w:color w:val="auto"/>
          <w:kern w:val="0"/>
          <w:sz w:val="18"/>
          <w:szCs w:val="18"/>
          <w:highlight w:val="none"/>
          <w:u w:val="none"/>
        </w:rPr>
        <w:t>份，</w:t>
      </w:r>
      <w:r>
        <w:rPr>
          <w:rFonts w:hint="eastAsia" w:ascii="仿宋" w:hAnsi="仿宋" w:eastAsia="仿宋" w:cs="仿宋"/>
          <w:color w:val="auto"/>
          <w:kern w:val="0"/>
          <w:sz w:val="18"/>
          <w:szCs w:val="18"/>
          <w:highlight w:val="none"/>
          <w:u w:val="none"/>
          <w:lang w:val="en-US" w:eastAsia="zh-CN"/>
        </w:rPr>
        <w:t>一份由建设单位工程管理部门</w:t>
      </w:r>
      <w:r>
        <w:rPr>
          <w:rFonts w:hint="eastAsia" w:ascii="仿宋" w:hAnsi="仿宋" w:eastAsia="仿宋" w:cs="仿宋"/>
          <w:color w:val="auto"/>
          <w:kern w:val="0"/>
          <w:sz w:val="18"/>
          <w:szCs w:val="18"/>
          <w:highlight w:val="none"/>
          <w:u w:val="none"/>
        </w:rPr>
        <w:t>项目负责人归档</w:t>
      </w:r>
      <w:r>
        <w:rPr>
          <w:rFonts w:hint="eastAsia" w:ascii="仿宋" w:hAnsi="仿宋" w:eastAsia="仿宋" w:cs="仿宋"/>
          <w:color w:val="auto"/>
          <w:kern w:val="0"/>
          <w:sz w:val="18"/>
          <w:szCs w:val="18"/>
          <w:highlight w:val="none"/>
          <w:u w:val="none"/>
          <w:lang w:eastAsia="zh-CN"/>
        </w:rPr>
        <w:t>，</w:t>
      </w:r>
      <w:r>
        <w:rPr>
          <w:rFonts w:hint="eastAsia" w:ascii="仿宋" w:hAnsi="仿宋" w:eastAsia="仿宋" w:cs="仿宋"/>
          <w:color w:val="auto"/>
          <w:kern w:val="0"/>
          <w:sz w:val="18"/>
          <w:szCs w:val="18"/>
          <w:highlight w:val="none"/>
          <w:u w:val="none"/>
          <w:lang w:val="en-US" w:eastAsia="zh-CN"/>
        </w:rPr>
        <w:t>其余三份，分别由监理单位、总承包施工单位、专业分包单位各存一份</w:t>
      </w:r>
      <w:r>
        <w:rPr>
          <w:rFonts w:hint="eastAsia" w:ascii="仿宋" w:hAnsi="仿宋" w:eastAsia="仿宋" w:cs="仿宋"/>
          <w:color w:val="auto"/>
          <w:kern w:val="0"/>
          <w:sz w:val="18"/>
          <w:szCs w:val="18"/>
          <w:highlight w:val="none"/>
          <w:u w:val="none"/>
        </w:rPr>
        <w:t>。</w:t>
      </w:r>
    </w:p>
    <w:p>
      <w:pPr>
        <w:pStyle w:val="13"/>
        <w:rPr>
          <w:rFonts w:hint="eastAsia"/>
          <w:color w:val="auto"/>
          <w:highlight w:val="none"/>
        </w:rPr>
      </w:pPr>
    </w:p>
    <w:p>
      <w:pPr>
        <w:rPr>
          <w:rFonts w:hint="eastAsia"/>
          <w:color w:val="auto"/>
          <w:highlight w:val="none"/>
        </w:rPr>
      </w:pPr>
    </w:p>
    <w:p>
      <w:pPr>
        <w:widowControl w:val="0"/>
        <w:numPr>
          <w:ilvl w:val="0"/>
          <w:numId w:val="0"/>
        </w:numPr>
        <w:jc w:val="both"/>
        <w:rPr>
          <w:rFonts w:hint="eastAsia" w:ascii="仿宋" w:hAnsi="仿宋" w:eastAsia="仿宋" w:cs="仿宋"/>
          <w:i w:val="0"/>
          <w:caps w:val="0"/>
          <w:color w:val="auto"/>
          <w:spacing w:val="0"/>
          <w:kern w:val="2"/>
          <w:sz w:val="24"/>
          <w:szCs w:val="24"/>
          <w:highlight w:val="none"/>
          <w:shd w:val="clear" w:fill="FFFFFF"/>
          <w:lang w:val="en-US" w:eastAsia="zh-CN" w:bidi="ar-SA"/>
        </w:rPr>
        <w:sectPr>
          <w:pgSz w:w="11906" w:h="16838"/>
          <w:pgMar w:top="1440" w:right="1588" w:bottom="1440" w:left="1588" w:header="851" w:footer="992" w:gutter="0"/>
          <w:lnNumType w:countBy="0"/>
          <w:pgNumType w:fmt="decimal"/>
          <w:cols w:space="720" w:num="1"/>
          <w:docGrid w:type="lines" w:linePitch="312" w:charSpace="0"/>
        </w:sectPr>
      </w:pPr>
    </w:p>
    <w:p>
      <w:pPr>
        <w:widowControl w:val="0"/>
        <w:numPr>
          <w:ilvl w:val="0"/>
          <w:numId w:val="0"/>
        </w:numPr>
        <w:jc w:val="both"/>
        <w:rPr>
          <w:rFonts w:hint="default" w:ascii="仿宋" w:hAnsi="仿宋" w:eastAsia="仿宋" w:cs="仿宋"/>
          <w:i w:val="0"/>
          <w:caps w:val="0"/>
          <w:color w:val="auto"/>
          <w:spacing w:val="0"/>
          <w:kern w:val="2"/>
          <w:sz w:val="24"/>
          <w:szCs w:val="24"/>
          <w:highlight w:val="none"/>
          <w:shd w:val="clear" w:fill="FFFFFF"/>
          <w:lang w:val="en-US" w:eastAsia="zh-CN" w:bidi="ar-SA"/>
        </w:rPr>
      </w:pPr>
      <w:r>
        <w:rPr>
          <w:rFonts w:hint="eastAsia" w:ascii="仿宋" w:hAnsi="仿宋" w:eastAsia="仿宋" w:cs="仿宋"/>
          <w:i w:val="0"/>
          <w:caps w:val="0"/>
          <w:color w:val="auto"/>
          <w:spacing w:val="0"/>
          <w:kern w:val="2"/>
          <w:sz w:val="24"/>
          <w:szCs w:val="24"/>
          <w:highlight w:val="none"/>
          <w:shd w:val="clear" w:fill="FFFFFF"/>
          <w:lang w:val="en-US" w:eastAsia="zh-CN" w:bidi="ar-SA"/>
        </w:rPr>
        <w:t>附件二</w:t>
      </w:r>
    </w:p>
    <w:p>
      <w:pPr>
        <w:widowControl w:val="0"/>
        <w:numPr>
          <w:ilvl w:val="0"/>
          <w:numId w:val="0"/>
        </w:numPr>
        <w:jc w:val="center"/>
        <w:rPr>
          <w:rFonts w:hint="eastAsia" w:ascii="仿宋" w:hAnsi="仿宋" w:eastAsia="仿宋" w:cs="仿宋"/>
          <w:b/>
          <w:bCs/>
          <w:i w:val="0"/>
          <w:caps w:val="0"/>
          <w:color w:val="auto"/>
          <w:spacing w:val="0"/>
          <w:kern w:val="2"/>
          <w:sz w:val="30"/>
          <w:szCs w:val="30"/>
          <w:highlight w:val="none"/>
          <w:shd w:val="clear" w:fill="FFFFFF"/>
          <w:lang w:val="en-US" w:eastAsia="zh-CN" w:bidi="ar-SA"/>
        </w:rPr>
      </w:pPr>
      <w:r>
        <w:rPr>
          <w:rFonts w:hint="eastAsia" w:ascii="仿宋" w:hAnsi="仿宋" w:eastAsia="仿宋" w:cs="仿宋"/>
          <w:b/>
          <w:bCs/>
          <w:i w:val="0"/>
          <w:caps w:val="0"/>
          <w:color w:val="auto"/>
          <w:spacing w:val="0"/>
          <w:kern w:val="2"/>
          <w:sz w:val="30"/>
          <w:szCs w:val="30"/>
          <w:highlight w:val="none"/>
          <w:shd w:val="clear" w:fill="FFFFFF"/>
          <w:lang w:val="en-US" w:eastAsia="zh-CN" w:bidi="ar-SA"/>
        </w:rPr>
        <w:t>专业分包工程台账</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558"/>
        <w:gridCol w:w="297"/>
        <w:gridCol w:w="2013"/>
        <w:gridCol w:w="1302"/>
        <w:gridCol w:w="970"/>
        <w:gridCol w:w="1287"/>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2"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工程名称</w:t>
            </w:r>
          </w:p>
        </w:tc>
        <w:tc>
          <w:tcPr>
            <w:tcW w:w="10350" w:type="dxa"/>
            <w:gridSpan w:val="6"/>
            <w:vAlign w:val="center"/>
          </w:tcPr>
          <w:p>
            <w:pPr>
              <w:widowControl w:val="0"/>
              <w:numPr>
                <w:ilvl w:val="0"/>
                <w:numId w:val="0"/>
              </w:numPr>
              <w:jc w:val="both"/>
              <w:rPr>
                <w:rFonts w:hint="default" w:ascii="仿宋" w:hAnsi="仿宋" w:eastAsia="仿宋" w:cs="仿宋"/>
                <w:i w:val="0"/>
                <w:caps w:val="0"/>
                <w:color w:val="auto"/>
                <w:spacing w:val="0"/>
                <w:kern w:val="2"/>
                <w:sz w:val="30"/>
                <w:szCs w:val="30"/>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序号</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分包单位名称</w:t>
            </w: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分包专业</w:t>
            </w:r>
          </w:p>
        </w:tc>
        <w:tc>
          <w:tcPr>
            <w:tcW w:w="1785" w:type="dxa"/>
            <w:vAlign w:val="center"/>
          </w:tcPr>
          <w:p>
            <w:pPr>
              <w:widowControl w:val="0"/>
              <w:numPr>
                <w:ilvl w:val="0"/>
                <w:numId w:val="0"/>
              </w:numPr>
              <w:jc w:val="cente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合同价</w:t>
            </w:r>
          </w:p>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（万元）</w:t>
            </w: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审批时间</w:t>
            </w: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分包单位联系人及电话</w:t>
            </w: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1</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2</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3</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4</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5</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6</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7</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16"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r>
              <w:rPr>
                <w:rFonts w:hint="eastAsia" w:ascii="仿宋" w:hAnsi="仿宋" w:eastAsia="仿宋" w:cs="仿宋"/>
                <w:i w:val="0"/>
                <w:caps w:val="0"/>
                <w:color w:val="auto"/>
                <w:spacing w:val="0"/>
                <w:kern w:val="2"/>
                <w:sz w:val="24"/>
                <w:szCs w:val="24"/>
                <w:highlight w:val="none"/>
                <w:shd w:val="clear" w:fill="FFFFFF"/>
                <w:vertAlign w:val="baseline"/>
                <w:lang w:val="en-US" w:eastAsia="zh-CN" w:bidi="ar-SA"/>
              </w:rPr>
              <w:t>8</w:t>
            </w:r>
          </w:p>
        </w:tc>
        <w:tc>
          <w:tcPr>
            <w:tcW w:w="2971" w:type="dxa"/>
            <w:gridSpan w:val="2"/>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325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7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38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950"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c>
          <w:tcPr>
            <w:tcW w:w="1485" w:type="dxa"/>
            <w:vAlign w:val="center"/>
          </w:tcPr>
          <w:p>
            <w:pPr>
              <w:widowControl w:val="0"/>
              <w:numPr>
                <w:ilvl w:val="0"/>
                <w:numId w:val="0"/>
              </w:numPr>
              <w:jc w:val="center"/>
              <w:rPr>
                <w:rFonts w:hint="default" w:ascii="仿宋" w:hAnsi="仿宋" w:eastAsia="仿宋" w:cs="仿宋"/>
                <w:i w:val="0"/>
                <w:caps w:val="0"/>
                <w:color w:val="auto"/>
                <w:spacing w:val="0"/>
                <w:kern w:val="2"/>
                <w:sz w:val="24"/>
                <w:szCs w:val="24"/>
                <w:highlight w:val="none"/>
                <w:shd w:val="clear" w:fill="FFFFFF"/>
                <w:vertAlign w:val="baseline"/>
                <w:lang w:val="en-US" w:eastAsia="zh-CN" w:bidi="ar-SA"/>
              </w:rPr>
            </w:pPr>
          </w:p>
        </w:tc>
      </w:tr>
    </w:tbl>
    <w:p>
      <w:pPr>
        <w:spacing w:line="360" w:lineRule="exact"/>
        <w:ind w:right="-20"/>
        <w:rPr>
          <w:rStyle w:val="37"/>
          <w:rFonts w:ascii="宋体" w:hAnsi="宋体"/>
          <w:color w:val="auto"/>
          <w:sz w:val="24"/>
          <w:szCs w:val="24"/>
          <w:highlight w:val="none"/>
        </w:rPr>
      </w:pPr>
    </w:p>
    <w:p>
      <w:pPr>
        <w:spacing w:line="360" w:lineRule="exact"/>
        <w:ind w:right="-20"/>
        <w:rPr>
          <w:rStyle w:val="37"/>
          <w:rFonts w:ascii="宋体" w:hAnsi="宋体"/>
          <w:color w:val="auto"/>
          <w:sz w:val="24"/>
          <w:szCs w:val="24"/>
          <w:highlight w:val="none"/>
        </w:rPr>
      </w:pPr>
    </w:p>
    <w:p>
      <w:pPr>
        <w:spacing w:line="360" w:lineRule="exact"/>
        <w:ind w:right="-20"/>
        <w:rPr>
          <w:rStyle w:val="37"/>
          <w:rFonts w:ascii="宋体" w:hAnsi="宋体"/>
          <w:color w:val="auto"/>
          <w:sz w:val="24"/>
          <w:szCs w:val="24"/>
          <w:highlight w:val="none"/>
        </w:rPr>
      </w:pPr>
    </w:p>
    <w:p>
      <w:pPr>
        <w:spacing w:line="360" w:lineRule="exact"/>
        <w:ind w:right="-20"/>
        <w:rPr>
          <w:rStyle w:val="37"/>
          <w:rFonts w:ascii="宋体" w:hAnsi="宋体"/>
          <w:color w:val="auto"/>
          <w:sz w:val="24"/>
          <w:szCs w:val="24"/>
          <w:highlight w:val="none"/>
        </w:rPr>
      </w:pPr>
    </w:p>
    <w:p>
      <w:pPr>
        <w:spacing w:line="360" w:lineRule="exact"/>
        <w:ind w:right="-20"/>
        <w:rPr>
          <w:rStyle w:val="37"/>
          <w:rFonts w:ascii="宋体" w:hAnsi="宋体"/>
          <w:color w:val="auto"/>
          <w:sz w:val="24"/>
          <w:szCs w:val="24"/>
          <w:highlight w:val="none"/>
        </w:rPr>
      </w:pPr>
    </w:p>
    <w:p>
      <w:pPr>
        <w:spacing w:line="360" w:lineRule="exact"/>
        <w:ind w:right="-20"/>
        <w:rPr>
          <w:rStyle w:val="37"/>
          <w:rFonts w:ascii="宋体" w:hAnsi="宋体"/>
          <w:color w:val="auto"/>
          <w:sz w:val="24"/>
          <w:szCs w:val="24"/>
          <w:highlight w:val="none"/>
        </w:rPr>
      </w:pPr>
    </w:p>
    <w:p>
      <w:pPr>
        <w:spacing w:line="360" w:lineRule="exact"/>
        <w:ind w:right="-20"/>
        <w:rPr>
          <w:rStyle w:val="37"/>
          <w:rFonts w:ascii="宋体" w:hAnsi="宋体"/>
          <w:color w:val="auto"/>
          <w:sz w:val="24"/>
          <w:szCs w:val="24"/>
          <w:highlight w:val="none"/>
        </w:rPr>
      </w:pPr>
    </w:p>
    <w:p>
      <w:pPr>
        <w:spacing w:line="360" w:lineRule="exact"/>
        <w:ind w:right="-20"/>
        <w:rPr>
          <w:rStyle w:val="37"/>
          <w:rFonts w:ascii="宋体" w:hAnsi="宋体"/>
          <w:color w:val="auto"/>
          <w:sz w:val="24"/>
          <w:szCs w:val="24"/>
          <w:highlight w:val="none"/>
        </w:rPr>
      </w:pPr>
    </w:p>
    <w:p>
      <w:pPr>
        <w:spacing w:line="360" w:lineRule="exact"/>
        <w:ind w:right="-20"/>
        <w:rPr>
          <w:rStyle w:val="37"/>
          <w:rFonts w:ascii="宋体" w:hAnsi="宋体"/>
          <w:color w:val="auto"/>
          <w:sz w:val="24"/>
          <w:szCs w:val="24"/>
          <w:highlight w:val="none"/>
        </w:rPr>
      </w:pPr>
    </w:p>
    <w:p>
      <w:pPr>
        <w:jc w:val="left"/>
        <w:textAlignment w:val="auto"/>
        <w:rPr>
          <w:rStyle w:val="37"/>
          <w:b/>
          <w:bCs/>
          <w:color w:val="auto"/>
          <w:sz w:val="44"/>
          <w:szCs w:val="44"/>
          <w:highlight w:val="none"/>
        </w:rPr>
      </w:pPr>
    </w:p>
    <w:sectPr>
      <w:headerReference r:id="rId11" w:type="default"/>
      <w:footerReference r:id="rId12" w:type="default"/>
      <w:footerReference r:id="rId13" w:type="even"/>
      <w:pgSz w:w="11906" w:h="16838"/>
      <w:pgMar w:top="1440" w:right="1588" w:bottom="1440"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Bookman Old Style">
    <w:panose1 w:val="02050604050505020204"/>
    <w:charset w:val="00"/>
    <w:family w:val="roman"/>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MingLiU">
    <w:altName w:val="PMingLiU-ExtB"/>
    <w:panose1 w:val="02020509000000000000"/>
    <w:charset w:val="88"/>
    <w:family w:val="modern"/>
    <w:pitch w:val="default"/>
    <w:sig w:usb0="00000000" w:usb1="00000000"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Black">
    <w:panose1 w:val="020B0A04020102020204"/>
    <w:charset w:val="00"/>
    <w:family w:val="swiss"/>
    <w:pitch w:val="default"/>
    <w:sig w:usb0="A00002AF" w:usb1="400078FB" w:usb2="00000000" w:usb3="00000000" w:csb0="6000009F" w:csb1="DFD70000"/>
  </w:font>
  <w:font w:name="PMingLiU">
    <w:altName w:val="PMingLiU-ExtB"/>
    <w:panose1 w:val="02020500000000000000"/>
    <w:charset w:val="88"/>
    <w:family w:val="roman"/>
    <w:pitch w:val="default"/>
    <w:sig w:usb0="00000000" w:usb1="00000000" w:usb2="00000016" w:usb3="00000000" w:csb0="00100001" w:csb1="00000000"/>
  </w:font>
  <w:font w:name="Calisto MT">
    <w:altName w:val="Segoe Print"/>
    <w:panose1 w:val="02040603050505030304"/>
    <w:charset w:val="00"/>
    <w:family w:val="roman"/>
    <w:pitch w:val="default"/>
    <w:sig w:usb0="00000000" w:usb1="00000000" w:usb2="00000000" w:usb3="00000000" w:csb0="20000001" w:csb1="00000000"/>
  </w:font>
  <w:font w:name="Palatino">
    <w:altName w:val="Palatino Linotype"/>
    <w:panose1 w:val="02040502050505030304"/>
    <w:charset w:val="00"/>
    <w:family w:val="roman"/>
    <w:pitch w:val="default"/>
    <w:sig w:usb0="00000000" w:usb1="00000000" w:usb2="00000000" w:usb3="00000000" w:csb0="00000093" w:csb1="00000000"/>
  </w:font>
  <w:font w:name="全真中明體">
    <w:altName w:val="MingLiU-ExtB"/>
    <w:panose1 w:val="00000000000000000000"/>
    <w:charset w:val="88"/>
    <w:family w:val="modern"/>
    <w:pitch w:val="default"/>
    <w:sig w:usb0="00000000" w:usb1="00000000" w:usb2="00000010" w:usb3="00000000" w:csb0="00100000" w:csb1="00000000"/>
  </w:font>
  <w:font w:name="LCJFL P+ Frutiger">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小标宋简体">
    <w:altName w:val="黑体"/>
    <w:panose1 w:val="03000509000000000000"/>
    <w:charset w:val="86"/>
    <w:family w:val="auto"/>
    <w:pitch w:val="default"/>
    <w:sig w:usb0="00000000" w:usb1="00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 w:name="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cs="Times New Roman"/>
      </w:rPr>
    </w:pPr>
    <w:r>
      <mc:AlternateContent>
        <mc:Choice Requires="wps">
          <w:drawing>
            <wp:anchor distT="0" distB="0" distL="114300" distR="114300" simplePos="0" relativeHeight="252085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5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w:t>
                    </w:r>
                    <w:r>
                      <w:fldChar w:fldCharType="end"/>
                    </w:r>
                  </w:p>
                </w:txbxContent>
              </v:textbox>
            </v:shape>
          </w:pict>
        </mc:Fallback>
      </mc:AlternateContent>
    </w:r>
  </w:p>
  <w:p>
    <w:pPr>
      <w:pStyle w:val="17"/>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2086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6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2089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208934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8NkSxswBAACZAwAADgAAAAAAAAABACAAAAAiAQAAZHJz&#10;L2Uyb0RvYy54bWxQSwUGAAAAAAYABgBZAQAAYAUAAAAA&#10;">
              <v:fill on="f" focussize="0,0"/>
              <v:stroke on="f" weight="1.2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2088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8832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VDVicwBAACZAwAADgAAAAAAAAABACAAAAAiAQAAZHJz&#10;L2Uyb0RvYy54bWxQSwUGAAAAAAYABgBZAQAAYAUAAAAA&#10;">
              <v:fill on="f" focussize="0,0"/>
              <v:stroke on="f" weight="1.2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214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widowControl/>
      <w:snapToGrid w:val="0"/>
      <w:jc w:val="left"/>
      <w:textAlignment w:val="baseline"/>
      <w:rPr>
        <w:rStyle w:val="37"/>
        <w:kern w:val="0"/>
        <w:sz w:val="18"/>
        <w:szCs w:val="18"/>
        <w:lang w:val="en-US" w:eastAsia="zh-CN" w:bidi="ar-SA"/>
      </w:rPr>
    </w:pPr>
    <w:r>
      <w:rPr>
        <w:sz w:val="18"/>
      </w:rPr>
      <mc:AlternateContent>
        <mc:Choice Requires="wps">
          <w:drawing>
            <wp:anchor distT="0" distB="0" distL="114300" distR="114300" simplePos="0" relativeHeight="252090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90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215</w:t>
                    </w:r>
                    <w:r>
                      <w:fldChar w:fldCharType="end"/>
                    </w:r>
                  </w:p>
                </w:txbxContent>
              </v:textbox>
            </v:shape>
          </w:pict>
        </mc:Fallback>
      </mc:AlternateContent>
    </w:r>
  </w:p>
  <w:p>
    <w:pPr>
      <w:pStyle w:val="17"/>
      <w:widowControl/>
      <w:tabs>
        <w:tab w:val="center" w:pos="0"/>
      </w:tabs>
      <w:snapToGrid w:val="0"/>
      <w:ind w:right="360" w:firstLine="3420" w:firstLineChars="1900"/>
      <w:jc w:val="left"/>
      <w:textAlignment w:val="baseline"/>
      <w:rPr>
        <w:rStyle w:val="37"/>
        <w:kern w:val="0"/>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margin" w:hAnchor="text" w:xAlign="right" w:y="1"/>
      <w:widowControl/>
      <w:snapToGrid w:val="0"/>
      <w:jc w:val="left"/>
      <w:textAlignment w:val="baseline"/>
      <w:rPr>
        <w:rStyle w:val="53"/>
        <w:kern w:val="0"/>
        <w:sz w:val="18"/>
        <w:szCs w:val="18"/>
        <w:lang w:val="en-US" w:eastAsia="zh-CN" w:bidi="ar-SA"/>
      </w:rPr>
    </w:pPr>
  </w:p>
  <w:p>
    <w:pPr>
      <w:pStyle w:val="17"/>
      <w:widowControl/>
      <w:snapToGrid w:val="0"/>
      <w:ind w:right="360"/>
      <w:jc w:val="left"/>
      <w:textAlignment w:val="baseline"/>
      <w:rPr>
        <w:rStyle w:val="37"/>
        <w:kern w:val="0"/>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Style w:val="37"/>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7"/>
                          </w:pPr>
                          <w:r>
                            <w:fldChar w:fldCharType="begin"/>
                          </w:r>
                          <w:r>
                            <w:instrText xml:space="preserve"> PAGE  \* MERGEFORMAT </w:instrText>
                          </w:r>
                          <w:r>
                            <w:fldChar w:fldCharType="separate"/>
                          </w:r>
                          <w:r>
                            <w:t>217</w:t>
                          </w:r>
                          <w:r>
                            <w:fldChar w:fldCharType="end"/>
                          </w:r>
                        </w:p>
                      </w:txbxContent>
                    </wps:txbx>
                    <wps:bodyPr vert="horz" wrap="none" lIns="0" tIns="0" rIns="0" bIns="0" anchor="t" anchorCtr="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KQgn+5AEAAMADAAAO&#10;AAAAAAAAAAEAIAAAAB4BAABkcnMvZTJvRG9jLnhtbFBLBQYAAAAABgAGAFkBAAB0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217</w:t>
                    </w:r>
                    <w:r>
                      <w:fldChar w:fldCharType="end"/>
                    </w:r>
                  </w:p>
                </w:txbxContent>
              </v:textbox>
            </v:shape>
          </w:pict>
        </mc:Fallback>
      </mc:AlternateContent>
    </w:r>
  </w:p>
  <w:p>
    <w:pPr>
      <w:pStyle w:val="17"/>
      <w:tabs>
        <w:tab w:val="center" w:pos="0"/>
      </w:tabs>
      <w:ind w:right="360" w:firstLine="3420" w:firstLineChars="1900"/>
      <w:rPr>
        <w:rStyle w:val="37"/>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margin" w:hAnchor="text" w:xAlign="right" w:y="1"/>
      <w:rPr>
        <w:rStyle w:val="53"/>
      </w:rPr>
    </w:pPr>
  </w:p>
  <w:p>
    <w:pPr>
      <w:pStyle w:val="17"/>
      <w:ind w:right="360"/>
      <w:rPr>
        <w:rStyle w:val="37"/>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AA343"/>
    <w:multiLevelType w:val="singleLevel"/>
    <w:tmpl w:val="01FAA343"/>
    <w:lvl w:ilvl="0" w:tentative="0">
      <w:start w:val="14"/>
      <w:numFmt w:val="chineseCounting"/>
      <w:suff w:val="nothing"/>
      <w:lvlText w:val="第%1条　"/>
      <w:lvlJc w:val="left"/>
      <w:rPr>
        <w:rFonts w:hint="eastAsia"/>
      </w:rPr>
    </w:lvl>
  </w:abstractNum>
  <w:abstractNum w:abstractNumId="1">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7C0A55D"/>
    <w:multiLevelType w:val="singleLevel"/>
    <w:tmpl w:val="07C0A55D"/>
    <w:lvl w:ilvl="0" w:tentative="0">
      <w:start w:val="6"/>
      <w:numFmt w:val="decimal"/>
      <w:suff w:val="nothing"/>
      <w:lvlText w:val="（%1）"/>
      <w:lvlJc w:val="left"/>
    </w:lvl>
  </w:abstractNum>
  <w:abstractNum w:abstractNumId="3">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A8412F3"/>
    <w:multiLevelType w:val="multilevel"/>
    <w:tmpl w:val="0A8412F3"/>
    <w:lvl w:ilvl="0" w:tentative="0">
      <w:start w:val="1"/>
      <w:numFmt w:val="decimal"/>
      <w:pStyle w:val="252"/>
      <w:lvlText w:val="%1."/>
      <w:lvlJc w:val="left"/>
      <w:pPr>
        <w:widowControl/>
        <w:ind w:left="420" w:hanging="420"/>
        <w:textAlignment w:val="baseline"/>
      </w:pPr>
    </w:lvl>
    <w:lvl w:ilvl="1" w:tentative="0">
      <w:start w:val="1"/>
      <w:numFmt w:val="decimal"/>
      <w:pStyle w:val="202"/>
      <w:lvlText w:val="%1.%2."/>
      <w:lvlJc w:val="left"/>
      <w:pPr>
        <w:widowControl/>
        <w:ind w:left="1680" w:hanging="420"/>
        <w:textAlignment w:val="baseline"/>
      </w:pPr>
      <w:rPr>
        <w:b/>
      </w:rPr>
    </w:lvl>
    <w:lvl w:ilvl="2" w:tentative="0">
      <w:start w:val="1"/>
      <w:numFmt w:val="decimal"/>
      <w:pStyle w:val="236"/>
      <w:lvlText w:val="%1.%2.%3"/>
      <w:lvlJc w:val="left"/>
      <w:pPr>
        <w:widowControl/>
        <w:ind w:left="720" w:hanging="720"/>
        <w:textAlignment w:val="baseline"/>
      </w:pPr>
      <w:rPr>
        <w:b w:val="0"/>
      </w:rPr>
    </w:lvl>
    <w:lvl w:ilvl="3" w:tentative="0">
      <w:start w:val="1"/>
      <w:numFmt w:val="decimal"/>
      <w:lvlText w:val="%1.%2.%3.%4"/>
      <w:lvlJc w:val="left"/>
      <w:pPr>
        <w:widowControl/>
        <w:ind w:left="720" w:hanging="720"/>
        <w:textAlignment w:val="baseline"/>
      </w:pPr>
      <w:rPr>
        <w:b w:val="0"/>
      </w:rPr>
    </w:lvl>
    <w:lvl w:ilvl="4" w:tentative="0">
      <w:start w:val="1"/>
      <w:numFmt w:val="decimal"/>
      <w:lvlText w:val="%1.%2.%3.%4.%5"/>
      <w:lvlJc w:val="left"/>
      <w:pPr>
        <w:widowControl/>
        <w:ind w:left="1080" w:hanging="1080"/>
        <w:textAlignment w:val="baseline"/>
      </w:pPr>
      <w:rPr>
        <w:b/>
      </w:rPr>
    </w:lvl>
    <w:lvl w:ilvl="5" w:tentative="0">
      <w:start w:val="1"/>
      <w:numFmt w:val="decimal"/>
      <w:lvlText w:val="%1.%2.%3.%4.%5.%6"/>
      <w:lvlJc w:val="left"/>
      <w:pPr>
        <w:widowControl/>
        <w:ind w:left="1080" w:hanging="1080"/>
        <w:textAlignment w:val="baseline"/>
      </w:pPr>
    </w:lvl>
    <w:lvl w:ilvl="6" w:tentative="0">
      <w:start w:val="1"/>
      <w:numFmt w:val="decimal"/>
      <w:lvlText w:val="%1.%2.%3.%4.%5.%6.%7"/>
      <w:lvlJc w:val="left"/>
      <w:pPr>
        <w:widowControl/>
        <w:ind w:left="1440" w:hanging="1440"/>
        <w:textAlignment w:val="baseline"/>
      </w:pPr>
    </w:lvl>
    <w:lvl w:ilvl="7" w:tentative="0">
      <w:start w:val="1"/>
      <w:numFmt w:val="decimal"/>
      <w:lvlText w:val="%1.%2.%3.%4.%5.%6.%7.%8"/>
      <w:lvlJc w:val="left"/>
      <w:pPr>
        <w:widowControl/>
        <w:ind w:left="1440" w:hanging="1440"/>
        <w:textAlignment w:val="baseline"/>
      </w:pPr>
    </w:lvl>
    <w:lvl w:ilvl="8" w:tentative="0">
      <w:start w:val="1"/>
      <w:numFmt w:val="decimal"/>
      <w:lvlText w:val="%1.%2.%3.%4.%5.%6.%7.%8.%9"/>
      <w:lvlJc w:val="left"/>
      <w:pPr>
        <w:widowControl/>
        <w:ind w:left="1800" w:hanging="1800"/>
        <w:textAlignment w:val="baseline"/>
      </w:pPr>
    </w:lvl>
  </w:abstractNum>
  <w:abstractNum w:abstractNumId="5">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59905B5"/>
    <w:multiLevelType w:val="multilevel"/>
    <w:tmpl w:val="259905B5"/>
    <w:lvl w:ilvl="0" w:tentative="0">
      <w:start w:val="1"/>
      <w:numFmt w:val="chineseCountingThousand"/>
      <w:pStyle w:val="222"/>
      <w:suff w:val="space"/>
      <w:lvlText w:val="第%1章"/>
      <w:lvlJc w:val="left"/>
      <w:pPr>
        <w:widowControl/>
        <w:ind w:left="567" w:hanging="279"/>
        <w:textAlignment w:val="baseline"/>
      </w:pPr>
      <w:rPr>
        <w:rFonts w:ascii="宋体" w:eastAsia="宋体"/>
        <w:b/>
        <w:i w:val="0"/>
        <w:position w:val="0"/>
        <w:sz w:val="44"/>
      </w:rPr>
    </w:lvl>
    <w:lvl w:ilvl="1" w:tentative="0">
      <w:start w:val="1"/>
      <w:numFmt w:val="decimal"/>
      <w:pStyle w:val="359"/>
      <w:suff w:val="space"/>
      <w:lvlText w:val="%1."/>
      <w:lvlJc w:val="left"/>
      <w:pPr>
        <w:widowControl/>
        <w:ind w:left="454" w:hanging="454"/>
        <w:textAlignment w:val="baseline"/>
      </w:pPr>
      <w:rPr>
        <w:rFonts w:ascii="宋体" w:eastAsia="宋体"/>
        <w:b/>
        <w:i w:val="0"/>
        <w:sz w:val="32"/>
      </w:rPr>
    </w:lvl>
    <w:lvl w:ilvl="2" w:tentative="0">
      <w:start w:val="1"/>
      <w:numFmt w:val="decimal"/>
      <w:pStyle w:val="234"/>
      <w:suff w:val="space"/>
      <w:lvlText w:val="%1.%2"/>
      <w:lvlJc w:val="left"/>
      <w:pPr>
        <w:widowControl/>
        <w:ind w:left="454" w:hanging="454"/>
        <w:textAlignment w:val="baseline"/>
      </w:pPr>
      <w:rPr>
        <w:rFonts w:ascii="宋体" w:eastAsia="宋体"/>
        <w:b/>
        <w:i w:val="0"/>
        <w:sz w:val="28"/>
      </w:rPr>
    </w:lvl>
    <w:lvl w:ilvl="3" w:tentative="0">
      <w:start w:val="1"/>
      <w:numFmt w:val="decimal"/>
      <w:pStyle w:val="44"/>
      <w:suff w:val="space"/>
      <w:lvlText w:val="%1.%2.%3"/>
      <w:lvlJc w:val="left"/>
      <w:pPr>
        <w:widowControl/>
        <w:ind w:left="284" w:hanging="284"/>
        <w:textAlignment w:val="baseline"/>
      </w:pPr>
      <w:rPr>
        <w:rFonts w:ascii="宋体" w:eastAsia="宋体"/>
        <w:b/>
        <w:i w:val="0"/>
        <w:sz w:val="28"/>
      </w:rPr>
    </w:lvl>
    <w:lvl w:ilvl="4" w:tentative="0">
      <w:start w:val="1"/>
      <w:numFmt w:val="decimal"/>
      <w:pStyle w:val="45"/>
      <w:suff w:val="space"/>
      <w:lvlText w:val="%1.%2.%3.%4"/>
      <w:lvlJc w:val="left"/>
      <w:pPr>
        <w:widowControl/>
        <w:ind w:left="284" w:hanging="284"/>
        <w:textAlignment w:val="baseline"/>
      </w:pPr>
      <w:rPr>
        <w:rFonts w:ascii="宋体" w:eastAsia="宋体"/>
        <w:b/>
        <w:i w:val="0"/>
        <w:strike w:val="0"/>
        <w:dstrike w:val="0"/>
        <w:sz w:val="28"/>
      </w:rPr>
    </w:lvl>
    <w:lvl w:ilvl="5" w:tentative="0">
      <w:start w:val="1"/>
      <w:numFmt w:val="decimal"/>
      <w:suff w:val="space"/>
      <w:lvlText w:val="1.1.1.1.1.%1%2"/>
      <w:lvlJc w:val="left"/>
      <w:pPr>
        <w:widowControl/>
        <w:textAlignment w:val="baseline"/>
      </w:pPr>
      <w:rPr>
        <w:rFonts w:ascii="宋体" w:eastAsia="宋体"/>
        <w:b/>
        <w:i w:val="0"/>
        <w:sz w:val="28"/>
      </w:rPr>
    </w:lvl>
    <w:lvl w:ilvl="6" w:tentative="0">
      <w:start w:val="1"/>
      <w:numFmt w:val="decimal"/>
      <w:pStyle w:val="47"/>
      <w:suff w:val="nothing"/>
      <w:lvlText w:val=""/>
      <w:lvlJc w:val="left"/>
      <w:pPr>
        <w:widowControl/>
        <w:textAlignment w:val="baseline"/>
      </w:pPr>
    </w:lvl>
    <w:lvl w:ilvl="7" w:tentative="0">
      <w:start w:val="1"/>
      <w:numFmt w:val="decimal"/>
      <w:pStyle w:val="48"/>
      <w:suff w:val="nothing"/>
      <w:lvlText w:val=""/>
      <w:lvlJc w:val="left"/>
      <w:pPr>
        <w:widowControl/>
        <w:textAlignment w:val="baseline"/>
      </w:pPr>
    </w:lvl>
    <w:lvl w:ilvl="8" w:tentative="0">
      <w:start w:val="1"/>
      <w:numFmt w:val="decimal"/>
      <w:pStyle w:val="49"/>
      <w:suff w:val="nothing"/>
      <w:lvlText w:val=""/>
      <w:lvlJc w:val="left"/>
      <w:pPr>
        <w:widowControl/>
        <w:textAlignment w:val="baseline"/>
      </w:pPr>
    </w:lvl>
  </w:abstractNum>
  <w:abstractNum w:abstractNumId="9">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2E75FF29"/>
    <w:multiLevelType w:val="singleLevel"/>
    <w:tmpl w:val="2E75FF29"/>
    <w:lvl w:ilvl="0" w:tentative="0">
      <w:start w:val="1"/>
      <w:numFmt w:val="chineseCounting"/>
      <w:suff w:val="space"/>
      <w:lvlText w:val="第%1条"/>
      <w:lvlJc w:val="left"/>
      <w:rPr>
        <w:rFonts w:hint="eastAsia"/>
      </w:rPr>
    </w:lvl>
  </w:abstractNum>
  <w:abstractNum w:abstractNumId="11">
    <w:nsid w:val="2F323F1F"/>
    <w:multiLevelType w:val="multilevel"/>
    <w:tmpl w:val="2F323F1F"/>
    <w:lvl w:ilvl="0" w:tentative="0">
      <w:start w:val="1"/>
      <w:numFmt w:val="decimal"/>
      <w:lvlText w:val="%1"/>
      <w:lvlJc w:val="left"/>
      <w:pPr>
        <w:widowControl/>
        <w:ind w:left="985" w:hanging="425"/>
        <w:textAlignment w:val="baseline"/>
      </w:pPr>
    </w:lvl>
    <w:lvl w:ilvl="1" w:tentative="0">
      <w:start w:val="1"/>
      <w:numFmt w:val="decimal"/>
      <w:pStyle w:val="343"/>
      <w:lvlText w:val="%1.%2"/>
      <w:lvlJc w:val="left"/>
      <w:pPr>
        <w:widowControl/>
        <w:ind w:left="591" w:hanging="567"/>
        <w:textAlignment w:val="baseline"/>
      </w:pPr>
    </w:lvl>
    <w:lvl w:ilvl="2" w:tentative="0">
      <w:start w:val="1"/>
      <w:numFmt w:val="decimal"/>
      <w:lvlText w:val="%1.%2.%3"/>
      <w:lvlJc w:val="left"/>
      <w:pPr>
        <w:widowControl/>
        <w:ind w:left="1978" w:hanging="567"/>
        <w:textAlignment w:val="baseline"/>
      </w:pPr>
    </w:lvl>
    <w:lvl w:ilvl="3" w:tentative="0">
      <w:start w:val="1"/>
      <w:numFmt w:val="decimal"/>
      <w:lvlText w:val="%1.%2.%3.%4"/>
      <w:lvlJc w:val="left"/>
      <w:pPr>
        <w:widowControl/>
        <w:ind w:left="2544" w:hanging="708"/>
        <w:textAlignment w:val="baseline"/>
      </w:pPr>
    </w:lvl>
    <w:lvl w:ilvl="4" w:tentative="0">
      <w:start w:val="1"/>
      <w:numFmt w:val="decimal"/>
      <w:lvlText w:val="%1.%2.%3.%4.%5"/>
      <w:lvlJc w:val="left"/>
      <w:pPr>
        <w:widowControl/>
        <w:ind w:left="3111" w:hanging="850"/>
        <w:textAlignment w:val="baseline"/>
      </w:pPr>
    </w:lvl>
    <w:lvl w:ilvl="5" w:tentative="0">
      <w:start w:val="1"/>
      <w:numFmt w:val="decimal"/>
      <w:lvlText w:val="%1.%2.%3.%4.%5.%6"/>
      <w:lvlJc w:val="left"/>
      <w:pPr>
        <w:widowControl/>
        <w:ind w:left="3820" w:hanging="1134"/>
        <w:textAlignment w:val="baseline"/>
      </w:pPr>
    </w:lvl>
    <w:lvl w:ilvl="6" w:tentative="0">
      <w:start w:val="1"/>
      <w:numFmt w:val="decimal"/>
      <w:lvlText w:val="%1.%2.%3.%4.%5.%6.%7"/>
      <w:lvlJc w:val="left"/>
      <w:pPr>
        <w:widowControl/>
        <w:ind w:left="4387" w:hanging="1276"/>
        <w:textAlignment w:val="baseline"/>
      </w:pPr>
    </w:lvl>
    <w:lvl w:ilvl="7" w:tentative="0">
      <w:start w:val="1"/>
      <w:numFmt w:val="decimal"/>
      <w:lvlText w:val="%1.%2.%3.%4.%5.%6.%7.%8"/>
      <w:lvlJc w:val="left"/>
      <w:pPr>
        <w:widowControl/>
        <w:ind w:left="4954" w:hanging="1418"/>
        <w:textAlignment w:val="baseline"/>
      </w:pPr>
    </w:lvl>
    <w:lvl w:ilvl="8" w:tentative="0">
      <w:start w:val="1"/>
      <w:numFmt w:val="decimal"/>
      <w:lvlText w:val="%1.%2.%3.%4.%5.%6.%7.%8.%9"/>
      <w:lvlJc w:val="left"/>
      <w:pPr>
        <w:widowControl/>
        <w:ind w:left="5662" w:hanging="1700"/>
        <w:textAlignment w:val="baseline"/>
      </w:pPr>
    </w:lvl>
  </w:abstractNum>
  <w:abstractNum w:abstractNumId="12">
    <w:nsid w:val="2F8123ED"/>
    <w:multiLevelType w:val="multilevel"/>
    <w:tmpl w:val="2F8123ED"/>
    <w:lvl w:ilvl="0" w:tentative="0">
      <w:start w:val="1"/>
      <w:numFmt w:val="decimal"/>
      <w:pStyle w:val="243"/>
      <w:lvlText w:val="（%1）"/>
      <w:lvlJc w:val="left"/>
      <w:pPr>
        <w:widowControl/>
        <w:ind w:left="1751" w:hanging="851"/>
        <w:textAlignment w:val="baseline"/>
      </w:pPr>
    </w:lvl>
    <w:lvl w:ilvl="1" w:tentative="0">
      <w:start w:val="1"/>
      <w:numFmt w:val="bullet"/>
      <w:lvlText w:val=""/>
      <w:lvlJc w:val="left"/>
      <w:pPr>
        <w:widowControl/>
        <w:ind w:left="2235" w:hanging="420"/>
        <w:textAlignment w:val="baseline"/>
      </w:pPr>
      <w:rPr>
        <w:rFonts w:ascii="Wingdings" w:hAnsi="Wingdings"/>
        <w:sz w:val="21"/>
        <w:szCs w:val="21"/>
      </w:rPr>
    </w:lvl>
    <w:lvl w:ilvl="2" w:tentative="0">
      <w:start w:val="1"/>
      <w:numFmt w:val="lowerRoman"/>
      <w:lvlText w:val="%1."/>
      <w:lvlJc w:val="right"/>
      <w:pPr>
        <w:widowControl/>
        <w:ind w:left="2655" w:hanging="420"/>
        <w:textAlignment w:val="baseline"/>
      </w:pPr>
    </w:lvl>
    <w:lvl w:ilvl="3" w:tentative="0">
      <w:start w:val="1"/>
      <w:numFmt w:val="decimal"/>
      <w:lvlText w:val="%1."/>
      <w:lvlJc w:val="left"/>
      <w:pPr>
        <w:widowControl/>
        <w:ind w:left="3075" w:hanging="420"/>
        <w:textAlignment w:val="baseline"/>
      </w:pPr>
    </w:lvl>
    <w:lvl w:ilvl="4" w:tentative="0">
      <w:start w:val="1"/>
      <w:numFmt w:val="lowerLetter"/>
      <w:lvlText w:val="%1)"/>
      <w:lvlJc w:val="left"/>
      <w:pPr>
        <w:widowControl/>
        <w:ind w:left="3495" w:hanging="420"/>
        <w:textAlignment w:val="baseline"/>
      </w:pPr>
    </w:lvl>
    <w:lvl w:ilvl="5" w:tentative="0">
      <w:start w:val="1"/>
      <w:numFmt w:val="lowerRoman"/>
      <w:lvlText w:val="%1."/>
      <w:lvlJc w:val="right"/>
      <w:pPr>
        <w:widowControl/>
        <w:ind w:left="3915" w:hanging="420"/>
        <w:textAlignment w:val="baseline"/>
      </w:pPr>
    </w:lvl>
    <w:lvl w:ilvl="6" w:tentative="0">
      <w:start w:val="1"/>
      <w:numFmt w:val="decimal"/>
      <w:lvlText w:val="%1."/>
      <w:lvlJc w:val="left"/>
      <w:pPr>
        <w:widowControl/>
        <w:ind w:left="4335" w:hanging="420"/>
        <w:textAlignment w:val="baseline"/>
      </w:pPr>
    </w:lvl>
    <w:lvl w:ilvl="7" w:tentative="0">
      <w:start w:val="1"/>
      <w:numFmt w:val="lowerLetter"/>
      <w:lvlText w:val="%1)"/>
      <w:lvlJc w:val="left"/>
      <w:pPr>
        <w:widowControl/>
        <w:ind w:left="4755" w:hanging="420"/>
        <w:textAlignment w:val="baseline"/>
      </w:pPr>
    </w:lvl>
    <w:lvl w:ilvl="8" w:tentative="0">
      <w:start w:val="1"/>
      <w:numFmt w:val="lowerRoman"/>
      <w:lvlText w:val="%1."/>
      <w:lvlJc w:val="right"/>
      <w:pPr>
        <w:widowControl/>
        <w:ind w:left="5175" w:hanging="420"/>
        <w:textAlignment w:val="baseline"/>
      </w:pPr>
    </w:lvl>
  </w:abstractNum>
  <w:abstractNum w:abstractNumId="13">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72B22ED"/>
    <w:multiLevelType w:val="singleLevel"/>
    <w:tmpl w:val="372B22ED"/>
    <w:lvl w:ilvl="0" w:tentative="0">
      <w:start w:val="2"/>
      <w:numFmt w:val="decimal"/>
      <w:suff w:val="nothing"/>
      <w:lvlText w:val="%1、"/>
      <w:lvlJc w:val="left"/>
      <w:pPr>
        <w:ind w:left="660" w:leftChars="0" w:firstLine="0" w:firstLineChars="0"/>
      </w:pPr>
    </w:lvl>
  </w:abstractNum>
  <w:abstractNum w:abstractNumId="16">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45383389"/>
    <w:multiLevelType w:val="singleLevel"/>
    <w:tmpl w:val="45383389"/>
    <w:lvl w:ilvl="0" w:tentative="0">
      <w:start w:val="1"/>
      <w:numFmt w:val="decimal"/>
      <w:lvlText w:val="%1．"/>
      <w:lvlJc w:val="left"/>
      <w:pPr>
        <w:widowControl/>
        <w:ind w:left="750" w:hanging="330"/>
        <w:textAlignment w:val="baseline"/>
      </w:pPr>
    </w:lvl>
  </w:abstractNum>
  <w:abstractNum w:abstractNumId="19">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48151F4D"/>
    <w:multiLevelType w:val="singleLevel"/>
    <w:tmpl w:val="48151F4D"/>
    <w:lvl w:ilvl="0" w:tentative="0">
      <w:start w:val="1"/>
      <w:numFmt w:val="decimal"/>
      <w:pStyle w:val="267"/>
      <w:lvlText w:val="（%1）"/>
      <w:lvlJc w:val="left"/>
      <w:pPr>
        <w:widowControl/>
        <w:ind w:left="1053" w:hanging="528"/>
        <w:textAlignment w:val="baseline"/>
      </w:pPr>
    </w:lvl>
  </w:abstractNum>
  <w:abstractNum w:abstractNumId="21">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85FF246"/>
    <w:multiLevelType w:val="singleLevel"/>
    <w:tmpl w:val="585FF246"/>
    <w:lvl w:ilvl="0" w:tentative="0">
      <w:start w:val="1"/>
      <w:numFmt w:val="decimal"/>
      <w:suff w:val="nothing"/>
      <w:lvlText w:val="%1."/>
      <w:lvlJc w:val="left"/>
    </w:lvl>
  </w:abstractNum>
  <w:abstractNum w:abstractNumId="24">
    <w:nsid w:val="585FF8EB"/>
    <w:multiLevelType w:val="singleLevel"/>
    <w:tmpl w:val="585FF8EB"/>
    <w:lvl w:ilvl="0" w:tentative="0">
      <w:start w:val="1"/>
      <w:numFmt w:val="decimal"/>
      <w:suff w:val="nothing"/>
      <w:lvlText w:val="%1."/>
      <w:lvlJc w:val="left"/>
    </w:lvl>
  </w:abstractNum>
  <w:abstractNum w:abstractNumId="25">
    <w:nsid w:val="5A0A9B0E"/>
    <w:multiLevelType w:val="multilevel"/>
    <w:tmpl w:val="5A0A9B0E"/>
    <w:lvl w:ilvl="0" w:tentative="0">
      <w:start w:val="5"/>
      <w:numFmt w:val="decimal"/>
      <w:lvlText w:val="%1"/>
      <w:lvlJc w:val="left"/>
      <w:pPr>
        <w:widowControl/>
        <w:ind w:left="840" w:hanging="360"/>
        <w:textAlignment w:val="baseline"/>
      </w:pPr>
    </w:lvl>
    <w:lvl w:ilvl="1" w:tentative="0">
      <w:start w:val="1"/>
      <w:numFmt w:val="lowerLetter"/>
      <w:lvlText w:val="%1)"/>
      <w:lvlJc w:val="left"/>
      <w:pPr>
        <w:widowControl/>
        <w:ind w:left="1320" w:hanging="420"/>
        <w:textAlignment w:val="baseline"/>
      </w:pPr>
    </w:lvl>
    <w:lvl w:ilvl="2" w:tentative="0">
      <w:start w:val="1"/>
      <w:numFmt w:val="lowerRoman"/>
      <w:lvlText w:val="%1."/>
      <w:lvlJc w:val="right"/>
      <w:pPr>
        <w:widowControl/>
        <w:ind w:left="1740" w:hanging="420"/>
        <w:textAlignment w:val="baseline"/>
      </w:pPr>
    </w:lvl>
    <w:lvl w:ilvl="3" w:tentative="0">
      <w:start w:val="1"/>
      <w:numFmt w:val="decimal"/>
      <w:lvlText w:val="%1."/>
      <w:lvlJc w:val="left"/>
      <w:pPr>
        <w:widowControl/>
        <w:ind w:left="2160" w:hanging="420"/>
        <w:textAlignment w:val="baseline"/>
      </w:pPr>
    </w:lvl>
    <w:lvl w:ilvl="4" w:tentative="0">
      <w:start w:val="1"/>
      <w:numFmt w:val="lowerLetter"/>
      <w:lvlText w:val="%1)"/>
      <w:lvlJc w:val="left"/>
      <w:pPr>
        <w:widowControl/>
        <w:ind w:left="2580" w:hanging="420"/>
        <w:textAlignment w:val="baseline"/>
      </w:pPr>
    </w:lvl>
    <w:lvl w:ilvl="5" w:tentative="0">
      <w:start w:val="1"/>
      <w:numFmt w:val="lowerRoman"/>
      <w:lvlText w:val="%1."/>
      <w:lvlJc w:val="right"/>
      <w:pPr>
        <w:widowControl/>
        <w:ind w:left="3000" w:hanging="420"/>
        <w:textAlignment w:val="baseline"/>
      </w:pPr>
    </w:lvl>
    <w:lvl w:ilvl="6" w:tentative="0">
      <w:start w:val="1"/>
      <w:numFmt w:val="decimal"/>
      <w:lvlText w:val="%1."/>
      <w:lvlJc w:val="left"/>
      <w:pPr>
        <w:widowControl/>
        <w:ind w:left="3420" w:hanging="420"/>
        <w:textAlignment w:val="baseline"/>
      </w:pPr>
    </w:lvl>
    <w:lvl w:ilvl="7" w:tentative="0">
      <w:start w:val="1"/>
      <w:numFmt w:val="lowerLetter"/>
      <w:lvlText w:val="%1)"/>
      <w:lvlJc w:val="left"/>
      <w:pPr>
        <w:widowControl/>
        <w:ind w:left="3840" w:hanging="420"/>
        <w:textAlignment w:val="baseline"/>
      </w:pPr>
    </w:lvl>
    <w:lvl w:ilvl="8" w:tentative="0">
      <w:start w:val="1"/>
      <w:numFmt w:val="lowerRoman"/>
      <w:lvlText w:val="%1."/>
      <w:lvlJc w:val="right"/>
      <w:pPr>
        <w:widowControl/>
        <w:ind w:left="4260" w:hanging="420"/>
        <w:textAlignment w:val="baseline"/>
      </w:pPr>
    </w:lvl>
  </w:abstractNum>
  <w:abstractNum w:abstractNumId="26">
    <w:nsid w:val="5AE2DA58"/>
    <w:multiLevelType w:val="singleLevel"/>
    <w:tmpl w:val="5AE2DA58"/>
    <w:lvl w:ilvl="0" w:tentative="0">
      <w:start w:val="2"/>
      <w:numFmt w:val="decimal"/>
      <w:suff w:val="nothing"/>
      <w:lvlText w:val="%1."/>
      <w:lvlJc w:val="left"/>
    </w:lvl>
  </w:abstractNum>
  <w:abstractNum w:abstractNumId="27">
    <w:nsid w:val="5B3C7FD0"/>
    <w:multiLevelType w:val="singleLevel"/>
    <w:tmpl w:val="5B3C7FD0"/>
    <w:lvl w:ilvl="0" w:tentative="0">
      <w:start w:val="1"/>
      <w:numFmt w:val="decimal"/>
      <w:suff w:val="nothing"/>
      <w:lvlText w:val="%1、"/>
      <w:lvlJc w:val="left"/>
    </w:lvl>
  </w:abstractNum>
  <w:abstractNum w:abstractNumId="28">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60AE9A84"/>
    <w:multiLevelType w:val="singleLevel"/>
    <w:tmpl w:val="60AE9A84"/>
    <w:lvl w:ilvl="0" w:tentative="0">
      <w:start w:val="1"/>
      <w:numFmt w:val="decimal"/>
      <w:lvlText w:val="%1."/>
      <w:lvlJc w:val="left"/>
      <w:pPr>
        <w:tabs>
          <w:tab w:val="left" w:pos="312"/>
        </w:tabs>
        <w:ind w:left="-60"/>
      </w:pPr>
    </w:lvl>
  </w:abstractNum>
  <w:abstractNum w:abstractNumId="31">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4">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733B3A27"/>
    <w:multiLevelType w:val="singleLevel"/>
    <w:tmpl w:val="733B3A27"/>
    <w:lvl w:ilvl="0" w:tentative="0">
      <w:start w:val="3"/>
      <w:numFmt w:val="chineseCounting"/>
      <w:suff w:val="nothing"/>
      <w:lvlText w:val="（%1）"/>
      <w:lvlJc w:val="left"/>
      <w:rPr>
        <w:rFonts w:hint="eastAsia"/>
      </w:rPr>
    </w:lvl>
  </w:abstractNum>
  <w:abstractNum w:abstractNumId="37">
    <w:nsid w:val="74FB0463"/>
    <w:multiLevelType w:val="multilevel"/>
    <w:tmpl w:val="74FB0463"/>
    <w:lvl w:ilvl="0" w:tentative="0">
      <w:start w:val="1"/>
      <w:numFmt w:val="decimal"/>
      <w:suff w:val="nothing"/>
      <w:lvlText w:val="第%1篇"/>
      <w:lvlJc w:val="left"/>
      <w:pPr>
        <w:widowControl/>
        <w:textAlignment w:val="baseline"/>
      </w:pPr>
      <w:rPr>
        <w:spacing w:val="60"/>
      </w:rPr>
    </w:lvl>
    <w:lvl w:ilvl="1" w:tentative="0">
      <w:start w:val="1"/>
      <w:numFmt w:val="decimal"/>
      <w:suff w:val="nothing"/>
      <w:lvlText w:val=""/>
      <w:lvlJc w:val="left"/>
      <w:pPr>
        <w:widowControl/>
        <w:textAlignment w:val="baseline"/>
      </w:pPr>
    </w:lvl>
    <w:lvl w:ilvl="2" w:tentative="0">
      <w:start w:val="1"/>
      <w:numFmt w:val="decimal"/>
      <w:suff w:val="nothing"/>
      <w:lvlText w:val=""/>
      <w:lvlJc w:val="left"/>
      <w:pPr>
        <w:widowControl/>
        <w:textAlignment w:val="baseline"/>
      </w:pPr>
    </w:lvl>
    <w:lvl w:ilvl="3" w:tentative="0">
      <w:start w:val="1"/>
      <w:numFmt w:val="decimal"/>
      <w:suff w:val="nothing"/>
      <w:lvlText w:val=""/>
      <w:lvlJc w:val="left"/>
      <w:pPr>
        <w:widowControl/>
        <w:textAlignment w:val="baseline"/>
      </w:pPr>
    </w:lvl>
    <w:lvl w:ilvl="4" w:tentative="0">
      <w:start w:val="1"/>
      <w:numFmt w:val="decimal"/>
      <w:suff w:val="nothing"/>
      <w:lvlText w:val=""/>
      <w:lvlJc w:val="center"/>
      <w:pPr>
        <w:widowControl/>
        <w:ind w:firstLine="288"/>
        <w:textAlignment w:val="baseline"/>
      </w:pPr>
    </w:lvl>
    <w:lvl w:ilvl="5" w:tentative="0">
      <w:start w:val="1"/>
      <w:numFmt w:val="decimal"/>
      <w:pStyle w:val="46"/>
      <w:suff w:val="nothing"/>
      <w:lvlText w:val=""/>
      <w:lvlJc w:val="left"/>
      <w:pPr>
        <w:widowControl/>
        <w:textAlignment w:val="baseline"/>
      </w:pPr>
    </w:lvl>
    <w:lvl w:ilvl="6" w:tentative="0">
      <w:start w:val="1"/>
      <w:numFmt w:val="decimal"/>
      <w:suff w:val="nothing"/>
      <w:lvlText w:val=""/>
      <w:lvlJc w:val="left"/>
      <w:pPr>
        <w:widowControl/>
        <w:textAlignment w:val="baseline"/>
      </w:pPr>
    </w:lvl>
    <w:lvl w:ilvl="7" w:tentative="0">
      <w:start w:val="1"/>
      <w:numFmt w:val="decimal"/>
      <w:suff w:val="nothing"/>
      <w:lvlText w:val=""/>
      <w:lvlJc w:val="left"/>
      <w:pPr>
        <w:widowControl/>
        <w:textAlignment w:val="baseline"/>
      </w:pPr>
    </w:lvl>
    <w:lvl w:ilvl="8" w:tentative="0">
      <w:start w:val="1"/>
      <w:numFmt w:val="decimal"/>
      <w:suff w:val="nothing"/>
      <w:lvlText w:val=""/>
      <w:lvlJc w:val="left"/>
      <w:pPr>
        <w:widowControl/>
        <w:textAlignment w:val="baseline"/>
      </w:pPr>
    </w:lvl>
  </w:abstractNum>
  <w:abstractNum w:abstractNumId="38">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0">
    <w:nsid w:val="7E0B3878"/>
    <w:multiLevelType w:val="multilevel"/>
    <w:tmpl w:val="7E0B3878"/>
    <w:lvl w:ilvl="0" w:tentative="0">
      <w:start w:val="1"/>
      <w:numFmt w:val="bullet"/>
      <w:pStyle w:val="208"/>
      <w:lvlText w:val=""/>
      <w:lvlJc w:val="left"/>
      <w:pPr>
        <w:widowControl/>
        <w:ind w:left="1644" w:hanging="226"/>
        <w:textAlignment w:val="baseline"/>
      </w:pPr>
      <w:rPr>
        <w:rFonts w:ascii="Wingdings" w:hAnsi="Wingdings"/>
      </w:rPr>
    </w:lvl>
    <w:lvl w:ilvl="1" w:tentative="0">
      <w:start w:val="1"/>
      <w:numFmt w:val="decimal"/>
      <w:lvlText w:val="%1)"/>
      <w:lvlJc w:val="left"/>
      <w:pPr>
        <w:widowControl/>
        <w:ind w:left="747" w:hanging="327"/>
        <w:textAlignment w:val="baseline"/>
      </w:pPr>
    </w:lvl>
    <w:lvl w:ilvl="2" w:tentative="0">
      <w:start w:val="1"/>
      <w:numFmt w:val="decimal"/>
      <w:lvlText w:val="（%1）"/>
      <w:lvlJc w:val="left"/>
      <w:pPr>
        <w:widowControl/>
        <w:ind w:left="1560" w:hanging="720"/>
        <w:textAlignment w:val="baseline"/>
      </w:pPr>
    </w:lvl>
    <w:lvl w:ilvl="3" w:tentative="0">
      <w:start w:val="1"/>
      <w:numFmt w:val="bullet"/>
      <w:lvlText w:val=""/>
      <w:lvlJc w:val="left"/>
      <w:pPr>
        <w:widowControl/>
        <w:ind w:left="1680" w:hanging="420"/>
        <w:textAlignment w:val="baseline"/>
      </w:pPr>
      <w:rPr>
        <w:rFonts w:ascii="Wingdings" w:hAnsi="Wingdings"/>
      </w:rPr>
    </w:lvl>
    <w:lvl w:ilvl="4" w:tentative="0">
      <w:start w:val="1"/>
      <w:numFmt w:val="bullet"/>
      <w:lvlText w:val=""/>
      <w:lvlJc w:val="left"/>
      <w:pPr>
        <w:widowControl/>
        <w:ind w:left="2100" w:hanging="420"/>
        <w:textAlignment w:val="baseline"/>
      </w:pPr>
      <w:rPr>
        <w:rFonts w:ascii="Wingdings" w:hAnsi="Wingdings"/>
      </w:rPr>
    </w:lvl>
    <w:lvl w:ilvl="5" w:tentative="0">
      <w:start w:val="1"/>
      <w:numFmt w:val="bullet"/>
      <w:lvlText w:val=""/>
      <w:lvlJc w:val="left"/>
      <w:pPr>
        <w:widowControl/>
        <w:ind w:left="2520" w:hanging="420"/>
        <w:textAlignment w:val="baseline"/>
      </w:pPr>
      <w:rPr>
        <w:rFonts w:ascii="Wingdings" w:hAnsi="Wingdings"/>
      </w:rPr>
    </w:lvl>
    <w:lvl w:ilvl="6" w:tentative="0">
      <w:start w:val="1"/>
      <w:numFmt w:val="bullet"/>
      <w:lvlText w:val=""/>
      <w:lvlJc w:val="left"/>
      <w:pPr>
        <w:widowControl/>
        <w:ind w:left="2940" w:hanging="420"/>
        <w:textAlignment w:val="baseline"/>
      </w:pPr>
      <w:rPr>
        <w:rFonts w:ascii="Wingdings" w:hAnsi="Wingdings"/>
      </w:rPr>
    </w:lvl>
    <w:lvl w:ilvl="7" w:tentative="0">
      <w:start w:val="1"/>
      <w:numFmt w:val="bullet"/>
      <w:lvlText w:val=""/>
      <w:lvlJc w:val="left"/>
      <w:pPr>
        <w:widowControl/>
        <w:ind w:left="3360" w:hanging="420"/>
        <w:textAlignment w:val="baseline"/>
      </w:pPr>
      <w:rPr>
        <w:rFonts w:ascii="Wingdings" w:hAnsi="Wingdings"/>
      </w:rPr>
    </w:lvl>
    <w:lvl w:ilvl="8" w:tentative="0">
      <w:start w:val="1"/>
      <w:numFmt w:val="bullet"/>
      <w:lvlText w:val=""/>
      <w:lvlJc w:val="left"/>
      <w:pPr>
        <w:widowControl/>
        <w:ind w:left="3780" w:hanging="420"/>
        <w:textAlignment w:val="baseline"/>
      </w:pPr>
      <w:rPr>
        <w:rFonts w:ascii="Wingdings" w:hAnsi="Wingdings"/>
      </w:rPr>
    </w:lvl>
  </w:abstractNum>
  <w:abstractNum w:abstractNumId="41">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8"/>
  </w:num>
  <w:num w:numId="2">
    <w:abstractNumId w:val="37"/>
  </w:num>
  <w:num w:numId="3">
    <w:abstractNumId w:val="4"/>
  </w:num>
  <w:num w:numId="4">
    <w:abstractNumId w:val="40"/>
  </w:num>
  <w:num w:numId="5">
    <w:abstractNumId w:val="12"/>
  </w:num>
  <w:num w:numId="6">
    <w:abstractNumId w:val="20"/>
  </w:num>
  <w:num w:numId="7">
    <w:abstractNumId w:val="18"/>
  </w:num>
  <w:num w:numId="8">
    <w:abstractNumId w:val="1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
  </w:num>
  <w:num w:numId="33">
    <w:abstractNumId w:val="25"/>
    <w:lvlOverride w:ilvl="0">
      <w:startOverride w:val="5"/>
    </w:lvlOverride>
  </w:num>
  <w:num w:numId="34">
    <w:abstractNumId w:val="36"/>
  </w:num>
  <w:num w:numId="35">
    <w:abstractNumId w:val="0"/>
  </w:num>
  <w:num w:numId="36">
    <w:abstractNumId w:val="23"/>
  </w:num>
  <w:num w:numId="37">
    <w:abstractNumId w:val="24"/>
  </w:num>
  <w:num w:numId="38">
    <w:abstractNumId w:val="26"/>
  </w:num>
  <w:num w:numId="39">
    <w:abstractNumId w:val="15"/>
  </w:num>
  <w:num w:numId="40">
    <w:abstractNumId w:val="10"/>
  </w:num>
  <w:num w:numId="41">
    <w:abstractNumId w:val="27"/>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hideSpellingErrors/>
  <w:trackRevisions w:val="1"/>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3"/>
    </o:shapelayout>
  </w:hdrShapeDefaults>
  <w:endnotePr>
    <w:numFmt w:val="decimal"/>
  </w:endnotePr>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1MmExZmRlYWVhMGZmY2M1MzI4MDMzZmY4ZTAwNzUifQ=="/>
    <w:docVar w:name="KSO_WPS_MARK_KEY" w:val="055bc24b-5c47-4658-adab-9964db33a222"/>
  </w:docVars>
  <w:rsids>
    <w:rsidRoot w:val="00A069C5"/>
    <w:rsid w:val="00021EFB"/>
    <w:rsid w:val="000D01B5"/>
    <w:rsid w:val="000E7BC6"/>
    <w:rsid w:val="000E7C58"/>
    <w:rsid w:val="0013560C"/>
    <w:rsid w:val="001C14E0"/>
    <w:rsid w:val="0024185F"/>
    <w:rsid w:val="002C2B67"/>
    <w:rsid w:val="002D0B76"/>
    <w:rsid w:val="00345308"/>
    <w:rsid w:val="004358CF"/>
    <w:rsid w:val="00447BF3"/>
    <w:rsid w:val="004E7585"/>
    <w:rsid w:val="005C088A"/>
    <w:rsid w:val="005D041D"/>
    <w:rsid w:val="006D43AB"/>
    <w:rsid w:val="007D36B6"/>
    <w:rsid w:val="008456CB"/>
    <w:rsid w:val="008A7323"/>
    <w:rsid w:val="00A069C5"/>
    <w:rsid w:val="00AD2BBE"/>
    <w:rsid w:val="00B159D1"/>
    <w:rsid w:val="00BA0C8D"/>
    <w:rsid w:val="00EA3BD3"/>
    <w:rsid w:val="00EC4640"/>
    <w:rsid w:val="01066A48"/>
    <w:rsid w:val="014E3E20"/>
    <w:rsid w:val="01972CAD"/>
    <w:rsid w:val="01A04713"/>
    <w:rsid w:val="020E2058"/>
    <w:rsid w:val="027F1FD7"/>
    <w:rsid w:val="0378528E"/>
    <w:rsid w:val="04B8088B"/>
    <w:rsid w:val="04FB11F4"/>
    <w:rsid w:val="053F665C"/>
    <w:rsid w:val="05820229"/>
    <w:rsid w:val="059743F4"/>
    <w:rsid w:val="05A87003"/>
    <w:rsid w:val="060F1192"/>
    <w:rsid w:val="062C23BE"/>
    <w:rsid w:val="067C7BE6"/>
    <w:rsid w:val="069F5975"/>
    <w:rsid w:val="06D8062E"/>
    <w:rsid w:val="07A2232D"/>
    <w:rsid w:val="07D91D1C"/>
    <w:rsid w:val="080A3BD2"/>
    <w:rsid w:val="081A2E9A"/>
    <w:rsid w:val="08664B4D"/>
    <w:rsid w:val="090221EB"/>
    <w:rsid w:val="09167A44"/>
    <w:rsid w:val="096112F1"/>
    <w:rsid w:val="09D678FF"/>
    <w:rsid w:val="0A1F1EFA"/>
    <w:rsid w:val="0A653397"/>
    <w:rsid w:val="0AA9615A"/>
    <w:rsid w:val="0B1B5957"/>
    <w:rsid w:val="0B4C7002"/>
    <w:rsid w:val="0B784178"/>
    <w:rsid w:val="0BB70868"/>
    <w:rsid w:val="0BEB6F66"/>
    <w:rsid w:val="0C0C02F1"/>
    <w:rsid w:val="0CC71781"/>
    <w:rsid w:val="0CCB1F37"/>
    <w:rsid w:val="0D437627"/>
    <w:rsid w:val="0D483099"/>
    <w:rsid w:val="0D531267"/>
    <w:rsid w:val="0DF01E7E"/>
    <w:rsid w:val="0DFC6E16"/>
    <w:rsid w:val="0E334D09"/>
    <w:rsid w:val="0E796C59"/>
    <w:rsid w:val="0EB506FE"/>
    <w:rsid w:val="0ED463D8"/>
    <w:rsid w:val="0F2509E1"/>
    <w:rsid w:val="0F494595"/>
    <w:rsid w:val="0F576F8F"/>
    <w:rsid w:val="0F693E70"/>
    <w:rsid w:val="0F711E78"/>
    <w:rsid w:val="0FDF585E"/>
    <w:rsid w:val="0FE266E6"/>
    <w:rsid w:val="10E00418"/>
    <w:rsid w:val="123D604D"/>
    <w:rsid w:val="12614974"/>
    <w:rsid w:val="126F0117"/>
    <w:rsid w:val="129668B1"/>
    <w:rsid w:val="12A87FD6"/>
    <w:rsid w:val="12EA7F78"/>
    <w:rsid w:val="135B70C7"/>
    <w:rsid w:val="14822B21"/>
    <w:rsid w:val="14CF5677"/>
    <w:rsid w:val="14D26F15"/>
    <w:rsid w:val="14F4704F"/>
    <w:rsid w:val="15D54F0F"/>
    <w:rsid w:val="169B6FCB"/>
    <w:rsid w:val="1769235B"/>
    <w:rsid w:val="176D4E33"/>
    <w:rsid w:val="177644D0"/>
    <w:rsid w:val="177B2398"/>
    <w:rsid w:val="18862009"/>
    <w:rsid w:val="18962EAC"/>
    <w:rsid w:val="18C1177B"/>
    <w:rsid w:val="1935483E"/>
    <w:rsid w:val="199B1FCC"/>
    <w:rsid w:val="19BB216C"/>
    <w:rsid w:val="1A00066E"/>
    <w:rsid w:val="1A6A6EF5"/>
    <w:rsid w:val="1A952EBF"/>
    <w:rsid w:val="1AD50D06"/>
    <w:rsid w:val="1BB05DAD"/>
    <w:rsid w:val="1CC86402"/>
    <w:rsid w:val="1CE41EDC"/>
    <w:rsid w:val="1D2247B2"/>
    <w:rsid w:val="1D6B1ED3"/>
    <w:rsid w:val="1DDE692B"/>
    <w:rsid w:val="1DFC70DC"/>
    <w:rsid w:val="1E25205F"/>
    <w:rsid w:val="1E662A20"/>
    <w:rsid w:val="1F301373"/>
    <w:rsid w:val="1F7767E9"/>
    <w:rsid w:val="1F923E71"/>
    <w:rsid w:val="21013682"/>
    <w:rsid w:val="21BF7E4B"/>
    <w:rsid w:val="21C91B2A"/>
    <w:rsid w:val="22873A35"/>
    <w:rsid w:val="23052BAC"/>
    <w:rsid w:val="236723EA"/>
    <w:rsid w:val="23E65FA8"/>
    <w:rsid w:val="24283B68"/>
    <w:rsid w:val="24426C1A"/>
    <w:rsid w:val="246A1D14"/>
    <w:rsid w:val="24DE36B4"/>
    <w:rsid w:val="24FB79B9"/>
    <w:rsid w:val="24FD7FDE"/>
    <w:rsid w:val="254B032A"/>
    <w:rsid w:val="257E20EC"/>
    <w:rsid w:val="25B04809"/>
    <w:rsid w:val="265F1BF4"/>
    <w:rsid w:val="26853A8E"/>
    <w:rsid w:val="26C8461C"/>
    <w:rsid w:val="273A72C8"/>
    <w:rsid w:val="276974FC"/>
    <w:rsid w:val="286D2DB0"/>
    <w:rsid w:val="288032EE"/>
    <w:rsid w:val="292E0F11"/>
    <w:rsid w:val="29A06D8A"/>
    <w:rsid w:val="29F574D6"/>
    <w:rsid w:val="2AE735FD"/>
    <w:rsid w:val="2B4B1954"/>
    <w:rsid w:val="2B520958"/>
    <w:rsid w:val="2B8054C5"/>
    <w:rsid w:val="2B87344C"/>
    <w:rsid w:val="2BDF4BE0"/>
    <w:rsid w:val="2BEF1725"/>
    <w:rsid w:val="2BF3338C"/>
    <w:rsid w:val="2C3342E6"/>
    <w:rsid w:val="2C7518EE"/>
    <w:rsid w:val="2C802C06"/>
    <w:rsid w:val="2CD05E81"/>
    <w:rsid w:val="2D1E5293"/>
    <w:rsid w:val="2D601EDF"/>
    <w:rsid w:val="2D6E0768"/>
    <w:rsid w:val="2E397497"/>
    <w:rsid w:val="2E620EB2"/>
    <w:rsid w:val="2EA71163"/>
    <w:rsid w:val="2EE1627B"/>
    <w:rsid w:val="2EFE7144"/>
    <w:rsid w:val="2F22535A"/>
    <w:rsid w:val="2F2B5748"/>
    <w:rsid w:val="2FC65378"/>
    <w:rsid w:val="30017709"/>
    <w:rsid w:val="300C114D"/>
    <w:rsid w:val="302B2291"/>
    <w:rsid w:val="314161C3"/>
    <w:rsid w:val="314764E7"/>
    <w:rsid w:val="315A2315"/>
    <w:rsid w:val="316634C4"/>
    <w:rsid w:val="318F1FBE"/>
    <w:rsid w:val="31C35F7E"/>
    <w:rsid w:val="321134D7"/>
    <w:rsid w:val="323808A8"/>
    <w:rsid w:val="32EE17F6"/>
    <w:rsid w:val="33704071"/>
    <w:rsid w:val="33AF4B9A"/>
    <w:rsid w:val="348A1F6E"/>
    <w:rsid w:val="348C6C89"/>
    <w:rsid w:val="35131158"/>
    <w:rsid w:val="3634272C"/>
    <w:rsid w:val="363B6FEB"/>
    <w:rsid w:val="364946A6"/>
    <w:rsid w:val="36C914E6"/>
    <w:rsid w:val="36D45B2D"/>
    <w:rsid w:val="36D779F1"/>
    <w:rsid w:val="37121D9C"/>
    <w:rsid w:val="38851AAF"/>
    <w:rsid w:val="39030A33"/>
    <w:rsid w:val="39194863"/>
    <w:rsid w:val="39304B90"/>
    <w:rsid w:val="395A1104"/>
    <w:rsid w:val="396E39D4"/>
    <w:rsid w:val="3A170DF9"/>
    <w:rsid w:val="3BDE0AC6"/>
    <w:rsid w:val="3BF615BB"/>
    <w:rsid w:val="3C465BDD"/>
    <w:rsid w:val="3C6A2024"/>
    <w:rsid w:val="3CA71A0E"/>
    <w:rsid w:val="3CD72A6B"/>
    <w:rsid w:val="3CF20773"/>
    <w:rsid w:val="3D1A46DC"/>
    <w:rsid w:val="3D4D2D2E"/>
    <w:rsid w:val="3D4E0F7F"/>
    <w:rsid w:val="3DF27501"/>
    <w:rsid w:val="3F103AF3"/>
    <w:rsid w:val="3F234314"/>
    <w:rsid w:val="3FAA26B9"/>
    <w:rsid w:val="400B3A02"/>
    <w:rsid w:val="40381A73"/>
    <w:rsid w:val="407A3945"/>
    <w:rsid w:val="411278F6"/>
    <w:rsid w:val="41765884"/>
    <w:rsid w:val="41D34ED1"/>
    <w:rsid w:val="420A0B80"/>
    <w:rsid w:val="422B3DFC"/>
    <w:rsid w:val="42562684"/>
    <w:rsid w:val="42FB3958"/>
    <w:rsid w:val="436B5457"/>
    <w:rsid w:val="44146563"/>
    <w:rsid w:val="448F2445"/>
    <w:rsid w:val="44DA134B"/>
    <w:rsid w:val="44EA38C8"/>
    <w:rsid w:val="44F54A28"/>
    <w:rsid w:val="45F60406"/>
    <w:rsid w:val="460742E5"/>
    <w:rsid w:val="464A3F40"/>
    <w:rsid w:val="46902609"/>
    <w:rsid w:val="47446E70"/>
    <w:rsid w:val="478F1528"/>
    <w:rsid w:val="485D0929"/>
    <w:rsid w:val="488C6E00"/>
    <w:rsid w:val="48DD1505"/>
    <w:rsid w:val="49795033"/>
    <w:rsid w:val="4A674196"/>
    <w:rsid w:val="4A6C513B"/>
    <w:rsid w:val="4AAE7FE0"/>
    <w:rsid w:val="4B0D735D"/>
    <w:rsid w:val="4B242052"/>
    <w:rsid w:val="4B383175"/>
    <w:rsid w:val="4B9D0E87"/>
    <w:rsid w:val="4C017B05"/>
    <w:rsid w:val="4C235EE5"/>
    <w:rsid w:val="4C510B66"/>
    <w:rsid w:val="4C896D2E"/>
    <w:rsid w:val="4D004D3E"/>
    <w:rsid w:val="4D2E232F"/>
    <w:rsid w:val="4DAB2FD0"/>
    <w:rsid w:val="4E347D1E"/>
    <w:rsid w:val="4E9E788D"/>
    <w:rsid w:val="4FC820B8"/>
    <w:rsid w:val="500F180C"/>
    <w:rsid w:val="50384A2C"/>
    <w:rsid w:val="504B22A2"/>
    <w:rsid w:val="50CA6717"/>
    <w:rsid w:val="511D2CEB"/>
    <w:rsid w:val="5179783E"/>
    <w:rsid w:val="51B573C7"/>
    <w:rsid w:val="51BF3DA2"/>
    <w:rsid w:val="51FA127E"/>
    <w:rsid w:val="5216310F"/>
    <w:rsid w:val="5235587D"/>
    <w:rsid w:val="524A69E8"/>
    <w:rsid w:val="52602B75"/>
    <w:rsid w:val="52690DB4"/>
    <w:rsid w:val="52820C29"/>
    <w:rsid w:val="52AE5E40"/>
    <w:rsid w:val="54131CE6"/>
    <w:rsid w:val="54646E20"/>
    <w:rsid w:val="55BF3314"/>
    <w:rsid w:val="55C91693"/>
    <w:rsid w:val="55FA7353"/>
    <w:rsid w:val="56127208"/>
    <w:rsid w:val="56B443F1"/>
    <w:rsid w:val="56BE580D"/>
    <w:rsid w:val="57037D01"/>
    <w:rsid w:val="571A5042"/>
    <w:rsid w:val="573C40E7"/>
    <w:rsid w:val="575F627A"/>
    <w:rsid w:val="57EE3410"/>
    <w:rsid w:val="58AB5080"/>
    <w:rsid w:val="58CB5722"/>
    <w:rsid w:val="58CF5D6A"/>
    <w:rsid w:val="5943175D"/>
    <w:rsid w:val="59A627AC"/>
    <w:rsid w:val="59B966C3"/>
    <w:rsid w:val="59C97D45"/>
    <w:rsid w:val="5A424A09"/>
    <w:rsid w:val="5A727B7B"/>
    <w:rsid w:val="5A785436"/>
    <w:rsid w:val="5AA224B3"/>
    <w:rsid w:val="5AEE120A"/>
    <w:rsid w:val="5B053D6B"/>
    <w:rsid w:val="5B5B0BB9"/>
    <w:rsid w:val="5B6D72AF"/>
    <w:rsid w:val="5B6F4A8B"/>
    <w:rsid w:val="5B8F69BB"/>
    <w:rsid w:val="5CB52971"/>
    <w:rsid w:val="5CF5490C"/>
    <w:rsid w:val="5D0E78C5"/>
    <w:rsid w:val="5D24078C"/>
    <w:rsid w:val="5D7B29B5"/>
    <w:rsid w:val="5DDF5471"/>
    <w:rsid w:val="5E0354FD"/>
    <w:rsid w:val="5E60589A"/>
    <w:rsid w:val="5EAB2C56"/>
    <w:rsid w:val="5ECA3D86"/>
    <w:rsid w:val="5EEE3ED0"/>
    <w:rsid w:val="5F795ED8"/>
    <w:rsid w:val="5FA27608"/>
    <w:rsid w:val="5FE87F30"/>
    <w:rsid w:val="603718EF"/>
    <w:rsid w:val="60562B73"/>
    <w:rsid w:val="61427B93"/>
    <w:rsid w:val="61701687"/>
    <w:rsid w:val="61742072"/>
    <w:rsid w:val="61AB7166"/>
    <w:rsid w:val="622A5268"/>
    <w:rsid w:val="625D2F75"/>
    <w:rsid w:val="62BA0FF0"/>
    <w:rsid w:val="62CD54BE"/>
    <w:rsid w:val="6310403D"/>
    <w:rsid w:val="63725ABE"/>
    <w:rsid w:val="638135AD"/>
    <w:rsid w:val="63A92582"/>
    <w:rsid w:val="64015FF7"/>
    <w:rsid w:val="645760BC"/>
    <w:rsid w:val="64A312D0"/>
    <w:rsid w:val="658A1F9B"/>
    <w:rsid w:val="658E4798"/>
    <w:rsid w:val="65EA28BE"/>
    <w:rsid w:val="66FD73EF"/>
    <w:rsid w:val="6730058E"/>
    <w:rsid w:val="6731781D"/>
    <w:rsid w:val="67FA1B80"/>
    <w:rsid w:val="682F49D1"/>
    <w:rsid w:val="684D1CB0"/>
    <w:rsid w:val="68780173"/>
    <w:rsid w:val="68872AB9"/>
    <w:rsid w:val="68AC3374"/>
    <w:rsid w:val="6905258B"/>
    <w:rsid w:val="690B22F4"/>
    <w:rsid w:val="69825989"/>
    <w:rsid w:val="69D45678"/>
    <w:rsid w:val="69E068D5"/>
    <w:rsid w:val="6A244C92"/>
    <w:rsid w:val="6AC05D3A"/>
    <w:rsid w:val="6AE15224"/>
    <w:rsid w:val="6B154F0B"/>
    <w:rsid w:val="6B5A71A0"/>
    <w:rsid w:val="6B643DEE"/>
    <w:rsid w:val="6B777044"/>
    <w:rsid w:val="6B834054"/>
    <w:rsid w:val="6B851761"/>
    <w:rsid w:val="6B985938"/>
    <w:rsid w:val="6BCD772A"/>
    <w:rsid w:val="6C101972"/>
    <w:rsid w:val="6C556151"/>
    <w:rsid w:val="6C8919F1"/>
    <w:rsid w:val="6C98760B"/>
    <w:rsid w:val="6CEA6538"/>
    <w:rsid w:val="6DEA440E"/>
    <w:rsid w:val="6DEC4AAC"/>
    <w:rsid w:val="6E4C571D"/>
    <w:rsid w:val="6E5F48E4"/>
    <w:rsid w:val="6E8712B6"/>
    <w:rsid w:val="6F281FC8"/>
    <w:rsid w:val="6F3D5B5A"/>
    <w:rsid w:val="6F7F4719"/>
    <w:rsid w:val="6F8E7A85"/>
    <w:rsid w:val="6F962901"/>
    <w:rsid w:val="6FD7616A"/>
    <w:rsid w:val="6FE253D4"/>
    <w:rsid w:val="706F6734"/>
    <w:rsid w:val="709F17F2"/>
    <w:rsid w:val="70AC59E2"/>
    <w:rsid w:val="71063344"/>
    <w:rsid w:val="71071F7E"/>
    <w:rsid w:val="717A5704"/>
    <w:rsid w:val="72B8241C"/>
    <w:rsid w:val="73202786"/>
    <w:rsid w:val="736C0CD2"/>
    <w:rsid w:val="73E1653B"/>
    <w:rsid w:val="74090A11"/>
    <w:rsid w:val="741A2C5C"/>
    <w:rsid w:val="74281823"/>
    <w:rsid w:val="742D6596"/>
    <w:rsid w:val="7496678D"/>
    <w:rsid w:val="74AF5AA0"/>
    <w:rsid w:val="74D31306"/>
    <w:rsid w:val="74D3353D"/>
    <w:rsid w:val="74F12EFC"/>
    <w:rsid w:val="75313739"/>
    <w:rsid w:val="757C3148"/>
    <w:rsid w:val="75BC0475"/>
    <w:rsid w:val="75C335B1"/>
    <w:rsid w:val="765C4674"/>
    <w:rsid w:val="769F6816"/>
    <w:rsid w:val="76F31C74"/>
    <w:rsid w:val="7718792D"/>
    <w:rsid w:val="77387FCF"/>
    <w:rsid w:val="7742575B"/>
    <w:rsid w:val="77FA3143"/>
    <w:rsid w:val="780C5638"/>
    <w:rsid w:val="78300CA6"/>
    <w:rsid w:val="787B7C63"/>
    <w:rsid w:val="78AB1E20"/>
    <w:rsid w:val="78B8046B"/>
    <w:rsid w:val="78D21D5D"/>
    <w:rsid w:val="790553C1"/>
    <w:rsid w:val="79FC52E4"/>
    <w:rsid w:val="7A210969"/>
    <w:rsid w:val="7A6162D1"/>
    <w:rsid w:val="7B0D4527"/>
    <w:rsid w:val="7B2948BD"/>
    <w:rsid w:val="7B4231CA"/>
    <w:rsid w:val="7BA219C5"/>
    <w:rsid w:val="7BDA7A59"/>
    <w:rsid w:val="7BF0274F"/>
    <w:rsid w:val="7C0B7A60"/>
    <w:rsid w:val="7C2D093F"/>
    <w:rsid w:val="7D77796B"/>
    <w:rsid w:val="7DBB1012"/>
    <w:rsid w:val="7E143CB0"/>
    <w:rsid w:val="7E663674"/>
    <w:rsid w:val="7F7A2BFB"/>
    <w:rsid w:val="7F835DD6"/>
    <w:rsid w:val="7FCC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szCs w:val="22"/>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00"/>
      <w:outlineLvl w:val="1"/>
    </w:pPr>
    <w:rPr>
      <w:rFonts w:ascii="Cambria" w:hAnsi="Cambria"/>
      <w:b/>
      <w:bCs/>
      <w:color w:val="4F81BD"/>
      <w:sz w:val="26"/>
      <w:szCs w:val="26"/>
    </w:rPr>
  </w:style>
  <w:style w:type="paragraph" w:styleId="5">
    <w:name w:val="heading 3"/>
    <w:basedOn w:val="1"/>
    <w:next w:val="1"/>
    <w:unhideWhenUsed/>
    <w:qFormat/>
    <w:uiPriority w:val="0"/>
    <w:pPr>
      <w:keepNext/>
      <w:keepLines/>
      <w:spacing w:before="200"/>
      <w:outlineLvl w:val="2"/>
    </w:pPr>
    <w:rPr>
      <w:rFonts w:ascii="Cambria" w:hAnsi="Cambria"/>
      <w:b/>
      <w:bCs/>
      <w:color w:val="4F81BD"/>
      <w:szCs w:val="20"/>
    </w:rPr>
  </w:style>
  <w:style w:type="paragraph" w:styleId="6">
    <w:name w:val="heading 4"/>
    <w:basedOn w:val="1"/>
    <w:next w:val="1"/>
    <w:semiHidden/>
    <w:unhideWhenUsed/>
    <w:qFormat/>
    <w:uiPriority w:val="0"/>
    <w:pPr>
      <w:spacing w:beforeAutospacing="1" w:afterAutospacing="1"/>
      <w:jc w:val="left"/>
      <w:outlineLvl w:val="3"/>
    </w:pPr>
    <w:rPr>
      <w:rFonts w:hint="eastAsia" w:ascii="宋体" w:hAnsi="宋体" w:cs="Times New Roman"/>
      <w:b/>
      <w:bCs/>
      <w:kern w:val="0"/>
      <w:sz w:val="24"/>
      <w:szCs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39"/>
    <w:pPr>
      <w:tabs>
        <w:tab w:val="right" w:leader="dot" w:pos="9060"/>
      </w:tabs>
      <w:snapToGrid w:val="0"/>
      <w:spacing w:line="360" w:lineRule="auto"/>
      <w:jc w:val="left"/>
    </w:pPr>
    <w:rPr>
      <w:sz w:val="24"/>
      <w:szCs w:val="24"/>
    </w:rPr>
  </w:style>
  <w:style w:type="paragraph" w:styleId="7">
    <w:name w:val="Normal Indent"/>
    <w:basedOn w:val="1"/>
    <w:next w:val="1"/>
    <w:semiHidden/>
    <w:qFormat/>
    <w:uiPriority w:val="99"/>
    <w:pPr>
      <w:ind w:firstLine="420"/>
    </w:pPr>
    <w:rPr>
      <w:rFonts w:cs="Times New Roman"/>
    </w:rPr>
  </w:style>
  <w:style w:type="paragraph" w:styleId="8">
    <w:name w:val="caption"/>
    <w:basedOn w:val="1"/>
    <w:next w:val="1"/>
    <w:qFormat/>
    <w:uiPriority w:val="0"/>
    <w:pPr>
      <w:spacing w:before="152" w:after="160"/>
    </w:pPr>
    <w:rPr>
      <w:rFonts w:ascii="Century Gothic" w:hAnsi="Century Gothic" w:eastAsia="黑体"/>
      <w:sz w:val="20"/>
      <w:szCs w:val="20"/>
    </w:rPr>
  </w:style>
  <w:style w:type="paragraph" w:styleId="9">
    <w:name w:val="annotation text"/>
    <w:basedOn w:val="1"/>
    <w:next w:val="1"/>
    <w:link w:val="388"/>
    <w:qFormat/>
    <w:uiPriority w:val="0"/>
    <w:pPr>
      <w:jc w:val="left"/>
    </w:pPr>
  </w:style>
  <w:style w:type="paragraph" w:styleId="10">
    <w:name w:val="Body Text 3"/>
    <w:basedOn w:val="1"/>
    <w:next w:val="1"/>
    <w:qFormat/>
    <w:uiPriority w:val="99"/>
    <w:pPr>
      <w:spacing w:after="120"/>
    </w:pPr>
    <w:rPr>
      <w:rFonts w:cs="Times New Roman"/>
      <w:sz w:val="16"/>
      <w:szCs w:val="16"/>
    </w:rPr>
  </w:style>
  <w:style w:type="paragraph" w:styleId="11">
    <w:name w:val="Body Text"/>
    <w:basedOn w:val="1"/>
    <w:next w:val="1"/>
    <w:qFormat/>
    <w:uiPriority w:val="0"/>
    <w:pPr>
      <w:spacing w:after="120"/>
    </w:pPr>
    <w:rPr>
      <w:szCs w:val="20"/>
    </w:rPr>
  </w:style>
  <w:style w:type="paragraph" w:styleId="12">
    <w:name w:val="toc 3"/>
    <w:basedOn w:val="1"/>
    <w:next w:val="1"/>
    <w:qFormat/>
    <w:uiPriority w:val="0"/>
    <w:pPr>
      <w:ind w:left="840" w:leftChars="400"/>
    </w:pPr>
  </w:style>
  <w:style w:type="paragraph" w:styleId="13">
    <w:name w:val="Plain Text"/>
    <w:basedOn w:val="1"/>
    <w:next w:val="1"/>
    <w:qFormat/>
    <w:uiPriority w:val="99"/>
    <w:rPr>
      <w:rFonts w:ascii="宋体" w:hAnsi="Courier New" w:cs="宋体"/>
    </w:rPr>
  </w:style>
  <w:style w:type="paragraph" w:styleId="14">
    <w:name w:val="Date"/>
    <w:basedOn w:val="1"/>
    <w:next w:val="1"/>
    <w:link w:val="177"/>
    <w:qFormat/>
    <w:uiPriority w:val="0"/>
    <w:rPr>
      <w:kern w:val="0"/>
      <w:sz w:val="20"/>
      <w:szCs w:val="20"/>
    </w:rPr>
  </w:style>
  <w:style w:type="paragraph" w:styleId="15">
    <w:name w:val="Body Text Indent 2"/>
    <w:basedOn w:val="1"/>
    <w:next w:val="1"/>
    <w:semiHidden/>
    <w:qFormat/>
    <w:uiPriority w:val="99"/>
    <w:pPr>
      <w:tabs>
        <w:tab w:val="left" w:pos="4970"/>
      </w:tabs>
      <w:spacing w:line="360" w:lineRule="auto"/>
      <w:ind w:firstLine="480" w:firstLineChars="200"/>
    </w:pPr>
    <w:rPr>
      <w:rFonts w:cs="Times New Roman"/>
      <w:sz w:val="24"/>
      <w:szCs w:val="24"/>
    </w:rPr>
  </w:style>
  <w:style w:type="paragraph" w:styleId="16">
    <w:name w:val="Balloon Text"/>
    <w:basedOn w:val="1"/>
    <w:link w:val="387"/>
    <w:qFormat/>
    <w:uiPriority w:val="0"/>
    <w:rPr>
      <w:sz w:val="18"/>
      <w:szCs w:val="18"/>
    </w:rPr>
  </w:style>
  <w:style w:type="paragraph" w:styleId="17">
    <w:name w:val="footer"/>
    <w:basedOn w:val="1"/>
    <w:link w:val="154"/>
    <w:qFormat/>
    <w:uiPriority w:val="0"/>
    <w:pPr>
      <w:tabs>
        <w:tab w:val="center" w:pos="4153"/>
        <w:tab w:val="right" w:pos="8306"/>
      </w:tabs>
      <w:snapToGrid w:val="0"/>
      <w:jc w:val="left"/>
    </w:pPr>
    <w:rPr>
      <w:kern w:val="0"/>
      <w:sz w:val="18"/>
      <w:szCs w:val="18"/>
    </w:rPr>
  </w:style>
  <w:style w:type="paragraph" w:styleId="18">
    <w:name w:val="header"/>
    <w:basedOn w:val="1"/>
    <w:link w:val="65"/>
    <w:qFormat/>
    <w:uiPriority w:val="0"/>
    <w:pPr>
      <w:pBdr>
        <w:bottom w:val="single" w:color="000000" w:sz="6" w:space="1"/>
      </w:pBdr>
      <w:tabs>
        <w:tab w:val="center" w:pos="4153"/>
        <w:tab w:val="right" w:pos="8306"/>
      </w:tabs>
      <w:snapToGrid w:val="0"/>
      <w:jc w:val="center"/>
    </w:pPr>
    <w:rPr>
      <w:kern w:val="0"/>
      <w:sz w:val="18"/>
      <w:szCs w:val="18"/>
    </w:rPr>
  </w:style>
  <w:style w:type="paragraph" w:styleId="19">
    <w:name w:val="toc 1"/>
    <w:basedOn w:val="1"/>
    <w:next w:val="1"/>
    <w:qFormat/>
    <w:uiPriority w:val="39"/>
    <w:pPr>
      <w:tabs>
        <w:tab w:val="right" w:leader="dot" w:pos="8493"/>
      </w:tabs>
      <w:adjustRightInd w:val="0"/>
      <w:spacing w:line="360" w:lineRule="auto"/>
      <w:jc w:val="left"/>
    </w:pPr>
    <w:rPr>
      <w:rFonts w:ascii="宋体" w:hAnsi="宋体"/>
      <w:b/>
      <w:caps/>
      <w:kern w:val="0"/>
      <w:sz w:val="24"/>
      <w:szCs w:val="32"/>
    </w:rPr>
  </w:style>
  <w:style w:type="paragraph" w:styleId="20">
    <w:name w:val="Subtitle"/>
    <w:basedOn w:val="1"/>
    <w:link w:val="85"/>
    <w:qFormat/>
    <w:uiPriority w:val="0"/>
    <w:pPr>
      <w:spacing w:before="240" w:after="60" w:line="312" w:lineRule="auto"/>
      <w:jc w:val="center"/>
    </w:pPr>
    <w:rPr>
      <w:rFonts w:ascii="Arial" w:hAnsi="Arial" w:cs="Times New Roman"/>
      <w:b/>
      <w:bCs/>
      <w:kern w:val="28"/>
      <w:sz w:val="32"/>
      <w:szCs w:val="32"/>
    </w:rPr>
  </w:style>
  <w:style w:type="paragraph" w:styleId="21">
    <w:name w:val="List"/>
    <w:basedOn w:val="1"/>
    <w:qFormat/>
    <w:uiPriority w:val="0"/>
    <w:pPr>
      <w:jc w:val="left"/>
    </w:pPr>
    <w:rPr>
      <w:rFonts w:ascii="宋体" w:hAnsi="宋体"/>
      <w:kern w:val="0"/>
      <w:sz w:val="24"/>
      <w:szCs w:val="24"/>
    </w:rPr>
  </w:style>
  <w:style w:type="paragraph" w:styleId="22">
    <w:name w:val="Body Text Indent 3"/>
    <w:basedOn w:val="1"/>
    <w:next w:val="1"/>
    <w:semiHidden/>
    <w:qFormat/>
    <w:uiPriority w:val="99"/>
    <w:pPr>
      <w:spacing w:line="360" w:lineRule="auto"/>
      <w:ind w:left="1978" w:leftChars="942"/>
    </w:pPr>
    <w:rPr>
      <w:rFonts w:hAnsi="宋体" w:cs="Times New Roman"/>
      <w:sz w:val="24"/>
      <w:szCs w:val="24"/>
    </w:rPr>
  </w:style>
  <w:style w:type="paragraph" w:styleId="23">
    <w:name w:val="Body Text 2"/>
    <w:basedOn w:val="1"/>
    <w:next w:val="1"/>
    <w:semiHidden/>
    <w:qFormat/>
    <w:uiPriority w:val="99"/>
    <w:rPr>
      <w:rFonts w:eastAsia="楷体_GB2312" w:cs="Times New Roman"/>
      <w:b/>
      <w:bCs/>
    </w:rPr>
  </w:style>
  <w:style w:type="paragraph" w:styleId="24">
    <w:name w:val="Normal (Web)"/>
    <w:basedOn w:val="1"/>
    <w:qFormat/>
    <w:uiPriority w:val="0"/>
    <w:rPr>
      <w:sz w:val="24"/>
    </w:rPr>
  </w:style>
  <w:style w:type="paragraph" w:styleId="25">
    <w:name w:val="Title"/>
    <w:basedOn w:val="1"/>
    <w:link w:val="75"/>
    <w:qFormat/>
    <w:uiPriority w:val="0"/>
    <w:pPr>
      <w:spacing w:before="120" w:after="60"/>
      <w:jc w:val="center"/>
    </w:pPr>
    <w:rPr>
      <w:rFonts w:ascii="Arial" w:hAnsi="Arial"/>
      <w:b/>
      <w:kern w:val="0"/>
      <w:sz w:val="44"/>
      <w:szCs w:val="20"/>
    </w:rPr>
  </w:style>
  <w:style w:type="paragraph" w:styleId="26">
    <w:name w:val="annotation subject"/>
    <w:basedOn w:val="9"/>
    <w:next w:val="9"/>
    <w:link w:val="389"/>
    <w:qFormat/>
    <w:uiPriority w:val="0"/>
    <w:rPr>
      <w:b/>
      <w:bCs/>
    </w:rPr>
  </w:style>
  <w:style w:type="paragraph" w:styleId="27">
    <w:name w:val="Body Text First Indent"/>
    <w:basedOn w:val="11"/>
    <w:qFormat/>
    <w:uiPriority w:val="0"/>
    <w:pPr>
      <w:ind w:firstLine="420" w:firstLineChars="100"/>
    </w:pPr>
  </w:style>
  <w:style w:type="table" w:styleId="29">
    <w:name w:val="Table Grid"/>
    <w:basedOn w:val="28"/>
    <w:qFormat/>
    <w:uiPriority w:val="99"/>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b/>
    </w:rPr>
  </w:style>
  <w:style w:type="character" w:styleId="32">
    <w:name w:val="page number"/>
    <w:basedOn w:val="30"/>
    <w:qFormat/>
    <w:uiPriority w:val="0"/>
  </w:style>
  <w:style w:type="character" w:styleId="33">
    <w:name w:val="FollowedHyperlink"/>
    <w:qFormat/>
    <w:uiPriority w:val="0"/>
    <w:rPr>
      <w:color w:val="954F72"/>
      <w:u w:val="single"/>
    </w:rPr>
  </w:style>
  <w:style w:type="character" w:styleId="34">
    <w:name w:val="Emphasis"/>
    <w:basedOn w:val="30"/>
    <w:qFormat/>
    <w:uiPriority w:val="0"/>
    <w:rPr>
      <w:i/>
    </w:rPr>
  </w:style>
  <w:style w:type="character" w:styleId="35">
    <w:name w:val="Hyperlink"/>
    <w:qFormat/>
    <w:uiPriority w:val="0"/>
    <w:rPr>
      <w:color w:val="0000FF"/>
      <w:u w:val="single"/>
    </w:rPr>
  </w:style>
  <w:style w:type="character" w:styleId="36">
    <w:name w:val="annotation reference"/>
    <w:qFormat/>
    <w:uiPriority w:val="0"/>
    <w:rPr>
      <w:sz w:val="21"/>
      <w:szCs w:val="21"/>
    </w:rPr>
  </w:style>
  <w:style w:type="character" w:customStyle="1" w:styleId="37">
    <w:name w:val="NormalCharacter"/>
    <w:qFormat/>
    <w:uiPriority w:val="0"/>
  </w:style>
  <w:style w:type="paragraph" w:customStyle="1" w:styleId="38">
    <w:name w:val="Heading1"/>
    <w:basedOn w:val="25"/>
    <w:next w:val="39"/>
    <w:link w:val="166"/>
    <w:qFormat/>
    <w:uiPriority w:val="0"/>
    <w:pPr>
      <w:keepNext/>
      <w:keepLines/>
      <w:spacing w:after="120" w:line="360" w:lineRule="auto"/>
    </w:pPr>
    <w:rPr>
      <w:kern w:val="44"/>
      <w:sz w:val="28"/>
      <w:szCs w:val="28"/>
    </w:rPr>
  </w:style>
  <w:style w:type="paragraph" w:customStyle="1" w:styleId="39">
    <w:name w:val="BodyText1I"/>
    <w:basedOn w:val="40"/>
    <w:link w:val="180"/>
    <w:qFormat/>
    <w:uiPriority w:val="0"/>
    <w:pPr>
      <w:ind w:firstLine="420"/>
    </w:pPr>
  </w:style>
  <w:style w:type="paragraph" w:customStyle="1" w:styleId="40">
    <w:name w:val="BodyText"/>
    <w:basedOn w:val="1"/>
    <w:link w:val="174"/>
    <w:qFormat/>
    <w:uiPriority w:val="0"/>
    <w:pPr>
      <w:spacing w:after="120"/>
    </w:pPr>
    <w:rPr>
      <w:kern w:val="0"/>
      <w:sz w:val="20"/>
      <w:szCs w:val="20"/>
    </w:rPr>
  </w:style>
  <w:style w:type="paragraph" w:customStyle="1" w:styleId="41">
    <w:name w:val="Heading2"/>
    <w:basedOn w:val="1"/>
    <w:next w:val="42"/>
    <w:link w:val="125"/>
    <w:qFormat/>
    <w:uiPriority w:val="0"/>
    <w:pPr>
      <w:keepNext/>
      <w:keepLines/>
      <w:spacing w:before="120" w:after="120" w:line="415" w:lineRule="auto"/>
      <w:ind w:left="454"/>
      <w:jc w:val="center"/>
    </w:pPr>
    <w:rPr>
      <w:rFonts w:ascii="Arial" w:hAnsi="Arial"/>
      <w:b/>
      <w:color w:val="000000"/>
      <w:kern w:val="0"/>
      <w:sz w:val="24"/>
      <w:szCs w:val="24"/>
    </w:rPr>
  </w:style>
  <w:style w:type="paragraph" w:customStyle="1" w:styleId="42">
    <w:name w:val="NormalIndent"/>
    <w:basedOn w:val="1"/>
    <w:link w:val="143"/>
    <w:qFormat/>
    <w:uiPriority w:val="0"/>
    <w:pPr>
      <w:ind w:firstLine="420"/>
    </w:pPr>
    <w:rPr>
      <w:szCs w:val="20"/>
    </w:rPr>
  </w:style>
  <w:style w:type="paragraph" w:customStyle="1" w:styleId="43">
    <w:name w:val="Heading3"/>
    <w:basedOn w:val="1"/>
    <w:link w:val="134"/>
    <w:qFormat/>
    <w:uiPriority w:val="0"/>
    <w:pPr>
      <w:spacing w:before="100" w:beforeAutospacing="1" w:after="100" w:afterAutospacing="1"/>
      <w:jc w:val="left"/>
    </w:pPr>
    <w:rPr>
      <w:rFonts w:ascii="宋体" w:hAnsi="宋体"/>
      <w:kern w:val="0"/>
      <w:sz w:val="27"/>
      <w:szCs w:val="27"/>
    </w:rPr>
  </w:style>
  <w:style w:type="paragraph" w:customStyle="1" w:styleId="44">
    <w:name w:val="Heading4"/>
    <w:basedOn w:val="43"/>
    <w:next w:val="42"/>
    <w:link w:val="171"/>
    <w:qFormat/>
    <w:uiPriority w:val="0"/>
    <w:pPr>
      <w:keepNext/>
      <w:keepLines/>
      <w:numPr>
        <w:ilvl w:val="3"/>
        <w:numId w:val="1"/>
      </w:numPr>
      <w:spacing w:before="0" w:after="0" w:line="360" w:lineRule="auto"/>
    </w:pPr>
    <w:rPr>
      <w:rFonts w:ascii="Arial" w:hAnsi="Arial"/>
      <w:color w:val="000000"/>
      <w:sz w:val="20"/>
      <w:szCs w:val="21"/>
    </w:rPr>
  </w:style>
  <w:style w:type="paragraph" w:customStyle="1" w:styleId="45">
    <w:name w:val="Heading5"/>
    <w:basedOn w:val="44"/>
    <w:next w:val="42"/>
    <w:link w:val="81"/>
    <w:qFormat/>
    <w:uiPriority w:val="0"/>
    <w:pPr>
      <w:numPr>
        <w:ilvl w:val="4"/>
      </w:numPr>
      <w:spacing w:line="240" w:lineRule="exact"/>
    </w:pPr>
  </w:style>
  <w:style w:type="paragraph" w:customStyle="1" w:styleId="46">
    <w:name w:val="Heading6"/>
    <w:basedOn w:val="1"/>
    <w:next w:val="1"/>
    <w:link w:val="80"/>
    <w:qFormat/>
    <w:uiPriority w:val="0"/>
    <w:pPr>
      <w:keepNext/>
      <w:keepLines/>
      <w:numPr>
        <w:ilvl w:val="5"/>
        <w:numId w:val="2"/>
      </w:numPr>
      <w:spacing w:before="240" w:after="64" w:line="320" w:lineRule="auto"/>
    </w:pPr>
    <w:rPr>
      <w:rFonts w:ascii="Arial" w:hAnsi="Arial" w:eastAsia="黑体" w:cs="Times New Roman"/>
      <w:b/>
      <w:bCs/>
      <w:kern w:val="0"/>
      <w:sz w:val="24"/>
      <w:szCs w:val="24"/>
    </w:rPr>
  </w:style>
  <w:style w:type="paragraph" w:customStyle="1" w:styleId="47">
    <w:name w:val="Heading7"/>
    <w:basedOn w:val="1"/>
    <w:next w:val="42"/>
    <w:link w:val="123"/>
    <w:qFormat/>
    <w:uiPriority w:val="0"/>
    <w:pPr>
      <w:keepNext/>
      <w:keepLines/>
      <w:numPr>
        <w:ilvl w:val="6"/>
        <w:numId w:val="1"/>
      </w:numPr>
      <w:spacing w:before="240" w:after="64" w:line="320" w:lineRule="auto"/>
    </w:pPr>
    <w:rPr>
      <w:b/>
      <w:kern w:val="0"/>
      <w:sz w:val="24"/>
      <w:szCs w:val="20"/>
    </w:rPr>
  </w:style>
  <w:style w:type="paragraph" w:customStyle="1" w:styleId="48">
    <w:name w:val="Heading8"/>
    <w:basedOn w:val="1"/>
    <w:next w:val="42"/>
    <w:link w:val="96"/>
    <w:qFormat/>
    <w:uiPriority w:val="0"/>
    <w:pPr>
      <w:keepNext/>
      <w:keepLines/>
      <w:numPr>
        <w:ilvl w:val="7"/>
        <w:numId w:val="1"/>
      </w:numPr>
      <w:spacing w:before="240" w:after="64" w:line="320" w:lineRule="auto"/>
    </w:pPr>
    <w:rPr>
      <w:rFonts w:ascii="Arial" w:hAnsi="Arial" w:eastAsia="黑体"/>
      <w:kern w:val="0"/>
      <w:sz w:val="24"/>
      <w:szCs w:val="20"/>
    </w:rPr>
  </w:style>
  <w:style w:type="paragraph" w:customStyle="1" w:styleId="49">
    <w:name w:val="Heading9"/>
    <w:basedOn w:val="1"/>
    <w:next w:val="42"/>
    <w:link w:val="147"/>
    <w:qFormat/>
    <w:uiPriority w:val="0"/>
    <w:pPr>
      <w:keepNext/>
      <w:keepLines/>
      <w:numPr>
        <w:ilvl w:val="8"/>
        <w:numId w:val="1"/>
      </w:numPr>
      <w:spacing w:before="240" w:after="64" w:line="320" w:lineRule="auto"/>
    </w:pPr>
    <w:rPr>
      <w:rFonts w:ascii="Arial" w:hAnsi="Arial" w:eastAsia="黑体"/>
      <w:kern w:val="0"/>
      <w:sz w:val="20"/>
      <w:szCs w:val="20"/>
    </w:rPr>
  </w:style>
  <w:style w:type="table" w:customStyle="1" w:styleId="50">
    <w:name w:val="TableNormal"/>
    <w:qFormat/>
    <w:uiPriority w:val="0"/>
    <w:tblPr>
      <w:tblCellMar>
        <w:top w:w="0" w:type="dxa"/>
        <w:left w:w="0" w:type="dxa"/>
        <w:bottom w:w="0" w:type="dxa"/>
        <w:right w:w="0" w:type="dxa"/>
      </w:tblCellMar>
    </w:tblPr>
  </w:style>
  <w:style w:type="character" w:customStyle="1" w:styleId="51">
    <w:name w:val="UserStyle_0"/>
    <w:qFormat/>
    <w:uiPriority w:val="0"/>
    <w:rPr>
      <w:rFonts w:ascii="黑体" w:eastAsia="黑体"/>
      <w:b/>
    </w:rPr>
  </w:style>
  <w:style w:type="character" w:customStyle="1" w:styleId="52">
    <w:name w:val="UserStyle_1"/>
    <w:qFormat/>
    <w:uiPriority w:val="0"/>
    <w:rPr>
      <w:rFonts w:ascii="Calibri" w:hAnsi="Calibri" w:eastAsia="宋体" w:cs="Times New Roman"/>
      <w:b/>
      <w:bCs/>
      <w:kern w:val="44"/>
      <w:sz w:val="44"/>
      <w:szCs w:val="44"/>
    </w:rPr>
  </w:style>
  <w:style w:type="character" w:customStyle="1" w:styleId="53">
    <w:name w:val="PageNumber"/>
    <w:qFormat/>
    <w:uiPriority w:val="0"/>
  </w:style>
  <w:style w:type="character" w:customStyle="1" w:styleId="54">
    <w:name w:val="UserStyle_2"/>
    <w:qFormat/>
    <w:uiPriority w:val="0"/>
    <w:rPr>
      <w:rFonts w:ascii="Bookman Old Style" w:hAnsi="Bookman Old Style" w:eastAsia="Bookman Old Style"/>
      <w:color w:val="000000"/>
      <w:position w:val="0"/>
      <w:sz w:val="21"/>
      <w:szCs w:val="21"/>
      <w:lang w:val="en-US"/>
    </w:rPr>
  </w:style>
  <w:style w:type="character" w:customStyle="1" w:styleId="55">
    <w:name w:val="EndnoteReference"/>
    <w:qFormat/>
    <w:uiPriority w:val="0"/>
    <w:rPr>
      <w:vertAlign w:val="superscript"/>
    </w:rPr>
  </w:style>
  <w:style w:type="character" w:customStyle="1" w:styleId="56">
    <w:name w:val="UserStyle_3"/>
    <w:qFormat/>
    <w:uiPriority w:val="0"/>
    <w:rPr>
      <w:rFonts w:ascii="Arial Unicode MS" w:hAnsi="Arial Unicode MS" w:eastAsia="Arial Unicode MS"/>
      <w:color w:val="000000"/>
      <w:spacing w:val="10"/>
      <w:position w:val="0"/>
      <w:sz w:val="16"/>
      <w:szCs w:val="16"/>
      <w:lang w:val="en-US"/>
    </w:rPr>
  </w:style>
  <w:style w:type="character" w:customStyle="1" w:styleId="57">
    <w:name w:val="UserStyle_4"/>
    <w:semiHidden/>
    <w:qFormat/>
    <w:uiPriority w:val="0"/>
    <w:rPr>
      <w:rFonts w:ascii="Calibri" w:hAnsi="Calibri" w:eastAsia="宋体"/>
    </w:rPr>
  </w:style>
  <w:style w:type="character" w:customStyle="1" w:styleId="58">
    <w:name w:val="UserStyle_5"/>
    <w:qFormat/>
    <w:uiPriority w:val="0"/>
    <w:rPr>
      <w:rFonts w:ascii="黑体" w:eastAsia="黑体"/>
    </w:rPr>
  </w:style>
  <w:style w:type="character" w:customStyle="1" w:styleId="59">
    <w:name w:val="AnnotationReference"/>
    <w:qFormat/>
    <w:uiPriority w:val="0"/>
    <w:rPr>
      <w:sz w:val="21"/>
      <w:szCs w:val="21"/>
    </w:rPr>
  </w:style>
  <w:style w:type="character" w:customStyle="1" w:styleId="60">
    <w:name w:val="UserStyle_6"/>
    <w:qFormat/>
    <w:uiPriority w:val="0"/>
    <w:rPr>
      <w:spacing w:val="4"/>
      <w:kern w:val="2"/>
      <w:sz w:val="24"/>
      <w:szCs w:val="24"/>
    </w:rPr>
  </w:style>
  <w:style w:type="character" w:customStyle="1" w:styleId="61">
    <w:name w:val="UserStyle_7"/>
    <w:link w:val="62"/>
    <w:qFormat/>
    <w:uiPriority w:val="0"/>
    <w:rPr>
      <w:rFonts w:ascii="宋体" w:hAnsi="宋体" w:eastAsia="宋体"/>
      <w:szCs w:val="24"/>
      <w:u w:val="single"/>
    </w:rPr>
  </w:style>
  <w:style w:type="paragraph" w:customStyle="1" w:styleId="62">
    <w:name w:val="BodyText2"/>
    <w:basedOn w:val="1"/>
    <w:link w:val="61"/>
    <w:qFormat/>
    <w:uiPriority w:val="0"/>
    <w:rPr>
      <w:rFonts w:ascii="宋体" w:hAnsi="宋体"/>
      <w:kern w:val="0"/>
      <w:sz w:val="20"/>
      <w:szCs w:val="24"/>
      <w:u w:val="single"/>
    </w:rPr>
  </w:style>
  <w:style w:type="character" w:customStyle="1" w:styleId="63">
    <w:name w:val="UserStyle_8"/>
    <w:link w:val="64"/>
    <w:qFormat/>
    <w:uiPriority w:val="0"/>
    <w:rPr>
      <w:rFonts w:ascii="Times New Roman" w:hAnsi="Times New Roman" w:eastAsia="宋体"/>
      <w:color w:val="000000"/>
      <w:sz w:val="24"/>
      <w:szCs w:val="20"/>
    </w:rPr>
  </w:style>
  <w:style w:type="paragraph" w:customStyle="1" w:styleId="64">
    <w:name w:val="BodyTextIndent2"/>
    <w:basedOn w:val="1"/>
    <w:link w:val="63"/>
    <w:qFormat/>
    <w:uiPriority w:val="0"/>
    <w:pPr>
      <w:spacing w:line="400" w:lineRule="exact"/>
      <w:ind w:left="425"/>
    </w:pPr>
    <w:rPr>
      <w:color w:val="000000"/>
      <w:kern w:val="0"/>
      <w:sz w:val="24"/>
      <w:szCs w:val="20"/>
    </w:rPr>
  </w:style>
  <w:style w:type="character" w:customStyle="1" w:styleId="65">
    <w:name w:val="页眉 Char"/>
    <w:link w:val="18"/>
    <w:qFormat/>
    <w:uiPriority w:val="0"/>
    <w:rPr>
      <w:rFonts w:ascii="Calibri" w:hAnsi="Calibri" w:eastAsia="宋体"/>
      <w:sz w:val="18"/>
      <w:szCs w:val="18"/>
    </w:rPr>
  </w:style>
  <w:style w:type="character" w:customStyle="1" w:styleId="66">
    <w:name w:val="FootnoteReference"/>
    <w:qFormat/>
    <w:uiPriority w:val="0"/>
    <w:rPr>
      <w:vertAlign w:val="superscript"/>
    </w:rPr>
  </w:style>
  <w:style w:type="character" w:customStyle="1" w:styleId="67">
    <w:name w:val="UserStyle_10"/>
    <w:link w:val="68"/>
    <w:qFormat/>
    <w:uiPriority w:val="0"/>
    <w:rPr>
      <w:rFonts w:ascii="Times New Roman" w:hAnsi="Times New Roman" w:eastAsia="宋体"/>
      <w:sz w:val="18"/>
      <w:szCs w:val="18"/>
    </w:rPr>
  </w:style>
  <w:style w:type="paragraph" w:customStyle="1" w:styleId="68">
    <w:name w:val="Acetate"/>
    <w:basedOn w:val="1"/>
    <w:link w:val="67"/>
    <w:qFormat/>
    <w:uiPriority w:val="0"/>
    <w:rPr>
      <w:kern w:val="0"/>
      <w:sz w:val="18"/>
      <w:szCs w:val="18"/>
    </w:rPr>
  </w:style>
  <w:style w:type="character" w:customStyle="1" w:styleId="69">
    <w:name w:val="UserStyle_11"/>
    <w:qFormat/>
    <w:uiPriority w:val="0"/>
    <w:rPr>
      <w:color w:val="000000"/>
      <w:sz w:val="36"/>
      <w:szCs w:val="36"/>
    </w:rPr>
  </w:style>
  <w:style w:type="character" w:customStyle="1" w:styleId="70">
    <w:name w:val="UserStyle_12"/>
    <w:link w:val="71"/>
    <w:qFormat/>
    <w:uiPriority w:val="0"/>
    <w:rPr>
      <w:rFonts w:ascii="Calibri" w:hAnsi="Calibri" w:eastAsia="宋体"/>
      <w:kern w:val="2"/>
      <w:sz w:val="21"/>
      <w:szCs w:val="22"/>
    </w:rPr>
  </w:style>
  <w:style w:type="paragraph" w:customStyle="1" w:styleId="71">
    <w:name w:val="BodyText1I2"/>
    <w:basedOn w:val="72"/>
    <w:link w:val="70"/>
    <w:qFormat/>
    <w:uiPriority w:val="0"/>
    <w:pPr>
      <w:spacing w:after="120"/>
      <w:ind w:left="420" w:leftChars="200" w:firstLine="420" w:firstLineChars="200"/>
    </w:pPr>
    <w:rPr>
      <w:rFonts w:ascii="Calibri" w:hAnsi="Calibri"/>
      <w:kern w:val="2"/>
      <w:sz w:val="21"/>
      <w:szCs w:val="22"/>
    </w:rPr>
  </w:style>
  <w:style w:type="paragraph" w:customStyle="1" w:styleId="72">
    <w:name w:val="BodyTextIndent"/>
    <w:basedOn w:val="1"/>
    <w:link w:val="97"/>
    <w:qFormat/>
    <w:uiPriority w:val="0"/>
    <w:pPr>
      <w:ind w:firstLine="570"/>
    </w:pPr>
    <w:rPr>
      <w:kern w:val="0"/>
      <w:sz w:val="28"/>
      <w:szCs w:val="20"/>
    </w:rPr>
  </w:style>
  <w:style w:type="character" w:customStyle="1" w:styleId="73">
    <w:name w:val="UserStyle_13"/>
    <w:link w:val="74"/>
    <w:qFormat/>
    <w:uiPriority w:val="0"/>
    <w:rPr>
      <w:rFonts w:ascii="Times New Roman" w:hAnsi="Times New Roman" w:eastAsia="宋体"/>
      <w:szCs w:val="20"/>
      <w:shd w:val="clear" w:color="auto" w:fill="000080"/>
    </w:rPr>
  </w:style>
  <w:style w:type="paragraph" w:customStyle="1" w:styleId="74">
    <w:name w:val="NavPane"/>
    <w:basedOn w:val="1"/>
    <w:link w:val="73"/>
    <w:qFormat/>
    <w:uiPriority w:val="0"/>
    <w:pPr>
      <w:shd w:val="clear" w:color="auto" w:fill="000080"/>
    </w:pPr>
    <w:rPr>
      <w:kern w:val="0"/>
      <w:sz w:val="20"/>
      <w:szCs w:val="20"/>
    </w:rPr>
  </w:style>
  <w:style w:type="character" w:customStyle="1" w:styleId="75">
    <w:name w:val="标题 Char"/>
    <w:link w:val="25"/>
    <w:qFormat/>
    <w:uiPriority w:val="0"/>
    <w:rPr>
      <w:rFonts w:ascii="Arial" w:hAnsi="Arial" w:eastAsia="宋体"/>
      <w:b/>
      <w:sz w:val="44"/>
      <w:szCs w:val="20"/>
    </w:rPr>
  </w:style>
  <w:style w:type="character" w:customStyle="1" w:styleId="76">
    <w:name w:val="UserStyle_15"/>
    <w:qFormat/>
    <w:uiPriority w:val="0"/>
    <w:rPr>
      <w:rFonts w:ascii="宋体" w:hAnsi="Courier New" w:eastAsia="宋体"/>
      <w:sz w:val="21"/>
      <w:lang w:bidi="ar-SA"/>
    </w:rPr>
  </w:style>
  <w:style w:type="character" w:customStyle="1" w:styleId="77">
    <w:name w:val="UserStyle_16"/>
    <w:semiHidden/>
    <w:qFormat/>
    <w:uiPriority w:val="0"/>
    <w:rPr>
      <w:rFonts w:ascii="等线" w:hAnsi="Courier New"/>
    </w:rPr>
  </w:style>
  <w:style w:type="character" w:customStyle="1" w:styleId="78">
    <w:name w:val="UserStyle_17"/>
    <w:link w:val="79"/>
    <w:qFormat/>
    <w:uiPriority w:val="0"/>
    <w:rPr>
      <w:rFonts w:ascii="MingLiU" w:hAnsi="MingLiU" w:eastAsia="MingLiU"/>
      <w:spacing w:val="20"/>
    </w:rPr>
  </w:style>
  <w:style w:type="paragraph" w:customStyle="1" w:styleId="79">
    <w:name w:val="UserStyle_18"/>
    <w:basedOn w:val="1"/>
    <w:link w:val="78"/>
    <w:qFormat/>
    <w:uiPriority w:val="0"/>
    <w:pPr>
      <w:shd w:val="clear" w:color="auto" w:fill="FFFFFF"/>
      <w:spacing w:before="300" w:line="240" w:lineRule="atLeast"/>
      <w:ind w:hanging="580"/>
      <w:jc w:val="left"/>
    </w:pPr>
    <w:rPr>
      <w:rFonts w:ascii="MingLiU" w:hAnsi="MingLiU" w:eastAsia="MingLiU"/>
      <w:spacing w:val="20"/>
      <w:kern w:val="0"/>
      <w:sz w:val="20"/>
      <w:szCs w:val="20"/>
    </w:rPr>
  </w:style>
  <w:style w:type="character" w:customStyle="1" w:styleId="80">
    <w:name w:val="UserStyle_19"/>
    <w:link w:val="46"/>
    <w:qFormat/>
    <w:uiPriority w:val="0"/>
    <w:rPr>
      <w:rFonts w:ascii="Arial" w:hAnsi="Arial" w:eastAsia="黑体" w:cs="Times New Roman"/>
      <w:b/>
      <w:bCs/>
      <w:sz w:val="24"/>
      <w:szCs w:val="24"/>
    </w:rPr>
  </w:style>
  <w:style w:type="character" w:customStyle="1" w:styleId="81">
    <w:name w:val="UserStyle_20"/>
    <w:link w:val="45"/>
    <w:qFormat/>
    <w:uiPriority w:val="0"/>
    <w:rPr>
      <w:rFonts w:ascii="Arial" w:hAnsi="Arial" w:eastAsia="宋体"/>
      <w:color w:val="000000"/>
      <w:szCs w:val="21"/>
    </w:rPr>
  </w:style>
  <w:style w:type="character" w:customStyle="1" w:styleId="82">
    <w:name w:val="UserStyle_21"/>
    <w:link w:val="83"/>
    <w:qFormat/>
    <w:locked/>
    <w:uiPriority w:val="0"/>
    <w:rPr>
      <w:rFonts w:ascii="仿宋_GB2312" w:hAnsi="宋体" w:eastAsia="仿宋_GB2312"/>
      <w:sz w:val="31"/>
      <w:szCs w:val="31"/>
    </w:rPr>
  </w:style>
  <w:style w:type="paragraph" w:customStyle="1" w:styleId="83">
    <w:name w:val="UserStyle_22"/>
    <w:basedOn w:val="1"/>
    <w:link w:val="82"/>
    <w:qFormat/>
    <w:uiPriority w:val="0"/>
    <w:pPr>
      <w:spacing w:line="600" w:lineRule="exact"/>
      <w:ind w:firstLine="639" w:firstLineChars="206"/>
      <w:jc w:val="left"/>
    </w:pPr>
    <w:rPr>
      <w:rFonts w:ascii="仿宋_GB2312" w:hAnsi="宋体" w:eastAsia="仿宋_GB2312"/>
      <w:kern w:val="0"/>
      <w:sz w:val="31"/>
      <w:szCs w:val="31"/>
    </w:rPr>
  </w:style>
  <w:style w:type="character" w:customStyle="1" w:styleId="84">
    <w:name w:val="UserStyle_23"/>
    <w:semiHidden/>
    <w:qFormat/>
    <w:uiPriority w:val="0"/>
    <w:rPr>
      <w:rFonts w:ascii="Calibri" w:hAnsi="Calibri" w:eastAsia="宋体" w:cs="Times New Roman"/>
      <w:b/>
      <w:bCs/>
      <w:sz w:val="24"/>
      <w:szCs w:val="24"/>
    </w:rPr>
  </w:style>
  <w:style w:type="character" w:customStyle="1" w:styleId="85">
    <w:name w:val="副标题 Char"/>
    <w:link w:val="20"/>
    <w:qFormat/>
    <w:uiPriority w:val="0"/>
    <w:rPr>
      <w:rFonts w:ascii="Arial" w:hAnsi="Arial" w:eastAsia="宋体" w:cs="Times New Roman"/>
      <w:b/>
      <w:bCs/>
      <w:kern w:val="28"/>
      <w:sz w:val="32"/>
      <w:szCs w:val="32"/>
    </w:rPr>
  </w:style>
  <w:style w:type="character" w:customStyle="1" w:styleId="86">
    <w:name w:val="UserStyle_25"/>
    <w:qFormat/>
    <w:uiPriority w:val="0"/>
    <w:rPr>
      <w:rFonts w:eastAsia="宋体"/>
      <w:kern w:val="2"/>
      <w:sz w:val="18"/>
      <w:szCs w:val="18"/>
      <w:lang w:val="en-US" w:eastAsia="zh-CN" w:bidi="ar-SA"/>
    </w:rPr>
  </w:style>
  <w:style w:type="character" w:customStyle="1" w:styleId="87">
    <w:name w:val="UserStyle_26"/>
    <w:link w:val="88"/>
    <w:qFormat/>
    <w:locked/>
    <w:uiPriority w:val="0"/>
    <w:rPr>
      <w:rFonts w:ascii="黑体" w:eastAsia="黑体"/>
      <w:sz w:val="21"/>
    </w:rPr>
  </w:style>
  <w:style w:type="paragraph" w:customStyle="1" w:styleId="88">
    <w:name w:val="UserStyle_27"/>
    <w:next w:val="89"/>
    <w:link w:val="87"/>
    <w:qFormat/>
    <w:uiPriority w:val="0"/>
    <w:pPr>
      <w:tabs>
        <w:tab w:val="left" w:pos="360"/>
        <w:tab w:val="left" w:pos="678"/>
      </w:tabs>
      <w:ind w:left="678" w:hanging="468"/>
      <w:jc w:val="center"/>
      <w:textAlignment w:val="baseline"/>
    </w:pPr>
    <w:rPr>
      <w:rFonts w:ascii="黑体" w:hAnsi="Times New Roman" w:eastAsia="黑体" w:cstheme="minorBidi"/>
      <w:sz w:val="21"/>
      <w:lang w:val="en-US" w:eastAsia="zh-CN" w:bidi="ar-SA"/>
    </w:rPr>
  </w:style>
  <w:style w:type="paragraph" w:customStyle="1" w:styleId="89">
    <w:name w:val="UserStyle_140"/>
    <w:qFormat/>
    <w:uiPriority w:val="0"/>
    <w:pPr>
      <w:ind w:firstLine="200" w:firstLineChars="200"/>
      <w:jc w:val="both"/>
      <w:textAlignment w:val="baseline"/>
    </w:pPr>
    <w:rPr>
      <w:rFonts w:ascii="宋体" w:hAnsi="Times New Roman" w:eastAsia="宋体" w:cstheme="minorBidi"/>
      <w:sz w:val="21"/>
      <w:szCs w:val="21"/>
      <w:lang w:val="en-US" w:eastAsia="zh-CN" w:bidi="ar-SA"/>
    </w:rPr>
  </w:style>
  <w:style w:type="character" w:customStyle="1" w:styleId="90">
    <w:name w:val="UserStyle_28"/>
    <w:semiHidden/>
    <w:qFormat/>
    <w:uiPriority w:val="0"/>
    <w:rPr>
      <w:rFonts w:ascii="Calibri" w:hAnsi="Calibri" w:eastAsia="宋体"/>
    </w:rPr>
  </w:style>
  <w:style w:type="character" w:customStyle="1" w:styleId="91">
    <w:name w:val="UserStyle_29"/>
    <w:semiHidden/>
    <w:qFormat/>
    <w:uiPriority w:val="0"/>
    <w:rPr>
      <w:rFonts w:ascii="Calibri" w:hAnsi="Calibri" w:eastAsia="宋体"/>
    </w:rPr>
  </w:style>
  <w:style w:type="character" w:customStyle="1" w:styleId="92">
    <w:name w:val="UserStyle_30"/>
    <w:link w:val="93"/>
    <w:qFormat/>
    <w:uiPriority w:val="0"/>
    <w:rPr>
      <w:rFonts w:ascii="Times New Roman" w:hAnsi="Times New Roman" w:eastAsia="宋体"/>
      <w:kern w:val="2"/>
      <w:sz w:val="21"/>
    </w:rPr>
  </w:style>
  <w:style w:type="paragraph" w:customStyle="1" w:styleId="93">
    <w:name w:val="179"/>
    <w:basedOn w:val="1"/>
    <w:link w:val="92"/>
    <w:qFormat/>
    <w:uiPriority w:val="0"/>
    <w:pPr>
      <w:ind w:firstLine="420" w:firstLineChars="200"/>
    </w:pPr>
    <w:rPr>
      <w:szCs w:val="20"/>
    </w:rPr>
  </w:style>
  <w:style w:type="character" w:customStyle="1" w:styleId="94">
    <w:name w:val="UserStyle_31"/>
    <w:link w:val="95"/>
    <w:qFormat/>
    <w:uiPriority w:val="0"/>
    <w:rPr>
      <w:rFonts w:ascii="Times New Roman" w:hAnsi="Times New Roman" w:eastAsia="宋体"/>
      <w:kern w:val="2"/>
      <w:sz w:val="24"/>
      <w:szCs w:val="24"/>
    </w:rPr>
  </w:style>
  <w:style w:type="paragraph" w:customStyle="1" w:styleId="95">
    <w:name w:val="UserStyle_32"/>
    <w:link w:val="94"/>
    <w:qFormat/>
    <w:uiPriority w:val="0"/>
    <w:pPr>
      <w:spacing w:line="360" w:lineRule="auto"/>
      <w:ind w:firstLine="482"/>
      <w:textAlignment w:val="baseline"/>
    </w:pPr>
    <w:rPr>
      <w:rFonts w:ascii="Times New Roman" w:hAnsi="Times New Roman" w:eastAsia="宋体" w:cstheme="minorBidi"/>
      <w:kern w:val="2"/>
      <w:sz w:val="24"/>
      <w:szCs w:val="24"/>
      <w:lang w:val="en-US" w:eastAsia="zh-CN" w:bidi="ar-SA"/>
    </w:rPr>
  </w:style>
  <w:style w:type="character" w:customStyle="1" w:styleId="96">
    <w:name w:val="UserStyle_33"/>
    <w:link w:val="48"/>
    <w:qFormat/>
    <w:uiPriority w:val="0"/>
    <w:rPr>
      <w:rFonts w:ascii="Arial" w:hAnsi="Arial" w:eastAsia="黑体"/>
      <w:sz w:val="24"/>
    </w:rPr>
  </w:style>
  <w:style w:type="character" w:customStyle="1" w:styleId="97">
    <w:name w:val="UserStyle_34"/>
    <w:link w:val="72"/>
    <w:qFormat/>
    <w:uiPriority w:val="0"/>
    <w:rPr>
      <w:rFonts w:ascii="Times New Roman" w:hAnsi="Times New Roman" w:eastAsia="宋体"/>
      <w:sz w:val="28"/>
      <w:szCs w:val="20"/>
    </w:rPr>
  </w:style>
  <w:style w:type="character" w:customStyle="1" w:styleId="98">
    <w:name w:val="UserStyle_35"/>
    <w:qFormat/>
    <w:uiPriority w:val="0"/>
    <w:rPr>
      <w:rFonts w:ascii="Arial Unicode MS" w:hAnsi="Arial Unicode MS" w:eastAsia="Arial Unicode MS"/>
      <w:color w:val="000000"/>
      <w:spacing w:val="10"/>
      <w:position w:val="0"/>
      <w:sz w:val="16"/>
      <w:szCs w:val="16"/>
      <w:lang w:val="en-US"/>
    </w:rPr>
  </w:style>
  <w:style w:type="character" w:customStyle="1" w:styleId="99">
    <w:name w:val="UserStyle_36"/>
    <w:link w:val="100"/>
    <w:qFormat/>
    <w:locked/>
    <w:uiPriority w:val="0"/>
  </w:style>
  <w:style w:type="paragraph" w:customStyle="1" w:styleId="100">
    <w:name w:val="UserStyle_37"/>
    <w:basedOn w:val="1"/>
    <w:link w:val="99"/>
    <w:qFormat/>
    <w:uiPriority w:val="0"/>
    <w:pPr>
      <w:spacing w:line="360" w:lineRule="auto"/>
      <w:ind w:firstLine="424" w:firstLineChars="202"/>
      <w:jc w:val="left"/>
    </w:pPr>
    <w:rPr>
      <w:rFonts w:ascii="等线" w:hAnsi="等线" w:eastAsia="等线"/>
      <w:kern w:val="0"/>
      <w:sz w:val="20"/>
      <w:szCs w:val="20"/>
    </w:rPr>
  </w:style>
  <w:style w:type="character" w:customStyle="1" w:styleId="101">
    <w:name w:val="UserStyle_38"/>
    <w:link w:val="102"/>
    <w:qFormat/>
    <w:uiPriority w:val="0"/>
    <w:rPr>
      <w:rFonts w:ascii="宋体" w:hAnsi="宋体" w:eastAsia="宋体" w:cs="Times New Roman"/>
      <w:b/>
      <w:bCs/>
      <w:sz w:val="24"/>
      <w:szCs w:val="24"/>
    </w:rPr>
  </w:style>
  <w:style w:type="paragraph" w:customStyle="1" w:styleId="102">
    <w:name w:val="AnnotationSubject"/>
    <w:basedOn w:val="103"/>
    <w:next w:val="103"/>
    <w:link w:val="101"/>
    <w:qFormat/>
    <w:uiPriority w:val="0"/>
    <w:rPr>
      <w:rFonts w:cs="Times New Roman"/>
      <w:b/>
      <w:bCs/>
    </w:rPr>
  </w:style>
  <w:style w:type="paragraph" w:customStyle="1" w:styleId="103">
    <w:name w:val="AnnotationText"/>
    <w:basedOn w:val="1"/>
    <w:link w:val="175"/>
    <w:qFormat/>
    <w:uiPriority w:val="0"/>
    <w:pPr>
      <w:spacing w:line="360" w:lineRule="auto"/>
      <w:ind w:firstLine="523" w:firstLineChars="218"/>
      <w:jc w:val="left"/>
    </w:pPr>
    <w:rPr>
      <w:rFonts w:ascii="宋体" w:hAnsi="宋体"/>
      <w:kern w:val="0"/>
      <w:sz w:val="24"/>
      <w:szCs w:val="24"/>
    </w:rPr>
  </w:style>
  <w:style w:type="character" w:customStyle="1" w:styleId="104">
    <w:name w:val="UserStyle_39"/>
    <w:semiHidden/>
    <w:qFormat/>
    <w:uiPriority w:val="0"/>
    <w:rPr>
      <w:rFonts w:ascii="Calibri" w:hAnsi="Calibri" w:eastAsia="宋体"/>
      <w:sz w:val="18"/>
      <w:szCs w:val="18"/>
    </w:rPr>
  </w:style>
  <w:style w:type="character" w:customStyle="1" w:styleId="105">
    <w:name w:val="UserStyle_40"/>
    <w:link w:val="106"/>
    <w:qFormat/>
    <w:uiPriority w:val="0"/>
    <w:rPr>
      <w:rFonts w:ascii="黑体" w:eastAsia="黑体"/>
      <w:b/>
    </w:rPr>
  </w:style>
  <w:style w:type="paragraph" w:customStyle="1" w:styleId="106">
    <w:name w:val="UserStyle_41"/>
    <w:basedOn w:val="107"/>
    <w:next w:val="89"/>
    <w:link w:val="105"/>
    <w:qFormat/>
    <w:uiPriority w:val="0"/>
    <w:pPr>
      <w:tabs>
        <w:tab w:val="left" w:pos="945"/>
        <w:tab w:val="left" w:pos="1080"/>
      </w:tabs>
    </w:pPr>
    <w:rPr>
      <w:b/>
      <w:sz w:val="20"/>
    </w:rPr>
  </w:style>
  <w:style w:type="paragraph" w:customStyle="1" w:styleId="107">
    <w:name w:val="UserStyle_53"/>
    <w:basedOn w:val="1"/>
    <w:next w:val="89"/>
    <w:link w:val="118"/>
    <w:qFormat/>
    <w:uiPriority w:val="0"/>
    <w:rPr>
      <w:rFonts w:ascii="黑体" w:hAnsi="等线" w:eastAsia="黑体"/>
      <w:kern w:val="0"/>
      <w:szCs w:val="20"/>
    </w:rPr>
  </w:style>
  <w:style w:type="character" w:customStyle="1" w:styleId="108">
    <w:name w:val="UserStyle_42"/>
    <w:link w:val="109"/>
    <w:qFormat/>
    <w:uiPriority w:val="0"/>
    <w:rPr>
      <w:rFonts w:ascii="Calibri" w:hAnsi="Calibri" w:eastAsia="宋体"/>
      <w:sz w:val="28"/>
    </w:rPr>
  </w:style>
  <w:style w:type="paragraph" w:customStyle="1" w:styleId="109">
    <w:name w:val="UserStyle_43"/>
    <w:basedOn w:val="1"/>
    <w:link w:val="108"/>
    <w:qFormat/>
    <w:uiPriority w:val="0"/>
    <w:pPr>
      <w:spacing w:line="520" w:lineRule="exact"/>
      <w:ind w:firstLine="567"/>
    </w:pPr>
    <w:rPr>
      <w:kern w:val="0"/>
      <w:sz w:val="28"/>
      <w:szCs w:val="20"/>
    </w:rPr>
  </w:style>
  <w:style w:type="character" w:customStyle="1" w:styleId="110">
    <w:name w:val="UserStyle_44"/>
    <w:link w:val="111"/>
    <w:qFormat/>
    <w:uiPriority w:val="0"/>
    <w:rPr>
      <w:rFonts w:ascii="Arial" w:hAnsi="Arial" w:eastAsia="宋体"/>
      <w:kern w:val="2"/>
      <w:sz w:val="24"/>
      <w:szCs w:val="21"/>
    </w:rPr>
  </w:style>
  <w:style w:type="paragraph" w:customStyle="1" w:styleId="111">
    <w:name w:val="UserStyle_45"/>
    <w:basedOn w:val="1"/>
    <w:link w:val="110"/>
    <w:qFormat/>
    <w:uiPriority w:val="0"/>
    <w:pPr>
      <w:snapToGrid w:val="0"/>
      <w:spacing w:line="360" w:lineRule="auto"/>
      <w:ind w:firstLine="480" w:firstLineChars="200"/>
    </w:pPr>
    <w:rPr>
      <w:rFonts w:ascii="Arial" w:hAnsi="Arial"/>
      <w:sz w:val="24"/>
      <w:szCs w:val="21"/>
    </w:rPr>
  </w:style>
  <w:style w:type="character" w:customStyle="1" w:styleId="112">
    <w:name w:val="UserStyle_46"/>
    <w:basedOn w:val="113"/>
    <w:semiHidden/>
    <w:qFormat/>
    <w:uiPriority w:val="0"/>
    <w:rPr>
      <w:rFonts w:ascii="Calibri" w:hAnsi="Calibri" w:eastAsia="宋体"/>
    </w:rPr>
  </w:style>
  <w:style w:type="character" w:customStyle="1" w:styleId="113">
    <w:name w:val="UserStyle_47"/>
    <w:semiHidden/>
    <w:qFormat/>
    <w:uiPriority w:val="0"/>
    <w:rPr>
      <w:rFonts w:ascii="Calibri" w:hAnsi="Calibri" w:eastAsia="宋体"/>
    </w:rPr>
  </w:style>
  <w:style w:type="character" w:customStyle="1" w:styleId="114">
    <w:name w:val="UserStyle_48"/>
    <w:qFormat/>
    <w:uiPriority w:val="0"/>
    <w:rPr>
      <w:rFonts w:ascii="宋体" w:hAnsi="宋体"/>
      <w:kern w:val="2"/>
      <w:sz w:val="21"/>
      <w:szCs w:val="24"/>
      <w:lang w:eastAsia="en-US"/>
    </w:rPr>
  </w:style>
  <w:style w:type="character" w:customStyle="1" w:styleId="115">
    <w:name w:val="UserStyle_49"/>
    <w:semiHidden/>
    <w:qFormat/>
    <w:uiPriority w:val="0"/>
    <w:rPr>
      <w:rFonts w:ascii="Calibri" w:hAnsi="Calibri" w:eastAsia="宋体" w:cs="Times New Roman"/>
      <w:b/>
      <w:bCs/>
      <w:sz w:val="32"/>
      <w:szCs w:val="32"/>
    </w:rPr>
  </w:style>
  <w:style w:type="character" w:customStyle="1" w:styleId="116">
    <w:name w:val="UserStyle_50"/>
    <w:link w:val="117"/>
    <w:qFormat/>
    <w:uiPriority w:val="0"/>
    <w:rPr>
      <w:rFonts w:ascii="Times New Roman" w:hAnsi="Times New Roman" w:eastAsia="宋体"/>
      <w:sz w:val="24"/>
    </w:rPr>
  </w:style>
  <w:style w:type="paragraph" w:customStyle="1" w:styleId="117">
    <w:name w:val="UserStyle_51"/>
    <w:basedOn w:val="1"/>
    <w:link w:val="116"/>
    <w:qFormat/>
    <w:uiPriority w:val="0"/>
    <w:pPr>
      <w:spacing w:before="120" w:after="120" w:line="312" w:lineRule="atLeast"/>
      <w:jc w:val="center"/>
    </w:pPr>
    <w:rPr>
      <w:kern w:val="0"/>
      <w:sz w:val="24"/>
      <w:szCs w:val="20"/>
    </w:rPr>
  </w:style>
  <w:style w:type="character" w:customStyle="1" w:styleId="118">
    <w:name w:val="UserStyle_52"/>
    <w:link w:val="107"/>
    <w:qFormat/>
    <w:locked/>
    <w:uiPriority w:val="0"/>
    <w:rPr>
      <w:rFonts w:ascii="黑体" w:eastAsia="黑体"/>
      <w:sz w:val="21"/>
    </w:rPr>
  </w:style>
  <w:style w:type="character" w:customStyle="1" w:styleId="119">
    <w:name w:val="UserStyle_54"/>
    <w:semiHidden/>
    <w:qFormat/>
    <w:uiPriority w:val="0"/>
    <w:rPr>
      <w:rFonts w:ascii="Calibri" w:hAnsi="Calibri" w:eastAsia="宋体"/>
    </w:rPr>
  </w:style>
  <w:style w:type="character" w:customStyle="1" w:styleId="120">
    <w:name w:val="UserStyle_55"/>
    <w:qFormat/>
    <w:uiPriority w:val="0"/>
  </w:style>
  <w:style w:type="character" w:customStyle="1" w:styleId="121">
    <w:name w:val="UserStyle_56"/>
    <w:semiHidden/>
    <w:qFormat/>
    <w:uiPriority w:val="0"/>
    <w:rPr>
      <w:rFonts w:ascii="Calibri" w:hAnsi="Calibri" w:eastAsia="宋体"/>
      <w:sz w:val="16"/>
      <w:szCs w:val="16"/>
    </w:rPr>
  </w:style>
  <w:style w:type="character" w:customStyle="1" w:styleId="122">
    <w:name w:val="UserStyle_57"/>
    <w:semiHidden/>
    <w:qFormat/>
    <w:uiPriority w:val="0"/>
    <w:rPr>
      <w:rFonts w:ascii="Calibri" w:hAnsi="Calibri" w:eastAsia="宋体"/>
      <w:sz w:val="18"/>
      <w:szCs w:val="18"/>
    </w:rPr>
  </w:style>
  <w:style w:type="character" w:customStyle="1" w:styleId="123">
    <w:name w:val="UserStyle_58"/>
    <w:link w:val="47"/>
    <w:qFormat/>
    <w:uiPriority w:val="0"/>
    <w:rPr>
      <w:rFonts w:ascii="Times New Roman" w:hAnsi="Times New Roman" w:eastAsia="宋体"/>
      <w:b/>
      <w:sz w:val="24"/>
    </w:rPr>
  </w:style>
  <w:style w:type="character" w:customStyle="1" w:styleId="124">
    <w:name w:val="UserStyle_59"/>
    <w:qFormat/>
    <w:uiPriority w:val="0"/>
    <w:rPr>
      <w:rFonts w:ascii="Arial" w:hAnsi="Arial" w:eastAsia="黑体" w:cs="Times New Roman"/>
      <w:b/>
      <w:bCs/>
      <w:kern w:val="2"/>
      <w:sz w:val="32"/>
      <w:szCs w:val="32"/>
      <w:lang w:val="en-US" w:eastAsia="zh-CN" w:bidi="ar-SA"/>
    </w:rPr>
  </w:style>
  <w:style w:type="character" w:customStyle="1" w:styleId="125">
    <w:name w:val="UserStyle_60"/>
    <w:link w:val="41"/>
    <w:qFormat/>
    <w:uiPriority w:val="0"/>
    <w:rPr>
      <w:rFonts w:ascii="Arial" w:hAnsi="Arial" w:eastAsia="宋体"/>
      <w:b/>
      <w:color w:val="000000"/>
      <w:sz w:val="24"/>
      <w:szCs w:val="24"/>
    </w:rPr>
  </w:style>
  <w:style w:type="character" w:customStyle="1" w:styleId="126">
    <w:name w:val="UserStyle_61"/>
    <w:semiHidden/>
    <w:qFormat/>
    <w:uiPriority w:val="0"/>
    <w:rPr>
      <w:rFonts w:ascii="Microsoft YaHei UI" w:hAnsi="Calibri" w:eastAsia="Microsoft YaHei UI"/>
      <w:sz w:val="18"/>
      <w:szCs w:val="18"/>
    </w:rPr>
  </w:style>
  <w:style w:type="character" w:customStyle="1" w:styleId="127">
    <w:name w:val="UserStyle_62"/>
    <w:qFormat/>
    <w:uiPriority w:val="0"/>
    <w:rPr>
      <w:rFonts w:ascii="等线 Light" w:hAnsi="等线 Light" w:eastAsia="等线 Light" w:cs="Times New Roman"/>
      <w:b/>
      <w:bCs/>
      <w:sz w:val="32"/>
      <w:szCs w:val="32"/>
    </w:rPr>
  </w:style>
  <w:style w:type="character" w:customStyle="1" w:styleId="128">
    <w:name w:val="UserStyle_63"/>
    <w:qFormat/>
    <w:uiPriority w:val="0"/>
    <w:rPr>
      <w:rFonts w:ascii="Tahoma" w:hAnsi="Tahoma" w:eastAsia="宋体"/>
      <w:b/>
      <w:color w:val="000000"/>
      <w:kern w:val="2"/>
      <w:sz w:val="24"/>
      <w:szCs w:val="24"/>
      <w:lang w:val="en-US" w:eastAsia="zh-CN" w:bidi="ar-SA"/>
    </w:rPr>
  </w:style>
  <w:style w:type="character" w:customStyle="1" w:styleId="129">
    <w:name w:val="UserStyle_64"/>
    <w:semiHidden/>
    <w:qFormat/>
    <w:uiPriority w:val="0"/>
    <w:rPr>
      <w:rFonts w:ascii="Calibri" w:hAnsi="Calibri" w:eastAsia="宋体"/>
      <w:sz w:val="18"/>
      <w:szCs w:val="18"/>
    </w:rPr>
  </w:style>
  <w:style w:type="character" w:customStyle="1" w:styleId="130">
    <w:name w:val="UserStyle_65"/>
    <w:link w:val="131"/>
    <w:qFormat/>
    <w:uiPriority w:val="0"/>
    <w:rPr>
      <w:rFonts w:ascii="宋体" w:hAnsi="Courier New" w:eastAsia="宋体"/>
      <w:szCs w:val="20"/>
    </w:rPr>
  </w:style>
  <w:style w:type="paragraph" w:customStyle="1" w:styleId="131">
    <w:name w:val="PlainText"/>
    <w:basedOn w:val="1"/>
    <w:link w:val="130"/>
    <w:qFormat/>
    <w:uiPriority w:val="0"/>
    <w:rPr>
      <w:rFonts w:ascii="宋体" w:hAnsi="Courier New"/>
      <w:kern w:val="0"/>
      <w:sz w:val="20"/>
      <w:szCs w:val="20"/>
    </w:rPr>
  </w:style>
  <w:style w:type="character" w:customStyle="1" w:styleId="132">
    <w:name w:val="UserStyle_66"/>
    <w:semiHidden/>
    <w:qFormat/>
    <w:uiPriority w:val="0"/>
    <w:rPr>
      <w:rFonts w:ascii="Calibri" w:hAnsi="Calibri" w:eastAsia="宋体"/>
      <w:sz w:val="18"/>
      <w:szCs w:val="18"/>
    </w:rPr>
  </w:style>
  <w:style w:type="character" w:customStyle="1" w:styleId="133">
    <w:name w:val="UserStyle_67"/>
    <w:qFormat/>
    <w:uiPriority w:val="0"/>
    <w:rPr>
      <w:rFonts w:ascii="Verdana" w:hAnsi="Verdana" w:eastAsia="宋体" w:cs="Times New Roman"/>
      <w:b/>
      <w:bCs/>
      <w:kern w:val="2"/>
      <w:sz w:val="21"/>
      <w:szCs w:val="24"/>
      <w:lang w:eastAsia="en-US"/>
    </w:rPr>
  </w:style>
  <w:style w:type="character" w:customStyle="1" w:styleId="134">
    <w:name w:val="UserStyle_68"/>
    <w:link w:val="43"/>
    <w:qFormat/>
    <w:uiPriority w:val="0"/>
    <w:rPr>
      <w:rFonts w:ascii="宋体" w:hAnsi="宋体" w:eastAsia="宋体"/>
      <w:kern w:val="0"/>
      <w:sz w:val="27"/>
      <w:szCs w:val="27"/>
    </w:rPr>
  </w:style>
  <w:style w:type="character" w:customStyle="1" w:styleId="135">
    <w:name w:val="UserStyle_69"/>
    <w:link w:val="136"/>
    <w:qFormat/>
    <w:locked/>
    <w:uiPriority w:val="0"/>
    <w:rPr>
      <w:rFonts w:ascii="黑体" w:hAnsi="Calibri" w:eastAsia="黑体"/>
      <w:sz w:val="21"/>
    </w:rPr>
  </w:style>
  <w:style w:type="paragraph" w:customStyle="1" w:styleId="136">
    <w:name w:val="UserStyle_70"/>
    <w:basedOn w:val="1"/>
    <w:next w:val="89"/>
    <w:link w:val="135"/>
    <w:qFormat/>
    <w:uiPriority w:val="0"/>
    <w:rPr>
      <w:rFonts w:ascii="黑体" w:eastAsia="黑体"/>
      <w:kern w:val="0"/>
      <w:szCs w:val="20"/>
    </w:rPr>
  </w:style>
  <w:style w:type="character" w:customStyle="1" w:styleId="137">
    <w:name w:val="UserStyle_71"/>
    <w:link w:val="138"/>
    <w:qFormat/>
    <w:uiPriority w:val="0"/>
    <w:rPr>
      <w:rFonts w:ascii="宋体" w:hAnsi="宋体" w:eastAsia="宋体"/>
      <w:color w:val="000000"/>
      <w:kern w:val="2"/>
      <w:sz w:val="24"/>
      <w:szCs w:val="24"/>
    </w:rPr>
  </w:style>
  <w:style w:type="paragraph" w:customStyle="1" w:styleId="138">
    <w:name w:val="UserStyle_72"/>
    <w:basedOn w:val="1"/>
    <w:link w:val="137"/>
    <w:qFormat/>
    <w:uiPriority w:val="0"/>
    <w:pPr>
      <w:ind w:firstLine="200" w:firstLineChars="200"/>
    </w:pPr>
    <w:rPr>
      <w:rFonts w:ascii="宋体" w:hAnsi="宋体"/>
      <w:color w:val="000000"/>
      <w:sz w:val="24"/>
      <w:szCs w:val="24"/>
    </w:rPr>
  </w:style>
  <w:style w:type="character" w:customStyle="1" w:styleId="139">
    <w:name w:val="UserStyle_73"/>
    <w:link w:val="140"/>
    <w:qFormat/>
    <w:uiPriority w:val="0"/>
    <w:rPr>
      <w:rFonts w:ascii="Arial Unicode MS" w:hAnsi="Arial Unicode MS" w:eastAsia="Arial Unicode MS"/>
      <w:spacing w:val="10"/>
      <w:sz w:val="17"/>
      <w:szCs w:val="17"/>
    </w:rPr>
  </w:style>
  <w:style w:type="paragraph" w:customStyle="1" w:styleId="140">
    <w:name w:val="UserStyle_74"/>
    <w:basedOn w:val="1"/>
    <w:link w:val="139"/>
    <w:qFormat/>
    <w:uiPriority w:val="0"/>
    <w:pPr>
      <w:shd w:val="clear" w:color="auto" w:fill="FFFFFF"/>
      <w:spacing w:after="60" w:line="240" w:lineRule="atLeast"/>
      <w:ind w:hanging="940"/>
      <w:jc w:val="left"/>
    </w:pPr>
    <w:rPr>
      <w:rFonts w:ascii="Arial Unicode MS" w:hAnsi="Arial Unicode MS" w:eastAsia="Arial Unicode MS"/>
      <w:spacing w:val="10"/>
      <w:kern w:val="0"/>
      <w:sz w:val="17"/>
      <w:szCs w:val="17"/>
    </w:rPr>
  </w:style>
  <w:style w:type="character" w:customStyle="1" w:styleId="141">
    <w:name w:val="UserStyle_75"/>
    <w:semiHidden/>
    <w:qFormat/>
    <w:locked/>
    <w:uiPriority w:val="0"/>
    <w:rPr>
      <w:rFonts w:ascii="宋体" w:hAnsi="宋体" w:eastAsia="宋体"/>
      <w:sz w:val="24"/>
    </w:rPr>
  </w:style>
  <w:style w:type="character" w:customStyle="1" w:styleId="142">
    <w:name w:val="UserStyle_76"/>
    <w:semiHidden/>
    <w:qFormat/>
    <w:uiPriority w:val="0"/>
    <w:rPr>
      <w:rFonts w:ascii="Calibri" w:hAnsi="Calibri" w:eastAsia="宋体" w:cs="Times New Roman"/>
      <w:b/>
      <w:bCs/>
      <w:sz w:val="28"/>
      <w:szCs w:val="28"/>
    </w:rPr>
  </w:style>
  <w:style w:type="character" w:customStyle="1" w:styleId="143">
    <w:name w:val="UserStyle_77"/>
    <w:link w:val="42"/>
    <w:qFormat/>
    <w:uiPriority w:val="0"/>
    <w:rPr>
      <w:rFonts w:ascii="Times New Roman" w:hAnsi="Times New Roman" w:eastAsia="宋体"/>
      <w:kern w:val="2"/>
      <w:sz w:val="21"/>
    </w:rPr>
  </w:style>
  <w:style w:type="character" w:customStyle="1" w:styleId="144">
    <w:name w:val="UserStyle_78"/>
    <w:link w:val="145"/>
    <w:qFormat/>
    <w:uiPriority w:val="0"/>
    <w:rPr>
      <w:rFonts w:ascii="Calibri" w:hAnsi="Calibri" w:eastAsia="宋体"/>
      <w:spacing w:val="4"/>
      <w:sz w:val="24"/>
      <w:szCs w:val="24"/>
    </w:rPr>
  </w:style>
  <w:style w:type="paragraph" w:customStyle="1" w:styleId="145">
    <w:name w:val="UserStyle_79"/>
    <w:basedOn w:val="1"/>
    <w:link w:val="144"/>
    <w:qFormat/>
    <w:uiPriority w:val="0"/>
    <w:pPr>
      <w:topLinePunct/>
      <w:snapToGrid w:val="0"/>
      <w:spacing w:after="200" w:line="360" w:lineRule="auto"/>
      <w:ind w:firstLine="200" w:firstLineChars="200"/>
      <w:jc w:val="left"/>
    </w:pPr>
    <w:rPr>
      <w:spacing w:val="4"/>
      <w:kern w:val="0"/>
      <w:sz w:val="24"/>
      <w:szCs w:val="24"/>
    </w:rPr>
  </w:style>
  <w:style w:type="character" w:customStyle="1" w:styleId="146">
    <w:name w:val="UserStyle_80"/>
    <w:semiHidden/>
    <w:qFormat/>
    <w:uiPriority w:val="0"/>
    <w:rPr>
      <w:rFonts w:ascii="等线 Light" w:hAnsi="等线 Light" w:eastAsia="等线 Light" w:cs="Times New Roman"/>
      <w:b/>
      <w:bCs/>
      <w:sz w:val="28"/>
      <w:szCs w:val="28"/>
    </w:rPr>
  </w:style>
  <w:style w:type="character" w:customStyle="1" w:styleId="147">
    <w:name w:val="UserStyle_81"/>
    <w:link w:val="49"/>
    <w:qFormat/>
    <w:uiPriority w:val="0"/>
    <w:rPr>
      <w:rFonts w:ascii="Arial" w:hAnsi="Arial" w:eastAsia="黑体"/>
    </w:rPr>
  </w:style>
  <w:style w:type="character" w:customStyle="1" w:styleId="148">
    <w:name w:val="UserStyle_82"/>
    <w:qFormat/>
    <w:uiPriority w:val="0"/>
    <w:rPr>
      <w:kern w:val="2"/>
      <w:sz w:val="21"/>
      <w:szCs w:val="21"/>
    </w:rPr>
  </w:style>
  <w:style w:type="character" w:customStyle="1" w:styleId="149">
    <w:name w:val="UserStyle_83"/>
    <w:link w:val="150"/>
    <w:qFormat/>
    <w:uiPriority w:val="0"/>
    <w:rPr>
      <w:rFonts w:ascii="Times New Roman" w:hAnsi="Times New Roman" w:eastAsia="宋体"/>
      <w:color w:val="000000"/>
      <w:sz w:val="24"/>
      <w:szCs w:val="20"/>
    </w:rPr>
  </w:style>
  <w:style w:type="paragraph" w:customStyle="1" w:styleId="150">
    <w:name w:val="BodyTextIndent3"/>
    <w:basedOn w:val="1"/>
    <w:link w:val="149"/>
    <w:qFormat/>
    <w:uiPriority w:val="0"/>
    <w:pPr>
      <w:tabs>
        <w:tab w:val="left" w:pos="0"/>
      </w:tabs>
      <w:spacing w:line="400" w:lineRule="exact"/>
      <w:ind w:left="563" w:leftChars="228" w:hanging="84" w:hangingChars="35"/>
    </w:pPr>
    <w:rPr>
      <w:color w:val="000000"/>
      <w:kern w:val="0"/>
      <w:sz w:val="24"/>
      <w:szCs w:val="20"/>
    </w:rPr>
  </w:style>
  <w:style w:type="character" w:customStyle="1" w:styleId="151">
    <w:name w:val="UserStyle_84"/>
    <w:semiHidden/>
    <w:qFormat/>
    <w:uiPriority w:val="0"/>
    <w:rPr>
      <w:rFonts w:ascii="等线 Light" w:hAnsi="等线 Light" w:eastAsia="等线 Light"/>
      <w:sz w:val="24"/>
      <w:szCs w:val="24"/>
    </w:rPr>
  </w:style>
  <w:style w:type="character" w:customStyle="1" w:styleId="152">
    <w:name w:val="UserStyle_85"/>
    <w:link w:val="153"/>
    <w:qFormat/>
    <w:uiPriority w:val="0"/>
    <w:rPr>
      <w:rFonts w:ascii="Calibri" w:hAnsi="Calibri" w:eastAsia="宋体"/>
      <w:kern w:val="2"/>
      <w:sz w:val="21"/>
      <w:szCs w:val="21"/>
    </w:rPr>
  </w:style>
  <w:style w:type="paragraph" w:customStyle="1" w:styleId="153">
    <w:name w:val="UserStyle_86"/>
    <w:next w:val="95"/>
    <w:link w:val="152"/>
    <w:qFormat/>
    <w:uiPriority w:val="0"/>
    <w:pPr>
      <w:jc w:val="center"/>
      <w:textAlignment w:val="baseline"/>
    </w:pPr>
    <w:rPr>
      <w:rFonts w:ascii="Times New Roman" w:hAnsi="Times New Roman" w:eastAsia="宋体" w:cstheme="minorBidi"/>
      <w:kern w:val="2"/>
      <w:sz w:val="21"/>
      <w:szCs w:val="21"/>
      <w:lang w:val="en-US" w:eastAsia="zh-CN" w:bidi="ar-SA"/>
    </w:rPr>
  </w:style>
  <w:style w:type="character" w:customStyle="1" w:styleId="154">
    <w:name w:val="页脚 Char"/>
    <w:link w:val="17"/>
    <w:qFormat/>
    <w:uiPriority w:val="0"/>
    <w:rPr>
      <w:rFonts w:ascii="Calibri" w:hAnsi="Calibri" w:eastAsia="宋体"/>
      <w:sz w:val="18"/>
      <w:szCs w:val="18"/>
    </w:rPr>
  </w:style>
  <w:style w:type="character" w:customStyle="1" w:styleId="155">
    <w:name w:val="UserStyle_88"/>
    <w:qFormat/>
    <w:uiPriority w:val="0"/>
    <w:rPr>
      <w:rFonts w:ascii="Verdana" w:hAnsi="Verdana"/>
      <w:kern w:val="0"/>
      <w:sz w:val="20"/>
      <w:szCs w:val="20"/>
      <w:lang w:eastAsia="en-US"/>
    </w:rPr>
  </w:style>
  <w:style w:type="character" w:customStyle="1" w:styleId="156">
    <w:name w:val="UserStyle_89"/>
    <w:qFormat/>
    <w:locked/>
    <w:uiPriority w:val="0"/>
    <w:rPr>
      <w:kern w:val="2"/>
      <w:sz w:val="21"/>
    </w:rPr>
  </w:style>
  <w:style w:type="character" w:customStyle="1" w:styleId="157">
    <w:name w:val="UserStyle_90"/>
    <w:link w:val="158"/>
    <w:qFormat/>
    <w:uiPriority w:val="0"/>
    <w:rPr>
      <w:rFonts w:ascii="Times New Roman" w:hAnsi="Times New Roman" w:eastAsia="宋体"/>
      <w:szCs w:val="20"/>
    </w:rPr>
  </w:style>
  <w:style w:type="paragraph" w:customStyle="1" w:styleId="158">
    <w:name w:val="EndnoteText"/>
    <w:basedOn w:val="1"/>
    <w:link w:val="157"/>
    <w:qFormat/>
    <w:uiPriority w:val="0"/>
    <w:pPr>
      <w:snapToGrid w:val="0"/>
      <w:jc w:val="left"/>
    </w:pPr>
    <w:rPr>
      <w:kern w:val="0"/>
      <w:sz w:val="20"/>
      <w:szCs w:val="20"/>
    </w:rPr>
  </w:style>
  <w:style w:type="character" w:customStyle="1" w:styleId="159">
    <w:name w:val="UserStyle_91"/>
    <w:qFormat/>
    <w:uiPriority w:val="0"/>
    <w:rPr>
      <w:rFonts w:ascii="Calibri" w:hAnsi="Calibri" w:eastAsia="宋体"/>
      <w:kern w:val="2"/>
      <w:sz w:val="21"/>
      <w:szCs w:val="22"/>
      <w:lang w:val="en-US" w:eastAsia="zh-CN" w:bidi="ar-SA"/>
    </w:rPr>
  </w:style>
  <w:style w:type="character" w:customStyle="1" w:styleId="160">
    <w:name w:val="UserStyle_92"/>
    <w:qFormat/>
    <w:uiPriority w:val="0"/>
    <w:rPr>
      <w:rFonts w:ascii="MingLiU" w:hAnsi="MingLiU" w:eastAsia="MingLiU"/>
      <w:color w:val="000000"/>
      <w:spacing w:val="12"/>
      <w:position w:val="0"/>
      <w:sz w:val="21"/>
      <w:szCs w:val="21"/>
      <w:lang w:val="zh-TW"/>
    </w:rPr>
  </w:style>
  <w:style w:type="character" w:customStyle="1" w:styleId="161">
    <w:name w:val="UserStyle_93"/>
    <w:qFormat/>
    <w:uiPriority w:val="0"/>
    <w:rPr>
      <w:rFonts w:cs="Times New Roman"/>
      <w:b/>
      <w:bCs/>
      <w:kern w:val="2"/>
      <w:sz w:val="32"/>
      <w:szCs w:val="32"/>
    </w:rPr>
  </w:style>
  <w:style w:type="character" w:customStyle="1" w:styleId="162">
    <w:name w:val="UserStyle_94"/>
    <w:semiHidden/>
    <w:qFormat/>
    <w:uiPriority w:val="0"/>
    <w:rPr>
      <w:rFonts w:ascii="等线 Light" w:hAnsi="等线 Light" w:eastAsia="等线 Light"/>
      <w:szCs w:val="21"/>
    </w:rPr>
  </w:style>
  <w:style w:type="character" w:customStyle="1" w:styleId="163">
    <w:name w:val="UserStyle_95"/>
    <w:semiHidden/>
    <w:qFormat/>
    <w:uiPriority w:val="0"/>
    <w:rPr>
      <w:rFonts w:ascii="Calibri" w:hAnsi="Calibri" w:eastAsia="宋体"/>
    </w:rPr>
  </w:style>
  <w:style w:type="character" w:customStyle="1" w:styleId="164">
    <w:name w:val="UserStyle_96"/>
    <w:semiHidden/>
    <w:qFormat/>
    <w:uiPriority w:val="0"/>
    <w:rPr>
      <w:rFonts w:ascii="等线 Light" w:hAnsi="等线 Light" w:eastAsia="等线 Light" w:cs="Times New Roman"/>
      <w:b/>
      <w:bCs/>
      <w:sz w:val="24"/>
      <w:szCs w:val="24"/>
    </w:rPr>
  </w:style>
  <w:style w:type="character" w:customStyle="1" w:styleId="165">
    <w:name w:val="UserStyle_97"/>
    <w:qFormat/>
    <w:uiPriority w:val="0"/>
    <w:rPr>
      <w:rFonts w:ascii="Tahoma" w:hAnsi="Tahoma" w:eastAsia="宋体" w:cs="Times New Roman"/>
      <w:b/>
      <w:bCs/>
      <w:kern w:val="2"/>
      <w:sz w:val="28"/>
      <w:szCs w:val="24"/>
      <w:lang w:val="en-US" w:eastAsia="zh-CN" w:bidi="ar-SA"/>
    </w:rPr>
  </w:style>
  <w:style w:type="character" w:customStyle="1" w:styleId="166">
    <w:name w:val="UserStyle_98"/>
    <w:link w:val="38"/>
    <w:qFormat/>
    <w:uiPriority w:val="0"/>
    <w:rPr>
      <w:rFonts w:ascii="Arial" w:hAnsi="Arial" w:eastAsia="宋体"/>
      <w:b/>
      <w:kern w:val="44"/>
      <w:sz w:val="28"/>
      <w:szCs w:val="28"/>
    </w:rPr>
  </w:style>
  <w:style w:type="character" w:customStyle="1" w:styleId="167">
    <w:name w:val="UserStyle_99"/>
    <w:semiHidden/>
    <w:qFormat/>
    <w:uiPriority w:val="0"/>
    <w:rPr>
      <w:rFonts w:ascii="Calibri" w:hAnsi="Calibri" w:eastAsia="宋体"/>
    </w:rPr>
  </w:style>
  <w:style w:type="character" w:customStyle="1" w:styleId="168">
    <w:name w:val="UserStyle_100"/>
    <w:qFormat/>
    <w:uiPriority w:val="0"/>
    <w:rPr>
      <w:rFonts w:ascii="楷体_GB2312" w:eastAsia="楷体_GB2312"/>
      <w:kern w:val="2"/>
      <w:sz w:val="21"/>
    </w:rPr>
  </w:style>
  <w:style w:type="character" w:customStyle="1" w:styleId="169">
    <w:name w:val="UserStyle_101"/>
    <w:link w:val="170"/>
    <w:qFormat/>
    <w:uiPriority w:val="0"/>
    <w:rPr>
      <w:rFonts w:ascii="宋体" w:hAnsi="宋体" w:eastAsia="宋体"/>
      <w:sz w:val="18"/>
      <w:szCs w:val="18"/>
    </w:rPr>
  </w:style>
  <w:style w:type="paragraph" w:customStyle="1" w:styleId="170">
    <w:name w:val="FootnoteText"/>
    <w:basedOn w:val="1"/>
    <w:link w:val="169"/>
    <w:qFormat/>
    <w:uiPriority w:val="0"/>
    <w:pPr>
      <w:snapToGrid w:val="0"/>
      <w:spacing w:line="360" w:lineRule="auto"/>
      <w:ind w:firstLine="523" w:firstLineChars="218"/>
      <w:jc w:val="left"/>
    </w:pPr>
    <w:rPr>
      <w:rFonts w:ascii="宋体" w:hAnsi="宋体"/>
      <w:kern w:val="0"/>
      <w:sz w:val="18"/>
      <w:szCs w:val="18"/>
    </w:rPr>
  </w:style>
  <w:style w:type="character" w:customStyle="1" w:styleId="171">
    <w:name w:val="UserStyle_102"/>
    <w:link w:val="44"/>
    <w:qFormat/>
    <w:uiPriority w:val="0"/>
    <w:rPr>
      <w:rFonts w:ascii="Arial" w:hAnsi="Arial" w:eastAsia="宋体"/>
      <w:color w:val="000000"/>
      <w:szCs w:val="21"/>
    </w:rPr>
  </w:style>
  <w:style w:type="character" w:customStyle="1" w:styleId="172">
    <w:name w:val="UserStyle_103"/>
    <w:link w:val="173"/>
    <w:qFormat/>
    <w:locked/>
    <w:uiPriority w:val="0"/>
    <w:rPr>
      <w:rFonts w:ascii="宋体" w:hAnsi="宋体" w:eastAsia="宋体" w:cs="宋体"/>
      <w:b/>
      <w:bCs/>
      <w:sz w:val="32"/>
      <w:szCs w:val="32"/>
    </w:rPr>
  </w:style>
  <w:style w:type="paragraph" w:customStyle="1" w:styleId="173">
    <w:name w:val="UserStyle_104"/>
    <w:basedOn w:val="43"/>
    <w:link w:val="172"/>
    <w:qFormat/>
    <w:uiPriority w:val="0"/>
    <w:pPr>
      <w:keepNext/>
      <w:keepLines/>
      <w:spacing w:before="0" w:after="0" w:line="360" w:lineRule="auto"/>
      <w:jc w:val="both"/>
    </w:pPr>
    <w:rPr>
      <w:rFonts w:cs="宋体"/>
      <w:b/>
      <w:bCs/>
      <w:sz w:val="32"/>
      <w:szCs w:val="32"/>
    </w:rPr>
  </w:style>
  <w:style w:type="character" w:customStyle="1" w:styleId="174">
    <w:name w:val="UserStyle_105"/>
    <w:link w:val="40"/>
    <w:qFormat/>
    <w:uiPriority w:val="0"/>
    <w:rPr>
      <w:rFonts w:ascii="Times New Roman" w:hAnsi="Times New Roman" w:eastAsia="宋体"/>
      <w:szCs w:val="20"/>
    </w:rPr>
  </w:style>
  <w:style w:type="character" w:customStyle="1" w:styleId="175">
    <w:name w:val="UserStyle_106"/>
    <w:link w:val="103"/>
    <w:qFormat/>
    <w:uiPriority w:val="0"/>
    <w:rPr>
      <w:rFonts w:ascii="宋体" w:hAnsi="宋体" w:eastAsia="宋体"/>
      <w:sz w:val="24"/>
      <w:szCs w:val="24"/>
    </w:rPr>
  </w:style>
  <w:style w:type="character" w:customStyle="1" w:styleId="176">
    <w:name w:val="UserStyle_107"/>
    <w:semiHidden/>
    <w:qFormat/>
    <w:uiPriority w:val="0"/>
    <w:rPr>
      <w:rFonts w:ascii="Calibri" w:hAnsi="Calibri" w:eastAsia="宋体" w:cs="Times New Roman"/>
      <w:b/>
      <w:bCs/>
    </w:rPr>
  </w:style>
  <w:style w:type="character" w:customStyle="1" w:styleId="177">
    <w:name w:val="日期 Char"/>
    <w:link w:val="14"/>
    <w:qFormat/>
    <w:uiPriority w:val="0"/>
    <w:rPr>
      <w:rFonts w:ascii="Times New Roman" w:hAnsi="Times New Roman" w:eastAsia="宋体"/>
      <w:szCs w:val="20"/>
    </w:rPr>
  </w:style>
  <w:style w:type="character" w:customStyle="1" w:styleId="178">
    <w:name w:val="UserStyle_109"/>
    <w:link w:val="179"/>
    <w:qFormat/>
    <w:uiPriority w:val="0"/>
    <w:rPr>
      <w:rFonts w:ascii="Arial" w:hAnsi="Arial" w:eastAsia="宋体" w:cs="Times New Roman"/>
      <w:b/>
      <w:bCs/>
      <w:kern w:val="2"/>
      <w:sz w:val="32"/>
      <w:szCs w:val="30"/>
    </w:rPr>
  </w:style>
  <w:style w:type="paragraph" w:customStyle="1" w:styleId="179">
    <w:name w:val="UserStyle_110"/>
    <w:next w:val="1"/>
    <w:link w:val="178"/>
    <w:qFormat/>
    <w:uiPriority w:val="0"/>
    <w:pPr>
      <w:keepNext/>
      <w:spacing w:before="160" w:after="60"/>
      <w:textAlignment w:val="baseline"/>
    </w:pPr>
    <w:rPr>
      <w:rFonts w:ascii="Arial" w:hAnsi="Arial" w:eastAsia="宋体" w:cs="Times New Roman"/>
      <w:b/>
      <w:bCs/>
      <w:kern w:val="2"/>
      <w:sz w:val="32"/>
      <w:szCs w:val="30"/>
      <w:lang w:val="en-US" w:eastAsia="zh-CN" w:bidi="ar-SA"/>
    </w:rPr>
  </w:style>
  <w:style w:type="character" w:customStyle="1" w:styleId="180">
    <w:name w:val="UserStyle_111"/>
    <w:link w:val="39"/>
    <w:qFormat/>
    <w:uiPriority w:val="0"/>
  </w:style>
  <w:style w:type="character" w:customStyle="1" w:styleId="181">
    <w:name w:val="UserStyle_112"/>
    <w:semiHidden/>
    <w:qFormat/>
    <w:uiPriority w:val="0"/>
    <w:rPr>
      <w:rFonts w:ascii="等线 Light" w:hAnsi="等线 Light" w:eastAsia="等线 Light" w:cs="Times New Roman"/>
      <w:b/>
      <w:bCs/>
      <w:sz w:val="32"/>
      <w:szCs w:val="32"/>
    </w:rPr>
  </w:style>
  <w:style w:type="paragraph" w:customStyle="1" w:styleId="182">
    <w:name w:val="ListContinue2"/>
    <w:basedOn w:val="1"/>
    <w:qFormat/>
    <w:uiPriority w:val="0"/>
    <w:pPr>
      <w:spacing w:after="120"/>
      <w:ind w:left="840" w:leftChars="400"/>
      <w:contextualSpacing/>
    </w:pPr>
    <w:rPr>
      <w:szCs w:val="21"/>
    </w:rPr>
  </w:style>
  <w:style w:type="paragraph" w:customStyle="1" w:styleId="183">
    <w:name w:val="TOC7"/>
    <w:basedOn w:val="1"/>
    <w:next w:val="1"/>
    <w:qFormat/>
    <w:uiPriority w:val="0"/>
    <w:pPr>
      <w:ind w:left="2520" w:leftChars="1200"/>
    </w:pPr>
    <w:rPr>
      <w:szCs w:val="21"/>
    </w:rPr>
  </w:style>
  <w:style w:type="paragraph" w:customStyle="1" w:styleId="184">
    <w:name w:val="List3"/>
    <w:basedOn w:val="1"/>
    <w:qFormat/>
    <w:uiPriority w:val="0"/>
    <w:pPr>
      <w:ind w:left="100" w:leftChars="400" w:hanging="200" w:hangingChars="200"/>
    </w:pPr>
    <w:rPr>
      <w:szCs w:val="24"/>
    </w:rPr>
  </w:style>
  <w:style w:type="paragraph" w:customStyle="1" w:styleId="185">
    <w:name w:val="TOC1"/>
    <w:basedOn w:val="1"/>
    <w:next w:val="1"/>
    <w:qFormat/>
    <w:uiPriority w:val="0"/>
    <w:pPr>
      <w:tabs>
        <w:tab w:val="right" w:leader="dot" w:pos="9060"/>
      </w:tabs>
      <w:snapToGrid w:val="0"/>
      <w:spacing w:line="360" w:lineRule="auto"/>
      <w:jc w:val="left"/>
    </w:pPr>
    <w:rPr>
      <w:rFonts w:ascii="宋体" w:hAnsi="宋体"/>
      <w:caps/>
      <w:kern w:val="0"/>
      <w:sz w:val="24"/>
      <w:szCs w:val="32"/>
    </w:rPr>
  </w:style>
  <w:style w:type="paragraph" w:customStyle="1" w:styleId="186">
    <w:name w:val="HtmlNormal"/>
    <w:basedOn w:val="1"/>
    <w:qFormat/>
    <w:uiPriority w:val="0"/>
    <w:rPr>
      <w:sz w:val="24"/>
      <w:szCs w:val="24"/>
    </w:rPr>
  </w:style>
  <w:style w:type="paragraph" w:customStyle="1" w:styleId="187">
    <w:name w:val="TOC2"/>
    <w:basedOn w:val="1"/>
    <w:next w:val="1"/>
    <w:qFormat/>
    <w:uiPriority w:val="0"/>
    <w:pPr>
      <w:tabs>
        <w:tab w:val="right" w:leader="dot" w:pos="9060"/>
      </w:tabs>
      <w:snapToGrid w:val="0"/>
      <w:spacing w:line="360" w:lineRule="auto"/>
      <w:ind w:left="420" w:leftChars="200"/>
      <w:jc w:val="left"/>
    </w:pPr>
    <w:rPr>
      <w:sz w:val="24"/>
      <w:szCs w:val="24"/>
    </w:rPr>
  </w:style>
  <w:style w:type="paragraph" w:customStyle="1" w:styleId="188">
    <w:name w:val="TOC4"/>
    <w:basedOn w:val="1"/>
    <w:next w:val="1"/>
    <w:qFormat/>
    <w:uiPriority w:val="0"/>
    <w:pPr>
      <w:ind w:left="1260" w:leftChars="600"/>
    </w:pPr>
    <w:rPr>
      <w:szCs w:val="21"/>
    </w:rPr>
  </w:style>
  <w:style w:type="paragraph" w:customStyle="1" w:styleId="189">
    <w:name w:val="TOC8"/>
    <w:basedOn w:val="1"/>
    <w:next w:val="1"/>
    <w:qFormat/>
    <w:uiPriority w:val="0"/>
    <w:pPr>
      <w:ind w:left="2940" w:leftChars="1400"/>
    </w:pPr>
    <w:rPr>
      <w:szCs w:val="21"/>
    </w:rPr>
  </w:style>
  <w:style w:type="paragraph" w:customStyle="1" w:styleId="190">
    <w:name w:val="List2"/>
    <w:basedOn w:val="1"/>
    <w:qFormat/>
    <w:uiPriority w:val="0"/>
    <w:pPr>
      <w:ind w:left="100" w:leftChars="200" w:hanging="200" w:hangingChars="200"/>
      <w:contextualSpacing/>
    </w:pPr>
    <w:rPr>
      <w:szCs w:val="21"/>
    </w:rPr>
  </w:style>
  <w:style w:type="paragraph" w:customStyle="1" w:styleId="191">
    <w:name w:val="ListBullet3"/>
    <w:basedOn w:val="1"/>
    <w:qFormat/>
    <w:uiPriority w:val="0"/>
    <w:pPr>
      <w:tabs>
        <w:tab w:val="left" w:pos="425"/>
      </w:tabs>
      <w:ind w:left="425" w:hanging="425"/>
    </w:pPr>
    <w:rPr>
      <w:szCs w:val="24"/>
    </w:rPr>
  </w:style>
  <w:style w:type="paragraph" w:customStyle="1" w:styleId="192">
    <w:name w:val="TOC9"/>
    <w:basedOn w:val="1"/>
    <w:next w:val="1"/>
    <w:qFormat/>
    <w:uiPriority w:val="0"/>
    <w:pPr>
      <w:ind w:left="3360" w:leftChars="1600"/>
    </w:pPr>
    <w:rPr>
      <w:szCs w:val="21"/>
    </w:rPr>
  </w:style>
  <w:style w:type="paragraph" w:customStyle="1" w:styleId="193">
    <w:name w:val="BlockQuote"/>
    <w:basedOn w:val="1"/>
    <w:qFormat/>
    <w:uiPriority w:val="0"/>
    <w:pPr>
      <w:spacing w:line="360" w:lineRule="auto"/>
      <w:ind w:left="1560" w:right="1466" w:hanging="240"/>
    </w:pPr>
    <w:rPr>
      <w:color w:val="000000"/>
      <w:kern w:val="0"/>
      <w:sz w:val="24"/>
      <w:szCs w:val="20"/>
    </w:rPr>
  </w:style>
  <w:style w:type="paragraph" w:customStyle="1" w:styleId="194">
    <w:name w:val="Index1"/>
    <w:basedOn w:val="1"/>
    <w:next w:val="1"/>
    <w:qFormat/>
    <w:uiPriority w:val="0"/>
    <w:rPr>
      <w:rFonts w:eastAsia="仿宋_GB2312"/>
      <w:sz w:val="28"/>
      <w:szCs w:val="20"/>
    </w:rPr>
  </w:style>
  <w:style w:type="paragraph" w:customStyle="1" w:styleId="195">
    <w:name w:val="TOC5"/>
    <w:basedOn w:val="1"/>
    <w:next w:val="1"/>
    <w:qFormat/>
    <w:uiPriority w:val="0"/>
    <w:pPr>
      <w:ind w:left="1680" w:leftChars="800"/>
    </w:pPr>
    <w:rPr>
      <w:szCs w:val="21"/>
    </w:rPr>
  </w:style>
  <w:style w:type="paragraph" w:customStyle="1" w:styleId="196">
    <w:name w:val="TOC6"/>
    <w:basedOn w:val="1"/>
    <w:next w:val="1"/>
    <w:qFormat/>
    <w:uiPriority w:val="0"/>
    <w:pPr>
      <w:ind w:left="2100" w:leftChars="1000"/>
    </w:pPr>
    <w:rPr>
      <w:szCs w:val="21"/>
    </w:rPr>
  </w:style>
  <w:style w:type="paragraph" w:customStyle="1" w:styleId="197">
    <w:name w:val="TOC3"/>
    <w:basedOn w:val="1"/>
    <w:next w:val="1"/>
    <w:qFormat/>
    <w:uiPriority w:val="0"/>
    <w:pPr>
      <w:snapToGrid w:val="0"/>
      <w:spacing w:line="360" w:lineRule="auto"/>
      <w:ind w:left="400" w:leftChars="400"/>
      <w:jc w:val="left"/>
    </w:pPr>
    <w:rPr>
      <w:sz w:val="24"/>
      <w:szCs w:val="20"/>
    </w:rPr>
  </w:style>
  <w:style w:type="paragraph" w:customStyle="1" w:styleId="198">
    <w:name w:val="UserStyle_113"/>
    <w:qFormat/>
    <w:uiPriority w:val="0"/>
    <w:pPr>
      <w:tabs>
        <w:tab w:val="left" w:pos="630"/>
      </w:tabs>
      <w:spacing w:before="120" w:after="120" w:line="480" w:lineRule="exact"/>
      <w:textAlignment w:val="baseline"/>
    </w:pPr>
    <w:rPr>
      <w:rFonts w:ascii="宋体" w:hAnsi="Times New Roman" w:eastAsia="宋体" w:cstheme="minorBidi"/>
      <w:b/>
      <w:spacing w:val="10"/>
      <w:w w:val="95"/>
      <w:sz w:val="24"/>
      <w:lang w:val="en-US" w:eastAsia="zh-CN" w:bidi="ar-SA"/>
    </w:rPr>
  </w:style>
  <w:style w:type="paragraph" w:customStyle="1" w:styleId="199">
    <w:name w:val="UserStyle_114"/>
    <w:next w:val="95"/>
    <w:qFormat/>
    <w:uiPriority w:val="0"/>
    <w:pPr>
      <w:keepNext/>
      <w:spacing w:before="160" w:after="60"/>
      <w:textAlignment w:val="baseline"/>
    </w:pPr>
    <w:rPr>
      <w:rFonts w:ascii="Arial Black" w:hAnsi="Arial Black" w:eastAsia="黑体" w:cstheme="minorBidi"/>
      <w:kern w:val="2"/>
      <w:sz w:val="32"/>
      <w:szCs w:val="24"/>
      <w:lang w:val="en-US" w:eastAsia="zh-CN" w:bidi="ar-SA"/>
    </w:rPr>
  </w:style>
  <w:style w:type="paragraph" w:customStyle="1" w:styleId="200">
    <w:name w:val="UserStyle_115"/>
    <w:basedOn w:val="145"/>
    <w:next w:val="145"/>
    <w:qFormat/>
    <w:uiPriority w:val="0"/>
    <w:rPr>
      <w:rFonts w:ascii="Calibri" w:hAnsi="Calibri"/>
      <w:sz w:val="30"/>
      <w:szCs w:val="30"/>
    </w:rPr>
  </w:style>
  <w:style w:type="paragraph" w:customStyle="1" w:styleId="201">
    <w:name w:val="UserStyle_116"/>
    <w:basedOn w:val="1"/>
    <w:qFormat/>
    <w:uiPriority w:val="0"/>
    <w:pPr>
      <w:spacing w:before="100" w:beforeAutospacing="1" w:after="100" w:afterAutospacing="1"/>
    </w:pPr>
    <w:rPr>
      <w:rFonts w:ascii="黑体" w:hAnsi="Arial Unicode MS" w:eastAsia="黑体"/>
      <w:kern w:val="0"/>
      <w:szCs w:val="21"/>
    </w:rPr>
  </w:style>
  <w:style w:type="paragraph" w:customStyle="1" w:styleId="202">
    <w:name w:val="UserStyle_117"/>
    <w:basedOn w:val="40"/>
    <w:qFormat/>
    <w:uiPriority w:val="0"/>
    <w:pPr>
      <w:numPr>
        <w:ilvl w:val="1"/>
        <w:numId w:val="3"/>
      </w:numPr>
      <w:tabs>
        <w:tab w:val="left" w:pos="840"/>
      </w:tabs>
      <w:spacing w:line="300" w:lineRule="auto"/>
      <w:ind w:left="840"/>
    </w:pPr>
    <w:rPr>
      <w:rFonts w:ascii="宋体" w:hAnsi="宋体"/>
      <w:b/>
      <w:spacing w:val="2"/>
      <w:kern w:val="2"/>
      <w:sz w:val="28"/>
      <w:szCs w:val="28"/>
    </w:rPr>
  </w:style>
  <w:style w:type="paragraph" w:customStyle="1" w:styleId="203">
    <w:name w:val="UserStyle_118"/>
    <w:basedOn w:val="1"/>
    <w:qFormat/>
    <w:uiPriority w:val="0"/>
    <w:pPr>
      <w:spacing w:before="120" w:after="120" w:line="480" w:lineRule="exact"/>
      <w:jc w:val="left"/>
    </w:pPr>
    <w:rPr>
      <w:rFonts w:ascii="宋体"/>
      <w:b/>
      <w:spacing w:val="10"/>
      <w:w w:val="95"/>
      <w:szCs w:val="24"/>
    </w:rPr>
  </w:style>
  <w:style w:type="paragraph" w:customStyle="1" w:styleId="204">
    <w:name w:val="UserStyle_119"/>
    <w:basedOn w:val="1"/>
    <w:qFormat/>
    <w:uiPriority w:val="0"/>
    <w:pPr>
      <w:pBdr>
        <w:top w:val="single" w:color="000000" w:sz="4" w:space="0"/>
        <w:left w:val="single" w:color="000000" w:sz="4" w:space="0"/>
        <w:bottom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05">
    <w:name w:val="UserStyle_120"/>
    <w:basedOn w:val="131"/>
    <w:qFormat/>
    <w:uiPriority w:val="0"/>
    <w:pPr>
      <w:spacing w:line="480" w:lineRule="atLeast"/>
      <w:ind w:firstLine="480" w:firstLineChars="200"/>
    </w:pPr>
    <w:rPr>
      <w:rFonts w:hAnsi="宋体"/>
      <w:kern w:val="2"/>
      <w:sz w:val="24"/>
      <w:szCs w:val="24"/>
    </w:rPr>
  </w:style>
  <w:style w:type="paragraph" w:customStyle="1" w:styleId="206">
    <w:name w:val="UserStyle_121"/>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18"/>
      <w:szCs w:val="18"/>
    </w:rPr>
  </w:style>
  <w:style w:type="paragraph" w:customStyle="1" w:styleId="207">
    <w:name w:val="UserStyle_122"/>
    <w:qFormat/>
    <w:uiPriority w:val="0"/>
    <w:pPr>
      <w:spacing w:line="360" w:lineRule="atLeast"/>
      <w:textAlignment w:val="baseline"/>
    </w:pPr>
    <w:rPr>
      <w:rFonts w:ascii="Arial" w:hAnsi="Times New Roman" w:eastAsia="宋体" w:cstheme="minorBidi"/>
      <w:sz w:val="34"/>
      <w:lang w:val="en-US" w:eastAsia="zh-CN" w:bidi="ar-SA"/>
    </w:rPr>
  </w:style>
  <w:style w:type="paragraph" w:customStyle="1" w:styleId="208">
    <w:name w:val="UserStyle_123"/>
    <w:basedOn w:val="95"/>
    <w:qFormat/>
    <w:uiPriority w:val="0"/>
    <w:pPr>
      <w:numPr>
        <w:ilvl w:val="0"/>
        <w:numId w:val="4"/>
      </w:numPr>
      <w:tabs>
        <w:tab w:val="left" w:pos="360"/>
        <w:tab w:val="left" w:pos="425"/>
        <w:tab w:val="left" w:pos="900"/>
        <w:tab w:val="left" w:pos="1060"/>
      </w:tabs>
      <w:ind w:left="900" w:hanging="420"/>
    </w:pPr>
  </w:style>
  <w:style w:type="paragraph" w:customStyle="1" w:styleId="209">
    <w:name w:val="UserStyle_124"/>
    <w:basedOn w:val="1"/>
    <w:qFormat/>
    <w:uiPriority w:val="0"/>
    <w:pPr>
      <w:tabs>
        <w:tab w:val="left" w:pos="240"/>
        <w:tab w:val="left" w:pos="1080"/>
        <w:tab w:val="left" w:pos="1140"/>
      </w:tabs>
    </w:pPr>
    <w:rPr>
      <w:rFonts w:eastAsia="PMingLiU"/>
      <w:kern w:val="0"/>
      <w:sz w:val="24"/>
      <w:szCs w:val="24"/>
      <w:lang w:eastAsia="zh-TW"/>
    </w:rPr>
  </w:style>
  <w:style w:type="paragraph" w:customStyle="1" w:styleId="210">
    <w:name w:val="UserStyle_125"/>
    <w:basedOn w:val="1"/>
    <w:qFormat/>
    <w:uiPriority w:val="0"/>
    <w:pPr>
      <w:pBdr>
        <w:bottom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11">
    <w:name w:val="UserStyle_126"/>
    <w:basedOn w:val="1"/>
    <w:qFormat/>
    <w:uiPriority w:val="0"/>
    <w:pPr>
      <w:pBdr>
        <w:top w:val="single" w:color="000000" w:sz="4" w:space="0"/>
        <w:left w:val="single" w:color="000000" w:sz="4" w:space="0"/>
        <w:bottom w:val="single" w:color="000000" w:sz="4" w:space="0"/>
        <w:right w:val="single" w:color="000000" w:sz="4" w:space="0"/>
      </w:pBdr>
      <w:shd w:val="clear" w:color="auto" w:fill="A6A6A6"/>
      <w:spacing w:before="100" w:beforeAutospacing="1" w:after="100" w:afterAutospacing="1"/>
      <w:jc w:val="left"/>
      <w:textAlignment w:val="center"/>
    </w:pPr>
    <w:rPr>
      <w:rFonts w:ascii="宋体" w:hAnsi="宋体" w:cs="宋体"/>
      <w:b/>
      <w:bCs/>
      <w:kern w:val="0"/>
      <w:sz w:val="24"/>
      <w:szCs w:val="24"/>
    </w:rPr>
  </w:style>
  <w:style w:type="paragraph" w:customStyle="1" w:styleId="212">
    <w:name w:val="UserStyle_127"/>
    <w:basedOn w:val="145"/>
    <w:next w:val="145"/>
    <w:qFormat/>
    <w:uiPriority w:val="0"/>
    <w:pPr>
      <w:spacing w:line="240" w:lineRule="auto"/>
      <w:ind w:firstLine="0" w:firstLineChars="0"/>
    </w:pPr>
    <w:rPr>
      <w:rFonts w:ascii="黑体" w:hAnsi="宋体" w:eastAsia="黑体"/>
      <w:b/>
    </w:rPr>
  </w:style>
  <w:style w:type="paragraph" w:customStyle="1" w:styleId="213">
    <w:name w:val="UserStyle_128"/>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214">
    <w:name w:val="UserStyle_129"/>
    <w:basedOn w:val="1"/>
    <w:qFormat/>
    <w:uiPriority w:val="0"/>
    <w:pP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15">
    <w:name w:val="UserStyle_130"/>
    <w:basedOn w:val="145"/>
    <w:next w:val="145"/>
    <w:qFormat/>
    <w:uiPriority w:val="0"/>
    <w:pPr>
      <w:ind w:firstLine="0" w:firstLineChars="0"/>
      <w:jc w:val="center"/>
    </w:pPr>
    <w:rPr>
      <w:rFonts w:ascii="Calibri" w:hAnsi="Calibri" w:eastAsia="黑体"/>
      <w:b/>
      <w:sz w:val="36"/>
      <w:szCs w:val="36"/>
    </w:rPr>
  </w:style>
  <w:style w:type="paragraph" w:customStyle="1" w:styleId="216">
    <w:name w:val="UserStyle_131"/>
    <w:basedOn w:val="1"/>
    <w:qFormat/>
    <w:uiPriority w:val="0"/>
    <w:pPr>
      <w:tabs>
        <w:tab w:val="left" w:pos="360"/>
        <w:tab w:val="left" w:pos="420"/>
      </w:tabs>
      <w:snapToGrid w:val="0"/>
      <w:spacing w:line="360" w:lineRule="auto"/>
      <w:ind w:left="360" w:hanging="360"/>
      <w:jc w:val="left"/>
    </w:pPr>
    <w:rPr>
      <w:rFonts w:ascii="宋体" w:hAnsi="宋体"/>
      <w:sz w:val="24"/>
      <w:szCs w:val="20"/>
    </w:rPr>
  </w:style>
  <w:style w:type="paragraph" w:customStyle="1" w:styleId="217">
    <w:name w:val="UserStyle_132"/>
    <w:basedOn w:val="218"/>
    <w:qFormat/>
    <w:uiPriority w:val="0"/>
    <w:pPr>
      <w:ind w:left="4094" w:right="607" w:firstLine="0"/>
      <w:jc w:val="center"/>
    </w:pPr>
  </w:style>
  <w:style w:type="paragraph" w:customStyle="1" w:styleId="218">
    <w:name w:val="UserStyle_133"/>
    <w:qFormat/>
    <w:uiPriority w:val="0"/>
    <w:pPr>
      <w:spacing w:line="360" w:lineRule="auto"/>
      <w:ind w:firstLine="629"/>
      <w:jc w:val="both"/>
      <w:textAlignment w:val="baseline"/>
    </w:pPr>
    <w:rPr>
      <w:rFonts w:ascii="仿宋_GB2312" w:hAnsi="Calisto MT" w:eastAsia="仿宋_GB2312" w:cstheme="minorBidi"/>
      <w:color w:val="000000"/>
      <w:sz w:val="32"/>
      <w:lang w:val="en-US" w:eastAsia="zh-CN" w:bidi="ar-SA"/>
    </w:rPr>
  </w:style>
  <w:style w:type="paragraph" w:customStyle="1" w:styleId="219">
    <w:name w:val="UserStyle_134"/>
    <w:basedOn w:val="216"/>
    <w:qFormat/>
    <w:uiPriority w:val="0"/>
    <w:pPr>
      <w:tabs>
        <w:tab w:val="left" w:pos="425"/>
        <w:tab w:val="clear" w:pos="420"/>
      </w:tabs>
      <w:spacing w:after="156"/>
      <w:ind w:left="425" w:hanging="425"/>
    </w:pPr>
  </w:style>
  <w:style w:type="paragraph" w:customStyle="1" w:styleId="220">
    <w:name w:val="UserStyle_135"/>
    <w:basedOn w:val="95"/>
    <w:qFormat/>
    <w:uiPriority w:val="0"/>
    <w:pPr>
      <w:spacing w:line="240" w:lineRule="auto"/>
      <w:ind w:firstLine="0"/>
      <w:jc w:val="center"/>
    </w:pPr>
    <w:rPr>
      <w:b/>
      <w:sz w:val="21"/>
    </w:rPr>
  </w:style>
  <w:style w:type="paragraph" w:customStyle="1" w:styleId="221">
    <w:name w:val="UserStyle_13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b/>
      <w:bCs/>
      <w:kern w:val="0"/>
      <w:sz w:val="24"/>
      <w:szCs w:val="24"/>
    </w:rPr>
  </w:style>
  <w:style w:type="paragraph" w:customStyle="1" w:styleId="222">
    <w:name w:val="UserStyle_137"/>
    <w:basedOn w:val="1"/>
    <w:next w:val="1"/>
    <w:qFormat/>
    <w:uiPriority w:val="0"/>
    <w:pPr>
      <w:keepNext/>
      <w:numPr>
        <w:ilvl w:val="0"/>
        <w:numId w:val="1"/>
      </w:numPr>
      <w:tabs>
        <w:tab w:val="left" w:pos="567"/>
        <w:tab w:val="left" w:pos="851"/>
      </w:tabs>
      <w:jc w:val="left"/>
    </w:pPr>
    <w:rPr>
      <w:b/>
      <w:caps/>
      <w:kern w:val="0"/>
      <w:sz w:val="24"/>
      <w:szCs w:val="20"/>
      <w:lang w:val="en-GB" w:eastAsia="en-US"/>
    </w:rPr>
  </w:style>
  <w:style w:type="paragraph" w:customStyle="1" w:styleId="223">
    <w:name w:val="UserStyle_138"/>
    <w:basedOn w:val="1"/>
    <w:qFormat/>
    <w:uiPriority w:val="0"/>
    <w:pPr>
      <w:shd w:val="clear" w:color="auto" w:fill="FFFFFF"/>
      <w:spacing w:before="100" w:beforeAutospacing="1" w:after="100" w:afterAutospacing="1"/>
      <w:jc w:val="center"/>
    </w:pPr>
    <w:rPr>
      <w:rFonts w:ascii="宋体" w:hAnsi="宋体"/>
      <w:kern w:val="0"/>
      <w:sz w:val="24"/>
      <w:szCs w:val="24"/>
    </w:rPr>
  </w:style>
  <w:style w:type="paragraph" w:customStyle="1" w:styleId="224">
    <w:name w:val="UserStyle_139"/>
    <w:basedOn w:val="1"/>
    <w:qFormat/>
    <w:uiPriority w:val="0"/>
    <w:pPr>
      <w:pBdr>
        <w:top w:val="single" w:color="000000" w:sz="4" w:space="0"/>
        <w:left w:val="single" w:color="000000" w:sz="4" w:space="0"/>
        <w:bottom w:val="single" w:color="000000" w:sz="4" w:space="0"/>
        <w:right w:val="single" w:color="000000" w:sz="4" w:space="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225">
    <w:name w:val="Null"/>
    <w:qFormat/>
    <w:uiPriority w:val="0"/>
    <w:pPr>
      <w:jc w:val="both"/>
      <w:textAlignment w:val="baseline"/>
    </w:pPr>
    <w:rPr>
      <w:rFonts w:ascii="Times New Roman" w:hAnsi="Times New Roman" w:eastAsia="宋体" w:cstheme="minorBidi"/>
      <w:kern w:val="2"/>
      <w:sz w:val="21"/>
      <w:szCs w:val="21"/>
      <w:lang w:val="en-US" w:eastAsia="zh-CN" w:bidi="ar-SA"/>
    </w:rPr>
  </w:style>
  <w:style w:type="paragraph" w:customStyle="1" w:styleId="226">
    <w:name w:val="UserStyle_141"/>
    <w:basedOn w:val="1"/>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27">
    <w:name w:val="UserStyle_142"/>
    <w:basedOn w:val="1"/>
    <w:qFormat/>
    <w:uiPriority w:val="0"/>
    <w:pPr>
      <w:ind w:firstLine="420" w:firstLineChars="200"/>
    </w:pPr>
    <w:rPr>
      <w:szCs w:val="24"/>
    </w:rPr>
  </w:style>
  <w:style w:type="paragraph" w:customStyle="1" w:styleId="228">
    <w:name w:val="UserStyle_143"/>
    <w:basedOn w:val="145"/>
    <w:qFormat/>
    <w:uiPriority w:val="0"/>
    <w:pPr>
      <w:spacing w:after="0"/>
      <w:ind w:firstLine="0" w:firstLineChars="0"/>
      <w:jc w:val="both"/>
    </w:pPr>
    <w:rPr>
      <w:rFonts w:eastAsia="黑体"/>
      <w:b/>
    </w:rPr>
  </w:style>
  <w:style w:type="paragraph" w:customStyle="1" w:styleId="229">
    <w:name w:val="UserStyle_144"/>
    <w:basedOn w:val="1"/>
    <w:qFormat/>
    <w:uiPriority w:val="0"/>
    <w:pPr>
      <w:shd w:val="clear" w:color="auto" w:fill="FFFFFF"/>
      <w:spacing w:line="312" w:lineRule="exact"/>
      <w:ind w:hanging="1520"/>
      <w:jc w:val="left"/>
    </w:pPr>
    <w:rPr>
      <w:rFonts w:ascii="MingLiU" w:hAnsi="MingLiU" w:eastAsia="MingLiU"/>
      <w:color w:val="000000"/>
      <w:spacing w:val="10"/>
      <w:kern w:val="0"/>
      <w:szCs w:val="21"/>
      <w:lang w:val="zh-TW"/>
    </w:rPr>
  </w:style>
  <w:style w:type="paragraph" w:customStyle="1" w:styleId="230">
    <w:name w:val="UserStyle_14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kern w:val="0"/>
      <w:sz w:val="24"/>
      <w:szCs w:val="24"/>
    </w:rPr>
  </w:style>
  <w:style w:type="paragraph" w:customStyle="1" w:styleId="231">
    <w:name w:val="UserStyle_146"/>
    <w:basedOn w:val="1"/>
    <w:qFormat/>
    <w:uiPriority w:val="0"/>
    <w:pPr>
      <w:pBdr>
        <w:top w:val="single" w:color="000000" w:sz="4" w:space="0"/>
        <w:lef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32">
    <w:name w:val="UserStyle_147"/>
    <w:qFormat/>
    <w:uiPriority w:val="0"/>
    <w:pPr>
      <w:keepNext/>
      <w:snapToGrid w:val="0"/>
      <w:jc w:val="distribute"/>
      <w:textAlignment w:val="baseline"/>
    </w:pPr>
    <w:rPr>
      <w:rFonts w:ascii="Times New Roman" w:hAnsi="Times New Roman" w:eastAsia="宋体" w:cstheme="minorBidi"/>
      <w:sz w:val="36"/>
      <w:lang w:val="en-US" w:eastAsia="zh-CN" w:bidi="ar-SA"/>
    </w:rPr>
  </w:style>
  <w:style w:type="paragraph" w:customStyle="1" w:styleId="233">
    <w:name w:val="UserStyle_148"/>
    <w:basedOn w:val="1"/>
    <w:qFormat/>
    <w:uiPriority w:val="0"/>
    <w:pPr>
      <w:spacing w:before="100" w:beforeAutospacing="1" w:after="100" w:afterAutospacing="1"/>
      <w:jc w:val="left"/>
      <w:textAlignment w:val="center"/>
    </w:pPr>
    <w:rPr>
      <w:rFonts w:ascii="宋体" w:hAnsi="宋体"/>
      <w:kern w:val="0"/>
      <w:sz w:val="24"/>
      <w:szCs w:val="24"/>
    </w:rPr>
  </w:style>
  <w:style w:type="paragraph" w:customStyle="1" w:styleId="234">
    <w:name w:val="UserStyle_149"/>
    <w:basedOn w:val="222"/>
    <w:next w:val="1"/>
    <w:qFormat/>
    <w:uiPriority w:val="0"/>
    <w:pPr>
      <w:numPr>
        <w:ilvl w:val="2"/>
      </w:numPr>
      <w:jc w:val="both"/>
    </w:pPr>
    <w:rPr>
      <w:b w:val="0"/>
      <w:caps w:val="0"/>
      <w:lang w:eastAsia="zh-CN"/>
    </w:rPr>
  </w:style>
  <w:style w:type="paragraph" w:customStyle="1" w:styleId="235">
    <w:name w:val="UserStyle_150"/>
    <w:basedOn w:val="236"/>
    <w:next w:val="40"/>
    <w:qFormat/>
    <w:uiPriority w:val="0"/>
    <w:pPr>
      <w:numPr>
        <w:ilvl w:val="0"/>
        <w:numId w:val="0"/>
      </w:numPr>
      <w:tabs>
        <w:tab w:val="left" w:pos="709"/>
        <w:tab w:val="left" w:pos="720"/>
      </w:tabs>
      <w:ind w:left="709" w:hanging="709"/>
    </w:pPr>
    <w:rPr>
      <w:rFonts w:cs="宋体"/>
      <w:b/>
      <w:bCs/>
    </w:rPr>
  </w:style>
  <w:style w:type="paragraph" w:customStyle="1" w:styleId="236">
    <w:name w:val="UserStyle_151"/>
    <w:basedOn w:val="1"/>
    <w:qFormat/>
    <w:uiPriority w:val="0"/>
    <w:pPr>
      <w:numPr>
        <w:ilvl w:val="2"/>
        <w:numId w:val="3"/>
      </w:numPr>
      <w:tabs>
        <w:tab w:val="left" w:pos="720"/>
      </w:tabs>
      <w:spacing w:before="156" w:after="156" w:line="300" w:lineRule="auto"/>
    </w:pPr>
    <w:rPr>
      <w:spacing w:val="2"/>
      <w:sz w:val="24"/>
      <w:szCs w:val="20"/>
    </w:rPr>
  </w:style>
  <w:style w:type="paragraph" w:customStyle="1" w:styleId="237">
    <w:name w:val="UserStyle_152"/>
    <w:basedOn w:val="1"/>
    <w:qFormat/>
    <w:uiPriority w:val="0"/>
    <w:pPr>
      <w:pBdr>
        <w:lef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38">
    <w:name w:val="UserStyle_153"/>
    <w:basedOn w:val="1"/>
    <w:qFormat/>
    <w:uiPriority w:val="0"/>
    <w:rPr>
      <w:sz w:val="30"/>
      <w:szCs w:val="24"/>
    </w:rPr>
  </w:style>
  <w:style w:type="paragraph" w:customStyle="1" w:styleId="239">
    <w:name w:val="UserStyle_154"/>
    <w:basedOn w:val="1"/>
    <w:qFormat/>
    <w:uiPriority w:val="0"/>
    <w:pPr>
      <w:pBdr>
        <w:lef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40">
    <w:name w:val="UserStyle_15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cs="宋体"/>
      <w:b/>
      <w:bCs/>
      <w:kern w:val="0"/>
      <w:sz w:val="24"/>
      <w:szCs w:val="24"/>
    </w:rPr>
  </w:style>
  <w:style w:type="paragraph" w:customStyle="1" w:styleId="241">
    <w:name w:val="UserStyle_15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u w:val="single"/>
    </w:rPr>
  </w:style>
  <w:style w:type="paragraph" w:customStyle="1" w:styleId="242">
    <w:name w:val="UserStyle_157"/>
    <w:basedOn w:val="1"/>
    <w:qFormat/>
    <w:uiPriority w:val="0"/>
    <w:pPr>
      <w:spacing w:line="410" w:lineRule="atLeast"/>
      <w:jc w:val="left"/>
    </w:pPr>
    <w:rPr>
      <w:rFonts w:ascii="宋体"/>
      <w:kern w:val="0"/>
      <w:sz w:val="24"/>
      <w:szCs w:val="20"/>
    </w:rPr>
  </w:style>
  <w:style w:type="paragraph" w:customStyle="1" w:styleId="243">
    <w:name w:val="UserStyle_158"/>
    <w:basedOn w:val="40"/>
    <w:qFormat/>
    <w:uiPriority w:val="0"/>
    <w:pPr>
      <w:numPr>
        <w:ilvl w:val="0"/>
        <w:numId w:val="5"/>
      </w:numPr>
      <w:tabs>
        <w:tab w:val="left" w:pos="360"/>
        <w:tab w:val="left" w:pos="851"/>
      </w:tabs>
      <w:spacing w:line="300" w:lineRule="auto"/>
      <w:ind w:left="360" w:hanging="360"/>
    </w:pPr>
    <w:rPr>
      <w:rFonts w:ascii="Calibri" w:hAnsi="Calibri"/>
      <w:spacing w:val="2"/>
      <w:kern w:val="2"/>
      <w:sz w:val="24"/>
      <w:szCs w:val="24"/>
    </w:rPr>
  </w:style>
  <w:style w:type="paragraph" w:customStyle="1" w:styleId="244">
    <w:name w:val="UserStyle_159"/>
    <w:basedOn w:val="1"/>
    <w:qFormat/>
    <w:uiPriority w:val="0"/>
    <w:pPr>
      <w:pBdr>
        <w:top w:val="single" w:color="000000" w:sz="4" w:space="0"/>
        <w:lef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45">
    <w:name w:val="UserStyle_160"/>
    <w:basedOn w:val="1"/>
    <w:next w:val="1"/>
    <w:qFormat/>
    <w:uiPriority w:val="0"/>
    <w:rPr>
      <w:szCs w:val="24"/>
    </w:rPr>
  </w:style>
  <w:style w:type="paragraph" w:customStyle="1" w:styleId="246">
    <w:name w:val="UserStyle_161"/>
    <w:basedOn w:val="1"/>
    <w:qFormat/>
    <w:uiPriority w:val="0"/>
    <w:pPr>
      <w:spacing w:after="160" w:line="240" w:lineRule="exact"/>
      <w:jc w:val="left"/>
    </w:pPr>
    <w:rPr>
      <w:rFonts w:ascii="Verdana" w:hAnsi="Verdana" w:eastAsia="仿宋_GB2312"/>
      <w:kern w:val="0"/>
      <w:sz w:val="30"/>
      <w:szCs w:val="30"/>
      <w:lang w:eastAsia="en-US"/>
    </w:rPr>
  </w:style>
  <w:style w:type="paragraph" w:customStyle="1" w:styleId="247">
    <w:name w:val="UserStyle_162"/>
    <w:qFormat/>
    <w:uiPriority w:val="0"/>
    <w:pPr>
      <w:textAlignment w:val="baseline"/>
    </w:pPr>
    <w:rPr>
      <w:rFonts w:ascii="黑体" w:hAnsi="Times New Roman" w:eastAsia="黑体" w:cstheme="minorBidi"/>
      <w:color w:val="000000"/>
      <w:sz w:val="24"/>
      <w:lang w:val="en-US" w:eastAsia="zh-CN" w:bidi="ar-SA"/>
    </w:rPr>
  </w:style>
  <w:style w:type="paragraph" w:customStyle="1" w:styleId="248">
    <w:name w:val="UserStyle_163"/>
    <w:basedOn w:val="74"/>
    <w:qFormat/>
    <w:uiPriority w:val="0"/>
    <w:pPr>
      <w:spacing w:line="436" w:lineRule="exact"/>
      <w:ind w:left="357"/>
      <w:jc w:val="left"/>
    </w:pPr>
    <w:rPr>
      <w:rFonts w:ascii="Tahoma" w:hAnsi="Tahoma"/>
      <w:b/>
      <w:sz w:val="24"/>
      <w:szCs w:val="24"/>
    </w:rPr>
  </w:style>
  <w:style w:type="paragraph" w:customStyle="1" w:styleId="249">
    <w:name w:val="UserStyle_164"/>
    <w:basedOn w:val="1"/>
    <w:qFormat/>
    <w:uiPriority w:val="0"/>
    <w:pPr>
      <w:pBdr>
        <w:top w:val="single" w:color="000000" w:sz="4" w:space="0"/>
        <w:left w:val="single" w:color="000000" w:sz="4" w:space="0"/>
        <w:bottom w:val="single" w:color="000000" w:sz="4" w:space="0"/>
        <w:right w:val="single" w:color="000000" w:sz="4" w:space="0"/>
      </w:pBdr>
      <w:shd w:val="clear" w:color="auto" w:fill="A6A6A6"/>
      <w:spacing w:before="100" w:beforeAutospacing="1" w:after="100" w:afterAutospacing="1"/>
      <w:jc w:val="left"/>
      <w:textAlignment w:val="center"/>
    </w:pPr>
    <w:rPr>
      <w:rFonts w:ascii="宋体" w:hAnsi="宋体"/>
      <w:kern w:val="0"/>
      <w:sz w:val="18"/>
      <w:szCs w:val="18"/>
    </w:rPr>
  </w:style>
  <w:style w:type="paragraph" w:customStyle="1" w:styleId="250">
    <w:name w:val="UserStyle_165"/>
    <w:qFormat/>
    <w:uiPriority w:val="0"/>
    <w:pPr>
      <w:spacing w:line="360" w:lineRule="auto"/>
      <w:ind w:firstLine="482"/>
      <w:textAlignment w:val="baseline"/>
    </w:pPr>
    <w:rPr>
      <w:rFonts w:ascii="Times New Roman" w:hAnsi="Times New Roman" w:eastAsia="宋体" w:cstheme="minorBidi"/>
      <w:kern w:val="2"/>
      <w:sz w:val="24"/>
      <w:szCs w:val="24"/>
      <w:lang w:val="en-US" w:eastAsia="zh-CN" w:bidi="ar-SA"/>
    </w:rPr>
  </w:style>
  <w:style w:type="paragraph" w:customStyle="1" w:styleId="251">
    <w:name w:val="UserStyle_166"/>
    <w:qFormat/>
    <w:uiPriority w:val="0"/>
    <w:pPr>
      <w:spacing w:line="288" w:lineRule="auto"/>
      <w:ind w:firstLine="600"/>
      <w:textAlignment w:val="baseline"/>
    </w:pPr>
    <w:rPr>
      <w:rFonts w:ascii="Arial Unicode MS" w:hAnsi="Arial Unicode MS" w:eastAsia="Palatino" w:cstheme="minorBidi"/>
      <w:color w:val="000000"/>
      <w:sz w:val="24"/>
      <w:szCs w:val="24"/>
      <w:lang w:val="zh-CN" w:eastAsia="zh-CN" w:bidi="ar-SA"/>
    </w:rPr>
  </w:style>
  <w:style w:type="paragraph" w:customStyle="1" w:styleId="252">
    <w:name w:val="UserStyle_167"/>
    <w:basedOn w:val="40"/>
    <w:qFormat/>
    <w:uiPriority w:val="0"/>
    <w:pPr>
      <w:numPr>
        <w:ilvl w:val="0"/>
        <w:numId w:val="3"/>
      </w:numPr>
      <w:tabs>
        <w:tab w:val="left" w:pos="360"/>
      </w:tabs>
      <w:spacing w:line="300" w:lineRule="auto"/>
      <w:ind w:left="360" w:hanging="360"/>
    </w:pPr>
    <w:rPr>
      <w:rFonts w:ascii="Calibri" w:hAnsi="Calibri" w:cs="Times New Roman"/>
      <w:b/>
      <w:bCs/>
      <w:spacing w:val="2"/>
      <w:kern w:val="2"/>
      <w:sz w:val="28"/>
      <w:szCs w:val="24"/>
    </w:rPr>
  </w:style>
  <w:style w:type="paragraph" w:customStyle="1" w:styleId="253">
    <w:name w:val="UserStyle_168"/>
    <w:basedOn w:val="1"/>
    <w:qFormat/>
    <w:uiPriority w:val="0"/>
    <w:pPr>
      <w:pBdr>
        <w:top w:val="single" w:color="000000" w:sz="4" w:space="0"/>
        <w:lef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54">
    <w:name w:val="UserStyle_169"/>
    <w:basedOn w:val="43"/>
    <w:qFormat/>
    <w:uiPriority w:val="0"/>
    <w:pPr>
      <w:keepNext/>
      <w:keepLines/>
      <w:spacing w:before="0" w:after="0"/>
      <w:ind w:left="1469" w:right="1542"/>
    </w:pPr>
    <w:rPr>
      <w:rFonts w:hAnsi="Times New Roman"/>
      <w:b/>
      <w:kern w:val="2"/>
      <w:sz w:val="44"/>
      <w:szCs w:val="21"/>
    </w:rPr>
  </w:style>
  <w:style w:type="paragraph" w:customStyle="1" w:styleId="255">
    <w:name w:val="UserStyle_170"/>
    <w:basedOn w:val="1"/>
    <w:qFormat/>
    <w:uiPriority w:val="0"/>
    <w:pPr>
      <w:pBdr>
        <w:top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56">
    <w:name w:val="UserStyle_171"/>
    <w:basedOn w:val="1"/>
    <w:qFormat/>
    <w:uiPriority w:val="0"/>
    <w:pPr>
      <w:pBdr>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57">
    <w:name w:val="UserStyle_172"/>
    <w:basedOn w:val="1"/>
    <w:qFormat/>
    <w:uiPriority w:val="0"/>
    <w:pPr>
      <w:pBdr>
        <w:left w:val="single" w:color="000000" w:sz="4" w:space="0"/>
        <w:bottom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58">
    <w:name w:val="UserStyle_173"/>
    <w:basedOn w:val="1"/>
    <w:qFormat/>
    <w:uiPriority w:val="0"/>
    <w:pPr>
      <w:keepNext/>
      <w:keepLines/>
      <w:tabs>
        <w:tab w:val="left" w:pos="840"/>
      </w:tabs>
      <w:spacing w:before="260" w:after="156" w:line="413" w:lineRule="auto"/>
      <w:ind w:left="840" w:hanging="420"/>
    </w:pPr>
    <w:rPr>
      <w:rFonts w:ascii="Arial" w:hAnsi="Arial" w:eastAsia="黑体"/>
      <w:szCs w:val="20"/>
    </w:rPr>
  </w:style>
  <w:style w:type="paragraph" w:customStyle="1" w:styleId="259">
    <w:name w:val="UserStyle_174"/>
    <w:qFormat/>
    <w:uiPriority w:val="0"/>
    <w:pPr>
      <w:jc w:val="both"/>
      <w:textAlignment w:val="baseline"/>
    </w:pPr>
    <w:rPr>
      <w:rFonts w:ascii="Times New Roman" w:hAnsi="Times New Roman" w:eastAsia="宋体" w:cstheme="minorBidi"/>
      <w:kern w:val="2"/>
      <w:sz w:val="21"/>
      <w:lang w:val="en-US" w:eastAsia="zh-CN" w:bidi="ar-SA"/>
    </w:rPr>
  </w:style>
  <w:style w:type="paragraph" w:customStyle="1" w:styleId="260">
    <w:name w:val="UserStyle_175"/>
    <w:basedOn w:val="1"/>
    <w:next w:val="1"/>
    <w:qFormat/>
    <w:uiPriority w:val="0"/>
    <w:pPr>
      <w:topLinePunct/>
      <w:snapToGrid w:val="0"/>
      <w:jc w:val="center"/>
    </w:pPr>
    <w:rPr>
      <w:rFonts w:eastAsia="黑体"/>
      <w:b/>
      <w:spacing w:val="4"/>
      <w:kern w:val="0"/>
      <w:sz w:val="30"/>
      <w:szCs w:val="30"/>
    </w:rPr>
  </w:style>
  <w:style w:type="paragraph" w:customStyle="1" w:styleId="261">
    <w:name w:val="UserStyle_176"/>
    <w:basedOn w:val="1"/>
    <w:qFormat/>
    <w:uiPriority w:val="0"/>
    <w:pPr>
      <w:ind w:firstLine="420" w:firstLineChars="200"/>
    </w:pPr>
    <w:rPr>
      <w:rFonts w:ascii="仿宋_GB2312" w:hAnsi="仿宋_GB2312"/>
      <w:sz w:val="24"/>
    </w:rPr>
  </w:style>
  <w:style w:type="paragraph" w:customStyle="1" w:styleId="262">
    <w:name w:val="UserStyle_177"/>
    <w:basedOn w:val="1"/>
    <w:qFormat/>
    <w:uiPriority w:val="0"/>
    <w:pPr>
      <w:snapToGrid w:val="0"/>
      <w:ind w:left="200" w:leftChars="200"/>
    </w:pPr>
    <w:rPr>
      <w:rFonts w:ascii="宋体"/>
      <w:sz w:val="24"/>
      <w:szCs w:val="20"/>
    </w:rPr>
  </w:style>
  <w:style w:type="paragraph" w:customStyle="1" w:styleId="263">
    <w:name w:val="UserStyle_178"/>
    <w:basedOn w:val="1"/>
    <w:qFormat/>
    <w:uiPriority w:val="0"/>
    <w:pPr>
      <w:spacing w:after="200" w:line="276" w:lineRule="auto"/>
      <w:jc w:val="left"/>
    </w:pPr>
    <w:rPr>
      <w:rFonts w:ascii="宋体" w:hAnsi="宋体"/>
      <w:kern w:val="0"/>
      <w:sz w:val="22"/>
      <w:szCs w:val="21"/>
      <w:lang w:eastAsia="en-US" w:bidi="en-US"/>
    </w:rPr>
  </w:style>
  <w:style w:type="paragraph" w:customStyle="1" w:styleId="264">
    <w:name w:val="UserStyle_179"/>
    <w:basedOn w:val="1"/>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65">
    <w:name w:val="UserStyle_180"/>
    <w:basedOn w:val="1"/>
    <w:qFormat/>
    <w:uiPriority w:val="0"/>
    <w:pPr>
      <w:snapToGrid w:val="0"/>
      <w:spacing w:line="300" w:lineRule="auto"/>
      <w:ind w:firstLine="480" w:firstLineChars="200"/>
    </w:pPr>
    <w:rPr>
      <w:szCs w:val="20"/>
    </w:rPr>
  </w:style>
  <w:style w:type="paragraph" w:customStyle="1" w:styleId="266">
    <w:name w:val="UserStyle_181"/>
    <w:basedOn w:val="41"/>
    <w:qFormat/>
    <w:uiPriority w:val="0"/>
    <w:pPr>
      <w:tabs>
        <w:tab w:val="left" w:pos="0"/>
        <w:tab w:val="left" w:pos="1320"/>
        <w:tab w:val="left" w:pos="1440"/>
        <w:tab w:val="left" w:pos="1620"/>
      </w:tabs>
      <w:spacing w:before="100" w:after="0" w:line="240" w:lineRule="auto"/>
      <w:ind w:left="1320" w:hanging="420"/>
      <w:jc w:val="left"/>
    </w:pPr>
    <w:rPr>
      <w:rFonts w:ascii="宋体" w:hAnsi="宋体" w:cs="宋体"/>
      <w:b w:val="0"/>
      <w:bCs/>
      <w:kern w:val="2"/>
      <w:sz w:val="28"/>
      <w:szCs w:val="20"/>
    </w:rPr>
  </w:style>
  <w:style w:type="paragraph" w:customStyle="1" w:styleId="267">
    <w:name w:val="UserStyle_182"/>
    <w:basedOn w:val="1"/>
    <w:qFormat/>
    <w:uiPriority w:val="0"/>
    <w:pPr>
      <w:numPr>
        <w:ilvl w:val="0"/>
        <w:numId w:val="6"/>
      </w:numPr>
      <w:tabs>
        <w:tab w:val="left" w:pos="720"/>
        <w:tab w:val="left" w:pos="840"/>
        <w:tab w:val="left" w:pos="1053"/>
      </w:tabs>
      <w:spacing w:line="336" w:lineRule="auto"/>
    </w:pPr>
    <w:rPr>
      <w:rFonts w:ascii="宋体"/>
      <w:sz w:val="24"/>
      <w:szCs w:val="24"/>
    </w:rPr>
  </w:style>
  <w:style w:type="paragraph" w:customStyle="1" w:styleId="268">
    <w:name w:val="178"/>
    <w:semiHidden/>
    <w:qFormat/>
    <w:uiPriority w:val="0"/>
    <w:pPr>
      <w:textAlignment w:val="baseline"/>
    </w:pPr>
    <w:rPr>
      <w:rFonts w:ascii="Times New Roman" w:hAnsi="Times New Roman" w:eastAsia="宋体" w:cstheme="minorBidi"/>
      <w:kern w:val="2"/>
      <w:sz w:val="21"/>
      <w:lang w:val="en-US" w:eastAsia="zh-CN" w:bidi="ar-SA"/>
    </w:rPr>
  </w:style>
  <w:style w:type="paragraph" w:customStyle="1" w:styleId="269">
    <w:name w:val="UserStyle_183"/>
    <w:basedOn w:val="1"/>
    <w:qFormat/>
    <w:uiPriority w:val="0"/>
    <w:pPr>
      <w:shd w:val="clear" w:color="auto" w:fill="FFFFFF"/>
      <w:spacing w:before="100" w:beforeAutospacing="1" w:after="100" w:afterAutospacing="1"/>
      <w:jc w:val="left"/>
    </w:pPr>
    <w:rPr>
      <w:rFonts w:ascii="宋体" w:hAnsi="宋体"/>
      <w:kern w:val="0"/>
      <w:sz w:val="24"/>
      <w:szCs w:val="24"/>
    </w:rPr>
  </w:style>
  <w:style w:type="paragraph" w:customStyle="1" w:styleId="270">
    <w:name w:val="UserStyle_184"/>
    <w:basedOn w:val="1"/>
    <w:qFormat/>
    <w:uiPriority w:val="0"/>
    <w:pPr>
      <w:keepNext/>
      <w:keepLines/>
      <w:tabs>
        <w:tab w:val="left" w:pos="576"/>
      </w:tabs>
      <w:spacing w:before="100" w:after="100"/>
      <w:ind w:left="576" w:hanging="576"/>
    </w:pPr>
    <w:rPr>
      <w:rFonts w:ascii="Arial" w:hAnsi="Arial"/>
      <w:b/>
      <w:sz w:val="28"/>
      <w:szCs w:val="20"/>
    </w:rPr>
  </w:style>
  <w:style w:type="paragraph" w:customStyle="1" w:styleId="271">
    <w:name w:val="UserStyle_185"/>
    <w:basedOn w:val="1"/>
    <w:qFormat/>
    <w:uiPriority w:val="0"/>
    <w:pPr>
      <w:pBdr>
        <w:top w:val="single" w:color="000000" w:sz="4" w:space="0"/>
        <w:left w:val="single" w:color="000000" w:sz="4" w:space="0"/>
        <w:bottom w:val="single" w:color="000000" w:sz="4" w:space="0"/>
        <w:right w:val="single" w:color="000000" w:sz="4" w:space="0"/>
      </w:pBdr>
      <w:shd w:val="clear" w:color="auto" w:fill="FFE699"/>
      <w:spacing w:before="100" w:beforeAutospacing="1" w:after="100" w:afterAutospacing="1"/>
      <w:jc w:val="center"/>
      <w:textAlignment w:val="center"/>
    </w:pPr>
    <w:rPr>
      <w:rFonts w:ascii="宋体" w:hAnsi="宋体"/>
      <w:kern w:val="0"/>
      <w:sz w:val="24"/>
      <w:szCs w:val="24"/>
    </w:rPr>
  </w:style>
  <w:style w:type="paragraph" w:customStyle="1" w:styleId="272">
    <w:name w:val="UserStyle_186"/>
    <w:basedOn w:val="95"/>
    <w:next w:val="95"/>
    <w:qFormat/>
    <w:uiPriority w:val="0"/>
    <w:pPr>
      <w:spacing w:before="120" w:after="120" w:line="240" w:lineRule="auto"/>
      <w:ind w:firstLine="0"/>
      <w:jc w:val="center"/>
    </w:pPr>
    <w:rPr>
      <w:sz w:val="21"/>
    </w:rPr>
  </w:style>
  <w:style w:type="paragraph" w:customStyle="1" w:styleId="273">
    <w:name w:val="UserStyle_187"/>
    <w:basedOn w:val="1"/>
    <w:qFormat/>
    <w:uiPriority w:val="0"/>
    <w:pPr>
      <w:pBdr>
        <w:top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74">
    <w:name w:val="UserStyle_18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kern w:val="0"/>
      <w:sz w:val="24"/>
      <w:szCs w:val="24"/>
    </w:rPr>
  </w:style>
  <w:style w:type="paragraph" w:customStyle="1" w:styleId="275">
    <w:name w:val="UserStyle_189"/>
    <w:basedOn w:val="1"/>
    <w:qFormat/>
    <w:uiPriority w:val="0"/>
    <w:pPr>
      <w:pBdr>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76">
    <w:name w:val="UserStyle_190"/>
    <w:basedOn w:val="1"/>
    <w:qFormat/>
    <w:uiPriority w:val="0"/>
    <w:pPr>
      <w:pBdr>
        <w:lef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77">
    <w:name w:val="UserStyle_191"/>
    <w:basedOn w:val="43"/>
    <w:qFormat/>
    <w:uiPriority w:val="0"/>
    <w:pPr>
      <w:keepNext/>
      <w:keepLines/>
      <w:tabs>
        <w:tab w:val="left" w:pos="1260"/>
      </w:tabs>
      <w:spacing w:before="120" w:after="156" w:line="413" w:lineRule="auto"/>
      <w:ind w:left="1260" w:hanging="420"/>
      <w:jc w:val="both"/>
    </w:pPr>
    <w:rPr>
      <w:rFonts w:ascii="黑体" w:hAnsi="Calibri" w:eastAsia="黑体"/>
      <w:sz w:val="21"/>
      <w:szCs w:val="20"/>
    </w:rPr>
  </w:style>
  <w:style w:type="paragraph" w:customStyle="1" w:styleId="278">
    <w:name w:val="UserStyle_192"/>
    <w:basedOn w:val="1"/>
    <w:qFormat/>
    <w:uiPriority w:val="0"/>
    <w:pPr>
      <w:keepNext/>
      <w:keepLines/>
      <w:tabs>
        <w:tab w:val="left" w:pos="945"/>
      </w:tabs>
      <w:spacing w:before="240" w:after="50"/>
      <w:ind w:left="945" w:hanging="420"/>
    </w:pPr>
    <w:rPr>
      <w:b/>
      <w:sz w:val="28"/>
      <w:szCs w:val="20"/>
    </w:rPr>
  </w:style>
  <w:style w:type="paragraph" w:customStyle="1" w:styleId="279">
    <w:name w:val="UserStyle_193"/>
    <w:basedOn w:val="1"/>
    <w:qFormat/>
    <w:uiPriority w:val="0"/>
    <w:pPr>
      <w:pBdr>
        <w:top w:val="single" w:color="000000" w:sz="4" w:space="0"/>
        <w:left w:val="single" w:color="000000" w:sz="4" w:space="0"/>
        <w:bottom w:val="single" w:color="000000" w:sz="4" w:space="0"/>
        <w:right w:val="single" w:color="000000" w:sz="4" w:space="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280">
    <w:name w:val="UserStyle_194"/>
    <w:basedOn w:val="74"/>
    <w:qFormat/>
    <w:uiPriority w:val="0"/>
    <w:pPr>
      <w:spacing w:line="436" w:lineRule="exact"/>
      <w:ind w:left="357"/>
      <w:jc w:val="left"/>
    </w:pPr>
    <w:rPr>
      <w:rFonts w:ascii="Tahoma" w:hAnsi="Tahoma"/>
      <w:b/>
      <w:sz w:val="24"/>
      <w:szCs w:val="24"/>
    </w:rPr>
  </w:style>
  <w:style w:type="paragraph" w:customStyle="1" w:styleId="281">
    <w:name w:val="UserStyle_195"/>
    <w:basedOn w:val="1"/>
    <w:qFormat/>
    <w:uiPriority w:val="0"/>
    <w:pPr>
      <w:spacing w:before="120" w:after="120"/>
      <w:ind w:firstLine="560" w:firstLineChars="200"/>
    </w:pPr>
    <w:rPr>
      <w:sz w:val="28"/>
      <w:szCs w:val="20"/>
    </w:rPr>
  </w:style>
  <w:style w:type="paragraph" w:customStyle="1" w:styleId="282">
    <w:name w:val="UserStyle_196"/>
    <w:basedOn w:val="43"/>
    <w:qFormat/>
    <w:uiPriority w:val="0"/>
    <w:pPr>
      <w:keepNext/>
      <w:keepLines/>
      <w:spacing w:before="260" w:after="260"/>
      <w:jc w:val="both"/>
    </w:pPr>
    <w:rPr>
      <w:rFonts w:ascii="Times New Roman" w:hAnsi="Times New Roman"/>
      <w:kern w:val="2"/>
      <w:sz w:val="21"/>
      <w:szCs w:val="20"/>
    </w:rPr>
  </w:style>
  <w:style w:type="paragraph" w:customStyle="1" w:styleId="283">
    <w:name w:val="UserStyle_197"/>
    <w:basedOn w:val="1"/>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284">
    <w:name w:val="UserStyle_198"/>
    <w:basedOn w:val="145"/>
    <w:next w:val="145"/>
    <w:qFormat/>
    <w:uiPriority w:val="0"/>
    <w:pPr>
      <w:ind w:firstLine="0" w:firstLineChars="0"/>
      <w:jc w:val="center"/>
    </w:pPr>
    <w:rPr>
      <w:rFonts w:eastAsia="黑体"/>
      <w:b/>
      <w:sz w:val="36"/>
      <w:szCs w:val="36"/>
    </w:rPr>
  </w:style>
  <w:style w:type="paragraph" w:customStyle="1" w:styleId="285">
    <w:name w:val="UserStyle_199"/>
    <w:qFormat/>
    <w:uiPriority w:val="0"/>
    <w:pPr>
      <w:spacing w:after="240" w:line="240" w:lineRule="atLeast"/>
      <w:ind w:left="2304"/>
      <w:jc w:val="both"/>
      <w:textAlignment w:val="baseline"/>
    </w:pPr>
    <w:rPr>
      <w:rFonts w:ascii="Times New Roman" w:hAnsi="Times New Roman" w:eastAsia="全真中明體" w:cstheme="minorBidi"/>
      <w:spacing w:val="30"/>
      <w:sz w:val="24"/>
      <w:lang w:val="en-GB" w:eastAsia="zh-TW" w:bidi="ar-SA"/>
    </w:rPr>
  </w:style>
  <w:style w:type="paragraph" w:customStyle="1" w:styleId="286">
    <w:name w:val="UserStyle_200"/>
    <w:basedOn w:val="41"/>
    <w:qFormat/>
    <w:uiPriority w:val="0"/>
    <w:pPr>
      <w:spacing w:before="0" w:after="0" w:line="360" w:lineRule="auto"/>
      <w:jc w:val="both"/>
    </w:pPr>
    <w:rPr>
      <w:rFonts w:cs="宋体"/>
      <w:bCs/>
      <w:kern w:val="2"/>
      <w:szCs w:val="20"/>
    </w:rPr>
  </w:style>
  <w:style w:type="paragraph" w:customStyle="1" w:styleId="287">
    <w:name w:val="UserStyle_201"/>
    <w:basedOn w:val="1"/>
    <w:qFormat/>
    <w:uiPriority w:val="0"/>
    <w:pPr>
      <w:tabs>
        <w:tab w:val="left" w:pos="360"/>
      </w:tabs>
      <w:spacing w:line="288" w:lineRule="auto"/>
      <w:ind w:left="360" w:hanging="360"/>
    </w:pPr>
    <w:rPr>
      <w:rFonts w:ascii="Arial" w:hAnsi="Arial" w:eastAsia="PMingLiU"/>
      <w:kern w:val="0"/>
      <w:sz w:val="22"/>
      <w:szCs w:val="20"/>
      <w:lang w:val="en-GB" w:eastAsia="en-US"/>
    </w:rPr>
  </w:style>
  <w:style w:type="paragraph" w:customStyle="1" w:styleId="288">
    <w:name w:val="UserStyle_202"/>
    <w:basedOn w:val="1"/>
    <w:qFormat/>
    <w:uiPriority w:val="0"/>
    <w:pPr>
      <w:ind w:left="720"/>
    </w:pPr>
    <w:rPr>
      <w:rFonts w:eastAsia="PMingLiU"/>
      <w:kern w:val="0"/>
      <w:sz w:val="22"/>
      <w:szCs w:val="20"/>
      <w:lang w:val="en-GB" w:eastAsia="en-US"/>
    </w:rPr>
  </w:style>
  <w:style w:type="paragraph" w:customStyle="1" w:styleId="289">
    <w:name w:val="UserStyle_203"/>
    <w:basedOn w:val="1"/>
    <w:qFormat/>
    <w:uiPriority w:val="0"/>
    <w:pPr>
      <w:tabs>
        <w:tab w:val="left" w:pos="1080"/>
      </w:tabs>
      <w:spacing w:before="60" w:after="60" w:line="360" w:lineRule="auto"/>
      <w:jc w:val="left"/>
    </w:pPr>
    <w:rPr>
      <w:kern w:val="0"/>
      <w:sz w:val="20"/>
      <w:szCs w:val="20"/>
      <w:lang w:val="en-GB" w:eastAsia="en-US"/>
    </w:rPr>
  </w:style>
  <w:style w:type="paragraph" w:customStyle="1" w:styleId="290">
    <w:name w:val="UserStyle_204"/>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91">
    <w:name w:val="UserStyle_205"/>
    <w:basedOn w:val="43"/>
    <w:qFormat/>
    <w:uiPriority w:val="0"/>
    <w:pPr>
      <w:keepNext/>
      <w:keepLines/>
      <w:tabs>
        <w:tab w:val="left" w:pos="1050"/>
        <w:tab w:val="left" w:pos="1740"/>
      </w:tabs>
      <w:snapToGrid w:val="0"/>
      <w:spacing w:before="0" w:after="0" w:line="360" w:lineRule="auto"/>
      <w:ind w:left="1740" w:hanging="420"/>
    </w:pPr>
    <w:rPr>
      <w:rFonts w:ascii="黑体" w:hAnsi="Calibri" w:eastAsia="黑体"/>
      <w:sz w:val="28"/>
      <w:szCs w:val="20"/>
    </w:rPr>
  </w:style>
  <w:style w:type="paragraph" w:customStyle="1" w:styleId="292">
    <w:name w:val="UserStyle_206"/>
    <w:basedOn w:val="1"/>
    <w:qFormat/>
    <w:uiPriority w:val="0"/>
    <w:pPr>
      <w:spacing w:line="360" w:lineRule="auto"/>
    </w:pPr>
    <w:rPr>
      <w:kern w:val="0"/>
      <w:szCs w:val="21"/>
    </w:rPr>
  </w:style>
  <w:style w:type="paragraph" w:customStyle="1" w:styleId="293">
    <w:name w:val="UserStyle_207"/>
    <w:basedOn w:val="1"/>
    <w:qFormat/>
    <w:uiPriority w:val="0"/>
    <w:pPr>
      <w:ind w:firstLine="560" w:firstLineChars="200"/>
    </w:pPr>
    <w:rPr>
      <w:rFonts w:ascii="宋体" w:hAnsi="宋体"/>
      <w:sz w:val="28"/>
      <w:szCs w:val="20"/>
    </w:rPr>
  </w:style>
  <w:style w:type="paragraph" w:customStyle="1" w:styleId="294">
    <w:name w:val="UserStyle_208"/>
    <w:basedOn w:val="1"/>
    <w:qFormat/>
    <w:uiPriority w:val="0"/>
    <w:pPr>
      <w:spacing w:line="360" w:lineRule="auto"/>
      <w:jc w:val="center"/>
    </w:pPr>
    <w:rPr>
      <w:rFonts w:ascii="黑体" w:eastAsia="黑体"/>
      <w:kern w:val="0"/>
      <w:sz w:val="24"/>
      <w:szCs w:val="20"/>
    </w:rPr>
  </w:style>
  <w:style w:type="paragraph" w:customStyle="1" w:styleId="295">
    <w:name w:val="UserStyle_209"/>
    <w:basedOn w:val="1"/>
    <w:next w:val="1"/>
    <w:qFormat/>
    <w:uiPriority w:val="0"/>
  </w:style>
  <w:style w:type="paragraph" w:customStyle="1" w:styleId="296">
    <w:name w:val="UserStyle_210"/>
    <w:basedOn w:val="1"/>
    <w:qFormat/>
    <w:uiPriority w:val="0"/>
    <w:pPr>
      <w:ind w:firstLine="420" w:firstLineChars="200"/>
    </w:pPr>
  </w:style>
  <w:style w:type="paragraph" w:customStyle="1" w:styleId="297">
    <w:name w:val="UserStyle_211"/>
    <w:basedOn w:val="1"/>
    <w:qFormat/>
    <w:uiPriority w:val="0"/>
    <w:pPr>
      <w:pBdr>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298">
    <w:name w:val="UserStyle_212"/>
    <w:qFormat/>
    <w:uiPriority w:val="0"/>
    <w:pPr>
      <w:snapToGrid w:val="0"/>
      <w:spacing w:line="360" w:lineRule="auto"/>
      <w:ind w:firstLine="200" w:firstLineChars="200"/>
      <w:textAlignment w:val="baseline"/>
    </w:pPr>
    <w:rPr>
      <w:rFonts w:ascii="Times New Roman" w:hAnsi="Times New Roman" w:eastAsia="宋体" w:cstheme="minorBidi"/>
      <w:sz w:val="24"/>
      <w:lang w:val="en-US" w:eastAsia="zh-CN" w:bidi="ar-SA"/>
    </w:rPr>
  </w:style>
  <w:style w:type="paragraph" w:customStyle="1" w:styleId="299">
    <w:name w:val="266"/>
    <w:basedOn w:val="38"/>
    <w:next w:val="1"/>
    <w:qFormat/>
    <w:uiPriority w:val="0"/>
    <w:pPr>
      <w:spacing w:before="480" w:after="0" w:line="276" w:lineRule="auto"/>
    </w:pPr>
    <w:rPr>
      <w:rFonts w:ascii="Cambria" w:hAnsi="Cambria"/>
      <w:color w:val="365F91"/>
      <w:kern w:val="0"/>
    </w:rPr>
  </w:style>
  <w:style w:type="paragraph" w:customStyle="1" w:styleId="300">
    <w:name w:val="UserStyle_21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Cs w:val="21"/>
    </w:rPr>
  </w:style>
  <w:style w:type="paragraph" w:customStyle="1" w:styleId="301">
    <w:name w:val="UserStyle_214"/>
    <w:basedOn w:val="95"/>
    <w:qFormat/>
    <w:uiPriority w:val="0"/>
    <w:pPr>
      <w:spacing w:line="240" w:lineRule="auto"/>
      <w:ind w:firstLine="0"/>
    </w:pPr>
    <w:rPr>
      <w:sz w:val="21"/>
    </w:rPr>
  </w:style>
  <w:style w:type="paragraph" w:customStyle="1" w:styleId="302">
    <w:name w:val="UserStyle_215"/>
    <w:basedOn w:val="1"/>
    <w:qFormat/>
    <w:uiPriority w:val="0"/>
    <w:pPr>
      <w:spacing w:before="100" w:after="100"/>
      <w:ind w:left="360" w:right="360"/>
      <w:jc w:val="left"/>
    </w:pPr>
    <w:rPr>
      <w:kern w:val="0"/>
      <w:sz w:val="24"/>
      <w:szCs w:val="20"/>
    </w:rPr>
  </w:style>
  <w:style w:type="paragraph" w:customStyle="1" w:styleId="303">
    <w:name w:val="UserStyle_216"/>
    <w:basedOn w:val="1"/>
    <w:qFormat/>
    <w:uiPriority w:val="0"/>
    <w:pPr>
      <w:jc w:val="left"/>
    </w:pPr>
    <w:rPr>
      <w:rFonts w:ascii="Arial" w:hAnsi="Arial"/>
      <w:kern w:val="0"/>
      <w:sz w:val="18"/>
      <w:szCs w:val="20"/>
      <w:lang w:val="en-GB" w:eastAsia="fr-FR"/>
    </w:rPr>
  </w:style>
  <w:style w:type="paragraph" w:customStyle="1" w:styleId="304">
    <w:name w:val="UserStyle_217"/>
    <w:basedOn w:val="43"/>
    <w:qFormat/>
    <w:uiPriority w:val="0"/>
    <w:pPr>
      <w:keepNext/>
      <w:keepLines/>
      <w:tabs>
        <w:tab w:val="left" w:pos="1499"/>
      </w:tabs>
      <w:spacing w:before="0" w:after="0"/>
      <w:ind w:left="1499" w:hanging="567"/>
    </w:pPr>
    <w:rPr>
      <w:rFonts w:ascii="Calibri" w:hAnsi="Calibri" w:eastAsia="黑体" w:cs="宋体"/>
      <w:bCs/>
      <w:kern w:val="2"/>
      <w:sz w:val="24"/>
      <w:szCs w:val="20"/>
    </w:rPr>
  </w:style>
  <w:style w:type="paragraph" w:customStyle="1" w:styleId="305">
    <w:name w:val="UserStyle_218"/>
    <w:basedOn w:val="1"/>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06">
    <w:name w:val="UserStyle_219"/>
    <w:basedOn w:val="1"/>
    <w:qFormat/>
    <w:uiPriority w:val="0"/>
    <w:pPr>
      <w:spacing w:before="100" w:beforeAutospacing="1" w:after="100" w:afterAutospacing="1"/>
      <w:jc w:val="left"/>
    </w:pPr>
    <w:rPr>
      <w:rFonts w:ascii="等线" w:hAnsi="等线" w:eastAsia="等线"/>
      <w:kern w:val="0"/>
      <w:sz w:val="18"/>
      <w:szCs w:val="18"/>
    </w:rPr>
  </w:style>
  <w:style w:type="paragraph" w:customStyle="1" w:styleId="307">
    <w:name w:val="UserStyle_220"/>
    <w:basedOn w:val="1"/>
    <w:qFormat/>
    <w:uiPriority w:val="0"/>
    <w:pPr>
      <w:pBdr>
        <w:top w:val="single" w:color="000000" w:sz="4" w:space="0"/>
        <w:left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08">
    <w:name w:val="UserStyle_221"/>
    <w:basedOn w:val="1"/>
    <w:qFormat/>
    <w:uiPriority w:val="0"/>
    <w:rPr>
      <w:rFonts w:ascii="Tahoma" w:hAnsi="Tahoma"/>
      <w:sz w:val="24"/>
      <w:szCs w:val="20"/>
    </w:rPr>
  </w:style>
  <w:style w:type="paragraph" w:customStyle="1" w:styleId="309">
    <w:name w:val="UserStyle_222"/>
    <w:basedOn w:val="1"/>
    <w:qFormat/>
    <w:uiPriority w:val="0"/>
    <w:pPr>
      <w:pBdr>
        <w:top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10">
    <w:name w:val="UserStyle_223"/>
    <w:basedOn w:val="1"/>
    <w:qFormat/>
    <w:uiPriority w:val="0"/>
    <w:pPr>
      <w:tabs>
        <w:tab w:val="left" w:pos="420"/>
      </w:tabs>
      <w:spacing w:before="120" w:after="120" w:line="480" w:lineRule="exact"/>
      <w:jc w:val="left"/>
    </w:pPr>
    <w:rPr>
      <w:rFonts w:ascii="宋体"/>
      <w:b/>
      <w:spacing w:val="10"/>
      <w:w w:val="95"/>
      <w:kern w:val="0"/>
      <w:sz w:val="28"/>
      <w:szCs w:val="24"/>
    </w:rPr>
  </w:style>
  <w:style w:type="paragraph" w:customStyle="1" w:styleId="311">
    <w:name w:val="UserStyle_224"/>
    <w:basedOn w:val="1"/>
    <w:next w:val="1"/>
    <w:qFormat/>
    <w:uiPriority w:val="0"/>
    <w:pPr>
      <w:spacing w:after="278"/>
      <w:jc w:val="left"/>
    </w:pPr>
    <w:rPr>
      <w:rFonts w:ascii="LCJFL P+ Frutiger" w:eastAsia="LCJFL P+ Frutiger"/>
      <w:kern w:val="0"/>
      <w:sz w:val="20"/>
      <w:szCs w:val="24"/>
    </w:rPr>
  </w:style>
  <w:style w:type="paragraph" w:customStyle="1" w:styleId="312">
    <w:name w:val="UserStyle_225"/>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18"/>
      <w:szCs w:val="18"/>
    </w:rPr>
  </w:style>
  <w:style w:type="paragraph" w:customStyle="1" w:styleId="313">
    <w:name w:val="UserStyle_226"/>
    <w:basedOn w:val="1"/>
    <w:qFormat/>
    <w:uiPriority w:val="0"/>
    <w:pPr>
      <w:tabs>
        <w:tab w:val="left" w:pos="1080"/>
      </w:tabs>
      <w:spacing w:line="360" w:lineRule="auto"/>
      <w:jc w:val="left"/>
    </w:pPr>
    <w:rPr>
      <w:kern w:val="0"/>
      <w:sz w:val="24"/>
      <w:szCs w:val="24"/>
    </w:rPr>
  </w:style>
  <w:style w:type="paragraph" w:customStyle="1" w:styleId="314">
    <w:name w:val="UserStyle_227"/>
    <w:basedOn w:val="42"/>
    <w:qFormat/>
    <w:uiPriority w:val="0"/>
    <w:pPr>
      <w:ind w:firstLine="0"/>
    </w:pPr>
    <w:rPr>
      <w:rFonts w:ascii="仿宋_GB2312" w:eastAsia="仿宋_GB2312"/>
      <w:sz w:val="30"/>
      <w:szCs w:val="24"/>
    </w:rPr>
  </w:style>
  <w:style w:type="paragraph" w:customStyle="1" w:styleId="315">
    <w:name w:val="UserStyle_228"/>
    <w:basedOn w:val="1"/>
    <w:qFormat/>
    <w:uiPriority w:val="0"/>
    <w:pPr>
      <w:pBdr>
        <w:top w:val="single" w:color="000000" w:sz="4" w:space="0"/>
        <w:left w:val="single" w:color="000000" w:sz="4" w:space="0"/>
        <w:bottom w:val="single" w:color="000000" w:sz="4" w:space="0"/>
        <w:right w:val="single" w:color="000000" w:sz="4" w:space="0"/>
      </w:pBdr>
      <w:shd w:val="clear" w:color="auto" w:fill="FFE699"/>
      <w:spacing w:before="100" w:beforeAutospacing="1" w:after="100" w:afterAutospacing="1"/>
      <w:jc w:val="center"/>
      <w:textAlignment w:val="center"/>
    </w:pPr>
    <w:rPr>
      <w:rFonts w:ascii="宋体" w:hAnsi="宋体"/>
      <w:kern w:val="0"/>
      <w:sz w:val="24"/>
      <w:szCs w:val="24"/>
    </w:rPr>
  </w:style>
  <w:style w:type="paragraph" w:customStyle="1" w:styleId="316">
    <w:name w:val="UserStyle_229"/>
    <w:basedOn w:val="1"/>
    <w:qFormat/>
    <w:uiPriority w:val="0"/>
    <w:rPr>
      <w:szCs w:val="24"/>
    </w:rPr>
  </w:style>
  <w:style w:type="paragraph" w:customStyle="1" w:styleId="317">
    <w:name w:val="UserStyle_230"/>
    <w:basedOn w:val="1"/>
    <w:qFormat/>
    <w:uiPriority w:val="0"/>
    <w:pPr>
      <w:spacing w:after="160" w:line="240" w:lineRule="exact"/>
      <w:jc w:val="left"/>
    </w:pPr>
    <w:rPr>
      <w:rFonts w:ascii="Verdana" w:hAnsi="Verdana"/>
      <w:kern w:val="0"/>
      <w:sz w:val="20"/>
      <w:szCs w:val="20"/>
      <w:lang w:eastAsia="en-US"/>
    </w:rPr>
  </w:style>
  <w:style w:type="paragraph" w:customStyle="1" w:styleId="318">
    <w:name w:val="UserStyle_231"/>
    <w:basedOn w:val="1"/>
    <w:qFormat/>
    <w:uiPriority w:val="0"/>
    <w:pPr>
      <w:pBdr>
        <w:left w:val="single" w:color="000000" w:sz="8" w:space="0"/>
        <w:bottom w:val="single" w:color="000000" w:sz="8" w:space="0"/>
        <w:right w:val="single" w:color="000000" w:sz="4" w:space="0"/>
      </w:pBdr>
      <w:spacing w:before="100" w:beforeAutospacing="1" w:after="100" w:afterAutospacing="1"/>
      <w:jc w:val="center"/>
    </w:pPr>
    <w:rPr>
      <w:rFonts w:ascii="宋体" w:hAnsi="宋体"/>
      <w:kern w:val="0"/>
      <w:sz w:val="20"/>
      <w:szCs w:val="20"/>
    </w:rPr>
  </w:style>
  <w:style w:type="paragraph" w:customStyle="1" w:styleId="319">
    <w:name w:val="UserStyle_232"/>
    <w:basedOn w:val="202"/>
    <w:qFormat/>
    <w:uiPriority w:val="0"/>
    <w:pPr>
      <w:numPr>
        <w:numId w:val="7"/>
      </w:numPr>
      <w:tabs>
        <w:tab w:val="left" w:pos="1200"/>
      </w:tabs>
      <w:ind w:left="1200" w:hanging="720"/>
    </w:pPr>
    <w:rPr>
      <w:b w:val="0"/>
      <w:sz w:val="24"/>
      <w:szCs w:val="24"/>
    </w:rPr>
  </w:style>
  <w:style w:type="paragraph" w:customStyle="1" w:styleId="320">
    <w:name w:val="UserStyle_233"/>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321">
    <w:name w:val="UserStyle_234"/>
    <w:basedOn w:val="1"/>
    <w:qFormat/>
    <w:uiPriority w:val="0"/>
    <w:pPr>
      <w:ind w:firstLine="200" w:firstLineChars="200"/>
    </w:pPr>
    <w:rPr>
      <w:rFonts w:ascii="宋体" w:hAnsi="宋体" w:cs="Times New Roman"/>
      <w:bCs/>
      <w:sz w:val="28"/>
      <w:szCs w:val="28"/>
    </w:rPr>
  </w:style>
  <w:style w:type="paragraph" w:customStyle="1" w:styleId="322">
    <w:name w:val="UserStyle_235"/>
    <w:basedOn w:val="1"/>
    <w:qFormat/>
    <w:uiPriority w:val="0"/>
    <w:pPr>
      <w:keepNext/>
      <w:keepLines/>
      <w:tabs>
        <w:tab w:val="left" w:pos="425"/>
        <w:tab w:val="left" w:pos="480"/>
      </w:tabs>
      <w:spacing w:line="360" w:lineRule="exact"/>
      <w:ind w:left="425" w:hanging="425"/>
    </w:pPr>
    <w:rPr>
      <w:rFonts w:ascii="Arial" w:hAnsi="Arial"/>
      <w:sz w:val="28"/>
      <w:szCs w:val="20"/>
    </w:rPr>
  </w:style>
  <w:style w:type="paragraph" w:customStyle="1" w:styleId="323">
    <w:name w:val="UserStyle_236"/>
    <w:qFormat/>
    <w:uiPriority w:val="0"/>
    <w:pPr>
      <w:jc w:val="both"/>
      <w:textAlignment w:val="baseline"/>
    </w:pPr>
    <w:rPr>
      <w:rFonts w:ascii="Times New Roman" w:hAnsi="Times New Roman" w:eastAsia="楷体_GB2312" w:cstheme="minorBidi"/>
      <w:lang w:val="en-US" w:eastAsia="zh-CN" w:bidi="ar-SA"/>
    </w:rPr>
  </w:style>
  <w:style w:type="paragraph" w:customStyle="1" w:styleId="324">
    <w:name w:val="UserStyle_237"/>
    <w:basedOn w:val="1"/>
    <w:qFormat/>
    <w:uiPriority w:val="0"/>
    <w:pPr>
      <w:spacing w:line="360" w:lineRule="auto"/>
      <w:ind w:firstLine="200" w:firstLineChars="200"/>
      <w:jc w:val="left"/>
    </w:pPr>
    <w:rPr>
      <w:kern w:val="0"/>
      <w:sz w:val="24"/>
      <w:szCs w:val="20"/>
    </w:rPr>
  </w:style>
  <w:style w:type="paragraph" w:customStyle="1" w:styleId="325">
    <w:name w:val="UserStyle_238"/>
    <w:basedOn w:val="1"/>
    <w:qFormat/>
    <w:uiPriority w:val="0"/>
    <w:rPr>
      <w:rFonts w:ascii="Tahoma" w:hAnsi="Tahoma"/>
      <w:sz w:val="24"/>
      <w:szCs w:val="20"/>
    </w:rPr>
  </w:style>
  <w:style w:type="paragraph" w:customStyle="1" w:styleId="326">
    <w:name w:val="UserStyle_239"/>
    <w:basedOn w:val="1"/>
    <w:qFormat/>
    <w:uiPriority w:val="0"/>
    <w:pPr>
      <w:pBdr>
        <w:left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27">
    <w:name w:val="UserStyle_240"/>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328">
    <w:name w:val="UserStyle_241"/>
    <w:basedOn w:val="1"/>
    <w:qFormat/>
    <w:uiPriority w:val="0"/>
    <w:pPr>
      <w:pBdr>
        <w:top w:val="single" w:color="000000" w:sz="4" w:space="0"/>
        <w:bottom w:val="single" w:color="000000" w:sz="4" w:space="0"/>
        <w:right w:val="single" w:color="000000" w:sz="4" w:space="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329">
    <w:name w:val="UserStyle_242"/>
    <w:basedOn w:val="1"/>
    <w:qFormat/>
    <w:uiPriority w:val="0"/>
    <w:pPr>
      <w:ind w:left="567" w:hanging="279"/>
    </w:pPr>
    <w:rPr>
      <w:sz w:val="24"/>
      <w:szCs w:val="24"/>
    </w:rPr>
  </w:style>
  <w:style w:type="paragraph" w:customStyle="1" w:styleId="330">
    <w:name w:val="UserStyle_243"/>
    <w:next w:val="1"/>
    <w:qFormat/>
    <w:uiPriority w:val="0"/>
    <w:pPr>
      <w:keepNext/>
      <w:spacing w:before="160" w:after="60"/>
      <w:textAlignment w:val="baseline"/>
    </w:pPr>
    <w:rPr>
      <w:rFonts w:ascii="Arial" w:hAnsi="Arial" w:eastAsia="宋体" w:cs="Times New Roman"/>
      <w:b/>
      <w:bCs/>
      <w:kern w:val="44"/>
      <w:sz w:val="44"/>
      <w:szCs w:val="44"/>
      <w:lang w:val="en-US" w:eastAsia="zh-CN" w:bidi="ar-SA"/>
    </w:rPr>
  </w:style>
  <w:style w:type="paragraph" w:customStyle="1" w:styleId="331">
    <w:name w:val="UserStyle_244"/>
    <w:basedOn w:val="41"/>
    <w:qFormat/>
    <w:uiPriority w:val="0"/>
    <w:pPr>
      <w:spacing w:before="100" w:after="0" w:line="400" w:lineRule="exact"/>
      <w:jc w:val="both"/>
    </w:pPr>
    <w:rPr>
      <w:rFonts w:ascii="Times New Roman" w:hAnsi="Times New Roman" w:eastAsia="黑体"/>
      <w:b w:val="0"/>
      <w:sz w:val="32"/>
      <w:szCs w:val="32"/>
    </w:rPr>
  </w:style>
  <w:style w:type="paragraph" w:customStyle="1" w:styleId="332">
    <w:name w:val="UserStyle_245"/>
    <w:basedOn w:val="1"/>
    <w:qFormat/>
    <w:uiPriority w:val="0"/>
    <w:pPr>
      <w:spacing w:line="480" w:lineRule="atLeast"/>
      <w:ind w:firstLine="567"/>
    </w:pPr>
    <w:rPr>
      <w:rFonts w:ascii="仿宋_GB2312" w:eastAsia="仿宋_GB2312"/>
      <w:kern w:val="0"/>
      <w:sz w:val="28"/>
      <w:szCs w:val="20"/>
    </w:rPr>
  </w:style>
  <w:style w:type="paragraph" w:customStyle="1" w:styleId="333">
    <w:name w:val="UserStyle_246"/>
    <w:basedOn w:val="74"/>
    <w:qFormat/>
    <w:uiPriority w:val="0"/>
    <w:rPr>
      <w:rFonts w:ascii="Tahoma" w:hAnsi="Tahoma"/>
      <w:sz w:val="24"/>
      <w:szCs w:val="24"/>
    </w:rPr>
  </w:style>
  <w:style w:type="paragraph" w:customStyle="1" w:styleId="334">
    <w:name w:val="UserStyle_247"/>
    <w:basedOn w:val="1"/>
    <w:next w:val="1"/>
    <w:qFormat/>
    <w:uiPriority w:val="0"/>
    <w:pPr>
      <w:tabs>
        <w:tab w:val="left" w:pos="777"/>
      </w:tabs>
      <w:spacing w:line="360" w:lineRule="auto"/>
      <w:ind w:left="2210" w:hanging="748"/>
      <w:jc w:val="center"/>
    </w:pPr>
    <w:rPr>
      <w:rFonts w:ascii="宋体" w:hAnsi="宋体"/>
      <w:kern w:val="0"/>
      <w:sz w:val="24"/>
      <w:szCs w:val="24"/>
    </w:rPr>
  </w:style>
  <w:style w:type="paragraph" w:customStyle="1" w:styleId="335">
    <w:name w:val="UserStyle_248"/>
    <w:next w:val="1"/>
    <w:qFormat/>
    <w:uiPriority w:val="0"/>
    <w:pPr>
      <w:keepNext/>
      <w:spacing w:before="240" w:after="120"/>
      <w:textAlignment w:val="baseline"/>
    </w:pPr>
    <w:rPr>
      <w:rFonts w:ascii="Arial" w:hAnsi="Arial" w:eastAsia="仿宋_GB2312" w:cstheme="minorBidi"/>
      <w:b/>
      <w:kern w:val="2"/>
      <w:sz w:val="32"/>
      <w:szCs w:val="24"/>
      <w:lang w:val="en-US" w:eastAsia="zh-CN" w:bidi="ar-SA"/>
    </w:rPr>
  </w:style>
  <w:style w:type="paragraph" w:customStyle="1" w:styleId="336">
    <w:name w:val="UserStyle_249"/>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37">
    <w:name w:val="UserStyle_250"/>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4"/>
      <w:szCs w:val="24"/>
    </w:rPr>
  </w:style>
  <w:style w:type="paragraph" w:customStyle="1" w:styleId="338">
    <w:name w:val="UserStyle_251"/>
    <w:basedOn w:val="1"/>
    <w:qFormat/>
    <w:uiPriority w:val="0"/>
    <w:pPr>
      <w:pBdr>
        <w:left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39">
    <w:name w:val="UserStyle_252"/>
    <w:basedOn w:val="1"/>
    <w:qFormat/>
    <w:uiPriority w:val="0"/>
    <w:pPr>
      <w:pBdr>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40">
    <w:name w:val="UserStyle_253"/>
    <w:qFormat/>
    <w:uiPriority w:val="0"/>
    <w:pPr>
      <w:jc w:val="both"/>
      <w:textAlignment w:val="baseline"/>
    </w:pPr>
    <w:rPr>
      <w:rFonts w:ascii="Times New Roman" w:hAnsi="Times New Roman" w:eastAsia="宋体" w:cstheme="minorBidi"/>
      <w:kern w:val="2"/>
      <w:sz w:val="21"/>
      <w:lang w:val="en-US" w:eastAsia="zh-CN" w:bidi="ar-SA"/>
    </w:rPr>
  </w:style>
  <w:style w:type="paragraph" w:customStyle="1" w:styleId="341">
    <w:name w:val="UserStyle_254"/>
    <w:basedOn w:val="1"/>
    <w:qFormat/>
    <w:uiPriority w:val="0"/>
    <w:pPr>
      <w:spacing w:line="312" w:lineRule="atLeast"/>
    </w:pPr>
    <w:rPr>
      <w:kern w:val="0"/>
      <w:szCs w:val="20"/>
    </w:rPr>
  </w:style>
  <w:style w:type="paragraph" w:customStyle="1" w:styleId="342">
    <w:name w:val="UserStyle_255"/>
    <w:basedOn w:val="1"/>
    <w:qFormat/>
    <w:uiPriority w:val="0"/>
    <w:rPr>
      <w:kern w:val="0"/>
      <w:szCs w:val="21"/>
    </w:rPr>
  </w:style>
  <w:style w:type="paragraph" w:customStyle="1" w:styleId="343">
    <w:name w:val="UserStyle_256"/>
    <w:qFormat/>
    <w:uiPriority w:val="0"/>
    <w:pPr>
      <w:numPr>
        <w:ilvl w:val="1"/>
        <w:numId w:val="8"/>
      </w:numPr>
      <w:spacing w:before="120" w:after="120" w:line="300" w:lineRule="auto"/>
      <w:ind w:left="0" w:firstLine="0"/>
    </w:pPr>
    <w:rPr>
      <w:rFonts w:ascii="宋体" w:hAnsi="Times New Roman" w:eastAsia="宋体" w:cstheme="minorBidi"/>
      <w:spacing w:val="10"/>
      <w:w w:val="95"/>
      <w:sz w:val="21"/>
      <w:lang w:val="en-US" w:eastAsia="zh-CN" w:bidi="ar-SA"/>
    </w:rPr>
  </w:style>
  <w:style w:type="paragraph" w:customStyle="1" w:styleId="344">
    <w:name w:val="UserStyle_257"/>
    <w:basedOn w:val="1"/>
    <w:qFormat/>
    <w:uiPriority w:val="0"/>
    <w:rPr>
      <w:sz w:val="30"/>
      <w:szCs w:val="24"/>
    </w:rPr>
  </w:style>
  <w:style w:type="paragraph" w:customStyle="1" w:styleId="345">
    <w:name w:val="UserStyle_258"/>
    <w:basedOn w:val="1"/>
    <w:qFormat/>
    <w:uiPriority w:val="0"/>
    <w:pPr>
      <w:pBdr>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46">
    <w:name w:val="UserStyle_259"/>
    <w:basedOn w:val="1"/>
    <w:qFormat/>
    <w:uiPriority w:val="0"/>
    <w:pPr>
      <w:pBdr>
        <w:top w:val="single" w:color="000000" w:sz="4" w:space="0"/>
        <w:left w:val="single" w:color="000000" w:sz="4" w:space="0"/>
        <w:bottom w:val="single" w:color="000000" w:sz="4" w:space="0"/>
      </w:pBdr>
      <w:shd w:val="clear" w:color="auto" w:fill="A6A6A6"/>
      <w:spacing w:before="100" w:beforeAutospacing="1" w:after="100" w:afterAutospacing="1"/>
      <w:jc w:val="center"/>
      <w:textAlignment w:val="center"/>
    </w:pPr>
    <w:rPr>
      <w:rFonts w:ascii="宋体" w:hAnsi="宋体" w:cs="宋体"/>
      <w:b/>
      <w:bCs/>
      <w:kern w:val="0"/>
      <w:sz w:val="24"/>
      <w:szCs w:val="24"/>
    </w:rPr>
  </w:style>
  <w:style w:type="paragraph" w:customStyle="1" w:styleId="347">
    <w:name w:val="UserStyle_260"/>
    <w:basedOn w:val="1"/>
    <w:qFormat/>
    <w:uiPriority w:val="0"/>
    <w:rPr>
      <w:rFonts w:ascii="Tahoma" w:hAnsi="Tahoma"/>
      <w:sz w:val="24"/>
      <w:szCs w:val="20"/>
    </w:rPr>
  </w:style>
  <w:style w:type="paragraph" w:customStyle="1" w:styleId="348">
    <w:name w:val="UserStyle_26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49">
    <w:name w:val="UserStyle_262"/>
    <w:basedOn w:val="1"/>
    <w:qFormat/>
    <w:uiPriority w:val="0"/>
    <w:pPr>
      <w:pBdr>
        <w:left w:val="single" w:color="000000" w:sz="4" w:space="0"/>
        <w:bottom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50">
    <w:name w:val="UserStyle_263"/>
    <w:basedOn w:val="1"/>
    <w:qFormat/>
    <w:uiPriority w:val="0"/>
    <w:rPr>
      <w:szCs w:val="24"/>
    </w:rPr>
  </w:style>
  <w:style w:type="paragraph" w:customStyle="1" w:styleId="351">
    <w:name w:val="UserStyle_264"/>
    <w:basedOn w:val="1"/>
    <w:qFormat/>
    <w:uiPriority w:val="0"/>
    <w:pPr>
      <w:pBdr>
        <w:left w:val="single" w:color="000000" w:sz="8" w:space="0"/>
        <w:bottom w:val="single" w:color="000000" w:sz="4" w:space="0"/>
        <w:right w:val="single" w:color="000000" w:sz="4" w:space="0"/>
      </w:pBdr>
      <w:spacing w:before="100" w:beforeAutospacing="1" w:after="100" w:afterAutospacing="1"/>
      <w:jc w:val="left"/>
    </w:pPr>
    <w:rPr>
      <w:rFonts w:ascii="Arial Unicode MS" w:hAnsi="Arial Unicode MS"/>
      <w:kern w:val="0"/>
      <w:sz w:val="24"/>
      <w:szCs w:val="24"/>
      <w:lang w:eastAsia="en-US"/>
    </w:rPr>
  </w:style>
  <w:style w:type="paragraph" w:customStyle="1" w:styleId="352">
    <w:name w:val="UserStyle_265"/>
    <w:basedOn w:val="43"/>
    <w:qFormat/>
    <w:uiPriority w:val="0"/>
    <w:pPr>
      <w:keepNext/>
      <w:keepLines/>
      <w:tabs>
        <w:tab w:val="left" w:pos="1050"/>
      </w:tabs>
      <w:snapToGrid w:val="0"/>
      <w:spacing w:before="0" w:after="0" w:line="360" w:lineRule="auto"/>
      <w:ind w:left="1710" w:hanging="1134"/>
    </w:pPr>
    <w:rPr>
      <w:rFonts w:ascii="黑体" w:hAnsi="Calibri" w:eastAsia="黑体"/>
      <w:sz w:val="28"/>
      <w:szCs w:val="20"/>
    </w:rPr>
  </w:style>
  <w:style w:type="paragraph" w:customStyle="1" w:styleId="353">
    <w:name w:val="UserStyle_266"/>
    <w:basedOn w:val="1"/>
    <w:qFormat/>
    <w:uiPriority w:val="0"/>
    <w:pPr>
      <w:pBdr>
        <w:top w:val="single" w:color="000000" w:sz="4" w:space="0"/>
        <w:left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54">
    <w:name w:val="UserStyle_267"/>
    <w:qFormat/>
    <w:uiPriority w:val="0"/>
    <w:pPr>
      <w:spacing w:before="120" w:after="120" w:line="480" w:lineRule="exact"/>
      <w:textAlignment w:val="baseline"/>
    </w:pPr>
    <w:rPr>
      <w:rFonts w:ascii="宋体" w:hAnsi="Times New Roman" w:eastAsia="宋体" w:cstheme="minorBidi"/>
      <w:b/>
      <w:spacing w:val="10"/>
      <w:w w:val="95"/>
      <w:sz w:val="21"/>
      <w:lang w:val="en-US" w:eastAsia="zh-CN" w:bidi="ar-SA"/>
    </w:rPr>
  </w:style>
  <w:style w:type="paragraph" w:customStyle="1" w:styleId="355">
    <w:name w:val="UserStyle_268"/>
    <w:basedOn w:val="1"/>
    <w:qFormat/>
    <w:uiPriority w:val="0"/>
    <w:pPr>
      <w:ind w:firstLine="420" w:firstLineChars="200"/>
    </w:pPr>
  </w:style>
  <w:style w:type="paragraph" w:customStyle="1" w:styleId="356">
    <w:name w:val="UserStyle_269"/>
    <w:basedOn w:val="74"/>
    <w:qFormat/>
    <w:uiPriority w:val="0"/>
    <w:pPr>
      <w:spacing w:line="436" w:lineRule="exact"/>
      <w:ind w:left="357"/>
      <w:jc w:val="left"/>
    </w:pPr>
    <w:rPr>
      <w:rFonts w:ascii="Tahoma" w:hAnsi="Tahoma"/>
      <w:b/>
      <w:sz w:val="24"/>
      <w:szCs w:val="24"/>
    </w:rPr>
  </w:style>
  <w:style w:type="paragraph" w:customStyle="1" w:styleId="357">
    <w:name w:val="UserStyle_270"/>
    <w:basedOn w:val="1"/>
    <w:qFormat/>
    <w:uiPriority w:val="0"/>
    <w:pPr>
      <w:keepNext/>
      <w:keepLines/>
      <w:tabs>
        <w:tab w:val="left" w:pos="480"/>
        <w:tab w:val="left" w:pos="1800"/>
      </w:tabs>
      <w:spacing w:line="360" w:lineRule="exact"/>
      <w:ind w:left="1800" w:hanging="420"/>
    </w:pPr>
    <w:rPr>
      <w:rFonts w:ascii="Arial" w:hAnsi="Arial" w:cs="宋体"/>
      <w:b/>
      <w:bCs/>
      <w:sz w:val="28"/>
      <w:szCs w:val="28"/>
    </w:rPr>
  </w:style>
  <w:style w:type="paragraph" w:customStyle="1" w:styleId="358">
    <w:name w:val="UserStyle_271"/>
    <w:basedOn w:val="1"/>
    <w:qFormat/>
    <w:uiPriority w:val="0"/>
    <w:pPr>
      <w:keepNext/>
      <w:keepLines/>
      <w:tabs>
        <w:tab w:val="left" w:pos="630"/>
        <w:tab w:val="left" w:pos="780"/>
      </w:tabs>
      <w:snapToGrid w:val="0"/>
      <w:spacing w:line="360" w:lineRule="auto"/>
      <w:ind w:left="780" w:hanging="360"/>
      <w:jc w:val="left"/>
    </w:pPr>
    <w:rPr>
      <w:rFonts w:ascii="Arial" w:hAnsi="Arial" w:eastAsia="黑体" w:cs="宋体"/>
      <w:b/>
      <w:bCs/>
      <w:sz w:val="28"/>
      <w:szCs w:val="20"/>
    </w:rPr>
  </w:style>
  <w:style w:type="paragraph" w:customStyle="1" w:styleId="359">
    <w:name w:val="UserStyle_272"/>
    <w:basedOn w:val="222"/>
    <w:next w:val="1"/>
    <w:qFormat/>
    <w:uiPriority w:val="0"/>
    <w:pPr>
      <w:numPr>
        <w:ilvl w:val="1"/>
      </w:numPr>
    </w:pPr>
    <w:rPr>
      <w:b w:val="0"/>
      <w:caps w:val="0"/>
    </w:rPr>
  </w:style>
  <w:style w:type="paragraph" w:customStyle="1" w:styleId="360">
    <w:name w:val="UserStyle_273"/>
    <w:basedOn w:val="1"/>
    <w:qFormat/>
    <w:uiPriority w:val="0"/>
    <w:pPr>
      <w:tabs>
        <w:tab w:val="left" w:pos="360"/>
      </w:tabs>
      <w:spacing w:line="360" w:lineRule="auto"/>
      <w:ind w:left="360" w:hanging="360"/>
    </w:pPr>
    <w:rPr>
      <w:rFonts w:ascii="宋体" w:hAnsi="宋体"/>
      <w:smallCaps/>
      <w:sz w:val="28"/>
      <w:szCs w:val="20"/>
    </w:rPr>
  </w:style>
  <w:style w:type="paragraph" w:customStyle="1" w:styleId="361">
    <w:name w:val="UserStyle_274"/>
    <w:basedOn w:val="362"/>
    <w:qFormat/>
    <w:uiPriority w:val="0"/>
    <w:rPr>
      <w:sz w:val="28"/>
    </w:rPr>
  </w:style>
  <w:style w:type="paragraph" w:customStyle="1" w:styleId="362">
    <w:name w:val="UserStyle_275"/>
    <w:next w:val="95"/>
    <w:qFormat/>
    <w:uiPriority w:val="0"/>
    <w:pPr>
      <w:keepNext/>
      <w:spacing w:before="160" w:after="60"/>
      <w:textAlignment w:val="baseline"/>
    </w:pPr>
    <w:rPr>
      <w:rFonts w:ascii="Arial Black" w:hAnsi="Arial Black" w:eastAsia="黑体" w:cs="Times New Roman"/>
      <w:bCs/>
      <w:kern w:val="2"/>
      <w:sz w:val="30"/>
      <w:szCs w:val="32"/>
      <w:lang w:val="en-US" w:eastAsia="zh-CN" w:bidi="ar-SA"/>
    </w:rPr>
  </w:style>
  <w:style w:type="paragraph" w:customStyle="1" w:styleId="363">
    <w:name w:val="UserStyle_276"/>
    <w:basedOn w:val="1"/>
    <w:qFormat/>
    <w:uiPriority w:val="0"/>
    <w:pPr>
      <w:pBdr>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64">
    <w:name w:val="UserStyle_277"/>
    <w:basedOn w:val="1"/>
    <w:qFormat/>
    <w:uiPriority w:val="0"/>
    <w:pPr>
      <w:pBdr>
        <w:top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65">
    <w:name w:val="UserStyle_278"/>
    <w:basedOn w:val="1"/>
    <w:qFormat/>
    <w:uiPriority w:val="0"/>
    <w:pPr>
      <w:spacing w:line="420" w:lineRule="exact"/>
      <w:ind w:firstLine="520" w:firstLineChars="200"/>
    </w:pPr>
    <w:rPr>
      <w:spacing w:val="10"/>
      <w:kern w:val="0"/>
      <w:sz w:val="24"/>
      <w:szCs w:val="20"/>
    </w:rPr>
  </w:style>
  <w:style w:type="paragraph" w:customStyle="1" w:styleId="366">
    <w:name w:val="UserStyle_279"/>
    <w:basedOn w:val="340"/>
    <w:next w:val="1"/>
    <w:qFormat/>
    <w:uiPriority w:val="0"/>
  </w:style>
  <w:style w:type="paragraph" w:customStyle="1" w:styleId="367">
    <w:name w:val="UserStyle_280"/>
    <w:basedOn w:val="74"/>
    <w:qFormat/>
    <w:uiPriority w:val="0"/>
    <w:pPr>
      <w:spacing w:line="436" w:lineRule="exact"/>
      <w:ind w:left="357"/>
      <w:jc w:val="left"/>
    </w:pPr>
    <w:rPr>
      <w:rFonts w:ascii="Tahoma" w:hAnsi="Tahoma"/>
      <w:b/>
      <w:sz w:val="24"/>
      <w:szCs w:val="24"/>
    </w:rPr>
  </w:style>
  <w:style w:type="paragraph" w:customStyle="1" w:styleId="368">
    <w:name w:val="UserStyle_281"/>
    <w:basedOn w:val="1"/>
    <w:qFormat/>
    <w:uiPriority w:val="0"/>
    <w:pPr>
      <w:spacing w:line="480" w:lineRule="auto"/>
      <w:jc w:val="center"/>
    </w:pPr>
    <w:rPr>
      <w:szCs w:val="20"/>
    </w:rPr>
  </w:style>
  <w:style w:type="paragraph" w:customStyle="1" w:styleId="369">
    <w:name w:val="UserStyle_282"/>
    <w:basedOn w:val="1"/>
    <w:qFormat/>
    <w:uiPriority w:val="0"/>
    <w:pPr>
      <w:keepNext/>
      <w:keepLines/>
      <w:spacing w:line="415" w:lineRule="auto"/>
      <w:jc w:val="left"/>
    </w:pPr>
    <w:rPr>
      <w:rFonts w:cs="宋体"/>
      <w:bCs/>
      <w:sz w:val="24"/>
      <w:szCs w:val="20"/>
    </w:rPr>
  </w:style>
  <w:style w:type="paragraph" w:customStyle="1" w:styleId="370">
    <w:name w:val="UserStyle_283"/>
    <w:basedOn w:val="43"/>
    <w:qFormat/>
    <w:uiPriority w:val="0"/>
    <w:pPr>
      <w:keepNext/>
      <w:keepLines/>
      <w:spacing w:before="0" w:after="0" w:line="400" w:lineRule="exact"/>
      <w:jc w:val="both"/>
    </w:pPr>
    <w:rPr>
      <w:rFonts w:ascii="Times New Roman" w:hAnsi="Times New Roman" w:eastAsia="黑体"/>
      <w:sz w:val="32"/>
      <w:szCs w:val="32"/>
    </w:rPr>
  </w:style>
  <w:style w:type="paragraph" w:customStyle="1" w:styleId="371">
    <w:name w:val="UserStyle_284"/>
    <w:basedOn w:val="1"/>
    <w:qFormat/>
    <w:uiPriority w:val="0"/>
    <w:pPr>
      <w:pBdr>
        <w:left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72">
    <w:name w:val="UserStyle_285"/>
    <w:basedOn w:val="41"/>
    <w:qFormat/>
    <w:uiPriority w:val="0"/>
    <w:pPr>
      <w:spacing w:before="0" w:after="0" w:line="360" w:lineRule="auto"/>
      <w:jc w:val="left"/>
    </w:pPr>
    <w:rPr>
      <w:rFonts w:ascii="宋体" w:hAnsi="Times New Roman"/>
      <w:b w:val="0"/>
      <w:sz w:val="21"/>
      <w:szCs w:val="21"/>
    </w:rPr>
  </w:style>
  <w:style w:type="paragraph" w:customStyle="1" w:styleId="373">
    <w:name w:val="UserStyle_286"/>
    <w:basedOn w:val="1"/>
    <w:qFormat/>
    <w:uiPriority w:val="0"/>
    <w:pPr>
      <w:pBdr>
        <w:top w:val="single" w:color="000000" w:sz="4" w:space="0"/>
        <w:bottom w:val="single" w:color="000000" w:sz="4" w:space="0"/>
      </w:pBdr>
      <w:spacing w:before="100" w:beforeAutospacing="1" w:after="100" w:afterAutospacing="1"/>
      <w:jc w:val="center"/>
      <w:textAlignment w:val="center"/>
    </w:pPr>
    <w:rPr>
      <w:rFonts w:ascii="宋体" w:hAnsi="宋体"/>
      <w:kern w:val="0"/>
      <w:sz w:val="24"/>
      <w:szCs w:val="24"/>
    </w:rPr>
  </w:style>
  <w:style w:type="paragraph" w:customStyle="1" w:styleId="374">
    <w:name w:val="UserStyle_287"/>
    <w:basedOn w:val="1"/>
    <w:qFormat/>
    <w:uiPriority w:val="0"/>
    <w:pPr>
      <w:pBdr>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75">
    <w:name w:val="UserStyle_288"/>
    <w:basedOn w:val="145"/>
    <w:next w:val="145"/>
    <w:qFormat/>
    <w:uiPriority w:val="0"/>
    <w:pPr>
      <w:ind w:firstLine="0" w:firstLineChars="0"/>
      <w:jc w:val="center"/>
    </w:pPr>
    <w:rPr>
      <w:rFonts w:ascii="Calibri" w:hAnsi="Calibri" w:eastAsia="黑体"/>
      <w:b/>
      <w:sz w:val="84"/>
      <w:szCs w:val="84"/>
    </w:rPr>
  </w:style>
  <w:style w:type="paragraph" w:customStyle="1" w:styleId="376">
    <w:name w:val="UserStyle_289"/>
    <w:basedOn w:val="1"/>
    <w:qFormat/>
    <w:uiPriority w:val="0"/>
    <w:pPr>
      <w:pBdr>
        <w:top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4"/>
      <w:szCs w:val="24"/>
    </w:rPr>
  </w:style>
  <w:style w:type="paragraph" w:customStyle="1" w:styleId="377">
    <w:name w:val="UserStyle_290"/>
    <w:qFormat/>
    <w:uiPriority w:val="0"/>
    <w:pPr>
      <w:spacing w:line="240" w:lineRule="atLeast"/>
      <w:jc w:val="both"/>
      <w:textAlignment w:val="baseline"/>
    </w:pPr>
    <w:rPr>
      <w:rFonts w:ascii="宋体" w:hAnsi="Times New Roman" w:eastAsia="宋体" w:cstheme="minorBidi"/>
      <w:sz w:val="34"/>
      <w:lang w:val="en-US" w:eastAsia="zh-CN" w:bidi="ar-SA"/>
    </w:rPr>
  </w:style>
  <w:style w:type="table" w:customStyle="1" w:styleId="378">
    <w:name w:val="TableGrid"/>
    <w:basedOn w:val="50"/>
    <w:qFormat/>
    <w:uiPriority w:val="0"/>
  </w:style>
  <w:style w:type="table" w:customStyle="1" w:styleId="379">
    <w:name w:val="UserStyle_291"/>
    <w:basedOn w:val="50"/>
    <w:qFormat/>
    <w:uiPriority w:val="0"/>
  </w:style>
  <w:style w:type="table" w:customStyle="1" w:styleId="380">
    <w:name w:val="UserStyle_292"/>
    <w:basedOn w:val="50"/>
    <w:qFormat/>
    <w:uiPriority w:val="0"/>
  </w:style>
  <w:style w:type="paragraph" w:customStyle="1" w:styleId="381">
    <w:name w:val="x_msonormal"/>
    <w:basedOn w:val="1"/>
    <w:qFormat/>
    <w:uiPriority w:val="99"/>
    <w:pPr>
      <w:spacing w:before="100" w:beforeAutospacing="1" w:after="100" w:afterAutospacing="1"/>
      <w:jc w:val="left"/>
    </w:pPr>
    <w:rPr>
      <w:rFonts w:ascii="宋体" w:hAnsi="宋体" w:cs="宋体"/>
      <w:kern w:val="0"/>
      <w:sz w:val="24"/>
      <w:szCs w:val="24"/>
    </w:rPr>
  </w:style>
  <w:style w:type="paragraph" w:customStyle="1" w:styleId="382">
    <w:name w:val="列出段落1"/>
    <w:basedOn w:val="1"/>
    <w:qFormat/>
    <w:uiPriority w:val="99"/>
    <w:pPr>
      <w:ind w:firstLine="420" w:firstLineChars="200"/>
    </w:pPr>
  </w:style>
  <w:style w:type="paragraph" w:customStyle="1" w:styleId="383">
    <w:name w:val="_Style 105"/>
    <w:basedOn w:val="1"/>
    <w:next w:val="382"/>
    <w:qFormat/>
    <w:uiPriority w:val="0"/>
    <w:pPr>
      <w:ind w:firstLine="420" w:firstLineChars="200"/>
    </w:pPr>
    <w:rPr>
      <w:kern w:val="0"/>
      <w:sz w:val="20"/>
    </w:rPr>
  </w:style>
  <w:style w:type="paragraph" w:customStyle="1" w:styleId="384">
    <w:name w:val="TOC 标题1"/>
    <w:basedOn w:val="3"/>
    <w:next w:val="1"/>
    <w:qFormat/>
    <w:uiPriority w:val="99"/>
    <w:pPr>
      <w:tabs>
        <w:tab w:val="left" w:pos="432"/>
      </w:tabs>
      <w:spacing w:before="480" w:after="0" w:line="276" w:lineRule="auto"/>
      <w:outlineLvl w:val="9"/>
    </w:pPr>
    <w:rPr>
      <w:rFonts w:ascii="Cambria" w:hAnsi="Cambria" w:cs="Cambria"/>
      <w:bCs/>
      <w:color w:val="365F91"/>
    </w:rPr>
  </w:style>
  <w:style w:type="paragraph" w:customStyle="1" w:styleId="385">
    <w:name w:val="_Style 4"/>
    <w:basedOn w:val="3"/>
    <w:next w:val="1"/>
    <w:qFormat/>
    <w:uiPriority w:val="99"/>
    <w:pPr>
      <w:widowControl w:val="0"/>
      <w:tabs>
        <w:tab w:val="left" w:pos="432"/>
      </w:tabs>
      <w:outlineLvl w:val="9"/>
    </w:pPr>
    <w:rPr>
      <w:rFonts w:ascii="Calibri" w:hAnsi="Calibri" w:cs="Calibri"/>
      <w:bCs/>
      <w:szCs w:val="44"/>
    </w:rPr>
  </w:style>
  <w:style w:type="paragraph" w:customStyle="1" w:styleId="386">
    <w:name w:val="Default"/>
    <w:next w:val="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87">
    <w:name w:val="批注框文本 Char"/>
    <w:basedOn w:val="30"/>
    <w:link w:val="16"/>
    <w:qFormat/>
    <w:uiPriority w:val="0"/>
    <w:rPr>
      <w:rFonts w:cstheme="minorBidi"/>
      <w:kern w:val="2"/>
      <w:sz w:val="18"/>
      <w:szCs w:val="18"/>
    </w:rPr>
  </w:style>
  <w:style w:type="character" w:customStyle="1" w:styleId="388">
    <w:name w:val="批注文字 Char"/>
    <w:basedOn w:val="30"/>
    <w:link w:val="9"/>
    <w:qFormat/>
    <w:uiPriority w:val="0"/>
    <w:rPr>
      <w:rFonts w:cstheme="minorBidi"/>
      <w:kern w:val="2"/>
      <w:sz w:val="21"/>
      <w:szCs w:val="22"/>
    </w:rPr>
  </w:style>
  <w:style w:type="character" w:customStyle="1" w:styleId="389">
    <w:name w:val="批注主题 Char"/>
    <w:basedOn w:val="388"/>
    <w:link w:val="26"/>
    <w:qFormat/>
    <w:uiPriority w:val="0"/>
    <w:rPr>
      <w:rFonts w:cstheme="minorBidi"/>
      <w:b/>
      <w:bCs/>
      <w:kern w:val="2"/>
      <w:sz w:val="21"/>
      <w:szCs w:val="22"/>
    </w:rPr>
  </w:style>
  <w:style w:type="paragraph" w:customStyle="1" w:styleId="390">
    <w:name w:val="修订1"/>
    <w:hidden/>
    <w:semiHidden/>
    <w:qFormat/>
    <w:uiPriority w:val="99"/>
    <w:rPr>
      <w:rFonts w:ascii="Times New Roman" w:hAnsi="Times New Roman" w:eastAsia="宋体" w:cstheme="minorBidi"/>
      <w:kern w:val="2"/>
      <w:sz w:val="21"/>
      <w:szCs w:val="22"/>
      <w:lang w:val="en-US" w:eastAsia="zh-CN" w:bidi="ar-SA"/>
    </w:rPr>
  </w:style>
  <w:style w:type="paragraph" w:customStyle="1" w:styleId="391">
    <w:name w:val="p0"/>
    <w:basedOn w:val="1"/>
    <w:qFormat/>
    <w:uiPriority w:val="0"/>
    <w:pPr>
      <w:widowControl/>
    </w:pPr>
    <w:rPr>
      <w:rFonts w:ascii="Times New Roman" w:hAnsi="Times New Roman"/>
      <w:kern w:val="0"/>
      <w:szCs w:val="21"/>
    </w:rPr>
  </w:style>
  <w:style w:type="paragraph" w:customStyle="1" w:styleId="392">
    <w:name w:val="Blockquote"/>
    <w:basedOn w:val="1"/>
    <w:qFormat/>
    <w:uiPriority w:val="0"/>
    <w:pPr>
      <w:autoSpaceDE w:val="0"/>
      <w:autoSpaceDN w:val="0"/>
      <w:adjustRightInd w:val="0"/>
      <w:spacing w:before="100" w:after="100"/>
      <w:ind w:left="360" w:right="36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217</Pages>
  <Words>28407</Words>
  <Characters>161923</Characters>
  <Lines>1349</Lines>
  <Paragraphs>379</Paragraphs>
  <TotalTime>0</TotalTime>
  <ScaleCrop>false</ScaleCrop>
  <LinksUpToDate>false</LinksUpToDate>
  <CharactersWithSpaces>189951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2020-06-02T06:31:00Z</dcterms:created>
  <dc:creator>Administrator</dc:creator>
  <cp:lastModifiedBy>吴和彬</cp:lastModifiedBy>
  <cp:lastPrinted>2023-09-27T08:19:00Z</cp:lastPrinted>
  <dcterms:modified xsi:type="dcterms:W3CDTF">2023-09-27T09:57:17Z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7B6F93859D3F49CE83169D336582595F_13</vt:lpwstr>
  </property>
</Properties>
</file>