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color w:val="auto"/>
          <w:sz w:val="44"/>
          <w:szCs w:val="48"/>
          <w:highlight w:val="none"/>
          <w:lang w:eastAsia="zh-CN"/>
        </w:rPr>
      </w:pPr>
      <w:r>
        <w:rPr>
          <w:rFonts w:hint="eastAsia" w:ascii="宋体" w:hAnsi="宋体"/>
          <w:b/>
          <w:color w:val="auto"/>
          <w:sz w:val="44"/>
          <w:szCs w:val="48"/>
          <w:highlight w:val="none"/>
          <w:lang w:eastAsia="zh-CN"/>
        </w:rPr>
        <w:t>广州市信息技术职业学校迁建工程第三方检测服务（室内环境检测、建筑节能工程检测、建筑设</w:t>
      </w:r>
    </w:p>
    <w:p>
      <w:pPr>
        <w:spacing w:line="360" w:lineRule="auto"/>
        <w:jc w:val="center"/>
        <w:rPr>
          <w:color w:val="auto"/>
          <w:sz w:val="32"/>
          <w:szCs w:val="22"/>
          <w:highlight w:val="none"/>
        </w:rPr>
      </w:pPr>
      <w:r>
        <w:rPr>
          <w:rFonts w:hint="eastAsia" w:ascii="宋体" w:hAnsi="宋体"/>
          <w:b/>
          <w:color w:val="auto"/>
          <w:sz w:val="44"/>
          <w:szCs w:val="48"/>
          <w:highlight w:val="none"/>
          <w:lang w:eastAsia="zh-CN"/>
        </w:rPr>
        <w:t>备及弱电系统检测）</w:t>
      </w:r>
      <w:r>
        <w:rPr>
          <w:rFonts w:hint="eastAsia" w:ascii="宋体" w:hAnsi="宋体"/>
          <w:b/>
          <w:color w:val="auto"/>
          <w:sz w:val="44"/>
          <w:szCs w:val="48"/>
          <w:highlight w:val="none"/>
        </w:rPr>
        <w:t xml:space="preserve"> </w:t>
      </w:r>
    </w:p>
    <w:p>
      <w:pPr>
        <w:spacing w:line="360" w:lineRule="auto"/>
        <w:rPr>
          <w:rFonts w:ascii="宋体"/>
          <w:b/>
          <w:bCs/>
          <w:color w:val="auto"/>
          <w:spacing w:val="40"/>
          <w:sz w:val="44"/>
          <w:szCs w:val="44"/>
          <w:highlight w:val="none"/>
        </w:rPr>
      </w:pPr>
    </w:p>
    <w:p>
      <w:pPr>
        <w:spacing w:line="360" w:lineRule="auto"/>
        <w:jc w:val="left"/>
        <w:rPr>
          <w:color w:val="auto"/>
          <w:sz w:val="36"/>
          <w:highlight w:val="none"/>
          <w:u w:val="single"/>
        </w:rPr>
      </w:pPr>
    </w:p>
    <w:p>
      <w:pPr>
        <w:widowControl/>
        <w:spacing w:after="120" w:line="256" w:lineRule="auto"/>
        <w:ind w:left="420" w:leftChars="200" w:firstLine="440" w:firstLineChars="200"/>
        <w:jc w:val="left"/>
        <w:rPr>
          <w:rFonts w:ascii="Calibri" w:hAnsi="Calibri" w:eastAsia="宋体" w:cs="Times New Roman"/>
          <w:color w:val="auto"/>
          <w:kern w:val="2"/>
          <w:sz w:val="22"/>
          <w:szCs w:val="22"/>
          <w:highlight w:val="none"/>
          <w:lang w:val="en-US" w:eastAsia="zh-CN" w:bidi="ar-SA"/>
        </w:rPr>
      </w:pPr>
    </w:p>
    <w:p>
      <w:pPr>
        <w:widowControl/>
        <w:spacing w:after="120" w:line="256" w:lineRule="auto"/>
        <w:ind w:left="420" w:leftChars="200" w:firstLine="440" w:firstLineChars="200"/>
        <w:jc w:val="left"/>
        <w:rPr>
          <w:rFonts w:ascii="Calibri" w:hAnsi="Calibri" w:eastAsia="宋体" w:cs="Times New Roman"/>
          <w:color w:val="auto"/>
          <w:kern w:val="2"/>
          <w:sz w:val="22"/>
          <w:szCs w:val="22"/>
          <w:highlight w:val="none"/>
          <w:lang w:val="en-US" w:eastAsia="zh-CN" w:bidi="ar-SA"/>
        </w:rPr>
      </w:pPr>
    </w:p>
    <w:p>
      <w:pPr>
        <w:widowControl/>
        <w:spacing w:after="120" w:line="256" w:lineRule="auto"/>
        <w:ind w:left="420" w:leftChars="200" w:firstLine="440" w:firstLineChars="200"/>
        <w:jc w:val="left"/>
        <w:rPr>
          <w:rFonts w:ascii="Calibri" w:hAnsi="Calibri" w:eastAsia="宋体" w:cs="Times New Roman"/>
          <w:color w:val="auto"/>
          <w:kern w:val="2"/>
          <w:sz w:val="22"/>
          <w:szCs w:val="22"/>
          <w:highlight w:val="none"/>
          <w:lang w:val="en-US" w:eastAsia="zh-CN" w:bidi="ar-SA"/>
        </w:rPr>
      </w:pPr>
    </w:p>
    <w:p>
      <w:pPr>
        <w:widowControl/>
        <w:spacing w:after="120" w:line="256" w:lineRule="auto"/>
        <w:ind w:left="420" w:leftChars="200" w:firstLine="440" w:firstLineChars="200"/>
        <w:jc w:val="left"/>
        <w:rPr>
          <w:rFonts w:ascii="Calibri" w:hAnsi="Calibri" w:eastAsia="宋体" w:cs="Times New Roman"/>
          <w:color w:val="auto"/>
          <w:kern w:val="2"/>
          <w:sz w:val="22"/>
          <w:szCs w:val="22"/>
          <w:highlight w:val="none"/>
          <w:lang w:val="en-US" w:eastAsia="zh-CN" w:bidi="ar-SA"/>
        </w:rPr>
      </w:pPr>
    </w:p>
    <w:p>
      <w:pPr>
        <w:widowControl/>
        <w:spacing w:after="120" w:line="256" w:lineRule="auto"/>
        <w:ind w:left="420" w:leftChars="200" w:firstLine="440" w:firstLineChars="200"/>
        <w:jc w:val="left"/>
        <w:rPr>
          <w:rFonts w:ascii="Calibri" w:hAnsi="Calibri" w:eastAsia="宋体" w:cs="Times New Roman"/>
          <w:color w:val="auto"/>
          <w:kern w:val="2"/>
          <w:sz w:val="22"/>
          <w:szCs w:val="22"/>
          <w:highlight w:val="none"/>
          <w:lang w:val="en-US" w:eastAsia="zh-CN" w:bidi="ar-SA"/>
        </w:rPr>
      </w:pPr>
    </w:p>
    <w:p>
      <w:pPr>
        <w:spacing w:line="360" w:lineRule="auto"/>
        <w:jc w:val="left"/>
        <w:rPr>
          <w:color w:val="auto"/>
          <w:sz w:val="36"/>
          <w:highlight w:val="none"/>
          <w:u w:val="single"/>
        </w:rPr>
      </w:pPr>
    </w:p>
    <w:p>
      <w:pPr>
        <w:spacing w:line="360" w:lineRule="auto"/>
        <w:jc w:val="center"/>
        <w:rPr>
          <w:rFonts w:ascii="宋体" w:hAnsi="宋体"/>
          <w:b/>
          <w:bCs/>
          <w:color w:val="auto"/>
          <w:spacing w:val="26"/>
          <w:sz w:val="110"/>
          <w:szCs w:val="110"/>
          <w:highlight w:val="none"/>
        </w:rPr>
      </w:pPr>
      <w:r>
        <w:rPr>
          <w:rFonts w:hint="eastAsia" w:ascii="宋体" w:hAnsi="宋体"/>
          <w:b/>
          <w:bCs/>
          <w:color w:val="auto"/>
          <w:spacing w:val="26"/>
          <w:sz w:val="96"/>
          <w:szCs w:val="110"/>
          <w:highlight w:val="none"/>
        </w:rPr>
        <w:t>招标公告</w:t>
      </w:r>
    </w:p>
    <w:p>
      <w:pPr>
        <w:spacing w:line="360" w:lineRule="auto"/>
        <w:rPr>
          <w:color w:val="auto"/>
          <w:sz w:val="32"/>
          <w:highlight w:val="none"/>
        </w:rPr>
      </w:pPr>
    </w:p>
    <w:p>
      <w:pPr>
        <w:spacing w:line="360" w:lineRule="auto"/>
        <w:rPr>
          <w:color w:val="auto"/>
          <w:sz w:val="52"/>
          <w:highlight w:val="none"/>
        </w:rPr>
      </w:pPr>
    </w:p>
    <w:p>
      <w:pPr>
        <w:spacing w:line="360" w:lineRule="auto"/>
        <w:rPr>
          <w:color w:val="auto"/>
          <w:sz w:val="52"/>
          <w:highlight w:val="none"/>
        </w:rPr>
      </w:pPr>
    </w:p>
    <w:p>
      <w:pPr>
        <w:spacing w:line="360" w:lineRule="auto"/>
        <w:rPr>
          <w:color w:val="auto"/>
          <w:sz w:val="32"/>
          <w:highlight w:val="none"/>
        </w:rPr>
      </w:pPr>
    </w:p>
    <w:p>
      <w:pPr>
        <w:widowControl/>
        <w:spacing w:after="120" w:line="256" w:lineRule="auto"/>
        <w:ind w:left="420" w:leftChars="200" w:firstLine="440" w:firstLineChars="200"/>
        <w:jc w:val="left"/>
        <w:rPr>
          <w:rFonts w:ascii="Calibri" w:hAnsi="Calibri" w:eastAsia="宋体" w:cs="Times New Roman"/>
          <w:color w:val="auto"/>
          <w:kern w:val="2"/>
          <w:sz w:val="22"/>
          <w:szCs w:val="22"/>
          <w:highlight w:val="none"/>
          <w:lang w:val="en-US" w:eastAsia="zh-CN" w:bidi="ar-SA"/>
        </w:rPr>
      </w:pPr>
    </w:p>
    <w:p>
      <w:pPr>
        <w:widowControl/>
        <w:spacing w:after="120" w:line="256" w:lineRule="auto"/>
        <w:ind w:left="420" w:leftChars="200" w:firstLine="440" w:firstLineChars="200"/>
        <w:jc w:val="left"/>
        <w:rPr>
          <w:rFonts w:ascii="Calibri" w:hAnsi="Calibri" w:eastAsia="宋体" w:cs="Times New Roman"/>
          <w:color w:val="auto"/>
          <w:kern w:val="2"/>
          <w:sz w:val="22"/>
          <w:szCs w:val="22"/>
          <w:highlight w:val="none"/>
          <w:lang w:val="en-US" w:eastAsia="zh-CN" w:bidi="ar-SA"/>
        </w:rPr>
      </w:pPr>
    </w:p>
    <w:p>
      <w:pPr>
        <w:spacing w:line="48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招标单位：广州市重点公共建设项目管理中心</w:t>
      </w:r>
    </w:p>
    <w:p>
      <w:pPr>
        <w:spacing w:line="480" w:lineRule="auto"/>
        <w:ind w:firstLine="960" w:firstLineChars="300"/>
        <w:jc w:val="left"/>
        <w:rPr>
          <w:rFonts w:hint="eastAsia" w:ascii="宋体" w:hAnsi="宋体" w:eastAsia="宋体" w:cs="宋体"/>
          <w:color w:val="auto"/>
          <w:sz w:val="32"/>
          <w:szCs w:val="32"/>
          <w:highlight w:val="none"/>
          <w:lang w:eastAsia="zh-CN"/>
        </w:rPr>
      </w:pPr>
      <w:r>
        <w:rPr>
          <w:rFonts w:ascii="宋体" w:hAnsi="宋体" w:cs="宋体"/>
          <w:color w:val="auto"/>
          <w:sz w:val="32"/>
          <w:szCs w:val="32"/>
          <w:highlight w:val="none"/>
        </w:rPr>
        <w:t xml:space="preserve">    </w:t>
      </w:r>
      <w:r>
        <w:rPr>
          <w:rFonts w:hint="eastAsia" w:ascii="宋体" w:hAnsi="宋体" w:cs="宋体"/>
          <w:color w:val="auto"/>
          <w:sz w:val="32"/>
          <w:szCs w:val="32"/>
          <w:highlight w:val="none"/>
        </w:rPr>
        <w:t>招标代理机构：</w:t>
      </w:r>
      <w:r>
        <w:rPr>
          <w:rFonts w:hint="eastAsia" w:ascii="宋体" w:hAnsi="宋体" w:cs="宋体"/>
          <w:color w:val="auto"/>
          <w:sz w:val="32"/>
          <w:szCs w:val="32"/>
          <w:highlight w:val="none"/>
          <w:lang w:eastAsia="zh-CN"/>
        </w:rPr>
        <w:t>广东省机电设备招标有限公司</w:t>
      </w:r>
    </w:p>
    <w:p>
      <w:pPr>
        <w:spacing w:line="480" w:lineRule="auto"/>
        <w:ind w:firstLine="960" w:firstLineChars="300"/>
        <w:rPr>
          <w:rFonts w:ascii="宋体" w:hAnsi="宋体" w:cs="宋体"/>
          <w:color w:val="auto"/>
          <w:sz w:val="32"/>
          <w:szCs w:val="32"/>
          <w:highlight w:val="none"/>
        </w:rPr>
      </w:pPr>
      <w:r>
        <w:rPr>
          <w:rFonts w:ascii="宋体" w:hAnsi="宋体" w:cs="宋体"/>
          <w:color w:val="auto"/>
          <w:sz w:val="32"/>
          <w:szCs w:val="32"/>
          <w:highlight w:val="none"/>
        </w:rPr>
        <w:t xml:space="preserve">    </w:t>
      </w:r>
      <w:r>
        <w:rPr>
          <w:rFonts w:hint="eastAsia" w:ascii="宋体" w:hAnsi="宋体" w:cs="宋体"/>
          <w:color w:val="auto"/>
          <w:sz w:val="32"/>
          <w:szCs w:val="32"/>
          <w:highlight w:val="none"/>
        </w:rPr>
        <w:t>日     期：2023年</w:t>
      </w:r>
      <w:r>
        <w:rPr>
          <w:rFonts w:hint="eastAsia" w:ascii="宋体" w:hAnsi="宋体" w:cs="宋体"/>
          <w:color w:val="auto"/>
          <w:sz w:val="32"/>
          <w:szCs w:val="32"/>
          <w:highlight w:val="none"/>
          <w:lang w:val="en-US" w:eastAsia="zh-CN"/>
        </w:rPr>
        <w:t>9</w:t>
      </w:r>
      <w:r>
        <w:rPr>
          <w:rFonts w:hint="eastAsia" w:ascii="宋体" w:hAnsi="宋体" w:cs="宋体"/>
          <w:color w:val="auto"/>
          <w:sz w:val="32"/>
          <w:szCs w:val="32"/>
          <w:highlight w:val="none"/>
        </w:rPr>
        <w:t>月</w:t>
      </w:r>
    </w:p>
    <w:p>
      <w:pPr>
        <w:adjustRightInd w:val="0"/>
        <w:snapToGrid w:val="0"/>
        <w:spacing w:line="360" w:lineRule="auto"/>
        <w:jc w:val="center"/>
        <w:rPr>
          <w:rFonts w:hint="eastAsia" w:ascii="宋体" w:hAnsi="宋体" w:cs="宋体"/>
          <w:b/>
          <w:bCs/>
          <w:color w:val="auto"/>
          <w:sz w:val="36"/>
          <w:szCs w:val="36"/>
          <w:highlight w:val="none"/>
          <w:lang w:eastAsia="zh-CN" w:bidi="ar"/>
        </w:rPr>
      </w:pPr>
      <w:r>
        <w:rPr>
          <w:rFonts w:ascii="Times New Roman" w:hAnsi="Times New Roman"/>
          <w:b/>
          <w:color w:val="auto"/>
          <w:sz w:val="36"/>
          <w:szCs w:val="32"/>
          <w:highlight w:val="none"/>
        </w:rPr>
        <w:br w:type="page"/>
      </w:r>
      <w:r>
        <w:rPr>
          <w:rFonts w:hint="eastAsia" w:ascii="宋体" w:hAnsi="宋体" w:cs="宋体"/>
          <w:b/>
          <w:bCs/>
          <w:color w:val="auto"/>
          <w:sz w:val="36"/>
          <w:szCs w:val="36"/>
          <w:highlight w:val="none"/>
          <w:lang w:eastAsia="zh-CN" w:bidi="ar"/>
        </w:rPr>
        <w:t>广州市信息技术职业学校迁建工程第三方检测服务（室内环境检测、建筑节能工程检测、建筑设备及弱电系统检测）</w:t>
      </w:r>
    </w:p>
    <w:p>
      <w:pPr>
        <w:adjustRightInd w:val="0"/>
        <w:snapToGrid w:val="0"/>
        <w:spacing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lang w:bidi="ar"/>
        </w:rPr>
        <w:t>招标公告</w:t>
      </w:r>
    </w:p>
    <w:p>
      <w:pPr>
        <w:widowControl/>
        <w:numPr>
          <w:ilvl w:val="0"/>
          <w:numId w:val="1"/>
        </w:numPr>
        <w:spacing w:before="156" w:beforeLines="50" w:after="156" w:afterLines="50" w:line="360" w:lineRule="auto"/>
        <w:ind w:left="760" w:hanging="403"/>
        <w:jc w:val="left"/>
        <w:rPr>
          <w:rFonts w:ascii="宋体" w:hAnsi="宋体" w:cs="宋体"/>
          <w:b/>
          <w:bCs/>
          <w:color w:val="auto"/>
          <w:sz w:val="24"/>
          <w:highlight w:val="none"/>
        </w:rPr>
      </w:pPr>
      <w:r>
        <w:rPr>
          <w:rFonts w:hint="eastAsia" w:ascii="宋体" w:hAnsi="宋体" w:cs="宋体"/>
          <w:b/>
          <w:bCs/>
          <w:color w:val="auto"/>
          <w:sz w:val="24"/>
          <w:highlight w:val="none"/>
          <w:lang w:bidi="ar"/>
        </w:rPr>
        <w:t>招标条件</w:t>
      </w:r>
    </w:p>
    <w:p>
      <w:pPr>
        <w:shd w:val="clear" w:color="auto" w:fill="FFFFFF"/>
        <w:snapToGrid w:val="0"/>
        <w:spacing w:line="360" w:lineRule="auto"/>
        <w:ind w:firstLine="480" w:firstLineChars="200"/>
        <w:rPr>
          <w:rFonts w:ascii="宋体" w:hAnsi="宋体" w:cs="宋体"/>
          <w:color w:val="auto"/>
          <w:kern w:val="0"/>
          <w:sz w:val="30"/>
          <w:szCs w:val="30"/>
          <w:highlight w:val="none"/>
          <w:u w:val="single"/>
          <w:shd w:val="clear" w:color="auto" w:fill="FFFFFF"/>
        </w:rPr>
      </w:pPr>
      <w:r>
        <w:rPr>
          <w:rFonts w:hint="eastAsia" w:ascii="宋体" w:hAnsi="宋体" w:cs="宋体"/>
          <w:color w:val="auto"/>
          <w:sz w:val="24"/>
          <w:highlight w:val="none"/>
          <w:shd w:val="clear" w:color="auto" w:fill="FFFFFF"/>
          <w:lang w:bidi="ar"/>
        </w:rPr>
        <w:t>本招标项目</w:t>
      </w:r>
      <w:r>
        <w:rPr>
          <w:rFonts w:hint="eastAsia" w:ascii="宋体" w:hAnsi="宋体" w:cs="宋体"/>
          <w:color w:val="auto"/>
          <w:sz w:val="24"/>
          <w:highlight w:val="none"/>
          <w:u w:val="single"/>
          <w:shd w:val="clear" w:color="auto" w:fill="FFFFFF"/>
          <w:lang w:eastAsia="zh-CN" w:bidi="ar"/>
        </w:rPr>
        <w:t>广州市信息技术职业学校迁建工程</w:t>
      </w:r>
      <w:r>
        <w:rPr>
          <w:rFonts w:hint="eastAsia" w:ascii="宋体" w:hAnsi="宋体" w:cs="宋体"/>
          <w:color w:val="auto"/>
          <w:sz w:val="24"/>
          <w:highlight w:val="none"/>
          <w:shd w:val="clear" w:color="auto" w:fill="FFFFFF"/>
          <w:lang w:bidi="ar"/>
        </w:rPr>
        <w:t>已由</w:t>
      </w:r>
      <w:r>
        <w:rPr>
          <w:rFonts w:hint="eastAsia" w:ascii="宋体" w:hAnsi="宋体" w:cs="宋体"/>
          <w:color w:val="auto"/>
          <w:sz w:val="24"/>
          <w:highlight w:val="none"/>
          <w:u w:val="single"/>
          <w:shd w:val="clear" w:color="auto" w:fill="FFFFFF"/>
          <w:lang w:bidi="ar"/>
        </w:rPr>
        <w:t>广州市发展和改革委员会</w:t>
      </w:r>
      <w:r>
        <w:rPr>
          <w:rFonts w:hint="eastAsia" w:ascii="宋体" w:hAnsi="宋体" w:cs="宋体"/>
          <w:color w:val="auto"/>
          <w:sz w:val="24"/>
          <w:highlight w:val="none"/>
          <w:shd w:val="clear" w:color="auto" w:fill="FFFFFF"/>
          <w:lang w:bidi="ar"/>
        </w:rPr>
        <w:t>以</w:t>
      </w:r>
      <w:r>
        <w:rPr>
          <w:rFonts w:hint="eastAsia" w:ascii="宋体" w:hAnsi="宋体" w:cs="宋体"/>
          <w:color w:val="auto"/>
          <w:sz w:val="24"/>
          <w:highlight w:val="none"/>
          <w:u w:val="single"/>
          <w:shd w:val="clear" w:color="auto" w:fill="FFFFFF"/>
          <w:lang w:eastAsia="zh-CN" w:bidi="ar"/>
        </w:rPr>
        <w:t>穗发改批〔2019〕729号文</w:t>
      </w:r>
      <w:r>
        <w:rPr>
          <w:rFonts w:hint="eastAsia" w:ascii="宋体" w:hAnsi="宋体" w:cs="宋体"/>
          <w:color w:val="auto"/>
          <w:sz w:val="24"/>
          <w:highlight w:val="none"/>
          <w:shd w:val="clear" w:color="auto" w:fill="FFFFFF"/>
          <w:lang w:bidi="ar"/>
        </w:rPr>
        <w:t>批准建设，项目业主为</w:t>
      </w:r>
      <w:r>
        <w:rPr>
          <w:rFonts w:hint="eastAsia" w:ascii="宋体" w:hAnsi="宋体" w:cs="宋体"/>
          <w:color w:val="auto"/>
          <w:sz w:val="24"/>
          <w:highlight w:val="none"/>
          <w:u w:val="single"/>
          <w:shd w:val="clear" w:color="auto" w:fill="FFFFFF"/>
          <w:lang w:bidi="ar"/>
        </w:rPr>
        <w:t>广州市重点公共建设项目管理中心</w:t>
      </w:r>
      <w:r>
        <w:rPr>
          <w:rFonts w:hint="eastAsia" w:ascii="宋体" w:hAnsi="宋体" w:cs="宋体"/>
          <w:color w:val="auto"/>
          <w:sz w:val="24"/>
          <w:highlight w:val="none"/>
          <w:shd w:val="clear" w:color="auto" w:fill="FFFFFF"/>
          <w:lang w:bidi="ar"/>
        </w:rPr>
        <w:t>，建设资金来自</w:t>
      </w:r>
      <w:r>
        <w:rPr>
          <w:rFonts w:hint="eastAsia" w:ascii="宋体" w:hAnsi="宋体" w:cs="宋体"/>
          <w:color w:val="auto"/>
          <w:sz w:val="24"/>
          <w:highlight w:val="none"/>
          <w:u w:val="single"/>
          <w:shd w:val="clear" w:color="auto" w:fill="FFFFFF"/>
          <w:lang w:bidi="ar"/>
        </w:rPr>
        <w:t>市财政资金</w:t>
      </w:r>
      <w:r>
        <w:rPr>
          <w:rFonts w:hint="eastAsia" w:ascii="宋体" w:hAnsi="宋体" w:cs="宋体"/>
          <w:color w:val="auto"/>
          <w:sz w:val="24"/>
          <w:highlight w:val="none"/>
          <w:shd w:val="clear" w:color="auto" w:fill="FFFFFF"/>
          <w:lang w:bidi="ar"/>
        </w:rPr>
        <w:t>，出资比例为</w:t>
      </w:r>
      <w:r>
        <w:rPr>
          <w:rFonts w:hint="eastAsia" w:ascii="宋体" w:hAnsi="宋体" w:cs="宋体"/>
          <w:color w:val="auto"/>
          <w:sz w:val="24"/>
          <w:highlight w:val="none"/>
          <w:u w:val="single"/>
          <w:shd w:val="clear" w:color="auto" w:fill="FFFFFF"/>
          <w:lang w:bidi="ar"/>
        </w:rPr>
        <w:t>100%</w:t>
      </w:r>
      <w:r>
        <w:rPr>
          <w:rFonts w:hint="eastAsia" w:ascii="宋体" w:hAnsi="宋体" w:cs="宋体"/>
          <w:color w:val="auto"/>
          <w:sz w:val="24"/>
          <w:highlight w:val="none"/>
          <w:shd w:val="clear" w:color="auto" w:fill="FFFFFF"/>
          <w:lang w:bidi="ar"/>
        </w:rPr>
        <w:t>；招标人为</w:t>
      </w:r>
      <w:r>
        <w:rPr>
          <w:rFonts w:hint="eastAsia" w:ascii="宋体" w:hAnsi="宋体" w:cs="宋体"/>
          <w:color w:val="auto"/>
          <w:sz w:val="24"/>
          <w:highlight w:val="none"/>
          <w:u w:val="single"/>
          <w:shd w:val="clear" w:color="auto" w:fill="FFFFFF"/>
          <w:lang w:bidi="ar"/>
        </w:rPr>
        <w:t>广州市重点公共建设项目管理中心</w:t>
      </w:r>
      <w:r>
        <w:rPr>
          <w:rFonts w:hint="eastAsia" w:ascii="宋体" w:hAnsi="宋体" w:cs="宋体"/>
          <w:color w:val="auto"/>
          <w:sz w:val="24"/>
          <w:highlight w:val="none"/>
          <w:shd w:val="clear" w:color="auto" w:fill="FFFFFF"/>
          <w:lang w:bidi="ar"/>
        </w:rPr>
        <w:t>。项目已具备招标条件，现对该项目的</w:t>
      </w:r>
      <w:r>
        <w:rPr>
          <w:rFonts w:hint="eastAsia" w:ascii="宋体" w:hAnsi="宋体" w:cs="宋体"/>
          <w:color w:val="auto"/>
          <w:sz w:val="24"/>
          <w:highlight w:val="none"/>
          <w:u w:val="single"/>
          <w:shd w:val="clear" w:color="auto" w:fill="FFFFFF"/>
          <w:lang w:bidi="ar"/>
        </w:rPr>
        <w:t>第三方检测服务</w:t>
      </w:r>
      <w:r>
        <w:rPr>
          <w:rFonts w:hint="eastAsia" w:ascii="宋体" w:hAnsi="宋体" w:cs="宋体"/>
          <w:bCs/>
          <w:color w:val="auto"/>
          <w:sz w:val="24"/>
          <w:highlight w:val="none"/>
          <w:shd w:val="clear" w:color="auto" w:fill="FFFFFF"/>
          <w:lang w:bidi="ar"/>
        </w:rPr>
        <w:t>进行</w:t>
      </w:r>
      <w:r>
        <w:rPr>
          <w:rFonts w:hint="eastAsia" w:ascii="宋体" w:hAnsi="宋体" w:cs="宋体"/>
          <w:color w:val="auto"/>
          <w:sz w:val="24"/>
          <w:highlight w:val="none"/>
          <w:shd w:val="clear" w:color="auto" w:fill="FFFFFF"/>
          <w:lang w:bidi="ar"/>
        </w:rPr>
        <w:t>公开招标。</w:t>
      </w:r>
    </w:p>
    <w:p>
      <w:pPr>
        <w:widowControl/>
        <w:numPr>
          <w:ilvl w:val="0"/>
          <w:numId w:val="1"/>
        </w:numPr>
        <w:spacing w:before="156" w:beforeLines="50" w:after="156" w:afterLines="50" w:line="360" w:lineRule="auto"/>
        <w:ind w:left="760" w:hanging="403"/>
        <w:jc w:val="left"/>
        <w:rPr>
          <w:rFonts w:ascii="宋体" w:hAnsi="宋体" w:cs="宋体"/>
          <w:b/>
          <w:bCs/>
          <w:color w:val="auto"/>
          <w:sz w:val="24"/>
          <w:highlight w:val="none"/>
        </w:rPr>
      </w:pPr>
      <w:r>
        <w:rPr>
          <w:rFonts w:hint="eastAsia" w:ascii="宋体" w:hAnsi="宋体" w:cs="宋体"/>
          <w:b/>
          <w:bCs/>
          <w:color w:val="auto"/>
          <w:sz w:val="24"/>
          <w:highlight w:val="none"/>
          <w:lang w:bidi="ar"/>
        </w:rPr>
        <w:t>项目概况与招标范围</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bidi="ar"/>
        </w:rPr>
        <w:t xml:space="preserve">   2.1 招标项目概况</w:t>
      </w:r>
    </w:p>
    <w:p>
      <w:pPr>
        <w:spacing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lang w:bidi="ar"/>
        </w:rPr>
        <w:t>2.1.1招标项目名称：</w:t>
      </w:r>
      <w:r>
        <w:rPr>
          <w:rFonts w:hint="eastAsia" w:ascii="宋体" w:hAnsi="宋体" w:cs="宋体"/>
          <w:bCs/>
          <w:color w:val="auto"/>
          <w:sz w:val="24"/>
          <w:highlight w:val="none"/>
          <w:u w:val="single"/>
          <w:lang w:eastAsia="zh-CN" w:bidi="ar"/>
        </w:rPr>
        <w:t>广州市信息技术职业学校迁建工程第三方检测服务（室内环境检测、建筑节能工程检测、建筑设备及弱电系统检测）</w:t>
      </w:r>
      <w:r>
        <w:rPr>
          <w:rFonts w:hint="eastAsia" w:ascii="宋体" w:hAnsi="宋体" w:cs="宋体"/>
          <w:bCs/>
          <w:color w:val="auto"/>
          <w:sz w:val="24"/>
          <w:highlight w:val="none"/>
          <w:u w:val="single"/>
          <w:lang w:bidi="ar"/>
        </w:rPr>
        <w:t xml:space="preserve">  </w:t>
      </w:r>
    </w:p>
    <w:p>
      <w:pPr>
        <w:spacing w:line="360" w:lineRule="auto"/>
        <w:ind w:firstLine="480" w:firstLineChars="200"/>
        <w:rPr>
          <w:rFonts w:hint="eastAsia" w:ascii="宋体" w:hAnsi="宋体"/>
          <w:color w:val="auto"/>
          <w:sz w:val="24"/>
          <w:highlight w:val="none"/>
          <w:u w:val="single"/>
        </w:rPr>
      </w:pPr>
      <w:r>
        <w:rPr>
          <w:rFonts w:hint="eastAsia" w:ascii="宋体" w:hAnsi="宋体" w:cs="宋体"/>
          <w:bCs/>
          <w:color w:val="auto"/>
          <w:sz w:val="24"/>
          <w:highlight w:val="none"/>
          <w:lang w:bidi="ar"/>
        </w:rPr>
        <w:t>2.1.2工程建设规模：</w:t>
      </w:r>
      <w:r>
        <w:rPr>
          <w:rFonts w:hint="eastAsia" w:ascii="宋体" w:hAnsi="宋体" w:cs="宋体"/>
          <w:bCs/>
          <w:color w:val="auto"/>
          <w:sz w:val="24"/>
          <w:highlight w:val="none"/>
          <w:u w:val="single"/>
          <w:lang w:bidi="ar"/>
        </w:rPr>
        <w:t>广州市信息技术职业学校迁建工程</w:t>
      </w:r>
      <w:r>
        <w:rPr>
          <w:rFonts w:hint="eastAsia" w:ascii="Times New Roman" w:hAnsi="Times New Roman"/>
          <w:color w:val="auto"/>
          <w:sz w:val="24"/>
          <w:highlight w:val="none"/>
          <w:u w:val="single"/>
        </w:rPr>
        <w:t>拟建于增城区朱村街秀山村、凤岗村，</w:t>
      </w:r>
      <w:r>
        <w:rPr>
          <w:rFonts w:hint="eastAsia" w:ascii="宋体" w:hAnsi="宋体" w:cs="宋体"/>
          <w:bCs/>
          <w:color w:val="auto"/>
          <w:sz w:val="24"/>
          <w:highlight w:val="none"/>
          <w:u w:val="single"/>
          <w:lang w:bidi="ar"/>
        </w:rPr>
        <w:t>总用地面积285746.74平方米，总建筑面积201700平方米，建设内容包括教室及图书室26200平方米，实验实训场所51200平方米，行政用房10000平方米，学生宿舍及教师值班用房72000平方米（其中</w:t>
      </w:r>
      <w:r>
        <w:rPr>
          <w:rFonts w:hint="eastAsia" w:ascii="宋体" w:hAnsi="宋体" w:cs="宋体"/>
          <w:bCs/>
          <w:color w:val="auto"/>
          <w:sz w:val="24"/>
          <w:highlight w:val="none"/>
          <w:u w:val="single"/>
          <w:lang w:eastAsia="zh-CN" w:bidi="ar"/>
        </w:rPr>
        <w:t>，</w:t>
      </w:r>
      <w:r>
        <w:rPr>
          <w:rFonts w:hint="eastAsia" w:ascii="宋体" w:hAnsi="宋体" w:cs="宋体"/>
          <w:bCs/>
          <w:color w:val="auto"/>
          <w:sz w:val="24"/>
          <w:highlight w:val="none"/>
          <w:u w:val="single"/>
          <w:lang w:bidi="ar"/>
        </w:rPr>
        <w:t>教师值班用房2000平方米），室内体育用房3500平方米，食堂、生活福利及其他附属用房16000平方米，地下室及架空层22800平方米。</w:t>
      </w:r>
    </w:p>
    <w:p>
      <w:pPr>
        <w:spacing w:line="360" w:lineRule="auto"/>
        <w:ind w:firstLine="480" w:firstLineChars="200"/>
        <w:rPr>
          <w:rFonts w:ascii="宋体" w:hAnsi="宋体" w:cs="宋体"/>
          <w:color w:val="auto"/>
          <w:sz w:val="24"/>
          <w:highlight w:val="none"/>
          <w:u w:val="single"/>
        </w:rPr>
      </w:pPr>
      <w:r>
        <w:rPr>
          <w:rFonts w:hint="eastAsia" w:ascii="宋体" w:hAnsi="宋体" w:cs="宋体"/>
          <w:bCs/>
          <w:color w:val="auto"/>
          <w:sz w:val="24"/>
          <w:highlight w:val="none"/>
          <w:lang w:bidi="ar"/>
        </w:rPr>
        <w:t>2.1.3工程建设地点：</w:t>
      </w:r>
      <w:bookmarkStart w:id="0" w:name="_Hlk83560286"/>
      <w:r>
        <w:rPr>
          <w:rFonts w:hint="eastAsia" w:ascii="宋体" w:hAnsi="宋体" w:cs="宋体"/>
          <w:bCs/>
          <w:color w:val="auto"/>
          <w:sz w:val="24"/>
          <w:highlight w:val="none"/>
          <w:u w:val="single"/>
          <w:lang w:bidi="ar"/>
        </w:rPr>
        <w:t>广州市增城区朱村街秀山村、凤岗村</w:t>
      </w:r>
      <w:r>
        <w:rPr>
          <w:rFonts w:ascii="宋体" w:hAnsi="宋体" w:cs="宋体"/>
          <w:bCs/>
          <w:color w:val="auto"/>
          <w:sz w:val="24"/>
          <w:highlight w:val="none"/>
          <w:lang w:bidi="ar"/>
        </w:rPr>
        <w:t>。</w:t>
      </w:r>
      <w:bookmarkEnd w:id="0"/>
    </w:p>
    <w:p>
      <w:pPr>
        <w:spacing w:line="360" w:lineRule="auto"/>
        <w:ind w:firstLine="480" w:firstLineChars="200"/>
        <w:rPr>
          <w:rFonts w:ascii="宋体" w:hAnsi="宋体" w:cs="宋体"/>
          <w:bCs/>
          <w:color w:val="auto"/>
          <w:sz w:val="24"/>
          <w:highlight w:val="none"/>
          <w:u w:val="single"/>
          <w:lang w:bidi="ar"/>
        </w:rPr>
      </w:pPr>
      <w:r>
        <w:rPr>
          <w:rFonts w:hint="eastAsia" w:ascii="宋体" w:hAnsi="宋体" w:cs="宋体"/>
          <w:bCs/>
          <w:color w:val="auto"/>
          <w:sz w:val="24"/>
          <w:highlight w:val="none"/>
          <w:lang w:bidi="ar"/>
        </w:rPr>
        <w:t>2.1.4工程总投资：</w:t>
      </w:r>
      <w:r>
        <w:rPr>
          <w:rFonts w:hint="eastAsia" w:ascii="Times New Roman" w:hAnsi="Times New Roman"/>
          <w:color w:val="auto"/>
          <w:sz w:val="24"/>
          <w:highlight w:val="none"/>
          <w:u w:val="single"/>
        </w:rPr>
        <w:t>广州市信息技术职业学校迁建工程项目总投资109410万元</w:t>
      </w:r>
      <w:r>
        <w:rPr>
          <w:rFonts w:hint="eastAsia" w:ascii="Times New Roman" w:hAnsi="Times New Roman"/>
          <w:color w:val="auto"/>
          <w:sz w:val="24"/>
          <w:highlight w:val="none"/>
          <w:u w:val="single"/>
          <w:lang w:eastAsia="zh-CN"/>
        </w:rPr>
        <w:t>，</w:t>
      </w:r>
      <w:r>
        <w:rPr>
          <w:rFonts w:hint="eastAsia" w:ascii="Times New Roman" w:hAnsi="Times New Roman"/>
          <w:color w:val="auto"/>
          <w:sz w:val="24"/>
          <w:highlight w:val="none"/>
          <w:u w:val="single"/>
        </w:rPr>
        <w:t>其中工程费用93600万元，工程建设其他费用10600万元</w:t>
      </w:r>
      <w:r>
        <w:rPr>
          <w:rFonts w:hint="eastAsia" w:ascii="Times New Roman" w:hAnsi="Times New Roman"/>
          <w:color w:val="auto"/>
          <w:sz w:val="24"/>
          <w:highlight w:val="none"/>
          <w:u w:val="single"/>
          <w:lang w:eastAsia="zh-CN"/>
        </w:rPr>
        <w:t>，</w:t>
      </w:r>
      <w:r>
        <w:rPr>
          <w:rFonts w:hint="eastAsia" w:ascii="Times New Roman" w:hAnsi="Times New Roman"/>
          <w:color w:val="auto"/>
          <w:sz w:val="24"/>
          <w:highlight w:val="none"/>
          <w:u w:val="single"/>
        </w:rPr>
        <w:t>预备费5210万元</w:t>
      </w:r>
      <w:r>
        <w:rPr>
          <w:rFonts w:hint="eastAsia" w:ascii="宋体" w:hAnsi="宋体" w:cs="宋体"/>
          <w:bCs/>
          <w:color w:val="auto"/>
          <w:sz w:val="24"/>
          <w:highlight w:val="none"/>
          <w:lang w:bidi="ar"/>
        </w:rPr>
        <w:t>。</w:t>
      </w:r>
    </w:p>
    <w:p>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lang w:bidi="ar"/>
        </w:rPr>
        <w:t>资金来源：</w:t>
      </w:r>
      <w:r>
        <w:rPr>
          <w:rFonts w:hint="eastAsia" w:ascii="宋体" w:hAnsi="宋体" w:cs="宋体"/>
          <w:color w:val="auto"/>
          <w:sz w:val="24"/>
          <w:highlight w:val="none"/>
          <w:u w:val="single"/>
          <w:lang w:bidi="ar"/>
        </w:rPr>
        <w:t>市财政资金。</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bidi="ar"/>
        </w:rPr>
        <w:t xml:space="preserve">   2.2招标范围、招标内容及标段划分</w:t>
      </w:r>
    </w:p>
    <w:p>
      <w:pPr>
        <w:spacing w:line="360" w:lineRule="auto"/>
        <w:ind w:firstLine="480" w:firstLineChars="200"/>
        <w:rPr>
          <w:rFonts w:ascii="宋体" w:hAnsi="宋体" w:cs="宋体"/>
          <w:color w:val="auto"/>
          <w:sz w:val="24"/>
          <w:highlight w:val="none"/>
          <w:u w:val="single"/>
        </w:rPr>
      </w:pPr>
      <w:r>
        <w:rPr>
          <w:rFonts w:hint="eastAsia" w:ascii="宋体" w:hAnsi="宋体" w:cs="宋体"/>
          <w:bCs/>
          <w:color w:val="auto"/>
          <w:sz w:val="24"/>
          <w:highlight w:val="none"/>
          <w:lang w:bidi="ar"/>
        </w:rPr>
        <w:t>2.2.1标段划分：</w:t>
      </w:r>
      <w:r>
        <w:rPr>
          <w:rFonts w:hint="eastAsia" w:ascii="宋体" w:hAnsi="宋体" w:cs="宋体"/>
          <w:color w:val="auto"/>
          <w:sz w:val="24"/>
          <w:highlight w:val="none"/>
          <w:u w:val="single"/>
          <w:lang w:bidi="ar"/>
        </w:rPr>
        <w:t>本项目设1个标段</w:t>
      </w:r>
    </w:p>
    <w:p>
      <w:pPr>
        <w:widowControl/>
        <w:shd w:val="clear" w:color="auto" w:fill="FFFFFF"/>
        <w:snapToGrid w:val="0"/>
        <w:spacing w:line="360" w:lineRule="auto"/>
        <w:ind w:firstLine="484" w:firstLineChars="202"/>
        <w:jc w:val="left"/>
        <w:rPr>
          <w:rFonts w:ascii="宋体" w:hAnsi="宋体" w:cs="宋体"/>
          <w:color w:val="auto"/>
          <w:highlight w:val="none"/>
          <w:u w:val="single"/>
          <w:shd w:val="clear" w:color="auto" w:fill="FFFFFF"/>
        </w:rPr>
      </w:pPr>
      <w:r>
        <w:rPr>
          <w:rFonts w:hint="eastAsia" w:ascii="宋体" w:hAnsi="宋体" w:cs="宋体"/>
          <w:color w:val="auto"/>
          <w:sz w:val="24"/>
          <w:highlight w:val="none"/>
          <w:shd w:val="clear" w:color="auto" w:fill="FFFFFF"/>
          <w:lang w:bidi="ar"/>
        </w:rPr>
        <w:t>2.2.2</w:t>
      </w:r>
      <w:bookmarkStart w:id="1" w:name="_Hlk35422418"/>
      <w:r>
        <w:rPr>
          <w:rFonts w:hint="eastAsia" w:ascii="宋体" w:hAnsi="宋体" w:cs="宋体"/>
          <w:color w:val="auto"/>
          <w:sz w:val="24"/>
          <w:highlight w:val="none"/>
          <w:shd w:val="clear" w:color="auto" w:fill="FFFFFF"/>
          <w:lang w:bidi="ar"/>
        </w:rPr>
        <w:t>招标内容</w:t>
      </w:r>
      <w:bookmarkEnd w:id="1"/>
      <w:r>
        <w:rPr>
          <w:rFonts w:hint="eastAsia" w:ascii="宋体" w:hAnsi="宋体" w:cs="宋体"/>
          <w:color w:val="auto"/>
          <w:sz w:val="24"/>
          <w:highlight w:val="none"/>
          <w:shd w:val="clear" w:color="auto" w:fill="FFFFFF"/>
          <w:lang w:bidi="ar"/>
        </w:rPr>
        <w:t>（包括但不限于以下内容）：</w:t>
      </w:r>
      <w:bookmarkStart w:id="2" w:name="_Hlk35422434"/>
      <w:r>
        <w:rPr>
          <w:rFonts w:hint="eastAsia" w:ascii="宋体" w:hAnsi="宋体" w:cs="宋体"/>
          <w:color w:val="auto"/>
          <w:sz w:val="24"/>
          <w:highlight w:val="none"/>
          <w:u w:val="single"/>
          <w:shd w:val="clear" w:color="auto" w:fill="FFFFFF"/>
          <w:lang w:bidi="ar"/>
        </w:rPr>
        <w:t>室内环境检测、建筑节能工程检测、建筑设备及弱电系统检测，具体的检测项目以工程量清单、招标文件、设计图纸及有关规范要求为准。</w:t>
      </w:r>
    </w:p>
    <w:p>
      <w:pPr>
        <w:spacing w:line="360" w:lineRule="auto"/>
        <w:ind w:firstLine="480" w:firstLineChars="200"/>
        <w:jc w:val="left"/>
        <w:rPr>
          <w:rFonts w:ascii="宋体" w:hAnsi="宋体" w:cs="宋体"/>
          <w:bCs/>
          <w:color w:val="auto"/>
          <w:sz w:val="24"/>
          <w:highlight w:val="none"/>
          <w:u w:val="single"/>
        </w:rPr>
      </w:pPr>
      <w:r>
        <w:rPr>
          <w:rFonts w:hint="eastAsia" w:ascii="宋体" w:hAnsi="宋体" w:cs="宋体"/>
          <w:bCs/>
          <w:color w:val="auto"/>
          <w:sz w:val="24"/>
          <w:highlight w:val="none"/>
          <w:lang w:bidi="ar"/>
        </w:rPr>
        <w:t>2.2.3最高投标限价：</w:t>
      </w:r>
      <w:r>
        <w:rPr>
          <w:rFonts w:hint="eastAsia" w:ascii="宋体" w:hAnsi="宋体" w:cs="宋体"/>
          <w:bCs/>
          <w:color w:val="auto"/>
          <w:sz w:val="24"/>
          <w:highlight w:val="none"/>
          <w:u w:val="single"/>
          <w:lang w:eastAsia="zh-CN" w:bidi="ar"/>
        </w:rPr>
        <w:t>444.9116</w:t>
      </w:r>
      <w:r>
        <w:rPr>
          <w:rFonts w:hint="eastAsia" w:ascii="宋体" w:hAnsi="宋体" w:cs="宋体"/>
          <w:bCs/>
          <w:color w:val="auto"/>
          <w:sz w:val="24"/>
          <w:highlight w:val="none"/>
          <w:u w:val="single"/>
          <w:lang w:val="en-US" w:eastAsia="zh-CN" w:bidi="ar"/>
        </w:rPr>
        <w:t>万</w:t>
      </w:r>
      <w:r>
        <w:rPr>
          <w:rFonts w:hint="eastAsia" w:ascii="宋体" w:hAnsi="宋体" w:cs="宋体"/>
          <w:bCs/>
          <w:color w:val="auto"/>
          <w:sz w:val="24"/>
          <w:highlight w:val="none"/>
          <w:u w:val="single"/>
          <w:lang w:bidi="ar"/>
        </w:rPr>
        <w:t>元</w:t>
      </w:r>
    </w:p>
    <w:bookmarkEnd w:id="2"/>
    <w:p>
      <w:pPr>
        <w:spacing w:line="360" w:lineRule="auto"/>
        <w:ind w:firstLine="480" w:firstLineChars="200"/>
        <w:rPr>
          <w:rFonts w:ascii="宋体" w:hAnsi="宋体" w:cs="宋体"/>
          <w:b/>
          <w:bCs/>
          <w:color w:val="auto"/>
          <w:sz w:val="24"/>
          <w:highlight w:val="none"/>
          <w:u w:val="single"/>
        </w:rPr>
      </w:pPr>
      <w:r>
        <w:rPr>
          <w:rFonts w:hint="eastAsia" w:ascii="宋体" w:hAnsi="宋体" w:cs="宋体"/>
          <w:color w:val="auto"/>
          <w:sz w:val="24"/>
          <w:highlight w:val="none"/>
          <w:shd w:val="clear" w:color="auto" w:fill="FFFFFF"/>
          <w:lang w:bidi="ar"/>
        </w:rPr>
        <w:t>2.2.4招标范围（包括但不限于以下内容）：</w:t>
      </w:r>
      <w:r>
        <w:rPr>
          <w:rFonts w:hint="eastAsia" w:ascii="宋体" w:hAnsi="宋体" w:cs="宋体"/>
          <w:color w:val="auto"/>
          <w:sz w:val="24"/>
          <w:highlight w:val="none"/>
          <w:u w:val="single"/>
          <w:shd w:val="clear" w:color="auto" w:fill="FFFFFF"/>
          <w:lang w:bidi="ar"/>
        </w:rPr>
        <w:t>室内环境检测、建筑节能工程检测、建筑设备及弱电系统检测，具体的检测项目以工程量清单、招标文件、设计图纸及有关规范要求为准</w:t>
      </w:r>
      <w:r>
        <w:rPr>
          <w:rFonts w:hint="eastAsia" w:ascii="宋体" w:hAnsi="宋体" w:cs="宋体"/>
          <w:color w:val="auto"/>
          <w:sz w:val="24"/>
          <w:highlight w:val="none"/>
          <w:u w:val="single"/>
          <w:lang w:bidi="ar"/>
        </w:rPr>
        <w:t>，且满足招标文件约定的工作要求。</w:t>
      </w:r>
    </w:p>
    <w:p>
      <w:pPr>
        <w:adjustRightInd w:val="0"/>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lang w:bidi="ar"/>
        </w:rPr>
        <w:t>3．投标人资格要求</w:t>
      </w:r>
    </w:p>
    <w:p>
      <w:pPr>
        <w:shd w:val="clear" w:color="auto" w:fill="FFFFFF"/>
        <w:spacing w:line="360" w:lineRule="auto"/>
        <w:ind w:firstLine="537" w:firstLineChars="22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bidi="ar"/>
        </w:rPr>
        <w:t>3.1投标人应具备以下资质：</w:t>
      </w:r>
    </w:p>
    <w:p>
      <w:pPr>
        <w:shd w:val="clear" w:color="auto" w:fill="FFFFFF"/>
        <w:spacing w:line="360" w:lineRule="auto"/>
        <w:ind w:firstLine="537" w:firstLineChars="224"/>
        <w:rPr>
          <w:rFonts w:ascii="宋体" w:hAnsi="宋体" w:cs="宋体"/>
          <w:color w:val="auto"/>
          <w:sz w:val="24"/>
          <w:highlight w:val="none"/>
          <w:u w:val="single"/>
          <w:shd w:val="clear" w:color="auto" w:fill="FFFFFF"/>
          <w:lang w:bidi="ar"/>
        </w:rPr>
      </w:pPr>
      <w:r>
        <w:rPr>
          <w:rFonts w:hint="eastAsia" w:ascii="宋体" w:hAnsi="宋体" w:cs="宋体"/>
          <w:color w:val="auto"/>
          <w:sz w:val="24"/>
          <w:highlight w:val="none"/>
          <w:u w:val="single"/>
          <w:shd w:val="clear" w:color="auto" w:fill="FFFFFF"/>
          <w:lang w:bidi="ar"/>
        </w:rPr>
        <w:t>3.1.1、投标人应满足以下（1）和（2）任意一项资格条件：</w:t>
      </w:r>
    </w:p>
    <w:p>
      <w:pPr>
        <w:shd w:val="clear" w:color="auto" w:fill="FFFFFF"/>
        <w:spacing w:line="360" w:lineRule="auto"/>
        <w:ind w:firstLine="240" w:firstLineChars="100"/>
        <w:rPr>
          <w:rFonts w:ascii="宋体" w:hAnsi="宋体" w:cs="宋体"/>
          <w:color w:val="auto"/>
          <w:sz w:val="24"/>
          <w:highlight w:val="none"/>
          <w:u w:val="single"/>
          <w:shd w:val="clear" w:color="auto" w:fill="FFFFFF"/>
          <w:lang w:bidi="ar"/>
        </w:rPr>
      </w:pPr>
      <w:r>
        <w:rPr>
          <w:rFonts w:hint="eastAsia" w:ascii="宋体" w:hAnsi="宋体" w:cs="宋体"/>
          <w:color w:val="auto"/>
          <w:sz w:val="24"/>
          <w:highlight w:val="none"/>
          <w:shd w:val="clear" w:color="auto" w:fill="FFFFFF"/>
          <w:lang w:bidi="ar"/>
        </w:rPr>
        <w:t xml:space="preserve">  </w:t>
      </w:r>
      <w:r>
        <w:rPr>
          <w:rFonts w:hint="eastAsia" w:ascii="宋体" w:hAnsi="宋体" w:cs="宋体"/>
          <w:color w:val="auto"/>
          <w:sz w:val="24"/>
          <w:highlight w:val="none"/>
          <w:u w:val="single"/>
          <w:shd w:val="clear" w:color="auto" w:fill="FFFFFF"/>
          <w:lang w:bidi="ar"/>
        </w:rPr>
        <w:t>（1）根据《住房和城乡建设部办公厅关于做好建设工程质量检测机构新旧资质标准过渡工作的通知》（建办质函〔2023〕100号）规定尚未办理新资质的，需具备质量技术监督部门颁发CMA计量认证合格证书（或CMA检验检测机构资质认定证书）(认证范围须覆盖主要招标内容：室内环境检测、建筑节能工程检测、建筑设备及弱电系统检测，如CMA计量认证合格证书中的认证项目与上述名称不同，但表达的意思一致也视为满足该项条件)，且证书在有效期内。</w:t>
      </w:r>
    </w:p>
    <w:p>
      <w:pPr>
        <w:shd w:val="clear" w:color="auto" w:fill="FFFFFF"/>
        <w:spacing w:line="360" w:lineRule="auto"/>
        <w:ind w:firstLine="240" w:firstLineChars="100"/>
        <w:rPr>
          <w:rFonts w:ascii="宋体" w:hAnsi="宋体" w:cs="宋体"/>
          <w:color w:val="auto"/>
          <w:sz w:val="24"/>
          <w:highlight w:val="none"/>
          <w:u w:val="single"/>
          <w:shd w:val="clear" w:color="auto" w:fill="FFFFFF"/>
          <w:lang w:bidi="ar"/>
        </w:rPr>
      </w:pPr>
      <w:r>
        <w:rPr>
          <w:rFonts w:hint="eastAsia" w:ascii="宋体" w:hAnsi="宋体" w:cs="宋体"/>
          <w:color w:val="auto"/>
          <w:sz w:val="24"/>
          <w:highlight w:val="none"/>
          <w:shd w:val="clear" w:color="auto" w:fill="FFFFFF"/>
          <w:lang w:bidi="ar"/>
        </w:rPr>
        <w:t xml:space="preserve">  </w:t>
      </w:r>
      <w:r>
        <w:rPr>
          <w:rFonts w:hint="eastAsia" w:ascii="宋体" w:hAnsi="宋体" w:cs="宋体"/>
          <w:color w:val="auto"/>
          <w:sz w:val="24"/>
          <w:highlight w:val="none"/>
          <w:u w:val="single"/>
          <w:shd w:val="clear" w:color="auto" w:fill="FFFFFF"/>
          <w:lang w:bidi="ar"/>
        </w:rPr>
        <w:t>（2）根据《建设工程质量检测机构资质标准》（建质规〔2023〕1号）规定，已办理新资质的，需同时满足以下①和②项规定：</w:t>
      </w:r>
    </w:p>
    <w:p>
      <w:pPr>
        <w:shd w:val="clear" w:color="auto" w:fill="FFFFFF"/>
        <w:spacing w:line="360" w:lineRule="auto"/>
        <w:ind w:firstLine="240" w:firstLineChars="100"/>
        <w:rPr>
          <w:rFonts w:ascii="宋体" w:hAnsi="宋体" w:cs="宋体"/>
          <w:color w:val="auto"/>
          <w:sz w:val="24"/>
          <w:highlight w:val="none"/>
          <w:u w:val="single"/>
          <w:shd w:val="clear" w:color="auto" w:fill="FFFFFF"/>
          <w:lang w:bidi="ar"/>
        </w:rPr>
      </w:pPr>
      <w:r>
        <w:rPr>
          <w:rFonts w:hint="eastAsia" w:ascii="宋体" w:hAnsi="宋体" w:cs="宋体"/>
          <w:color w:val="auto"/>
          <w:sz w:val="24"/>
          <w:highlight w:val="none"/>
          <w:shd w:val="clear" w:color="auto" w:fill="FFFFFF"/>
          <w:lang w:bidi="ar"/>
        </w:rPr>
        <w:t xml:space="preserve">   </w:t>
      </w:r>
      <w:r>
        <w:rPr>
          <w:rFonts w:hint="eastAsia" w:ascii="宋体" w:hAnsi="宋体" w:cs="宋体"/>
          <w:color w:val="auto"/>
          <w:sz w:val="24"/>
          <w:highlight w:val="none"/>
          <w:u w:val="single"/>
          <w:shd w:val="clear" w:color="auto" w:fill="FFFFFF"/>
          <w:lang w:bidi="ar"/>
        </w:rPr>
        <w:t>①具备建设行政主管部门颁发的建设工程质量检测机构综合资质证书或专项资质证书（专项资质证书包括：主体结构及装饰装修、建筑节能）。</w:t>
      </w:r>
    </w:p>
    <w:p>
      <w:pPr>
        <w:shd w:val="clear" w:color="auto" w:fill="FFFFFF"/>
        <w:spacing w:line="360" w:lineRule="auto"/>
        <w:ind w:firstLine="240" w:firstLineChars="100"/>
        <w:rPr>
          <w:rFonts w:ascii="宋体" w:hAnsi="宋体" w:cs="宋体"/>
          <w:color w:val="auto"/>
          <w:sz w:val="24"/>
          <w:highlight w:val="none"/>
          <w:u w:val="single"/>
          <w:shd w:val="clear" w:color="auto" w:fill="FFFFFF"/>
          <w:lang w:bidi="ar"/>
        </w:rPr>
      </w:pPr>
      <w:r>
        <w:rPr>
          <w:rFonts w:hint="eastAsia" w:ascii="宋体" w:hAnsi="宋体" w:cs="宋体"/>
          <w:color w:val="auto"/>
          <w:sz w:val="24"/>
          <w:highlight w:val="none"/>
          <w:shd w:val="clear" w:color="auto" w:fill="FFFFFF"/>
          <w:lang w:bidi="ar"/>
        </w:rPr>
        <w:t xml:space="preserve">   </w:t>
      </w:r>
      <w:r>
        <w:rPr>
          <w:rFonts w:hint="eastAsia" w:ascii="宋体" w:hAnsi="宋体" w:cs="宋体"/>
          <w:color w:val="auto"/>
          <w:sz w:val="24"/>
          <w:highlight w:val="none"/>
          <w:u w:val="single"/>
          <w:shd w:val="clear" w:color="auto" w:fill="FFFFFF"/>
          <w:lang w:bidi="ar"/>
        </w:rPr>
        <w:t>②具备质量技术监督部门颁发CMA计量认证合格证书（或CMA检验检测机构资质认定证书）(认证范围须覆盖主要招标内容：室内环境检测、建筑节能工程检测、建筑设备及弱电系统检测，如CMA计量认证合格证书中的认证项目与上述名称不同，但表达的意思一致也视为满足该项条件)，且证书在有效期内。；</w:t>
      </w:r>
    </w:p>
    <w:p>
      <w:pPr>
        <w:shd w:val="clear" w:color="auto" w:fill="FFFFFF"/>
        <w:spacing w:line="360" w:lineRule="auto"/>
        <w:ind w:firstLine="537" w:firstLineChars="224"/>
        <w:rPr>
          <w:rFonts w:ascii="宋体" w:hAnsi="宋体" w:cs="宋体"/>
          <w:color w:val="auto"/>
          <w:sz w:val="24"/>
          <w:highlight w:val="none"/>
          <w:u w:val="single"/>
          <w:shd w:val="clear" w:color="auto" w:fill="FFFFFF"/>
          <w:lang w:bidi="ar"/>
        </w:rPr>
      </w:pPr>
      <w:r>
        <w:rPr>
          <w:rFonts w:hint="eastAsia" w:ascii="宋体" w:hAnsi="宋体" w:cs="宋体"/>
          <w:color w:val="auto"/>
          <w:sz w:val="24"/>
          <w:highlight w:val="none"/>
          <w:u w:val="single"/>
          <w:shd w:val="clear" w:color="auto" w:fill="FFFFFF"/>
          <w:lang w:bidi="ar"/>
        </w:rPr>
        <w:t>3.1.2、2021年1月1日至今未因以往检测工作中存在伪造检测数据、出具虚假检测报告的行为被各级建设行政主管部门或市场监督管理部门行政处罚或通报。（《投标人声明》中承诺）</w:t>
      </w:r>
    </w:p>
    <w:p>
      <w:pPr>
        <w:shd w:val="clear" w:color="auto" w:fill="FFFFFF"/>
        <w:spacing w:line="360" w:lineRule="auto"/>
        <w:ind w:firstLine="537" w:firstLineChars="224"/>
        <w:rPr>
          <w:rFonts w:ascii="宋体" w:hAnsi="宋体" w:cs="宋体"/>
          <w:b/>
          <w:bCs/>
          <w:color w:val="auto"/>
          <w:sz w:val="24"/>
          <w:highlight w:val="none"/>
          <w:shd w:val="clear" w:color="auto" w:fill="FFFFFF"/>
        </w:rPr>
      </w:pPr>
      <w:r>
        <w:rPr>
          <w:rFonts w:hint="eastAsia" w:ascii="宋体" w:hAnsi="宋体" w:cs="宋体"/>
          <w:color w:val="auto"/>
          <w:kern w:val="0"/>
          <w:sz w:val="24"/>
          <w:highlight w:val="none"/>
          <w:shd w:val="clear" w:color="auto" w:fill="FFFFFF"/>
          <w:lang w:bidi="ar"/>
        </w:rPr>
        <w:t>3.2</w:t>
      </w:r>
      <w:r>
        <w:rPr>
          <w:rFonts w:hint="eastAsia" w:ascii="宋体" w:hAnsi="宋体" w:cs="宋体"/>
          <w:color w:val="auto"/>
          <w:sz w:val="24"/>
          <w:highlight w:val="none"/>
          <w:shd w:val="clear" w:color="auto" w:fill="FFFFFF"/>
          <w:lang w:bidi="ar"/>
        </w:rPr>
        <w:t>投标人拟担任本工程项目负责人具有：</w:t>
      </w:r>
      <w:r>
        <w:rPr>
          <w:rFonts w:hint="eastAsia" w:ascii="宋体" w:hAnsi="宋体" w:cs="宋体"/>
          <w:b/>
          <w:bCs/>
          <w:color w:val="auto"/>
          <w:sz w:val="24"/>
          <w:highlight w:val="none"/>
          <w:u w:val="single"/>
          <w:shd w:val="clear" w:color="auto" w:fill="FFFFFF"/>
          <w:lang w:bidi="ar"/>
        </w:rPr>
        <w:t>工程类</w:t>
      </w:r>
      <w:r>
        <w:rPr>
          <w:rFonts w:hint="eastAsia" w:ascii="宋体" w:hAnsi="宋体" w:cs="宋体"/>
          <w:bCs/>
          <w:color w:val="auto"/>
          <w:sz w:val="24"/>
          <w:highlight w:val="none"/>
          <w:u w:val="single"/>
          <w:shd w:val="clear" w:color="auto" w:fill="FFFFFF"/>
          <w:lang w:bidi="ar"/>
        </w:rPr>
        <w:t>相关专业中级或以上技术职称</w:t>
      </w:r>
      <w:r>
        <w:rPr>
          <w:rFonts w:hint="eastAsia" w:ascii="宋体" w:hAnsi="宋体" w:cs="宋体"/>
          <w:b/>
          <w:bCs/>
          <w:color w:val="auto"/>
          <w:sz w:val="24"/>
          <w:highlight w:val="none"/>
          <w:shd w:val="clear" w:color="auto" w:fill="FFFFFF"/>
          <w:lang w:bidi="ar"/>
        </w:rPr>
        <w:t>；</w:t>
      </w:r>
    </w:p>
    <w:p>
      <w:pPr>
        <w:shd w:val="clear" w:color="auto" w:fill="FFFFFF"/>
        <w:spacing w:line="360" w:lineRule="auto"/>
        <w:ind w:firstLine="537" w:firstLineChars="22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bidi="ar"/>
        </w:rPr>
        <w:t xml:space="preserve">3.3 </w:t>
      </w:r>
      <w:r>
        <w:rPr>
          <w:rFonts w:hint="eastAsia" w:ascii="宋体" w:hAnsi="宋体" w:cs="宋体"/>
          <w:color w:val="auto"/>
          <w:sz w:val="24"/>
          <w:highlight w:val="none"/>
          <w:u w:val="single"/>
          <w:shd w:val="clear" w:color="auto" w:fill="FFFFFF"/>
          <w:lang w:bidi="ar"/>
        </w:rPr>
        <w:t xml:space="preserve">本次招标 </w:t>
      </w:r>
      <w:r>
        <w:rPr>
          <w:rFonts w:hint="eastAsia" w:ascii="宋体" w:hAnsi="宋体" w:cs="宋体"/>
          <w:b/>
          <w:bCs/>
          <w:color w:val="auto"/>
          <w:sz w:val="24"/>
          <w:highlight w:val="none"/>
          <w:u w:val="single"/>
          <w:shd w:val="clear" w:color="auto" w:fill="FFFFFF"/>
          <w:lang w:bidi="ar"/>
        </w:rPr>
        <w:t>不接受</w:t>
      </w:r>
      <w:r>
        <w:rPr>
          <w:rFonts w:hint="eastAsia" w:ascii="宋体" w:hAnsi="宋体" w:cs="宋体"/>
          <w:color w:val="auto"/>
          <w:sz w:val="24"/>
          <w:highlight w:val="none"/>
          <w:u w:val="single"/>
          <w:shd w:val="clear" w:color="auto" w:fill="FFFFFF"/>
          <w:lang w:bidi="ar"/>
        </w:rPr>
        <w:t xml:space="preserve"> 联合体投标；</w:t>
      </w:r>
    </w:p>
    <w:p>
      <w:pPr>
        <w:shd w:val="clear" w:color="auto" w:fill="FFFFFF"/>
        <w:spacing w:line="360" w:lineRule="auto"/>
        <w:ind w:firstLine="537" w:firstLineChars="22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bidi="ar"/>
        </w:rPr>
        <w:t>3.4 其他要求：</w:t>
      </w:r>
    </w:p>
    <w:p>
      <w:pPr>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lang w:bidi="ar"/>
        </w:rPr>
        <w:t>①投标人参加投标的意思表达清楚，投标人代表被授权有效；</w:t>
      </w:r>
    </w:p>
    <w:p>
      <w:pPr>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lang w:bidi="ar"/>
        </w:rPr>
        <w:t>②投标人均具有独立法人资格，持有事业单位登记管理部门核发的事业单位法人证书且在有效期内或工商行政（或市场监督）管理部门核发的企业法人营业执照且在有效期内；按国家法律经营。</w:t>
      </w:r>
    </w:p>
    <w:p>
      <w:pPr>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lang w:bidi="ar"/>
        </w:rPr>
        <w:t>③投标人已按照附件二的内容签署盖章《投标人声明》；</w:t>
      </w:r>
    </w:p>
    <w:p>
      <w:pPr>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lang w:bidi="ar"/>
        </w:rPr>
        <w:fldChar w:fldCharType="begin"/>
      </w:r>
      <w:r>
        <w:rPr>
          <w:rFonts w:hint="eastAsia" w:ascii="宋体" w:hAnsi="宋体" w:cs="宋体"/>
          <w:color w:val="auto"/>
          <w:sz w:val="24"/>
          <w:highlight w:val="none"/>
          <w:u w:val="single"/>
          <w:lang w:bidi="ar"/>
        </w:rPr>
        <w:instrText xml:space="preserve"> = 4 \* GB3 </w:instrText>
      </w:r>
      <w:r>
        <w:rPr>
          <w:rFonts w:hint="eastAsia" w:ascii="宋体" w:hAnsi="宋体" w:cs="宋体"/>
          <w:color w:val="auto"/>
          <w:sz w:val="24"/>
          <w:highlight w:val="none"/>
          <w:u w:val="single"/>
          <w:lang w:bidi="ar"/>
        </w:rPr>
        <w:fldChar w:fldCharType="separate"/>
      </w:r>
      <w:r>
        <w:rPr>
          <w:rFonts w:hint="eastAsia" w:ascii="宋体" w:hAnsi="宋体" w:cs="宋体"/>
          <w:color w:val="auto"/>
          <w:sz w:val="24"/>
          <w:highlight w:val="none"/>
          <w:u w:val="single"/>
          <w:lang w:bidi="ar"/>
        </w:rPr>
        <w:t>④</w:t>
      </w:r>
      <w:r>
        <w:rPr>
          <w:rFonts w:hint="eastAsia" w:ascii="宋体" w:hAnsi="宋体" w:cs="宋体"/>
          <w:color w:val="auto"/>
          <w:sz w:val="24"/>
          <w:highlight w:val="none"/>
          <w:u w:val="single"/>
          <w:lang w:bidi="ar"/>
        </w:rPr>
        <w:fldChar w:fldCharType="end"/>
      </w:r>
      <w:r>
        <w:rPr>
          <w:rFonts w:hint="eastAsia" w:ascii="宋体" w:hAnsi="宋体" w:cs="宋体"/>
          <w:color w:val="auto"/>
          <w:sz w:val="24"/>
          <w:szCs w:val="24"/>
          <w:highlight w:val="none"/>
          <w:u w:val="single"/>
          <w:lang w:bidi="ar"/>
        </w:rPr>
        <w:t>投标人未出现以下情形：与本项目其它投标人的单位负责人为同一人或者存在控股、管理关系的（按投标人提供的《投标人声明》第六条内容进行评审）。如不同投标申请人出现单位负责人为同一人或者存在控股、管理关系的情形，则相关投标均无效</w:t>
      </w:r>
      <w:r>
        <w:rPr>
          <w:rFonts w:hint="eastAsia" w:ascii="宋体" w:hAnsi="宋体" w:cs="宋体"/>
          <w:color w:val="auto"/>
          <w:sz w:val="24"/>
          <w:highlight w:val="none"/>
          <w:u w:val="single"/>
          <w:lang w:bidi="ar"/>
        </w:rPr>
        <w:t>；</w:t>
      </w:r>
    </w:p>
    <w:p>
      <w:pPr>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lang w:bidi="ar"/>
        </w:rPr>
        <w:t>⑤投标人未在以往工程中因不诚信行为或不充分履约行为被本项目招标人书面拒绝投标的；（详见《招标公告》附件一）。</w:t>
      </w:r>
    </w:p>
    <w:p>
      <w:pPr>
        <w:spacing w:line="360" w:lineRule="auto"/>
        <w:ind w:firstLine="480" w:firstLineChars="200"/>
        <w:jc w:val="left"/>
        <w:rPr>
          <w:rFonts w:ascii="宋体" w:hAnsi="宋体" w:cs="宋体"/>
          <w:color w:val="auto"/>
          <w:sz w:val="24"/>
          <w:highlight w:val="none"/>
          <w:u w:val="single"/>
          <w:lang w:bidi="ar"/>
        </w:rPr>
      </w:pPr>
      <w:r>
        <w:rPr>
          <w:rFonts w:hint="eastAsia" w:ascii="宋体" w:hAnsi="宋体" w:cs="宋体"/>
          <w:color w:val="auto"/>
          <w:sz w:val="24"/>
          <w:highlight w:val="none"/>
          <w:u w:val="single"/>
          <w:lang w:bidi="ar"/>
        </w:rPr>
        <w:t>⑥投标人在广州市住建行业信用管理平台建立了</w:t>
      </w:r>
      <w:r>
        <w:rPr>
          <w:rFonts w:hint="eastAsia" w:ascii="宋体" w:hAnsi="宋体" w:cs="宋体"/>
          <w:color w:val="auto"/>
          <w:sz w:val="24"/>
          <w:highlight w:val="none"/>
          <w:u w:val="single"/>
          <w:lang w:eastAsia="zh-CN" w:bidi="ar"/>
        </w:rPr>
        <w:t>企业信用档案</w:t>
      </w:r>
      <w:r>
        <w:rPr>
          <w:rFonts w:hint="eastAsia" w:ascii="宋体" w:hAnsi="宋体" w:cs="宋体"/>
          <w:color w:val="auto"/>
          <w:sz w:val="24"/>
          <w:highlight w:val="none"/>
          <w:u w:val="single"/>
          <w:lang w:bidi="ar"/>
        </w:rPr>
        <w:t>，且拟担任本项目的项目负责人是本</w:t>
      </w:r>
      <w:r>
        <w:rPr>
          <w:rFonts w:hint="eastAsia" w:ascii="宋体" w:hAnsi="宋体" w:cs="宋体"/>
          <w:color w:val="auto"/>
          <w:sz w:val="24"/>
          <w:highlight w:val="none"/>
          <w:u w:val="single"/>
          <w:lang w:eastAsia="zh-CN" w:bidi="ar"/>
        </w:rPr>
        <w:t>企业信用档案</w:t>
      </w:r>
      <w:r>
        <w:rPr>
          <w:rFonts w:hint="eastAsia" w:ascii="宋体" w:hAnsi="宋体" w:cs="宋体"/>
          <w:color w:val="auto"/>
          <w:sz w:val="24"/>
          <w:highlight w:val="none"/>
          <w:u w:val="single"/>
          <w:lang w:bidi="ar"/>
        </w:rPr>
        <w:t>中的在册人员。（以广州市住建行业信用管理平台查询信息为准）。</w:t>
      </w:r>
    </w:p>
    <w:p>
      <w:pPr>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lang w:bidi="ar"/>
        </w:rPr>
        <w:t>⑦</w:t>
      </w:r>
      <w:r>
        <w:rPr>
          <w:rFonts w:hint="eastAsia" w:ascii="宋体" w:hAnsi="宋体" w:cs="宋体"/>
          <w:color w:val="auto"/>
          <w:sz w:val="24"/>
          <w:szCs w:val="24"/>
          <w:highlight w:val="none"/>
          <w:u w:val="single"/>
          <w:lang w:bidi="ar"/>
        </w:rPr>
        <w:t>投标人未被列入拖欠农民工工资失信联合惩戒对象名单（按广州公共资源交易中心交易系统比对结果进行评审）</w:t>
      </w:r>
      <w:r>
        <w:rPr>
          <w:rFonts w:hint="eastAsia" w:ascii="宋体" w:hAnsi="宋体" w:cs="宋体"/>
          <w:color w:val="auto"/>
          <w:sz w:val="24"/>
          <w:highlight w:val="none"/>
          <w:u w:val="single"/>
          <w:lang w:bidi="ar"/>
        </w:rPr>
        <w:t>。</w:t>
      </w:r>
    </w:p>
    <w:p>
      <w:pPr>
        <w:spacing w:line="360" w:lineRule="auto"/>
        <w:jc w:val="left"/>
        <w:rPr>
          <w:rFonts w:ascii="宋体" w:hAnsi="宋体" w:cs="宋体"/>
          <w:b/>
          <w:bCs/>
          <w:color w:val="auto"/>
          <w:sz w:val="24"/>
          <w:highlight w:val="none"/>
        </w:rPr>
      </w:pPr>
    </w:p>
    <w:p>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lang w:bidi="ar"/>
        </w:rPr>
        <w:t>4.招标文件的获取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4.1凡有意参加投标者，请于</w:t>
      </w:r>
      <w:r>
        <w:rPr>
          <w:rFonts w:hint="eastAsia" w:ascii="宋体" w:hAnsi="宋体" w:cs="宋体"/>
          <w:color w:val="auto"/>
          <w:sz w:val="24"/>
          <w:highlight w:val="none"/>
          <w:u w:val="single"/>
          <w:lang w:bidi="ar"/>
        </w:rPr>
        <w:t>2023年   月   日</w:t>
      </w:r>
      <w:r>
        <w:rPr>
          <w:rFonts w:ascii="宋体" w:hAnsi="宋体" w:cs="宋体"/>
          <w:color w:val="auto"/>
          <w:sz w:val="24"/>
          <w:highlight w:val="none"/>
          <w:u w:val="single"/>
          <w:lang w:bidi="ar"/>
        </w:rPr>
        <w:t xml:space="preserve">   </w:t>
      </w:r>
      <w:r>
        <w:rPr>
          <w:rFonts w:hint="eastAsia" w:ascii="宋体" w:hAnsi="宋体" w:cs="宋体"/>
          <w:color w:val="auto"/>
          <w:sz w:val="24"/>
          <w:highlight w:val="none"/>
          <w:u w:val="single"/>
          <w:lang w:bidi="ar"/>
        </w:rPr>
        <w:t>时</w:t>
      </w:r>
      <w:r>
        <w:rPr>
          <w:rFonts w:ascii="宋体" w:hAnsi="宋体" w:cs="宋体"/>
          <w:color w:val="auto"/>
          <w:sz w:val="24"/>
          <w:highlight w:val="none"/>
          <w:u w:val="single"/>
          <w:lang w:bidi="ar"/>
        </w:rPr>
        <w:t xml:space="preserve">  </w:t>
      </w:r>
      <w:r>
        <w:rPr>
          <w:rFonts w:hint="eastAsia" w:ascii="宋体" w:hAnsi="宋体" w:cs="宋体"/>
          <w:color w:val="auto"/>
          <w:sz w:val="24"/>
          <w:highlight w:val="none"/>
          <w:u w:val="single"/>
          <w:lang w:bidi="ar"/>
        </w:rPr>
        <w:t>分至2023年  月   日 时 分</w:t>
      </w:r>
      <w:r>
        <w:rPr>
          <w:rFonts w:hint="eastAsia" w:ascii="宋体" w:hAnsi="宋体" w:cs="宋体"/>
          <w:color w:val="auto"/>
          <w:sz w:val="24"/>
          <w:highlight w:val="none"/>
          <w:lang w:bidi="ar"/>
        </w:rPr>
        <w:t>(北京时间，下同)，登录广州公共资源交易中心网站（http//www.gzggzy.cn）下载电子招标文件。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4.2 发布招标公告时间（含本日）：</w:t>
      </w:r>
      <w:r>
        <w:rPr>
          <w:rFonts w:hint="eastAsia" w:ascii="宋体" w:hAnsi="宋体" w:cs="宋体"/>
          <w:color w:val="auto"/>
          <w:sz w:val="24"/>
          <w:highlight w:val="none"/>
          <w:u w:val="single"/>
          <w:lang w:bidi="ar"/>
        </w:rPr>
        <w:t>2023年  月  日</w:t>
      </w:r>
      <w:r>
        <w:rPr>
          <w:rFonts w:ascii="宋体" w:hAnsi="宋体" w:cs="宋体"/>
          <w:color w:val="auto"/>
          <w:sz w:val="24"/>
          <w:highlight w:val="none"/>
          <w:u w:val="single"/>
          <w:lang w:bidi="ar"/>
        </w:rPr>
        <w:t xml:space="preserve">  </w:t>
      </w:r>
      <w:r>
        <w:rPr>
          <w:rFonts w:hint="eastAsia" w:ascii="宋体" w:hAnsi="宋体" w:cs="宋体"/>
          <w:color w:val="auto"/>
          <w:sz w:val="24"/>
          <w:highlight w:val="none"/>
          <w:u w:val="single"/>
          <w:lang w:bidi="ar"/>
        </w:rPr>
        <w:t>时</w:t>
      </w:r>
      <w:r>
        <w:rPr>
          <w:rFonts w:ascii="宋体" w:hAnsi="宋体" w:cs="宋体"/>
          <w:color w:val="auto"/>
          <w:sz w:val="24"/>
          <w:highlight w:val="none"/>
          <w:u w:val="single"/>
          <w:lang w:bidi="ar"/>
        </w:rPr>
        <w:t xml:space="preserve">  </w:t>
      </w:r>
      <w:r>
        <w:rPr>
          <w:rFonts w:hint="eastAsia" w:ascii="宋体" w:hAnsi="宋体" w:cs="宋体"/>
          <w:color w:val="auto"/>
          <w:sz w:val="24"/>
          <w:highlight w:val="none"/>
          <w:u w:val="single"/>
          <w:lang w:bidi="ar"/>
        </w:rPr>
        <w:t>分至2023年    月   日  时  分</w:t>
      </w:r>
      <w:r>
        <w:rPr>
          <w:rFonts w:hint="eastAsia" w:ascii="宋体" w:hAnsi="宋体" w:cs="宋体"/>
          <w:color w:val="auto"/>
          <w:sz w:val="24"/>
          <w:highlight w:val="none"/>
          <w:lang w:bidi="ar"/>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注：发布招标公告的时间为招标公告发出之日起至递交投标文件截止时间止。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4.2.1投标人通过</w:t>
      </w:r>
      <w:r>
        <w:rPr>
          <w:rFonts w:hint="eastAsia" w:ascii="宋体" w:hAnsi="宋体" w:cs="宋体"/>
          <w:color w:val="auto"/>
          <w:sz w:val="24"/>
          <w:highlight w:val="none"/>
          <w:u w:val="single"/>
          <w:lang w:bidi="ar"/>
        </w:rPr>
        <w:t>广州公共资源交易中心</w:t>
      </w:r>
      <w:r>
        <w:rPr>
          <w:rFonts w:hint="eastAsia" w:ascii="宋体" w:hAnsi="宋体" w:cs="宋体"/>
          <w:color w:val="auto"/>
          <w:sz w:val="24"/>
          <w:highlight w:val="none"/>
          <w:lang w:bidi="ar"/>
        </w:rPr>
        <w:t>交易平台递交电子投标文件。投标人应在递交投标文件截止时间前，登录</w:t>
      </w:r>
      <w:r>
        <w:rPr>
          <w:rFonts w:hint="eastAsia" w:ascii="宋体" w:hAnsi="宋体" w:cs="宋体"/>
          <w:color w:val="auto"/>
          <w:sz w:val="24"/>
          <w:highlight w:val="none"/>
          <w:u w:val="single"/>
          <w:lang w:bidi="ar"/>
        </w:rPr>
        <w:t>广州公共资源交易中心</w:t>
      </w:r>
      <w:r>
        <w:rPr>
          <w:rFonts w:hint="eastAsia" w:ascii="宋体" w:hAnsi="宋体" w:cs="宋体"/>
          <w:color w:val="auto"/>
          <w:sz w:val="24"/>
          <w:highlight w:val="none"/>
          <w:lang w:bidi="ar"/>
        </w:rPr>
        <w:t>交易平台网站办理网上投标登记手续。按照交易平台关于全流程电子化项目的相关指南进行操作。详见：</w:t>
      </w:r>
      <w:r>
        <w:rPr>
          <w:rFonts w:hint="eastAsia" w:ascii="宋体" w:hAnsi="宋体" w:cs="宋体"/>
          <w:color w:val="auto"/>
          <w:sz w:val="24"/>
          <w:highlight w:val="none"/>
          <w:u w:val="single"/>
          <w:lang w:bidi="ar"/>
        </w:rPr>
        <w:t>广州公共资源交易中心网站</w:t>
      </w:r>
      <w:r>
        <w:rPr>
          <w:rFonts w:hint="eastAsia" w:ascii="宋体" w:hAnsi="宋体" w:cs="宋体"/>
          <w:color w:val="auto"/>
          <w:sz w:val="24"/>
          <w:highlight w:val="none"/>
          <w:lang w:bidi="ar"/>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4.2.2开标时间：</w:t>
      </w:r>
      <w:r>
        <w:rPr>
          <w:rFonts w:hint="eastAsia" w:ascii="宋体" w:hAnsi="宋体" w:cs="宋体"/>
          <w:color w:val="auto"/>
          <w:sz w:val="24"/>
          <w:highlight w:val="none"/>
          <w:u w:val="single"/>
          <w:lang w:bidi="ar"/>
        </w:rPr>
        <w:t>2023年   月   日  时  分</w:t>
      </w:r>
      <w:r>
        <w:rPr>
          <w:rFonts w:hint="eastAsia" w:ascii="宋体" w:hAnsi="宋体" w:cs="宋体"/>
          <w:color w:val="auto"/>
          <w:sz w:val="24"/>
          <w:highlight w:val="none"/>
          <w:lang w:bidi="ar"/>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4.3 本项目采用资格后审方式。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注：（1）电子招投标操作流程详见</w:t>
      </w:r>
      <w:r>
        <w:rPr>
          <w:rFonts w:hint="eastAsia" w:ascii="宋体" w:hAnsi="宋体" w:cs="宋体"/>
          <w:color w:val="auto"/>
          <w:sz w:val="24"/>
          <w:highlight w:val="none"/>
          <w:u w:val="single"/>
          <w:lang w:bidi="ar"/>
        </w:rPr>
        <w:t>广州公共资源交易中心网站发布的最新版操作指引</w:t>
      </w:r>
      <w:r>
        <w:rPr>
          <w:rFonts w:hint="eastAsia" w:ascii="宋体" w:hAnsi="宋体" w:cs="宋体"/>
          <w:color w:val="auto"/>
          <w:sz w:val="24"/>
          <w:highlight w:val="none"/>
          <w:lang w:bidi="ar"/>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（2）本公告发布之日起开始计算备标时间。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4.4</w:t>
      </w:r>
      <w:r>
        <w:rPr>
          <w:rFonts w:hint="eastAsia" w:ascii="宋体" w:hAnsi="宋体" w:cs="宋体"/>
          <w:color w:val="auto"/>
          <w:sz w:val="24"/>
          <w:szCs w:val="24"/>
          <w:highlight w:val="none"/>
          <w:u w:val="single"/>
          <w:lang w:bidi="ar"/>
        </w:rPr>
        <w:t>潜在投标人或利害关系人对本招标公告及招标内容异议的，可以通过线下或线上的形式提出异议。线上提出异议的，应通过交易平台提交，招标人也应通过交易平台答复线上提出的异议。具体按照交易平台相关指南进行操作。作出答复前，应当暂停招标投标活动</w:t>
      </w:r>
      <w:r>
        <w:rPr>
          <w:rFonts w:hint="eastAsia" w:ascii="宋体" w:hAnsi="宋体" w:cs="宋体"/>
          <w:color w:val="auto"/>
          <w:sz w:val="24"/>
          <w:highlight w:val="none"/>
          <w:u w:val="single"/>
          <w:lang w:bidi="ar"/>
        </w:rPr>
        <w:t>。</w:t>
      </w:r>
    </w:p>
    <w:p>
      <w:pPr>
        <w:widowControl/>
        <w:spacing w:before="156" w:beforeLines="50" w:after="156" w:afterLines="50"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lang w:bidi="ar"/>
        </w:rPr>
        <w:t>5.投标文件的递交</w:t>
      </w:r>
    </w:p>
    <w:p>
      <w:pPr>
        <w:tabs>
          <w:tab w:val="left" w:pos="360"/>
        </w:tabs>
        <w:spacing w:line="360" w:lineRule="auto"/>
        <w:ind w:left="237" w:leftChars="113" w:firstLine="240" w:firstLineChars="100"/>
        <w:rPr>
          <w:rFonts w:ascii="宋体" w:hAnsi="宋体" w:cs="宋体"/>
          <w:color w:val="auto"/>
          <w:sz w:val="24"/>
          <w:highlight w:val="none"/>
        </w:rPr>
      </w:pPr>
      <w:r>
        <w:rPr>
          <w:rFonts w:hint="eastAsia" w:ascii="宋体" w:hAnsi="宋体" w:cs="宋体"/>
          <w:color w:val="auto"/>
          <w:sz w:val="24"/>
          <w:highlight w:val="none"/>
          <w:lang w:bidi="ar"/>
        </w:rPr>
        <w:t>5.1投标文件递交的截止时间（投标截止时间，下同）为</w:t>
      </w:r>
      <w:r>
        <w:rPr>
          <w:rFonts w:hint="eastAsia" w:ascii="宋体" w:hAnsi="宋体" w:cs="宋体"/>
          <w:color w:val="auto"/>
          <w:sz w:val="24"/>
          <w:highlight w:val="none"/>
          <w:u w:val="single"/>
          <w:lang w:bidi="ar"/>
        </w:rPr>
        <w:t>2023年   月   日  时  分</w:t>
      </w:r>
      <w:r>
        <w:rPr>
          <w:rFonts w:hint="eastAsia" w:ascii="宋体" w:hAnsi="宋体" w:cs="宋体"/>
          <w:color w:val="auto"/>
          <w:sz w:val="24"/>
          <w:highlight w:val="none"/>
          <w:lang w:bidi="ar"/>
        </w:rPr>
        <w:t>，投标人应在截止时间前通过</w:t>
      </w:r>
      <w:r>
        <w:rPr>
          <w:rFonts w:hint="eastAsia" w:ascii="宋体" w:hAnsi="宋体" w:cs="宋体"/>
          <w:color w:val="auto"/>
          <w:sz w:val="24"/>
          <w:highlight w:val="none"/>
          <w:u w:val="single"/>
          <w:lang w:bidi="ar"/>
        </w:rPr>
        <w:t>广州公共资源交易中心网站（</w:t>
      </w:r>
      <w:r>
        <w:rPr>
          <w:rFonts w:ascii="宋体" w:hAnsi="宋体" w:cs="宋体"/>
          <w:color w:val="auto"/>
          <w:sz w:val="24"/>
          <w:highlight w:val="none"/>
          <w:u w:val="single"/>
          <w:lang w:bidi="ar"/>
        </w:rPr>
        <w:t>http://www.gzggzy.cn</w:t>
      </w:r>
      <w:r>
        <w:rPr>
          <w:rFonts w:hint="eastAsia" w:ascii="宋体" w:hAnsi="宋体" w:cs="宋体"/>
          <w:color w:val="auto"/>
          <w:sz w:val="24"/>
          <w:highlight w:val="none"/>
          <w:u w:val="single"/>
          <w:lang w:bidi="ar"/>
        </w:rPr>
        <w:t>）</w:t>
      </w:r>
      <w:r>
        <w:rPr>
          <w:rFonts w:hint="eastAsia" w:ascii="宋体" w:hAnsi="宋体" w:cs="宋体"/>
          <w:color w:val="auto"/>
          <w:sz w:val="24"/>
          <w:highlight w:val="none"/>
          <w:lang w:bidi="ar"/>
        </w:rPr>
        <w:t>递交电子投标文件。</w:t>
      </w:r>
    </w:p>
    <w:p>
      <w:pPr>
        <w:tabs>
          <w:tab w:val="left" w:pos="360"/>
        </w:tabs>
        <w:spacing w:line="360" w:lineRule="auto"/>
        <w:ind w:left="10" w:firstLine="468" w:firstLineChars="195"/>
        <w:rPr>
          <w:rFonts w:ascii="宋体" w:hAnsi="宋体" w:cs="宋体"/>
          <w:color w:val="auto"/>
          <w:sz w:val="24"/>
          <w:highlight w:val="none"/>
        </w:rPr>
      </w:pPr>
      <w:r>
        <w:rPr>
          <w:rFonts w:hint="eastAsia" w:ascii="宋体" w:hAnsi="宋体" w:cs="宋体"/>
          <w:color w:val="auto"/>
          <w:sz w:val="24"/>
          <w:highlight w:val="none"/>
          <w:lang w:bidi="ar"/>
        </w:rPr>
        <w:t>递交备用投标文件电子光盘的规定：时间为：</w:t>
      </w:r>
      <w:r>
        <w:rPr>
          <w:rFonts w:hint="eastAsia" w:ascii="宋体" w:hAnsi="宋体" w:cs="宋体"/>
          <w:color w:val="auto"/>
          <w:sz w:val="24"/>
          <w:highlight w:val="none"/>
          <w:u w:val="single"/>
          <w:lang w:bidi="ar"/>
        </w:rPr>
        <w:t>2023年   月   日  时 分至2023年   月   日  时  分</w:t>
      </w:r>
      <w:r>
        <w:rPr>
          <w:rFonts w:hint="eastAsia" w:ascii="宋体" w:hAnsi="宋体" w:cs="宋体"/>
          <w:color w:val="auto"/>
          <w:sz w:val="24"/>
          <w:highlight w:val="none"/>
          <w:lang w:bidi="ar"/>
        </w:rPr>
        <w:t>；地点：</w:t>
      </w:r>
      <w:r>
        <w:rPr>
          <w:rFonts w:hint="eastAsia" w:ascii="宋体" w:hAnsi="宋体" w:cs="宋体"/>
          <w:color w:val="auto"/>
          <w:sz w:val="24"/>
          <w:highlight w:val="none"/>
          <w:u w:val="single"/>
          <w:lang w:bidi="ar"/>
        </w:rPr>
        <w:t>广州公共资源交易中心   开标室</w:t>
      </w:r>
      <w:r>
        <w:rPr>
          <w:rFonts w:hint="eastAsia" w:ascii="宋体" w:hAnsi="宋体" w:cs="宋体"/>
          <w:color w:val="auto"/>
          <w:sz w:val="24"/>
          <w:highlight w:val="none"/>
          <w:lang w:bidi="ar"/>
        </w:rPr>
        <w:t>。（电子光盘需按规定封装。投标人将数据刻录到光盘之后，投标前自行检查文件是否可以读取。）</w:t>
      </w:r>
    </w:p>
    <w:p>
      <w:pPr>
        <w:tabs>
          <w:tab w:val="left" w:pos="1100"/>
        </w:tabs>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bidi="ar"/>
        </w:rPr>
        <w:t>5.2  采取电子投标时，逾期送达的投标文件，电子招标投标交易平台将予以拒收。逾期未上传成功的电子投标文件，招标人拒绝接收。</w:t>
      </w:r>
    </w:p>
    <w:p>
      <w:pPr>
        <w:widowControl/>
        <w:spacing w:before="156" w:beforeLines="50" w:after="156" w:afterLines="50" w:line="360" w:lineRule="auto"/>
        <w:jc w:val="left"/>
        <w:rPr>
          <w:rFonts w:ascii="宋体" w:hAnsi="宋体" w:cs="宋体"/>
          <w:b/>
          <w:bCs/>
          <w:color w:val="auto"/>
          <w:sz w:val="24"/>
          <w:highlight w:val="none"/>
        </w:rPr>
      </w:pPr>
      <w:r>
        <w:rPr>
          <w:rFonts w:hint="eastAsia" w:ascii="宋体" w:hAnsi="宋体" w:cs="宋体"/>
          <w:b/>
          <w:bCs/>
          <w:color w:val="auto"/>
          <w:sz w:val="24"/>
          <w:highlight w:val="none"/>
          <w:lang w:bidi="ar"/>
        </w:rPr>
        <w:t>6.发布公告的媒介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本次招标公告同时在</w:t>
      </w:r>
      <w:r>
        <w:rPr>
          <w:rFonts w:hint="eastAsia" w:ascii="宋体" w:hAnsi="宋体" w:cs="宋体"/>
          <w:color w:val="auto"/>
          <w:sz w:val="24"/>
          <w:highlight w:val="none"/>
          <w:u w:val="single"/>
          <w:lang w:bidi="ar"/>
        </w:rPr>
        <w:t>广州公共资源交易中心网站（</w:t>
      </w:r>
      <w:r>
        <w:rPr>
          <w:rFonts w:ascii="宋体" w:hAnsi="宋体" w:cs="宋体"/>
          <w:color w:val="auto"/>
          <w:sz w:val="24"/>
          <w:highlight w:val="none"/>
          <w:u w:val="single"/>
          <w:lang w:bidi="ar"/>
        </w:rPr>
        <w:t>http://www.gzggzy.cn</w:t>
      </w:r>
      <w:r>
        <w:rPr>
          <w:rFonts w:hint="eastAsia" w:ascii="宋体" w:hAnsi="宋体" w:cs="宋体"/>
          <w:color w:val="auto"/>
          <w:sz w:val="24"/>
          <w:highlight w:val="none"/>
          <w:u w:val="single"/>
          <w:lang w:bidi="ar"/>
        </w:rPr>
        <w:t>）、广东省招标投标监管网（</w:t>
      </w:r>
      <w:r>
        <w:rPr>
          <w:rFonts w:ascii="宋体" w:hAnsi="宋体" w:cs="宋体"/>
          <w:color w:val="auto"/>
          <w:sz w:val="24"/>
          <w:highlight w:val="none"/>
          <w:u w:val="single"/>
          <w:lang w:bidi="ar"/>
        </w:rPr>
        <w:t>https://www.gdzwfw.gov.cn/ztbjg-portal/</w:t>
      </w:r>
      <w:r>
        <w:rPr>
          <w:rFonts w:hint="eastAsia" w:ascii="宋体" w:hAnsi="宋体" w:cs="宋体"/>
          <w:color w:val="auto"/>
          <w:sz w:val="24"/>
          <w:highlight w:val="none"/>
          <w:u w:val="single"/>
          <w:lang w:bidi="ar"/>
        </w:rPr>
        <w:t>）和中国招标投标公共服务平台（http：//www.cebpubservice.com/）</w:t>
      </w:r>
      <w:r>
        <w:rPr>
          <w:rFonts w:hint="eastAsia" w:ascii="宋体" w:hAnsi="宋体" w:cs="宋体"/>
          <w:color w:val="auto"/>
          <w:sz w:val="24"/>
          <w:highlight w:val="none"/>
          <w:lang w:bidi="ar"/>
        </w:rPr>
        <w:t>等媒体发布上发布，本公告的修改、补充，在广州公共资源交易中心网站发布。本公告在各媒体发布的文本如有不同之处，以在广州公共资源交易中心网站发布的文本为准。</w:t>
      </w:r>
    </w:p>
    <w:p>
      <w:pPr>
        <w:widowControl/>
        <w:spacing w:before="156" w:beforeLines="50" w:after="156" w:afterLines="50" w:line="360" w:lineRule="auto"/>
        <w:jc w:val="left"/>
        <w:rPr>
          <w:rFonts w:ascii="宋体" w:hAnsi="宋体" w:cs="宋体"/>
          <w:b/>
          <w:bCs/>
          <w:color w:val="auto"/>
          <w:sz w:val="24"/>
          <w:highlight w:val="none"/>
        </w:rPr>
      </w:pPr>
      <w:r>
        <w:rPr>
          <w:rFonts w:hint="eastAsia" w:ascii="宋体" w:hAnsi="宋体" w:cs="宋体"/>
          <w:b/>
          <w:bCs/>
          <w:color w:val="auto"/>
          <w:sz w:val="24"/>
          <w:highlight w:val="none"/>
          <w:lang w:bidi="ar"/>
        </w:rPr>
        <w:t>7.联系方式</w:t>
      </w:r>
    </w:p>
    <w:tbl>
      <w:tblPr>
        <w:tblStyle w:val="6"/>
        <w:tblW w:w="9852" w:type="dxa"/>
        <w:tblInd w:w="0" w:type="dxa"/>
        <w:tblLayout w:type="fixed"/>
        <w:tblCellMar>
          <w:top w:w="0" w:type="dxa"/>
          <w:left w:w="108" w:type="dxa"/>
          <w:bottom w:w="0" w:type="dxa"/>
          <w:right w:w="108" w:type="dxa"/>
        </w:tblCellMar>
      </w:tblPr>
      <w:tblGrid>
        <w:gridCol w:w="4933"/>
        <w:gridCol w:w="4919"/>
      </w:tblGrid>
      <w:tr>
        <w:tblPrEx>
          <w:tblCellMar>
            <w:top w:w="0" w:type="dxa"/>
            <w:left w:w="108" w:type="dxa"/>
            <w:bottom w:w="0" w:type="dxa"/>
            <w:right w:w="108" w:type="dxa"/>
          </w:tblCellMar>
        </w:tblPrEx>
        <w:tc>
          <w:tcPr>
            <w:tcW w:w="4933" w:type="dxa"/>
          </w:tcPr>
          <w:p>
            <w:pPr>
              <w:spacing w:line="360" w:lineRule="auto"/>
              <w:ind w:left="1200" w:hanging="1200" w:hangingChars="500"/>
              <w:rPr>
                <w:rFonts w:ascii="宋体" w:hAnsi="宋体" w:cs="宋体"/>
                <w:color w:val="auto"/>
                <w:sz w:val="24"/>
                <w:highlight w:val="none"/>
              </w:rPr>
            </w:pPr>
            <w:r>
              <w:rPr>
                <w:rFonts w:hint="eastAsia" w:ascii="宋体" w:hAnsi="宋体" w:cs="宋体"/>
                <w:color w:val="auto"/>
                <w:sz w:val="24"/>
                <w:highlight w:val="none"/>
                <w:lang w:bidi="ar"/>
              </w:rPr>
              <w:t>招 标 人：</w:t>
            </w:r>
            <w:r>
              <w:rPr>
                <w:rFonts w:hint="eastAsia" w:ascii="宋体" w:hAnsi="宋体" w:cs="宋体"/>
                <w:color w:val="auto"/>
                <w:sz w:val="24"/>
                <w:highlight w:val="none"/>
                <w:u w:val="single"/>
                <w:lang w:bidi="ar"/>
              </w:rPr>
              <w:t>广州市重点公共建设项目管理中心</w:t>
            </w:r>
          </w:p>
        </w:tc>
        <w:tc>
          <w:tcPr>
            <w:tcW w:w="4919" w:type="dxa"/>
            <w:vAlign w:val="top"/>
          </w:tcPr>
          <w:p>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
              </w:rPr>
              <w:t>招标代理机构：</w:t>
            </w:r>
            <w:r>
              <w:rPr>
                <w:rFonts w:hint="eastAsia" w:ascii="宋体" w:hAnsi="宋体" w:cs="宋体"/>
                <w:color w:val="auto"/>
                <w:kern w:val="2"/>
                <w:sz w:val="24"/>
                <w:szCs w:val="24"/>
                <w:highlight w:val="none"/>
                <w:u w:val="single"/>
                <w:lang w:val="en-US" w:eastAsia="zh-CN" w:bidi="ar"/>
              </w:rPr>
              <w:t>广东省机电设备招标有限公司</w:t>
            </w:r>
          </w:p>
        </w:tc>
      </w:tr>
      <w:tr>
        <w:tblPrEx>
          <w:tblCellMar>
            <w:top w:w="0" w:type="dxa"/>
            <w:left w:w="108" w:type="dxa"/>
            <w:bottom w:w="0" w:type="dxa"/>
            <w:right w:w="108" w:type="dxa"/>
          </w:tblCellMar>
        </w:tblPrEx>
        <w:tc>
          <w:tcPr>
            <w:tcW w:w="4933" w:type="dxa"/>
          </w:tcPr>
          <w:p>
            <w:pPr>
              <w:spacing w:line="360" w:lineRule="auto"/>
              <w:ind w:left="1200" w:hanging="1200" w:hangingChars="500"/>
              <w:rPr>
                <w:rFonts w:ascii="宋体" w:hAnsi="宋体" w:cs="宋体"/>
                <w:color w:val="auto"/>
                <w:sz w:val="24"/>
                <w:highlight w:val="none"/>
              </w:rPr>
            </w:pPr>
            <w:r>
              <w:rPr>
                <w:rFonts w:hint="eastAsia" w:ascii="宋体" w:hAnsi="宋体" w:cs="宋体"/>
                <w:color w:val="auto"/>
                <w:sz w:val="24"/>
                <w:highlight w:val="none"/>
                <w:lang w:bidi="ar"/>
              </w:rPr>
              <w:t>地    址：</w:t>
            </w:r>
            <w:r>
              <w:rPr>
                <w:rFonts w:hint="eastAsia" w:ascii="宋体" w:hAnsi="宋体" w:cs="宋体"/>
                <w:color w:val="auto"/>
                <w:sz w:val="24"/>
                <w:highlight w:val="none"/>
                <w:u w:val="single"/>
                <w:lang w:bidi="ar"/>
              </w:rPr>
              <w:t>广州大学城内环东星运路1 号</w:t>
            </w:r>
          </w:p>
        </w:tc>
        <w:tc>
          <w:tcPr>
            <w:tcW w:w="4919" w:type="dxa"/>
            <w:vAlign w:val="top"/>
          </w:tcPr>
          <w:p>
            <w:pPr>
              <w:spacing w:line="360" w:lineRule="auto"/>
              <w:ind w:left="1200" w:leftChars="0" w:hanging="1200" w:hangingChars="500"/>
              <w:rPr>
                <w:rFonts w:ascii="宋体" w:hAnsi="宋体" w:cs="宋体"/>
                <w:color w:val="auto"/>
                <w:sz w:val="24"/>
                <w:highlight w:val="none"/>
              </w:rPr>
            </w:pPr>
            <w:r>
              <w:rPr>
                <w:rFonts w:hint="eastAsia" w:ascii="宋体" w:hAnsi="宋体" w:cs="宋体"/>
                <w:color w:val="auto"/>
                <w:sz w:val="24"/>
                <w:szCs w:val="22"/>
                <w:highlight w:val="none"/>
                <w:lang w:bidi="ar"/>
              </w:rPr>
              <w:t>地    址：</w:t>
            </w:r>
            <w:r>
              <w:rPr>
                <w:rFonts w:hint="eastAsia" w:ascii="宋体" w:hAnsi="宋体" w:cs="宋体"/>
                <w:color w:val="auto"/>
                <w:sz w:val="24"/>
                <w:szCs w:val="22"/>
                <w:highlight w:val="none"/>
                <w:u w:val="single"/>
                <w:lang w:bidi="ar"/>
              </w:rPr>
              <w:t>广州市越秀区环市东路316号金鹰大厦10楼</w:t>
            </w:r>
          </w:p>
        </w:tc>
      </w:tr>
      <w:tr>
        <w:tblPrEx>
          <w:tblCellMar>
            <w:top w:w="0" w:type="dxa"/>
            <w:left w:w="108" w:type="dxa"/>
            <w:bottom w:w="0" w:type="dxa"/>
            <w:right w:w="108" w:type="dxa"/>
          </w:tblCellMar>
        </w:tblPrEx>
        <w:tc>
          <w:tcPr>
            <w:tcW w:w="4933" w:type="dxa"/>
          </w:tcPr>
          <w:p>
            <w:pPr>
              <w:spacing w:line="360" w:lineRule="auto"/>
              <w:rPr>
                <w:rFonts w:ascii="宋体" w:hAnsi="宋体" w:cs="宋体"/>
                <w:color w:val="auto"/>
                <w:sz w:val="24"/>
                <w:highlight w:val="none"/>
              </w:rPr>
            </w:pPr>
            <w:r>
              <w:rPr>
                <w:rFonts w:hint="eastAsia" w:ascii="宋体" w:hAnsi="宋体" w:cs="宋体"/>
                <w:color w:val="auto"/>
                <w:sz w:val="24"/>
                <w:highlight w:val="none"/>
                <w:lang w:bidi="ar"/>
              </w:rPr>
              <w:t>邮    编：</w:t>
            </w:r>
            <w:r>
              <w:rPr>
                <w:rFonts w:hint="eastAsia" w:ascii="宋体" w:hAnsi="宋体" w:cs="宋体"/>
                <w:color w:val="auto"/>
                <w:sz w:val="24"/>
                <w:highlight w:val="none"/>
                <w:u w:val="single"/>
                <w:lang w:bidi="ar"/>
              </w:rPr>
              <w:t>510006</w:t>
            </w:r>
          </w:p>
        </w:tc>
        <w:tc>
          <w:tcPr>
            <w:tcW w:w="4919" w:type="dxa"/>
            <w:vAlign w:val="top"/>
          </w:tcPr>
          <w:p>
            <w:pPr>
              <w:spacing w:line="360" w:lineRule="auto"/>
              <w:rPr>
                <w:rFonts w:ascii="宋体" w:hAnsi="宋体" w:cs="宋体"/>
                <w:color w:val="auto"/>
                <w:sz w:val="24"/>
                <w:highlight w:val="none"/>
              </w:rPr>
            </w:pPr>
            <w:r>
              <w:rPr>
                <w:rFonts w:hint="eastAsia" w:ascii="宋体" w:hAnsi="宋体" w:cs="宋体"/>
                <w:color w:val="auto"/>
                <w:sz w:val="24"/>
                <w:szCs w:val="22"/>
                <w:highlight w:val="none"/>
                <w:lang w:bidi="ar"/>
              </w:rPr>
              <w:t>邮    编：</w:t>
            </w:r>
            <w:r>
              <w:rPr>
                <w:rFonts w:hint="eastAsia" w:ascii="宋体" w:hAnsi="宋体" w:cs="宋体"/>
                <w:color w:val="auto"/>
                <w:sz w:val="24"/>
                <w:szCs w:val="22"/>
                <w:highlight w:val="none"/>
                <w:u w:val="single"/>
                <w:lang w:bidi="ar"/>
              </w:rPr>
              <w:t>510000</w:t>
            </w:r>
          </w:p>
        </w:tc>
      </w:tr>
      <w:tr>
        <w:tblPrEx>
          <w:tblCellMar>
            <w:top w:w="0" w:type="dxa"/>
            <w:left w:w="108" w:type="dxa"/>
            <w:bottom w:w="0" w:type="dxa"/>
            <w:right w:w="108" w:type="dxa"/>
          </w:tblCellMar>
        </w:tblPrEx>
        <w:tc>
          <w:tcPr>
            <w:tcW w:w="4933" w:type="dxa"/>
          </w:tcPr>
          <w:p>
            <w:pPr>
              <w:spacing w:line="360" w:lineRule="auto"/>
              <w:rPr>
                <w:rFonts w:ascii="宋体" w:hAnsi="宋体" w:cs="宋体"/>
                <w:color w:val="auto"/>
                <w:sz w:val="24"/>
                <w:highlight w:val="none"/>
              </w:rPr>
            </w:pPr>
            <w:r>
              <w:rPr>
                <w:rFonts w:hint="eastAsia" w:ascii="宋体" w:hAnsi="宋体" w:cs="宋体"/>
                <w:color w:val="auto"/>
                <w:sz w:val="24"/>
                <w:highlight w:val="none"/>
                <w:lang w:bidi="ar"/>
              </w:rPr>
              <w:t>联 系 人：</w:t>
            </w:r>
            <w:r>
              <w:rPr>
                <w:rFonts w:hint="eastAsia" w:ascii="宋体" w:hAnsi="宋体" w:cs="宋体"/>
                <w:color w:val="auto"/>
                <w:sz w:val="24"/>
                <w:highlight w:val="none"/>
                <w:u w:val="single"/>
                <w:lang w:bidi="ar"/>
              </w:rPr>
              <w:t>高工</w:t>
            </w:r>
          </w:p>
        </w:tc>
        <w:tc>
          <w:tcPr>
            <w:tcW w:w="4919" w:type="dxa"/>
            <w:vAlign w:val="top"/>
          </w:tcPr>
          <w:p>
            <w:pPr>
              <w:spacing w:line="360" w:lineRule="auto"/>
              <w:rPr>
                <w:rFonts w:ascii="宋体" w:hAnsi="宋体" w:cs="宋体"/>
                <w:color w:val="auto"/>
                <w:sz w:val="24"/>
                <w:highlight w:val="none"/>
              </w:rPr>
            </w:pPr>
            <w:r>
              <w:rPr>
                <w:rFonts w:hint="eastAsia" w:ascii="宋体" w:hAnsi="宋体" w:cs="宋体"/>
                <w:color w:val="auto"/>
                <w:sz w:val="24"/>
                <w:szCs w:val="22"/>
                <w:highlight w:val="none"/>
                <w:lang w:bidi="ar"/>
              </w:rPr>
              <w:t>联 系 人：郭工</w:t>
            </w:r>
          </w:p>
        </w:tc>
      </w:tr>
      <w:tr>
        <w:tblPrEx>
          <w:tblCellMar>
            <w:top w:w="0" w:type="dxa"/>
            <w:left w:w="108" w:type="dxa"/>
            <w:bottom w:w="0" w:type="dxa"/>
            <w:right w:w="108" w:type="dxa"/>
          </w:tblCellMar>
        </w:tblPrEx>
        <w:tc>
          <w:tcPr>
            <w:tcW w:w="4933" w:type="dxa"/>
          </w:tcPr>
          <w:p>
            <w:pPr>
              <w:spacing w:line="360" w:lineRule="auto"/>
              <w:rPr>
                <w:rFonts w:ascii="宋体" w:hAnsi="宋体" w:cs="宋体"/>
                <w:color w:val="auto"/>
                <w:sz w:val="24"/>
                <w:highlight w:val="none"/>
              </w:rPr>
            </w:pPr>
            <w:r>
              <w:rPr>
                <w:rFonts w:hint="eastAsia" w:ascii="宋体" w:hAnsi="宋体" w:cs="宋体"/>
                <w:color w:val="auto"/>
                <w:sz w:val="24"/>
                <w:highlight w:val="none"/>
                <w:lang w:bidi="ar"/>
              </w:rPr>
              <w:t>电    话：</w:t>
            </w:r>
            <w:r>
              <w:rPr>
                <w:rFonts w:ascii="宋体" w:hAnsi="宋体" w:cs="宋体"/>
                <w:color w:val="auto"/>
                <w:sz w:val="24"/>
                <w:highlight w:val="none"/>
                <w:u w:val="single"/>
                <w:lang w:bidi="ar"/>
              </w:rPr>
              <w:t>020-22905641</w:t>
            </w:r>
            <w:r>
              <w:rPr>
                <w:rFonts w:hint="eastAsia" w:ascii="宋体" w:hAnsi="宋体" w:cs="宋体"/>
                <w:color w:val="auto"/>
                <w:sz w:val="24"/>
                <w:highlight w:val="none"/>
                <w:lang w:bidi="ar"/>
              </w:rPr>
              <w:t xml:space="preserve"> </w:t>
            </w:r>
          </w:p>
        </w:tc>
        <w:tc>
          <w:tcPr>
            <w:tcW w:w="4919" w:type="dxa"/>
            <w:vAlign w:val="top"/>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szCs w:val="22"/>
                <w:highlight w:val="none"/>
                <w:lang w:bidi="ar"/>
              </w:rPr>
              <w:t>电    话：</w:t>
            </w:r>
            <w:r>
              <w:rPr>
                <w:rFonts w:hint="eastAsia" w:ascii="宋体" w:hAnsi="宋体" w:cs="宋体"/>
                <w:color w:val="auto"/>
                <w:sz w:val="24"/>
                <w:szCs w:val="22"/>
                <w:highlight w:val="none"/>
                <w:u w:val="single"/>
                <w:lang w:eastAsia="zh-CN" w:bidi="ar"/>
              </w:rPr>
              <w:t>020-83546223</w:t>
            </w:r>
          </w:p>
        </w:tc>
      </w:tr>
    </w:tbl>
    <w:p>
      <w:pPr>
        <w:widowControl/>
        <w:snapToGrid w:val="0"/>
        <w:spacing w:line="360" w:lineRule="auto"/>
        <w:jc w:val="left"/>
        <w:rPr>
          <w:rFonts w:ascii="宋体" w:hAnsi="宋体" w:cs="宋体"/>
          <w:b/>
          <w:bCs/>
          <w:color w:val="auto"/>
          <w:kern w:val="0"/>
          <w:sz w:val="24"/>
          <w:highlight w:val="none"/>
          <w:shd w:val="clear" w:color="auto" w:fill="FFFFFF"/>
        </w:rPr>
      </w:pPr>
    </w:p>
    <w:p>
      <w:pPr>
        <w:widowControl/>
        <w:snapToGrid w:val="0"/>
        <w:spacing w:line="360" w:lineRule="auto"/>
        <w:jc w:val="left"/>
        <w:rPr>
          <w:rFonts w:ascii="宋体" w:hAnsi="宋体" w:cs="宋体"/>
          <w:b/>
          <w:bCs/>
          <w:color w:val="auto"/>
          <w:sz w:val="24"/>
          <w:highlight w:val="none"/>
          <w:shd w:val="clear" w:color="auto" w:fill="FFFFFF"/>
        </w:rPr>
      </w:pPr>
      <w:r>
        <w:rPr>
          <w:rFonts w:hint="eastAsia" w:ascii="宋体" w:hAnsi="宋体" w:cs="宋体"/>
          <w:b/>
          <w:bCs/>
          <w:color w:val="auto"/>
          <w:kern w:val="0"/>
          <w:sz w:val="24"/>
          <w:highlight w:val="none"/>
          <w:shd w:val="clear" w:color="auto" w:fill="FFFFFF"/>
          <w:lang w:bidi="ar"/>
        </w:rPr>
        <w:t>8.潜在投标人或利害关系人对本招标公告及招标文件内容异议的，向招标人书面提出。</w:t>
      </w:r>
    </w:p>
    <w:p>
      <w:pPr>
        <w:rPr>
          <w:color w:val="auto"/>
          <w:highlight w:val="none"/>
        </w:rPr>
      </w:pPr>
      <w:r>
        <w:rPr>
          <w:rFonts w:hint="eastAsia"/>
          <w:color w:val="auto"/>
          <w:highlight w:val="none"/>
        </w:rPr>
        <w:t xml:space="preserve"> </w:t>
      </w:r>
    </w:p>
    <w:p>
      <w:pPr>
        <w:spacing w:line="360" w:lineRule="auto"/>
        <w:ind w:firstLine="360" w:firstLineChars="150"/>
        <w:rPr>
          <w:rFonts w:ascii="宋体" w:hAnsi="宋体" w:cs="宋体"/>
          <w:color w:val="auto"/>
          <w:sz w:val="24"/>
          <w:highlight w:val="none"/>
          <w:u w:val="single"/>
        </w:rPr>
      </w:pPr>
      <w:r>
        <w:rPr>
          <w:rFonts w:hint="eastAsia" w:ascii="宋体" w:hAnsi="宋体" w:cs="宋体"/>
          <w:color w:val="auto"/>
          <w:sz w:val="24"/>
          <w:highlight w:val="none"/>
          <w:u w:val="single"/>
          <w:lang w:bidi="ar"/>
        </w:rPr>
        <w:t xml:space="preserve">异议受理部门：广州市重点公共建设项目管理中心 </w:t>
      </w:r>
    </w:p>
    <w:p>
      <w:pPr>
        <w:spacing w:line="360" w:lineRule="auto"/>
        <w:ind w:firstLine="360" w:firstLineChars="150"/>
        <w:rPr>
          <w:rFonts w:ascii="宋体" w:hAnsi="宋体" w:cs="宋体"/>
          <w:color w:val="auto"/>
          <w:sz w:val="24"/>
          <w:highlight w:val="none"/>
          <w:u w:val="single"/>
        </w:rPr>
      </w:pPr>
      <w:r>
        <w:rPr>
          <w:rFonts w:hint="eastAsia" w:ascii="宋体" w:hAnsi="宋体" w:cs="宋体"/>
          <w:color w:val="auto"/>
          <w:sz w:val="24"/>
          <w:highlight w:val="none"/>
          <w:u w:val="single"/>
          <w:lang w:bidi="ar"/>
        </w:rPr>
        <w:t>地址：广州大学城内环东星运路1号</w:t>
      </w:r>
    </w:p>
    <w:p>
      <w:pPr>
        <w:spacing w:line="360" w:lineRule="auto"/>
        <w:ind w:firstLine="360" w:firstLineChars="150"/>
        <w:rPr>
          <w:rFonts w:ascii="宋体" w:hAnsi="宋体" w:cs="宋体"/>
          <w:color w:val="auto"/>
          <w:sz w:val="24"/>
          <w:highlight w:val="none"/>
          <w:u w:val="single"/>
        </w:rPr>
      </w:pPr>
      <w:r>
        <w:rPr>
          <w:rFonts w:hint="eastAsia" w:ascii="宋体" w:hAnsi="宋体" w:cs="宋体"/>
          <w:color w:val="auto"/>
          <w:sz w:val="24"/>
          <w:highlight w:val="none"/>
          <w:u w:val="single"/>
          <w:lang w:bidi="ar"/>
        </w:rPr>
        <w:t>电话：020-22905641</w:t>
      </w:r>
    </w:p>
    <w:p>
      <w:pPr>
        <w:widowControl/>
        <w:snapToGrid w:val="0"/>
        <w:spacing w:line="360" w:lineRule="auto"/>
        <w:ind w:firstLine="360" w:firstLineChars="150"/>
        <w:jc w:val="left"/>
        <w:rPr>
          <w:rFonts w:ascii="宋体" w:hAnsi="宋体" w:cs="宋体"/>
          <w:color w:val="auto"/>
          <w:sz w:val="24"/>
          <w:highlight w:val="none"/>
          <w:u w:val="single"/>
        </w:rPr>
      </w:pPr>
    </w:p>
    <w:p>
      <w:pPr>
        <w:widowControl/>
        <w:snapToGrid w:val="0"/>
        <w:spacing w:line="360" w:lineRule="auto"/>
        <w:ind w:firstLine="360" w:firstLineChars="150"/>
        <w:jc w:val="left"/>
        <w:rPr>
          <w:rFonts w:ascii="宋体" w:hAnsi="宋体" w:cs="宋体"/>
          <w:color w:val="auto"/>
          <w:sz w:val="24"/>
          <w:highlight w:val="none"/>
          <w:u w:val="single"/>
        </w:rPr>
      </w:pPr>
      <w:r>
        <w:rPr>
          <w:rFonts w:hint="eastAsia" w:ascii="宋体" w:hAnsi="宋体" w:cs="宋体"/>
          <w:color w:val="auto"/>
          <w:sz w:val="24"/>
          <w:highlight w:val="none"/>
          <w:u w:val="single"/>
          <w:lang w:bidi="ar"/>
        </w:rPr>
        <w:t>招标监督机构：广州市重点公共建设项目管理中心</w:t>
      </w:r>
    </w:p>
    <w:p>
      <w:pPr>
        <w:widowControl/>
        <w:snapToGrid w:val="0"/>
        <w:spacing w:line="360" w:lineRule="auto"/>
        <w:ind w:firstLine="360" w:firstLineChars="150"/>
        <w:jc w:val="left"/>
        <w:rPr>
          <w:color w:val="auto"/>
          <w:highlight w:val="none"/>
        </w:rPr>
      </w:pPr>
      <w:r>
        <w:rPr>
          <w:rFonts w:hint="eastAsia" w:ascii="宋体" w:hAnsi="宋体" w:cs="宋体"/>
          <w:color w:val="auto"/>
          <w:sz w:val="24"/>
          <w:highlight w:val="none"/>
          <w:u w:val="single"/>
          <w:lang w:bidi="ar"/>
        </w:rPr>
        <w:t>监督电话：020-22905690</w:t>
      </w:r>
    </w:p>
    <w:p>
      <w:pPr>
        <w:rPr>
          <w:rFonts w:hint="eastAsia" w:ascii="宋体" w:hAnsi="宋体" w:cs="宋体"/>
          <w:b/>
          <w:bCs/>
          <w:color w:val="auto"/>
          <w:szCs w:val="21"/>
          <w:highlight w:val="none"/>
          <w:shd w:val="clear" w:color="auto" w:fill="FFFFFF"/>
          <w:lang w:bidi="ar"/>
        </w:rPr>
      </w:pPr>
      <w:r>
        <w:rPr>
          <w:rFonts w:hint="eastAsia" w:ascii="宋体" w:hAnsi="宋体" w:cs="宋体"/>
          <w:b/>
          <w:bCs/>
          <w:color w:val="auto"/>
          <w:szCs w:val="21"/>
          <w:highlight w:val="none"/>
          <w:shd w:val="clear" w:color="auto" w:fill="FFFFFF"/>
          <w:lang w:bidi="ar"/>
        </w:rPr>
        <w:br w:type="page"/>
      </w:r>
    </w:p>
    <w:p>
      <w:pPr>
        <w:shd w:val="clear" w:color="auto" w:fill="FFFFFF"/>
        <w:spacing w:line="360" w:lineRule="auto"/>
        <w:rPr>
          <w:rFonts w:ascii="宋体" w:hAnsi="宋体" w:cs="宋体"/>
          <w:b/>
          <w:bCs/>
          <w:color w:val="auto"/>
          <w:szCs w:val="21"/>
          <w:highlight w:val="none"/>
          <w:shd w:val="clear" w:color="auto" w:fill="FFFFFF"/>
        </w:rPr>
      </w:pPr>
      <w:r>
        <w:rPr>
          <w:rFonts w:hint="eastAsia" w:ascii="宋体" w:hAnsi="宋体" w:cs="宋体"/>
          <w:b/>
          <w:bCs/>
          <w:color w:val="auto"/>
          <w:szCs w:val="21"/>
          <w:highlight w:val="none"/>
          <w:shd w:val="clear" w:color="auto" w:fill="FFFFFF"/>
          <w:lang w:bidi="ar"/>
        </w:rPr>
        <w:t>附件一：《被本项目招标人书面拒绝投标的企业名单》</w:t>
      </w:r>
    </w:p>
    <w:p>
      <w:pPr>
        <w:shd w:val="clear" w:color="auto" w:fill="FFFFFF"/>
        <w:snapToGrid w:val="0"/>
        <w:spacing w:before="100" w:beforeAutospacing="1" w:line="360" w:lineRule="auto"/>
        <w:jc w:val="center"/>
        <w:rPr>
          <w:rFonts w:ascii="宋体" w:hAnsi="宋体" w:cs="宋体"/>
          <w:b/>
          <w:bCs/>
          <w:color w:val="auto"/>
          <w:szCs w:val="21"/>
          <w:highlight w:val="none"/>
          <w:shd w:val="clear" w:color="auto" w:fill="FFFFFF"/>
        </w:rPr>
      </w:pPr>
      <w:r>
        <w:rPr>
          <w:rFonts w:hint="eastAsia" w:ascii="宋体" w:hAnsi="宋体" w:cs="宋体"/>
          <w:color w:val="auto"/>
          <w:szCs w:val="21"/>
          <w:highlight w:val="none"/>
          <w:shd w:val="clear" w:color="auto" w:fill="FFFFFF"/>
          <w:lang w:bidi="ar"/>
        </w:rPr>
        <w:t xml:space="preserve"> </w:t>
      </w:r>
      <w:r>
        <w:rPr>
          <w:rFonts w:hint="eastAsia" w:ascii="宋体" w:hAnsi="宋体" w:cs="宋体"/>
          <w:b/>
          <w:bCs/>
          <w:color w:val="auto"/>
          <w:szCs w:val="21"/>
          <w:highlight w:val="none"/>
          <w:shd w:val="clear" w:color="auto" w:fill="FFFFFF"/>
          <w:lang w:bidi="ar"/>
        </w:rPr>
        <w:t xml:space="preserve"> 被本项目招标人书面拒绝投标的企业名单</w:t>
      </w:r>
    </w:p>
    <w:tbl>
      <w:tblPr>
        <w:tblStyle w:val="6"/>
        <w:tblW w:w="6965" w:type="dxa"/>
        <w:jc w:val="center"/>
        <w:tblLayout w:type="fixed"/>
        <w:tblCellMar>
          <w:top w:w="0" w:type="dxa"/>
          <w:left w:w="108" w:type="dxa"/>
          <w:bottom w:w="0" w:type="dxa"/>
          <w:right w:w="108" w:type="dxa"/>
        </w:tblCellMar>
      </w:tblPr>
      <w:tblGrid>
        <w:gridCol w:w="1149"/>
        <w:gridCol w:w="5816"/>
      </w:tblGrid>
      <w:tr>
        <w:tblPrEx>
          <w:tblCellMar>
            <w:top w:w="0" w:type="dxa"/>
            <w:left w:w="108" w:type="dxa"/>
            <w:bottom w:w="0" w:type="dxa"/>
            <w:right w:w="108" w:type="dxa"/>
          </w:tblCellMar>
        </w:tblPrEx>
        <w:trPr>
          <w:trHeight w:val="602"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spacing w:before="100" w:beforeAutospacing="1" w:line="360" w:lineRule="auto"/>
              <w:jc w:val="center"/>
              <w:rPr>
                <w:rFonts w:ascii="宋体" w:hAnsi="宋体" w:cs="宋体"/>
                <w:b/>
                <w:bCs/>
                <w:color w:val="auto"/>
                <w:szCs w:val="21"/>
                <w:highlight w:val="none"/>
              </w:rPr>
            </w:pPr>
            <w:r>
              <w:rPr>
                <w:rFonts w:hint="eastAsia" w:ascii="宋体" w:hAnsi="宋体" w:cs="宋体"/>
                <w:b/>
                <w:bCs/>
                <w:color w:val="auto"/>
                <w:szCs w:val="21"/>
                <w:highlight w:val="none"/>
                <w:lang w:bidi="ar"/>
              </w:rPr>
              <w:t>序号</w:t>
            </w:r>
          </w:p>
        </w:tc>
        <w:tc>
          <w:tcPr>
            <w:tcW w:w="5816" w:type="dxa"/>
            <w:tcBorders>
              <w:top w:val="single" w:color="auto" w:sz="4" w:space="0"/>
              <w:left w:val="nil"/>
              <w:bottom w:val="single" w:color="auto" w:sz="4" w:space="0"/>
              <w:right w:val="single" w:color="auto" w:sz="4" w:space="0"/>
            </w:tcBorders>
            <w:vAlign w:val="center"/>
          </w:tcPr>
          <w:p>
            <w:pPr>
              <w:spacing w:before="100" w:beforeAutospacing="1" w:line="360" w:lineRule="auto"/>
              <w:jc w:val="center"/>
              <w:rPr>
                <w:rFonts w:ascii="宋体" w:hAnsi="宋体" w:cs="宋体"/>
                <w:b/>
                <w:bCs/>
                <w:color w:val="auto"/>
                <w:szCs w:val="21"/>
                <w:highlight w:val="none"/>
              </w:rPr>
            </w:pPr>
            <w:r>
              <w:rPr>
                <w:rFonts w:hint="eastAsia" w:ascii="宋体" w:hAnsi="宋体" w:cs="宋体"/>
                <w:b/>
                <w:bCs/>
                <w:color w:val="auto"/>
                <w:szCs w:val="21"/>
                <w:highlight w:val="none"/>
                <w:lang w:bidi="ar"/>
              </w:rPr>
              <w:t>企业名称</w:t>
            </w:r>
          </w:p>
        </w:tc>
      </w:tr>
      <w:tr>
        <w:tblPrEx>
          <w:tblCellMar>
            <w:top w:w="0" w:type="dxa"/>
            <w:left w:w="108" w:type="dxa"/>
            <w:bottom w:w="0" w:type="dxa"/>
            <w:right w:w="108" w:type="dxa"/>
          </w:tblCellMar>
        </w:tblPrEx>
        <w:trPr>
          <w:trHeight w:val="627"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spacing w:before="100" w:beforeAutospacing="1"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1</w:t>
            </w:r>
          </w:p>
        </w:tc>
        <w:tc>
          <w:tcPr>
            <w:tcW w:w="5816" w:type="dxa"/>
            <w:tcBorders>
              <w:top w:val="single" w:color="auto" w:sz="4" w:space="0"/>
              <w:left w:val="nil"/>
              <w:bottom w:val="single" w:color="auto" w:sz="4" w:space="0"/>
              <w:right w:val="single" w:color="auto" w:sz="4" w:space="0"/>
            </w:tcBorders>
            <w:vAlign w:val="center"/>
          </w:tcPr>
          <w:p>
            <w:pPr>
              <w:spacing w:before="100" w:beforeAutospacing="1"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广东电白二建集团有限公司</w:t>
            </w:r>
          </w:p>
        </w:tc>
      </w:tr>
      <w:tr>
        <w:tblPrEx>
          <w:tblCellMar>
            <w:top w:w="0" w:type="dxa"/>
            <w:left w:w="108" w:type="dxa"/>
            <w:bottom w:w="0" w:type="dxa"/>
            <w:right w:w="108" w:type="dxa"/>
          </w:tblCellMar>
        </w:tblPrEx>
        <w:trPr>
          <w:trHeight w:val="627"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spacing w:before="100" w:beforeAutospacing="1"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5816" w:type="dxa"/>
            <w:tcBorders>
              <w:top w:val="single" w:color="auto" w:sz="4" w:space="0"/>
              <w:left w:val="nil"/>
              <w:bottom w:val="single" w:color="auto" w:sz="4" w:space="0"/>
              <w:right w:val="single" w:color="auto" w:sz="4" w:space="0"/>
            </w:tcBorders>
            <w:vAlign w:val="center"/>
          </w:tcPr>
          <w:p>
            <w:pPr>
              <w:spacing w:before="100" w:beforeAutospacing="1"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广州金辉建设集团有限公司</w:t>
            </w:r>
          </w:p>
        </w:tc>
      </w:tr>
      <w:tr>
        <w:tblPrEx>
          <w:tblCellMar>
            <w:top w:w="0" w:type="dxa"/>
            <w:left w:w="108" w:type="dxa"/>
            <w:bottom w:w="0" w:type="dxa"/>
            <w:right w:w="108" w:type="dxa"/>
          </w:tblCellMar>
        </w:tblPrEx>
        <w:trPr>
          <w:trHeight w:val="627"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spacing w:before="100" w:beforeAutospacing="1" w:line="360" w:lineRule="auto"/>
              <w:jc w:val="center"/>
              <w:rPr>
                <w:rFonts w:ascii="宋体" w:hAnsi="宋体" w:cs="宋体"/>
                <w:b/>
                <w:bCs/>
                <w:color w:val="auto"/>
                <w:szCs w:val="21"/>
                <w:highlight w:val="none"/>
              </w:rPr>
            </w:pPr>
            <w:r>
              <w:rPr>
                <w:rFonts w:hint="eastAsia" w:ascii="宋体" w:hAnsi="宋体" w:cs="宋体"/>
                <w:b/>
                <w:bCs/>
                <w:color w:val="auto"/>
                <w:szCs w:val="21"/>
                <w:highlight w:val="none"/>
                <w:lang w:bidi="ar"/>
              </w:rPr>
              <w:t>3</w:t>
            </w:r>
          </w:p>
        </w:tc>
        <w:tc>
          <w:tcPr>
            <w:tcW w:w="5816" w:type="dxa"/>
            <w:tcBorders>
              <w:top w:val="single" w:color="auto" w:sz="4" w:space="0"/>
              <w:left w:val="nil"/>
              <w:bottom w:val="single" w:color="auto" w:sz="4" w:space="0"/>
              <w:right w:val="single" w:color="auto" w:sz="4" w:space="0"/>
            </w:tcBorders>
            <w:vAlign w:val="center"/>
          </w:tcPr>
          <w:p>
            <w:pPr>
              <w:spacing w:before="100" w:beforeAutospacing="1"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广州市裕建工程有限公司</w:t>
            </w:r>
          </w:p>
        </w:tc>
      </w:tr>
      <w:tr>
        <w:tblPrEx>
          <w:tblCellMar>
            <w:top w:w="0" w:type="dxa"/>
            <w:left w:w="108" w:type="dxa"/>
            <w:bottom w:w="0" w:type="dxa"/>
            <w:right w:w="108" w:type="dxa"/>
          </w:tblCellMar>
        </w:tblPrEx>
        <w:trPr>
          <w:trHeight w:val="627"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spacing w:before="100" w:beforeAutospacing="1" w:line="360" w:lineRule="auto"/>
              <w:jc w:val="center"/>
              <w:rPr>
                <w:rFonts w:ascii="宋体" w:hAnsi="宋体" w:cs="宋体"/>
                <w:b/>
                <w:bCs/>
                <w:color w:val="auto"/>
                <w:szCs w:val="21"/>
                <w:highlight w:val="none"/>
              </w:rPr>
            </w:pPr>
            <w:r>
              <w:rPr>
                <w:rFonts w:hint="eastAsia" w:ascii="宋体" w:hAnsi="宋体" w:cs="宋体"/>
                <w:b/>
                <w:bCs/>
                <w:color w:val="auto"/>
                <w:szCs w:val="21"/>
                <w:highlight w:val="none"/>
                <w:lang w:bidi="ar"/>
              </w:rPr>
              <w:t>4</w:t>
            </w:r>
          </w:p>
        </w:tc>
        <w:tc>
          <w:tcPr>
            <w:tcW w:w="5816" w:type="dxa"/>
            <w:tcBorders>
              <w:top w:val="single" w:color="auto" w:sz="4" w:space="0"/>
              <w:left w:val="nil"/>
              <w:bottom w:val="single" w:color="auto" w:sz="4" w:space="0"/>
              <w:right w:val="single" w:color="auto" w:sz="4" w:space="0"/>
            </w:tcBorders>
            <w:vAlign w:val="center"/>
          </w:tcPr>
          <w:p>
            <w:pPr>
              <w:spacing w:before="100" w:beforeAutospacing="1"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广州市水电建设工程有限公司</w:t>
            </w:r>
          </w:p>
        </w:tc>
      </w:tr>
    </w:tbl>
    <w:p>
      <w:pPr>
        <w:spacing w:line="360" w:lineRule="auto"/>
        <w:rPr>
          <w:rFonts w:ascii="宋体" w:hAnsi="宋体" w:cs="宋体"/>
          <w:b/>
          <w:bCs/>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lang w:bidi="ar"/>
        </w:rPr>
        <w:t xml:space="preserve"> </w:t>
      </w:r>
    </w:p>
    <w:p>
      <w:pPr>
        <w:shd w:val="clear" w:color="auto" w:fill="FFFFFF"/>
        <w:spacing w:line="360" w:lineRule="auto"/>
        <w:ind w:right="26"/>
        <w:rPr>
          <w:rFonts w:ascii="宋体" w:hAnsi="宋体" w:cs="宋体"/>
          <w:color w:val="auto"/>
          <w:szCs w:val="21"/>
          <w:highlight w:val="none"/>
          <w:shd w:val="clear" w:color="auto" w:fill="FFFFFF"/>
        </w:rPr>
      </w:pPr>
      <w:r>
        <w:rPr>
          <w:rFonts w:hint="eastAsia" w:ascii="宋体" w:hAnsi="宋体" w:cs="宋体"/>
          <w:color w:val="auto"/>
          <w:szCs w:val="21"/>
          <w:highlight w:val="none"/>
          <w:lang w:bidi="ar"/>
        </w:rPr>
        <w:br w:type="page"/>
      </w:r>
      <w:r>
        <w:rPr>
          <w:rFonts w:hint="eastAsia" w:ascii="宋体" w:hAnsi="宋体" w:cs="宋体"/>
          <w:color w:val="auto"/>
          <w:szCs w:val="21"/>
          <w:highlight w:val="none"/>
          <w:shd w:val="clear" w:color="auto" w:fill="FFFFFF"/>
          <w:lang w:bidi="ar"/>
        </w:rPr>
        <w:t>附件二：</w:t>
      </w:r>
    </w:p>
    <w:p>
      <w:pPr>
        <w:shd w:val="clear" w:color="auto" w:fill="FFFFFF"/>
        <w:spacing w:line="360" w:lineRule="auto"/>
        <w:jc w:val="center"/>
        <w:rPr>
          <w:rFonts w:ascii="宋体" w:hAnsi="宋体" w:cs="宋体"/>
          <w:b/>
          <w:bCs/>
          <w:color w:val="auto"/>
          <w:sz w:val="32"/>
          <w:szCs w:val="28"/>
          <w:highlight w:val="none"/>
          <w:shd w:val="clear" w:color="auto" w:fill="FFFFFF"/>
        </w:rPr>
      </w:pPr>
      <w:bookmarkStart w:id="3" w:name="_Toc249845977"/>
      <w:bookmarkStart w:id="4" w:name="_Toc249846232"/>
      <w:bookmarkStart w:id="5" w:name="_Toc416358163"/>
      <w:bookmarkStart w:id="6" w:name="_Toc245024005"/>
      <w:bookmarkStart w:id="7" w:name="_Toc416357992"/>
      <w:bookmarkStart w:id="8" w:name="_Toc253143224"/>
      <w:bookmarkStart w:id="9" w:name="_Toc266881405"/>
      <w:bookmarkStart w:id="10" w:name="_Toc266093553"/>
      <w:r>
        <w:rPr>
          <w:rFonts w:hint="eastAsia" w:ascii="宋体" w:hAnsi="宋体" w:cs="宋体"/>
          <w:b/>
          <w:bCs/>
          <w:color w:val="auto"/>
          <w:sz w:val="32"/>
          <w:szCs w:val="28"/>
          <w:highlight w:val="none"/>
          <w:shd w:val="clear" w:color="auto" w:fill="FFFFFF"/>
          <w:lang w:bidi="ar"/>
        </w:rPr>
        <w:t>投标人声明</w:t>
      </w:r>
    </w:p>
    <w:p>
      <w:pPr>
        <w:shd w:val="clear" w:color="auto" w:fill="FFFFFF"/>
        <w:spacing w:line="360" w:lineRule="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bidi="ar"/>
        </w:rPr>
        <w:t>本招标项目招标人及招标监管机构：</w:t>
      </w:r>
    </w:p>
    <w:p>
      <w:pPr>
        <w:pStyle w:val="3"/>
        <w:widowControl/>
        <w:shd w:val="clear" w:color="auto" w:fill="FFFFFF"/>
        <w:spacing w:line="360" w:lineRule="auto"/>
        <w:ind w:right="-15" w:rightChars="-7" w:firstLine="480" w:firstLineChars="200"/>
        <w:jc w:val="left"/>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本公司就参加</w:t>
      </w:r>
      <w:r>
        <w:rPr>
          <w:rFonts w:hint="eastAsia" w:ascii="宋体" w:hAnsi="宋体" w:cs="宋体"/>
          <w:color w:val="auto"/>
          <w:szCs w:val="24"/>
          <w:highlight w:val="none"/>
          <w:u w:val="single"/>
          <w:shd w:val="clear" w:color="auto" w:fill="FFFFFF"/>
        </w:rPr>
        <w:t xml:space="preserve">                             </w:t>
      </w:r>
      <w:r>
        <w:rPr>
          <w:rFonts w:hint="eastAsia" w:ascii="宋体" w:hAnsi="宋体" w:cs="宋体"/>
          <w:color w:val="auto"/>
          <w:szCs w:val="24"/>
          <w:highlight w:val="none"/>
          <w:shd w:val="clear" w:color="auto" w:fill="FFFFFF"/>
        </w:rPr>
        <w:t>投标工作，作出郑重声明：</w:t>
      </w:r>
    </w:p>
    <w:p>
      <w:pPr>
        <w:pStyle w:val="3"/>
        <w:widowControl/>
        <w:shd w:val="clear" w:color="auto" w:fill="FFFFFF"/>
        <w:spacing w:line="360" w:lineRule="auto"/>
        <w:ind w:right="-15" w:rightChars="-7" w:firstLine="480" w:firstLineChars="200"/>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一、本公司保证投标登记材料及其后提供的一切材料都是真实的，如我司成为本项目中标候选人，我司同意并授权招标人将我司投标文件商务部分文件的内容（包括人员、业绩、奖项等资料）进行公开。</w:t>
      </w:r>
    </w:p>
    <w:p>
      <w:pPr>
        <w:pStyle w:val="3"/>
        <w:widowControl/>
        <w:shd w:val="clear" w:color="auto" w:fill="FFFFFF"/>
        <w:spacing w:line="360" w:lineRule="auto"/>
        <w:ind w:right="-15" w:rightChars="-7" w:firstLine="480" w:firstLineChars="200"/>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二、本公司保证在本项目投标中不与其他单位围标、串标，不出让投标资格，不向招标人或评标委员会成员行贿。</w:t>
      </w:r>
    </w:p>
    <w:p>
      <w:pPr>
        <w:pStyle w:val="3"/>
        <w:widowControl/>
        <w:shd w:val="clear" w:color="auto" w:fill="FFFFFF"/>
        <w:spacing w:line="360" w:lineRule="auto"/>
        <w:ind w:right="-15" w:rightChars="-7" w:firstLine="480" w:firstLineChars="200"/>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三、本公司没有处于被责令停业的状态；没有处于被建设行政主管部门取消投标资格的处罚期内；没有处于财产被接管、冻结、破产的状态；本公司没有在投标报名截止时间前三年内被人民法院判决犯有行贿罪的记录。投标报名截止日期前三年内，本公司没有弄虚作假骗取中标、围标串标行为（以行政主管部门或法院或检察院书面认定为准），本公司没有被人民法院列入失信被执行人名单。在投标报名截止日期前三年内没有建设行政主管部门已书面认定的重大工程质量问题。本公司未在以往工程中因不诚信行为或不充分履约行为被本项目招标人书面拒绝投标; 本公司未被纳入联合惩戒范围。</w:t>
      </w:r>
    </w:p>
    <w:p>
      <w:pPr>
        <w:pStyle w:val="3"/>
        <w:widowControl/>
        <w:shd w:val="clear" w:color="auto" w:fill="FFFFFF"/>
        <w:spacing w:line="360" w:lineRule="auto"/>
        <w:ind w:right="-15" w:rightChars="-7" w:firstLine="482" w:firstLineChars="200"/>
        <w:rPr>
          <w:rFonts w:ascii="宋体" w:hAnsi="宋体" w:cs="宋体"/>
          <w:b/>
          <w:bCs/>
          <w:color w:val="auto"/>
          <w:szCs w:val="24"/>
          <w:highlight w:val="none"/>
          <w:shd w:val="clear" w:color="auto" w:fill="FFFFFF"/>
        </w:rPr>
      </w:pPr>
      <w:r>
        <w:rPr>
          <w:rFonts w:hint="eastAsia" w:ascii="宋体" w:hAnsi="宋体" w:cs="宋体"/>
          <w:b/>
          <w:bCs/>
          <w:color w:val="auto"/>
          <w:szCs w:val="24"/>
          <w:highlight w:val="none"/>
          <w:shd w:val="clear" w:color="auto" w:fill="FFFFFF"/>
        </w:rPr>
        <w:t>四、本公司近二年（从招标公告发布年度起逆推2年的1月1日起至投标截止时间止）未因以往检测工作中存在伪造检测数据、出具虚假检测报告的行为被各级建设行政主管部门或市场监督管理部门行政处罚或通报。</w:t>
      </w:r>
    </w:p>
    <w:p>
      <w:pPr>
        <w:pStyle w:val="3"/>
        <w:widowControl/>
        <w:shd w:val="clear" w:color="auto" w:fill="FFFFFF"/>
        <w:spacing w:line="360" w:lineRule="auto"/>
        <w:ind w:right="-15" w:rightChars="-7" w:firstLine="480" w:firstLineChars="200"/>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pPr>
        <w:pStyle w:val="3"/>
        <w:widowControl/>
        <w:shd w:val="clear" w:color="auto" w:fill="FFFFFF"/>
        <w:spacing w:line="360" w:lineRule="auto"/>
        <w:ind w:right="-15" w:rightChars="-7" w:firstLine="480" w:firstLineChars="200"/>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六、与本公司单位负责人为同一人或者与本公司存在控股、管理关系的其他单位包括</w:t>
      </w:r>
      <w:r>
        <w:rPr>
          <w:rFonts w:hint="eastAsia" w:ascii="宋体" w:hAnsi="宋体" w:cs="宋体"/>
          <w:color w:val="auto"/>
          <w:szCs w:val="24"/>
          <w:highlight w:val="none"/>
          <w:u w:val="single"/>
          <w:shd w:val="clear" w:color="auto" w:fill="FFFFFF"/>
        </w:rPr>
        <w:t xml:space="preserve">     </w:t>
      </w:r>
      <w:r>
        <w:rPr>
          <w:rFonts w:hint="eastAsia" w:ascii="宋体" w:hAnsi="宋体" w:cs="宋体"/>
          <w:color w:val="auto"/>
          <w:szCs w:val="24"/>
          <w:highlight w:val="none"/>
          <w:shd w:val="clear" w:color="auto" w:fill="FFFFFF"/>
        </w:rPr>
        <w:t>。（注：本条由投标人如实填写，如有，应列出全部满足招标公告资质要求的相关单位的名称；如无，则填写“无”。）</w:t>
      </w:r>
    </w:p>
    <w:p>
      <w:pPr>
        <w:pStyle w:val="3"/>
        <w:widowControl/>
        <w:shd w:val="clear" w:color="auto" w:fill="FFFFFF"/>
        <w:spacing w:line="360" w:lineRule="auto"/>
        <w:ind w:right="-15" w:rightChars="-7" w:firstLine="480" w:firstLineChars="200"/>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七、本公司承诺，中标后严格执行安全生产相关管理规定。</w:t>
      </w:r>
    </w:p>
    <w:p>
      <w:pPr>
        <w:pStyle w:val="3"/>
        <w:widowControl/>
        <w:shd w:val="clear" w:color="auto" w:fill="FFFFFF"/>
        <w:spacing w:line="360" w:lineRule="auto"/>
        <w:ind w:right="-15" w:rightChars="-7" w:firstLine="480" w:firstLineChars="200"/>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八、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pPr>
        <w:pStyle w:val="3"/>
        <w:widowControl/>
        <w:shd w:val="clear" w:color="auto" w:fill="FFFFFF"/>
        <w:spacing w:line="360" w:lineRule="auto"/>
        <w:ind w:right="-15" w:rightChars="-7" w:firstLine="480" w:firstLineChars="200"/>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本公司违反上述承诺，或本声明陈述与事实不符，经查实，本公司愿意接受公开通报，承担由此带来的法律后果，并自愿停止参加广州市行政辖区内的招标投标活动三个月。</w:t>
      </w:r>
    </w:p>
    <w:p>
      <w:pPr>
        <w:pStyle w:val="3"/>
        <w:widowControl/>
        <w:shd w:val="clear" w:color="auto" w:fill="FFFFFF"/>
        <w:spacing w:line="360" w:lineRule="auto"/>
        <w:ind w:right="-15" w:rightChars="-7" w:firstLine="480" w:firstLineChars="200"/>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特此声明。</w:t>
      </w:r>
    </w:p>
    <w:p>
      <w:pPr>
        <w:shd w:val="clear" w:color="auto" w:fill="FFFFFF"/>
        <w:spacing w:line="360" w:lineRule="auto"/>
        <w:ind w:right="-108"/>
        <w:jc w:val="righ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bidi="ar"/>
        </w:rPr>
        <w:t>投标单位（盖公章）：</w:t>
      </w:r>
    </w:p>
    <w:p>
      <w:pPr>
        <w:spacing w:line="360" w:lineRule="auto"/>
        <w:jc w:val="right"/>
        <w:rPr>
          <w:rFonts w:ascii="宋体" w:hAnsi="宋体" w:cs="宋体"/>
          <w:color w:val="auto"/>
          <w:sz w:val="24"/>
          <w:highlight w:val="none"/>
        </w:rPr>
      </w:pPr>
      <w:r>
        <w:rPr>
          <w:rFonts w:hint="eastAsia" w:ascii="宋体" w:hAnsi="宋体" w:cs="宋体"/>
          <w:color w:val="auto"/>
          <w:sz w:val="24"/>
          <w:highlight w:val="none"/>
          <w:lang w:bidi="ar"/>
        </w:rPr>
        <w:t>法定代表人或授权委托人（签字或盖章）：</w:t>
      </w:r>
    </w:p>
    <w:bookmarkEnd w:id="3"/>
    <w:bookmarkEnd w:id="4"/>
    <w:bookmarkEnd w:id="5"/>
    <w:bookmarkEnd w:id="6"/>
    <w:bookmarkEnd w:id="7"/>
    <w:bookmarkEnd w:id="8"/>
    <w:bookmarkEnd w:id="9"/>
    <w:bookmarkEnd w:id="10"/>
    <w:p>
      <w:pPr>
        <w:ind w:firstLine="5760" w:firstLineChars="2400"/>
        <w:rPr>
          <w:rFonts w:ascii="宋体" w:hAnsi="宋体" w:cs="宋体"/>
          <w:color w:val="auto"/>
          <w:sz w:val="24"/>
          <w:highlight w:val="none"/>
          <w:lang w:bidi="ar"/>
        </w:rPr>
      </w:pPr>
      <w:r>
        <w:rPr>
          <w:rFonts w:hint="eastAsia" w:ascii="宋体" w:hAnsi="宋体" w:cs="宋体"/>
          <w:color w:val="auto"/>
          <w:sz w:val="24"/>
          <w:highlight w:val="none"/>
          <w:lang w:bidi="ar"/>
        </w:rPr>
        <w:t>日期：  年  月  日</w:t>
      </w:r>
    </w:p>
    <w:p>
      <w:pPr>
        <w:jc w:val="right"/>
      </w:pPr>
      <w:bookmarkStart w:id="11" w:name="_GoBack"/>
      <w:bookmarkEnd w:id="11"/>
    </w:p>
    <w:sectPr>
      <w:footerReference r:id="rId3"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F78AA"/>
    <w:multiLevelType w:val="multilevel"/>
    <w:tmpl w:val="5FFF78AA"/>
    <w:lvl w:ilvl="0" w:tentative="0">
      <w:start w:val="1"/>
      <w:numFmt w:val="decimal"/>
      <w:lvlText w:val="%1."/>
      <w:lvlJc w:val="left"/>
      <w:pPr>
        <w:tabs>
          <w:tab w:val="left" w:pos="0"/>
        </w:tabs>
        <w:ind w:left="0" w:firstLine="0"/>
      </w:pPr>
      <w:rPr>
        <w:rFonts w:hint="default" w:ascii="Times New Roman" w:hAnsi="Times New Roman" w:cs="Times New Roman"/>
      </w:rPr>
    </w:lvl>
    <w:lvl w:ilvl="1" w:tentative="0">
      <w:start w:val="0"/>
      <w:numFmt w:val="decimal"/>
      <w:lvlText w:val="%2."/>
      <w:lvlJc w:val="left"/>
      <w:pPr>
        <w:tabs>
          <w:tab w:val="left" w:pos="1440"/>
        </w:tabs>
        <w:ind w:left="1440" w:hanging="360"/>
      </w:pPr>
    </w:lvl>
    <w:lvl w:ilvl="2" w:tentative="0">
      <w:start w:val="0"/>
      <w:numFmt w:val="decimal"/>
      <w:lvlText w:val="%3."/>
      <w:lvlJc w:val="left"/>
      <w:pPr>
        <w:tabs>
          <w:tab w:val="left" w:pos="2160"/>
        </w:tabs>
        <w:ind w:left="2160" w:hanging="360"/>
      </w:pPr>
    </w:lvl>
    <w:lvl w:ilvl="3" w:tentative="0">
      <w:start w:val="0"/>
      <w:numFmt w:val="decimal"/>
      <w:lvlText w:val="%4."/>
      <w:lvlJc w:val="left"/>
      <w:pPr>
        <w:tabs>
          <w:tab w:val="left" w:pos="2880"/>
        </w:tabs>
        <w:ind w:left="2880" w:hanging="360"/>
      </w:pPr>
    </w:lvl>
    <w:lvl w:ilvl="4" w:tentative="0">
      <w:start w:val="0"/>
      <w:numFmt w:val="decimal"/>
      <w:lvlText w:val="%5."/>
      <w:lvlJc w:val="left"/>
      <w:pPr>
        <w:tabs>
          <w:tab w:val="left" w:pos="3600"/>
        </w:tabs>
        <w:ind w:left="3600" w:hanging="360"/>
      </w:pPr>
    </w:lvl>
    <w:lvl w:ilvl="5" w:tentative="0">
      <w:start w:val="0"/>
      <w:numFmt w:val="decimal"/>
      <w:lvlText w:val="%6."/>
      <w:lvlJc w:val="left"/>
      <w:pPr>
        <w:tabs>
          <w:tab w:val="left" w:pos="4320"/>
        </w:tabs>
        <w:ind w:left="4320" w:hanging="360"/>
      </w:pPr>
    </w:lvl>
    <w:lvl w:ilvl="6" w:tentative="0">
      <w:start w:val="0"/>
      <w:numFmt w:val="decimal"/>
      <w:lvlText w:val="%7."/>
      <w:lvlJc w:val="left"/>
      <w:pPr>
        <w:tabs>
          <w:tab w:val="left" w:pos="5040"/>
        </w:tabs>
        <w:ind w:left="5040" w:hanging="360"/>
      </w:pPr>
    </w:lvl>
    <w:lvl w:ilvl="7" w:tentative="0">
      <w:start w:val="0"/>
      <w:numFmt w:val="decimal"/>
      <w:lvlText w:val="%8."/>
      <w:lvlJc w:val="left"/>
      <w:pPr>
        <w:tabs>
          <w:tab w:val="left" w:pos="5760"/>
        </w:tabs>
        <w:ind w:left="5760" w:hanging="360"/>
      </w:pPr>
    </w:lvl>
    <w:lvl w:ilvl="8" w:tentative="0">
      <w:start w:val="0"/>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wZDkwZTM5ZTkwNWU2NjFlMmJmMTljMjYzMzk5MzQifQ=="/>
  </w:docVars>
  <w:rsids>
    <w:rsidRoot w:val="0492551A"/>
    <w:rsid w:val="0492551A"/>
    <w:rsid w:val="7EE76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1"/>
    <w:unhideWhenUsed/>
    <w:qFormat/>
    <w:uiPriority w:val="99"/>
    <w:pPr>
      <w:widowControl/>
      <w:spacing w:after="120" w:line="256" w:lineRule="auto"/>
      <w:ind w:left="420" w:leftChars="200" w:firstLine="420" w:firstLineChars="200"/>
      <w:jc w:val="left"/>
    </w:pPr>
    <w:rPr>
      <w:rFonts w:eastAsia="Calibri"/>
      <w:color w:val="000000"/>
      <w:sz w:val="22"/>
    </w:rPr>
  </w:style>
  <w:style w:type="paragraph" w:styleId="3">
    <w:name w:val="Block Text"/>
    <w:basedOn w:val="1"/>
    <w:qFormat/>
    <w:uiPriority w:val="0"/>
    <w:pPr>
      <w:spacing w:line="440" w:lineRule="exact"/>
      <w:ind w:left="-540" w:leftChars="-257" w:right="-334" w:rightChars="-159" w:firstLine="1140"/>
    </w:pPr>
    <w:rPr>
      <w:rFonts w:ascii="Times New Roman" w:hAnsi="Times New Roman"/>
      <w:sz w:val="24"/>
      <w:szCs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2023-09-27T10:14:00Z</dcterms:created>
  <dc:creator>gzzb</dc:creator>
  <cp:lastModifiedBy>gzzb</cp:lastModifiedBy>
  <dcterms:modified xsi:type="dcterms:W3CDTF">2023-09-27T10:16:57Z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6FE29B643395438BA85F2F659F550DFC_11</vt:lpwstr>
  </property>
</Properties>
</file>