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color w:val="auto"/>
          <w:sz w:val="44"/>
          <w:szCs w:val="48"/>
          <w:highlight w:val="none"/>
          <w:lang w:eastAsia="zh-CN"/>
        </w:rPr>
      </w:pPr>
      <w:r>
        <w:rPr>
          <w:rFonts w:hint="eastAsia" w:ascii="宋体" w:hAnsi="宋体" w:eastAsia="宋体" w:cs="Times New Roman"/>
          <w:b/>
          <w:color w:val="auto"/>
          <w:sz w:val="44"/>
          <w:szCs w:val="48"/>
          <w:highlight w:val="none"/>
          <w:lang w:eastAsia="zh-CN"/>
        </w:rPr>
        <w:t>广州市信息技术职业学校迁建工程第三方检测服务（室内环境检测、建筑节能工程检测、建筑设</w:t>
      </w:r>
    </w:p>
    <w:p>
      <w:pPr>
        <w:spacing w:line="360" w:lineRule="auto"/>
        <w:jc w:val="center"/>
        <w:rPr>
          <w:rFonts w:eastAsia="宋体" w:cs="Times New Roman"/>
          <w:color w:val="auto"/>
          <w:sz w:val="32"/>
          <w:highlight w:val="none"/>
        </w:rPr>
      </w:pPr>
      <w:r>
        <w:rPr>
          <w:rFonts w:hint="eastAsia" w:ascii="宋体" w:hAnsi="宋体" w:eastAsia="宋体" w:cs="Times New Roman"/>
          <w:b/>
          <w:color w:val="auto"/>
          <w:sz w:val="44"/>
          <w:szCs w:val="48"/>
          <w:highlight w:val="none"/>
          <w:lang w:eastAsia="zh-CN"/>
        </w:rPr>
        <w:t>备及弱电系统检测）</w:t>
      </w:r>
    </w:p>
    <w:p>
      <w:pPr>
        <w:spacing w:line="360" w:lineRule="auto"/>
        <w:rPr>
          <w:rFonts w:ascii="宋体" w:eastAsia="宋体" w:cs="Times New Roman"/>
          <w:b/>
          <w:bCs/>
          <w:color w:val="auto"/>
          <w:spacing w:val="40"/>
          <w:sz w:val="44"/>
          <w:szCs w:val="44"/>
          <w:highlight w:val="none"/>
        </w:rPr>
      </w:pPr>
    </w:p>
    <w:p>
      <w:pPr>
        <w:spacing w:line="360" w:lineRule="auto"/>
        <w:jc w:val="left"/>
        <w:rPr>
          <w:rFonts w:eastAsia="宋体" w:cs="Times New Roman"/>
          <w:color w:val="auto"/>
          <w:sz w:val="36"/>
          <w:highlight w:val="none"/>
          <w:u w:val="single"/>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spacing w:line="360" w:lineRule="auto"/>
        <w:jc w:val="left"/>
        <w:rPr>
          <w:rFonts w:eastAsia="宋体" w:cs="Times New Roman"/>
          <w:color w:val="auto"/>
          <w:sz w:val="36"/>
          <w:highlight w:val="none"/>
          <w:u w:val="single"/>
        </w:rPr>
      </w:pPr>
    </w:p>
    <w:p>
      <w:pPr>
        <w:spacing w:line="360" w:lineRule="auto"/>
        <w:jc w:val="center"/>
        <w:rPr>
          <w:rFonts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招标文件</w:t>
      </w:r>
    </w:p>
    <w:p>
      <w:pPr>
        <w:spacing w:line="360" w:lineRule="auto"/>
        <w:rPr>
          <w:rFonts w:eastAsia="宋体" w:cs="Times New Roman"/>
          <w:color w:val="auto"/>
          <w:sz w:val="32"/>
          <w:highlight w:val="none"/>
        </w:rPr>
      </w:pPr>
    </w:p>
    <w:p>
      <w:pPr>
        <w:spacing w:line="360" w:lineRule="auto"/>
        <w:rPr>
          <w:rFonts w:eastAsia="宋体" w:cs="Times New Roman"/>
          <w:color w:val="auto"/>
          <w:sz w:val="52"/>
          <w:highlight w:val="none"/>
        </w:rPr>
      </w:pPr>
    </w:p>
    <w:p>
      <w:pPr>
        <w:spacing w:line="360" w:lineRule="auto"/>
        <w:rPr>
          <w:rFonts w:eastAsia="宋体" w:cs="Times New Roman"/>
          <w:color w:val="auto"/>
          <w:sz w:val="52"/>
          <w:highlight w:val="none"/>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cs="Times New Roman" w:eastAsiaTheme="minorEastAsia"/>
          <w:color w:val="auto"/>
          <w:kern w:val="2"/>
          <w:sz w:val="22"/>
          <w:szCs w:val="22"/>
          <w:highlight w:val="none"/>
          <w:lang w:val="en-US" w:eastAsia="zh-CN" w:bidi="ar-SA"/>
        </w:rPr>
      </w:pPr>
    </w:p>
    <w:p>
      <w:pPr>
        <w:spacing w:line="360" w:lineRule="auto"/>
        <w:rPr>
          <w:rFonts w:eastAsia="宋体" w:cs="Times New Roman"/>
          <w:color w:val="auto"/>
          <w:sz w:val="32"/>
          <w:highlight w:val="none"/>
        </w:rPr>
      </w:pPr>
    </w:p>
    <w:p>
      <w:pPr>
        <w:spacing w:line="48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招标单位：广州市重点公共建设项目管理中心</w:t>
      </w:r>
    </w:p>
    <w:p>
      <w:pPr>
        <w:spacing w:line="480" w:lineRule="auto"/>
        <w:ind w:firstLine="1600" w:firstLineChars="5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lang w:eastAsia="zh-CN"/>
        </w:rPr>
        <w:t>广东省机电设备招标有限公司</w:t>
      </w:r>
    </w:p>
    <w:p>
      <w:pPr>
        <w:spacing w:line="360" w:lineRule="auto"/>
        <w:ind w:firstLine="2560" w:firstLineChars="800"/>
        <w:rPr>
          <w:rFonts w:eastAsia="宋体" w:cs="Times New Roman"/>
          <w:color w:val="auto"/>
          <w:sz w:val="32"/>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highlight w:val="none"/>
          <w:u w:val="single"/>
        </w:rPr>
        <w:t>2023</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u w:val="single"/>
          <w:lang w:val="en-US" w:eastAsia="zh-CN"/>
        </w:rPr>
        <w:t xml:space="preserve"> </w:t>
      </w:r>
      <w:r>
        <w:rPr>
          <w:rFonts w:hint="eastAsia" w:ascii="宋体" w:hAnsi="宋体" w:eastAsia="宋体" w:cs="宋体"/>
          <w:color w:val="auto"/>
          <w:sz w:val="32"/>
          <w:highlight w:val="none"/>
        </w:rPr>
        <w:t>月</w:t>
      </w:r>
    </w:p>
    <w:p>
      <w:pPr>
        <w:spacing w:line="360" w:lineRule="auto"/>
        <w:rPr>
          <w:rFonts w:ascii="Times New Roman" w:hAnsi="Times New Roman"/>
          <w:color w:val="auto"/>
          <w:sz w:val="24"/>
          <w:highlight w:val="none"/>
        </w:rPr>
        <w:sectPr>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pPr>
      <w:r>
        <w:rPr>
          <w:rFonts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注：本项目使用新建设工程交易平台办理，各投标单位按照交易中心操作指引（http://ggzy.gz.gov.cn/fwznxtbzczsc/699986.jhtml）进行自助培训，如有疑问，请拨打技术支持电话咨询（15919617989,020-28866176）。</w:t>
      </w:r>
    </w:p>
    <w:tbl>
      <w:tblPr>
        <w:tblStyle w:val="18"/>
        <w:tblW w:w="8640" w:type="dxa"/>
        <w:tblInd w:w="360" w:type="dxa"/>
        <w:tblLayout w:type="fixed"/>
        <w:tblCellMar>
          <w:top w:w="0" w:type="dxa"/>
          <w:left w:w="0" w:type="dxa"/>
          <w:bottom w:w="0" w:type="dxa"/>
          <w:right w:w="0" w:type="dxa"/>
        </w:tblCellMar>
      </w:tblPr>
      <w:tblGrid>
        <w:gridCol w:w="660"/>
        <w:gridCol w:w="500"/>
        <w:gridCol w:w="7260"/>
        <w:gridCol w:w="220"/>
      </w:tblGrid>
      <w:tr>
        <w:tblPrEx>
          <w:tblCellMar>
            <w:top w:w="0" w:type="dxa"/>
            <w:left w:w="0" w:type="dxa"/>
            <w:bottom w:w="0" w:type="dxa"/>
            <w:right w:w="0" w:type="dxa"/>
          </w:tblCellMar>
        </w:tblPrEx>
        <w:trPr>
          <w:trHeight w:val="319" w:hRule="atLeast"/>
        </w:trPr>
        <w:tc>
          <w:tcPr>
            <w:tcW w:w="660" w:type="dxa"/>
            <w:vAlign w:val="bottom"/>
          </w:tcPr>
          <w:p>
            <w:pPr>
              <w:spacing w:line="0" w:lineRule="atLeast"/>
              <w:rPr>
                <w:rFonts w:ascii="Times New Roman" w:hAnsi="Times New Roman" w:eastAsia="宋体" w:cs="Times New Roman"/>
                <w:color w:val="auto"/>
                <w:sz w:val="24"/>
                <w:highlight w:val="none"/>
              </w:rPr>
            </w:pPr>
          </w:p>
        </w:tc>
        <w:tc>
          <w:tcPr>
            <w:tcW w:w="500" w:type="dxa"/>
            <w:vAlign w:val="bottom"/>
          </w:tcPr>
          <w:p>
            <w:pPr>
              <w:spacing w:line="0" w:lineRule="atLeast"/>
              <w:rPr>
                <w:rFonts w:ascii="Times New Roman" w:hAnsi="Times New Roman" w:eastAsia="宋体" w:cs="Times New Roman"/>
                <w:color w:val="auto"/>
                <w:sz w:val="24"/>
                <w:highlight w:val="none"/>
              </w:rPr>
            </w:pPr>
          </w:p>
        </w:tc>
        <w:tc>
          <w:tcPr>
            <w:tcW w:w="7260" w:type="dxa"/>
            <w:vAlign w:val="bottom"/>
          </w:tcPr>
          <w:p>
            <w:pPr>
              <w:spacing w:after="240" w:line="320" w:lineRule="exact"/>
              <w:ind w:right="3573"/>
              <w:jc w:val="right"/>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32"/>
                <w:szCs w:val="28"/>
                <w:highlight w:val="none"/>
              </w:rPr>
              <w:t>目  录</w:t>
            </w:r>
          </w:p>
        </w:tc>
        <w:tc>
          <w:tcPr>
            <w:tcW w:w="220" w:type="dxa"/>
            <w:vAlign w:val="bottom"/>
          </w:tcPr>
          <w:p>
            <w:pPr>
              <w:spacing w:line="0" w:lineRule="atLeast"/>
              <w:rPr>
                <w:rFonts w:ascii="Times New Roman" w:hAnsi="Times New Roman" w:eastAsia="宋体" w:cs="Times New Roman"/>
                <w:color w:val="auto"/>
                <w:sz w:val="24"/>
                <w:highlight w:val="none"/>
              </w:rPr>
            </w:pPr>
          </w:p>
        </w:tc>
      </w:tr>
    </w:tbl>
    <w:p>
      <w:pPr>
        <w:widowControl w:val="0"/>
        <w:tabs>
          <w:tab w:val="right" w:leader="dot" w:pos="9060"/>
        </w:tabs>
        <w:ind w:left="420" w:leftChars="200"/>
        <w:jc w:val="both"/>
        <w:rPr>
          <w:rStyle w:val="20"/>
          <w:rFonts w:ascii="Times New Roman" w:hAnsi="Times New Roman" w:eastAsiaTheme="minorEastAsia" w:cstheme="minorBidi"/>
          <w:b/>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TOC \o "1-3" \h \z \u </w:instrText>
      </w:r>
      <w:r>
        <w:rPr>
          <w:rFonts w:ascii="Calibri" w:hAnsi="Calibri" w:eastAsia="宋体" w:cs="Times New Roman"/>
          <w:color w:val="auto"/>
          <w:kern w:val="2"/>
          <w:sz w:val="21"/>
          <w:szCs w:val="22"/>
          <w:highlight w:val="none"/>
          <w:lang w:val="en-US" w:eastAsia="zh-CN" w:bidi="ar-SA"/>
        </w:rPr>
        <w:fldChar w:fldCharType="separate"/>
      </w: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"_Toc102997567"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第一章 招标公告</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_Toc102997567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4</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widowControl w:val="0"/>
        <w:tabs>
          <w:tab w:val="right" w:leader="dot" w:pos="9060"/>
        </w:tabs>
        <w:ind w:left="420" w:leftChars="200"/>
        <w:jc w:val="both"/>
        <w:rPr>
          <w:rStyle w:val="20"/>
          <w:rFonts w:ascii="Times New Roman" w:hAnsi="Times New Roman" w:eastAsiaTheme="minorEastAsia" w:cstheme="minorBidi"/>
          <w:b/>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"_Toc102997568"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第二章 投标人须知</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_Toc102997568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5</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widowControl w:val="0"/>
        <w:tabs>
          <w:tab w:val="right" w:leader="dot" w:pos="9060"/>
        </w:tabs>
        <w:ind w:left="420" w:leftChars="200"/>
        <w:jc w:val="both"/>
        <w:rPr>
          <w:rStyle w:val="20"/>
          <w:rFonts w:ascii="Times New Roman" w:hAnsi="Times New Roman" w:eastAsiaTheme="minorEastAsia" w:cstheme="minorBidi"/>
          <w:b/>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"_Toc102997628"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第三章 评标办法</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_Toc102997628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26</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widowControl w:val="0"/>
        <w:tabs>
          <w:tab w:val="right" w:leader="dot" w:pos="9060"/>
        </w:tabs>
        <w:ind w:left="420" w:leftChars="200"/>
        <w:jc w:val="both"/>
        <w:rPr>
          <w:rStyle w:val="20"/>
          <w:rFonts w:ascii="Times New Roman" w:hAnsi="Times New Roman" w:eastAsiaTheme="minorEastAsia" w:cstheme="minorBidi"/>
          <w:b/>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"_Toc102997639"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第四章 合同条款及格式</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_Toc102997639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46</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widowControl w:val="0"/>
        <w:tabs>
          <w:tab w:val="right" w:leader="dot" w:pos="9060"/>
        </w:tabs>
        <w:ind w:left="420" w:leftChars="200"/>
        <w:jc w:val="both"/>
        <w:rPr>
          <w:rStyle w:val="20"/>
          <w:rFonts w:ascii="Times New Roman" w:hAnsi="Times New Roman" w:eastAsiaTheme="minorEastAsia" w:cstheme="minorBidi"/>
          <w:b/>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"_Toc102997640"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第五章 委托人要求</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_Toc102997640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47</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widowControl w:val="0"/>
        <w:tabs>
          <w:tab w:val="right" w:leader="dot" w:pos="9060"/>
        </w:tabs>
        <w:ind w:left="420" w:leftChars="200"/>
        <w:jc w:val="both"/>
        <w:rPr>
          <w:rFonts w:ascii="Calibri" w:hAnsi="Calibri"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2"/>
          <w:highlight w:val="none"/>
          <w:lang w:val="en-US" w:eastAsia="zh-CN" w:bidi="ar-SA"/>
        </w:rPr>
        <w:fldChar w:fldCharType="begin"/>
      </w:r>
      <w:r>
        <w:rPr>
          <w:rFonts w:ascii="Calibri" w:hAnsi="Calibri" w:eastAsia="宋体" w:cs="Times New Roman"/>
          <w:color w:val="auto"/>
          <w:kern w:val="2"/>
          <w:sz w:val="21"/>
          <w:szCs w:val="22"/>
          <w:highlight w:val="none"/>
          <w:lang w:val="en-US" w:eastAsia="zh-CN" w:bidi="ar-SA"/>
        </w:rPr>
        <w:instrText xml:space="preserve"> HYPERLINK \l "_Toc102997644" </w:instrText>
      </w:r>
      <w:r>
        <w:rPr>
          <w:rFonts w:ascii="Calibri" w:hAnsi="Calibri" w:eastAsia="宋体" w:cs="Times New Roman"/>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第六章 投标文件格式</w:t>
      </w:r>
      <w:r>
        <w:rPr>
          <w:rStyle w:val="20"/>
          <w:rFonts w:hint="eastAsia" w:ascii="Times New Roman" w:hAnsi="Times New Roman" w:eastAsiaTheme="minorEastAsia" w:cstheme="minorBidi"/>
          <w:b/>
          <w:color w:val="auto"/>
          <w:kern w:val="2"/>
          <w:sz w:val="21"/>
          <w:szCs w:val="22"/>
          <w:highlight w:val="none"/>
          <w:lang w:val="en-US" w:eastAsia="zh-CN" w:bidi="ar-SA"/>
        </w:rPr>
        <w:tab/>
      </w:r>
      <w:r>
        <w:rPr>
          <w:rStyle w:val="20"/>
          <w:rFonts w:hint="eastAsia" w:ascii="Times New Roman" w:hAnsi="Times New Roman" w:eastAsiaTheme="minorEastAsia" w:cstheme="minorBidi"/>
          <w:b/>
          <w:color w:val="auto"/>
          <w:kern w:val="2"/>
          <w:sz w:val="21"/>
          <w:szCs w:val="22"/>
          <w:highlight w:val="none"/>
          <w:lang w:val="en-US" w:eastAsia="zh-CN" w:bidi="ar-SA"/>
        </w:rPr>
        <w:fldChar w:fldCharType="begin"/>
      </w:r>
      <w:r>
        <w:rPr>
          <w:rStyle w:val="20"/>
          <w:rFonts w:hint="eastAsia" w:ascii="Times New Roman" w:hAnsi="Times New Roman" w:eastAsiaTheme="minorEastAsia" w:cstheme="minorBidi"/>
          <w:b/>
          <w:color w:val="auto"/>
          <w:kern w:val="2"/>
          <w:sz w:val="21"/>
          <w:szCs w:val="22"/>
          <w:highlight w:val="none"/>
          <w:lang w:val="en-US" w:eastAsia="zh-CN" w:bidi="ar-SA"/>
        </w:rPr>
        <w:instrText xml:space="preserve"> PAGEREF _Toc102997644 \h </w:instrTex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separate"/>
      </w:r>
      <w:r>
        <w:rPr>
          <w:rStyle w:val="20"/>
          <w:rFonts w:hint="eastAsia" w:ascii="Times New Roman" w:hAnsi="Times New Roman" w:eastAsiaTheme="minorEastAsia" w:cstheme="minorBidi"/>
          <w:b/>
          <w:color w:val="auto"/>
          <w:kern w:val="2"/>
          <w:sz w:val="21"/>
          <w:szCs w:val="22"/>
          <w:highlight w:val="none"/>
          <w:lang w:val="en-US" w:eastAsia="zh-CN" w:bidi="ar-SA"/>
        </w:rPr>
        <w:t>50</w:t>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r>
        <w:rPr>
          <w:rStyle w:val="20"/>
          <w:rFonts w:hint="eastAsia" w:ascii="Times New Roman" w:hAnsi="Times New Roman" w:eastAsiaTheme="minorEastAsia" w:cstheme="minorBidi"/>
          <w:b/>
          <w:color w:val="auto"/>
          <w:kern w:val="2"/>
          <w:sz w:val="21"/>
          <w:szCs w:val="22"/>
          <w:highlight w:val="none"/>
          <w:lang w:val="en-US" w:eastAsia="zh-CN" w:bidi="ar-SA"/>
        </w:rPr>
        <w:fldChar w:fldCharType="end"/>
      </w:r>
    </w:p>
    <w:p>
      <w:pP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lang w:val="zh-CN"/>
        </w:rPr>
        <w:fldChar w:fldCharType="end"/>
      </w:r>
    </w:p>
    <w:p>
      <w:pPr>
        <w:tabs>
          <w:tab w:val="left" w:leader="dot" w:pos="8760"/>
        </w:tabs>
        <w:spacing w:line="270" w:lineRule="exact"/>
        <w:rPr>
          <w:rFonts w:ascii="Times New Roman" w:hAnsi="Times New Roman"/>
          <w:color w:val="auto"/>
          <w:highlight w:val="none"/>
        </w:rPr>
        <w:sectPr>
          <w:pgSz w:w="11906" w:h="16838"/>
          <w:pgMar w:top="1418" w:right="1418" w:bottom="1418" w:left="1418" w:header="851" w:footer="992" w:gutter="0"/>
          <w:pgNumType w:fmt="decimal"/>
          <w:cols w:space="720" w:num="1"/>
          <w:docGrid w:type="lines" w:linePitch="312" w:charSpace="0"/>
        </w:sectPr>
      </w:pPr>
    </w:p>
    <w:p>
      <w:pPr>
        <w:spacing w:line="491" w:lineRule="exact"/>
        <w:jc w:val="center"/>
        <w:rPr>
          <w:rFonts w:ascii="Times New Roman" w:hAnsi="Times New Roman" w:eastAsia="宋体" w:cs="Times New Roman"/>
          <w:b/>
          <w:color w:val="auto"/>
          <w:sz w:val="43"/>
          <w:highlight w:val="none"/>
        </w:rPr>
      </w:pPr>
    </w:p>
    <w:p>
      <w:pPr>
        <w:spacing w:line="360" w:lineRule="auto"/>
        <w:jc w:val="center"/>
        <w:outlineLvl w:val="1"/>
        <w:rPr>
          <w:rFonts w:ascii="Times New Roman" w:hAnsi="Times New Roman" w:eastAsia="宋体" w:cs="Times New Roman"/>
          <w:b/>
          <w:color w:val="auto"/>
          <w:sz w:val="44"/>
          <w:highlight w:val="none"/>
        </w:rPr>
      </w:pPr>
      <w:bookmarkStart w:id="0" w:name="_Toc102997567"/>
      <w:r>
        <w:rPr>
          <w:rFonts w:ascii="Times New Roman" w:hAnsi="Times New Roman" w:eastAsia="宋体" w:cs="Times New Roman"/>
          <w:b/>
          <w:color w:val="auto"/>
          <w:sz w:val="44"/>
          <w:highlight w:val="none"/>
        </w:rPr>
        <w:t>第一章</w:t>
      </w:r>
      <w:r>
        <w:rPr>
          <w:rFonts w:hint="eastAsia" w:ascii="Times New Roman" w:hAnsi="Times New Roman" w:eastAsia="宋体" w:cs="Times New Roman"/>
          <w:b/>
          <w:color w:val="auto"/>
          <w:sz w:val="44"/>
          <w:highlight w:val="none"/>
        </w:rPr>
        <w:t xml:space="preserve"> 招标公告</w:t>
      </w:r>
      <w:bookmarkEnd w:id="0"/>
    </w:p>
    <w:p>
      <w:pPr>
        <w:spacing w:line="360" w:lineRule="auto"/>
        <w:jc w:val="center"/>
        <w:rPr>
          <w:rFonts w:ascii="Times New Roman" w:hAnsi="Times New Roman" w:eastAsia="宋体" w:cs="Times New Roman"/>
          <w:b/>
          <w:color w:val="auto"/>
          <w:sz w:val="43"/>
          <w:highlight w:val="none"/>
        </w:rPr>
      </w:pPr>
      <w:r>
        <w:rPr>
          <w:rFonts w:ascii="Times New Roman" w:hAnsi="Times New Roman" w:eastAsia="宋体" w:cs="Times New Roman"/>
          <w:b/>
          <w:color w:val="auto"/>
          <w:sz w:val="43"/>
          <w:highlight w:val="none"/>
        </w:rPr>
        <w:t>（</w:t>
      </w:r>
      <w:r>
        <w:rPr>
          <w:rFonts w:hint="eastAsia" w:ascii="Times New Roman" w:hAnsi="Times New Roman" w:eastAsia="宋体" w:cs="Times New Roman"/>
          <w:b/>
          <w:color w:val="auto"/>
          <w:sz w:val="43"/>
          <w:highlight w:val="none"/>
        </w:rPr>
        <w:t>略</w:t>
      </w:r>
      <w:r>
        <w:rPr>
          <w:rFonts w:ascii="Times New Roman" w:hAnsi="Times New Roman" w:eastAsia="宋体" w:cs="Times New Roman"/>
          <w:b/>
          <w:color w:val="auto"/>
          <w:sz w:val="43"/>
          <w:highlight w:val="none"/>
        </w:rPr>
        <w:t>）</w:t>
      </w:r>
    </w:p>
    <w:p>
      <w:pPr>
        <w:spacing w:line="491" w:lineRule="exact"/>
        <w:jc w:val="center"/>
        <w:rPr>
          <w:rFonts w:ascii="Times New Roman" w:hAnsi="Times New Roman" w:eastAsia="宋体" w:cs="Times New Roman"/>
          <w:b/>
          <w:color w:val="auto"/>
          <w:sz w:val="44"/>
          <w:highlight w:val="none"/>
        </w:rPr>
      </w:pPr>
    </w:p>
    <w:p>
      <w:pPr>
        <w:spacing w:line="491" w:lineRule="exact"/>
        <w:jc w:val="center"/>
        <w:rPr>
          <w:rFonts w:ascii="Times New Roman" w:hAnsi="Times New Roman" w:eastAsia="宋体" w:cs="Times New Roman"/>
          <w:b/>
          <w:color w:val="auto"/>
          <w:sz w:val="44"/>
          <w:highlight w:val="none"/>
        </w:rPr>
      </w:pPr>
    </w:p>
    <w:p>
      <w:pPr>
        <w:spacing w:line="491" w:lineRule="exact"/>
        <w:jc w:val="center"/>
        <w:rPr>
          <w:rFonts w:ascii="Times New Roman" w:hAnsi="Times New Roman" w:eastAsia="宋体" w:cs="Times New Roman"/>
          <w:b/>
          <w:color w:val="auto"/>
          <w:sz w:val="44"/>
          <w:highlight w:val="none"/>
        </w:rPr>
      </w:pPr>
    </w:p>
    <w:p>
      <w:pPr>
        <w:spacing w:line="491" w:lineRule="exact"/>
        <w:jc w:val="center"/>
        <w:rPr>
          <w:rFonts w:ascii="Times New Roman" w:hAnsi="Times New Roman" w:eastAsia="宋体" w:cs="Times New Roman"/>
          <w:b/>
          <w:color w:val="auto"/>
          <w:sz w:val="44"/>
          <w:highlight w:val="none"/>
        </w:rPr>
      </w:pPr>
    </w:p>
    <w:p>
      <w:pPr>
        <w:spacing w:line="491" w:lineRule="exact"/>
        <w:jc w:val="center"/>
        <w:rPr>
          <w:rFonts w:ascii="Times New Roman" w:hAnsi="Times New Roman" w:eastAsia="宋体" w:cs="Times New Roman"/>
          <w:b/>
          <w:color w:val="auto"/>
          <w:sz w:val="44"/>
          <w:highlight w:val="none"/>
        </w:rPr>
      </w:pPr>
    </w:p>
    <w:p>
      <w:pPr>
        <w:spacing w:line="491" w:lineRule="exact"/>
        <w:jc w:val="center"/>
        <w:rPr>
          <w:rFonts w:ascii="Times New Roman" w:hAnsi="Times New Roman"/>
          <w:b/>
          <w:color w:val="auto"/>
          <w:sz w:val="44"/>
          <w:highlight w:val="none"/>
        </w:rPr>
        <w:sectPr>
          <w:footerReference r:id="rId7" w:type="first"/>
          <w:headerReference r:id="rId5" w:type="default"/>
          <w:footerReference r:id="rId6" w:type="default"/>
          <w:pgSz w:w="11907" w:h="16839"/>
          <w:pgMar w:top="1440" w:right="1440" w:bottom="1418" w:left="1440" w:header="993" w:footer="749" w:gutter="0"/>
          <w:pgNumType w:fmt="decimal"/>
          <w:cols w:space="720" w:num="1"/>
          <w:titlePg/>
          <w:docGrid w:linePitch="360" w:charSpace="0"/>
        </w:sectPr>
      </w:pPr>
    </w:p>
    <w:p>
      <w:pPr>
        <w:keepNext/>
        <w:keepLines/>
        <w:widowControl w:val="0"/>
        <w:spacing w:before="260" w:after="260" w:line="412" w:lineRule="auto"/>
        <w:jc w:val="center"/>
        <w:outlineLvl w:val="1"/>
        <w:rPr>
          <w:rFonts w:ascii="Times New Roman" w:hAnsi="Times New Roman" w:eastAsia="宋体" w:cs="Times New Roman"/>
          <w:b/>
          <w:color w:val="auto"/>
          <w:kern w:val="0"/>
          <w:sz w:val="32"/>
          <w:szCs w:val="20"/>
          <w:highlight w:val="none"/>
          <w:lang w:val="en-US" w:eastAsia="zh-CN" w:bidi="ar-SA"/>
        </w:rPr>
      </w:pPr>
      <w:bookmarkStart w:id="1" w:name="_Toc102997568"/>
      <w:r>
        <w:rPr>
          <w:rFonts w:ascii="Times New Roman" w:hAnsi="Times New Roman" w:eastAsia="宋体" w:cs="Times New Roman"/>
          <w:b/>
          <w:color w:val="auto"/>
          <w:kern w:val="0"/>
          <w:sz w:val="32"/>
          <w:szCs w:val="20"/>
          <w:highlight w:val="none"/>
          <w:lang w:val="en-US" w:eastAsia="zh-CN" w:bidi="ar-SA"/>
        </w:rPr>
        <w:t>第二章</w:t>
      </w:r>
      <w:r>
        <w:rPr>
          <w:rFonts w:hint="eastAsia" w:ascii="Times New Roman" w:hAnsi="Times New Roman" w:eastAsia="宋体" w:cs="Times New Roman"/>
          <w:b/>
          <w:color w:val="auto"/>
          <w:kern w:val="0"/>
          <w:sz w:val="32"/>
          <w:szCs w:val="20"/>
          <w:highlight w:val="none"/>
          <w:lang w:val="en-US" w:eastAsia="zh-CN" w:bidi="ar-SA"/>
        </w:rPr>
        <w:t xml:space="preserve"> </w:t>
      </w:r>
      <w:r>
        <w:rPr>
          <w:rFonts w:ascii="Times New Roman" w:hAnsi="Times New Roman" w:eastAsia="宋体" w:cs="Times New Roman"/>
          <w:b/>
          <w:color w:val="auto"/>
          <w:kern w:val="0"/>
          <w:sz w:val="32"/>
          <w:szCs w:val="20"/>
          <w:highlight w:val="none"/>
          <w:lang w:val="en-US" w:eastAsia="zh-CN" w:bidi="ar-SA"/>
        </w:rPr>
        <w:t>投标人须知</w:t>
      </w:r>
      <w:bookmarkEnd w:id="1"/>
    </w:p>
    <w:p>
      <w:pPr>
        <w:spacing w:line="201" w:lineRule="exact"/>
        <w:rPr>
          <w:rFonts w:ascii="Times New Roman" w:hAnsi="Times New Roman" w:eastAsia="宋体" w:cs="Times New Roman"/>
          <w:color w:val="auto"/>
          <w:highlight w:val="none"/>
        </w:rPr>
      </w:pPr>
    </w:p>
    <w:p>
      <w:pPr>
        <w:spacing w:line="366" w:lineRule="exact"/>
        <w:jc w:val="center"/>
        <w:outlineLvl w:val="2"/>
        <w:rPr>
          <w:rFonts w:ascii="Times New Roman" w:hAnsi="Times New Roman" w:eastAsia="宋体" w:cs="Times New Roman"/>
          <w:b/>
          <w:color w:val="auto"/>
          <w:sz w:val="32"/>
          <w:highlight w:val="none"/>
        </w:rPr>
      </w:pPr>
      <w:bookmarkStart w:id="2" w:name="_Toc102997569"/>
      <w:r>
        <w:rPr>
          <w:rFonts w:ascii="Times New Roman" w:hAnsi="Times New Roman" w:eastAsia="宋体" w:cs="Times New Roman"/>
          <w:b/>
          <w:color w:val="auto"/>
          <w:sz w:val="32"/>
          <w:highlight w:val="none"/>
        </w:rPr>
        <w:t>投标人须知前附表</w:t>
      </w:r>
      <w:bookmarkEnd w:id="2"/>
    </w:p>
    <w:p>
      <w:pPr>
        <w:rPr>
          <w:rFonts w:ascii="Times New Roman" w:hAnsi="Times New Roman" w:eastAsia="宋体" w:cs="Times New Roman"/>
          <w:color w:val="auto"/>
          <w:highlight w:val="none"/>
        </w:rPr>
      </w:pPr>
    </w:p>
    <w:tbl>
      <w:tblPr>
        <w:tblStyle w:val="18"/>
        <w:tblW w:w="9606" w:type="dxa"/>
        <w:tblInd w:w="0" w:type="dxa"/>
        <w:tblLayout w:type="fixed"/>
        <w:tblCellMar>
          <w:top w:w="0" w:type="dxa"/>
          <w:left w:w="108" w:type="dxa"/>
          <w:bottom w:w="0" w:type="dxa"/>
          <w:right w:w="108" w:type="dxa"/>
        </w:tblCellMar>
      </w:tblPr>
      <w:tblGrid>
        <w:gridCol w:w="1165"/>
        <w:gridCol w:w="2345"/>
        <w:gridCol w:w="6096"/>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条款号</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条款名称</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名称：</w:t>
            </w:r>
            <w:r>
              <w:rPr>
                <w:rFonts w:hint="eastAsia" w:ascii="Times New Roman" w:hAnsi="Times New Roman" w:eastAsia="宋体" w:cs="宋体"/>
                <w:color w:val="auto"/>
                <w:szCs w:val="21"/>
                <w:highlight w:val="none"/>
                <w:u w:val="single"/>
              </w:rPr>
              <w:t>广州市重点公共建设项目管理中心</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地址：</w:t>
            </w:r>
            <w:r>
              <w:rPr>
                <w:rFonts w:hint="eastAsia" w:ascii="Times New Roman" w:hAnsi="Times New Roman" w:eastAsia="宋体" w:cs="宋体"/>
                <w:color w:val="auto"/>
                <w:szCs w:val="21"/>
                <w:highlight w:val="none"/>
                <w:u w:val="single"/>
              </w:rPr>
              <w:t xml:space="preserve">广州大学城内环东星运路1号  </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联系人：</w:t>
            </w:r>
            <w:r>
              <w:rPr>
                <w:rFonts w:hint="eastAsia" w:eastAsia="宋体" w:cs="宋体"/>
                <w:color w:val="auto"/>
                <w:szCs w:val="21"/>
                <w:highlight w:val="none"/>
                <w:u w:val="single"/>
              </w:rPr>
              <w:t>高工</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电话：</w:t>
            </w:r>
            <w:r>
              <w:rPr>
                <w:rFonts w:eastAsia="宋体" w:cs="Times New Roman"/>
                <w:color w:val="auto"/>
                <w:szCs w:val="21"/>
                <w:highlight w:val="none"/>
                <w:u w:val="single"/>
              </w:rPr>
              <w:t>020-</w:t>
            </w:r>
            <w:r>
              <w:rPr>
                <w:rFonts w:hint="eastAsia" w:eastAsia="宋体" w:cs="Times New Roman"/>
                <w:color w:val="auto"/>
                <w:szCs w:val="21"/>
                <w:highlight w:val="none"/>
                <w:u w:val="single"/>
              </w:rPr>
              <w:t>22905641</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招标代理机构</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hint="eastAsia" w:ascii="Times New Roman" w:hAnsi="Times New Roman" w:eastAsia="宋体" w:cs="宋体"/>
                <w:color w:val="auto"/>
                <w:szCs w:val="21"/>
                <w:highlight w:val="none"/>
                <w:u w:val="single"/>
              </w:rPr>
            </w:pPr>
            <w:r>
              <w:rPr>
                <w:rFonts w:hint="eastAsia" w:ascii="Times New Roman" w:hAnsi="Times New Roman" w:eastAsia="宋体" w:cs="Times New Roman"/>
                <w:color w:val="auto"/>
                <w:szCs w:val="21"/>
                <w:highlight w:val="none"/>
              </w:rPr>
              <w:t>名称：</w:t>
            </w:r>
            <w:r>
              <w:rPr>
                <w:rFonts w:hint="eastAsia" w:ascii="Times New Roman" w:hAnsi="Times New Roman" w:eastAsia="宋体" w:cs="宋体"/>
                <w:color w:val="auto"/>
                <w:szCs w:val="21"/>
                <w:highlight w:val="none"/>
                <w:u w:val="single"/>
              </w:rPr>
              <w:t>广东省机电设备招标有限公司</w:t>
            </w:r>
          </w:p>
          <w:p>
            <w:pPr>
              <w:spacing w:line="360" w:lineRule="auto"/>
              <w:ind w:right="107" w:rightChars="51"/>
              <w:rPr>
                <w:rFonts w:hint="eastAsia" w:ascii="Times New Roman" w:hAnsi="Times New Roman" w:eastAsia="宋体" w:cs="宋体"/>
                <w:color w:val="auto"/>
                <w:szCs w:val="21"/>
                <w:highlight w:val="none"/>
                <w:u w:val="single"/>
              </w:rPr>
            </w:pPr>
            <w:r>
              <w:rPr>
                <w:rFonts w:hint="eastAsia" w:ascii="Times New Roman" w:hAnsi="Times New Roman" w:eastAsia="宋体" w:cs="Times New Roman"/>
                <w:color w:val="auto"/>
                <w:szCs w:val="21"/>
                <w:highlight w:val="none"/>
              </w:rPr>
              <w:t>地址：</w:t>
            </w:r>
            <w:r>
              <w:rPr>
                <w:rFonts w:hint="eastAsia" w:ascii="Times New Roman" w:hAnsi="Times New Roman" w:eastAsia="宋体" w:cs="宋体"/>
                <w:color w:val="auto"/>
                <w:szCs w:val="21"/>
                <w:highlight w:val="none"/>
                <w:u w:val="single"/>
              </w:rPr>
              <w:t>广州市越秀区环市东路316号金鹰大厦10楼</w:t>
            </w:r>
          </w:p>
          <w:p>
            <w:pPr>
              <w:spacing w:line="360" w:lineRule="auto"/>
              <w:ind w:right="107" w:rightChars="51"/>
              <w:rPr>
                <w:rFonts w:hint="eastAsia" w:ascii="Times New Roman" w:hAnsi="Times New Roman" w:eastAsia="宋体" w:cs="宋体"/>
                <w:color w:val="auto"/>
                <w:szCs w:val="21"/>
                <w:highlight w:val="none"/>
                <w:u w:val="single"/>
              </w:rPr>
            </w:pPr>
            <w:r>
              <w:rPr>
                <w:rFonts w:hint="eastAsia" w:ascii="Times New Roman" w:hAnsi="Times New Roman" w:eastAsia="宋体" w:cs="Times New Roman"/>
                <w:color w:val="auto"/>
                <w:szCs w:val="21"/>
                <w:highlight w:val="none"/>
              </w:rPr>
              <w:t>联系人：</w:t>
            </w:r>
            <w:r>
              <w:rPr>
                <w:rFonts w:hint="eastAsia" w:ascii="Times New Roman" w:hAnsi="Times New Roman" w:eastAsia="宋体" w:cs="宋体"/>
                <w:color w:val="auto"/>
                <w:szCs w:val="21"/>
                <w:highlight w:val="none"/>
                <w:u w:val="single"/>
              </w:rPr>
              <w:t>郭工</w:t>
            </w:r>
          </w:p>
          <w:p>
            <w:pPr>
              <w:spacing w:line="360" w:lineRule="auto"/>
              <w:ind w:right="107" w:rightChars="51"/>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电话：</w:t>
            </w:r>
            <w:r>
              <w:rPr>
                <w:rFonts w:hint="eastAsia" w:ascii="Times New Roman" w:hAnsi="Times New Roman" w:eastAsia="宋体" w:cs="宋体"/>
                <w:color w:val="auto"/>
                <w:szCs w:val="21"/>
                <w:highlight w:val="none"/>
                <w:u w:val="single"/>
                <w:lang w:eastAsia="zh-CN"/>
              </w:rPr>
              <w:t>020-83546223</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1.1.4</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招标项目名称</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lang w:eastAsia="zh-CN"/>
              </w:rPr>
              <w:t>广州市信息技术职业学校迁建工程第三方检测服务（室内环境检测、建筑节能工程检测、建筑设备及弱电系统检测）</w:t>
            </w:r>
            <w:r>
              <w:rPr>
                <w:rFonts w:hint="eastAsia" w:ascii="Times New Roman" w:hAnsi="Times New Roman" w:eastAsia="宋体" w:cs="Times New Roman"/>
                <w:color w:val="auto"/>
                <w:szCs w:val="21"/>
                <w:highlight w:val="none"/>
                <w:u w:val="single"/>
              </w:rPr>
              <w:t xml:space="preserve"> </w:t>
            </w:r>
          </w:p>
        </w:tc>
      </w:tr>
      <w:tr>
        <w:tblPrEx>
          <w:tblCellMar>
            <w:top w:w="0" w:type="dxa"/>
            <w:left w:w="108" w:type="dxa"/>
            <w:bottom w:w="0" w:type="dxa"/>
            <w:right w:w="108" w:type="dxa"/>
          </w:tblCellMar>
        </w:tblPrEx>
        <w:trPr>
          <w:trHeight w:val="51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1.1.5</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项目建设地点</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u w:val="single"/>
              </w:rPr>
              <w:t>详见招标公告。</w:t>
            </w:r>
          </w:p>
        </w:tc>
      </w:tr>
      <w:tr>
        <w:tblPrEx>
          <w:tblCellMar>
            <w:top w:w="0" w:type="dxa"/>
            <w:left w:w="108" w:type="dxa"/>
            <w:bottom w:w="0" w:type="dxa"/>
            <w:right w:w="108" w:type="dxa"/>
          </w:tblCellMar>
        </w:tblPrEx>
        <w:trPr>
          <w:trHeight w:val="55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1.1.6</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项目建设规模</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1.1.7</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工程项目施工预计开工日期和建设周期</w:t>
            </w:r>
          </w:p>
        </w:tc>
        <w:tc>
          <w:tcPr>
            <w:tcW w:w="60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工程项目施工预计开工日期：</w:t>
            </w:r>
            <w:r>
              <w:rPr>
                <w:rFonts w:hint="eastAsia" w:ascii="Times New Roman" w:hAnsi="Times New Roman" w:eastAsia="宋体" w:cs="Times New Roman"/>
                <w:color w:val="auto"/>
                <w:szCs w:val="21"/>
                <w:highlight w:val="none"/>
                <w:u w:val="single"/>
              </w:rPr>
              <w:t>开工时间以招标人通知为准。</w:t>
            </w:r>
          </w:p>
          <w:p>
            <w:pPr>
              <w:snapToGrid w:val="0"/>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服务周期：</w:t>
            </w:r>
            <w:r>
              <w:rPr>
                <w:rFonts w:hint="eastAsia" w:ascii="Times New Roman" w:hAnsi="Times New Roman" w:eastAsia="宋体" w:cs="Times New Roman"/>
                <w:color w:val="auto"/>
                <w:szCs w:val="21"/>
                <w:highlight w:val="none"/>
                <w:u w:val="single"/>
              </w:rPr>
              <w:t>从中标单位进场至所有服务项目完成为止。服务周期必须满足实际施工要求，进场日期以招标人通知时间为准。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1.1.8</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工程总投资</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1.2.1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资金来源及比例</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1.2.2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资金落实情况</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1.3.1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招标范围</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宋体"/>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1.3.2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服务期限</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bCs/>
                <w:color w:val="auto"/>
                <w:szCs w:val="21"/>
                <w:highlight w:val="none"/>
              </w:rPr>
              <w:t>本项目的服务期限为：</w:t>
            </w:r>
            <w:r>
              <w:rPr>
                <w:rFonts w:hint="eastAsia" w:ascii="Times New Roman" w:hAnsi="Times New Roman" w:eastAsia="宋体" w:cs="Times New Roman"/>
                <w:bCs/>
                <w:color w:val="auto"/>
                <w:szCs w:val="21"/>
                <w:highlight w:val="none"/>
                <w:u w:val="single"/>
              </w:rPr>
              <w:t>从中标单位进场至完成所有检测项目且技术成果通过审批，检测工作进度必须满足现场施工和招标人的要求。</w:t>
            </w:r>
          </w:p>
        </w:tc>
      </w:tr>
      <w:tr>
        <w:tblPrEx>
          <w:tblCellMar>
            <w:top w:w="0" w:type="dxa"/>
            <w:left w:w="108" w:type="dxa"/>
            <w:bottom w:w="0" w:type="dxa"/>
            <w:right w:w="108" w:type="dxa"/>
          </w:tblCellMar>
        </w:tblPrEx>
        <w:trPr>
          <w:trHeight w:val="37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1.3.3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质量标准</w:t>
            </w:r>
          </w:p>
        </w:tc>
        <w:tc>
          <w:tcPr>
            <w:tcW w:w="609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符合国家及省、市有关检测标准。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1.4.1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投标人资质条件、能力、信誉</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）资质要求：</w:t>
            </w:r>
            <w:r>
              <w:rPr>
                <w:rFonts w:hint="eastAsia" w:ascii="Times New Roman" w:hAnsi="Times New Roman" w:eastAsia="宋体" w:cs="Times New Roman"/>
                <w:color w:val="auto"/>
                <w:szCs w:val="21"/>
                <w:highlight w:val="none"/>
                <w:u w:val="single"/>
              </w:rPr>
              <w:t>见招标公告投标人资格要求；</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）项目负责人要求：</w:t>
            </w:r>
            <w:r>
              <w:rPr>
                <w:rFonts w:hint="eastAsia" w:ascii="Times New Roman" w:hAnsi="Times New Roman" w:eastAsia="宋体" w:cs="Times New Roman"/>
                <w:color w:val="auto"/>
                <w:szCs w:val="21"/>
                <w:highlight w:val="none"/>
                <w:u w:val="single"/>
              </w:rPr>
              <w:t>见招标公告投标人资格要求；</w:t>
            </w:r>
          </w:p>
          <w:p>
            <w:pPr>
              <w:spacing w:line="360" w:lineRule="auto"/>
              <w:ind w:right="107" w:rightChars="51"/>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）其他要求：</w:t>
            </w:r>
            <w:r>
              <w:rPr>
                <w:rFonts w:hint="eastAsia" w:ascii="Times New Roman" w:hAnsi="Times New Roman" w:eastAsia="宋体" w:cs="Times New Roman"/>
                <w:color w:val="auto"/>
                <w:szCs w:val="21"/>
                <w:highlight w:val="none"/>
                <w:u w:val="single"/>
              </w:rPr>
              <w:t>见招标公告投标人资格要求</w:t>
            </w:r>
            <w:r>
              <w:rPr>
                <w:rFonts w:hint="eastAsia" w:ascii="Times New Roman" w:hAnsi="Times New Roman" w:eastAsia="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1.4.2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是否接受联合体投标</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■不接受</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□接受，应满足下列要求：</w:t>
            </w:r>
            <w:r>
              <w:rPr>
                <w:rFonts w:hint="eastAsia" w:ascii="Times New Roman" w:hAnsi="Times New Roman" w:eastAsia="宋体" w:cs="宋体"/>
                <w:color w:val="auto"/>
                <w:szCs w:val="21"/>
                <w:highlight w:val="none"/>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1.4.3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投标人不得存在的其他情形</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1.9.1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踏勘现场</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■不组织</w:t>
            </w:r>
            <w:r>
              <w:rPr>
                <w:rFonts w:hint="eastAsia" w:ascii="Times New Roman" w:hAnsi="Times New Roman" w:eastAsia="宋体" w:cs="Times New Roman"/>
                <w:color w:val="auto"/>
                <w:szCs w:val="21"/>
                <w:highlight w:val="none"/>
                <w:u w:val="single"/>
              </w:rPr>
              <w:t>，由投标人自行现场考察。</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□组织，踏勘时间：</w:t>
            </w:r>
            <w:r>
              <w:rPr>
                <w:rFonts w:hint="eastAsia" w:ascii="Times New Roman" w:hAnsi="Times New Roman" w:eastAsia="宋体" w:cs="Times New Roman"/>
                <w:color w:val="auto"/>
                <w:szCs w:val="21"/>
                <w:highlight w:val="none"/>
                <w:u w:val="single"/>
              </w:rPr>
              <w:t>/</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踏勘集中地点：</w:t>
            </w: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1.10.1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投标预备会</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■不召开</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□召开，召开时间：</w:t>
            </w:r>
            <w:r>
              <w:rPr>
                <w:rFonts w:hint="eastAsia" w:ascii="Times New Roman" w:hAnsi="Times New Roman" w:eastAsia="宋体" w:cs="Times New Roman"/>
                <w:color w:val="auto"/>
                <w:szCs w:val="21"/>
                <w:highlight w:val="none"/>
                <w:u w:val="single"/>
              </w:rPr>
              <w:t>/</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召开地点：</w:t>
            </w: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1.10.2</w:t>
            </w:r>
          </w:p>
        </w:tc>
        <w:tc>
          <w:tcPr>
            <w:tcW w:w="2345" w:type="dxa"/>
            <w:vMerge w:val="restart"/>
            <w:tcBorders>
              <w:top w:val="single" w:color="auto" w:sz="4" w:space="0"/>
              <w:left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投标人在投标预备会前提出问题</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时间：</w:t>
            </w: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2345" w:type="dxa"/>
            <w:vMerge w:val="continue"/>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1.10.3</w:t>
            </w:r>
          </w:p>
        </w:tc>
        <w:tc>
          <w:tcPr>
            <w:tcW w:w="2345" w:type="dxa"/>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招标文件澄清发出的形式</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1.12.1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实质性要求和条件</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1.12.3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偏差</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■不允许</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□允许，偏差范围：</w:t>
            </w:r>
            <w:r>
              <w:rPr>
                <w:rFonts w:hint="eastAsia" w:ascii="Times New Roman" w:hAnsi="Times New Roman" w:eastAsia="宋体" w:cs="Times New Roman"/>
                <w:color w:val="auto"/>
                <w:szCs w:val="21"/>
                <w:highlight w:val="none"/>
                <w:u w:val="single"/>
              </w:rPr>
              <w:t>/</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偏差幅度：</w:t>
            </w: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构成招标文件的其他资料</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2.2.1</w:t>
            </w:r>
          </w:p>
        </w:tc>
        <w:tc>
          <w:tcPr>
            <w:tcW w:w="2345" w:type="dxa"/>
            <w:vMerge w:val="restart"/>
            <w:tcBorders>
              <w:top w:val="single" w:color="auto" w:sz="4" w:space="0"/>
              <w:left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投标人要求澄清招标文件</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时间：</w:t>
            </w:r>
            <w:r>
              <w:rPr>
                <w:rFonts w:hint="eastAsia" w:ascii="Times New Roman" w:hAnsi="Times New Roman" w:eastAsia="宋体" w:cs="Times New Roman"/>
                <w:color w:val="auto"/>
                <w:szCs w:val="21"/>
                <w:highlight w:val="none"/>
                <w:u w:val="single"/>
              </w:rPr>
              <w:t>在提交投标文件截止时间</w:t>
            </w:r>
            <w:r>
              <w:rPr>
                <w:rFonts w:ascii="Times New Roman" w:hAnsi="Times New Roman" w:eastAsia="宋体" w:cs="Times New Roman"/>
                <w:color w:val="auto"/>
                <w:szCs w:val="21"/>
                <w:highlight w:val="none"/>
                <w:u w:val="single"/>
              </w:rPr>
              <w:t>1</w:t>
            </w:r>
            <w:r>
              <w:rPr>
                <w:rFonts w:hint="eastAsia" w:ascii="Times New Roman" w:hAnsi="Times New Roman" w:eastAsia="宋体" w:cs="Times New Roman"/>
                <w:color w:val="auto"/>
                <w:szCs w:val="21"/>
                <w:highlight w:val="none"/>
                <w:u w:val="single"/>
              </w:rPr>
              <w:t>8天前提出。</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2345" w:type="dxa"/>
            <w:vMerge w:val="continue"/>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rPr>
              <w:t>投标人的疑问通过广州公共资源交易中心数字交易平台提交。具体操作方法详见广州公共资源交易中心网站发布的《建设工程全流程电子化项目操作指南》。</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2.2.2</w:t>
            </w:r>
          </w:p>
        </w:tc>
        <w:tc>
          <w:tcPr>
            <w:tcW w:w="2345" w:type="dxa"/>
            <w:tcBorders>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招标文件澄清发出的形式</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宋体"/>
                <w:color w:val="auto"/>
                <w:szCs w:val="21"/>
                <w:highlight w:val="none"/>
                <w:u w:val="single"/>
              </w:rPr>
              <w:t>在递交投标文件截止时间15天前；在广州公共资源交易中心网站通过项目答疑专区网上公开发布。</w:t>
            </w:r>
          </w:p>
        </w:tc>
      </w:tr>
      <w:tr>
        <w:tblPrEx>
          <w:tblCellMar>
            <w:top w:w="0" w:type="dxa"/>
            <w:left w:w="108" w:type="dxa"/>
            <w:bottom w:w="0" w:type="dxa"/>
            <w:right w:w="108" w:type="dxa"/>
          </w:tblCellMar>
        </w:tblPrEx>
        <w:trPr>
          <w:trHeight w:val="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2.2.3</w:t>
            </w:r>
          </w:p>
        </w:tc>
        <w:tc>
          <w:tcPr>
            <w:tcW w:w="234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投标人确认收到招标文件澄清</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时间：</w:t>
            </w:r>
            <w:r>
              <w:rPr>
                <w:rFonts w:hint="eastAsia" w:ascii="Times New Roman" w:hAnsi="Times New Roman" w:eastAsia="宋体" w:cs="Times New Roman"/>
                <w:color w:val="auto"/>
                <w:szCs w:val="21"/>
                <w:highlight w:val="none"/>
                <w:u w:val="single"/>
              </w:rPr>
              <w:t>发出即视作收到。</w:t>
            </w:r>
          </w:p>
        </w:tc>
      </w:tr>
      <w:tr>
        <w:tblPrEx>
          <w:tblCellMar>
            <w:top w:w="0" w:type="dxa"/>
            <w:left w:w="108" w:type="dxa"/>
            <w:bottom w:w="0" w:type="dxa"/>
            <w:right w:w="108" w:type="dxa"/>
          </w:tblCellMar>
        </w:tblPrEx>
        <w:trPr>
          <w:trHeight w:val="247"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234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rPr>
              <w:t>招标文件澄清（招标答疑纪要）一经在广州公共资源交易中心网站发布，视作已发放给所有投标人。</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2.3.1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招标文件修改发出的形式</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以补充公告或项目答疑澄清的方式在广州公共资源交易中心网站发布</w:t>
            </w:r>
            <w:r>
              <w:rPr>
                <w:rFonts w:hint="eastAsia" w:ascii="Times New Roman" w:hAnsi="Times New Roman" w:eastAsia="宋体" w:cs="宋体"/>
                <w:color w:val="auto"/>
                <w:szCs w:val="21"/>
                <w:highlight w:val="none"/>
                <w:u w:val="single"/>
              </w:rPr>
              <w:t>。</w:t>
            </w:r>
          </w:p>
        </w:tc>
      </w:tr>
      <w:tr>
        <w:tblPrEx>
          <w:tblCellMar>
            <w:top w:w="0" w:type="dxa"/>
            <w:left w:w="108" w:type="dxa"/>
            <w:bottom w:w="0" w:type="dxa"/>
            <w:right w:w="108" w:type="dxa"/>
          </w:tblCellMar>
        </w:tblPrEx>
        <w:trPr>
          <w:trHeight w:val="578"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2.3.2</w:t>
            </w:r>
          </w:p>
        </w:tc>
        <w:tc>
          <w:tcPr>
            <w:tcW w:w="234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投标人确认收到招标文件修改</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时间：</w:t>
            </w:r>
            <w:r>
              <w:rPr>
                <w:rFonts w:hint="eastAsia" w:ascii="Times New Roman" w:hAnsi="Times New Roman" w:eastAsia="宋体" w:cs="Times New Roman"/>
                <w:color w:val="auto"/>
                <w:szCs w:val="21"/>
                <w:highlight w:val="none"/>
                <w:u w:val="single"/>
              </w:rPr>
              <w:t>发出即视作收到。</w:t>
            </w:r>
          </w:p>
        </w:tc>
      </w:tr>
      <w:tr>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234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3.1.1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构成投标文件的其他资料</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3.2.1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增值税税金的计算方法</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按国家税务机关的规定执行。</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3.2.3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报价方式</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Times New Roman"/>
                <w:color w:val="auto"/>
                <w:szCs w:val="21"/>
                <w:highlight w:val="none"/>
                <w:u w:val="single"/>
              </w:rPr>
              <w:t>自行报价（以元为单位，精确到小数位后2位）。</w:t>
            </w:r>
            <w:r>
              <w:rPr>
                <w:rFonts w:hint="eastAsia" w:ascii="Times New Roman" w:hAnsi="Times New Roman" w:eastAsia="宋体" w:cs="宋体"/>
                <w:color w:val="auto"/>
                <w:szCs w:val="21"/>
                <w:highlight w:val="none"/>
                <w:u w:val="single"/>
              </w:rPr>
              <w:t>投标报价不得超过最高投标限价，由投标人根据招标文件要求以及企业自身情况填写报价。</w:t>
            </w:r>
          </w:p>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宋体"/>
                <w:color w:val="auto"/>
                <w:szCs w:val="21"/>
                <w:highlight w:val="none"/>
                <w:u w:val="single"/>
              </w:rPr>
              <w:t>结算方式</w:t>
            </w:r>
            <w:r>
              <w:rPr>
                <w:rFonts w:ascii="Times New Roman" w:hAnsi="Times New Roman" w:eastAsia="宋体" w:cs="宋体"/>
                <w:color w:val="auto"/>
                <w:szCs w:val="21"/>
                <w:highlight w:val="none"/>
                <w:u w:val="single"/>
              </w:rPr>
              <w:t>：</w:t>
            </w:r>
            <w:r>
              <w:rPr>
                <w:rFonts w:hint="eastAsia" w:ascii="Times New Roman" w:hAnsi="Times New Roman" w:eastAsia="宋体" w:cs="宋体"/>
                <w:color w:val="auto"/>
                <w:szCs w:val="21"/>
                <w:highlight w:val="none"/>
                <w:u w:val="single"/>
              </w:rPr>
              <w:t>按合同约定执行。</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3.2.4</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最高投标限价</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□无</w:t>
            </w:r>
          </w:p>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■有，最高投标限价：</w:t>
            </w:r>
            <w:r>
              <w:rPr>
                <w:rFonts w:hint="eastAsia" w:ascii="Times New Roman" w:hAnsi="Times New Roman" w:eastAsia="宋体" w:cs="Times New Roman"/>
                <w:color w:val="auto"/>
                <w:szCs w:val="21"/>
                <w:highlight w:val="none"/>
                <w:u w:val="single"/>
                <w:lang w:eastAsia="zh-CN"/>
              </w:rPr>
              <w:t xml:space="preserve">4,449,116.00 </w:t>
            </w:r>
            <w:r>
              <w:rPr>
                <w:rFonts w:hint="eastAsia" w:ascii="Times New Roman" w:hAnsi="Times New Roman" w:eastAsia="宋体" w:cs="Times New Roman"/>
                <w:color w:val="auto"/>
                <w:szCs w:val="21"/>
                <w:highlight w:val="none"/>
                <w:u w:val="single"/>
              </w:rPr>
              <w:t>元</w:t>
            </w:r>
            <w:r>
              <w:rPr>
                <w:rFonts w:hint="eastAsia" w:ascii="Times New Roman" w:hAnsi="Times New Roman" w:eastAsia="宋体" w:cs="Times New Roman"/>
                <w:color w:val="auto"/>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3.2.5</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投标报价的其他要求</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u w:val="single"/>
              </w:rPr>
              <w:t>/</w:t>
            </w:r>
            <w:r>
              <w:rPr>
                <w:rFonts w:ascii="Times New Roman" w:hAnsi="Times New Roman" w:eastAsia="宋体" w:cs="Times New Roman"/>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3.3.1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投标有效期</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90</w:t>
            </w:r>
            <w:r>
              <w:rPr>
                <w:rFonts w:hint="eastAsia" w:ascii="Times New Roman" w:hAnsi="Times New Roman" w:eastAsia="宋体" w:cs="宋体"/>
                <w:color w:val="auto"/>
                <w:szCs w:val="21"/>
                <w:highlight w:val="none"/>
              </w:rPr>
              <w:t>日历天</w:t>
            </w:r>
            <w:r>
              <w:rPr>
                <w:rFonts w:hint="eastAsia" w:ascii="Times New Roman" w:hAnsi="Times New Roman" w:eastAsia="宋体" w:cs="Times New Roman"/>
                <w:color w:val="auto"/>
                <w:szCs w:val="21"/>
                <w:highlight w:val="none"/>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3.4.1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投标保证金</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是否要求投标人递交投标保证金：</w:t>
            </w:r>
          </w:p>
          <w:p>
            <w:pPr>
              <w:topLinePunct/>
              <w:snapToGrid w:val="0"/>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Times New Roman"/>
                <w:color w:val="auto"/>
                <w:szCs w:val="21"/>
                <w:highlight w:val="none"/>
              </w:rPr>
              <w:t>□要求</w:t>
            </w:r>
          </w:p>
          <w:p>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3.4.4</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其他可以不予退还投标保证金的情形</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（本项目不要求递交投标保证金）</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3.6.1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是否允许递交备选投标方案</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■不允许</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3.7.3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投标文件所附证书证件要求</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3.7.3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投标文件签字或盖章要求</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u w:val="singl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4.1.1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投标文件加密要求</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网上递交的电子投标文件须进行加密。具体操作方法详见广州公共资源交易中心网站发布的《建设工程全流程电子化项目操作指南》</w:t>
            </w:r>
            <w:r>
              <w:rPr>
                <w:rFonts w:hint="eastAsia" w:ascii="Times New Roman" w:hAnsi="Times New Roman" w:eastAsia="宋体" w:cs="宋体"/>
                <w:bCs/>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4.1.2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封套上应载明的信息</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napToGrid w:val="0"/>
              <w:spacing w:line="360" w:lineRule="auto"/>
              <w:ind w:right="174" w:rightChars="83"/>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如有提交投标文件光盘备用，封套上应注明如下信息：</w:t>
            </w:r>
          </w:p>
          <w:p>
            <w:pPr>
              <w:topLinePunct/>
              <w:snapToGrid w:val="0"/>
              <w:spacing w:line="360" w:lineRule="auto"/>
              <w:ind w:right="174" w:rightChars="83"/>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招标人名称：</w:t>
            </w:r>
            <w:r>
              <w:rPr>
                <w:rFonts w:hint="eastAsia" w:ascii="Times New Roman" w:hAnsi="Times New Roman" w:eastAsia="宋体" w:cs="Times New Roman"/>
                <w:color w:val="auto"/>
                <w:szCs w:val="21"/>
                <w:highlight w:val="none"/>
                <w:u w:val="single"/>
              </w:rPr>
              <w:t>广州市重点公共建设项目管理中心</w:t>
            </w:r>
          </w:p>
          <w:p>
            <w:pPr>
              <w:topLinePunct/>
              <w:snapToGrid w:val="0"/>
              <w:spacing w:line="360" w:lineRule="auto"/>
              <w:ind w:right="174" w:rightChars="83"/>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招标人地址：</w:t>
            </w:r>
            <w:r>
              <w:rPr>
                <w:rFonts w:hint="eastAsia" w:ascii="Times New Roman" w:hAnsi="Times New Roman" w:eastAsia="宋体" w:cs="Times New Roman"/>
                <w:color w:val="auto"/>
                <w:szCs w:val="21"/>
                <w:highlight w:val="none"/>
                <w:u w:val="single"/>
              </w:rPr>
              <w:t>广州大学城内环东星运路1号</w:t>
            </w:r>
          </w:p>
          <w:p>
            <w:pPr>
              <w:topLinePunct/>
              <w:snapToGrid w:val="0"/>
              <w:spacing w:line="360" w:lineRule="auto"/>
              <w:ind w:right="174" w:rightChars="83"/>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lang w:eastAsia="zh-CN"/>
              </w:rPr>
              <w:t xml:space="preserve"> 广州市信息技术职业学校迁建工程第三方检测服务（室内环境检测、建筑节能工程检测、建筑设备及弱电系统检测）</w:t>
            </w:r>
            <w:r>
              <w:rPr>
                <w:rFonts w:hint="eastAsia" w:ascii="Times New Roman" w:hAnsi="Times New Roman" w:eastAsia="宋体" w:cs="Times New Roman"/>
                <w:color w:val="auto"/>
                <w:szCs w:val="21"/>
                <w:highlight w:val="none"/>
                <w:u w:val="single"/>
              </w:rPr>
              <w:t xml:space="preserve"> 投标文件</w:t>
            </w:r>
          </w:p>
          <w:p>
            <w:pPr>
              <w:topLinePunct/>
              <w:snapToGrid w:val="0"/>
              <w:spacing w:line="360" w:lineRule="auto"/>
              <w:ind w:right="174" w:rightChars="83"/>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招标项目编号：           </w:t>
            </w:r>
          </w:p>
          <w:p>
            <w:pPr>
              <w:topLinePunct/>
              <w:snapToGrid w:val="0"/>
              <w:spacing w:line="360" w:lineRule="auto"/>
              <w:ind w:right="174" w:rightChars="83"/>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4.2.1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投标截止时间</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投标截止时间：</w:t>
            </w:r>
            <w:r>
              <w:rPr>
                <w:rFonts w:hint="eastAsia" w:ascii="Times New Roman" w:hAnsi="Times New Roman" w:eastAsia="宋体" w:cs="宋体"/>
                <w:color w:val="auto"/>
                <w:szCs w:val="21"/>
                <w:highlight w:val="none"/>
                <w:u w:val="single"/>
              </w:rPr>
              <w:t xml:space="preserve"> 2023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时</w:t>
            </w:r>
            <w:r>
              <w:rPr>
                <w:rFonts w:hint="eastAsia" w:ascii="Times New Roman" w:hAnsi="Times New Roman" w:eastAsia="宋体" w:cs="宋体"/>
                <w:color w:val="auto"/>
                <w:szCs w:val="21"/>
                <w:highlight w:val="none"/>
                <w:u w:val="single"/>
              </w:rPr>
              <w:t xml:space="preserve"> </w:t>
            </w:r>
            <w:r>
              <w:rPr>
                <w:rFonts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分（北京时间</w:t>
            </w:r>
            <w:r>
              <w:rPr>
                <w:rFonts w:hint="eastAsia" w:ascii="Times New Roman" w:hAnsi="Times New Roman" w:eastAsia="宋体" w:cs="宋体"/>
                <w:color w:val="auto"/>
                <w:szCs w:val="21"/>
                <w:highlight w:val="none"/>
                <w:u w:val="single"/>
              </w:rPr>
              <w:t>，详见广州公共资源交易中心网站信息</w:t>
            </w:r>
            <w:r>
              <w:rPr>
                <w:rFonts w:hint="eastAsia" w:ascii="Times New Roman" w:hAnsi="Times New Roman" w:eastAsia="宋体" w:cs="宋体"/>
                <w:color w:val="auto"/>
                <w:szCs w:val="21"/>
                <w:highlight w:val="none"/>
              </w:rPr>
              <w:t>）</w:t>
            </w:r>
          </w:p>
        </w:tc>
      </w:tr>
      <w:tr>
        <w:tblPrEx>
          <w:tblCellMar>
            <w:top w:w="0" w:type="dxa"/>
            <w:left w:w="108" w:type="dxa"/>
            <w:bottom w:w="0" w:type="dxa"/>
            <w:right w:w="108" w:type="dxa"/>
          </w:tblCellMar>
        </w:tblPrEx>
        <w:trPr>
          <w:trHeight w:val="3833"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4.2.2</w:t>
            </w:r>
          </w:p>
        </w:tc>
        <w:tc>
          <w:tcPr>
            <w:tcW w:w="234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color w:val="auto"/>
                <w:highlight w:val="none"/>
              </w:rPr>
            </w:pPr>
            <w:r>
              <w:rPr>
                <w:rFonts w:hint="eastAsia" w:ascii="Times New Roman" w:hAnsi="Times New Roman" w:eastAsia="宋体" w:cs="宋体"/>
                <w:color w:val="auto"/>
                <w:szCs w:val="21"/>
                <w:highlight w:val="none"/>
              </w:rPr>
              <w:t>递交电子投标文件交易平台</w:t>
            </w:r>
          </w:p>
        </w:tc>
        <w:tc>
          <w:tcPr>
            <w:tcW w:w="60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 xml:space="preserve">1.递交方式：网上递交投标文件 </w:t>
            </w:r>
          </w:p>
          <w:p>
            <w:pPr>
              <w:snapToGrid w:val="0"/>
              <w:spacing w:line="360" w:lineRule="auto"/>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2.递交投标文件的起始时间：（详见广州公共资源交易中心网站信息）。</w:t>
            </w:r>
          </w:p>
          <w:p>
            <w:pPr>
              <w:snapToGrid w:val="0"/>
              <w:spacing w:line="360" w:lineRule="auto"/>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截止时间：（详见广州公共资源交易中心网站信息）</w:t>
            </w:r>
          </w:p>
          <w:p>
            <w:pPr>
              <w:snapToGrid w:val="0"/>
              <w:spacing w:line="360" w:lineRule="auto"/>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 xml:space="preserve">3.地点：广州公共资源交易中心网站。 </w:t>
            </w:r>
          </w:p>
          <w:p>
            <w:pPr>
              <w:snapToGrid w:val="0"/>
              <w:spacing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u w:val="single"/>
              </w:rPr>
              <w:t>4.上述时间及地点是否有改变，请密切留意招标答疑中的相关信息。也可登录广州公共资源交易中心网站首页，点击“项目查询（日程安排、答疑纪要）”专栏中的“项目查询”，输入项目编号或项目名称查询最新信息。</w:t>
            </w:r>
          </w:p>
        </w:tc>
      </w:tr>
      <w:tr>
        <w:tblPrEx>
          <w:tblCellMar>
            <w:top w:w="0" w:type="dxa"/>
            <w:left w:w="108" w:type="dxa"/>
            <w:bottom w:w="0" w:type="dxa"/>
            <w:right w:w="108" w:type="dxa"/>
          </w:tblCellMar>
        </w:tblPrEx>
        <w:trPr>
          <w:trHeight w:val="9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4.2.3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投标文件是否退还</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■否</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□是，退还时间：</w:t>
            </w:r>
          </w:p>
        </w:tc>
      </w:tr>
      <w:tr>
        <w:tblPrEx>
          <w:tblCellMar>
            <w:top w:w="0" w:type="dxa"/>
            <w:left w:w="108" w:type="dxa"/>
            <w:bottom w:w="0" w:type="dxa"/>
            <w:right w:w="108" w:type="dxa"/>
          </w:tblCellMar>
        </w:tblPrEx>
        <w:trPr>
          <w:trHeight w:val="268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5.1</w:t>
            </w:r>
            <w:r>
              <w:rPr>
                <w:rFonts w:hint="eastAsia" w:ascii="Times New Roman" w:hAnsi="Times New Roman" w:eastAsia="宋体" w:cs="Times New Roman"/>
                <w:color w:val="auto"/>
                <w:highlight w:val="none"/>
              </w:rPr>
              <w:t>（修改）</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开标时间和地点</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宋体"/>
                <w:color w:val="auto"/>
                <w:szCs w:val="21"/>
                <w:highlight w:val="none"/>
              </w:rPr>
            </w:pPr>
            <w:r>
              <w:rPr>
                <w:rFonts w:hint="eastAsia" w:ascii="Times New Roman" w:hAnsi="Times New Roman" w:eastAsia="宋体" w:cs="Times New Roman"/>
                <w:color w:val="auto"/>
                <w:szCs w:val="21"/>
                <w:highlight w:val="none"/>
              </w:rPr>
              <w:t>本电子招投标项目在本章4.2.1项规定的投标截止时间（开标时间），在广州公共资源交易中心公开开标，并邀请所有投标人的法定代表人（单位负责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r>
              <w:rPr>
                <w:rFonts w:hint="eastAsia" w:ascii="Times New Roman" w:hAnsi="Times New Roman" w:eastAsia="宋体" w:cs="Times New Roman"/>
                <w:color w:val="auto"/>
                <w:highlight w:val="none"/>
              </w:rPr>
              <w:t>2（新增）</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开标程序</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电子招投标项目开标按下列程序进行：</w:t>
            </w:r>
          </w:p>
          <w:p>
            <w:pPr>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5.2.1</w:t>
            </w:r>
            <w:r>
              <w:rPr>
                <w:rFonts w:hint="eastAsia" w:ascii="Times New Roman" w:hAnsi="Times New Roman" w:eastAsia="宋体" w:cs="Times New Roman"/>
                <w:color w:val="auto"/>
                <w:szCs w:val="21"/>
                <w:highlight w:val="none"/>
              </w:rPr>
              <w:t>主持人按下列程序进行开标：</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）宣布开标纪律；</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）公布在投标截止时间前递交投标文件的投标人名称；</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）宣布开标人、唱标人、记录人、监标人等有关人员姓名；</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）投标人通过电子招标投标交易平台对已递交的电子投标文件进行解密，公布招标项目名称、投标人名称、投标报价、检测服务期限及其他内容，并记录在案；</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）投标人代表、招标人代表、监标人、记录人等有关人员在开标记录上签字确认；若有关人员不签字的，不影响开标程序；</w:t>
            </w:r>
          </w:p>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）开标结束。</w:t>
            </w:r>
          </w:p>
          <w:p>
            <w:pPr>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5.2.2</w:t>
            </w:r>
            <w:r>
              <w:rPr>
                <w:rFonts w:hint="eastAsia" w:ascii="Times New Roman" w:hAnsi="Times New Roman" w:eastAsia="宋体" w:cs="Times New Roman"/>
                <w:color w:val="auto"/>
                <w:szCs w:val="21"/>
                <w:highlight w:val="none"/>
              </w:rPr>
              <w:t>投标截止时间前未完成投标文件传输的或因投标人之外的原因造成投标文件未解密的，视为投标人其撤回投标文件。因投标人原因造成投标文件未解密的或未在投标截止时间后</w:t>
            </w:r>
            <w:r>
              <w:rPr>
                <w:rFonts w:hint="eastAsia" w:ascii="Times New Roman" w:hAnsi="Times New Roman" w:eastAsia="宋体" w:cs="Times New Roman"/>
                <w:color w:val="auto"/>
                <w:szCs w:val="21"/>
                <w:highlight w:val="none"/>
                <w:u w:val="single"/>
              </w:rPr>
              <w:t>半小时内</w:t>
            </w:r>
            <w:r>
              <w:rPr>
                <w:rFonts w:hint="eastAsia" w:ascii="Times New Roman" w:hAnsi="Times New Roman" w:eastAsia="宋体" w:cs="Times New Roman"/>
                <w:color w:val="auto"/>
                <w:szCs w:val="21"/>
                <w:highlight w:val="none"/>
              </w:rPr>
              <w:t>解密的，视为撤销其投标文件。</w:t>
            </w:r>
          </w:p>
          <w:p>
            <w:pPr>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5.2.3</w:t>
            </w:r>
            <w:r>
              <w:rPr>
                <w:rFonts w:hint="eastAsia" w:ascii="Times New Roman" w:hAnsi="Times New Roman" w:eastAsia="宋体" w:cs="Times New Roman"/>
                <w:color w:val="auto"/>
                <w:szCs w:val="21"/>
                <w:highlight w:val="none"/>
              </w:rPr>
              <w:t>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6.1.1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评标委员会的组建</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宋体"/>
                <w:color w:val="auto"/>
                <w:szCs w:val="21"/>
                <w:highlight w:val="none"/>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6.3.2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评标委员会推荐中标候选人的人数</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推荐3名中标候选人。</w:t>
            </w:r>
          </w:p>
        </w:tc>
      </w:tr>
      <w:tr>
        <w:tblPrEx>
          <w:tblCellMar>
            <w:top w:w="0" w:type="dxa"/>
            <w:left w:w="108" w:type="dxa"/>
            <w:bottom w:w="0" w:type="dxa"/>
            <w:right w:w="108" w:type="dxa"/>
          </w:tblCellMar>
        </w:tblPrEx>
        <w:trPr>
          <w:trHeight w:val="2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7.1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中标候选人公示媒介及期限</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公示媒介：</w:t>
            </w:r>
            <w:r>
              <w:rPr>
                <w:rFonts w:ascii="Times New Roman" w:hAnsi="Times New Roman" w:eastAsia="宋体" w:cs="Times New Roman"/>
                <w:color w:val="auto"/>
                <w:szCs w:val="21"/>
                <w:highlight w:val="none"/>
                <w:u w:val="single"/>
              </w:rPr>
              <w:t>中国招标投标公共服务平台</w:t>
            </w:r>
            <w:r>
              <w:rPr>
                <w:rFonts w:hint="eastAsia" w:ascii="Times New Roman" w:hAnsi="Times New Roman" w:eastAsia="宋体" w:cs="Times New Roman"/>
                <w:color w:val="auto"/>
                <w:szCs w:val="21"/>
                <w:highlight w:val="none"/>
                <w:u w:val="single"/>
              </w:rPr>
              <w:t>、广东省招标投标监管网、广州公共资源交易网</w:t>
            </w:r>
          </w:p>
          <w:p>
            <w:pPr>
              <w:spacing w:line="360" w:lineRule="auto"/>
              <w:ind w:right="107" w:rightChars="51"/>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公示期限：</w:t>
            </w:r>
            <w:r>
              <w:rPr>
                <w:rFonts w:hint="eastAsia" w:ascii="Times New Roman" w:hAnsi="Times New Roman" w:eastAsia="宋体" w:cs="Times New Roman"/>
                <w:color w:val="auto"/>
                <w:szCs w:val="21"/>
                <w:highlight w:val="none"/>
                <w:u w:val="single"/>
              </w:rPr>
              <w:t>3</w:t>
            </w:r>
            <w:r>
              <w:rPr>
                <w:rFonts w:hint="eastAsia" w:ascii="Times New Roman" w:hAnsi="Times New Roman" w:eastAsia="宋体" w:cs="Times New Roman"/>
                <w:color w:val="auto"/>
                <w:szCs w:val="21"/>
                <w:highlight w:val="none"/>
              </w:rPr>
              <w:t>日</w:t>
            </w:r>
          </w:p>
          <w:p>
            <w:pPr>
              <w:topLinePunct/>
              <w:spacing w:line="360" w:lineRule="auto"/>
              <w:ind w:right="107" w:rightChars="51"/>
              <w:rPr>
                <w:rFonts w:hint="eastAsia" w:cs="Times New Roman" w:eastAsiaTheme="minorEastAsia"/>
                <w:color w:val="auto"/>
                <w:highlight w:val="none"/>
              </w:rPr>
            </w:pPr>
            <w:r>
              <w:rPr>
                <w:rFonts w:ascii="Times New Roman" w:hAnsi="Times New Roman" w:eastAsia="宋体" w:cs="Times New Roman"/>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7.4</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是否授权评标委员会确定中标人</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是</w:t>
            </w:r>
          </w:p>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7.6.1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履约保证金</w:t>
            </w:r>
          </w:p>
        </w:tc>
        <w:tc>
          <w:tcPr>
            <w:tcW w:w="609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是否要求中标人提交履约保证金：</w:t>
            </w:r>
          </w:p>
          <w:p>
            <w:pPr>
              <w:topLinePunct/>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■要求，履约保证金的形式：</w:t>
            </w:r>
            <w:r>
              <w:rPr>
                <w:rFonts w:hint="eastAsia" w:ascii="Times New Roman" w:hAnsi="Times New Roman" w:eastAsia="宋体" w:cs="Times New Roman"/>
                <w:color w:val="auto"/>
                <w:szCs w:val="21"/>
                <w:highlight w:val="none"/>
                <w:u w:val="single"/>
              </w:rPr>
              <w:t>银行保函</w:t>
            </w:r>
          </w:p>
          <w:p>
            <w:pPr>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履约保证金的金额：</w:t>
            </w:r>
            <w:r>
              <w:rPr>
                <w:rFonts w:hint="eastAsia" w:ascii="Times New Roman" w:hAnsi="Times New Roman" w:eastAsia="宋体" w:cs="Times New Roman"/>
                <w:color w:val="auto"/>
                <w:szCs w:val="21"/>
                <w:highlight w:val="none"/>
                <w:u w:val="single"/>
              </w:rPr>
              <w:t>中标价款的10%。</w:t>
            </w:r>
          </w:p>
          <w:p>
            <w:pPr>
              <w:topLinePunct/>
              <w:spacing w:line="360" w:lineRule="auto"/>
              <w:ind w:right="107" w:rightChars="5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9</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是否采用电子招标投标</w:t>
            </w:r>
          </w:p>
        </w:tc>
        <w:tc>
          <w:tcPr>
            <w:tcW w:w="60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□否</w:t>
            </w:r>
          </w:p>
          <w:p>
            <w:pPr>
              <w:jc w:val="left"/>
              <w:rPr>
                <w:rFonts w:ascii="宋体" w:hAnsi="宋体" w:eastAsia="宋体" w:cs="宋体"/>
                <w:color w:val="auto"/>
                <w:szCs w:val="21"/>
                <w:highlight w:val="none"/>
              </w:rPr>
            </w:pPr>
            <w:r>
              <w:rPr>
                <w:rFonts w:hint="eastAsia" w:eastAsia="宋体" w:cs="Times New Roman"/>
                <w:color w:val="auto"/>
                <w:szCs w:val="21"/>
                <w:highlight w:val="none"/>
              </w:rPr>
              <w:t>■</w:t>
            </w:r>
            <w:r>
              <w:rPr>
                <w:rFonts w:hint="eastAsia" w:ascii="宋体" w:hAnsi="宋体" w:eastAsia="宋体" w:cs="宋体"/>
                <w:color w:val="auto"/>
                <w:szCs w:val="21"/>
                <w:highlight w:val="none"/>
              </w:rPr>
              <w:t>是，具体要求：</w:t>
            </w:r>
          </w:p>
          <w:p>
            <w:pPr>
              <w:rPr>
                <w:rFonts w:ascii="宋体" w:hAnsi="宋体" w:eastAsia="宋体" w:cs="宋体"/>
                <w:color w:val="auto"/>
                <w:szCs w:val="21"/>
                <w:highlight w:val="none"/>
              </w:rPr>
            </w:pPr>
            <w:r>
              <w:rPr>
                <w:rFonts w:hint="eastAsia" w:ascii="宋体" w:hAnsi="宋体" w:eastAsia="宋体" w:cs="宋体"/>
                <w:color w:val="auto"/>
                <w:szCs w:val="21"/>
                <w:highlight w:val="none"/>
              </w:rPr>
              <w:t>1、具体操作方法详见广州公共资源交易中心网站发布的《建设工程全流程电子化项目操作指南》</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rPr>
              <w:t>投标文件应按广州公共资源交易中心网站发布的《建设工程全流程电子化项目操作指南》编制。如不按上述要求编制引起系统无法检索、读取相关信息的，其后果由投标人承担。</w:t>
            </w:r>
          </w:p>
          <w:p>
            <w:pPr>
              <w:rPr>
                <w:rFonts w:ascii="宋体" w:hAnsi="宋体" w:eastAsia="宋体" w:cs="宋体"/>
                <w:color w:val="auto"/>
                <w:szCs w:val="21"/>
                <w:highlight w:val="none"/>
              </w:rPr>
            </w:pPr>
            <w:r>
              <w:rPr>
                <w:rFonts w:hint="eastAsia" w:ascii="宋体" w:hAnsi="宋体" w:eastAsia="宋体" w:cs="宋体"/>
                <w:color w:val="auto"/>
                <w:szCs w:val="21"/>
                <w:highlight w:val="none"/>
              </w:rPr>
              <w:t>2、提交投标文件光盘备用</w:t>
            </w:r>
          </w:p>
          <w:p>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（1）投标人将按</w:t>
            </w:r>
            <w:r>
              <w:rPr>
                <w:rFonts w:hint="eastAsia" w:ascii="宋体" w:hAnsi="宋体" w:eastAsia="宋体" w:cs="宋体"/>
                <w:b/>
                <w:color w:val="auto"/>
                <w:szCs w:val="21"/>
                <w:highlight w:val="none"/>
                <w:u w:val="single"/>
              </w:rPr>
              <w:t>广州公共资源交易中心网站发布的《建设工程全流程电子化项目操作指南》</w:t>
            </w:r>
            <w:r>
              <w:rPr>
                <w:rFonts w:hint="eastAsia" w:ascii="宋体" w:hAnsi="宋体" w:eastAsia="宋体" w:cs="宋体"/>
                <w:color w:val="auto"/>
                <w:szCs w:val="21"/>
                <w:highlight w:val="none"/>
                <w:u w:val="single"/>
              </w:rPr>
              <w:t>的操作方法制作非加密的电子投标文件刻入光盘（1份），在截至投标前15分钟提交至</w:t>
            </w:r>
            <w:r>
              <w:rPr>
                <w:rFonts w:hint="eastAsia" w:ascii="宋体" w:hAnsi="宋体" w:eastAsia="宋体" w:cs="宋体"/>
                <w:color w:val="auto"/>
                <w:szCs w:val="21"/>
                <w:highlight w:val="none"/>
                <w:u w:val="single"/>
                <w:lang w:val="en-US" w:eastAsia="zh-CN"/>
              </w:rPr>
              <w:t>开标现场</w:t>
            </w:r>
            <w:r>
              <w:rPr>
                <w:rFonts w:hint="eastAsia" w:ascii="宋体" w:hAnsi="宋体" w:eastAsia="宋体" w:cs="宋体"/>
                <w:color w:val="auto"/>
                <w:szCs w:val="21"/>
                <w:highlight w:val="none"/>
                <w:u w:val="single"/>
              </w:rPr>
              <w:t>，</w:t>
            </w:r>
            <w:r>
              <w:rPr>
                <w:rFonts w:hint="eastAsia" w:ascii="宋体" w:hAnsi="宋体" w:eastAsia="宋体" w:cs="Times New Roman"/>
                <w:b/>
                <w:bCs/>
                <w:color w:val="auto"/>
                <w:highlight w:val="none"/>
                <w:u w:val="single"/>
              </w:rPr>
              <w:t>投标人应凭</w:t>
            </w:r>
            <w:r>
              <w:rPr>
                <w:rFonts w:hint="eastAsia" w:ascii="宋体" w:hAnsi="宋体" w:eastAsia="宋体" w:cs="Times New Roman"/>
                <w:b/>
                <w:bCs/>
                <w:color w:val="auto"/>
                <w:szCs w:val="21"/>
                <w:highlight w:val="none"/>
                <w:u w:val="single"/>
              </w:rPr>
              <w:t>法定代表人证明书及法定代表人授权委托书（授权代表递交时出具）</w:t>
            </w:r>
            <w:r>
              <w:rPr>
                <w:rFonts w:hint="eastAsia" w:ascii="宋体" w:hAnsi="宋体" w:eastAsia="宋体" w:cs="Times New Roman"/>
                <w:b/>
                <w:bCs/>
                <w:color w:val="auto"/>
                <w:highlight w:val="none"/>
                <w:u w:val="single"/>
              </w:rPr>
              <w:t>递交</w:t>
            </w:r>
            <w:r>
              <w:rPr>
                <w:rFonts w:hint="eastAsia" w:ascii="宋体" w:hAnsi="宋体" w:eastAsia="宋体" w:cs="Times New Roman"/>
                <w:b/>
                <w:bCs/>
                <w:color w:val="auto"/>
                <w:szCs w:val="21"/>
                <w:highlight w:val="none"/>
                <w:u w:val="single"/>
              </w:rPr>
              <w:t>投标文件备用光盘，并出示本人身份证原件</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rPr>
              <w:t>刻录好的投标文件光盘密封在密封袋中，</w:t>
            </w:r>
            <w:r>
              <w:rPr>
                <w:rFonts w:hint="eastAsia" w:ascii="宋体" w:hAnsi="宋体" w:eastAsia="宋体" w:cs="宋体"/>
                <w:color w:val="auto"/>
                <w:szCs w:val="21"/>
                <w:highlight w:val="none"/>
                <w:u w:val="single"/>
              </w:rPr>
              <w:t>并在封口处加盖投标人单位公章。密封袋上应写明项目名称和招标人名称。</w:t>
            </w:r>
          </w:p>
          <w:p>
            <w:pPr>
              <w:rPr>
                <w:rFonts w:ascii="宋体" w:hAnsi="宋体" w:eastAsia="宋体" w:cs="宋体"/>
                <w:color w:val="auto"/>
                <w:szCs w:val="21"/>
                <w:highlight w:val="none"/>
              </w:rPr>
            </w:pPr>
            <w:r>
              <w:rPr>
                <w:rFonts w:hint="eastAsia" w:ascii="宋体" w:hAnsi="宋体" w:eastAsia="宋体" w:cs="宋体"/>
                <w:color w:val="auto"/>
                <w:szCs w:val="21"/>
                <w:highlight w:val="none"/>
              </w:rPr>
              <w:t>（2）递交的投标文件（光盘）不得加密。光盘（投标文件）无法读取或导入的，则视为未提交备用投标文件光盘。如果投标人没有按规定通过交易平台网上递交电子投标文件的，不再接受提交的光盘。</w:t>
            </w:r>
            <w:r>
              <w:rPr>
                <w:rFonts w:hint="eastAsia" w:ascii="宋体" w:hAnsi="宋体" w:eastAsia="宋体" w:cs="宋体"/>
                <w:color w:val="auto"/>
                <w:szCs w:val="21"/>
                <w:highlight w:val="none"/>
                <w:u w:val="single"/>
              </w:rPr>
              <w:t>投标人可选择不提交光盘备用。</w:t>
            </w:r>
          </w:p>
          <w:p>
            <w:pPr>
              <w:rPr>
                <w:rFonts w:ascii="宋体" w:hAnsi="宋体" w:eastAsia="宋体" w:cs="宋体"/>
                <w:color w:val="auto"/>
                <w:szCs w:val="21"/>
                <w:highlight w:val="none"/>
              </w:rPr>
            </w:pPr>
            <w:r>
              <w:rPr>
                <w:rFonts w:hint="eastAsia" w:ascii="宋体" w:hAnsi="宋体" w:eastAsia="宋体" w:cs="宋体"/>
                <w:color w:val="auto"/>
                <w:szCs w:val="21"/>
                <w:highlight w:val="none"/>
              </w:rPr>
              <w:t>3、补救方案</w:t>
            </w:r>
          </w:p>
          <w:p>
            <w:pPr>
              <w:rPr>
                <w:rFonts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pPr>
              <w:rPr>
                <w:rFonts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若遇不可抗力发生（如：网络瘫痪、服务器损坏、交易系统故障短期无法恢复等因素），由评标委员会开启投标人递交的全部投标文件光盘，并按光盘内容进行评审。</w:t>
            </w:r>
          </w:p>
          <w:p>
            <w:pPr>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19"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w:t>
            </w:r>
          </w:p>
        </w:tc>
        <w:tc>
          <w:tcPr>
            <w:tcW w:w="8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需要补充的其他内容</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u w:val="single"/>
              </w:rPr>
              <w:t>10</w:t>
            </w:r>
            <w:r>
              <w:rPr>
                <w:rFonts w:hint="eastAsia" w:ascii="Times New Roman" w:hAnsi="Times New Roman" w:eastAsia="宋体" w:cs="Times New Roman"/>
                <w:color w:val="auto"/>
                <w:highlight w:val="none"/>
                <w:u w:val="single"/>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特别提示</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投标人在本项目招标人的工程项目中存在下列行为的，将被拒绝一年内参与我单位后续工程投标。（注：拒绝投标时限由招标人视严重程度确定，最低三个月起，自招标人发出通知之日起计）：</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（1）将中标工程转包或者违法分包的；</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（2）在中标工程中不执行质量、安全生产相关规定的，造成质量或安全事故的；</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（3）存在围标或串标情形的；</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w:t>
            </w:r>
            <w:r>
              <w:rPr>
                <w:rFonts w:ascii="Times New Roman" w:hAnsi="Times New Roman" w:eastAsia="宋体" w:cs="宋体"/>
                <w:color w:val="auto"/>
                <w:szCs w:val="21"/>
                <w:highlight w:val="none"/>
                <w:u w:val="single"/>
              </w:rPr>
              <w:t>4）在投标文件中提供虚假材料的；</w:t>
            </w:r>
          </w:p>
          <w:p>
            <w:pPr>
              <w:spacing w:line="360" w:lineRule="auto"/>
              <w:ind w:right="107" w:rightChars="51"/>
              <w:rPr>
                <w:rFonts w:hint="eastAsia" w:ascii="Times New Roman" w:hAnsi="Times New Roman" w:eastAsia="宋体" w:cs="宋体"/>
                <w:color w:val="auto"/>
                <w:szCs w:val="21"/>
                <w:highlight w:val="none"/>
                <w:u w:val="single"/>
                <w:lang w:eastAsia="zh-CN"/>
              </w:rPr>
            </w:pPr>
            <w:r>
              <w:rPr>
                <w:rFonts w:hint="eastAsia" w:ascii="Times New Roman" w:hAnsi="Times New Roman" w:eastAsia="宋体" w:cs="宋体"/>
                <w:color w:val="auto"/>
                <w:szCs w:val="21"/>
                <w:highlight w:val="none"/>
                <w:u w:val="single"/>
              </w:rPr>
              <w:t>（</w:t>
            </w:r>
            <w:r>
              <w:rPr>
                <w:rFonts w:ascii="Times New Roman" w:hAnsi="Times New Roman" w:eastAsia="宋体" w:cs="宋体"/>
                <w:color w:val="auto"/>
                <w:szCs w:val="21"/>
                <w:highlight w:val="none"/>
                <w:u w:val="single"/>
              </w:rPr>
              <w:t>5）存在行贿情形的</w:t>
            </w:r>
            <w:r>
              <w:rPr>
                <w:rFonts w:hint="eastAsia" w:ascii="Times New Roman" w:hAnsi="Times New Roman" w:eastAsia="宋体" w:cs="宋体"/>
                <w:color w:val="auto"/>
                <w:szCs w:val="21"/>
                <w:highlight w:val="none"/>
                <w:u w:val="single"/>
                <w:lang w:eastAsia="zh-CN"/>
              </w:rPr>
              <w:t>；</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w:t>
            </w:r>
            <w:r>
              <w:rPr>
                <w:rFonts w:ascii="Times New Roman" w:hAnsi="Times New Roman" w:eastAsia="宋体" w:cs="宋体"/>
                <w:color w:val="auto"/>
                <w:szCs w:val="21"/>
                <w:highlight w:val="none"/>
                <w:u w:val="single"/>
              </w:rPr>
              <w:t>6）拖欠农民工工资的；</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（7）出具虚假检测报告</w:t>
            </w:r>
            <w:r>
              <w:rPr>
                <w:rFonts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u w:val="single"/>
              </w:rPr>
              <w:t>检测报告或检测结论与实际严重不符的；</w:t>
            </w:r>
          </w:p>
          <w:p>
            <w:pPr>
              <w:spacing w:line="360" w:lineRule="auto"/>
              <w:ind w:right="107" w:rightChars="51"/>
              <w:rPr>
                <w:rFonts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single"/>
              </w:rPr>
              <w:t>（8）为招标人提供检测服务过程中存在因过错行为被生效法律文书认定承担违约或侵权责任的；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10.2</w:t>
            </w:r>
          </w:p>
        </w:tc>
        <w:tc>
          <w:tcPr>
            <w:tcW w:w="234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送达</w:t>
            </w:r>
          </w:p>
        </w:tc>
        <w:tc>
          <w:tcPr>
            <w:tcW w:w="60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7" w:rightChars="51"/>
              <w:rPr>
                <w:rFonts w:ascii="Times New Roman" w:hAnsi="Times New Roman" w:eastAsia="宋体" w:cs="Times New Roman"/>
                <w:color w:val="auto"/>
                <w:szCs w:val="21"/>
                <w:highlight w:val="none"/>
                <w:u w:val="single"/>
              </w:rPr>
            </w:pPr>
            <w:r>
              <w:rPr>
                <w:rFonts w:hint="eastAsia" w:ascii="Times New Roman" w:hAnsi="Times New Roman" w:eastAsia="宋体" w:cs="宋体"/>
                <w:color w:val="auto"/>
                <w:szCs w:val="21"/>
                <w:highlight w:val="none"/>
                <w:u w:val="single"/>
              </w:rPr>
              <w:t>《投诉处理决定书》和《行政处理决定书》在广州市住房和城乡建设局网站上公布的，视为送达其他与决定书有关的当事人。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10.3</w:t>
            </w:r>
          </w:p>
        </w:tc>
        <w:tc>
          <w:tcPr>
            <w:tcW w:w="234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招标失败的情形</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eastAsia="宋体" w:cs="宋体"/>
                <w:color w:val="auto"/>
                <w:szCs w:val="21"/>
                <w:highlight w:val="none"/>
                <w:u w:val="single"/>
              </w:rPr>
            </w:pPr>
            <w:r>
              <w:rPr>
                <w:rFonts w:hint="eastAsia" w:eastAsia="宋体" w:cs="宋体"/>
                <w:color w:val="auto"/>
                <w:szCs w:val="21"/>
                <w:highlight w:val="none"/>
                <w:u w:val="single"/>
              </w:rPr>
              <w:t>本项目采用资格后审方式，资格审查与评标同时进行，通过形式评审、资格审查、响应性评审的投标申请人不足</w:t>
            </w:r>
            <w:r>
              <w:rPr>
                <w:rFonts w:eastAsia="宋体" w:cs="宋体"/>
                <w:color w:val="auto"/>
                <w:szCs w:val="21"/>
                <w:highlight w:val="none"/>
                <w:u w:val="single"/>
              </w:rPr>
              <w:t>3</w:t>
            </w:r>
            <w:r>
              <w:rPr>
                <w:rFonts w:hint="eastAsia" w:eastAsia="宋体" w:cs="宋体"/>
                <w:color w:val="auto"/>
                <w:szCs w:val="21"/>
                <w:highlight w:val="none"/>
                <w:u w:val="single"/>
              </w:rPr>
              <w:t>名时为本项目本次招标失败。招标人分析招标失败原因，修正招标方案，报有关管理部门核准后，重新组织招标。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宋体"/>
                <w:color w:val="auto"/>
                <w:szCs w:val="21"/>
                <w:highlight w:val="none"/>
              </w:rPr>
            </w:pPr>
            <w:r>
              <w:rPr>
                <w:rFonts w:hint="eastAsia" w:ascii="Times New Roman" w:hAnsi="Times New Roman" w:eastAsia="宋体" w:cs="Times New Roman"/>
                <w:color w:val="auto"/>
                <w:highlight w:val="none"/>
                <w:u w:val="single"/>
              </w:rPr>
              <w:t>10.4</w:t>
            </w:r>
          </w:p>
        </w:tc>
        <w:tc>
          <w:tcPr>
            <w:tcW w:w="2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宋体" w:cs="宋体"/>
                <w:color w:val="auto"/>
                <w:szCs w:val="21"/>
                <w:highlight w:val="none"/>
                <w:u w:val="single"/>
              </w:rPr>
            </w:pPr>
            <w:r>
              <w:rPr>
                <w:rFonts w:hint="eastAsia" w:eastAsia="宋体" w:cs="宋体"/>
                <w:color w:val="auto"/>
                <w:szCs w:val="21"/>
                <w:highlight w:val="none"/>
                <w:u w:val="single"/>
              </w:rPr>
              <w:t>本项目设计、施工、监理单位</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hint="eastAsia" w:ascii="Times New Roman" w:hAnsi="Times New Roman" w:eastAsia="宋体" w:cs="宋体"/>
                <w:color w:val="auto"/>
                <w:kern w:val="0"/>
                <w:szCs w:val="21"/>
                <w:highlight w:val="none"/>
                <w:u w:val="single"/>
              </w:rPr>
            </w:pPr>
            <w:r>
              <w:rPr>
                <w:rFonts w:hint="eastAsia" w:ascii="Times New Roman" w:hAnsi="Times New Roman" w:eastAsia="宋体" w:cs="宋体"/>
                <w:color w:val="auto"/>
                <w:kern w:val="0"/>
                <w:szCs w:val="21"/>
                <w:highlight w:val="none"/>
                <w:u w:val="single"/>
              </w:rPr>
              <w:t>施工单位：广州协安建设工程有限公司、广州建筑股份有限公司</w:t>
            </w:r>
          </w:p>
          <w:p>
            <w:pPr>
              <w:spacing w:line="360" w:lineRule="auto"/>
              <w:ind w:right="174" w:rightChars="83"/>
              <w:rPr>
                <w:rFonts w:hint="eastAsia" w:ascii="Times New Roman" w:hAnsi="Times New Roman" w:eastAsia="宋体" w:cs="宋体"/>
                <w:color w:val="auto"/>
                <w:kern w:val="0"/>
                <w:szCs w:val="21"/>
                <w:highlight w:val="none"/>
                <w:u w:val="single"/>
              </w:rPr>
            </w:pPr>
            <w:r>
              <w:rPr>
                <w:rFonts w:hint="eastAsia" w:ascii="Times New Roman" w:hAnsi="Times New Roman" w:eastAsia="宋体" w:cs="宋体"/>
                <w:color w:val="auto"/>
                <w:kern w:val="0"/>
                <w:szCs w:val="21"/>
                <w:highlight w:val="none"/>
                <w:u w:val="single"/>
              </w:rPr>
              <w:t>设计单位：天津市建筑设计研究院有限公司、广州市建工设计院有限公司</w:t>
            </w:r>
          </w:p>
          <w:p>
            <w:pPr>
              <w:spacing w:line="360" w:lineRule="auto"/>
              <w:ind w:right="174" w:rightChars="83"/>
              <w:rPr>
                <w:rFonts w:ascii="Times New Roman" w:hAnsi="Times New Roman" w:eastAsia="宋体" w:cs="宋体"/>
                <w:color w:val="auto"/>
                <w:kern w:val="0"/>
                <w:szCs w:val="21"/>
                <w:highlight w:val="none"/>
                <w:u w:val="single"/>
              </w:rPr>
            </w:pPr>
            <w:r>
              <w:rPr>
                <w:rFonts w:hint="eastAsia" w:ascii="Times New Roman" w:hAnsi="Times New Roman" w:eastAsia="宋体" w:cs="宋体"/>
                <w:color w:val="auto"/>
                <w:kern w:val="0"/>
                <w:szCs w:val="21"/>
                <w:highlight w:val="none"/>
                <w:u w:val="single"/>
              </w:rPr>
              <w:t>监理单位：广州市广州工程建设监理有限公司</w:t>
            </w:r>
          </w:p>
        </w:tc>
      </w:tr>
      <w:tr>
        <w:tblPrEx>
          <w:tblCellMar>
            <w:top w:w="0" w:type="dxa"/>
            <w:left w:w="108" w:type="dxa"/>
            <w:bottom w:w="0" w:type="dxa"/>
            <w:right w:w="108" w:type="dxa"/>
          </w:tblCellMar>
        </w:tblPrEx>
        <w:trPr>
          <w:trHeight w:val="253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10.5</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其他</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eastAsia="宋体" w:cs="宋体"/>
                <w:color w:val="auto"/>
                <w:szCs w:val="21"/>
                <w:highlight w:val="none"/>
                <w:u w:val="single"/>
              </w:rPr>
            </w:pPr>
            <w:r>
              <w:rPr>
                <w:rFonts w:hint="eastAsia" w:eastAsia="宋体" w:cs="宋体"/>
                <w:color w:val="auto"/>
                <w:szCs w:val="21"/>
                <w:highlight w:val="none"/>
                <w:u w:val="single"/>
              </w:rPr>
              <w:t>1、在产生中标候选人后，招标人将中标候选人的投标文件商务部分</w:t>
            </w:r>
            <w:r>
              <w:rPr>
                <w:rFonts w:hint="eastAsia" w:ascii="宋体" w:hAnsi="宋体" w:eastAsia="宋体" w:cs="宋体"/>
                <w:color w:val="auto"/>
                <w:szCs w:val="21"/>
                <w:highlight w:val="none"/>
                <w:u w:val="single"/>
                <w:lang w:bidi="ar"/>
              </w:rPr>
              <w:t>（包括人员、业绩、奖项等资料）</w:t>
            </w:r>
            <w:r>
              <w:rPr>
                <w:rFonts w:hint="eastAsia" w:eastAsia="宋体" w:cs="宋体"/>
                <w:color w:val="auto"/>
                <w:szCs w:val="21"/>
                <w:highlight w:val="none"/>
                <w:u w:val="single"/>
              </w:rPr>
              <w:t>在广州公共资源交易中心平台</w:t>
            </w:r>
            <w:r>
              <w:rPr>
                <w:rFonts w:hint="eastAsia" w:ascii="宋体" w:hAnsi="宋体" w:eastAsia="宋体" w:cs="宋体"/>
                <w:color w:val="auto"/>
                <w:szCs w:val="21"/>
                <w:highlight w:val="none"/>
                <w:u w:val="single"/>
                <w:lang w:bidi="ar"/>
              </w:rPr>
              <w:t>和广东省招标投标监管网</w:t>
            </w:r>
            <w:r>
              <w:rPr>
                <w:rFonts w:hint="eastAsia" w:eastAsia="宋体" w:cs="宋体"/>
                <w:color w:val="auto"/>
                <w:szCs w:val="21"/>
                <w:highlight w:val="none"/>
                <w:u w:val="single"/>
              </w:rPr>
              <w:t>公开。</w:t>
            </w:r>
          </w:p>
          <w:p>
            <w:pPr>
              <w:spacing w:line="360" w:lineRule="auto"/>
              <w:rPr>
                <w:rFonts w:ascii="Times New Roman" w:hAnsi="Times New Roman" w:eastAsia="宋体" w:cs="Times New Roman"/>
                <w:b/>
                <w:color w:val="auto"/>
                <w:highlight w:val="none"/>
                <w:u w:val="single"/>
              </w:rPr>
            </w:pPr>
            <w:r>
              <w:rPr>
                <w:rFonts w:hint="eastAsia" w:ascii="Times New Roman" w:hAnsi="Times New Roman" w:eastAsia="宋体" w:cs="宋体"/>
                <w:color w:val="auto"/>
                <w:kern w:val="0"/>
                <w:szCs w:val="21"/>
                <w:highlight w:val="none"/>
                <w:u w:val="single"/>
              </w:rPr>
              <w:t>2、中标后，中标单位须提交与网上上传电子投标文件完全一致的纸质投标文件（一式四份，加盖公章）给招标单位。</w:t>
            </w:r>
          </w:p>
        </w:tc>
      </w:tr>
    </w:tbl>
    <w:p>
      <w:pPr>
        <w:keepNext/>
        <w:keepLines/>
        <w:widowControl w:val="0"/>
        <w:spacing w:before="0" w:after="0" w:line="360" w:lineRule="auto"/>
        <w:jc w:val="left"/>
        <w:outlineLvl w:val="2"/>
        <w:rPr>
          <w:rFonts w:ascii="Times New Roman" w:hAnsi="Times New Roman" w:eastAsia="宋体" w:cs="Times New Roman"/>
          <w:b/>
          <w:bCs/>
          <w:color w:val="auto"/>
          <w:kern w:val="2"/>
          <w:sz w:val="32"/>
          <w:szCs w:val="32"/>
          <w:highlight w:val="none"/>
          <w:lang w:val="en-US" w:eastAsia="zh-CN" w:bidi="ar-SA"/>
        </w:rPr>
      </w:pPr>
      <w:r>
        <w:rPr>
          <w:rFonts w:ascii="Times New Roman" w:hAnsi="Times New Roman" w:eastAsia="宋体" w:cs="Times New Roman"/>
          <w:b/>
          <w:bCs/>
          <w:color w:val="auto"/>
          <w:kern w:val="2"/>
          <w:sz w:val="18"/>
          <w:szCs w:val="32"/>
          <w:highlight w:val="none"/>
          <w:lang w:val="en-US" w:eastAsia="zh-CN" w:bidi="ar-SA"/>
        </w:rPr>
        <w:br w:type="page"/>
      </w:r>
      <w:bookmarkStart w:id="3" w:name="_Toc515205193"/>
      <w:bookmarkStart w:id="4" w:name="_Toc529196520"/>
      <w:bookmarkStart w:id="5" w:name="_Toc102997570"/>
      <w:r>
        <w:rPr>
          <w:rFonts w:ascii="Times New Roman" w:hAnsi="Times New Roman" w:eastAsia="宋体" w:cs="Times New Roman"/>
          <w:b/>
          <w:bCs/>
          <w:color w:val="auto"/>
          <w:kern w:val="2"/>
          <w:sz w:val="32"/>
          <w:szCs w:val="32"/>
          <w:highlight w:val="none"/>
          <w:lang w:val="en-US" w:eastAsia="zh-CN" w:bidi="ar-SA"/>
        </w:rPr>
        <w:t>1. 总则</w:t>
      </w:r>
      <w:bookmarkEnd w:id="3"/>
      <w:bookmarkEnd w:id="4"/>
      <w:bookmarkEnd w:id="5"/>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6" w:name="_Toc529196521"/>
      <w:bookmarkStart w:id="7" w:name="_Toc515205194"/>
      <w:bookmarkStart w:id="8" w:name="_Toc102997571"/>
      <w:r>
        <w:rPr>
          <w:rFonts w:ascii="Times New Roman" w:hAnsi="Times New Roman" w:eastAsia="宋体" w:cs="Times New Roman"/>
          <w:b/>
          <w:bCs/>
          <w:color w:val="auto"/>
          <w:kern w:val="2"/>
          <w:sz w:val="32"/>
          <w:szCs w:val="32"/>
          <w:highlight w:val="none"/>
          <w:lang w:val="en-US" w:eastAsia="zh-CN" w:bidi="ar-SA"/>
        </w:rPr>
        <w:t>1.1 招标项目概况</w:t>
      </w:r>
      <w:bookmarkEnd w:id="6"/>
      <w:bookmarkEnd w:id="7"/>
      <w:bookmarkEnd w:id="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1.1.1根据《中华人民共和国招标投标法》、《中华人民共和国招标投标法实施条例》等有关法律、法规和规章的规定，本招标项目已具备招标条件，现对</w:t>
      </w:r>
      <w:r>
        <w:rPr>
          <w:rFonts w:hint="eastAsia" w:ascii="Times New Roman" w:hAnsi="Times New Roman" w:eastAsia="宋体" w:cs="Times New Roman"/>
          <w:color w:val="auto"/>
          <w:sz w:val="24"/>
          <w:highlight w:val="none"/>
          <w:u w:val="single"/>
        </w:rPr>
        <w:t>检测</w:t>
      </w:r>
      <w:r>
        <w:rPr>
          <w:rFonts w:hint="eastAsia" w:ascii="Times New Roman" w:hAnsi="Times New Roman" w:eastAsia="宋体" w:cs="Times New Roman"/>
          <w:color w:val="auto"/>
          <w:sz w:val="24"/>
          <w:highlight w:val="none"/>
        </w:rPr>
        <w:t>服务</w:t>
      </w:r>
      <w:r>
        <w:rPr>
          <w:rFonts w:ascii="Times New Roman" w:hAnsi="Times New Roman" w:eastAsia="宋体" w:cs="Times New Roman"/>
          <w:color w:val="auto"/>
          <w:sz w:val="24"/>
          <w:highlight w:val="none"/>
        </w:rPr>
        <w:t>进行招标。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1.1.2 招标人：见投标人须知前附表。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1.1.3 招标代理机构：见投标人须知前附表。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1.1.4 招标项目名称：见投标人须知前附表。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1.1.5 项目建设地点：见投标人须知前附表。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1.1.6 项目建设规模：见投标人须知前附表。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1.1.7</w:t>
      </w:r>
      <w:r>
        <w:rPr>
          <w:rFonts w:hint="eastAsia" w:ascii="Times New Roman" w:hAnsi="Times New Roman" w:eastAsia="宋体" w:cs="Times New Roman"/>
          <w:color w:val="auto"/>
          <w:sz w:val="24"/>
          <w:highlight w:val="none"/>
        </w:rPr>
        <w:t>工程项目施工预计开工日期和建设周期：见投标人须知前附表。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1.1.8</w:t>
      </w:r>
      <w:r>
        <w:rPr>
          <w:rFonts w:hint="eastAsia" w:ascii="Times New Roman" w:hAnsi="Times New Roman" w:eastAsia="宋体" w:cs="Times New Roman"/>
          <w:color w:val="auto"/>
          <w:sz w:val="24"/>
          <w:highlight w:val="none"/>
        </w:rPr>
        <w:t>工程总投资：见投标人须知前附表。</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9" w:name="_Toc529196522"/>
      <w:bookmarkStart w:id="10" w:name="_Toc515205195"/>
      <w:bookmarkStart w:id="11" w:name="_Toc102997572"/>
      <w:r>
        <w:rPr>
          <w:rFonts w:ascii="Times New Roman" w:hAnsi="Times New Roman" w:eastAsia="宋体" w:cs="Times New Roman"/>
          <w:b/>
          <w:bCs/>
          <w:color w:val="auto"/>
          <w:kern w:val="2"/>
          <w:sz w:val="24"/>
          <w:szCs w:val="24"/>
          <w:highlight w:val="none"/>
          <w:lang w:val="en-US" w:eastAsia="zh-CN" w:bidi="ar-SA"/>
        </w:rPr>
        <w:t>1.2 招标项目的资金来源和落实情况</w:t>
      </w:r>
      <w:bookmarkEnd w:id="9"/>
      <w:bookmarkEnd w:id="10"/>
      <w:bookmarkEnd w:id="1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1.2.1 资金来源及比例：见投标人须知前附表。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1.2.2 资金落实情况：见投标人须知前附表。</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12" w:name="_Toc102997573"/>
      <w:bookmarkStart w:id="13" w:name="_Toc529196523"/>
      <w:bookmarkStart w:id="14" w:name="_Toc515205196"/>
      <w:r>
        <w:rPr>
          <w:rFonts w:ascii="Times New Roman" w:hAnsi="Times New Roman" w:eastAsia="宋体" w:cs="Times New Roman"/>
          <w:b/>
          <w:bCs/>
          <w:color w:val="auto"/>
          <w:kern w:val="2"/>
          <w:sz w:val="24"/>
          <w:szCs w:val="24"/>
          <w:highlight w:val="none"/>
          <w:lang w:val="en-US" w:eastAsia="zh-CN" w:bidi="ar-SA"/>
        </w:rPr>
        <w:t>1.3招标范围、服务期限和质量标准</w:t>
      </w:r>
      <w:bookmarkEnd w:id="12"/>
      <w:bookmarkEnd w:id="13"/>
      <w:bookmarkEnd w:id="1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1.3.1 招标范围：见投标人须知前附表。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1.3.2</w:t>
      </w:r>
      <w:r>
        <w:rPr>
          <w:rFonts w:hint="eastAsia"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rPr>
        <w:t>服务期限：见投标人须知前附表。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1.3.3 质量标准：见投标人须知前附表。</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15" w:name="_Toc515205197"/>
      <w:bookmarkStart w:id="16" w:name="_Toc529196524"/>
      <w:bookmarkStart w:id="17" w:name="_Toc102997574"/>
      <w:r>
        <w:rPr>
          <w:rFonts w:ascii="Times New Roman" w:hAnsi="Times New Roman" w:eastAsia="宋体" w:cs="Times New Roman"/>
          <w:b/>
          <w:bCs/>
          <w:color w:val="auto"/>
          <w:kern w:val="2"/>
          <w:sz w:val="24"/>
          <w:szCs w:val="24"/>
          <w:highlight w:val="none"/>
          <w:lang w:val="en-US" w:eastAsia="zh-CN" w:bidi="ar-SA"/>
        </w:rPr>
        <w:t>1.4投标人资格要求</w:t>
      </w:r>
      <w:bookmarkEnd w:id="15"/>
      <w:bookmarkEnd w:id="16"/>
      <w:bookmarkEnd w:id="17"/>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 投标人应具备承担本招标项目资质条件、能力和信誉：</w:t>
      </w:r>
    </w:p>
    <w:p>
      <w:pPr>
        <w:spacing w:line="360" w:lineRule="auto"/>
        <w:rPr>
          <w:rFonts w:ascii="Times New Roman" w:hAnsi="Times New Roman" w:eastAsia="宋体" w:cs="宋体"/>
          <w:color w:val="auto"/>
          <w:sz w:val="24"/>
          <w:highlight w:val="none"/>
          <w:u w:val="single"/>
        </w:rPr>
      </w:pPr>
      <w:r>
        <w:rPr>
          <w:rFonts w:hint="eastAsia" w:ascii="Times New Roman" w:hAnsi="Times New Roman" w:eastAsia="宋体" w:cs="宋体"/>
          <w:color w:val="auto"/>
          <w:sz w:val="24"/>
          <w:highlight w:val="none"/>
          <w:u w:val="single"/>
        </w:rPr>
        <w:t>（1）资质要求：见投标人须知前附表；</w:t>
      </w:r>
    </w:p>
    <w:p>
      <w:pPr>
        <w:spacing w:line="360" w:lineRule="auto"/>
        <w:rPr>
          <w:rFonts w:ascii="Times New Roman" w:hAnsi="Times New Roman" w:eastAsia="宋体" w:cs="宋体"/>
          <w:color w:val="auto"/>
          <w:sz w:val="24"/>
          <w:highlight w:val="none"/>
          <w:u w:val="single"/>
        </w:rPr>
      </w:pPr>
      <w:r>
        <w:rPr>
          <w:rFonts w:hint="eastAsia" w:ascii="Times New Roman" w:hAnsi="Times New Roman" w:eastAsia="宋体" w:cs="宋体"/>
          <w:color w:val="auto"/>
          <w:sz w:val="24"/>
          <w:highlight w:val="none"/>
          <w:u w:val="single"/>
        </w:rPr>
        <w:t>（2）项目负责人要求：见投标人须知前附表；</w:t>
      </w:r>
    </w:p>
    <w:p>
      <w:pPr>
        <w:spacing w:line="360" w:lineRule="auto"/>
        <w:rPr>
          <w:rFonts w:ascii="Times New Roman" w:hAnsi="Times New Roman" w:eastAsia="宋体" w:cs="宋体"/>
          <w:color w:val="auto"/>
          <w:sz w:val="24"/>
          <w:highlight w:val="none"/>
          <w:u w:val="single"/>
        </w:rPr>
      </w:pPr>
      <w:r>
        <w:rPr>
          <w:rFonts w:hint="eastAsia" w:ascii="Times New Roman" w:hAnsi="Times New Roman" w:eastAsia="宋体" w:cs="宋体"/>
          <w:color w:val="auto"/>
          <w:sz w:val="24"/>
          <w:highlight w:val="none"/>
          <w:u w:val="single"/>
        </w:rPr>
        <w:t>（3）其他要求：见投标人须知前附表。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需要提交的相关证明材料见本章第3.5款的规定。</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1.4.2投标人须知前附表规定接受联合体投标的，联合体除应符合本章第1.4.1项和投标人须知前附表的要求外，还应遵守以下规定：</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（1）联合体各方应按招标文件提供的格式签订联合体协议书，明确联合体牵头人和各方权利义务，并承诺就中标项目向招标人承担连带责任；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（2）由同一专业的单位组成的联合体，按照资质等级较低的单位确定资质等级；</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（3）联合体各方不得再以自己名义单独或参加其他联合体在本招标项目中投标，否则各相关投标均无效。</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1.4.3 投标人不得存在下列情形之一：</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（1）为招标人不具有独立法人资格的附属机构（单位）；</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（2）与招标人存在利害关系且可能影响招标公正性；</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（3）与本招标项目的其他投标人为同一个单位负责人；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（4）与本招标项目的其他投标人存在控股、管理关系；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（5）为本招标项目的代建人；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（6）为本招标项目的招标代理机构；</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（7）与本招标项目的代建人或招标代理机构同为一个法定代表人；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（8）与本招标项目的代建人或招标代理机构存在控股或参股关系；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w:t>
      </w:r>
      <w:r>
        <w:rPr>
          <w:rFonts w:hint="eastAsia" w:ascii="Times New Roman" w:hAnsi="Times New Roman" w:eastAsia="宋体" w:cs="Times New Roman"/>
          <w:color w:val="auto"/>
          <w:sz w:val="24"/>
          <w:highlight w:val="none"/>
        </w:rPr>
        <w:t>与承担本招标项目监理业务的单位有隶属关系或其他利害关系；与</w:t>
      </w:r>
      <w:r>
        <w:rPr>
          <w:rFonts w:ascii="Times New Roman" w:hAnsi="Times New Roman" w:eastAsia="宋体" w:cs="Times New Roman"/>
          <w:color w:val="auto"/>
          <w:sz w:val="24"/>
          <w:highlight w:val="none"/>
        </w:rPr>
        <w:t>本招标项目</w:t>
      </w:r>
      <w:r>
        <w:rPr>
          <w:rFonts w:hint="eastAsia" w:ascii="Times New Roman" w:hAnsi="Times New Roman" w:eastAsia="宋体" w:cs="Times New Roman"/>
          <w:color w:val="auto"/>
          <w:sz w:val="24"/>
          <w:highlight w:val="none"/>
        </w:rPr>
        <w:t>的施工承包人以</w:t>
      </w:r>
      <w:r>
        <w:rPr>
          <w:rFonts w:ascii="Times New Roman" w:hAnsi="Times New Roman" w:eastAsia="宋体" w:cs="Times New Roman"/>
          <w:color w:val="auto"/>
          <w:sz w:val="24"/>
          <w:highlight w:val="none"/>
        </w:rPr>
        <w:t>及建筑材料、建筑构配件和设备供应商有隶属关系或者其他利害关系；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（10）被依法暂停或者取消投标资格</w:t>
      </w:r>
      <w:r>
        <w:rPr>
          <w:rFonts w:hint="eastAsia" w:ascii="Times New Roman" w:hAnsi="Times New Roman" w:eastAsia="宋体" w:cs="Times New Roman"/>
          <w:color w:val="auto"/>
          <w:sz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（11）被责令停产停业、暂扣或者吊销许可证、暂扣或者吊销执照</w:t>
      </w:r>
      <w:r>
        <w:rPr>
          <w:rFonts w:hint="eastAsia" w:ascii="Times New Roman" w:hAnsi="Times New Roman" w:eastAsia="宋体" w:cs="Times New Roman"/>
          <w:color w:val="auto"/>
          <w:sz w:val="24"/>
          <w:highlight w:val="none"/>
          <w:u w:val="single"/>
        </w:rPr>
        <w:t>（本项事实应当以根据《中华人民共和国行政处罚法》依法作出并已经生效的行政处罚决定为认定依据。）</w:t>
      </w:r>
      <w:r>
        <w:rPr>
          <w:rFonts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（12）进入清算程序，或被宣告破产，或其他丧失履约能力的情形；</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w:t>
      </w:r>
      <w:r>
        <w:rPr>
          <w:rFonts w:hint="eastAsia" w:ascii="Times New Roman" w:hAnsi="Times New Roman" w:eastAsia="宋体" w:cs="Times New Roman"/>
          <w:color w:val="auto"/>
          <w:sz w:val="24"/>
          <w:highlight w:val="none"/>
          <w:u w:val="singl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）法律法规或投标人须知前附表规定的其他情形。</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18" w:name="_Toc102997575"/>
      <w:bookmarkStart w:id="19" w:name="_Toc529196525"/>
      <w:bookmarkStart w:id="20" w:name="_Toc515205198"/>
      <w:r>
        <w:rPr>
          <w:rFonts w:ascii="Times New Roman" w:hAnsi="Times New Roman" w:eastAsia="宋体" w:cs="Times New Roman"/>
          <w:b/>
          <w:bCs/>
          <w:color w:val="auto"/>
          <w:kern w:val="2"/>
          <w:sz w:val="24"/>
          <w:szCs w:val="24"/>
          <w:highlight w:val="none"/>
          <w:lang w:val="en-US" w:eastAsia="zh-CN" w:bidi="ar-SA"/>
        </w:rPr>
        <w:t xml:space="preserve">1.5 </w:t>
      </w:r>
      <w:r>
        <w:rPr>
          <w:rFonts w:hint="eastAsia" w:ascii="Times New Roman" w:hAnsi="Times New Roman" w:eastAsia="宋体" w:cs="Times New Roman"/>
          <w:b/>
          <w:bCs/>
          <w:color w:val="auto"/>
          <w:kern w:val="2"/>
          <w:sz w:val="24"/>
          <w:szCs w:val="24"/>
          <w:highlight w:val="none"/>
          <w:lang w:val="en-US" w:eastAsia="zh-CN" w:bidi="ar-SA"/>
        </w:rPr>
        <w:t>费用承担</w:t>
      </w:r>
      <w:bookmarkEnd w:id="18"/>
      <w:bookmarkEnd w:id="19"/>
      <w:bookmarkEnd w:id="20"/>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投标人准备和参加投标活动发生的费用自理。</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21" w:name="_Toc529196526"/>
      <w:bookmarkStart w:id="22" w:name="_Toc515205199"/>
      <w:bookmarkStart w:id="23" w:name="_Toc102997576"/>
      <w:r>
        <w:rPr>
          <w:rFonts w:ascii="Times New Roman" w:hAnsi="Times New Roman" w:eastAsia="宋体" w:cs="Times New Roman"/>
          <w:b/>
          <w:bCs/>
          <w:color w:val="auto"/>
          <w:kern w:val="2"/>
          <w:sz w:val="24"/>
          <w:szCs w:val="24"/>
          <w:highlight w:val="none"/>
          <w:lang w:val="en-US" w:eastAsia="zh-CN" w:bidi="ar-SA"/>
        </w:rPr>
        <w:t>1.6</w:t>
      </w:r>
      <w:r>
        <w:rPr>
          <w:rFonts w:hint="eastAsia" w:ascii="Times New Roman" w:hAnsi="Times New Roman" w:eastAsia="宋体" w:cs="Times New Roman"/>
          <w:b/>
          <w:bCs/>
          <w:color w:val="auto"/>
          <w:kern w:val="2"/>
          <w:sz w:val="24"/>
          <w:szCs w:val="24"/>
          <w:highlight w:val="none"/>
          <w:lang w:val="en-US" w:eastAsia="zh-CN" w:bidi="ar-SA"/>
        </w:rPr>
        <w:t>保密</w:t>
      </w:r>
      <w:bookmarkEnd w:id="21"/>
      <w:bookmarkEnd w:id="22"/>
      <w:bookmarkEnd w:id="23"/>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参与招标投标活动的各方应对招标文件和投标文件中</w:t>
      </w:r>
      <w:bookmarkStart w:id="24" w:name="_Toc5326"/>
      <w:bookmarkStart w:id="25" w:name="_Toc384308214"/>
      <w:bookmarkStart w:id="26" w:name="_Toc361508589"/>
      <w:bookmarkStart w:id="27" w:name="_Toc352691477"/>
      <w:bookmarkStart w:id="28" w:name="_Toc369531519"/>
      <w:r>
        <w:rPr>
          <w:rFonts w:ascii="Times New Roman" w:hAnsi="Times New Roman" w:eastAsia="宋体" w:cs="Times New Roman"/>
          <w:color w:val="auto"/>
          <w:sz w:val="24"/>
          <w:highlight w:val="none"/>
        </w:rPr>
        <w:t>的商业和技术等秘密保密</w:t>
      </w:r>
      <w:bookmarkEnd w:id="24"/>
      <w:bookmarkEnd w:id="25"/>
      <w:bookmarkEnd w:id="26"/>
      <w:bookmarkEnd w:id="27"/>
      <w:bookmarkEnd w:id="28"/>
      <w:r>
        <w:rPr>
          <w:rFonts w:ascii="Times New Roman" w:hAnsi="Times New Roman" w:eastAsia="宋体" w:cs="Times New Roman"/>
          <w:color w:val="auto"/>
          <w:sz w:val="24"/>
          <w:highlight w:val="none"/>
        </w:rPr>
        <w:t>，否则应承担相应的法律责任。</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29" w:name="_Toc515205200"/>
      <w:bookmarkStart w:id="30" w:name="_Toc102997577"/>
      <w:bookmarkStart w:id="31" w:name="_Toc529196527"/>
      <w:r>
        <w:rPr>
          <w:rFonts w:ascii="Times New Roman" w:hAnsi="Times New Roman" w:eastAsia="宋体" w:cs="Times New Roman"/>
          <w:b/>
          <w:bCs/>
          <w:color w:val="auto"/>
          <w:kern w:val="2"/>
          <w:sz w:val="24"/>
          <w:szCs w:val="24"/>
          <w:highlight w:val="none"/>
          <w:lang w:val="en-US" w:eastAsia="zh-CN" w:bidi="ar-SA"/>
        </w:rPr>
        <w:t>1.7 语言文字</w:t>
      </w:r>
      <w:bookmarkEnd w:id="29"/>
      <w:bookmarkEnd w:id="30"/>
      <w:bookmarkEnd w:id="3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招标投标文件使用的语言文字为中文。专用术语使用外文的，应附有中文注释。</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32" w:name="_Toc515205201"/>
      <w:bookmarkStart w:id="33" w:name="_Toc102997578"/>
      <w:bookmarkStart w:id="34" w:name="_Toc529196528"/>
      <w:r>
        <w:rPr>
          <w:rFonts w:ascii="Times New Roman" w:hAnsi="Times New Roman" w:eastAsia="宋体" w:cs="Times New Roman"/>
          <w:b/>
          <w:bCs/>
          <w:color w:val="auto"/>
          <w:kern w:val="2"/>
          <w:sz w:val="24"/>
          <w:szCs w:val="24"/>
          <w:highlight w:val="none"/>
          <w:lang w:val="en-US" w:eastAsia="zh-CN" w:bidi="ar-SA"/>
        </w:rPr>
        <w:t>1.8计量单位</w:t>
      </w:r>
      <w:bookmarkEnd w:id="32"/>
      <w:bookmarkEnd w:id="33"/>
      <w:bookmarkEnd w:id="3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所有计量均采用中华人民共和国法定计量单位。</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35" w:name="_Toc152042315"/>
      <w:bookmarkStart w:id="36" w:name="_Toc247527563"/>
      <w:bookmarkStart w:id="37" w:name="_Toc529196529"/>
      <w:bookmarkStart w:id="38" w:name="_Toc515205202"/>
      <w:bookmarkStart w:id="39" w:name="_Toc300834959"/>
      <w:bookmarkStart w:id="40" w:name="_Toc482188480"/>
      <w:bookmarkStart w:id="41" w:name="_Toc391393967"/>
      <w:bookmarkStart w:id="42" w:name="_Toc370676289"/>
      <w:bookmarkStart w:id="43" w:name="_Toc384308219"/>
      <w:bookmarkStart w:id="44" w:name="_Toc361508594"/>
      <w:bookmarkStart w:id="45" w:name="_Toc152045539"/>
      <w:bookmarkStart w:id="46" w:name="_Toc247513962"/>
      <w:bookmarkStart w:id="47" w:name="_Toc102997579"/>
      <w:bookmarkStart w:id="48" w:name="_Toc144974507"/>
      <w:r>
        <w:rPr>
          <w:rFonts w:ascii="Times New Roman" w:hAnsi="Times New Roman" w:eastAsia="宋体" w:cs="Times New Roman"/>
          <w:b/>
          <w:bCs/>
          <w:color w:val="auto"/>
          <w:kern w:val="2"/>
          <w:sz w:val="24"/>
          <w:szCs w:val="24"/>
          <w:highlight w:val="none"/>
          <w:lang w:val="en-US" w:eastAsia="zh-CN" w:bidi="ar-SA"/>
        </w:rPr>
        <w:t xml:space="preserve">1.9 </w:t>
      </w:r>
      <w:r>
        <w:rPr>
          <w:rFonts w:hint="eastAsia" w:ascii="Times New Roman" w:hAnsi="Times New Roman" w:eastAsia="宋体" w:cs="Times New Roman"/>
          <w:b/>
          <w:bCs/>
          <w:color w:val="auto"/>
          <w:kern w:val="2"/>
          <w:sz w:val="24"/>
          <w:szCs w:val="24"/>
          <w:highlight w:val="none"/>
          <w:lang w:val="en-US" w:eastAsia="zh-CN" w:bidi="ar-SA"/>
        </w:rPr>
        <w:t>踏勘现场</w:t>
      </w:r>
      <w:bookmarkEnd w:id="35"/>
      <w:bookmarkEnd w:id="36"/>
      <w:bookmarkEnd w:id="37"/>
      <w:bookmarkEnd w:id="38"/>
      <w:bookmarkEnd w:id="39"/>
      <w:bookmarkEnd w:id="40"/>
      <w:bookmarkEnd w:id="41"/>
      <w:bookmarkEnd w:id="42"/>
      <w:bookmarkEnd w:id="43"/>
      <w:bookmarkEnd w:id="44"/>
      <w:bookmarkEnd w:id="45"/>
      <w:bookmarkEnd w:id="46"/>
      <w:bookmarkEnd w:id="47"/>
      <w:bookmarkEnd w:id="4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1.9.2 投标人踏勘现场发生的费用自理。</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1.9.3 除招标人的原因外，投标人自行负责在踏勘现场中所发生的人员伤亡和财产损失。</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1.9.4 招标人在踏勘现场中介绍的工程场地和相关的周边环境情况，供投标人在编制投标文件时参考，招标人不对投标人据此作出的判断和决策负责。</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49" w:name="_Toc102997580"/>
      <w:bookmarkStart w:id="50" w:name="_Toc529196530"/>
      <w:bookmarkStart w:id="51" w:name="_Toc515205203"/>
      <w:r>
        <w:rPr>
          <w:rFonts w:ascii="Times New Roman" w:hAnsi="Times New Roman" w:eastAsia="宋体" w:cs="Times New Roman"/>
          <w:b/>
          <w:bCs/>
          <w:color w:val="auto"/>
          <w:kern w:val="2"/>
          <w:sz w:val="24"/>
          <w:szCs w:val="24"/>
          <w:highlight w:val="none"/>
          <w:lang w:val="en-US" w:eastAsia="zh-CN" w:bidi="ar-SA"/>
        </w:rPr>
        <w:t>1.10投标预备会</w:t>
      </w:r>
      <w:bookmarkEnd w:id="49"/>
      <w:bookmarkEnd w:id="50"/>
      <w:bookmarkEnd w:id="5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1.10.1 投标人须知前附表规定召开投标预备会的，招标人按投标人须知前附表规定的时间和地点召开投标预备会，澄清投标人提出的问题。</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1.10.2 投标人应按投标人须知前附表规定的时间和形式将提出的问题送达招标人，以便招标人在会议期间澄清。</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1.10.3 投标预备会后，招标人将对投标人所提问题的澄清，以投标人须知前附表规定的形式通知所有购买招标文件的投标人。该澄清内容为招标文件的组成部分。</w:t>
      </w:r>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52" w:name="_Toc529196531"/>
      <w:bookmarkStart w:id="53" w:name="_Toc515205204"/>
      <w:bookmarkStart w:id="54" w:name="_Toc102997581"/>
      <w:r>
        <w:rPr>
          <w:rFonts w:ascii="Times New Roman" w:hAnsi="Times New Roman" w:eastAsia="宋体" w:cs="Times New Roman"/>
          <w:b/>
          <w:bCs/>
          <w:color w:val="auto"/>
          <w:kern w:val="2"/>
          <w:sz w:val="24"/>
          <w:szCs w:val="24"/>
          <w:highlight w:val="none"/>
          <w:lang w:val="en-US" w:eastAsia="zh-CN" w:bidi="ar-SA"/>
        </w:rPr>
        <w:t>1.11 分包</w:t>
      </w:r>
      <w:bookmarkEnd w:id="52"/>
      <w:bookmarkEnd w:id="53"/>
      <w:bookmarkEnd w:id="54"/>
    </w:p>
    <w:p>
      <w:pPr>
        <w:keepNext/>
        <w:keepLines/>
        <w:widowControl w:val="0"/>
        <w:spacing w:before="0" w:after="0" w:line="360" w:lineRule="auto"/>
        <w:jc w:val="both"/>
        <w:outlineLvl w:val="2"/>
        <w:rPr>
          <w:rFonts w:ascii="Times New Roman" w:hAnsi="Times New Roman" w:eastAsia="宋体" w:cs="Times New Roman"/>
          <w:b w:val="0"/>
          <w:bCs w:val="0"/>
          <w:color w:val="auto"/>
          <w:kern w:val="2"/>
          <w:sz w:val="24"/>
          <w:szCs w:val="22"/>
          <w:highlight w:val="none"/>
          <w:lang w:val="en-US" w:eastAsia="zh-CN" w:bidi="ar-SA"/>
        </w:rPr>
      </w:pPr>
      <w:bookmarkStart w:id="55" w:name="_Toc515205205"/>
      <w:bookmarkStart w:id="56" w:name="_Toc529196532"/>
      <w:r>
        <w:rPr>
          <w:rFonts w:hint="eastAsia" w:ascii="Times New Roman" w:hAnsi="Times New Roman" w:eastAsia="宋体" w:cs="Times New Roman"/>
          <w:b w:val="0"/>
          <w:bCs w:val="0"/>
          <w:color w:val="auto"/>
          <w:kern w:val="2"/>
          <w:sz w:val="24"/>
          <w:szCs w:val="22"/>
          <w:highlight w:val="none"/>
          <w:lang w:val="en-US" w:eastAsia="zh-CN" w:bidi="ar-SA"/>
        </w:rPr>
        <w:t xml:space="preserve">   </w:t>
      </w:r>
      <w:bookmarkStart w:id="57" w:name="_Toc102997582"/>
      <w:r>
        <w:rPr>
          <w:rFonts w:ascii="Times New Roman" w:hAnsi="Times New Roman" w:eastAsia="宋体" w:cs="Times New Roman"/>
          <w:b w:val="0"/>
          <w:bCs w:val="0"/>
          <w:color w:val="auto"/>
          <w:kern w:val="2"/>
          <w:sz w:val="24"/>
          <w:szCs w:val="22"/>
          <w:highlight w:val="none"/>
          <w:lang w:val="en-US" w:eastAsia="zh-CN" w:bidi="ar-SA"/>
        </w:rPr>
        <w:t>本项目除主要检测内容外，</w:t>
      </w:r>
      <w:r>
        <w:rPr>
          <w:rFonts w:hint="eastAsia" w:ascii="Times New Roman" w:hAnsi="Times New Roman" w:eastAsia="宋体" w:cs="Times New Roman"/>
          <w:b w:val="0"/>
          <w:bCs w:val="0"/>
          <w:color w:val="auto"/>
          <w:kern w:val="2"/>
          <w:sz w:val="24"/>
          <w:szCs w:val="22"/>
          <w:highlight w:val="none"/>
          <w:lang w:val="en-US" w:eastAsia="zh-CN" w:bidi="ar-SA"/>
        </w:rPr>
        <w:t>其他检测内容</w:t>
      </w:r>
      <w:r>
        <w:rPr>
          <w:rFonts w:ascii="Times New Roman" w:hAnsi="Times New Roman" w:eastAsia="宋体" w:cs="Times New Roman"/>
          <w:b w:val="0"/>
          <w:bCs w:val="0"/>
          <w:color w:val="auto"/>
          <w:kern w:val="2"/>
          <w:sz w:val="24"/>
          <w:szCs w:val="22"/>
          <w:highlight w:val="none"/>
          <w:lang w:val="en-US" w:eastAsia="zh-CN" w:bidi="ar-SA"/>
        </w:rPr>
        <w:t>报招标人批准后</w:t>
      </w:r>
      <w:r>
        <w:rPr>
          <w:rFonts w:hint="eastAsia" w:ascii="Times New Roman" w:hAnsi="Times New Roman" w:eastAsia="宋体" w:cs="Times New Roman"/>
          <w:b w:val="0"/>
          <w:bCs w:val="0"/>
          <w:color w:val="auto"/>
          <w:kern w:val="2"/>
          <w:sz w:val="24"/>
          <w:szCs w:val="22"/>
          <w:highlight w:val="none"/>
          <w:lang w:val="en-US" w:eastAsia="zh-CN" w:bidi="ar-SA"/>
        </w:rPr>
        <w:t>可依法进行分包</w:t>
      </w:r>
      <w:r>
        <w:rPr>
          <w:rFonts w:ascii="Times New Roman" w:hAnsi="Times New Roman" w:eastAsia="宋体" w:cs="Times New Roman"/>
          <w:b w:val="0"/>
          <w:bCs w:val="0"/>
          <w:color w:val="auto"/>
          <w:kern w:val="2"/>
          <w:sz w:val="24"/>
          <w:szCs w:val="22"/>
          <w:highlight w:val="none"/>
          <w:lang w:val="en-US" w:eastAsia="zh-CN" w:bidi="ar-SA"/>
        </w:rPr>
        <w:t>，</w:t>
      </w:r>
      <w:r>
        <w:rPr>
          <w:rFonts w:hint="eastAsia" w:ascii="Times New Roman" w:hAnsi="Times New Roman" w:eastAsia="宋体" w:cs="Times New Roman"/>
          <w:b w:val="0"/>
          <w:bCs w:val="0"/>
          <w:color w:val="auto"/>
          <w:kern w:val="2"/>
          <w:sz w:val="24"/>
          <w:szCs w:val="22"/>
          <w:highlight w:val="none"/>
          <w:lang w:val="en-US" w:eastAsia="zh-CN" w:bidi="ar-SA"/>
        </w:rPr>
        <w:t>由中标人</w:t>
      </w:r>
      <w:r>
        <w:rPr>
          <w:rFonts w:ascii="Times New Roman" w:hAnsi="Times New Roman" w:eastAsia="宋体" w:cs="Times New Roman"/>
          <w:b w:val="0"/>
          <w:bCs w:val="0"/>
          <w:color w:val="auto"/>
          <w:kern w:val="2"/>
          <w:sz w:val="24"/>
          <w:szCs w:val="22"/>
          <w:highlight w:val="none"/>
          <w:lang w:val="en-US" w:eastAsia="zh-CN" w:bidi="ar-SA"/>
        </w:rPr>
        <w:t>委托具有相应资质的单位进行检测。此部分工作产生的费用由中标人自行承担，已含于投标报价中。</w:t>
      </w:r>
      <w:bookmarkEnd w:id="57"/>
    </w:p>
    <w:p>
      <w:pPr>
        <w:keepNext/>
        <w:keepLines/>
        <w:widowControl w:val="0"/>
        <w:spacing w:before="0" w:after="0" w:line="360" w:lineRule="auto"/>
        <w:jc w:val="both"/>
        <w:outlineLvl w:val="2"/>
        <w:rPr>
          <w:rFonts w:ascii="Times New Roman" w:hAnsi="Times New Roman" w:eastAsia="宋体" w:cs="Times New Roman"/>
          <w:b/>
          <w:bCs/>
          <w:color w:val="auto"/>
          <w:kern w:val="2"/>
          <w:sz w:val="24"/>
          <w:szCs w:val="24"/>
          <w:highlight w:val="none"/>
          <w:lang w:val="en-US" w:eastAsia="zh-CN" w:bidi="ar-SA"/>
        </w:rPr>
      </w:pPr>
      <w:bookmarkStart w:id="58" w:name="_Toc102997583"/>
      <w:r>
        <w:rPr>
          <w:rFonts w:ascii="Times New Roman" w:hAnsi="Times New Roman" w:eastAsia="宋体" w:cs="Times New Roman"/>
          <w:b/>
          <w:bCs/>
          <w:color w:val="auto"/>
          <w:kern w:val="2"/>
          <w:sz w:val="24"/>
          <w:szCs w:val="24"/>
          <w:highlight w:val="none"/>
          <w:lang w:val="en-US" w:eastAsia="zh-CN" w:bidi="ar-SA"/>
        </w:rPr>
        <w:t>1.12响应和偏差</w:t>
      </w:r>
      <w:bookmarkEnd w:id="55"/>
      <w:bookmarkEnd w:id="56"/>
      <w:bookmarkEnd w:id="5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1.12.2 投标人应根据招标文件的要求提供投标</w:t>
      </w:r>
      <w:r>
        <w:rPr>
          <w:rFonts w:hint="eastAsia" w:ascii="Times New Roman" w:hAnsi="Times New Roman" w:eastAsia="宋体" w:cs="Times New Roman"/>
          <w:color w:val="auto"/>
          <w:sz w:val="24"/>
          <w:highlight w:val="none"/>
        </w:rPr>
        <w:t>检测方案</w:t>
      </w:r>
      <w:r>
        <w:rPr>
          <w:rFonts w:ascii="Times New Roman" w:hAnsi="Times New Roman" w:eastAsia="宋体" w:cs="Times New Roman"/>
          <w:color w:val="auto"/>
          <w:sz w:val="24"/>
          <w:highlight w:val="none"/>
        </w:rPr>
        <w:t>等内容以对招标文件作出响应。</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1.12.3投标人须知前附表允许投标文件偏离招标文件某些要求的，偏差应当符合招标文件规定的偏差范围和幅度。</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59" w:name="_Toc515205206"/>
      <w:bookmarkStart w:id="60" w:name="_Toc529196533"/>
      <w:bookmarkStart w:id="61" w:name="_Toc102997584"/>
      <w:r>
        <w:rPr>
          <w:rFonts w:ascii="Times New Roman" w:hAnsi="Times New Roman" w:eastAsia="宋体" w:cs="Times New Roman"/>
          <w:b/>
          <w:bCs/>
          <w:color w:val="auto"/>
          <w:kern w:val="2"/>
          <w:sz w:val="32"/>
          <w:szCs w:val="32"/>
          <w:highlight w:val="none"/>
          <w:lang w:val="en-US" w:eastAsia="zh-CN" w:bidi="ar-SA"/>
        </w:rPr>
        <w:t>2. 招标文件</w:t>
      </w:r>
      <w:bookmarkEnd w:id="59"/>
      <w:bookmarkEnd w:id="60"/>
      <w:bookmarkEnd w:id="61"/>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62" w:name="_Toc102997585"/>
      <w:bookmarkStart w:id="63" w:name="_Toc529196534"/>
      <w:bookmarkStart w:id="64" w:name="_Toc515205207"/>
      <w:r>
        <w:rPr>
          <w:rFonts w:ascii="Times New Roman" w:hAnsi="Times New Roman" w:eastAsia="宋体" w:cs="Times New Roman"/>
          <w:b/>
          <w:bCs/>
          <w:color w:val="auto"/>
          <w:kern w:val="2"/>
          <w:sz w:val="32"/>
          <w:szCs w:val="32"/>
          <w:highlight w:val="none"/>
          <w:lang w:val="en-US" w:eastAsia="zh-CN" w:bidi="ar-SA"/>
        </w:rPr>
        <w:t>2.1 招标文件的组成</w:t>
      </w:r>
      <w:bookmarkEnd w:id="62"/>
      <w:bookmarkEnd w:id="63"/>
      <w:bookmarkEnd w:id="6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本招标文件包括：</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u w:val="single"/>
        </w:rPr>
        <w:t>招标公告</w:t>
      </w:r>
      <w:r>
        <w:rPr>
          <w:rFonts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（2）投标人须知；</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（3）评标办法；</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（4）合同条款及格式；</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（5）委托人要求；</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（6）投标文件格式；</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）投标人须知前附表规定的其他资料。</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根据本章第1.10款、第2.2款和第2.3款对招标文件所作的澄清、修改，构成招标文件的组成部分。</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65" w:name="_Toc102997586"/>
      <w:bookmarkStart w:id="66" w:name="_Toc515205208"/>
      <w:bookmarkStart w:id="67" w:name="_Toc529196535"/>
      <w:r>
        <w:rPr>
          <w:rFonts w:ascii="Times New Roman" w:hAnsi="Times New Roman" w:eastAsia="宋体" w:cs="Times New Roman"/>
          <w:b/>
          <w:bCs/>
          <w:color w:val="auto"/>
          <w:kern w:val="2"/>
          <w:sz w:val="32"/>
          <w:szCs w:val="32"/>
          <w:highlight w:val="none"/>
          <w:lang w:val="en-US" w:eastAsia="zh-CN" w:bidi="ar-SA"/>
        </w:rPr>
        <w:t>2.2 招标文件的澄清</w:t>
      </w:r>
      <w:bookmarkEnd w:id="65"/>
      <w:bookmarkEnd w:id="66"/>
      <w:bookmarkEnd w:id="67"/>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2.2.3 投标人在收到澄清后，应按投标人须知前附表规定的时间和形式通知招标人，确认已收到该澄清。</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2.2.4 除非招标人认为确有必要答复，否则，招标人有权拒绝回复投标人在</w:t>
      </w:r>
      <w:r>
        <w:rPr>
          <w:rFonts w:hint="eastAsia" w:ascii="Times New Roman" w:hAnsi="Times New Roman" w:eastAsia="宋体" w:cs="Times New Roman"/>
          <w:color w:val="auto"/>
          <w:sz w:val="24"/>
          <w:highlight w:val="none"/>
        </w:rPr>
        <w:t>本章第2.2.1项</w:t>
      </w:r>
      <w:r>
        <w:rPr>
          <w:rFonts w:ascii="Times New Roman" w:hAnsi="Times New Roman" w:eastAsia="宋体" w:cs="Times New Roman"/>
          <w:color w:val="auto"/>
          <w:sz w:val="24"/>
          <w:highlight w:val="none"/>
        </w:rPr>
        <w:t>规定的时间后的任何澄清要求。</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68" w:name="_Toc102997587"/>
      <w:bookmarkStart w:id="69" w:name="_Toc515205209"/>
      <w:bookmarkStart w:id="70" w:name="_Toc529196536"/>
      <w:bookmarkStart w:id="71" w:name="_Toc352691479"/>
      <w:r>
        <w:rPr>
          <w:rFonts w:ascii="Times New Roman" w:hAnsi="Times New Roman" w:eastAsia="宋体" w:cs="Times New Roman"/>
          <w:b/>
          <w:bCs/>
          <w:color w:val="auto"/>
          <w:kern w:val="2"/>
          <w:sz w:val="32"/>
          <w:szCs w:val="32"/>
          <w:highlight w:val="none"/>
          <w:lang w:val="en-US" w:eastAsia="zh-CN" w:bidi="ar-SA"/>
        </w:rPr>
        <w:t>2.3 招标文件的修</w:t>
      </w:r>
      <w:bookmarkStart w:id="72" w:name="_Toc369531521"/>
      <w:bookmarkStart w:id="73" w:name="_Toc16514"/>
      <w:r>
        <w:rPr>
          <w:rFonts w:ascii="Times New Roman" w:hAnsi="Times New Roman" w:eastAsia="宋体" w:cs="Times New Roman"/>
          <w:b/>
          <w:bCs/>
          <w:color w:val="auto"/>
          <w:kern w:val="2"/>
          <w:sz w:val="32"/>
          <w:szCs w:val="32"/>
          <w:highlight w:val="none"/>
          <w:lang w:val="en-US" w:eastAsia="zh-CN" w:bidi="ar-SA"/>
        </w:rPr>
        <w:t>改</w:t>
      </w:r>
      <w:bookmarkEnd w:id="68"/>
      <w:bookmarkEnd w:id="69"/>
      <w:bookmarkEnd w:id="70"/>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1"/>
    <w:bookmarkEnd w:id="72"/>
    <w:bookmarkEnd w:id="73"/>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2.3.2 投标人收到修改内容</w:t>
      </w:r>
      <w:bookmarkStart w:id="74" w:name="_Toc352691482"/>
      <w:bookmarkStart w:id="75" w:name="_Toc247527562"/>
      <w:bookmarkStart w:id="76" w:name="_Toc300834958"/>
      <w:bookmarkStart w:id="77" w:name="_Toc24632"/>
      <w:bookmarkStart w:id="78" w:name="_Toc247513961"/>
      <w:bookmarkStart w:id="79" w:name="_Toc361508593"/>
      <w:bookmarkStart w:id="80" w:name="_Toc152042314"/>
      <w:bookmarkStart w:id="81" w:name="_Toc384308218"/>
      <w:bookmarkStart w:id="82" w:name="_Toc144974506"/>
      <w:bookmarkStart w:id="83" w:name="_Toc369531524"/>
      <w:bookmarkStart w:id="84" w:name="_Toc152045538"/>
      <w:r>
        <w:rPr>
          <w:rFonts w:ascii="Times New Roman" w:hAnsi="Times New Roman" w:eastAsia="宋体" w:cs="Times New Roman"/>
          <w:color w:val="auto"/>
          <w:sz w:val="24"/>
          <w:highlight w:val="none"/>
        </w:rPr>
        <w:t>后，</w:t>
      </w:r>
      <w:bookmarkEnd w:id="74"/>
      <w:bookmarkEnd w:id="75"/>
      <w:bookmarkEnd w:id="76"/>
      <w:bookmarkEnd w:id="77"/>
      <w:bookmarkEnd w:id="78"/>
      <w:bookmarkEnd w:id="79"/>
      <w:bookmarkEnd w:id="80"/>
      <w:bookmarkEnd w:id="81"/>
      <w:bookmarkEnd w:id="82"/>
      <w:bookmarkEnd w:id="83"/>
      <w:bookmarkEnd w:id="84"/>
      <w:bookmarkStart w:id="85" w:name="_Toc300834960"/>
      <w:bookmarkStart w:id="86" w:name="_Toc144974508"/>
      <w:bookmarkStart w:id="87" w:name="_Toc152045540"/>
      <w:bookmarkStart w:id="88" w:name="_Toc352691484"/>
      <w:bookmarkStart w:id="89" w:name="_Toc361508595"/>
      <w:bookmarkStart w:id="90" w:name="_Toc152042316"/>
      <w:bookmarkStart w:id="91" w:name="_Toc247527564"/>
      <w:bookmarkStart w:id="92" w:name="_Toc247513963"/>
      <w:bookmarkStart w:id="93" w:name="_Toc369531526"/>
      <w:bookmarkStart w:id="94" w:name="_Toc16623"/>
      <w:bookmarkStart w:id="95" w:name="_Toc384308220"/>
      <w:r>
        <w:rPr>
          <w:rFonts w:ascii="Times New Roman" w:hAnsi="Times New Roman" w:eastAsia="宋体" w:cs="Times New Roman"/>
          <w:color w:val="auto"/>
          <w:sz w:val="24"/>
          <w:highlight w:val="none"/>
        </w:rPr>
        <w:t>应按投标人须知前附表规定的时间和形式通知招标人，确认已收到该修改。</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96" w:name="_Toc515205210"/>
      <w:bookmarkStart w:id="97" w:name="_Toc102997588"/>
      <w:bookmarkStart w:id="98" w:name="_Toc529196537"/>
      <w:r>
        <w:rPr>
          <w:rFonts w:ascii="Times New Roman" w:hAnsi="Times New Roman" w:eastAsia="宋体" w:cs="Times New Roman"/>
          <w:b/>
          <w:bCs/>
          <w:color w:val="auto"/>
          <w:kern w:val="2"/>
          <w:sz w:val="32"/>
          <w:szCs w:val="32"/>
          <w:highlight w:val="none"/>
          <w:lang w:val="en-US" w:eastAsia="zh-CN" w:bidi="ar-SA"/>
        </w:rPr>
        <w:t>2.</w:t>
      </w:r>
      <w:bookmarkEnd w:id="85"/>
      <w:bookmarkEnd w:id="86"/>
      <w:bookmarkEnd w:id="87"/>
      <w:bookmarkEnd w:id="88"/>
      <w:bookmarkEnd w:id="89"/>
      <w:bookmarkEnd w:id="90"/>
      <w:bookmarkEnd w:id="91"/>
      <w:bookmarkEnd w:id="92"/>
      <w:bookmarkEnd w:id="93"/>
      <w:bookmarkEnd w:id="94"/>
      <w:bookmarkEnd w:id="95"/>
      <w:r>
        <w:rPr>
          <w:rFonts w:ascii="Times New Roman" w:hAnsi="Times New Roman" w:eastAsia="宋体" w:cs="Times New Roman"/>
          <w:b/>
          <w:bCs/>
          <w:color w:val="auto"/>
          <w:kern w:val="2"/>
          <w:sz w:val="32"/>
          <w:szCs w:val="32"/>
          <w:highlight w:val="none"/>
          <w:lang w:val="en-US" w:eastAsia="zh-CN" w:bidi="ar-SA"/>
        </w:rPr>
        <w:t>4 招标文件的异议</w:t>
      </w:r>
      <w:bookmarkEnd w:id="96"/>
      <w:bookmarkEnd w:id="97"/>
      <w:bookmarkEnd w:id="9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投标人或者其他利害关系人对招标文件有异议的，应当在投标截止时间10日前以书面形式提出。招标人将在收到异议之日起3日内作出答复；作出答复前，将暂停招标投标活动。</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99" w:name="_Toc102997589"/>
      <w:bookmarkStart w:id="100" w:name="_Toc515205211"/>
      <w:bookmarkStart w:id="101" w:name="_Toc529196538"/>
      <w:r>
        <w:rPr>
          <w:rFonts w:ascii="Times New Roman" w:hAnsi="Times New Roman" w:eastAsia="宋体" w:cs="Times New Roman"/>
          <w:b/>
          <w:bCs/>
          <w:color w:val="auto"/>
          <w:kern w:val="2"/>
          <w:sz w:val="32"/>
          <w:szCs w:val="32"/>
          <w:highlight w:val="none"/>
          <w:lang w:val="en-US" w:eastAsia="zh-CN" w:bidi="ar-SA"/>
        </w:rPr>
        <w:t>3. 投标文件</w:t>
      </w:r>
      <w:bookmarkEnd w:id="99"/>
      <w:bookmarkEnd w:id="100"/>
      <w:bookmarkEnd w:id="101"/>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32"/>
          <w:highlight w:val="none"/>
          <w:lang w:val="en-US" w:eastAsia="zh-CN" w:bidi="ar-SA"/>
        </w:rPr>
      </w:pPr>
      <w:bookmarkStart w:id="102" w:name="_Toc515205212"/>
      <w:bookmarkStart w:id="103" w:name="_Toc102997590"/>
      <w:bookmarkStart w:id="104" w:name="_Toc529196539"/>
      <w:r>
        <w:rPr>
          <w:rFonts w:ascii="Times New Roman" w:hAnsi="Times New Roman" w:eastAsia="宋体" w:cs="Times New Roman"/>
          <w:b/>
          <w:bCs/>
          <w:color w:val="auto"/>
          <w:kern w:val="2"/>
          <w:sz w:val="28"/>
          <w:szCs w:val="32"/>
          <w:highlight w:val="none"/>
          <w:lang w:val="en-US" w:eastAsia="zh-CN" w:bidi="ar-SA"/>
        </w:rPr>
        <w:t>3.1 投标文件的组成</w:t>
      </w:r>
      <w:bookmarkEnd w:id="102"/>
      <w:bookmarkEnd w:id="103"/>
      <w:bookmarkEnd w:id="104"/>
    </w:p>
    <w:p>
      <w:pPr>
        <w:spacing w:line="360" w:lineRule="auto"/>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　　3.1.1 投标文件应包括下列内容：</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w:t>
      </w:r>
      <w:r>
        <w:rPr>
          <w:rFonts w:ascii="Times New Roman" w:hAnsi="Times New Roman" w:eastAsia="宋体" w:cs="宋体"/>
          <w:color w:val="auto"/>
          <w:sz w:val="24"/>
          <w:szCs w:val="24"/>
          <w:highlight w:val="none"/>
          <w:u w:val="single"/>
        </w:rPr>
        <w:t>投标函及</w:t>
      </w:r>
      <w:r>
        <w:rPr>
          <w:rFonts w:hint="eastAsia" w:ascii="Times New Roman" w:hAnsi="Times New Roman" w:eastAsia="宋体" w:cs="宋体"/>
          <w:color w:val="auto"/>
          <w:sz w:val="24"/>
          <w:szCs w:val="24"/>
          <w:highlight w:val="none"/>
          <w:u w:val="single"/>
        </w:rPr>
        <w:t>其附录；</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（2）法定代表人身份证明或授权委托书；</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（3）投标报价表；</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（4）资格审查资料；</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（5）企业资信业绩证明资料；</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（6）检测方案；</w:t>
      </w:r>
    </w:p>
    <w:p>
      <w:pPr>
        <w:spacing w:line="360" w:lineRule="auto"/>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（7）技术响应承诺书；</w:t>
      </w:r>
    </w:p>
    <w:p>
      <w:pPr>
        <w:spacing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（8）其他资料（投标人认为需提交的其他资料）。</w:t>
      </w:r>
    </w:p>
    <w:p>
      <w:pPr>
        <w:spacing w:line="360" w:lineRule="auto"/>
        <w:rPr>
          <w:rFonts w:ascii="Times New Roman" w:hAnsi="Times New Roman" w:eastAsia="宋体" w:cs="Times New Roman"/>
          <w:dstrike/>
          <w:color w:val="auto"/>
          <w:sz w:val="24"/>
          <w:highlight w:val="none"/>
        </w:rPr>
      </w:pPr>
      <w:r>
        <w:rPr>
          <w:rFonts w:hint="eastAsia" w:ascii="Times New Roman" w:hAnsi="Times New Roman" w:eastAsia="宋体" w:cs="宋体"/>
          <w:color w:val="auto"/>
          <w:sz w:val="24"/>
          <w:szCs w:val="24"/>
          <w:highlight w:val="none"/>
        </w:rPr>
        <w:t>投标人在评标过程中作出的符合法律法规和招标文件规定的澄清确认，构成投标文件的组成部分。</w:t>
      </w:r>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24"/>
          <w:highlight w:val="none"/>
          <w:lang w:val="en-US" w:eastAsia="zh-CN" w:bidi="ar-SA"/>
        </w:rPr>
      </w:pPr>
      <w:bookmarkStart w:id="105" w:name="_Toc514876754"/>
      <w:bookmarkStart w:id="106" w:name="_Toc102997591"/>
      <w:bookmarkStart w:id="107" w:name="_Toc515205213"/>
      <w:bookmarkStart w:id="108" w:name="_Toc529196540"/>
      <w:r>
        <w:rPr>
          <w:rFonts w:ascii="Times New Roman" w:hAnsi="Times New Roman" w:eastAsia="宋体" w:cs="Times New Roman"/>
          <w:b/>
          <w:bCs/>
          <w:color w:val="auto"/>
          <w:kern w:val="2"/>
          <w:sz w:val="28"/>
          <w:szCs w:val="24"/>
          <w:highlight w:val="none"/>
          <w:lang w:val="en-US" w:eastAsia="zh-CN" w:bidi="ar-SA"/>
        </w:rPr>
        <w:t>3.2 投标报价</w:t>
      </w:r>
      <w:bookmarkEnd w:id="105"/>
      <w:bookmarkEnd w:id="106"/>
      <w:bookmarkEnd w:id="107"/>
      <w:bookmarkEnd w:id="108"/>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3.2.1 </w:t>
      </w:r>
      <w:r>
        <w:rPr>
          <w:rFonts w:ascii="Times New Roman" w:hAnsi="Times New Roman" w:eastAsia="宋体" w:cs="Times New Roman"/>
          <w:color w:val="auto"/>
          <w:sz w:val="24"/>
          <w:highlight w:val="none"/>
        </w:rPr>
        <w:t>投标报价应包括国家规定的增值税税金，除投标人须知前附表另有规定外，增值税税金按一般计税方法计算。投标人应按第六章“投标文件格式”的要求在投标函中进行报价并填写</w:t>
      </w:r>
      <w:r>
        <w:rPr>
          <w:rFonts w:hint="eastAsia" w:ascii="Times New Roman" w:hAnsi="Times New Roman" w:eastAsia="宋体" w:cs="Times New Roman"/>
          <w:color w:val="auto"/>
          <w:sz w:val="24"/>
          <w:highlight w:val="none"/>
        </w:rPr>
        <w:t>投标报价表</w:t>
      </w:r>
      <w:r>
        <w:rPr>
          <w:rFonts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3.2.2 </w:t>
      </w:r>
      <w:r>
        <w:rPr>
          <w:rFonts w:ascii="Times New Roman" w:hAnsi="Times New Roman" w:eastAsia="宋体" w:cs="Times New Roman"/>
          <w:color w:val="auto"/>
          <w:sz w:val="24"/>
          <w:highlight w:val="none"/>
        </w:rPr>
        <w:t>投标人应充分了解该项目的总体情况以及影响投标报价的其他要素</w:t>
      </w:r>
      <w:r>
        <w:rPr>
          <w:rFonts w:hint="eastAsia"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3.2.3</w:t>
      </w:r>
      <w:r>
        <w:rPr>
          <w:rFonts w:ascii="Times New Roman" w:hAnsi="Times New Roman" w:eastAsia="宋体" w:cs="Times New Roman"/>
          <w:color w:val="auto"/>
          <w:sz w:val="24"/>
          <w:highlight w:val="none"/>
        </w:rPr>
        <w:t>本项目的报价方式见投标人须知前附表。投标人在投标截止时间前修改投标函中的投标报价总额，应同时修改投标文件“</w:t>
      </w:r>
      <w:r>
        <w:rPr>
          <w:rFonts w:hint="eastAsia" w:ascii="Times New Roman" w:hAnsi="Times New Roman" w:eastAsia="宋体" w:cs="Times New Roman"/>
          <w:color w:val="auto"/>
          <w:sz w:val="24"/>
          <w:highlight w:val="none"/>
        </w:rPr>
        <w:t>报价表</w:t>
      </w:r>
      <w:r>
        <w:rPr>
          <w:rFonts w:ascii="Times New Roman" w:hAnsi="Times New Roman" w:eastAsia="宋体" w:cs="Times New Roman"/>
          <w:color w:val="auto"/>
          <w:sz w:val="24"/>
          <w:highlight w:val="none"/>
        </w:rPr>
        <w:t>”中的相应报价。此修改须符合本章第 4.3 款的有关要求</w:t>
      </w:r>
      <w:r>
        <w:rPr>
          <w:rFonts w:hint="eastAsia"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3.2.4．</w:t>
      </w:r>
      <w:r>
        <w:rPr>
          <w:rFonts w:ascii="Times New Roman" w:hAnsi="Times New Roman" w:eastAsia="宋体" w:cs="Times New Roman"/>
          <w:color w:val="auto"/>
          <w:sz w:val="24"/>
          <w:highlight w:val="none"/>
        </w:rPr>
        <w:t>招标人设有最高投标限价的，投标人的投标报价不得超过最高投标限价，最高投标限价在投标人须知前附表中载明。</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3.2.5 投标报价的其他要求见投标人须知前附表</w:t>
      </w:r>
      <w:r>
        <w:rPr>
          <w:rFonts w:hint="eastAsia" w:ascii="Times New Roman" w:hAnsi="Times New Roman" w:eastAsia="宋体" w:cs="Times New Roman"/>
          <w:color w:val="auto"/>
          <w:sz w:val="24"/>
          <w:highlight w:val="none"/>
        </w:rPr>
        <w:t>3.2.5</w:t>
      </w:r>
      <w:r>
        <w:rPr>
          <w:rFonts w:ascii="Times New Roman" w:hAnsi="Times New Roman" w:eastAsia="宋体" w:cs="Times New Roman"/>
          <w:color w:val="auto"/>
          <w:sz w:val="24"/>
          <w:highlight w:val="none"/>
        </w:rPr>
        <w:t>。</w:t>
      </w:r>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24"/>
          <w:highlight w:val="none"/>
          <w:lang w:val="en-US" w:eastAsia="zh-CN" w:bidi="ar-SA"/>
        </w:rPr>
      </w:pPr>
      <w:bookmarkStart w:id="109" w:name="_Toc102997592"/>
      <w:bookmarkStart w:id="110" w:name="_Toc515205214"/>
      <w:bookmarkStart w:id="111" w:name="_Toc529196541"/>
      <w:r>
        <w:rPr>
          <w:rFonts w:ascii="Times New Roman" w:hAnsi="Times New Roman" w:eastAsia="宋体" w:cs="Times New Roman"/>
          <w:b/>
          <w:bCs/>
          <w:color w:val="auto"/>
          <w:kern w:val="2"/>
          <w:sz w:val="28"/>
          <w:szCs w:val="24"/>
          <w:highlight w:val="none"/>
          <w:lang w:val="en-US" w:eastAsia="zh-CN" w:bidi="ar-SA"/>
        </w:rPr>
        <w:t>3.3 投标有效期</w:t>
      </w:r>
      <w:bookmarkEnd w:id="109"/>
      <w:bookmarkEnd w:id="110"/>
      <w:bookmarkEnd w:id="11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3.3.1 除投标人须知前附表另有规定外，投标有效期为90天。</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3.3.2 在投标有效期内，投标人撤销投标文件的，应承担招标文件和法律规定的责任。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3.3.3 出现特殊情况需要延长投标有效期的，招标人以书面形式通知所有投标人延长投标有效期。投标人应予以书面答复，但不得要求或被允许修改其投标文件；投标人拒绝延长的，其投标失效。</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u w:val="single"/>
          <w:lang w:val="en-US" w:eastAsia="zh-CN" w:bidi="ar-SA"/>
        </w:rPr>
      </w:pPr>
      <w:bookmarkStart w:id="112" w:name="_Toc515205215"/>
      <w:bookmarkStart w:id="113" w:name="_Toc529196542"/>
      <w:bookmarkStart w:id="114" w:name="_Toc102997593"/>
      <w:r>
        <w:rPr>
          <w:rFonts w:ascii="Times New Roman" w:hAnsi="Times New Roman" w:eastAsia="宋体" w:cs="Times New Roman"/>
          <w:b/>
          <w:bCs/>
          <w:color w:val="auto"/>
          <w:kern w:val="2"/>
          <w:sz w:val="32"/>
          <w:szCs w:val="32"/>
          <w:highlight w:val="none"/>
          <w:lang w:val="en-US" w:eastAsia="zh-CN" w:bidi="ar-SA"/>
        </w:rPr>
        <w:t>3.4 投标保证金</w:t>
      </w:r>
      <w:bookmarkEnd w:id="112"/>
      <w:bookmarkEnd w:id="113"/>
      <w:r>
        <w:rPr>
          <w:rFonts w:ascii="Times New Roman" w:hAnsi="Times New Roman" w:eastAsia="宋体" w:cs="Times New Roman"/>
          <w:b/>
          <w:bCs/>
          <w:color w:val="auto"/>
          <w:kern w:val="2"/>
          <w:sz w:val="32"/>
          <w:szCs w:val="32"/>
          <w:highlight w:val="none"/>
          <w:u w:val="single"/>
          <w:lang w:val="en-US" w:eastAsia="zh-CN" w:bidi="ar-SA"/>
        </w:rPr>
        <w:t>（</w:t>
      </w:r>
      <w:r>
        <w:rPr>
          <w:rFonts w:hint="eastAsia" w:ascii="Times New Roman" w:hAnsi="Times New Roman" w:eastAsia="宋体" w:cs="Times New Roman"/>
          <w:b/>
          <w:bCs/>
          <w:color w:val="auto"/>
          <w:kern w:val="2"/>
          <w:sz w:val="32"/>
          <w:szCs w:val="32"/>
          <w:highlight w:val="none"/>
          <w:u w:val="single"/>
          <w:lang w:val="en-US" w:eastAsia="zh-CN" w:bidi="ar-SA"/>
        </w:rPr>
        <w:t>本项目不适用</w:t>
      </w:r>
      <w:r>
        <w:rPr>
          <w:rFonts w:ascii="Times New Roman" w:hAnsi="Times New Roman" w:eastAsia="宋体" w:cs="Times New Roman"/>
          <w:b/>
          <w:bCs/>
          <w:color w:val="auto"/>
          <w:kern w:val="2"/>
          <w:sz w:val="32"/>
          <w:szCs w:val="32"/>
          <w:highlight w:val="none"/>
          <w:u w:val="single"/>
          <w:lang w:val="en-US" w:eastAsia="zh-CN" w:bidi="ar-SA"/>
        </w:rPr>
        <w:t>）</w:t>
      </w:r>
      <w:bookmarkEnd w:id="11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3.4.1 投标人在递交投标文件的同时，应按投标人须知前附表规定的金额</w:t>
      </w:r>
      <w:bookmarkStart w:id="115" w:name="_Toc144974513"/>
      <w:bookmarkStart w:id="116" w:name="_Toc247527570"/>
      <w:bookmarkStart w:id="117" w:name="_Toc300834966"/>
      <w:bookmarkStart w:id="118" w:name="_Toc4592"/>
      <w:bookmarkStart w:id="119" w:name="_Toc361508601"/>
      <w:bookmarkStart w:id="120" w:name="_Toc152042321"/>
      <w:bookmarkStart w:id="121" w:name="_Toc352691489"/>
      <w:bookmarkStart w:id="122" w:name="_Toc247513969"/>
      <w:bookmarkStart w:id="123" w:name="_Toc384308226"/>
      <w:bookmarkStart w:id="124" w:name="_Toc369531532"/>
      <w:bookmarkStart w:id="125" w:name="_Toc152045545"/>
      <w:r>
        <w:rPr>
          <w:rFonts w:ascii="Times New Roman" w:hAnsi="Times New Roman" w:eastAsia="宋体" w:cs="Times New Roman"/>
          <w:color w:val="auto"/>
          <w:sz w:val="24"/>
          <w:highlight w:val="none"/>
        </w:rPr>
        <w:t>、形式和第六章“投标文</w:t>
      </w:r>
      <w:bookmarkEnd w:id="115"/>
      <w:bookmarkEnd w:id="116"/>
      <w:bookmarkEnd w:id="117"/>
      <w:bookmarkEnd w:id="118"/>
      <w:bookmarkEnd w:id="119"/>
      <w:bookmarkEnd w:id="120"/>
      <w:bookmarkEnd w:id="121"/>
      <w:bookmarkEnd w:id="122"/>
      <w:bookmarkEnd w:id="123"/>
      <w:bookmarkEnd w:id="124"/>
      <w:bookmarkEnd w:id="125"/>
      <w:r>
        <w:rPr>
          <w:rFonts w:ascii="Times New Roman" w:hAnsi="Times New Roman" w:eastAsia="宋体" w:cs="Times New Roman"/>
          <w:color w:val="auto"/>
          <w:sz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3.4.2 投标人不按本章第3.4.1项</w:t>
      </w:r>
      <w:bookmarkStart w:id="126" w:name="_Toc352691490"/>
      <w:bookmarkStart w:id="127" w:name="_Toc29025"/>
      <w:bookmarkStart w:id="128" w:name="_Toc369531533"/>
      <w:bookmarkStart w:id="129" w:name="_Toc384308227"/>
      <w:bookmarkStart w:id="130" w:name="_Toc361508602"/>
      <w:r>
        <w:rPr>
          <w:rFonts w:ascii="Times New Roman" w:hAnsi="Times New Roman" w:eastAsia="宋体" w:cs="Times New Roman"/>
          <w:color w:val="auto"/>
          <w:sz w:val="24"/>
          <w:highlight w:val="none"/>
        </w:rPr>
        <w:t>要求提交投标保证金的，</w:t>
      </w:r>
      <w:bookmarkEnd w:id="126"/>
      <w:bookmarkEnd w:id="127"/>
      <w:bookmarkEnd w:id="128"/>
      <w:bookmarkEnd w:id="129"/>
      <w:bookmarkEnd w:id="130"/>
      <w:r>
        <w:rPr>
          <w:rFonts w:ascii="Times New Roman" w:hAnsi="Times New Roman" w:eastAsia="宋体" w:cs="Times New Roman"/>
          <w:color w:val="auto"/>
          <w:sz w:val="24"/>
          <w:highlight w:val="none"/>
        </w:rPr>
        <w:t>评标委员会将否决其投标。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3.4.3 招标人最迟将在与中标人</w:t>
      </w:r>
      <w:bookmarkStart w:id="131" w:name="_Toc144974514"/>
      <w:bookmarkStart w:id="132" w:name="_Toc152042322"/>
      <w:bookmarkStart w:id="133" w:name="_Toc14751"/>
      <w:bookmarkStart w:id="134" w:name="_Toc352691491"/>
      <w:bookmarkStart w:id="135" w:name="_Toc247513970"/>
      <w:bookmarkStart w:id="136" w:name="_Toc300834967"/>
      <w:bookmarkStart w:id="137" w:name="_Toc361508603"/>
      <w:bookmarkStart w:id="138" w:name="_Toc152045546"/>
      <w:bookmarkStart w:id="139" w:name="_Toc247527571"/>
      <w:bookmarkStart w:id="140" w:name="_Toc369531534"/>
      <w:bookmarkStart w:id="141" w:name="_Toc384308228"/>
      <w:r>
        <w:rPr>
          <w:rFonts w:ascii="Times New Roman" w:hAnsi="Times New Roman" w:eastAsia="宋体" w:cs="Times New Roman"/>
          <w:color w:val="auto"/>
          <w:sz w:val="24"/>
          <w:highlight w:val="none"/>
        </w:rPr>
        <w:t>签订合同后5日</w:t>
      </w:r>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eastAsia="宋体" w:cs="Times New Roman"/>
          <w:color w:val="auto"/>
          <w:sz w:val="24"/>
          <w:highlight w:val="none"/>
        </w:rPr>
        <w:t>内</w:t>
      </w:r>
      <w:bookmarkStart w:id="142" w:name="_Toc247513971"/>
      <w:bookmarkStart w:id="143" w:name="_Toc352691492"/>
      <w:bookmarkStart w:id="144" w:name="_Toc152045547"/>
      <w:bookmarkStart w:id="145" w:name="_Toc247527572"/>
      <w:bookmarkStart w:id="146" w:name="_Toc300834968"/>
      <w:bookmarkStart w:id="147" w:name="_Toc17952"/>
      <w:bookmarkStart w:id="148" w:name="_Toc369531535"/>
      <w:bookmarkStart w:id="149" w:name="_Toc152042323"/>
      <w:bookmarkStart w:id="150" w:name="_Toc384308229"/>
      <w:bookmarkStart w:id="151" w:name="_Toc361508604"/>
      <w:bookmarkStart w:id="152" w:name="_Toc144974515"/>
      <w:r>
        <w:rPr>
          <w:rFonts w:ascii="Times New Roman" w:hAnsi="Times New Roman" w:eastAsia="宋体" w:cs="Times New Roman"/>
          <w:color w:val="auto"/>
          <w:sz w:val="24"/>
          <w:highlight w:val="none"/>
        </w:rPr>
        <w:t>，向未中标的投标人和中</w:t>
      </w:r>
      <w:bookmarkEnd w:id="142"/>
      <w:bookmarkEnd w:id="143"/>
      <w:bookmarkEnd w:id="144"/>
      <w:bookmarkEnd w:id="145"/>
      <w:bookmarkEnd w:id="146"/>
      <w:bookmarkEnd w:id="147"/>
      <w:bookmarkEnd w:id="148"/>
      <w:bookmarkEnd w:id="149"/>
      <w:bookmarkEnd w:id="150"/>
      <w:bookmarkEnd w:id="151"/>
      <w:bookmarkEnd w:id="152"/>
      <w:r>
        <w:rPr>
          <w:rFonts w:ascii="Times New Roman" w:hAnsi="Times New Roman" w:eastAsia="宋体" w:cs="Times New Roman"/>
          <w:color w:val="auto"/>
          <w:sz w:val="24"/>
          <w:highlight w:val="none"/>
        </w:rPr>
        <w:t>标人退还投标保证金。投标保证金以现金或者支票形式递交的，还应退还银行同期存款利息。</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3.4.4 有下列情形之一的，投标保证金将不予退还：</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（1）投标人在投标有效期内撤销投标文件；</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（2）中标人在收到中标通知书后，无正当理由不与招标人订立合同，在签订合同时向招标人提出附加条件，或者不按照招标文件要求提交履约保证金；</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（3）发生投标人须知前附表规定的其他可以不予退还投标保证金的情形。</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153" w:name="_Toc529196544"/>
      <w:bookmarkStart w:id="154" w:name="_Toc102997594"/>
      <w:bookmarkStart w:id="155" w:name="_Toc515205217"/>
      <w:r>
        <w:rPr>
          <w:rFonts w:ascii="Times New Roman" w:hAnsi="Times New Roman" w:eastAsia="宋体" w:cs="Times New Roman"/>
          <w:b/>
          <w:bCs/>
          <w:color w:val="auto"/>
          <w:kern w:val="2"/>
          <w:sz w:val="32"/>
          <w:szCs w:val="32"/>
          <w:highlight w:val="none"/>
          <w:lang w:val="en-US" w:eastAsia="zh-CN" w:bidi="ar-SA"/>
        </w:rPr>
        <w:t>3.5 资格审查资料</w:t>
      </w:r>
      <w:bookmarkEnd w:id="153"/>
      <w:bookmarkEnd w:id="154"/>
      <w:bookmarkEnd w:id="155"/>
      <w:bookmarkStart w:id="156" w:name="_Toc529196545"/>
      <w:bookmarkStart w:id="157" w:name="_Toc515205218"/>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3.5.1事业单位登记管理部门核发的事业单位法人证书或工商行政</w:t>
      </w:r>
      <w:r>
        <w:rPr>
          <w:rFonts w:hint="eastAsia" w:ascii="宋体" w:hAnsi="宋体" w:eastAsia="宋体" w:cs="宋体"/>
          <w:color w:val="auto"/>
          <w:sz w:val="24"/>
          <w:highlight w:val="none"/>
          <w:u w:val="single"/>
          <w:lang w:bidi="ar"/>
        </w:rPr>
        <w:t>（或市场监督）</w:t>
      </w:r>
      <w:r>
        <w:rPr>
          <w:rFonts w:hint="eastAsia" w:ascii="Times New Roman" w:hAnsi="Times New Roman" w:eastAsia="宋体" w:cs="Times New Roman"/>
          <w:color w:val="auto"/>
          <w:sz w:val="24"/>
          <w:highlight w:val="none"/>
          <w:u w:val="single"/>
        </w:rPr>
        <w:t>管理部门核发的企业法人营业执照；</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3.5.2资质证书；</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3.5.3 质量技术监督管理部门颁发的CMA计量认证合格证书（或CMA检验检测机构资质认定证书）；</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3.5.4项目负责人职称证；</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3.5.5投标人声明（按招标公告附件二提供）；</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u w:val="single"/>
        </w:rPr>
        <w:t>3.5.6投标人认为需提供的其他材料。</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158" w:name="_Toc102997595"/>
      <w:r>
        <w:rPr>
          <w:rFonts w:ascii="Times New Roman" w:hAnsi="Times New Roman" w:eastAsia="宋体" w:cs="Times New Roman"/>
          <w:b/>
          <w:bCs/>
          <w:color w:val="auto"/>
          <w:kern w:val="2"/>
          <w:sz w:val="32"/>
          <w:szCs w:val="32"/>
          <w:highlight w:val="none"/>
          <w:lang w:val="en-US" w:eastAsia="zh-CN" w:bidi="ar-SA"/>
        </w:rPr>
        <w:t>3.6 备选投标方案</w:t>
      </w:r>
      <w:bookmarkEnd w:id="156"/>
      <w:bookmarkEnd w:id="157"/>
      <w:bookmarkEnd w:id="15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3.6.1 除投标人须知前附表规定允许外，投标人不得递交备选投标方案，否则其投标将被否决。</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3.6.3 投标人提供两个或两个以上投标报价，或者在投标文件中提供一个报价，但同时提供两个或两个以上</w:t>
      </w:r>
      <w:bookmarkStart w:id="159" w:name="_Toc152042326"/>
      <w:bookmarkStart w:id="160" w:name="_Toc247527575"/>
      <w:bookmarkStart w:id="161" w:name="_Toc384308232"/>
      <w:bookmarkStart w:id="162" w:name="_Toc247513974"/>
      <w:bookmarkStart w:id="163" w:name="_Toc369531538"/>
      <w:bookmarkStart w:id="164" w:name="_Toc352691495"/>
      <w:bookmarkStart w:id="165" w:name="_Toc361508607"/>
      <w:bookmarkStart w:id="166" w:name="_Toc144974518"/>
      <w:bookmarkStart w:id="167" w:name="_Toc29902"/>
      <w:bookmarkStart w:id="168" w:name="_Toc152045550"/>
      <w:bookmarkStart w:id="169" w:name="_Toc300834971"/>
      <w:r>
        <w:rPr>
          <w:rFonts w:hint="eastAsia" w:ascii="Times New Roman" w:hAnsi="Times New Roman" w:eastAsia="宋体" w:cs="Times New Roman"/>
          <w:color w:val="auto"/>
          <w:sz w:val="24"/>
          <w:highlight w:val="none"/>
        </w:rPr>
        <w:t>服务</w:t>
      </w:r>
      <w:r>
        <w:rPr>
          <w:rFonts w:ascii="Times New Roman" w:hAnsi="Times New Roman" w:eastAsia="宋体" w:cs="Times New Roman"/>
          <w:color w:val="auto"/>
          <w:sz w:val="24"/>
          <w:highlight w:val="none"/>
        </w:rPr>
        <w:t>方案的</w:t>
      </w:r>
      <w:bookmarkEnd w:id="159"/>
      <w:bookmarkEnd w:id="160"/>
      <w:bookmarkEnd w:id="161"/>
      <w:bookmarkEnd w:id="162"/>
      <w:bookmarkEnd w:id="163"/>
      <w:bookmarkEnd w:id="164"/>
      <w:bookmarkEnd w:id="165"/>
      <w:bookmarkEnd w:id="166"/>
      <w:bookmarkEnd w:id="167"/>
      <w:bookmarkEnd w:id="168"/>
      <w:bookmarkEnd w:id="169"/>
      <w:r>
        <w:rPr>
          <w:rFonts w:ascii="Times New Roman" w:hAnsi="Times New Roman" w:eastAsia="宋体" w:cs="Times New Roman"/>
          <w:color w:val="auto"/>
          <w:sz w:val="24"/>
          <w:highlight w:val="none"/>
        </w:rPr>
        <w:t>，视为提供备选方案。</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170" w:name="_Toc515205219"/>
      <w:bookmarkStart w:id="171" w:name="_Toc529196546"/>
      <w:bookmarkStart w:id="172" w:name="_Toc102997596"/>
      <w:r>
        <w:rPr>
          <w:rFonts w:ascii="Times New Roman" w:hAnsi="Times New Roman" w:eastAsia="宋体" w:cs="Times New Roman"/>
          <w:b/>
          <w:bCs/>
          <w:color w:val="auto"/>
          <w:kern w:val="2"/>
          <w:sz w:val="32"/>
          <w:szCs w:val="32"/>
          <w:highlight w:val="none"/>
          <w:lang w:val="en-US" w:eastAsia="zh-CN" w:bidi="ar-SA"/>
        </w:rPr>
        <w:t>3.7 投标文件的编制</w:t>
      </w:r>
      <w:bookmarkEnd w:id="170"/>
      <w:bookmarkEnd w:id="171"/>
      <w:bookmarkEnd w:id="172"/>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3.7.2 投标文件应当对招标文件有关服务期限、投标有效期、委托人要求、招标范围等实质性内容作出响应。</w:t>
      </w:r>
    </w:p>
    <w:p>
      <w:pPr>
        <w:spacing w:line="360" w:lineRule="auto"/>
        <w:rPr>
          <w:rFonts w:ascii="Times New Roman" w:hAnsi="Times New Roman" w:eastAsia="宋体" w:cs="宋体"/>
          <w:color w:val="auto"/>
          <w:sz w:val="24"/>
          <w:highlight w:val="none"/>
        </w:rPr>
      </w:pPr>
      <w:bookmarkStart w:id="173" w:name="_Toc514946914"/>
      <w:r>
        <w:rPr>
          <w:rFonts w:ascii="Times New Roman" w:hAnsi="Times New Roman" w:eastAsia="宋体" w:cs="Times New Roman"/>
          <w:color w:val="auto"/>
          <w:sz w:val="24"/>
          <w:highlight w:val="none"/>
        </w:rPr>
        <w:t>3.7.3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73"/>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174" w:name="_Toc529196547"/>
      <w:bookmarkStart w:id="175" w:name="_Toc515205220"/>
      <w:bookmarkStart w:id="176" w:name="_Toc102997597"/>
      <w:r>
        <w:rPr>
          <w:rFonts w:ascii="Times New Roman" w:hAnsi="Times New Roman" w:eastAsia="宋体" w:cs="Times New Roman"/>
          <w:b/>
          <w:bCs/>
          <w:color w:val="auto"/>
          <w:kern w:val="2"/>
          <w:sz w:val="32"/>
          <w:szCs w:val="32"/>
          <w:highlight w:val="none"/>
          <w:lang w:val="en-US" w:eastAsia="zh-CN" w:bidi="ar-SA"/>
        </w:rPr>
        <w:t>4. 投标</w:t>
      </w:r>
      <w:bookmarkEnd w:id="174"/>
      <w:bookmarkEnd w:id="175"/>
      <w:bookmarkEnd w:id="176"/>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32"/>
          <w:highlight w:val="none"/>
          <w:lang w:val="en-US" w:eastAsia="zh-CN" w:bidi="ar-SA"/>
        </w:rPr>
      </w:pPr>
      <w:bookmarkStart w:id="177" w:name="_Toc529196548"/>
      <w:bookmarkStart w:id="178" w:name="_Toc102997598"/>
      <w:bookmarkStart w:id="179" w:name="_Toc515205221"/>
      <w:r>
        <w:rPr>
          <w:rFonts w:ascii="Times New Roman" w:hAnsi="Times New Roman" w:eastAsia="宋体" w:cs="Times New Roman"/>
          <w:b/>
          <w:bCs/>
          <w:color w:val="auto"/>
          <w:kern w:val="2"/>
          <w:sz w:val="28"/>
          <w:szCs w:val="32"/>
          <w:highlight w:val="none"/>
          <w:lang w:val="en-US" w:eastAsia="zh-CN" w:bidi="ar-SA"/>
        </w:rPr>
        <w:t>4.1 投标文件的密封和标记</w:t>
      </w:r>
      <w:bookmarkEnd w:id="177"/>
      <w:bookmarkEnd w:id="178"/>
      <w:bookmarkEnd w:id="179"/>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4.1.1投标人应当按照招标文件和电子招标投标交易平台的要求加密投标文件，具体要求见投标人须知前附表。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4.1.2 投标文件封套上应写明的内容见投标人须知前附表。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4.1.3 未按本章第4.1.1项要求密封的投标文件，招标人将予以拒收。</w:t>
      </w:r>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24"/>
          <w:highlight w:val="none"/>
          <w:lang w:val="en-US" w:eastAsia="zh-CN" w:bidi="ar-SA"/>
        </w:rPr>
      </w:pPr>
      <w:bookmarkStart w:id="180" w:name="_Toc515205222"/>
      <w:bookmarkStart w:id="181" w:name="_Toc102997599"/>
      <w:bookmarkStart w:id="182" w:name="_Toc529196549"/>
      <w:r>
        <w:rPr>
          <w:rFonts w:ascii="Times New Roman" w:hAnsi="Times New Roman" w:eastAsia="宋体" w:cs="Times New Roman"/>
          <w:b/>
          <w:bCs/>
          <w:color w:val="auto"/>
          <w:kern w:val="2"/>
          <w:sz w:val="28"/>
          <w:szCs w:val="24"/>
          <w:highlight w:val="none"/>
          <w:lang w:val="en-US" w:eastAsia="zh-CN" w:bidi="ar-SA"/>
        </w:rPr>
        <w:t>4.2 投标文件的递交</w:t>
      </w:r>
      <w:bookmarkEnd w:id="180"/>
      <w:bookmarkEnd w:id="181"/>
      <w:bookmarkEnd w:id="182"/>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4.2.1 投标人应在投标人须知前附表规定的投标截止时间前递交投标文件。</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4.2.2投标人通过下载招标文件的电子招标投标交易平台递交电子投标文件。</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4.2.3 除投标人须知前附表另有规定外，投标人所递交的投标文件不予退还。</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4.2.4投标人完成电子投标文件上传后，电子招标投标交易平台即时向投标人发出递交回执通知。递交时间以递交回执通知载明的传输完成时间为准。</w:t>
      </w:r>
    </w:p>
    <w:p>
      <w:pPr>
        <w:spacing w:line="360" w:lineRule="auto"/>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4.2.5</w:t>
      </w:r>
      <w:r>
        <w:rPr>
          <w:rFonts w:hint="eastAsia"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rPr>
        <w:t>逾期送达的投标文件，电子招标投标交易平台将予以拒收。</w:t>
      </w:r>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24"/>
          <w:highlight w:val="none"/>
          <w:lang w:val="en-US" w:eastAsia="zh-CN" w:bidi="ar-SA"/>
        </w:rPr>
      </w:pPr>
      <w:bookmarkStart w:id="183" w:name="_Toc102997600"/>
      <w:bookmarkStart w:id="184" w:name="_Toc529196550"/>
      <w:bookmarkStart w:id="185" w:name="_Toc515205223"/>
      <w:r>
        <w:rPr>
          <w:rFonts w:ascii="Times New Roman" w:hAnsi="Times New Roman" w:eastAsia="宋体" w:cs="Times New Roman"/>
          <w:b/>
          <w:bCs/>
          <w:color w:val="auto"/>
          <w:kern w:val="2"/>
          <w:sz w:val="28"/>
          <w:szCs w:val="24"/>
          <w:highlight w:val="none"/>
          <w:lang w:val="en-US" w:eastAsia="zh-CN" w:bidi="ar-SA"/>
        </w:rPr>
        <w:t>4.3 投标文件的修改与撤回</w:t>
      </w:r>
      <w:bookmarkEnd w:id="183"/>
      <w:bookmarkEnd w:id="184"/>
      <w:bookmarkEnd w:id="18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4.3.1 在本章第4.2.1项规定的投标截止时间前，投标人可以修改或撤回已递交的投标文件，但应以书面形式通知招标人。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4.3.2投标人修改或撤回已递交投标文件的通知，应按照本章第3.7.3项的要求加盖电子印章。电子招标投标交易平台收到通知后，即时向投标人发出确认回执通知。</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4.3.</w:t>
      </w:r>
      <w:bookmarkStart w:id="186" w:name="_Toc247527578"/>
      <w:bookmarkStart w:id="187" w:name="_Toc352691497"/>
      <w:bookmarkStart w:id="188" w:name="_Toc19203"/>
      <w:bookmarkStart w:id="189" w:name="_Toc247513977"/>
      <w:bookmarkStart w:id="190" w:name="_Toc369531541"/>
      <w:bookmarkStart w:id="191" w:name="_Toc384308235"/>
      <w:bookmarkStart w:id="192" w:name="_Toc361508610"/>
      <w:bookmarkStart w:id="193" w:name="_Toc300834974"/>
      <w:bookmarkStart w:id="194" w:name="_Toc152042329"/>
      <w:bookmarkStart w:id="195" w:name="_Toc144974521"/>
      <w:bookmarkStart w:id="196" w:name="_Toc152045553"/>
      <w:r>
        <w:rPr>
          <w:rFonts w:hint="eastAsia" w:ascii="Times New Roman" w:hAnsi="Times New Roman" w:eastAsia="宋体" w:cs="Times New Roman"/>
          <w:color w:val="auto"/>
          <w:sz w:val="24"/>
          <w:highlight w:val="none"/>
          <w:lang w:val="en-US" w:eastAsia="zh-CN"/>
        </w:rPr>
        <w:t>3</w:t>
      </w:r>
      <w:r>
        <w:rPr>
          <w:rFonts w:ascii="Times New Roman" w:hAnsi="Times New Roman" w:eastAsia="宋体" w:cs="Times New Roman"/>
          <w:color w:val="auto"/>
          <w:sz w:val="24"/>
          <w:highlight w:val="none"/>
        </w:rPr>
        <w:t xml:space="preserve"> 修改的内容为投标</w:t>
      </w:r>
      <w:bookmarkEnd w:id="186"/>
      <w:bookmarkEnd w:id="187"/>
      <w:bookmarkEnd w:id="188"/>
      <w:bookmarkEnd w:id="189"/>
      <w:bookmarkEnd w:id="190"/>
      <w:bookmarkEnd w:id="191"/>
      <w:bookmarkEnd w:id="192"/>
      <w:bookmarkEnd w:id="193"/>
      <w:bookmarkEnd w:id="194"/>
      <w:bookmarkEnd w:id="195"/>
      <w:bookmarkEnd w:id="196"/>
      <w:r>
        <w:rPr>
          <w:rFonts w:ascii="Times New Roman" w:hAnsi="Times New Roman" w:eastAsia="宋体" w:cs="Times New Roman"/>
          <w:color w:val="auto"/>
          <w:sz w:val="24"/>
          <w:highlight w:val="none"/>
        </w:rPr>
        <w:t>文件的组成部分。修改的投标文件应按照本章第3条、第4条的规定进行编制、密封、标记和递交，并标明“修改”字样。</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197" w:name="_Toc102997601"/>
      <w:bookmarkStart w:id="198" w:name="_Toc515205224"/>
      <w:bookmarkStart w:id="199" w:name="_Toc529196551"/>
      <w:r>
        <w:rPr>
          <w:rFonts w:ascii="Times New Roman" w:hAnsi="Times New Roman" w:eastAsia="宋体" w:cs="Times New Roman"/>
          <w:b/>
          <w:bCs/>
          <w:color w:val="auto"/>
          <w:kern w:val="2"/>
          <w:sz w:val="32"/>
          <w:szCs w:val="32"/>
          <w:highlight w:val="none"/>
          <w:lang w:val="en-US" w:eastAsia="zh-CN" w:bidi="ar-SA"/>
        </w:rPr>
        <w:t>5. 开标</w:t>
      </w:r>
      <w:bookmarkEnd w:id="197"/>
      <w:bookmarkEnd w:id="198"/>
      <w:bookmarkEnd w:id="199"/>
    </w:p>
    <w:p>
      <w:pPr>
        <w:keepNext/>
        <w:keepLines/>
        <w:widowControl w:val="0"/>
        <w:spacing w:before="0" w:after="0" w:line="360" w:lineRule="auto"/>
        <w:jc w:val="both"/>
        <w:outlineLvl w:val="2"/>
        <w:rPr>
          <w:rFonts w:ascii="Times New Roman" w:hAnsi="Times New Roman" w:eastAsia="宋体" w:cs="Times New Roman"/>
          <w:b/>
          <w:bCs/>
          <w:color w:val="auto"/>
          <w:kern w:val="2"/>
          <w:sz w:val="28"/>
          <w:szCs w:val="32"/>
          <w:highlight w:val="none"/>
          <w:lang w:val="en-US" w:eastAsia="zh-CN" w:bidi="ar-SA"/>
        </w:rPr>
      </w:pPr>
      <w:bookmarkStart w:id="200" w:name="_Toc102997602"/>
      <w:bookmarkStart w:id="201" w:name="_Toc529196553"/>
      <w:bookmarkStart w:id="202" w:name="_Toc515205226"/>
      <w:r>
        <w:rPr>
          <w:rFonts w:ascii="Times New Roman" w:hAnsi="Times New Roman" w:eastAsia="宋体" w:cs="Times New Roman"/>
          <w:b/>
          <w:bCs/>
          <w:color w:val="auto"/>
          <w:kern w:val="2"/>
          <w:sz w:val="28"/>
          <w:szCs w:val="32"/>
          <w:highlight w:val="none"/>
          <w:lang w:val="en-US" w:eastAsia="zh-CN" w:bidi="ar-SA"/>
        </w:rPr>
        <w:t>5.1 开标时间和地点</w:t>
      </w:r>
      <w:bookmarkEnd w:id="200"/>
      <w:bookmarkEnd w:id="201"/>
      <w:bookmarkEnd w:id="202"/>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招标人在本章第4.2.1项规定的投标截止时间（开标时间）,通过电子招标投标交易平台公开开标，所有投标人的法定代表人或其委托代理人应当准时参加。</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03" w:name="_Toc102997603"/>
      <w:bookmarkStart w:id="204" w:name="_Toc529196554"/>
      <w:bookmarkStart w:id="205" w:name="_Toc515205227"/>
      <w:r>
        <w:rPr>
          <w:rFonts w:ascii="Times New Roman" w:hAnsi="Times New Roman" w:eastAsia="宋体" w:cs="Times New Roman"/>
          <w:b/>
          <w:bCs/>
          <w:color w:val="auto"/>
          <w:kern w:val="2"/>
          <w:sz w:val="32"/>
          <w:szCs w:val="32"/>
          <w:highlight w:val="none"/>
          <w:lang w:val="en-US" w:eastAsia="zh-CN" w:bidi="ar-SA"/>
        </w:rPr>
        <w:t>5.2 开标程序</w:t>
      </w:r>
      <w:bookmarkEnd w:id="203"/>
      <w:bookmarkEnd w:id="204"/>
      <w:bookmarkEnd w:id="20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主持人按下列程序进行开标：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（1）宣布开标纪律；</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（2）公布在投标截止时间前递交投标文件的投标人名称；</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（3）宣布</w:t>
      </w:r>
      <w:bookmarkStart w:id="206" w:name="_Toc152045554"/>
      <w:bookmarkStart w:id="207" w:name="_Toc247527579"/>
      <w:bookmarkStart w:id="208" w:name="_Toc152042330"/>
      <w:bookmarkStart w:id="209" w:name="_Toc384308236"/>
      <w:bookmarkStart w:id="210" w:name="_Toc300834975"/>
      <w:bookmarkStart w:id="211" w:name="_Toc352691498"/>
      <w:bookmarkStart w:id="212" w:name="_Toc361508611"/>
      <w:bookmarkStart w:id="213" w:name="_Toc369531542"/>
      <w:bookmarkStart w:id="214" w:name="_Toc247513978"/>
      <w:bookmarkStart w:id="215" w:name="_Toc22119"/>
      <w:bookmarkStart w:id="216" w:name="_Toc144974522"/>
      <w:r>
        <w:rPr>
          <w:rFonts w:ascii="Times New Roman" w:hAnsi="Times New Roman" w:eastAsia="宋体" w:cs="Times New Roman"/>
          <w:color w:val="auto"/>
          <w:sz w:val="24"/>
          <w:highlight w:val="none"/>
        </w:rPr>
        <w:t>开标人、唱标人、记录人</w:t>
      </w:r>
      <w:bookmarkEnd w:id="206"/>
      <w:bookmarkEnd w:id="207"/>
      <w:bookmarkEnd w:id="208"/>
      <w:bookmarkEnd w:id="209"/>
      <w:bookmarkEnd w:id="210"/>
      <w:bookmarkEnd w:id="211"/>
      <w:bookmarkEnd w:id="212"/>
      <w:bookmarkEnd w:id="213"/>
      <w:bookmarkEnd w:id="214"/>
      <w:bookmarkEnd w:id="215"/>
      <w:bookmarkEnd w:id="216"/>
      <w:r>
        <w:rPr>
          <w:rFonts w:ascii="Times New Roman" w:hAnsi="Times New Roman" w:eastAsia="宋体" w:cs="Times New Roman"/>
          <w:color w:val="auto"/>
          <w:sz w:val="24"/>
          <w:highlight w:val="none"/>
        </w:rPr>
        <w:t>、监标人等有关人员姓名；</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投标人通过电子招标投标交易平台对已递交的电子投标文件进行解密，公布招标项目名称、投标人名称、投标报价、</w:t>
      </w:r>
      <w:r>
        <w:rPr>
          <w:rFonts w:hint="eastAsia" w:ascii="Times New Roman" w:hAnsi="Times New Roman" w:eastAsia="宋体" w:cs="Times New Roman"/>
          <w:color w:val="auto"/>
          <w:sz w:val="24"/>
          <w:highlight w:val="none"/>
        </w:rPr>
        <w:t>检测</w:t>
      </w:r>
      <w:r>
        <w:rPr>
          <w:rFonts w:ascii="Times New Roman" w:hAnsi="Times New Roman" w:eastAsia="宋体" w:cs="Times New Roman"/>
          <w:color w:val="auto"/>
          <w:sz w:val="24"/>
          <w:highlight w:val="none"/>
        </w:rPr>
        <w:t>服务期限及其他内容，并记录在案；</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投标人代表、招标人代表、监标人、记录人等有关人员使用本人的电子印章在开标记录上签字确认；</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（6）开标结束。</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17" w:name="_Toc515205228"/>
      <w:bookmarkStart w:id="218" w:name="_Toc529196555"/>
      <w:bookmarkStart w:id="219" w:name="_Toc102997604"/>
      <w:r>
        <w:rPr>
          <w:rFonts w:ascii="Times New Roman" w:hAnsi="Times New Roman" w:eastAsia="宋体" w:cs="Times New Roman"/>
          <w:b/>
          <w:bCs/>
          <w:color w:val="auto"/>
          <w:kern w:val="2"/>
          <w:sz w:val="32"/>
          <w:szCs w:val="32"/>
          <w:highlight w:val="none"/>
          <w:lang w:val="en-US" w:eastAsia="zh-CN" w:bidi="ar-SA"/>
        </w:rPr>
        <w:t>5.3 开标异议</w:t>
      </w:r>
      <w:bookmarkEnd w:id="217"/>
      <w:bookmarkEnd w:id="218"/>
      <w:bookmarkEnd w:id="219"/>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投标人对开标有异议的，应当在开标现场提出，招标人当场作出答复，并制作记录。</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20" w:name="_Toc515205229"/>
      <w:bookmarkStart w:id="221" w:name="_Toc102997605"/>
      <w:bookmarkStart w:id="222" w:name="_Toc529196556"/>
      <w:r>
        <w:rPr>
          <w:rFonts w:ascii="Times New Roman" w:hAnsi="Times New Roman" w:eastAsia="宋体" w:cs="Times New Roman"/>
          <w:b/>
          <w:bCs/>
          <w:color w:val="auto"/>
          <w:kern w:val="2"/>
          <w:sz w:val="32"/>
          <w:szCs w:val="32"/>
          <w:highlight w:val="none"/>
          <w:lang w:val="en-US" w:eastAsia="zh-CN" w:bidi="ar-SA"/>
        </w:rPr>
        <w:t>6. 评标</w:t>
      </w:r>
      <w:bookmarkEnd w:id="220"/>
      <w:bookmarkEnd w:id="221"/>
      <w:bookmarkEnd w:id="222"/>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23" w:name="_Toc102997606"/>
      <w:bookmarkStart w:id="224" w:name="_Toc515205230"/>
      <w:bookmarkStart w:id="225" w:name="_Toc529196557"/>
      <w:r>
        <w:rPr>
          <w:rFonts w:ascii="Times New Roman" w:hAnsi="Times New Roman" w:eastAsia="宋体" w:cs="Times New Roman"/>
          <w:b/>
          <w:bCs/>
          <w:color w:val="auto"/>
          <w:kern w:val="2"/>
          <w:sz w:val="32"/>
          <w:szCs w:val="32"/>
          <w:highlight w:val="none"/>
          <w:lang w:val="en-US" w:eastAsia="zh-CN" w:bidi="ar-SA"/>
        </w:rPr>
        <w:t>6.1 评标委员会</w:t>
      </w:r>
      <w:bookmarkEnd w:id="223"/>
      <w:bookmarkEnd w:id="224"/>
      <w:bookmarkEnd w:id="22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6.1.1 评标由招标人依法组建的评标委员会负责。评标委员会成员人数以及技术、经济等方面专家的确定方式见投标人须知前附表。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6.1.2 评标委员会成员有下列情形之一的，应当回避：</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（1）投标人或投标人主要负责人的近亲属；</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（2）项目主管部门或者行政监督部门的人员；</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（3）与投标人有经济利益关系，可能影响对投标公正评审的；</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（4）曾因在招标、评</w:t>
      </w:r>
      <w:bookmarkStart w:id="226" w:name="_Toc152042331"/>
      <w:bookmarkStart w:id="227" w:name="_Toc384308237"/>
      <w:bookmarkStart w:id="228" w:name="_Toc300834976"/>
      <w:bookmarkStart w:id="229" w:name="_Toc369531543"/>
      <w:bookmarkStart w:id="230" w:name="_Toc352691499"/>
      <w:bookmarkStart w:id="231" w:name="_Toc6230"/>
      <w:bookmarkStart w:id="232" w:name="_Toc361508612"/>
      <w:bookmarkStart w:id="233" w:name="_Toc247527580"/>
      <w:bookmarkStart w:id="234" w:name="_Toc144974523"/>
      <w:bookmarkStart w:id="235" w:name="_Toc247513979"/>
      <w:bookmarkStart w:id="236" w:name="_Toc152045555"/>
      <w:r>
        <w:rPr>
          <w:rFonts w:ascii="Times New Roman" w:hAnsi="Times New Roman" w:eastAsia="宋体" w:cs="Times New Roman"/>
          <w:color w:val="auto"/>
          <w:sz w:val="24"/>
          <w:highlight w:val="none"/>
        </w:rPr>
        <w:t>标以及其他</w:t>
      </w:r>
      <w:bookmarkEnd w:id="226"/>
      <w:bookmarkEnd w:id="227"/>
      <w:bookmarkEnd w:id="228"/>
      <w:bookmarkEnd w:id="229"/>
      <w:bookmarkEnd w:id="230"/>
      <w:bookmarkEnd w:id="231"/>
      <w:bookmarkEnd w:id="232"/>
      <w:bookmarkEnd w:id="233"/>
      <w:bookmarkEnd w:id="234"/>
      <w:bookmarkEnd w:id="235"/>
      <w:bookmarkEnd w:id="236"/>
      <w:r>
        <w:rPr>
          <w:rFonts w:ascii="Times New Roman" w:hAnsi="Times New Roman" w:eastAsia="宋体" w:cs="Times New Roman"/>
          <w:color w:val="auto"/>
          <w:sz w:val="24"/>
          <w:highlight w:val="none"/>
        </w:rPr>
        <w:t>与</w:t>
      </w:r>
      <w:bookmarkStart w:id="237" w:name="_Toc300834977"/>
      <w:bookmarkStart w:id="238" w:name="_Toc384308238"/>
      <w:bookmarkStart w:id="239" w:name="_Toc152045556"/>
      <w:bookmarkStart w:id="240" w:name="_Toc247513980"/>
      <w:bookmarkStart w:id="241" w:name="_Toc369531544"/>
      <w:bookmarkStart w:id="242" w:name="_Toc352691500"/>
      <w:bookmarkStart w:id="243" w:name="_Toc144974524"/>
      <w:bookmarkStart w:id="244" w:name="_Toc247527581"/>
      <w:bookmarkStart w:id="245" w:name="_Toc17703"/>
      <w:bookmarkStart w:id="246" w:name="_Toc361508613"/>
      <w:bookmarkStart w:id="247" w:name="_Toc152042332"/>
      <w:r>
        <w:rPr>
          <w:rFonts w:ascii="Times New Roman" w:hAnsi="Times New Roman" w:eastAsia="宋体" w:cs="Times New Roman"/>
          <w:color w:val="auto"/>
          <w:sz w:val="24"/>
          <w:highlight w:val="none"/>
        </w:rPr>
        <w:t>招标投标有关活动中从事违法行</w:t>
      </w:r>
      <w:bookmarkEnd w:id="237"/>
      <w:bookmarkEnd w:id="238"/>
      <w:bookmarkEnd w:id="239"/>
      <w:bookmarkEnd w:id="240"/>
      <w:bookmarkEnd w:id="241"/>
      <w:bookmarkEnd w:id="242"/>
      <w:bookmarkEnd w:id="243"/>
      <w:bookmarkEnd w:id="244"/>
      <w:bookmarkEnd w:id="245"/>
      <w:bookmarkEnd w:id="246"/>
      <w:bookmarkEnd w:id="247"/>
      <w:r>
        <w:rPr>
          <w:rFonts w:ascii="Times New Roman" w:hAnsi="Times New Roman" w:eastAsia="宋体" w:cs="Times New Roman"/>
          <w:color w:val="auto"/>
          <w:sz w:val="24"/>
          <w:highlight w:val="none"/>
        </w:rPr>
        <w:t>为而受过行政处罚或刑事处罚的；</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（5）与投标人有其他利害关系。</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48" w:name="_Toc102997607"/>
      <w:bookmarkStart w:id="249" w:name="_Toc529196558"/>
      <w:bookmarkStart w:id="250" w:name="_Toc515205231"/>
      <w:r>
        <w:rPr>
          <w:rFonts w:ascii="Times New Roman" w:hAnsi="Times New Roman" w:eastAsia="宋体" w:cs="Times New Roman"/>
          <w:b/>
          <w:bCs/>
          <w:color w:val="auto"/>
          <w:kern w:val="2"/>
          <w:sz w:val="32"/>
          <w:szCs w:val="32"/>
          <w:highlight w:val="none"/>
          <w:lang w:val="en-US" w:eastAsia="zh-CN" w:bidi="ar-SA"/>
        </w:rPr>
        <w:t>6.2 评标原则</w:t>
      </w:r>
      <w:bookmarkEnd w:id="248"/>
      <w:bookmarkEnd w:id="249"/>
      <w:bookmarkEnd w:id="250"/>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评标活动遵循公平、公正、科学和择优的原</w:t>
      </w:r>
      <w:bookmarkStart w:id="251" w:name="_Toc361508614"/>
      <w:bookmarkStart w:id="252" w:name="_Toc384308239"/>
      <w:bookmarkStart w:id="253" w:name="_Toc152045557"/>
      <w:bookmarkStart w:id="254" w:name="_Toc369531545"/>
      <w:bookmarkStart w:id="255" w:name="_Toc247527582"/>
      <w:bookmarkStart w:id="256" w:name="_Toc18949"/>
      <w:bookmarkStart w:id="257" w:name="_Toc247513981"/>
      <w:bookmarkStart w:id="258" w:name="_Toc300834978"/>
      <w:bookmarkStart w:id="259" w:name="_Toc352691501"/>
      <w:bookmarkStart w:id="260" w:name="_Toc152042333"/>
      <w:bookmarkStart w:id="261" w:name="_Toc144974525"/>
      <w:r>
        <w:rPr>
          <w:rFonts w:ascii="Times New Roman" w:hAnsi="Times New Roman" w:eastAsia="宋体" w:cs="Times New Roman"/>
          <w:color w:val="auto"/>
          <w:sz w:val="24"/>
          <w:highlight w:val="none"/>
        </w:rPr>
        <w:t>则。</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62" w:name="_Toc515205232"/>
      <w:bookmarkStart w:id="263" w:name="_Toc102997608"/>
      <w:bookmarkStart w:id="264" w:name="_Toc529196559"/>
      <w:r>
        <w:rPr>
          <w:rFonts w:ascii="Times New Roman" w:hAnsi="Times New Roman" w:eastAsia="宋体" w:cs="Times New Roman"/>
          <w:b/>
          <w:bCs/>
          <w:color w:val="auto"/>
          <w:kern w:val="2"/>
          <w:sz w:val="32"/>
          <w:szCs w:val="32"/>
          <w:highlight w:val="none"/>
          <w:lang w:val="en-US" w:eastAsia="zh-CN" w:bidi="ar-SA"/>
        </w:rPr>
        <w:t>6.3 评标</w:t>
      </w:r>
      <w:bookmarkEnd w:id="262"/>
      <w:bookmarkEnd w:id="263"/>
      <w:bookmarkEnd w:id="26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w:t>
      </w:r>
      <w:bookmarkEnd w:id="251"/>
      <w:bookmarkEnd w:id="252"/>
      <w:bookmarkEnd w:id="253"/>
      <w:bookmarkEnd w:id="254"/>
      <w:bookmarkEnd w:id="255"/>
      <w:bookmarkEnd w:id="256"/>
      <w:bookmarkEnd w:id="257"/>
      <w:bookmarkEnd w:id="258"/>
      <w:bookmarkEnd w:id="259"/>
      <w:bookmarkEnd w:id="260"/>
      <w:bookmarkEnd w:id="261"/>
      <w:r>
        <w:rPr>
          <w:rFonts w:ascii="Times New Roman" w:hAnsi="Times New Roman" w:eastAsia="宋体" w:cs="Times New Roman"/>
          <w:color w:val="auto"/>
          <w:sz w:val="24"/>
          <w:highlight w:val="none"/>
        </w:rPr>
        <w:t>.3.1评标委员会按照第三章“评标办法”规定的方法、评审因素、标准和程序对投标文件进行评审。第三章“评标办法”没有规定的方法、评审因素和标准，不作为评标依据。</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6.3.2评标完成后，评标委员会应当向招标人提交书面评标报告和中标候选人名单。评标委员会推荐中标</w:t>
      </w:r>
      <w:bookmarkStart w:id="265" w:name="_Toc12259"/>
      <w:bookmarkStart w:id="266" w:name="_Toc300834979"/>
      <w:bookmarkStart w:id="267" w:name="_Toc247527583"/>
      <w:bookmarkStart w:id="268" w:name="_Toc369531546"/>
      <w:bookmarkStart w:id="269" w:name="_Toc152042334"/>
      <w:bookmarkStart w:id="270" w:name="_Toc144974526"/>
      <w:bookmarkStart w:id="271" w:name="_Toc152045558"/>
      <w:bookmarkStart w:id="272" w:name="_Toc361508615"/>
      <w:bookmarkStart w:id="273" w:name="_Toc384308240"/>
      <w:bookmarkStart w:id="274" w:name="_Toc247513982"/>
      <w:bookmarkStart w:id="275" w:name="_Toc352691502"/>
      <w:r>
        <w:rPr>
          <w:rFonts w:ascii="Times New Roman" w:hAnsi="Times New Roman" w:eastAsia="宋体" w:cs="Times New Roman"/>
          <w:color w:val="auto"/>
          <w:sz w:val="24"/>
          <w:highlight w:val="none"/>
        </w:rPr>
        <w:t>候选人的人数见投标人须知前附</w:t>
      </w:r>
      <w:bookmarkEnd w:id="265"/>
      <w:bookmarkEnd w:id="266"/>
      <w:bookmarkEnd w:id="267"/>
      <w:bookmarkEnd w:id="268"/>
      <w:bookmarkEnd w:id="269"/>
      <w:bookmarkEnd w:id="270"/>
      <w:bookmarkEnd w:id="271"/>
      <w:bookmarkEnd w:id="272"/>
      <w:bookmarkEnd w:id="273"/>
      <w:bookmarkEnd w:id="274"/>
      <w:bookmarkEnd w:id="275"/>
      <w:r>
        <w:rPr>
          <w:rFonts w:ascii="Times New Roman" w:hAnsi="Times New Roman" w:eastAsia="宋体" w:cs="Times New Roman"/>
          <w:color w:val="auto"/>
          <w:sz w:val="24"/>
          <w:highlight w:val="none"/>
        </w:rPr>
        <w:t>表。</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76" w:name="_Toc529196560"/>
      <w:bookmarkStart w:id="277" w:name="_Toc102997609"/>
      <w:bookmarkStart w:id="278" w:name="_Toc515205233"/>
      <w:r>
        <w:rPr>
          <w:rFonts w:ascii="Times New Roman" w:hAnsi="Times New Roman" w:eastAsia="宋体" w:cs="Times New Roman"/>
          <w:b/>
          <w:bCs/>
          <w:color w:val="auto"/>
          <w:kern w:val="2"/>
          <w:sz w:val="32"/>
          <w:szCs w:val="32"/>
          <w:highlight w:val="none"/>
          <w:lang w:val="en-US" w:eastAsia="zh-CN" w:bidi="ar-SA"/>
        </w:rPr>
        <w:t>7. 合同授予</w:t>
      </w:r>
      <w:bookmarkEnd w:id="276"/>
      <w:bookmarkEnd w:id="277"/>
      <w:bookmarkEnd w:id="278"/>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79" w:name="_Toc529196561"/>
      <w:bookmarkStart w:id="280" w:name="_Toc102997610"/>
      <w:bookmarkStart w:id="281" w:name="_Toc515205234"/>
      <w:r>
        <w:rPr>
          <w:rFonts w:ascii="Times New Roman" w:hAnsi="Times New Roman" w:eastAsia="宋体" w:cs="Times New Roman"/>
          <w:b/>
          <w:bCs/>
          <w:color w:val="auto"/>
          <w:kern w:val="2"/>
          <w:sz w:val="32"/>
          <w:szCs w:val="32"/>
          <w:highlight w:val="none"/>
          <w:lang w:val="en-US" w:eastAsia="zh-CN" w:bidi="ar-SA"/>
        </w:rPr>
        <w:t>7.1 中标候选人公示</w:t>
      </w:r>
      <w:bookmarkEnd w:id="279"/>
      <w:bookmarkEnd w:id="280"/>
      <w:bookmarkEnd w:id="28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招标人在收到评标报告之日起3日内，按照投标人须知前附表规定的公示媒介和期限公示中标候选人，公示期不得少于3天。</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82" w:name="_Toc529196562"/>
      <w:bookmarkStart w:id="283" w:name="_Toc515205235"/>
      <w:bookmarkStart w:id="284" w:name="_Toc102997611"/>
      <w:r>
        <w:rPr>
          <w:rFonts w:ascii="Times New Roman" w:hAnsi="Times New Roman" w:eastAsia="宋体" w:cs="Times New Roman"/>
          <w:b/>
          <w:bCs/>
          <w:color w:val="auto"/>
          <w:kern w:val="2"/>
          <w:sz w:val="32"/>
          <w:szCs w:val="32"/>
          <w:highlight w:val="none"/>
          <w:lang w:val="en-US" w:eastAsia="zh-CN" w:bidi="ar-SA"/>
        </w:rPr>
        <w:t>7.2 评标结果异议</w:t>
      </w:r>
      <w:bookmarkEnd w:id="282"/>
      <w:bookmarkEnd w:id="283"/>
      <w:bookmarkEnd w:id="28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投标人或者其他利</w:t>
      </w:r>
      <w:bookmarkStart w:id="285" w:name="_Toc300834982"/>
      <w:bookmarkStart w:id="286" w:name="_Toc384308243"/>
      <w:bookmarkStart w:id="287" w:name="_Toc352691505"/>
      <w:bookmarkStart w:id="288" w:name="_Toc361508618"/>
      <w:bookmarkStart w:id="289" w:name="_Toc247527586"/>
      <w:bookmarkStart w:id="290" w:name="_Toc369531549"/>
      <w:bookmarkStart w:id="291" w:name="_Toc30095"/>
      <w:bookmarkStart w:id="292" w:name="_Toc152042337"/>
      <w:bookmarkStart w:id="293" w:name="_Toc144974529"/>
      <w:bookmarkStart w:id="294" w:name="_Toc247513985"/>
      <w:bookmarkStart w:id="295" w:name="_Toc152045561"/>
      <w:r>
        <w:rPr>
          <w:rFonts w:ascii="Times New Roman" w:hAnsi="Times New Roman" w:eastAsia="宋体" w:cs="Times New Roman"/>
          <w:color w:val="auto"/>
          <w:sz w:val="24"/>
          <w:highlight w:val="none"/>
        </w:rPr>
        <w:t>害关系人对评标结</w:t>
      </w:r>
      <w:bookmarkEnd w:id="285"/>
      <w:bookmarkEnd w:id="286"/>
      <w:bookmarkEnd w:id="287"/>
      <w:bookmarkEnd w:id="288"/>
      <w:bookmarkEnd w:id="289"/>
      <w:bookmarkEnd w:id="290"/>
      <w:bookmarkEnd w:id="291"/>
      <w:bookmarkEnd w:id="292"/>
      <w:bookmarkEnd w:id="293"/>
      <w:bookmarkEnd w:id="294"/>
      <w:bookmarkEnd w:id="295"/>
      <w:r>
        <w:rPr>
          <w:rFonts w:ascii="Times New Roman" w:hAnsi="Times New Roman" w:eastAsia="宋体" w:cs="Times New Roman"/>
          <w:color w:val="auto"/>
          <w:sz w:val="24"/>
          <w:highlight w:val="none"/>
        </w:rPr>
        <w:t>果有异议的，应当在中标候选人公示期间提出。招标人将在收到异议之日起3日内作出答复；作出答复前，将暂停招标投标活动。</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96" w:name="_Toc102997612"/>
      <w:bookmarkStart w:id="297" w:name="_Toc529196563"/>
      <w:bookmarkStart w:id="298" w:name="_Toc515205236"/>
      <w:r>
        <w:rPr>
          <w:rFonts w:ascii="Times New Roman" w:hAnsi="Times New Roman" w:eastAsia="宋体" w:cs="Times New Roman"/>
          <w:b/>
          <w:bCs/>
          <w:color w:val="auto"/>
          <w:kern w:val="2"/>
          <w:sz w:val="32"/>
          <w:szCs w:val="32"/>
          <w:highlight w:val="none"/>
          <w:lang w:val="en-US" w:eastAsia="zh-CN" w:bidi="ar-SA"/>
        </w:rPr>
        <w:t>7.3 中标候选人履约能力审查</w:t>
      </w:r>
      <w:bookmarkEnd w:id="296"/>
      <w:bookmarkEnd w:id="297"/>
      <w:bookmarkEnd w:id="29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299" w:name="_Toc515205237"/>
      <w:bookmarkStart w:id="300" w:name="_Toc529196564"/>
      <w:bookmarkStart w:id="301" w:name="_Toc102997613"/>
      <w:r>
        <w:rPr>
          <w:rFonts w:ascii="Times New Roman" w:hAnsi="Times New Roman" w:eastAsia="宋体" w:cs="Times New Roman"/>
          <w:b/>
          <w:bCs/>
          <w:color w:val="auto"/>
          <w:kern w:val="2"/>
          <w:sz w:val="32"/>
          <w:szCs w:val="32"/>
          <w:highlight w:val="none"/>
          <w:lang w:val="en-US" w:eastAsia="zh-CN" w:bidi="ar-SA"/>
        </w:rPr>
        <w:t>7.4 定标</w:t>
      </w:r>
      <w:bookmarkEnd w:id="299"/>
      <w:bookmarkEnd w:id="300"/>
      <w:bookmarkEnd w:id="30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按照投标人须知前附表的规定，招标人或招标人授权的评标委员会依法确定中标人。</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02" w:name="_Toc529196565"/>
      <w:bookmarkStart w:id="303" w:name="_Toc102997614"/>
      <w:bookmarkStart w:id="304" w:name="_Toc515205238"/>
      <w:r>
        <w:rPr>
          <w:rFonts w:ascii="Times New Roman" w:hAnsi="Times New Roman" w:eastAsia="宋体" w:cs="Times New Roman"/>
          <w:b/>
          <w:bCs/>
          <w:color w:val="auto"/>
          <w:kern w:val="2"/>
          <w:sz w:val="32"/>
          <w:szCs w:val="32"/>
          <w:highlight w:val="none"/>
          <w:lang w:val="en-US" w:eastAsia="zh-CN" w:bidi="ar-SA"/>
        </w:rPr>
        <w:t>7.5 中标通知</w:t>
      </w:r>
      <w:bookmarkEnd w:id="302"/>
      <w:bookmarkEnd w:id="303"/>
      <w:bookmarkEnd w:id="30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在本章第3.3款规定的投标有效期内，招标人以书面形式向中标人发出中标</w:t>
      </w:r>
      <w:bookmarkStart w:id="305" w:name="_Toc384308244"/>
      <w:bookmarkStart w:id="306" w:name="_Toc352691506"/>
      <w:bookmarkStart w:id="307" w:name="_Toc300834983"/>
      <w:bookmarkStart w:id="308" w:name="_Toc5668"/>
      <w:bookmarkStart w:id="309" w:name="_Toc361508619"/>
      <w:bookmarkStart w:id="310" w:name="_Toc369531550"/>
      <w:r>
        <w:rPr>
          <w:rFonts w:ascii="Times New Roman" w:hAnsi="Times New Roman" w:eastAsia="宋体" w:cs="Times New Roman"/>
          <w:color w:val="auto"/>
          <w:sz w:val="24"/>
          <w:highlight w:val="none"/>
        </w:rPr>
        <w:t>通知书，同时将中</w:t>
      </w:r>
      <w:bookmarkEnd w:id="305"/>
      <w:bookmarkEnd w:id="306"/>
      <w:bookmarkEnd w:id="307"/>
      <w:bookmarkEnd w:id="308"/>
      <w:bookmarkEnd w:id="309"/>
      <w:bookmarkEnd w:id="310"/>
      <w:r>
        <w:rPr>
          <w:rFonts w:ascii="Times New Roman" w:hAnsi="Times New Roman" w:eastAsia="宋体" w:cs="Times New Roman"/>
          <w:color w:val="auto"/>
          <w:sz w:val="24"/>
          <w:highlight w:val="none"/>
        </w:rPr>
        <w:t>标结果通知未中标的投标人。</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11" w:name="_Toc529196566"/>
      <w:bookmarkStart w:id="312" w:name="_Toc515205239"/>
      <w:bookmarkStart w:id="313" w:name="_Toc102997615"/>
      <w:r>
        <w:rPr>
          <w:rFonts w:ascii="Times New Roman" w:hAnsi="Times New Roman" w:eastAsia="宋体" w:cs="Times New Roman"/>
          <w:b/>
          <w:bCs/>
          <w:color w:val="auto"/>
          <w:kern w:val="2"/>
          <w:sz w:val="32"/>
          <w:szCs w:val="32"/>
          <w:highlight w:val="none"/>
          <w:lang w:val="en-US" w:eastAsia="zh-CN" w:bidi="ar-SA"/>
        </w:rPr>
        <w:t>7.6 履约保证金</w:t>
      </w:r>
      <w:bookmarkEnd w:id="311"/>
      <w:bookmarkEnd w:id="312"/>
      <w:bookmarkEnd w:id="313"/>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7.6.1 </w:t>
      </w:r>
      <w:r>
        <w:rPr>
          <w:rFonts w:hint="eastAsia" w:ascii="Times New Roman" w:hAnsi="Times New Roman" w:eastAsia="宋体" w:cs="Times New Roman"/>
          <w:color w:val="auto"/>
          <w:sz w:val="24"/>
          <w:highlight w:val="none"/>
        </w:rPr>
        <w:t>在签订合同前，</w:t>
      </w:r>
      <w:r>
        <w:rPr>
          <w:rFonts w:ascii="Times New Roman" w:hAnsi="Times New Roman" w:eastAsia="宋体" w:cs="Times New Roman"/>
          <w:color w:val="auto"/>
          <w:sz w:val="24"/>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7.6.2 中标人不能按本章第7.6.1项要求提交履约保证金的，视为放弃中标</w:t>
      </w: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给招标人造成的损失，中标人还应当予以赔偿。</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14" w:name="_Toc102997616"/>
      <w:bookmarkStart w:id="315" w:name="_Toc529196567"/>
      <w:bookmarkStart w:id="316" w:name="_Toc515205240"/>
      <w:r>
        <w:rPr>
          <w:rFonts w:ascii="Times New Roman" w:hAnsi="Times New Roman" w:eastAsia="宋体" w:cs="Times New Roman"/>
          <w:b/>
          <w:bCs/>
          <w:color w:val="auto"/>
          <w:kern w:val="2"/>
          <w:sz w:val="32"/>
          <w:szCs w:val="32"/>
          <w:highlight w:val="none"/>
          <w:lang w:val="en-US" w:eastAsia="zh-CN" w:bidi="ar-SA"/>
        </w:rPr>
        <w:t>7.7 签订合同</w:t>
      </w:r>
      <w:bookmarkEnd w:id="314"/>
      <w:bookmarkEnd w:id="315"/>
      <w:bookmarkEnd w:id="316"/>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7.7.1 招标人和中标人应当在中标通知书发出之日起30日内，根据招标文件和中标人的投标文件订立书面合同。中标人无正当理由</w:t>
      </w:r>
      <w:r>
        <w:rPr>
          <w:rFonts w:hint="eastAsia" w:ascii="Times New Roman" w:hAnsi="Times New Roman" w:eastAsia="宋体" w:cs="Times New Roman"/>
          <w:color w:val="auto"/>
          <w:sz w:val="24"/>
          <w:highlight w:val="none"/>
        </w:rPr>
        <w:t>拒签</w:t>
      </w:r>
      <w:r>
        <w:rPr>
          <w:rFonts w:ascii="Times New Roman" w:hAnsi="Times New Roman" w:eastAsia="宋体" w:cs="Times New Roman"/>
          <w:color w:val="auto"/>
          <w:sz w:val="24"/>
          <w:highlight w:val="none"/>
        </w:rPr>
        <w:t>合同，在签订合同时向招标人提出附加条件，或者不按照招标文件要求提交履约保证金的，招标人有权取消其中标资格；给招标人造成的损失</w:t>
      </w: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中标人还应当予以赔偿。</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7.7.2 发出中标通知书后，招标人无正当理由拒签合同，或者在签订合同时</w:t>
      </w:r>
      <w:r>
        <w:rPr>
          <w:rFonts w:hint="eastAsia" w:ascii="Times New Roman" w:hAnsi="Times New Roman" w:eastAsia="宋体" w:cs="Times New Roman"/>
          <w:color w:val="auto"/>
          <w:sz w:val="24"/>
          <w:highlight w:val="none"/>
        </w:rPr>
        <w:t>向中标人</w:t>
      </w:r>
      <w:r>
        <w:rPr>
          <w:rFonts w:ascii="Times New Roman" w:hAnsi="Times New Roman" w:eastAsia="宋体" w:cs="Times New Roman"/>
          <w:color w:val="auto"/>
          <w:sz w:val="24"/>
          <w:highlight w:val="none"/>
        </w:rPr>
        <w:t>提出附加条件的；给中标人造成损失的，还应当赔偿损失。</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17" w:name="_Toc24067"/>
      <w:bookmarkStart w:id="318" w:name="_Toc361508627"/>
      <w:bookmarkStart w:id="319" w:name="_Toc384308252"/>
      <w:bookmarkStart w:id="320" w:name="_Toc102997617"/>
      <w:bookmarkStart w:id="321" w:name="_Toc515205241"/>
      <w:bookmarkStart w:id="322" w:name="_Toc529196568"/>
      <w:bookmarkStart w:id="323" w:name="_Toc300834991"/>
      <w:bookmarkStart w:id="324" w:name="_Toc152042344"/>
      <w:bookmarkStart w:id="325" w:name="_Toc144974536"/>
      <w:bookmarkStart w:id="326" w:name="_Toc247513992"/>
      <w:bookmarkStart w:id="327" w:name="_Toc152045568"/>
      <w:bookmarkStart w:id="328" w:name="_Toc247527593"/>
      <w:r>
        <w:rPr>
          <w:rFonts w:ascii="Times New Roman" w:hAnsi="Times New Roman" w:eastAsia="宋体" w:cs="Times New Roman"/>
          <w:b/>
          <w:bCs/>
          <w:color w:val="auto"/>
          <w:kern w:val="2"/>
          <w:sz w:val="32"/>
          <w:szCs w:val="32"/>
          <w:highlight w:val="none"/>
          <w:lang w:val="en-US" w:eastAsia="zh-CN" w:bidi="ar-SA"/>
        </w:rPr>
        <w:t>8.</w:t>
      </w:r>
      <w:bookmarkEnd w:id="317"/>
      <w:bookmarkEnd w:id="318"/>
      <w:bookmarkEnd w:id="319"/>
      <w:r>
        <w:rPr>
          <w:rFonts w:ascii="Times New Roman" w:hAnsi="Times New Roman" w:eastAsia="宋体" w:cs="Times New Roman"/>
          <w:b/>
          <w:bCs/>
          <w:color w:val="auto"/>
          <w:kern w:val="2"/>
          <w:sz w:val="32"/>
          <w:szCs w:val="32"/>
          <w:highlight w:val="none"/>
          <w:lang w:val="en-US" w:eastAsia="zh-CN" w:bidi="ar-SA"/>
        </w:rPr>
        <w:t>纪律和监督</w:t>
      </w:r>
      <w:bookmarkEnd w:id="320"/>
      <w:bookmarkEnd w:id="321"/>
      <w:bookmarkEnd w:id="322"/>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29" w:name="_Toc529196569"/>
      <w:bookmarkStart w:id="330" w:name="_Toc102997618"/>
      <w:bookmarkStart w:id="331" w:name="_Toc515205242"/>
      <w:r>
        <w:rPr>
          <w:rFonts w:ascii="Times New Roman" w:hAnsi="Times New Roman" w:eastAsia="宋体" w:cs="Times New Roman"/>
          <w:b/>
          <w:bCs/>
          <w:color w:val="auto"/>
          <w:kern w:val="2"/>
          <w:sz w:val="32"/>
          <w:szCs w:val="32"/>
          <w:highlight w:val="none"/>
          <w:lang w:val="en-US" w:eastAsia="zh-CN" w:bidi="ar-SA"/>
        </w:rPr>
        <w:t>8.1 对招标人的纪律要求</w:t>
      </w:r>
      <w:bookmarkEnd w:id="329"/>
      <w:bookmarkEnd w:id="330"/>
      <w:bookmarkEnd w:id="33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招标人不得泄露招标投标活动中应当保密的情况和资料，不得与投标人串通损害国家利益、社会公共利益或者他人合法权益。</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32" w:name="_Toc515205243"/>
      <w:bookmarkStart w:id="333" w:name="_Toc529196570"/>
      <w:bookmarkStart w:id="334" w:name="_Toc102997619"/>
      <w:r>
        <w:rPr>
          <w:rFonts w:ascii="Times New Roman" w:hAnsi="Times New Roman" w:eastAsia="宋体" w:cs="Times New Roman"/>
          <w:b/>
          <w:bCs/>
          <w:color w:val="auto"/>
          <w:kern w:val="2"/>
          <w:sz w:val="32"/>
          <w:szCs w:val="32"/>
          <w:highlight w:val="none"/>
          <w:lang w:val="en-US" w:eastAsia="zh-CN" w:bidi="ar-SA"/>
        </w:rPr>
        <w:t>8.2 对投标人的纪律要求</w:t>
      </w:r>
      <w:bookmarkEnd w:id="332"/>
      <w:bookmarkEnd w:id="333"/>
      <w:bookmarkEnd w:id="33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35" w:name="_Toc102997620"/>
      <w:bookmarkStart w:id="336" w:name="_Toc515205244"/>
      <w:bookmarkStart w:id="337" w:name="_Toc529196571"/>
      <w:r>
        <w:rPr>
          <w:rFonts w:ascii="Times New Roman" w:hAnsi="Times New Roman" w:eastAsia="宋体" w:cs="Times New Roman"/>
          <w:b/>
          <w:bCs/>
          <w:color w:val="auto"/>
          <w:kern w:val="2"/>
          <w:sz w:val="32"/>
          <w:szCs w:val="32"/>
          <w:highlight w:val="none"/>
          <w:lang w:val="en-US" w:eastAsia="zh-CN" w:bidi="ar-SA"/>
        </w:rPr>
        <w:t>8.3 对评标委员会成员的纪律要求</w:t>
      </w:r>
      <w:bookmarkEnd w:id="335"/>
      <w:bookmarkEnd w:id="336"/>
      <w:bookmarkEnd w:id="337"/>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评标委员会成员不得收受他人的财物或者其他好处，不得向他人透露对投标文件的评审</w:t>
      </w:r>
      <w:bookmarkStart w:id="338" w:name="_Toc384308253"/>
      <w:bookmarkStart w:id="339" w:name="_Toc369531559"/>
      <w:bookmarkStart w:id="340" w:name="_Toc13644"/>
      <w:bookmarkStart w:id="341" w:name="_Toc352691515"/>
      <w:bookmarkStart w:id="342" w:name="_Toc361508628"/>
      <w:r>
        <w:rPr>
          <w:rFonts w:ascii="Times New Roman" w:hAnsi="Times New Roman" w:eastAsia="宋体" w:cs="Times New Roman"/>
          <w:color w:val="auto"/>
          <w:sz w:val="24"/>
          <w:highlight w:val="none"/>
        </w:rPr>
        <w:t>和比较、中标候选人</w:t>
      </w:r>
      <w:bookmarkEnd w:id="323"/>
      <w:bookmarkEnd w:id="324"/>
      <w:bookmarkEnd w:id="325"/>
      <w:bookmarkEnd w:id="326"/>
      <w:bookmarkEnd w:id="327"/>
      <w:bookmarkEnd w:id="328"/>
      <w:bookmarkEnd w:id="338"/>
      <w:bookmarkEnd w:id="339"/>
      <w:bookmarkEnd w:id="340"/>
      <w:bookmarkEnd w:id="341"/>
      <w:bookmarkEnd w:id="342"/>
      <w:r>
        <w:rPr>
          <w:rFonts w:ascii="Times New Roman" w:hAnsi="Times New Roman" w:eastAsia="宋体" w:cs="Times New Roman"/>
          <w:color w:val="auto"/>
          <w:sz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43" w:name="_Toc102997621"/>
      <w:bookmarkStart w:id="344" w:name="_Toc529196572"/>
      <w:bookmarkStart w:id="345" w:name="_Toc515205245"/>
      <w:r>
        <w:rPr>
          <w:rFonts w:ascii="Times New Roman" w:hAnsi="Times New Roman" w:eastAsia="宋体" w:cs="Times New Roman"/>
          <w:b/>
          <w:bCs/>
          <w:color w:val="auto"/>
          <w:kern w:val="2"/>
          <w:sz w:val="32"/>
          <w:szCs w:val="32"/>
          <w:highlight w:val="none"/>
          <w:lang w:val="en-US" w:eastAsia="zh-CN" w:bidi="ar-SA"/>
        </w:rPr>
        <w:t>8.4 对与评标活动有关的工作人员的纪律要求</w:t>
      </w:r>
      <w:bookmarkEnd w:id="343"/>
      <w:bookmarkEnd w:id="344"/>
      <w:bookmarkEnd w:id="34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与评标活动有关的工作人员不得收受他人的财物或者其他好处，不得向他人透露对投标文件</w:t>
      </w:r>
      <w:bookmarkStart w:id="346" w:name="_Toc247513993"/>
      <w:bookmarkStart w:id="347" w:name="_Toc361508629"/>
      <w:bookmarkStart w:id="348" w:name="_Toc144974537"/>
      <w:bookmarkStart w:id="349" w:name="_Toc300834992"/>
      <w:bookmarkStart w:id="350" w:name="_Toc352691516"/>
      <w:bookmarkStart w:id="351" w:name="_Toc152045569"/>
      <w:bookmarkStart w:id="352" w:name="_Toc247527594"/>
      <w:bookmarkStart w:id="353" w:name="_Toc152042345"/>
      <w:bookmarkStart w:id="354" w:name="_Toc369531560"/>
      <w:bookmarkStart w:id="355" w:name="_Toc384308254"/>
      <w:bookmarkStart w:id="356" w:name="_Toc19429"/>
      <w:r>
        <w:rPr>
          <w:rFonts w:ascii="Times New Roman" w:hAnsi="Times New Roman" w:eastAsia="宋体" w:cs="Times New Roman"/>
          <w:color w:val="auto"/>
          <w:sz w:val="24"/>
          <w:highlight w:val="none"/>
        </w:rPr>
        <w:t>的评审和比较、中标</w:t>
      </w:r>
      <w:bookmarkEnd w:id="346"/>
      <w:bookmarkEnd w:id="347"/>
      <w:bookmarkEnd w:id="348"/>
      <w:bookmarkEnd w:id="349"/>
      <w:bookmarkEnd w:id="350"/>
      <w:bookmarkEnd w:id="351"/>
      <w:bookmarkEnd w:id="352"/>
      <w:bookmarkEnd w:id="353"/>
      <w:bookmarkEnd w:id="354"/>
      <w:bookmarkEnd w:id="355"/>
      <w:bookmarkEnd w:id="356"/>
      <w:r>
        <w:rPr>
          <w:rFonts w:ascii="Times New Roman" w:hAnsi="Times New Roman" w:eastAsia="宋体" w:cs="Times New Roman"/>
          <w:color w:val="auto"/>
          <w:sz w:val="24"/>
          <w:highlight w:val="none"/>
        </w:rPr>
        <w:t>候选人的推荐情况以及评标有关的其他情况。在评标活动中，与评标活动有关的工作人员不得擅离职守，影响评标程序正常进行。</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57" w:name="_Toc529196573"/>
      <w:bookmarkStart w:id="358" w:name="_Toc102997622"/>
      <w:bookmarkStart w:id="359" w:name="_Toc515205246"/>
      <w:r>
        <w:rPr>
          <w:rFonts w:ascii="Times New Roman" w:hAnsi="Times New Roman" w:eastAsia="宋体" w:cs="Times New Roman"/>
          <w:b/>
          <w:bCs/>
          <w:color w:val="auto"/>
          <w:kern w:val="2"/>
          <w:sz w:val="32"/>
          <w:szCs w:val="32"/>
          <w:highlight w:val="none"/>
          <w:lang w:val="en-US" w:eastAsia="zh-CN" w:bidi="ar-SA"/>
        </w:rPr>
        <w:t>8.5 投诉</w:t>
      </w:r>
      <w:bookmarkEnd w:id="357"/>
      <w:bookmarkEnd w:id="358"/>
      <w:bookmarkEnd w:id="359"/>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8.5.2 投标人或者其他利害关系人对招标文件、开标和评标结果提出投诉的，应当按照投标人须知第2.4款、第5.3款和第7.2款的规定先向招标人提出异议。异议答复期间</w:t>
      </w:r>
      <w:bookmarkStart w:id="360" w:name="_Toc152042346"/>
      <w:bookmarkStart w:id="361" w:name="_Toc152045570"/>
      <w:bookmarkStart w:id="362" w:name="_Toc361508630"/>
      <w:bookmarkStart w:id="363" w:name="_Toc247513994"/>
      <w:bookmarkStart w:id="364" w:name="_Toc384308255"/>
      <w:bookmarkStart w:id="365" w:name="_Toc144974538"/>
      <w:bookmarkStart w:id="366" w:name="_Toc369531561"/>
      <w:bookmarkStart w:id="367" w:name="_Toc247527595"/>
      <w:bookmarkStart w:id="368" w:name="_Toc300834993"/>
      <w:bookmarkStart w:id="369" w:name="_Toc12776"/>
      <w:bookmarkStart w:id="370" w:name="_Toc352691517"/>
      <w:r>
        <w:rPr>
          <w:rFonts w:ascii="Times New Roman" w:hAnsi="Times New Roman" w:eastAsia="宋体" w:cs="Times New Roman"/>
          <w:color w:val="auto"/>
          <w:sz w:val="24"/>
          <w:highlight w:val="none"/>
        </w:rPr>
        <w:t>不计算在第8.5.</w:t>
      </w:r>
      <w:bookmarkEnd w:id="360"/>
      <w:bookmarkEnd w:id="361"/>
      <w:bookmarkEnd w:id="362"/>
      <w:bookmarkEnd w:id="363"/>
      <w:bookmarkEnd w:id="364"/>
      <w:bookmarkEnd w:id="365"/>
      <w:bookmarkEnd w:id="366"/>
      <w:bookmarkEnd w:id="367"/>
      <w:bookmarkEnd w:id="368"/>
      <w:bookmarkEnd w:id="369"/>
      <w:bookmarkEnd w:id="370"/>
      <w:r>
        <w:rPr>
          <w:rFonts w:ascii="Times New Roman" w:hAnsi="Times New Roman" w:eastAsia="宋体" w:cs="Times New Roman"/>
          <w:color w:val="auto"/>
          <w:sz w:val="24"/>
          <w:highlight w:val="none"/>
        </w:rPr>
        <w:t>1项规定的期限内。</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71" w:name="_Toc102997623"/>
      <w:bookmarkStart w:id="372" w:name="_Toc515205247"/>
      <w:bookmarkStart w:id="373" w:name="_Toc477134992"/>
      <w:bookmarkStart w:id="374" w:name="_Toc529196574"/>
      <w:r>
        <w:rPr>
          <w:rFonts w:ascii="Times New Roman" w:hAnsi="Times New Roman" w:eastAsia="宋体" w:cs="Times New Roman"/>
          <w:b/>
          <w:bCs/>
          <w:color w:val="auto"/>
          <w:kern w:val="2"/>
          <w:sz w:val="32"/>
          <w:szCs w:val="32"/>
          <w:highlight w:val="none"/>
          <w:lang w:val="en-US" w:eastAsia="zh-CN" w:bidi="ar-SA"/>
        </w:rPr>
        <w:t>9. 是否采用电子招标投标</w:t>
      </w:r>
      <w:bookmarkEnd w:id="371"/>
      <w:bookmarkEnd w:id="372"/>
      <w:bookmarkEnd w:id="373"/>
      <w:bookmarkEnd w:id="37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本招标项目是否采用电子招标投标方式，见投标人须知前附表。</w:t>
      </w:r>
    </w:p>
    <w:p>
      <w:pPr>
        <w:keepNext/>
        <w:keepLines/>
        <w:widowControl w:val="0"/>
        <w:spacing w:before="0" w:after="0" w:line="360"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75" w:name="_Toc515205248"/>
      <w:bookmarkStart w:id="376" w:name="_Toc529196575"/>
      <w:bookmarkStart w:id="377" w:name="_Toc102997624"/>
      <w:r>
        <w:rPr>
          <w:rFonts w:ascii="Times New Roman" w:hAnsi="Times New Roman" w:eastAsia="宋体" w:cs="Times New Roman"/>
          <w:b/>
          <w:bCs/>
          <w:color w:val="auto"/>
          <w:kern w:val="2"/>
          <w:sz w:val="32"/>
          <w:szCs w:val="32"/>
          <w:highlight w:val="none"/>
          <w:lang w:val="en-US" w:eastAsia="zh-CN" w:bidi="ar-SA"/>
        </w:rPr>
        <w:t>10. 需要补充的其他内容</w:t>
      </w:r>
      <w:bookmarkEnd w:id="375"/>
      <w:bookmarkEnd w:id="376"/>
      <w:bookmarkEnd w:id="377"/>
    </w:p>
    <w:p>
      <w:pPr>
        <w:spacing w:line="360" w:lineRule="auto"/>
        <w:rPr>
          <w:rFonts w:ascii="Times New Roman" w:hAnsi="Times New Roman" w:eastAsia="宋体" w:cs="Times New Roman"/>
          <w:b/>
          <w:bCs/>
          <w:color w:val="auto"/>
          <w:sz w:val="28"/>
          <w:szCs w:val="20"/>
          <w:highlight w:val="none"/>
        </w:rPr>
      </w:pPr>
      <w:r>
        <w:rPr>
          <w:rFonts w:ascii="Times New Roman" w:hAnsi="Times New Roman" w:eastAsia="宋体" w:cs="Times New Roman"/>
          <w:color w:val="auto"/>
          <w:sz w:val="24"/>
          <w:highlight w:val="none"/>
        </w:rPr>
        <w:t>见投标人须知前附表。</w:t>
      </w:r>
      <w:r>
        <w:rPr>
          <w:rFonts w:ascii="Times New Roman" w:hAnsi="Times New Roman" w:eastAsia="宋体" w:cs="Times New Roman"/>
          <w:b/>
          <w:bCs/>
          <w:color w:val="auto"/>
          <w:sz w:val="28"/>
          <w:szCs w:val="20"/>
          <w:highlight w:val="none"/>
        </w:rPr>
        <w:br w:type="page"/>
      </w:r>
      <w:bookmarkStart w:id="378" w:name="_Toc530728900"/>
      <w:r>
        <w:rPr>
          <w:rFonts w:ascii="Times New Roman" w:hAnsi="Times New Roman" w:eastAsia="宋体" w:cs="Times New Roman"/>
          <w:b/>
          <w:bCs/>
          <w:color w:val="auto"/>
          <w:sz w:val="28"/>
          <w:szCs w:val="20"/>
          <w:highlight w:val="none"/>
        </w:rPr>
        <w:t>附件一：开标记录表</w:t>
      </w:r>
      <w:bookmarkEnd w:id="378"/>
    </w:p>
    <w:p>
      <w:pPr>
        <w:spacing w:line="440" w:lineRule="exact"/>
        <w:jc w:val="center"/>
        <w:rPr>
          <w:rFonts w:ascii="Times New Roman" w:hAnsi="Times New Roman" w:eastAsia="宋体" w:cs="Times New Roman"/>
          <w:color w:val="auto"/>
          <w:sz w:val="28"/>
          <w:highlight w:val="none"/>
        </w:rPr>
      </w:pPr>
      <w:r>
        <w:rPr>
          <w:rFonts w:ascii="Times New Roman" w:hAnsi="Times New Roman" w:eastAsia="宋体" w:cs="Times New Roman"/>
          <w:color w:val="auto"/>
          <w:sz w:val="28"/>
          <w:highlight w:val="none"/>
        </w:rPr>
        <w:t>开标记录表</w:t>
      </w:r>
    </w:p>
    <w:p>
      <w:pPr>
        <w:wordWrap w:val="0"/>
        <w:spacing w:before="120" w:beforeLines="50" w:after="120" w:afterLines="50" w:line="400" w:lineRule="exact"/>
        <w:ind w:right="420"/>
        <w:jc w:val="right"/>
        <w:rPr>
          <w:rFonts w:ascii="Times New Roman" w:hAnsi="Times New Roman" w:eastAsia="宋体" w:cs="Times New Roman"/>
          <w:color w:val="auto"/>
          <w:highlight w:val="none"/>
        </w:rPr>
      </w:pPr>
      <w:r>
        <w:rPr>
          <w:rFonts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年</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月</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日</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时</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分</w:t>
      </w:r>
    </w:p>
    <w:p>
      <w:pPr>
        <w:spacing w:before="120" w:beforeLines="50" w:after="120" w:afterLines="50" w:line="400" w:lineRule="exact"/>
        <w:ind w:right="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w:t>
      </w:r>
      <w:r>
        <w:rPr>
          <w:rFonts w:ascii="Times New Roman" w:hAnsi="Times New Roman" w:eastAsia="宋体" w:cs="Times New Roman"/>
          <w:color w:val="auto"/>
          <w:highlight w:val="none"/>
        </w:rPr>
        <w:t>名称：</w:t>
      </w:r>
    </w:p>
    <w:tbl>
      <w:tblPr>
        <w:tblStyle w:val="18"/>
        <w:tblW w:w="8877" w:type="dxa"/>
        <w:jc w:val="center"/>
        <w:tblLayout w:type="fixed"/>
        <w:tblCellMar>
          <w:top w:w="0" w:type="dxa"/>
          <w:left w:w="108" w:type="dxa"/>
          <w:bottom w:w="0" w:type="dxa"/>
          <w:right w:w="108" w:type="dxa"/>
        </w:tblCellMar>
      </w:tblPr>
      <w:tblGrid>
        <w:gridCol w:w="510"/>
        <w:gridCol w:w="622"/>
        <w:gridCol w:w="735"/>
        <w:gridCol w:w="1004"/>
        <w:gridCol w:w="826"/>
        <w:gridCol w:w="961"/>
        <w:gridCol w:w="1188"/>
        <w:gridCol w:w="1188"/>
        <w:gridCol w:w="851"/>
        <w:gridCol w:w="992"/>
      </w:tblGrid>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序号</w:t>
            </w:r>
          </w:p>
        </w:tc>
        <w:tc>
          <w:tcPr>
            <w:tcW w:w="6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投标人</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密封情况</w:t>
            </w:r>
          </w:p>
        </w:tc>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投标报价</w:t>
            </w:r>
          </w:p>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（元）</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hint="eastAsia" w:ascii="Times New Roman" w:hAnsi="Times New Roman" w:eastAsia="宋体" w:cs="Times New Roman"/>
                <w:color w:val="auto"/>
                <w:sz w:val="18"/>
                <w:highlight w:val="none"/>
              </w:rPr>
              <w:t>项目负责人</w:t>
            </w: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服务期限</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hint="eastAsia" w:ascii="Times New Roman" w:hAnsi="Times New Roman" w:eastAsia="宋体" w:cs="Times New Roman"/>
                <w:color w:val="auto"/>
                <w:sz w:val="18"/>
                <w:highlight w:val="none"/>
              </w:rPr>
              <w:t>投标文件递交情况</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hint="eastAsia" w:ascii="Times New Roman" w:hAnsi="Times New Roman" w:eastAsia="宋体" w:cs="Times New Roman"/>
                <w:color w:val="auto"/>
                <w:sz w:val="18"/>
                <w:highlight w:val="none"/>
              </w:rPr>
              <w:t>投标文件解密情况</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备注</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color w:val="auto"/>
                <w:sz w:val="18"/>
                <w:highlight w:val="none"/>
              </w:rPr>
            </w:pPr>
            <w:r>
              <w:rPr>
                <w:rFonts w:ascii="Times New Roman" w:hAnsi="Times New Roman" w:eastAsia="宋体" w:cs="Times New Roman"/>
                <w:color w:val="auto"/>
                <w:sz w:val="18"/>
                <w:highlight w:val="none"/>
              </w:rPr>
              <w:t>投标人代表签名</w:t>
            </w: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trHeight w:val="50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最高投标限价：</w:t>
            </w: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宋体" w:cs="Times New Roman"/>
                <w:color w:val="auto"/>
                <w:highlight w:val="none"/>
              </w:rPr>
            </w:pPr>
          </w:p>
        </w:tc>
      </w:tr>
    </w:tbl>
    <w:p>
      <w:pPr>
        <w:spacing w:before="120" w:beforeLines="50" w:after="120" w:afterLines="50" w:line="400" w:lineRule="exact"/>
        <w:ind w:right="420"/>
        <w:jc w:val="right"/>
        <w:rPr>
          <w:rFonts w:ascii="Times New Roman" w:hAnsi="Times New Roman" w:eastAsia="宋体" w:cs="Times New Roman"/>
          <w:color w:val="auto"/>
          <w:highlight w:val="none"/>
        </w:rPr>
      </w:pPr>
    </w:p>
    <w:p>
      <w:pPr>
        <w:spacing w:line="44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t>　　　</w:t>
      </w:r>
    </w:p>
    <w:p>
      <w:pPr>
        <w:spacing w:line="6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t>招标人代表：</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记录人：</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监标人：</w:t>
      </w:r>
    </w:p>
    <w:p>
      <w:pPr>
        <w:wordWrap w:val="0"/>
        <w:spacing w:line="620" w:lineRule="exact"/>
        <w:jc w:val="right"/>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   年</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月</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日</w:t>
      </w:r>
    </w:p>
    <w:p>
      <w:pPr>
        <w:keepNext/>
        <w:keepLines/>
        <w:widowControl w:val="0"/>
        <w:spacing w:before="260" w:after="260" w:line="412" w:lineRule="auto"/>
        <w:jc w:val="both"/>
        <w:outlineLvl w:val="2"/>
        <w:rPr>
          <w:rFonts w:ascii="Times New Roman" w:hAnsi="Times New Roman" w:eastAsia="宋体" w:cs="Times New Roman"/>
          <w:b/>
          <w:bCs/>
          <w:color w:val="auto"/>
          <w:kern w:val="2"/>
          <w:sz w:val="28"/>
          <w:szCs w:val="28"/>
          <w:highlight w:val="none"/>
          <w:lang w:val="en-US" w:eastAsia="zh-CN" w:bidi="ar-SA"/>
        </w:rPr>
      </w:pPr>
      <w:bookmarkStart w:id="379" w:name="_Toc530728901"/>
    </w:p>
    <w:p>
      <w:pPr>
        <w:rPr>
          <w:rFonts w:ascii="Times New Roman" w:hAnsi="Times New Roman" w:eastAsia="宋体" w:cs="Times New Roman"/>
          <w:color w:val="auto"/>
          <w:highlight w:val="none"/>
        </w:rPr>
      </w:pPr>
    </w:p>
    <w:p>
      <w:pPr>
        <w:keepNext/>
        <w:keepLines/>
        <w:widowControl w:val="0"/>
        <w:spacing w:before="260" w:after="260" w:line="412" w:lineRule="auto"/>
        <w:jc w:val="both"/>
        <w:outlineLvl w:val="2"/>
        <w:rPr>
          <w:rFonts w:ascii="Times New Roman" w:hAnsi="Times New Roman" w:eastAsia="宋体" w:cs="Times New Roman"/>
          <w:b/>
          <w:bCs/>
          <w:color w:val="auto"/>
          <w:kern w:val="2"/>
          <w:sz w:val="28"/>
          <w:szCs w:val="28"/>
          <w:highlight w:val="none"/>
          <w:lang w:val="en-US" w:eastAsia="zh-CN" w:bidi="ar-SA"/>
        </w:rPr>
      </w:pPr>
      <w:bookmarkStart w:id="380" w:name="_Toc102997625"/>
      <w:r>
        <w:rPr>
          <w:rFonts w:ascii="Times New Roman" w:hAnsi="Times New Roman" w:eastAsia="宋体" w:cs="Times New Roman"/>
          <w:b/>
          <w:bCs/>
          <w:color w:val="auto"/>
          <w:kern w:val="2"/>
          <w:sz w:val="28"/>
          <w:szCs w:val="28"/>
          <w:highlight w:val="none"/>
          <w:lang w:val="en-US" w:eastAsia="zh-CN" w:bidi="ar-SA"/>
        </w:rPr>
        <w:t>附件二：问题澄清通知</w:t>
      </w:r>
      <w:r>
        <w:rPr>
          <w:rFonts w:hint="eastAsia" w:ascii="Times New Roman" w:hAnsi="Times New Roman" w:eastAsia="宋体" w:cs="Times New Roman"/>
          <w:b/>
          <w:bCs/>
          <w:color w:val="auto"/>
          <w:kern w:val="2"/>
          <w:sz w:val="28"/>
          <w:szCs w:val="28"/>
          <w:highlight w:val="none"/>
          <w:lang w:val="en-US" w:eastAsia="zh-CN" w:bidi="ar-SA"/>
        </w:rPr>
        <w:t>（按广州公共资源交易中心版式为准）</w:t>
      </w:r>
      <w:bookmarkEnd w:id="379"/>
      <w:bookmarkEnd w:id="380"/>
    </w:p>
    <w:p>
      <w:pPr>
        <w:spacing w:line="400" w:lineRule="exact"/>
        <w:rPr>
          <w:rFonts w:ascii="Times New Roman" w:hAnsi="Times New Roman" w:eastAsia="宋体" w:cs="Times New Roman"/>
          <w:b/>
          <w:bCs/>
          <w:color w:val="auto"/>
          <w:sz w:val="28"/>
          <w:szCs w:val="28"/>
          <w:highlight w:val="none"/>
        </w:rPr>
      </w:pPr>
    </w:p>
    <w:p>
      <w:pPr>
        <w:spacing w:line="400" w:lineRule="exact"/>
        <w:rPr>
          <w:rFonts w:ascii="Times New Roman" w:hAnsi="Times New Roman" w:eastAsia="宋体" w:cs="Times New Roman"/>
          <w:b/>
          <w:bCs/>
          <w:color w:val="auto"/>
          <w:sz w:val="28"/>
          <w:szCs w:val="28"/>
          <w:highlight w:val="none"/>
        </w:rPr>
      </w:pPr>
    </w:p>
    <w:p>
      <w:pPr>
        <w:keepNext/>
        <w:keepLines/>
        <w:widowControl w:val="0"/>
        <w:spacing w:before="260" w:after="260" w:line="412" w:lineRule="auto"/>
        <w:jc w:val="both"/>
        <w:outlineLvl w:val="2"/>
        <w:rPr>
          <w:rFonts w:ascii="Times New Roman" w:hAnsi="Times New Roman" w:eastAsia="宋体" w:cs="Times New Roman"/>
          <w:b/>
          <w:bCs/>
          <w:color w:val="auto"/>
          <w:kern w:val="2"/>
          <w:sz w:val="28"/>
          <w:szCs w:val="28"/>
          <w:highlight w:val="none"/>
          <w:lang w:val="en-US" w:eastAsia="zh-CN" w:bidi="ar-SA"/>
        </w:rPr>
      </w:pPr>
      <w:bookmarkStart w:id="381" w:name="_Toc102997626"/>
      <w:bookmarkStart w:id="382" w:name="_Toc530728902"/>
      <w:r>
        <w:rPr>
          <w:rFonts w:hint="eastAsia" w:ascii="Times New Roman" w:hAnsi="Times New Roman" w:eastAsia="宋体" w:cs="Times New Roman"/>
          <w:b/>
          <w:bCs/>
          <w:color w:val="auto"/>
          <w:kern w:val="2"/>
          <w:sz w:val="28"/>
          <w:szCs w:val="28"/>
          <w:highlight w:val="none"/>
          <w:lang w:val="en-US" w:eastAsia="zh-CN" w:bidi="ar-SA"/>
        </w:rPr>
        <w:t>附</w:t>
      </w:r>
      <w:r>
        <w:rPr>
          <w:rFonts w:ascii="Times New Roman" w:hAnsi="Times New Roman" w:eastAsia="宋体" w:cs="Times New Roman"/>
          <w:b/>
          <w:bCs/>
          <w:color w:val="auto"/>
          <w:kern w:val="2"/>
          <w:sz w:val="28"/>
          <w:szCs w:val="28"/>
          <w:highlight w:val="none"/>
          <w:lang w:val="en-US" w:eastAsia="zh-CN" w:bidi="ar-SA"/>
        </w:rPr>
        <w:t>件三：问题的澄清</w:t>
      </w:r>
      <w:r>
        <w:rPr>
          <w:rFonts w:hint="eastAsia" w:ascii="Times New Roman" w:hAnsi="Times New Roman" w:eastAsia="宋体" w:cs="Times New Roman"/>
          <w:b/>
          <w:bCs/>
          <w:color w:val="auto"/>
          <w:kern w:val="2"/>
          <w:sz w:val="28"/>
          <w:szCs w:val="28"/>
          <w:highlight w:val="none"/>
          <w:lang w:val="en-US" w:eastAsia="zh-CN" w:bidi="ar-SA"/>
        </w:rPr>
        <w:t>（按广州公共资源交易中心版式为准）</w:t>
      </w:r>
      <w:bookmarkEnd w:id="381"/>
      <w:bookmarkEnd w:id="382"/>
    </w:p>
    <w:p>
      <w:pPr>
        <w:spacing w:line="400" w:lineRule="exact"/>
        <w:rPr>
          <w:rFonts w:ascii="Times New Roman" w:hAnsi="Times New Roman" w:eastAsia="宋体" w:cs="Times New Roman"/>
          <w:b/>
          <w:bCs/>
          <w:color w:val="auto"/>
          <w:sz w:val="28"/>
          <w:szCs w:val="28"/>
          <w:highlight w:val="none"/>
        </w:rPr>
      </w:pPr>
    </w:p>
    <w:p>
      <w:pPr>
        <w:spacing w:line="400" w:lineRule="exact"/>
        <w:rPr>
          <w:rFonts w:ascii="Times New Roman" w:hAnsi="Times New Roman" w:eastAsia="宋体" w:cs="Times New Roman"/>
          <w:b/>
          <w:bCs/>
          <w:color w:val="auto"/>
          <w:sz w:val="28"/>
          <w:szCs w:val="28"/>
          <w:highlight w:val="none"/>
        </w:rPr>
      </w:pPr>
    </w:p>
    <w:p>
      <w:pPr>
        <w:keepNext/>
        <w:keepLines/>
        <w:widowControl w:val="0"/>
        <w:spacing w:before="260" w:after="260" w:line="412" w:lineRule="auto"/>
        <w:jc w:val="both"/>
        <w:outlineLvl w:val="2"/>
        <w:rPr>
          <w:rFonts w:ascii="Times New Roman" w:hAnsi="Times New Roman" w:eastAsia="宋体" w:cs="Times New Roman"/>
          <w:b/>
          <w:bCs/>
          <w:color w:val="auto"/>
          <w:kern w:val="2"/>
          <w:sz w:val="28"/>
          <w:szCs w:val="28"/>
          <w:highlight w:val="none"/>
          <w:lang w:val="en-US" w:eastAsia="zh-CN" w:bidi="ar-SA"/>
        </w:rPr>
      </w:pPr>
      <w:bookmarkStart w:id="383" w:name="_Toc102997627"/>
      <w:bookmarkStart w:id="384" w:name="_Toc530728903"/>
      <w:r>
        <w:rPr>
          <w:rFonts w:hint="eastAsia" w:ascii="Times New Roman" w:hAnsi="Times New Roman" w:eastAsia="宋体" w:cs="Times New Roman"/>
          <w:b/>
          <w:bCs/>
          <w:color w:val="auto"/>
          <w:kern w:val="2"/>
          <w:sz w:val="28"/>
          <w:szCs w:val="28"/>
          <w:highlight w:val="none"/>
          <w:lang w:val="en-US" w:eastAsia="zh-CN" w:bidi="ar-SA"/>
        </w:rPr>
        <w:t>附件四：中标通知书（按广州公共资源交易中心中标通知书格式）</w:t>
      </w:r>
      <w:bookmarkEnd w:id="383"/>
      <w:bookmarkEnd w:id="384"/>
    </w:p>
    <w:p>
      <w:pPr>
        <w:spacing w:line="440" w:lineRule="exact"/>
        <w:rPr>
          <w:rFonts w:ascii="Times New Roman" w:hAnsi="Times New Roman" w:eastAsia="宋体" w:cs="Times New Roman"/>
          <w:b/>
          <w:bCs/>
          <w:color w:val="auto"/>
          <w:sz w:val="28"/>
          <w:szCs w:val="28"/>
          <w:highlight w:val="none"/>
        </w:rPr>
      </w:pPr>
    </w:p>
    <w:p>
      <w:pPr>
        <w:spacing w:line="440" w:lineRule="exact"/>
        <w:rPr>
          <w:rFonts w:ascii="Times New Roman" w:hAnsi="Times New Roman" w:eastAsia="宋体" w:cs="Times New Roman"/>
          <w:b/>
          <w:bCs/>
          <w:color w:val="auto"/>
          <w:sz w:val="28"/>
          <w:szCs w:val="28"/>
          <w:highlight w:val="none"/>
        </w:rPr>
      </w:pPr>
    </w:p>
    <w:p>
      <w:pPr>
        <w:rPr>
          <w:rFonts w:ascii="Times New Roman" w:hAnsi="Times New Roman" w:eastAsia="宋体" w:cs="Times New Roman"/>
          <w:color w:val="auto"/>
          <w:highlight w:val="none"/>
        </w:rPr>
      </w:pPr>
    </w:p>
    <w:p>
      <w:pPr>
        <w:spacing w:line="502" w:lineRule="exact"/>
        <w:jc w:val="center"/>
        <w:outlineLvl w:val="1"/>
        <w:rPr>
          <w:rFonts w:ascii="Times New Roman" w:hAnsi="Times New Roman" w:eastAsia="宋体" w:cs="Times New Roman"/>
          <w:b/>
          <w:color w:val="auto"/>
          <w:sz w:val="44"/>
          <w:highlight w:val="none"/>
        </w:rPr>
      </w:pPr>
      <w:r>
        <w:rPr>
          <w:rFonts w:ascii="Times New Roman" w:hAnsi="Times New Roman" w:eastAsia="宋体" w:cs="Times New Roman"/>
          <w:b/>
          <w:color w:val="auto"/>
          <w:sz w:val="32"/>
          <w:highlight w:val="none"/>
        </w:rPr>
        <w:br w:type="page"/>
      </w:r>
      <w:bookmarkStart w:id="385" w:name="_Toc102997628"/>
      <w:r>
        <w:rPr>
          <w:rFonts w:ascii="Times New Roman" w:hAnsi="Times New Roman" w:eastAsia="宋体" w:cs="Times New Roman"/>
          <w:b/>
          <w:color w:val="auto"/>
          <w:sz w:val="44"/>
          <w:highlight w:val="none"/>
        </w:rPr>
        <w:t>第三章</w:t>
      </w:r>
      <w:r>
        <w:rPr>
          <w:rFonts w:hint="eastAsia" w:ascii="Times New Roman" w:hAnsi="Times New Roman" w:eastAsia="宋体" w:cs="Times New Roman"/>
          <w:b/>
          <w:color w:val="auto"/>
          <w:sz w:val="44"/>
          <w:highlight w:val="none"/>
        </w:rPr>
        <w:t xml:space="preserve"> </w:t>
      </w:r>
      <w:r>
        <w:rPr>
          <w:rFonts w:ascii="Times New Roman" w:hAnsi="Times New Roman" w:eastAsia="宋体" w:cs="Times New Roman"/>
          <w:b/>
          <w:color w:val="auto"/>
          <w:sz w:val="44"/>
          <w:highlight w:val="none"/>
        </w:rPr>
        <w:t>评标办法</w:t>
      </w:r>
      <w:bookmarkEnd w:id="385"/>
    </w:p>
    <w:p>
      <w:pPr>
        <w:spacing w:before="120" w:beforeLines="50" w:after="120" w:afterLines="50" w:line="366" w:lineRule="exact"/>
        <w:jc w:val="center"/>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评标办法前附表</w:t>
      </w:r>
    </w:p>
    <w:tbl>
      <w:tblPr>
        <w:tblStyle w:val="18"/>
        <w:tblW w:w="9356"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1315"/>
        <w:gridCol w:w="1945"/>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27" w:type="dxa"/>
            <w:gridSpan w:val="2"/>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条款号</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评审因素</w:t>
            </w:r>
          </w:p>
        </w:tc>
        <w:tc>
          <w:tcPr>
            <w:tcW w:w="5284" w:type="dxa"/>
            <w:tcBorders>
              <w:top w:val="single" w:color="auto" w:sz="4" w:space="0"/>
              <w:left w:val="single" w:color="auto" w:sz="4" w:space="0"/>
              <w:bottom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12" w:type="dxa"/>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1</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评标方法</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中标候选人排序方法</w:t>
            </w:r>
          </w:p>
        </w:tc>
        <w:tc>
          <w:tcPr>
            <w:tcW w:w="5284" w:type="dxa"/>
            <w:tcBorders>
              <w:top w:val="single" w:color="auto" w:sz="4" w:space="0"/>
              <w:left w:val="single" w:color="auto" w:sz="4" w:space="0"/>
              <w:bottom w:val="single" w:color="auto" w:sz="4" w:space="0"/>
            </w:tcBorders>
            <w:vAlign w:val="center"/>
          </w:tcPr>
          <w:p>
            <w:pPr>
              <w:spacing w:line="360" w:lineRule="auto"/>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u w:val="single"/>
              </w:rPr>
              <w:t>1、本次评标采用综合评估法。</w:t>
            </w:r>
          </w:p>
          <w:p>
            <w:pPr>
              <w:spacing w:line="360" w:lineRule="auto"/>
              <w:rPr>
                <w:rFonts w:cs="Times New Roman"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u w:val="single"/>
              </w:rPr>
              <w:t>2、总得分由高到低顺序对投标人进行排序，投标人总得分相等时，以投标报价低的优先；投标报价也相等的，以</w:t>
            </w:r>
            <w:r>
              <w:rPr>
                <w:rFonts w:hint="eastAsia" w:cs="宋体" w:asciiTheme="minorEastAsia" w:hAnsiTheme="minorEastAsia" w:eastAsiaTheme="minorEastAsia"/>
                <w:color w:val="auto"/>
                <w:szCs w:val="21"/>
                <w:highlight w:val="none"/>
                <w:u w:val="single"/>
              </w:rPr>
              <w:t>资信业绩</w:t>
            </w:r>
            <w:r>
              <w:rPr>
                <w:rFonts w:cs="宋体" w:asciiTheme="minorEastAsia" w:hAnsiTheme="minorEastAsia" w:eastAsiaTheme="minorEastAsia"/>
                <w:color w:val="auto"/>
                <w:szCs w:val="21"/>
                <w:highlight w:val="none"/>
                <w:u w:val="single"/>
              </w:rPr>
              <w:t>得分高的优先；如果</w:t>
            </w:r>
            <w:r>
              <w:rPr>
                <w:rFonts w:hint="eastAsia" w:cs="宋体" w:asciiTheme="minorEastAsia" w:hAnsiTheme="minorEastAsia" w:eastAsiaTheme="minorEastAsia"/>
                <w:color w:val="auto"/>
                <w:szCs w:val="21"/>
                <w:highlight w:val="none"/>
                <w:u w:val="single"/>
              </w:rPr>
              <w:t>资信业绩</w:t>
            </w:r>
            <w:r>
              <w:rPr>
                <w:rFonts w:cs="宋体" w:asciiTheme="minorEastAsia" w:hAnsiTheme="minorEastAsia" w:eastAsiaTheme="minorEastAsia"/>
                <w:color w:val="auto"/>
                <w:szCs w:val="21"/>
                <w:highlight w:val="none"/>
                <w:u w:val="single"/>
              </w:rPr>
              <w:t>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restart"/>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2.1.1</w:t>
            </w:r>
          </w:p>
        </w:tc>
        <w:tc>
          <w:tcPr>
            <w:tcW w:w="1315" w:type="dxa"/>
            <w:vMerge w:val="restart"/>
            <w:tcBorders>
              <w:top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形式评审标准</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投标人名称</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与营业执照</w:t>
            </w:r>
            <w:r>
              <w:rPr>
                <w:rFonts w:hint="eastAsia" w:cs="Times New Roman" w:asciiTheme="minorEastAsia" w:hAnsiTheme="minorEastAsia" w:eastAsiaTheme="minorEastAsia"/>
                <w:color w:val="auto"/>
                <w:szCs w:val="21"/>
                <w:highlight w:val="none"/>
                <w:u w:val="single"/>
              </w:rPr>
              <w:t>（或事业单位法人证书）</w:t>
            </w:r>
            <w:r>
              <w:rPr>
                <w:rFonts w:hint="eastAsia" w:cs="Times New Roman" w:asciiTheme="minorEastAsia" w:hAnsiTheme="minorEastAsia" w:eastAsiaTheme="minorEastAsia"/>
                <w:color w:val="auto"/>
                <w:szCs w:val="21"/>
                <w:highlight w:val="none"/>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top w:val="nil"/>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投标函及投标函附录签字盖章</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有法定代表人或被授权人签字（或盖章）并加盖单位章。由法定代表人签字（或盖章）的，应附法定代表人身份证明；由被授权人签字（或盖章）的，应附法定代表人身份证明及授权委托书。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top w:val="nil"/>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投标文件格式</w:t>
            </w:r>
          </w:p>
        </w:tc>
        <w:tc>
          <w:tcPr>
            <w:tcW w:w="5284" w:type="dxa"/>
            <w:tcBorders>
              <w:top w:val="single" w:color="auto" w:sz="4" w:space="0"/>
              <w:left w:val="single" w:color="auto" w:sz="4" w:space="0"/>
              <w:bottom w:val="single" w:color="auto" w:sz="4" w:space="0"/>
            </w:tcBorders>
            <w:vAlign w:val="center"/>
          </w:tcPr>
          <w:p>
            <w:pPr>
              <w:spacing w:line="360" w:lineRule="auto"/>
              <w:rPr>
                <w:rFonts w:cs="楷体" w:asciiTheme="minorEastAsia" w:hAnsiTheme="minorEastAsia" w:eastAsiaTheme="minorEastAsia"/>
                <w:color w:val="auto"/>
                <w:kern w:val="0"/>
                <w:szCs w:val="21"/>
                <w:highlight w:val="none"/>
                <w:u w:val="single"/>
              </w:rPr>
            </w:pPr>
            <w:r>
              <w:rPr>
                <w:rFonts w:hint="eastAsia" w:cs="楷体" w:asciiTheme="minorEastAsia" w:hAnsiTheme="minorEastAsia" w:eastAsiaTheme="minorEastAsia"/>
                <w:b/>
                <w:color w:val="auto"/>
                <w:kern w:val="0"/>
                <w:szCs w:val="21"/>
                <w:highlight w:val="none"/>
                <w:u w:val="single"/>
              </w:rPr>
              <w:t>《投标人声明》、《投标函及其附录》、《技术响应承诺书》</w:t>
            </w:r>
            <w:r>
              <w:rPr>
                <w:rFonts w:hint="eastAsia" w:cs="楷体" w:asciiTheme="minorEastAsia" w:hAnsiTheme="minorEastAsia" w:eastAsiaTheme="minorEastAsia"/>
                <w:color w:val="auto"/>
                <w:kern w:val="0"/>
                <w:szCs w:val="21"/>
                <w:highlight w:val="none"/>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top w:val="nil"/>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pacing w:val="-7"/>
                <w:szCs w:val="21"/>
                <w:highlight w:val="none"/>
              </w:rPr>
              <w:t>备选投标方案</w:t>
            </w:r>
          </w:p>
        </w:tc>
        <w:tc>
          <w:tcPr>
            <w:tcW w:w="5284" w:type="dxa"/>
            <w:tcBorders>
              <w:top w:val="single" w:color="auto" w:sz="4" w:space="0"/>
              <w:left w:val="single" w:color="auto" w:sz="4" w:space="0"/>
              <w:bottom w:val="single" w:color="auto" w:sz="4" w:space="0"/>
            </w:tcBorders>
            <w:vAlign w:val="center"/>
          </w:tcPr>
          <w:p>
            <w:pPr>
              <w:widowControl/>
              <w:spacing w:line="360" w:lineRule="auto"/>
              <w:jc w:val="left"/>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top w:val="nil"/>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kern w:val="0"/>
                <w:szCs w:val="21"/>
                <w:highlight w:val="none"/>
              </w:rPr>
              <w:t>联合体投标人</w:t>
            </w:r>
          </w:p>
        </w:tc>
        <w:tc>
          <w:tcPr>
            <w:tcW w:w="5284" w:type="dxa"/>
            <w:tcBorders>
              <w:top w:val="single" w:color="auto" w:sz="4" w:space="0"/>
              <w:left w:val="single" w:color="auto" w:sz="4" w:space="0"/>
              <w:bottom w:val="single" w:color="auto" w:sz="4" w:space="0"/>
            </w:tcBorders>
            <w:vAlign w:val="center"/>
          </w:tcPr>
          <w:p>
            <w:pPr>
              <w:widowControl/>
              <w:spacing w:line="360" w:lineRule="auto"/>
              <w:jc w:val="left"/>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12" w:type="dxa"/>
            <w:vMerge w:val="continue"/>
            <w:tcBorders>
              <w:top w:val="nil"/>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投标人机器码</w:t>
            </w:r>
          </w:p>
        </w:tc>
        <w:tc>
          <w:tcPr>
            <w:tcW w:w="5284" w:type="dxa"/>
            <w:tcBorders>
              <w:top w:val="single" w:color="auto" w:sz="4" w:space="0"/>
              <w:lef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restart"/>
            <w:tcBorders>
              <w:top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2.1.2</w:t>
            </w:r>
          </w:p>
        </w:tc>
        <w:tc>
          <w:tcPr>
            <w:tcW w:w="1315" w:type="dxa"/>
            <w:vMerge w:val="restart"/>
            <w:tcBorders>
              <w:top w:val="single" w:color="auto" w:sz="4" w:space="0"/>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楷体" w:asciiTheme="minorEastAsia" w:hAnsiTheme="minorEastAsia" w:eastAsiaTheme="minorEastAsia"/>
                <w:color w:val="auto"/>
                <w:kern w:val="0"/>
                <w:szCs w:val="21"/>
                <w:highlight w:val="none"/>
              </w:rPr>
              <w:t>资格评审标准</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u w:val="single"/>
              </w:rPr>
            </w:pPr>
            <w:r>
              <w:rPr>
                <w:rFonts w:hint="eastAsia" w:cs="楷体" w:asciiTheme="minorEastAsia" w:hAnsiTheme="minorEastAsia" w:eastAsiaTheme="minorEastAsia"/>
                <w:color w:val="auto"/>
                <w:szCs w:val="21"/>
                <w:highlight w:val="none"/>
              </w:rPr>
              <w:t>营业执照（或事业单位法人证书）</w:t>
            </w:r>
          </w:p>
        </w:tc>
        <w:tc>
          <w:tcPr>
            <w:tcW w:w="5284"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ind w:right="71" w:rightChars="34"/>
              <w:rPr>
                <w:rFonts w:cs="楷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持有事业单位登记管理部门核发的事业单位法人证书且在有效期内或工商行政</w:t>
            </w:r>
            <w:r>
              <w:rPr>
                <w:rFonts w:hint="eastAsia" w:cs="宋体" w:asciiTheme="minorEastAsia" w:hAnsiTheme="minorEastAsia" w:eastAsiaTheme="minorEastAsia"/>
                <w:color w:val="auto"/>
                <w:szCs w:val="21"/>
                <w:highlight w:val="none"/>
                <w:u w:val="single"/>
                <w:lang w:bidi="ar"/>
              </w:rPr>
              <w:t>（或市场监督）</w:t>
            </w:r>
            <w:r>
              <w:rPr>
                <w:rFonts w:hint="eastAsia" w:cs="宋体" w:asciiTheme="minorEastAsia" w:hAnsiTheme="minorEastAsia" w:eastAsiaTheme="minorEastAsia"/>
                <w:color w:val="auto"/>
                <w:kern w:val="0"/>
                <w:szCs w:val="21"/>
                <w:highlight w:val="none"/>
              </w:rPr>
              <w:t>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资质要求</w:t>
            </w:r>
          </w:p>
        </w:tc>
        <w:tc>
          <w:tcPr>
            <w:tcW w:w="5284"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rPr>
                <w:rFonts w:cs="楷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满足招标公告第3.1的要求。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项目负责人</w:t>
            </w:r>
          </w:p>
        </w:tc>
        <w:tc>
          <w:tcPr>
            <w:tcW w:w="5284"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rPr>
                <w:rFonts w:cs="楷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满足</w:t>
            </w:r>
            <w:r>
              <w:rPr>
                <w:rFonts w:hint="eastAsia" w:cs="楷体" w:asciiTheme="minorEastAsia" w:hAnsiTheme="minorEastAsia" w:eastAsiaTheme="minorEastAsia"/>
                <w:color w:val="auto"/>
                <w:szCs w:val="21"/>
                <w:highlight w:val="none"/>
              </w:rPr>
              <w:t>招标公告第3.2点要求。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其他要求</w:t>
            </w:r>
          </w:p>
        </w:tc>
        <w:tc>
          <w:tcPr>
            <w:tcW w:w="5284"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满足招标公告第3.3、3.4点要求。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不存在禁止投标的情形</w:t>
            </w:r>
          </w:p>
        </w:tc>
        <w:tc>
          <w:tcPr>
            <w:tcW w:w="5284"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cs="楷体" w:asciiTheme="minorEastAsia" w:hAnsiTheme="minorEastAsia" w:eastAsiaTheme="minorEastAsia"/>
                <w:color w:val="auto"/>
                <w:kern w:val="0"/>
                <w:szCs w:val="21"/>
                <w:highlight w:val="none"/>
              </w:rPr>
            </w:pPr>
            <w:r>
              <w:rPr>
                <w:rFonts w:hint="eastAsia" w:cs="楷体" w:asciiTheme="minorEastAsia" w:hAnsiTheme="minorEastAsia" w:eastAsiaTheme="minorEastAsia"/>
                <w:color w:val="auto"/>
                <w:szCs w:val="21"/>
                <w:highlight w:val="none"/>
              </w:rPr>
              <w:t>不存在第二章“投标人须知”第1.4.3项规定的任何一种情形</w:t>
            </w:r>
            <w:r>
              <w:rPr>
                <w:rFonts w:hint="eastAsia" w:cs="Times New Roman" w:asciiTheme="minorEastAsia" w:hAnsiTheme="minorEastAsia" w:eastAsiaTheme="minorEastAsia"/>
                <w:color w:val="auto"/>
                <w:szCs w:val="21"/>
                <w:highlight w:val="none"/>
              </w:rPr>
              <w:t>（详见《投标函及其附录》）</w:t>
            </w:r>
            <w:r>
              <w:rPr>
                <w:rFonts w:hint="eastAsia" w:cs="楷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812" w:type="dxa"/>
            <w:vMerge w:val="restart"/>
            <w:tcBorders>
              <w:top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2.1.3</w:t>
            </w:r>
          </w:p>
        </w:tc>
        <w:tc>
          <w:tcPr>
            <w:tcW w:w="1315" w:type="dxa"/>
            <w:vMerge w:val="restart"/>
            <w:tcBorders>
              <w:top w:val="single" w:color="auto" w:sz="4" w:space="0"/>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响应性评审标准</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投标文件</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投标文件所列投标人名称、项目负责人与投标登记时一致；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投标报价</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符合第二章</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投标人须知</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第</w:t>
            </w:r>
            <w:r>
              <w:rPr>
                <w:rFonts w:cs="Times New Roman" w:asciiTheme="minorEastAsia" w:hAnsiTheme="minorEastAsia" w:eastAsiaTheme="minorEastAsia"/>
                <w:color w:val="auto"/>
                <w:szCs w:val="21"/>
                <w:highlight w:val="none"/>
              </w:rPr>
              <w:t>3.2</w:t>
            </w:r>
            <w:r>
              <w:rPr>
                <w:rFonts w:hint="eastAsia" w:cs="Times New Roman" w:asciiTheme="minorEastAsia" w:hAnsiTheme="minorEastAsia" w:eastAsiaTheme="minorEastAsia"/>
                <w:color w:val="auto"/>
                <w:szCs w:val="21"/>
                <w:highlight w:val="none"/>
              </w:rPr>
              <w:t>款规定进行投标报价的；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投标内容</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符合第二章</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投标人须知</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第</w:t>
            </w:r>
            <w:r>
              <w:rPr>
                <w:rFonts w:cs="Times New Roman" w:asciiTheme="minorEastAsia" w:hAnsiTheme="minorEastAsia" w:eastAsiaTheme="minorEastAsia"/>
                <w:color w:val="auto"/>
                <w:szCs w:val="21"/>
                <w:highlight w:val="none"/>
              </w:rPr>
              <w:t>1.3.1</w:t>
            </w:r>
            <w:r>
              <w:rPr>
                <w:rFonts w:hint="eastAsia" w:cs="Times New Roman" w:asciiTheme="minorEastAsia" w:hAnsiTheme="minorEastAsia" w:eastAsiaTheme="minorEastAsia"/>
                <w:color w:val="auto"/>
                <w:szCs w:val="21"/>
                <w:highlight w:val="none"/>
              </w:rPr>
              <w:t>项规定，有《技术响应承诺书》（详见第六章“投标文件格式”）；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服务期限</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符合第二章</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投标人须知</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第</w:t>
            </w:r>
            <w:r>
              <w:rPr>
                <w:rFonts w:cs="Times New Roman" w:asciiTheme="minorEastAsia" w:hAnsiTheme="minorEastAsia" w:eastAsiaTheme="minorEastAsia"/>
                <w:color w:val="auto"/>
                <w:szCs w:val="21"/>
                <w:highlight w:val="none"/>
              </w:rPr>
              <w:t>1.3.2</w:t>
            </w:r>
            <w:r>
              <w:rPr>
                <w:rFonts w:hint="eastAsia" w:cs="Times New Roman" w:asciiTheme="minorEastAsia" w:hAnsiTheme="minorEastAsia" w:eastAsia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质量标准</w:t>
            </w:r>
          </w:p>
        </w:tc>
        <w:tc>
          <w:tcPr>
            <w:tcW w:w="5284" w:type="dxa"/>
            <w:tcBorders>
              <w:top w:val="single" w:color="auto" w:sz="4" w:space="0"/>
              <w:left w:val="single" w:color="auto" w:sz="4" w:space="0"/>
              <w:bottom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符合第二章</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投标人须知</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第</w:t>
            </w:r>
            <w:r>
              <w:rPr>
                <w:rFonts w:cs="Times New Roman" w:asciiTheme="minorEastAsia" w:hAnsiTheme="minorEastAsia" w:eastAsiaTheme="minorEastAsia"/>
                <w:color w:val="auto"/>
                <w:szCs w:val="21"/>
                <w:highlight w:val="none"/>
              </w:rPr>
              <w:t>1.3.3</w:t>
            </w:r>
            <w:r>
              <w:rPr>
                <w:rFonts w:hint="eastAsia" w:cs="Times New Roman" w:asciiTheme="minorEastAsia" w:hAnsiTheme="minorEastAsia" w:eastAsia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2" w:type="dxa"/>
            <w:vMerge w:val="continue"/>
            <w:tcBorders>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投标有效期</w:t>
            </w:r>
          </w:p>
        </w:tc>
        <w:tc>
          <w:tcPr>
            <w:tcW w:w="5284" w:type="dxa"/>
            <w:tcBorders>
              <w:top w:val="single" w:color="auto" w:sz="4" w:space="0"/>
              <w:left w:val="single" w:color="auto" w:sz="4" w:space="0"/>
              <w:bottom w:val="single" w:color="auto" w:sz="4" w:space="0"/>
            </w:tcBorders>
          </w:tcPr>
          <w:p>
            <w:pPr>
              <w:spacing w:line="360" w:lineRule="auto"/>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符合第二章</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投标人须知</w:t>
            </w: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第</w:t>
            </w:r>
            <w:r>
              <w:rPr>
                <w:rFonts w:cs="Times New Roman" w:asciiTheme="minorEastAsia" w:hAnsiTheme="minorEastAsia" w:eastAsiaTheme="minorEastAsia"/>
                <w:color w:val="auto"/>
                <w:szCs w:val="21"/>
                <w:highlight w:val="none"/>
              </w:rPr>
              <w:t>3.3.1</w:t>
            </w:r>
            <w:r>
              <w:rPr>
                <w:rFonts w:hint="eastAsia" w:cs="Times New Roman" w:asciiTheme="minorEastAsia" w:hAnsiTheme="minorEastAsia" w:eastAsia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7" w:hRule="atLeast"/>
        </w:trPr>
        <w:tc>
          <w:tcPr>
            <w:tcW w:w="812" w:type="dxa"/>
            <w:vMerge w:val="continue"/>
            <w:tcBorders>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315" w:type="dxa"/>
            <w:vMerge w:val="continue"/>
            <w:tcBorders>
              <w:left w:val="single" w:color="auto" w:sz="4" w:space="0"/>
              <w:bottom w:val="single" w:color="auto" w:sz="4" w:space="0"/>
              <w:right w:val="single" w:color="auto" w:sz="4" w:space="0"/>
            </w:tcBorders>
            <w:vAlign w:val="center"/>
          </w:tcPr>
          <w:p>
            <w:pPr>
              <w:spacing w:line="360" w:lineRule="auto"/>
              <w:rPr>
                <w:rFonts w:cs="Times New Roman" w:asciiTheme="minorEastAsia" w:hAnsiTheme="minorEastAsia" w:eastAsiaTheme="minorEastAsia"/>
                <w:color w:val="auto"/>
                <w:szCs w:val="21"/>
                <w:highlight w:val="none"/>
              </w:rPr>
            </w:pPr>
          </w:p>
        </w:tc>
        <w:tc>
          <w:tcPr>
            <w:tcW w:w="1945" w:type="dxa"/>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cs="Times New Roman" w:asciiTheme="minorEastAsia" w:hAnsiTheme="minorEastAsia" w:eastAsiaTheme="minorEastAsia"/>
                <w:color w:val="auto"/>
                <w:szCs w:val="21"/>
                <w:highlight w:val="none"/>
              </w:rPr>
            </w:pPr>
            <w:r>
              <w:rPr>
                <w:rFonts w:hint="eastAsia" w:cs="楷体" w:asciiTheme="minorEastAsia" w:hAnsiTheme="minorEastAsia" w:eastAsiaTheme="minorEastAsia"/>
                <w:color w:val="auto"/>
                <w:kern w:val="0"/>
                <w:szCs w:val="21"/>
                <w:highlight w:val="none"/>
              </w:rPr>
              <w:t>串通投标情形</w:t>
            </w:r>
          </w:p>
        </w:tc>
        <w:tc>
          <w:tcPr>
            <w:tcW w:w="5284" w:type="dxa"/>
            <w:tcBorders>
              <w:top w:val="single" w:color="auto" w:sz="4" w:space="0"/>
              <w:left w:val="single" w:color="auto" w:sz="4" w:space="0"/>
            </w:tcBorders>
          </w:tcPr>
          <w:p>
            <w:pPr>
              <w:widowControl/>
              <w:spacing w:before="100" w:beforeAutospacing="1" w:after="100" w:afterAutospacing="1" w:line="360" w:lineRule="auto"/>
              <w:jc w:val="left"/>
              <w:rPr>
                <w:rFonts w:cs="Times New Roman" w:asciiTheme="minorEastAsia" w:hAnsiTheme="minorEastAsia" w:eastAsiaTheme="minorEastAsia"/>
                <w:color w:val="auto"/>
                <w:szCs w:val="21"/>
                <w:highlight w:val="none"/>
              </w:rPr>
            </w:pPr>
            <w:r>
              <w:rPr>
                <w:rFonts w:hint="eastAsia" w:cs="楷体" w:asciiTheme="minorEastAsia" w:hAnsiTheme="minorEastAsia" w:eastAsiaTheme="minorEastAsia"/>
                <w:color w:val="auto"/>
                <w:kern w:val="0"/>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27" w:type="dxa"/>
            <w:gridSpan w:val="2"/>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条款号</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条款内容</w:t>
            </w:r>
          </w:p>
        </w:tc>
        <w:tc>
          <w:tcPr>
            <w:tcW w:w="5284" w:type="dxa"/>
            <w:tcBorders>
              <w:top w:val="single" w:color="auto" w:sz="4" w:space="0"/>
              <w:left w:val="single" w:color="auto" w:sz="4" w:space="0"/>
              <w:bottom w:val="single" w:color="auto" w:sz="4" w:space="0"/>
            </w:tcBorders>
            <w:vAlign w:val="center"/>
          </w:tcPr>
          <w:p>
            <w:pPr>
              <w:spacing w:line="360" w:lineRule="auto"/>
              <w:jc w:val="center"/>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27" w:type="dxa"/>
            <w:gridSpan w:val="2"/>
            <w:tcBorders>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2.2.1</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分值构成</w:t>
            </w:r>
          </w:p>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总分</w:t>
            </w:r>
            <w:r>
              <w:rPr>
                <w:rFonts w:cs="Times New Roman" w:asciiTheme="minorEastAsia" w:hAnsiTheme="minorEastAsia" w:eastAsiaTheme="minorEastAsia"/>
                <w:color w:val="auto"/>
                <w:szCs w:val="21"/>
                <w:highlight w:val="none"/>
              </w:rPr>
              <w:t>100</w:t>
            </w:r>
            <w:r>
              <w:rPr>
                <w:rFonts w:hint="eastAsia" w:cs="Times New Roman" w:asciiTheme="minorEastAsia" w:hAnsiTheme="minorEastAsia" w:eastAsiaTheme="minorEastAsia"/>
                <w:color w:val="auto"/>
                <w:szCs w:val="21"/>
                <w:highlight w:val="none"/>
              </w:rPr>
              <w:t>分</w:t>
            </w:r>
            <w:r>
              <w:rPr>
                <w:rFonts w:cs="Times New Roman" w:asciiTheme="minorEastAsia" w:hAnsiTheme="minorEastAsia" w:eastAsiaTheme="minorEastAsia"/>
                <w:color w:val="auto"/>
                <w:szCs w:val="21"/>
                <w:highlight w:val="none"/>
              </w:rPr>
              <w:t>)</w:t>
            </w:r>
          </w:p>
        </w:tc>
        <w:tc>
          <w:tcPr>
            <w:tcW w:w="5284" w:type="dxa"/>
            <w:tcBorders>
              <w:top w:val="single" w:color="auto" w:sz="4" w:space="0"/>
              <w:left w:val="single" w:color="auto" w:sz="4" w:space="0"/>
              <w:bottom w:val="single" w:color="auto" w:sz="4" w:space="0"/>
            </w:tcBorders>
            <w:vAlign w:val="center"/>
          </w:tcPr>
          <w:p>
            <w:pPr>
              <w:spacing w:line="360" w:lineRule="auto"/>
              <w:jc w:val="left"/>
              <w:rPr>
                <w:rFonts w:cs="Times New Roman" w:asciiTheme="minorEastAsia" w:hAnsiTheme="minorEastAsia" w:eastAsiaTheme="minorEastAsia"/>
                <w:color w:val="auto"/>
                <w:szCs w:val="21"/>
                <w:highlight w:val="none"/>
                <w:u w:val="single"/>
              </w:rPr>
            </w:pPr>
            <w:r>
              <w:rPr>
                <w:rFonts w:hint="eastAsia" w:cs="Times New Roman" w:asciiTheme="minorEastAsia" w:hAnsiTheme="minorEastAsia" w:eastAsiaTheme="minorEastAsia"/>
                <w:color w:val="auto"/>
                <w:szCs w:val="21"/>
                <w:highlight w:val="none"/>
                <w:u w:val="single"/>
              </w:rPr>
              <w:t>资信业绩部分：</w:t>
            </w:r>
            <w:r>
              <w:rPr>
                <w:rFonts w:cs="Times New Roman" w:asciiTheme="minorEastAsia" w:hAnsiTheme="minorEastAsia" w:eastAsiaTheme="minorEastAsia"/>
                <w:color w:val="auto"/>
                <w:szCs w:val="21"/>
                <w:highlight w:val="none"/>
                <w:u w:val="single"/>
              </w:rPr>
              <w:t>4</w:t>
            </w:r>
            <w:r>
              <w:rPr>
                <w:rFonts w:hint="eastAsia" w:cs="Times New Roman" w:asciiTheme="minorEastAsia" w:hAnsiTheme="minorEastAsia" w:eastAsiaTheme="minorEastAsia"/>
                <w:color w:val="auto"/>
                <w:szCs w:val="21"/>
                <w:highlight w:val="none"/>
                <w:u w:val="single"/>
              </w:rPr>
              <w:t>5分</w:t>
            </w:r>
          </w:p>
          <w:p>
            <w:pPr>
              <w:spacing w:line="360" w:lineRule="auto"/>
              <w:jc w:val="left"/>
              <w:rPr>
                <w:rFonts w:cs="Times New Roman" w:asciiTheme="minorEastAsia" w:hAnsiTheme="minorEastAsia" w:eastAsiaTheme="minorEastAsia"/>
                <w:color w:val="auto"/>
                <w:szCs w:val="21"/>
                <w:highlight w:val="none"/>
                <w:u w:val="single"/>
              </w:rPr>
            </w:pPr>
            <w:r>
              <w:rPr>
                <w:rFonts w:hint="eastAsia" w:cs="Times New Roman" w:asciiTheme="minorEastAsia" w:hAnsiTheme="minorEastAsia" w:eastAsiaTheme="minorEastAsia"/>
                <w:color w:val="auto"/>
                <w:szCs w:val="21"/>
                <w:highlight w:val="none"/>
                <w:u w:val="single"/>
              </w:rPr>
              <w:t>检测方案部分：</w:t>
            </w:r>
            <w:r>
              <w:rPr>
                <w:rFonts w:hint="eastAsia" w:cs="Times New Roman" w:asciiTheme="minorEastAsia" w:hAnsiTheme="minorEastAsia" w:eastAsiaTheme="minorEastAsia"/>
                <w:color w:val="auto"/>
                <w:szCs w:val="21"/>
                <w:highlight w:val="none"/>
                <w:u w:val="single"/>
                <w:lang w:val="en-US" w:eastAsia="zh-CN"/>
              </w:rPr>
              <w:t>3</w:t>
            </w:r>
            <w:r>
              <w:rPr>
                <w:rFonts w:hint="eastAsia" w:cs="Times New Roman" w:asciiTheme="minorEastAsia" w:hAnsiTheme="minorEastAsia" w:eastAsiaTheme="minorEastAsia"/>
                <w:color w:val="auto"/>
                <w:szCs w:val="21"/>
                <w:highlight w:val="none"/>
                <w:u w:val="single"/>
              </w:rPr>
              <w:t>5分</w:t>
            </w:r>
          </w:p>
          <w:p>
            <w:pPr>
              <w:spacing w:line="360" w:lineRule="auto"/>
              <w:jc w:val="left"/>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u w:val="single"/>
              </w:rPr>
              <w:t>投标报价：</w:t>
            </w:r>
            <w:r>
              <w:rPr>
                <w:rFonts w:hint="eastAsia" w:cs="Times New Roman" w:asciiTheme="minorEastAsia" w:hAnsiTheme="minorEastAsia" w:eastAsiaTheme="minorEastAsia"/>
                <w:color w:val="auto"/>
                <w:szCs w:val="21"/>
                <w:highlight w:val="none"/>
                <w:u w:val="single"/>
                <w:lang w:val="en-US" w:eastAsia="zh-CN"/>
              </w:rPr>
              <w:t>2</w:t>
            </w:r>
            <w:r>
              <w:rPr>
                <w:rFonts w:hint="eastAsia" w:cs="Times New Roman" w:asciiTheme="minorEastAsia" w:hAnsiTheme="minorEastAsia" w:eastAsiaTheme="minorEastAsia"/>
                <w:color w:val="auto"/>
                <w:szCs w:val="21"/>
                <w:highlight w:val="none"/>
                <w:u w:val="singl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6" w:hRule="atLeast"/>
        </w:trPr>
        <w:tc>
          <w:tcPr>
            <w:tcW w:w="2127" w:type="dxa"/>
            <w:gridSpan w:val="2"/>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2.2.2</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评标基准价计算方法</w:t>
            </w:r>
          </w:p>
        </w:tc>
        <w:tc>
          <w:tcPr>
            <w:tcW w:w="5284" w:type="dxa"/>
            <w:tcBorders>
              <w:top w:val="single" w:color="auto" w:sz="4" w:space="0"/>
              <w:left w:val="single" w:color="auto" w:sz="4" w:space="0"/>
              <w:bottom w:val="single" w:color="auto" w:sz="4" w:space="0"/>
            </w:tcBorders>
            <w:vAlign w:val="center"/>
          </w:tcPr>
          <w:p>
            <w:pPr>
              <w:widowControl/>
              <w:spacing w:line="360" w:lineRule="auto"/>
              <w:jc w:val="left"/>
              <w:rPr>
                <w:rFonts w:cs="Tahoma" w:asciiTheme="minorEastAsia" w:hAnsiTheme="minorEastAsia" w:eastAsiaTheme="minorEastAsia"/>
                <w:bCs/>
                <w:color w:val="auto"/>
                <w:szCs w:val="21"/>
                <w:highlight w:val="none"/>
                <w:u w:val="single"/>
              </w:rPr>
            </w:pPr>
            <w:r>
              <w:rPr>
                <w:rFonts w:hint="eastAsia" w:cs="Tahoma" w:asciiTheme="minorEastAsia" w:hAnsiTheme="minorEastAsia" w:eastAsiaTheme="minorEastAsia"/>
                <w:bCs/>
                <w:color w:val="auto"/>
                <w:szCs w:val="21"/>
                <w:highlight w:val="none"/>
                <w:u w:val="single"/>
              </w:rPr>
              <w:t>（1）当通过初步评审（含形式评审、资格评审、响应性评审）的有效投标人大于5名时，去掉一个最高价和一个最低价，取余下有效投标价的算术平均值，计算评标基准价；</w:t>
            </w:r>
          </w:p>
          <w:p>
            <w:pPr>
              <w:widowControl/>
              <w:spacing w:line="360" w:lineRule="auto"/>
              <w:jc w:val="left"/>
              <w:rPr>
                <w:rFonts w:cs="Tahoma" w:asciiTheme="minorEastAsia" w:hAnsiTheme="minorEastAsia" w:eastAsiaTheme="minorEastAsia"/>
                <w:bCs/>
                <w:color w:val="auto"/>
                <w:szCs w:val="21"/>
                <w:highlight w:val="none"/>
                <w:u w:val="single"/>
              </w:rPr>
            </w:pPr>
            <w:r>
              <w:rPr>
                <w:rFonts w:hint="eastAsia" w:cs="Tahoma" w:asciiTheme="minorEastAsia" w:hAnsiTheme="minorEastAsia" w:eastAsiaTheme="minorEastAsia"/>
                <w:bCs/>
                <w:color w:val="auto"/>
                <w:szCs w:val="21"/>
                <w:highlight w:val="none"/>
                <w:u w:val="single"/>
              </w:rPr>
              <w:t>（2）当通过初步评审（含形式评审、资格评审、响应性评审）的有效投标人小于或等于5名时，取所有入围的有效投标价的算术平均值，计算评标基准价。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127" w:type="dxa"/>
            <w:gridSpan w:val="2"/>
            <w:tcBorders>
              <w:top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2.2.3</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投标报价的偏差率</w:t>
            </w:r>
          </w:p>
          <w:p>
            <w:pPr>
              <w:spacing w:line="360" w:lineRule="auto"/>
              <w:jc w:val="center"/>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计算公式</w:t>
            </w:r>
          </w:p>
        </w:tc>
        <w:tc>
          <w:tcPr>
            <w:tcW w:w="5284" w:type="dxa"/>
            <w:tcBorders>
              <w:top w:val="single" w:color="auto" w:sz="4" w:space="0"/>
              <w:left w:val="single" w:color="auto" w:sz="4" w:space="0"/>
              <w:bottom w:val="single" w:color="auto" w:sz="4" w:space="0"/>
            </w:tcBorders>
            <w:vAlign w:val="center"/>
          </w:tcPr>
          <w:p>
            <w:pPr>
              <w:spacing w:line="360" w:lineRule="auto"/>
              <w:jc w:val="left"/>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偏差率=（投标报价-评标基准价）/评标基准价*100%</w:t>
            </w:r>
          </w:p>
          <w:p>
            <w:pPr>
              <w:spacing w:line="360" w:lineRule="auto"/>
              <w:rPr>
                <w:rFonts w:cs="Times New Roman" w:asciiTheme="minorEastAsia" w:hAnsiTheme="minorEastAsia" w:eastAsiaTheme="minorEastAsia"/>
                <w:b/>
                <w:color w:val="auto"/>
                <w:szCs w:val="21"/>
                <w:highlight w:val="none"/>
                <w:u w:val="single"/>
              </w:rPr>
            </w:pPr>
            <w:r>
              <w:rPr>
                <w:rFonts w:hint="eastAsia" w:cs="Times New Roman" w:asciiTheme="minorEastAsia" w:hAnsiTheme="minorEastAsia" w:eastAsiaTheme="minorEastAsia"/>
                <w:color w:val="auto"/>
                <w:szCs w:val="21"/>
                <w:highlight w:val="none"/>
              </w:rPr>
              <w:t>偏差率四舍五入保留2位小数。</w:t>
            </w:r>
          </w:p>
        </w:tc>
      </w:tr>
    </w:tbl>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18"/>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28"/>
        <w:gridCol w:w="1663"/>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128" w:type="dxa"/>
            <w:gridSpan w:val="2"/>
            <w:shd w:val="clear" w:color="auto" w:fill="auto"/>
            <w:vAlign w:val="center"/>
          </w:tcPr>
          <w:p>
            <w:pPr>
              <w:snapToGrid w:val="0"/>
              <w:spacing w:line="360" w:lineRule="auto"/>
              <w:jc w:val="center"/>
              <w:rPr>
                <w:rFonts w:ascii="Times New Roman" w:hAnsi="Times New Roman" w:eastAsia="宋体" w:cs="Times New Roman"/>
                <w:color w:val="auto"/>
                <w:highlight w:val="none"/>
              </w:rPr>
            </w:pPr>
            <w:r>
              <w:rPr>
                <w:rFonts w:hint="eastAsia" w:ascii="Times New Roman" w:hAnsi="Times New Roman" w:eastAsia="宋体" w:cs="宋体"/>
                <w:color w:val="auto"/>
                <w:highlight w:val="none"/>
                <w:lang w:bidi="ar"/>
              </w:rPr>
              <w:t>条款号</w:t>
            </w:r>
          </w:p>
        </w:tc>
        <w:tc>
          <w:tcPr>
            <w:tcW w:w="1663" w:type="dxa"/>
            <w:shd w:val="clear" w:color="auto" w:fill="auto"/>
            <w:vAlign w:val="center"/>
          </w:tcPr>
          <w:p>
            <w:pPr>
              <w:widowControl/>
              <w:spacing w:before="0" w:beforeAutospacing="1" w:after="0" w:afterAutospacing="1" w:line="360" w:lineRule="auto"/>
              <w:jc w:val="center"/>
              <w:rPr>
                <w:rFonts w:hint="default"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宋体"/>
                <w:color w:val="auto"/>
                <w:kern w:val="0"/>
                <w:sz w:val="20"/>
                <w:szCs w:val="21"/>
                <w:highlight w:val="none"/>
                <w:lang w:val="en-US" w:eastAsia="zh-CN" w:bidi="ar-SA"/>
              </w:rPr>
              <w:t>评分因素</w:t>
            </w:r>
          </w:p>
        </w:tc>
        <w:tc>
          <w:tcPr>
            <w:tcW w:w="5572"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00" w:type="dxa"/>
            <w:vMerge w:val="restart"/>
            <w:shd w:val="clear" w:color="auto" w:fill="auto"/>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lang w:bidi="ar"/>
              </w:rPr>
              <w:t>2.2.4</w:t>
            </w:r>
            <w:r>
              <w:rPr>
                <w:rFonts w:hint="eastAsia" w:ascii="Times New Roman" w:hAnsi="Times New Roman" w:eastAsia="宋体" w:cs="宋体"/>
                <w:color w:val="auto"/>
                <w:highlight w:val="none"/>
                <w:lang w:bidi="ar"/>
              </w:rPr>
              <w:t>（</w:t>
            </w:r>
            <w:r>
              <w:rPr>
                <w:rFonts w:ascii="Times New Roman" w:hAnsi="Times New Roman" w:eastAsia="宋体" w:cs="Times New Roman"/>
                <w:color w:val="auto"/>
                <w:highlight w:val="none"/>
                <w:lang w:bidi="ar"/>
              </w:rPr>
              <w:t>1</w:t>
            </w:r>
            <w:r>
              <w:rPr>
                <w:rFonts w:hint="eastAsia" w:ascii="Times New Roman" w:hAnsi="Times New Roman" w:eastAsia="宋体" w:cs="宋体"/>
                <w:color w:val="auto"/>
                <w:highlight w:val="none"/>
                <w:lang w:bidi="ar"/>
              </w:rPr>
              <w:t>）</w:t>
            </w:r>
          </w:p>
        </w:tc>
        <w:tc>
          <w:tcPr>
            <w:tcW w:w="1228" w:type="dxa"/>
            <w:vMerge w:val="restart"/>
            <w:shd w:val="clear" w:color="auto" w:fill="auto"/>
            <w:vAlign w:val="center"/>
          </w:tcPr>
          <w:p>
            <w:pPr>
              <w:snapToGrid w:val="0"/>
              <w:spacing w:line="360" w:lineRule="auto"/>
              <w:rPr>
                <w:rFonts w:ascii="Times New Roman" w:hAnsi="Times New Roman" w:eastAsia="宋体" w:cs="Times New Roman"/>
                <w:color w:val="auto"/>
                <w:highlight w:val="none"/>
              </w:rPr>
            </w:pPr>
            <w:r>
              <w:rPr>
                <w:rFonts w:hint="eastAsia" w:ascii="Times New Roman" w:hAnsi="Times New Roman" w:eastAsia="宋体" w:cs="宋体"/>
                <w:color w:val="auto"/>
                <w:highlight w:val="none"/>
                <w:lang w:bidi="ar"/>
              </w:rPr>
              <w:t>资信业绩部分（</w:t>
            </w:r>
            <w:r>
              <w:rPr>
                <w:rFonts w:ascii="Times New Roman" w:hAnsi="Times New Roman" w:eastAsia="宋体" w:cs="Times New Roman"/>
                <w:color w:val="auto"/>
                <w:highlight w:val="none"/>
                <w:lang w:bidi="ar"/>
              </w:rPr>
              <w:t>45</w:t>
            </w:r>
            <w:r>
              <w:rPr>
                <w:rFonts w:hint="eastAsia" w:ascii="Times New Roman" w:hAnsi="Times New Roman" w:eastAsia="宋体" w:cs="宋体"/>
                <w:color w:val="auto"/>
                <w:highlight w:val="none"/>
                <w:lang w:bidi="ar"/>
              </w:rPr>
              <w:t>分）</w:t>
            </w:r>
          </w:p>
        </w:tc>
        <w:tc>
          <w:tcPr>
            <w:tcW w:w="1663" w:type="dxa"/>
            <w:shd w:val="clear" w:color="auto" w:fill="auto"/>
            <w:vAlign w:val="center"/>
          </w:tcPr>
          <w:p>
            <w:pPr>
              <w:widowControl/>
              <w:spacing w:before="100" w:beforeAutospacing="1" w:after="100" w:afterAutospacing="1" w:line="360" w:lineRule="auto"/>
              <w:contextualSpacing/>
              <w:jc w:val="cente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类似业绩</w:t>
            </w:r>
          </w:p>
          <w:p>
            <w:pPr>
              <w:widowControl/>
              <w:spacing w:before="100" w:beforeAutospacing="1" w:after="100" w:afterAutospacing="1" w:line="360" w:lineRule="auto"/>
              <w:contextualSpacing/>
              <w:jc w:val="center"/>
              <w:rPr>
                <w:rFonts w:hint="default" w:ascii="Times New Roman" w:hAnsi="Times New Roman" w:eastAsia="宋体" w:cs="Times New Roman"/>
                <w:color w:val="auto"/>
                <w:sz w:val="20"/>
                <w:szCs w:val="21"/>
                <w:highlight w:val="none"/>
              </w:rPr>
            </w:pPr>
            <w:r>
              <w:rPr>
                <w:rFonts w:hint="eastAsia" w:ascii="Calibri" w:hAnsi="Calibri" w:eastAsia="宋体" w:cs="Times New Roman"/>
                <w:color w:val="auto"/>
                <w:sz w:val="21"/>
                <w:szCs w:val="21"/>
                <w:highlight w:val="none"/>
              </w:rPr>
              <w:t>（</w:t>
            </w:r>
            <w:r>
              <w:rPr>
                <w:rFonts w:hint="eastAsia" w:ascii="宋体" w:hAnsi="宋体" w:eastAsia="宋体" w:cs="宋体"/>
                <w:color w:val="auto"/>
                <w:sz w:val="21"/>
                <w:szCs w:val="21"/>
                <w:highlight w:val="none"/>
              </w:rPr>
              <w:t>5</w:t>
            </w:r>
            <w:r>
              <w:rPr>
                <w:rFonts w:hint="eastAsia" w:ascii="Calibri" w:hAnsi="Calibri" w:eastAsia="宋体" w:cs="Times New Roman"/>
                <w:color w:val="auto"/>
                <w:sz w:val="21"/>
                <w:szCs w:val="21"/>
                <w:highlight w:val="none"/>
              </w:rPr>
              <w:t>分）</w:t>
            </w:r>
          </w:p>
        </w:tc>
        <w:tc>
          <w:tcPr>
            <w:tcW w:w="5572" w:type="dxa"/>
            <w:shd w:val="clear" w:color="auto" w:fill="auto"/>
            <w:vAlign w:val="center"/>
          </w:tcPr>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w:t>
            </w:r>
            <w:r>
              <w:rPr>
                <w:rFonts w:ascii="宋体" w:hAnsi="宋体" w:eastAsia="宋体" w:cs="宋体"/>
                <w:color w:val="auto"/>
                <w:sz w:val="21"/>
                <w:szCs w:val="21"/>
                <w:highlight w:val="none"/>
              </w:rPr>
              <w:t>2019</w:t>
            </w:r>
            <w:r>
              <w:rPr>
                <w:rFonts w:hint="eastAsia" w:ascii="宋体" w:hAnsi="宋体" w:eastAsia="宋体" w:cs="宋体"/>
                <w:color w:val="auto"/>
                <w:sz w:val="21"/>
                <w:szCs w:val="21"/>
                <w:highlight w:val="none"/>
              </w:rPr>
              <w:t>年</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月</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日至投标截止时间完成过单个合同额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万元或以上的类似检测业绩，每项得</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分，本项最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得</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分。</w:t>
            </w:r>
          </w:p>
          <w:p>
            <w:pPr>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【注：类似检测业绩：①指包含本项目主要招标内容（</w:t>
            </w:r>
            <w:r>
              <w:rPr>
                <w:rFonts w:hint="eastAsia" w:ascii="宋体" w:hAnsi="宋体" w:eastAsia="宋体" w:cs="宋体"/>
                <w:b/>
                <w:bCs/>
                <w:color w:val="auto"/>
                <w:sz w:val="21"/>
                <w:szCs w:val="21"/>
                <w:highlight w:val="none"/>
                <w:lang w:eastAsia="zh-CN"/>
              </w:rPr>
              <w:t>室内环境检测、建筑节能工程检测、建筑设备及弱电系统检测</w:t>
            </w:r>
            <w:r>
              <w:rPr>
                <w:rFonts w:hint="eastAsia" w:ascii="宋体" w:hAnsi="宋体" w:eastAsia="宋体" w:cs="宋体"/>
                <w:b/>
                <w:bCs/>
                <w:color w:val="auto"/>
                <w:sz w:val="21"/>
                <w:szCs w:val="21"/>
                <w:highlight w:val="none"/>
              </w:rPr>
              <w:t>）其中一项或多项检测业绩；须提供中标通知书（或免招标证明或委托书）</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技术服务合同关键页</w:t>
            </w:r>
            <w:r>
              <w:rPr>
                <w:rFonts w:hint="eastAsia" w:ascii="宋体" w:hAnsi="宋体" w:eastAsia="宋体" w:cs="宋体"/>
                <w:b/>
                <w:bCs/>
                <w:color w:val="auto"/>
                <w:sz w:val="21"/>
                <w:szCs w:val="21"/>
                <w:highlight w:val="none"/>
                <w:lang w:eastAsia="zh-CN"/>
              </w:rPr>
              <w:t>、检测报告关键页</w:t>
            </w:r>
            <w:r>
              <w:rPr>
                <w:rFonts w:hint="eastAsia" w:ascii="宋体" w:hAnsi="宋体" w:eastAsia="宋体" w:cs="宋体"/>
                <w:b/>
                <w:bCs/>
                <w:color w:val="auto"/>
                <w:sz w:val="21"/>
                <w:szCs w:val="21"/>
                <w:highlight w:val="none"/>
              </w:rPr>
              <w:t>等证明材料，未提供的不得分。）</w:t>
            </w:r>
          </w:p>
          <w:p>
            <w:pPr>
              <w:jc w:val="left"/>
              <w:rPr>
                <w:rFonts w:ascii="Times New Roman" w:hAnsi="Times New Roman" w:eastAsia="宋体" w:cs="Times New Roman"/>
                <w:color w:val="auto"/>
                <w:kern w:val="0"/>
                <w:szCs w:val="21"/>
                <w:highlight w:val="none"/>
              </w:rPr>
            </w:pPr>
            <w:r>
              <w:rPr>
                <w:rFonts w:hint="eastAsia" w:ascii="宋体" w:hAnsi="宋体" w:eastAsia="宋体" w:cs="宋体"/>
                <w:b/>
                <w:bCs/>
                <w:color w:val="auto"/>
                <w:sz w:val="21"/>
                <w:szCs w:val="21"/>
                <w:highlight w:val="none"/>
              </w:rPr>
              <w:t>②类似检测业绩金额以技术服务合同为准，若技术服务合同未明确的以中标通知书为准；业绩时间以合同签订时间为准。】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restart"/>
            <w:shd w:val="clear" w:color="auto" w:fill="auto"/>
            <w:vAlign w:val="center"/>
          </w:tcPr>
          <w:p>
            <w:pPr>
              <w:widowControl/>
              <w:spacing w:before="100" w:beforeAutospacing="1" w:after="100" w:afterAutospacing="1" w:line="360" w:lineRule="auto"/>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投标人信誉及综合实力</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30分）</w:t>
            </w:r>
          </w:p>
        </w:tc>
        <w:tc>
          <w:tcPr>
            <w:tcW w:w="5572" w:type="dxa"/>
            <w:shd w:val="clear" w:color="auto" w:fill="auto"/>
            <w:vAlign w:val="center"/>
          </w:tcPr>
          <w:p>
            <w:pPr>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投标人获得过国家税务部门评定的 “纳税信用A级纳税人”</w:t>
            </w:r>
            <w:r>
              <w:rPr>
                <w:rFonts w:hint="eastAsia" w:ascii="宋体" w:hAnsi="宋体" w:eastAsia="宋体" w:cs="宋体"/>
                <w:b/>
                <w:bCs/>
                <w:color w:val="auto"/>
                <w:kern w:val="2"/>
                <w:sz w:val="21"/>
                <w:szCs w:val="21"/>
                <w:highlight w:val="none"/>
                <w:lang w:val="en-US" w:eastAsia="zh-CN" w:bidi="ar"/>
              </w:rPr>
              <w:t>（评审年度2022年度）</w:t>
            </w:r>
            <w:r>
              <w:rPr>
                <w:rFonts w:hint="eastAsia" w:ascii="宋体" w:hAnsi="宋体" w:eastAsia="宋体" w:cs="宋体"/>
                <w:color w:val="auto"/>
                <w:sz w:val="21"/>
                <w:szCs w:val="21"/>
                <w:highlight w:val="none"/>
                <w:lang w:val="en-US" w:eastAsia="zh-CN"/>
              </w:rPr>
              <w:t>称号的，得4分。</w:t>
            </w:r>
          </w:p>
          <w:p>
            <w:pPr>
              <w:widowControl/>
              <w:spacing w:after="120" w:line="256" w:lineRule="auto"/>
              <w:ind w:left="0" w:leftChars="0" w:firstLine="0" w:firstLineChars="0"/>
              <w:jc w:val="left"/>
              <w:rPr>
                <w:rFonts w:ascii="Calibri" w:hAnsi="Calibri" w:eastAsia="Calibri" w:cs="Times New Roman"/>
                <w:color w:val="auto"/>
                <w:kern w:val="2"/>
                <w:sz w:val="22"/>
                <w:szCs w:val="22"/>
                <w:highlight w:val="none"/>
                <w:lang w:val="en-US" w:eastAsia="zh-CN" w:bidi="ar-SA"/>
              </w:rPr>
            </w:pPr>
            <w:r>
              <w:rPr>
                <w:rFonts w:hint="eastAsia" w:ascii="宋体" w:hAnsi="宋体" w:eastAsia="Calibri" w:cs="宋体"/>
                <w:b/>
                <w:bCs/>
                <w:color w:val="auto"/>
                <w:kern w:val="2"/>
                <w:sz w:val="21"/>
                <w:szCs w:val="21"/>
                <w:highlight w:val="none"/>
                <w:lang w:val="en-US" w:eastAsia="zh-CN" w:bidi="ar-SA"/>
              </w:rPr>
              <w:t>注：“纳税信用A级”情况以省级或以上税务局官网查询的相关截图为准。投标人须提供省级或以上税务局官网（含在国家税务局官网单列的城市）查询的相关截图，时间以省级或以上国家税务局官网（含在国家税务局官网单列的城市）公布的获奖年度（评价年度）为准，未提供上述证明材料或未加盖投标人电子印章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spacing w:line="240" w:lineRule="auto"/>
              <w:jc w:val="left"/>
              <w:rPr>
                <w:rFonts w:eastAsia="宋体" w:cs="Times New Roman"/>
                <w:color w:val="auto"/>
                <w:highlight w:val="none"/>
              </w:rPr>
            </w:pPr>
            <w:r>
              <w:rPr>
                <w:rFonts w:hint="eastAsia" w:eastAsia="宋体" w:cs="Times New Roman"/>
                <w:color w:val="auto"/>
                <w:highlight w:val="none"/>
              </w:rPr>
              <w:t>投标人获得过检测类</w:t>
            </w:r>
            <w:r>
              <w:rPr>
                <w:rFonts w:hint="eastAsia" w:eastAsia="宋体" w:cs="Times New Roman"/>
                <w:color w:val="auto"/>
                <w:sz w:val="21"/>
                <w:szCs w:val="22"/>
                <w:highlight w:val="none"/>
              </w:rPr>
              <w:t>发明</w:t>
            </w:r>
            <w:r>
              <w:rPr>
                <w:rFonts w:hint="eastAsia" w:eastAsia="宋体" w:cs="Times New Roman"/>
                <w:color w:val="auto"/>
                <w:sz w:val="21"/>
                <w:szCs w:val="22"/>
                <w:highlight w:val="none"/>
                <w:lang w:val="en-US" w:eastAsia="zh-CN"/>
              </w:rPr>
              <w:t>授权专利</w:t>
            </w:r>
            <w:r>
              <w:rPr>
                <w:rFonts w:hint="eastAsia" w:eastAsia="宋体" w:cs="Times New Roman"/>
                <w:color w:val="auto"/>
                <w:highlight w:val="none"/>
                <w:lang w:val="en-US" w:eastAsia="zh-CN"/>
              </w:rPr>
              <w:t>的</w:t>
            </w:r>
            <w:r>
              <w:rPr>
                <w:rFonts w:hint="eastAsia" w:eastAsia="宋体" w:cs="Times New Roman"/>
                <w:color w:val="auto"/>
                <w:highlight w:val="none"/>
              </w:rPr>
              <w:t>，每个得</w:t>
            </w:r>
            <w:r>
              <w:rPr>
                <w:rFonts w:hint="eastAsia" w:eastAsia="宋体" w:cs="Times New Roman"/>
                <w:color w:val="auto"/>
                <w:highlight w:val="none"/>
                <w:lang w:val="en-US" w:eastAsia="zh-CN"/>
              </w:rPr>
              <w:t>1.5</w:t>
            </w:r>
            <w:r>
              <w:rPr>
                <w:rFonts w:eastAsia="宋体" w:cs="Times New Roman"/>
                <w:color w:val="auto"/>
                <w:highlight w:val="none"/>
              </w:rPr>
              <w:t>分</w:t>
            </w:r>
            <w:r>
              <w:rPr>
                <w:rFonts w:hint="eastAsia" w:eastAsia="宋体" w:cs="Times New Roman"/>
                <w:color w:val="auto"/>
                <w:highlight w:val="none"/>
                <w:lang w:eastAsia="zh-CN"/>
              </w:rPr>
              <w:t>，</w:t>
            </w:r>
            <w:r>
              <w:rPr>
                <w:rFonts w:eastAsia="宋体" w:cs="Times New Roman"/>
                <w:color w:val="auto"/>
                <w:highlight w:val="none"/>
              </w:rPr>
              <w:t>本项最</w:t>
            </w:r>
            <w:r>
              <w:rPr>
                <w:rFonts w:hint="eastAsia" w:ascii="宋体" w:hAnsi="宋体" w:eastAsia="宋体" w:cs="宋体"/>
                <w:color w:val="auto"/>
                <w:sz w:val="21"/>
                <w:szCs w:val="21"/>
                <w:highlight w:val="none"/>
                <w:lang w:val="en-US" w:eastAsia="zh-CN"/>
              </w:rPr>
              <w:t>高</w:t>
            </w:r>
            <w:r>
              <w:rPr>
                <w:rFonts w:eastAsia="宋体" w:cs="Times New Roman"/>
                <w:color w:val="auto"/>
                <w:highlight w:val="none"/>
              </w:rPr>
              <w:t>得</w:t>
            </w:r>
            <w:r>
              <w:rPr>
                <w:rFonts w:hint="eastAsia" w:eastAsia="宋体" w:cs="Times New Roman"/>
                <w:color w:val="auto"/>
                <w:highlight w:val="none"/>
                <w:lang w:val="en-US" w:eastAsia="zh-CN"/>
              </w:rPr>
              <w:t>9</w:t>
            </w:r>
            <w:r>
              <w:rPr>
                <w:rFonts w:eastAsia="宋体" w:cs="Times New Roman"/>
                <w:color w:val="auto"/>
                <w:highlight w:val="none"/>
              </w:rPr>
              <w:t>分。</w:t>
            </w:r>
          </w:p>
          <w:p>
            <w:pPr>
              <w:jc w:val="left"/>
              <w:rPr>
                <w:rFonts w:eastAsia="宋体" w:cs="Times New Roman"/>
                <w:color w:val="auto"/>
                <w:highlight w:val="none"/>
              </w:rPr>
            </w:pPr>
            <w:r>
              <w:rPr>
                <w:rFonts w:hint="eastAsia" w:eastAsia="宋体" w:cs="Times New Roman"/>
                <w:color w:val="auto"/>
                <w:highlight w:val="none"/>
              </w:rPr>
              <w:t>注：</w:t>
            </w:r>
            <w:r>
              <w:rPr>
                <w:rFonts w:hint="eastAsia" w:ascii="宋体" w:hAnsi="宋体" w:eastAsia="宋体" w:cs="宋体"/>
                <w:b/>
                <w:bCs/>
                <w:color w:val="auto"/>
                <w:szCs w:val="21"/>
                <w:highlight w:val="none"/>
              </w:rPr>
              <w:t>检测</w:t>
            </w:r>
            <w:r>
              <w:rPr>
                <w:rFonts w:hint="eastAsia" w:ascii="宋体" w:hAnsi="宋体" w:eastAsia="宋体" w:cs="宋体"/>
                <w:b/>
                <w:bCs/>
                <w:color w:val="auto"/>
                <w:kern w:val="2"/>
                <w:sz w:val="21"/>
                <w:szCs w:val="21"/>
                <w:highlight w:val="none"/>
                <w:lang w:val="en-US" w:eastAsia="zh-CN" w:bidi="ar-SA"/>
              </w:rPr>
              <w:t>类发明授权以国家知识产权局网站(http://epub.cnipa.gov.cn/Index)中的“中国专利发布公告”-“发明授权”可查询的发明授权为准。投标人须提交上述网站可反映企业专利类型为发明授权、申请号、专利权人、授权公告号、授权公告日的网页信息截图并加盖投标人电子印章。仅计算发明授权专利（不包含发明公布类专利、实用新型类专利及外观设计类专利），获得单位必须为投标人自身（不计算投标人的分公司和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rPr>
                <w:rFonts w:hint="eastAsia" w:ascii="Calibri" w:hAnsi="Calibri" w:eastAsia="宋体" w:cs="Times New Roman"/>
                <w:color w:val="auto"/>
                <w:sz w:val="21"/>
                <w:szCs w:val="22"/>
                <w:highlight w:val="none"/>
              </w:rPr>
            </w:pPr>
            <w:r>
              <w:rPr>
                <w:rFonts w:hint="eastAsia" w:ascii="宋体" w:hAnsi="宋体" w:eastAsia="宋体" w:cs="宋体"/>
                <w:color w:val="auto"/>
                <w:sz w:val="21"/>
                <w:szCs w:val="21"/>
                <w:highlight w:val="none"/>
                <w:lang w:bidi="ar"/>
              </w:rPr>
              <w:t>投标人</w:t>
            </w:r>
            <w:r>
              <w:rPr>
                <w:rFonts w:hint="eastAsia" w:ascii="宋体" w:hAnsi="宋体" w:eastAsia="宋体" w:cs="宋体"/>
                <w:color w:val="auto"/>
                <w:sz w:val="21"/>
                <w:szCs w:val="21"/>
                <w:highlight w:val="none"/>
                <w:lang w:val="en-US" w:eastAsia="zh-CN" w:bidi="ar"/>
              </w:rPr>
              <w:t>主编或参编过国家或行业或地方的</w:t>
            </w:r>
            <w:r>
              <w:rPr>
                <w:rFonts w:hint="eastAsia" w:eastAsia="宋体" w:cs="Times New Roman"/>
                <w:color w:val="auto"/>
                <w:highlight w:val="none"/>
              </w:rPr>
              <w:t>检测</w:t>
            </w:r>
            <w:r>
              <w:rPr>
                <w:rFonts w:hint="eastAsia" w:ascii="宋体" w:hAnsi="宋体" w:eastAsia="宋体" w:cs="宋体"/>
                <w:color w:val="auto"/>
                <w:sz w:val="21"/>
                <w:szCs w:val="21"/>
                <w:highlight w:val="none"/>
                <w:lang w:val="en-US" w:eastAsia="zh-CN" w:bidi="ar"/>
              </w:rPr>
              <w:t>类标准（或规范或规程）的，每项得2分，本项最高得4分</w:t>
            </w:r>
            <w:r>
              <w:rPr>
                <w:rFonts w:hint="eastAsia" w:ascii="宋体" w:hAnsi="宋体" w:eastAsia="宋体" w:cs="宋体"/>
                <w:color w:val="auto"/>
                <w:sz w:val="21"/>
                <w:szCs w:val="21"/>
                <w:highlight w:val="none"/>
                <w:lang w:eastAsia="zh-CN" w:bidi="ar"/>
              </w:rPr>
              <w:t>。</w:t>
            </w:r>
          </w:p>
          <w:p>
            <w:pPr>
              <w:widowControl/>
              <w:spacing w:after="120" w:line="256" w:lineRule="auto"/>
              <w:ind w:left="0" w:leftChars="0" w:firstLine="0" w:firstLineChars="0"/>
              <w:jc w:val="left"/>
              <w:rPr>
                <w:rFonts w:ascii="宋体" w:hAnsi="宋体" w:eastAsia="Calibri" w:cs="宋体"/>
                <w:bCs/>
                <w:color w:val="auto"/>
                <w:kern w:val="2"/>
                <w:sz w:val="21"/>
                <w:szCs w:val="21"/>
                <w:highlight w:val="none"/>
                <w:lang w:val="en-US" w:eastAsia="zh-CN" w:bidi="ar"/>
              </w:rPr>
            </w:pPr>
            <w:r>
              <w:rPr>
                <w:rFonts w:hint="eastAsia" w:ascii="宋体" w:hAnsi="宋体" w:eastAsia="Calibri" w:cs="宋体"/>
                <w:b/>
                <w:bCs/>
                <w:color w:val="auto"/>
                <w:kern w:val="2"/>
                <w:sz w:val="21"/>
                <w:szCs w:val="21"/>
                <w:highlight w:val="none"/>
                <w:lang w:val="en-US" w:eastAsia="zh-CN" w:bidi="ar-SA"/>
              </w:rPr>
              <w:t>注：须提供标准（或规范或规程）中体现投标人作为主编单位或参编单位的关键页扫描件，不提供不得分。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widowControl/>
              <w:jc w:val="left"/>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投标人获得过</w:t>
            </w:r>
            <w:r>
              <w:rPr>
                <w:rFonts w:hint="eastAsia" w:eastAsia="宋体" w:cs="Times New Roman"/>
                <w:color w:val="auto"/>
                <w:highlight w:val="none"/>
              </w:rPr>
              <w:t>检测</w:t>
            </w:r>
            <w:r>
              <w:rPr>
                <w:rFonts w:hint="eastAsia" w:ascii="宋体" w:hAnsi="宋体" w:eastAsia="宋体" w:cs="宋体"/>
                <w:bCs/>
                <w:color w:val="auto"/>
                <w:sz w:val="21"/>
                <w:szCs w:val="21"/>
                <w:highlight w:val="none"/>
                <w:lang w:eastAsia="zh-CN" w:bidi="ar"/>
              </w:rPr>
              <w:t>类</w:t>
            </w:r>
            <w:r>
              <w:rPr>
                <w:rFonts w:hint="eastAsia" w:ascii="宋体" w:hAnsi="宋体" w:eastAsia="宋体" w:cs="宋体"/>
                <w:bCs/>
                <w:color w:val="auto"/>
                <w:sz w:val="21"/>
                <w:szCs w:val="21"/>
                <w:highlight w:val="none"/>
                <w:lang w:bidi="ar"/>
              </w:rPr>
              <w:t>高新技术产品证书</w:t>
            </w:r>
            <w:r>
              <w:rPr>
                <w:rFonts w:hint="eastAsia" w:ascii="宋体" w:hAnsi="宋体" w:eastAsia="宋体" w:cs="宋体"/>
                <w:bCs/>
                <w:color w:val="auto"/>
                <w:sz w:val="21"/>
                <w:szCs w:val="21"/>
                <w:highlight w:val="none"/>
                <w:lang w:val="en-US" w:eastAsia="zh-CN" w:bidi="ar"/>
              </w:rPr>
              <w:t>且在有效期内</w:t>
            </w:r>
            <w:r>
              <w:rPr>
                <w:rFonts w:hint="eastAsia" w:ascii="宋体" w:hAnsi="宋体" w:eastAsia="宋体" w:cs="宋体"/>
                <w:bCs/>
                <w:color w:val="auto"/>
                <w:sz w:val="21"/>
                <w:szCs w:val="21"/>
                <w:highlight w:val="none"/>
                <w:lang w:bidi="ar"/>
              </w:rPr>
              <w:t>的</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得</w:t>
            </w:r>
            <w:r>
              <w:rPr>
                <w:rFonts w:hint="eastAsia" w:ascii="宋体" w:hAnsi="宋体" w:eastAsia="宋体" w:cs="宋体"/>
                <w:bCs/>
                <w:color w:val="auto"/>
                <w:sz w:val="21"/>
                <w:szCs w:val="21"/>
                <w:highlight w:val="none"/>
                <w:lang w:val="en-US" w:eastAsia="zh-CN" w:bidi="ar"/>
              </w:rPr>
              <w:t>4</w:t>
            </w:r>
            <w:r>
              <w:rPr>
                <w:rFonts w:hint="eastAsia" w:ascii="宋体" w:hAnsi="宋体" w:eastAsia="宋体" w:cs="宋体"/>
                <w:bCs/>
                <w:color w:val="auto"/>
                <w:sz w:val="21"/>
                <w:szCs w:val="21"/>
                <w:highlight w:val="none"/>
                <w:lang w:bidi="ar"/>
              </w:rPr>
              <w:t>分。</w:t>
            </w:r>
          </w:p>
          <w:p>
            <w:pPr>
              <w:jc w:val="left"/>
              <w:rPr>
                <w:rFonts w:ascii="宋体" w:hAnsi="宋体" w:eastAsia="宋体" w:cs="宋体"/>
                <w:bCs/>
                <w:color w:val="auto"/>
                <w:szCs w:val="21"/>
                <w:highlight w:val="none"/>
              </w:rPr>
            </w:pPr>
            <w:r>
              <w:rPr>
                <w:rFonts w:hint="eastAsia" w:ascii="宋体" w:hAnsi="宋体" w:eastAsia="宋体" w:cs="宋体"/>
                <w:b/>
                <w:bCs w:val="0"/>
                <w:color w:val="auto"/>
                <w:sz w:val="21"/>
                <w:szCs w:val="21"/>
                <w:highlight w:val="none"/>
                <w:lang w:bidi="ar"/>
              </w:rPr>
              <w:t>注：须提供相关证书的清晰扫描件，没有提供的不得分。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投标人通过质量管理体系、环境管理体系、职业健康安全管理体系、信息安全管理体系、信息技术服务管理体系、知识产权管理体系认证的，每获得一个得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本项最</w:t>
            </w:r>
            <w:r>
              <w:rPr>
                <w:rFonts w:hint="eastAsia" w:ascii="宋体" w:hAnsi="宋体" w:eastAsia="宋体" w:cs="宋体"/>
                <w:color w:val="auto"/>
                <w:sz w:val="21"/>
                <w:szCs w:val="21"/>
                <w:highlight w:val="none"/>
                <w:lang w:val="en-US" w:eastAsia="zh-CN" w:bidi="ar"/>
              </w:rPr>
              <w:t>高</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p>
            <w:pPr>
              <w:jc w:val="left"/>
              <w:rPr>
                <w:rFonts w:hint="eastAsia" w:ascii="宋体" w:hAnsi="宋体" w:eastAsia="宋体" w:cs="宋体"/>
                <w:b/>
                <w:bCs w:val="0"/>
                <w:color w:val="auto"/>
                <w:sz w:val="21"/>
                <w:szCs w:val="21"/>
                <w:highlight w:val="none"/>
                <w:lang w:bidi="ar"/>
              </w:rPr>
            </w:pPr>
            <w:r>
              <w:rPr>
                <w:rFonts w:hint="eastAsia" w:ascii="宋体" w:hAnsi="宋体" w:eastAsia="宋体" w:cs="宋体"/>
                <w:b/>
                <w:bCs/>
                <w:color w:val="auto"/>
                <w:sz w:val="21"/>
                <w:szCs w:val="21"/>
                <w:highlight w:val="none"/>
              </w:rPr>
              <w:t>注：须提供相关证书的清晰扫描件，没有提供的不得分。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vMerge w:val="restart"/>
            <w:shd w:val="clear" w:color="auto" w:fill="auto"/>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拟投入人员综合水平</w:t>
            </w:r>
          </w:p>
          <w:p>
            <w:pPr>
              <w:spacing w:beforeAutospacing="1" w:afterAutospacing="1" w:line="360" w:lineRule="auto"/>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分）</w:t>
            </w:r>
          </w:p>
        </w:tc>
        <w:tc>
          <w:tcPr>
            <w:tcW w:w="5572" w:type="dxa"/>
            <w:shd w:val="clear" w:color="auto" w:fill="auto"/>
            <w:vAlign w:val="center"/>
          </w:tcPr>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ascii="宋体" w:hAnsi="宋体" w:eastAsia="宋体" w:cs="宋体"/>
                <w:color w:val="auto"/>
                <w:sz w:val="21"/>
                <w:szCs w:val="21"/>
                <w:highlight w:val="none"/>
              </w:rPr>
              <w:t>3分）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1）具有工程类高级工程师或以上</w:t>
            </w:r>
            <w:r>
              <w:rPr>
                <w:rFonts w:hint="eastAsia" w:ascii="宋体" w:hAnsi="宋体" w:eastAsia="宋体" w:cs="宋体"/>
                <w:color w:val="auto"/>
                <w:sz w:val="21"/>
                <w:szCs w:val="21"/>
                <w:highlight w:val="none"/>
                <w:lang w:val="en-US" w:eastAsia="zh-CN"/>
              </w:rPr>
              <w:t>技术</w:t>
            </w:r>
            <w:r>
              <w:rPr>
                <w:rFonts w:ascii="宋体" w:hAnsi="宋体" w:eastAsia="宋体" w:cs="宋体"/>
                <w:color w:val="auto"/>
                <w:sz w:val="21"/>
                <w:szCs w:val="21"/>
                <w:highlight w:val="none"/>
              </w:rPr>
              <w:t>职称的得2分；具有工程师</w:t>
            </w:r>
            <w:r>
              <w:rPr>
                <w:rFonts w:hint="eastAsia" w:ascii="宋体" w:hAnsi="宋体" w:eastAsia="宋体" w:cs="宋体"/>
                <w:color w:val="auto"/>
                <w:sz w:val="21"/>
                <w:szCs w:val="21"/>
                <w:highlight w:val="none"/>
                <w:lang w:val="en-US" w:eastAsia="zh-CN"/>
              </w:rPr>
              <w:t>技术</w:t>
            </w:r>
            <w:r>
              <w:rPr>
                <w:rFonts w:ascii="宋体" w:hAnsi="宋体" w:eastAsia="宋体" w:cs="宋体"/>
                <w:color w:val="auto"/>
                <w:sz w:val="21"/>
                <w:szCs w:val="21"/>
                <w:highlight w:val="none"/>
              </w:rPr>
              <w:t>职称的得1分（按最高职称计算一次，</w:t>
            </w:r>
            <w:r>
              <w:rPr>
                <w:rFonts w:hint="eastAsia" w:ascii="宋体" w:hAnsi="宋体" w:eastAsia="宋体" w:cs="宋体"/>
                <w:color w:val="auto"/>
                <w:sz w:val="21"/>
                <w:szCs w:val="21"/>
                <w:highlight w:val="none"/>
              </w:rPr>
              <w:t>不累计计分），</w:t>
            </w:r>
            <w:r>
              <w:rPr>
                <w:rFonts w:hint="eastAsia" w:ascii="宋体" w:hAnsi="宋体" w:eastAsia="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最高得2分；</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2）具有建设行政主管部门或其委托的机构、行业协会颁发的检测员证或检测鉴定培训合格证得1分，</w:t>
            </w:r>
            <w:r>
              <w:rPr>
                <w:rFonts w:hint="eastAsia" w:ascii="宋体" w:hAnsi="宋体" w:eastAsia="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本项累计最高得3分。</w:t>
            </w:r>
          </w:p>
          <w:p>
            <w:pP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注：须提供职称证书、检测员证或检测鉴定培训合格证扫描件，提供近</w:t>
            </w:r>
            <w:r>
              <w:rPr>
                <w:rFonts w:ascii="宋体" w:hAnsi="宋体" w:eastAsia="宋体" w:cs="宋体"/>
                <w:b/>
                <w:color w:val="auto"/>
                <w:sz w:val="21"/>
                <w:szCs w:val="21"/>
                <w:highlight w:val="none"/>
              </w:rPr>
              <w:t>1月（2023年</w:t>
            </w:r>
            <w:r>
              <w:rPr>
                <w:rFonts w:hint="eastAsia" w:ascii="宋体" w:hAnsi="宋体" w:eastAsia="宋体" w:cs="宋体"/>
                <w:b/>
                <w:color w:val="auto"/>
                <w:sz w:val="21"/>
                <w:szCs w:val="21"/>
                <w:highlight w:val="none"/>
                <w:lang w:val="en-US" w:eastAsia="zh-CN"/>
              </w:rPr>
              <w:t>9</w:t>
            </w:r>
            <w:r>
              <w:rPr>
                <w:rFonts w:ascii="宋体" w:hAnsi="宋体" w:eastAsia="宋体" w:cs="宋体"/>
                <w:b/>
                <w:color w:val="auto"/>
                <w:sz w:val="21"/>
                <w:szCs w:val="21"/>
                <w:highlight w:val="none"/>
              </w:rPr>
              <w:t>月）在本单位参保的社保缴纳证明材料，并加盖公章，否则不得分。</w:t>
            </w:r>
            <w:r>
              <w:rPr>
                <w:rFonts w:hint="eastAsia" w:ascii="宋体" w:hAnsi="宋体" w:eastAsia="宋体" w:cs="宋体"/>
                <w:b/>
                <w:color w:val="auto"/>
                <w:sz w:val="21"/>
                <w:szCs w:val="21"/>
                <w:highlight w:val="none"/>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trPr>
        <w:tc>
          <w:tcPr>
            <w:tcW w:w="900" w:type="dxa"/>
            <w:shd w:val="clear" w:color="auto" w:fill="auto"/>
            <w:vAlign w:val="center"/>
          </w:tcPr>
          <w:p>
            <w:pPr>
              <w:spacing w:line="360" w:lineRule="auto"/>
              <w:rPr>
                <w:rFonts w:ascii="Times New Roman" w:hAnsi="Times New Roman" w:eastAsia="宋体" w:cs="Times New Roman"/>
                <w:color w:val="auto"/>
                <w:highlight w:val="none"/>
              </w:rPr>
            </w:pPr>
          </w:p>
        </w:tc>
        <w:tc>
          <w:tcPr>
            <w:tcW w:w="1228" w:type="dxa"/>
            <w:shd w:val="clear" w:color="auto" w:fill="auto"/>
            <w:vAlign w:val="center"/>
          </w:tcPr>
          <w:p>
            <w:pPr>
              <w:snapToGrid w:val="0"/>
              <w:spacing w:line="360" w:lineRule="auto"/>
              <w:rPr>
                <w:rFonts w:ascii="Times New Roman" w:hAnsi="Times New Roman" w:eastAsia="宋体" w:cs="Times New Roman"/>
                <w:color w:val="auto"/>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r>
              <w:rPr>
                <w:rFonts w:hint="default" w:ascii="宋体" w:hAnsi="宋体" w:cs="宋体"/>
                <w:color w:val="auto"/>
                <w:sz w:val="21"/>
                <w:szCs w:val="21"/>
                <w:highlight w:val="none"/>
              </w:rPr>
              <w:t>3</w:t>
            </w:r>
            <w:r>
              <w:rPr>
                <w:rFonts w:ascii="宋体" w:hAnsi="宋体" w:eastAsia="宋体" w:cs="宋体"/>
                <w:color w:val="auto"/>
                <w:sz w:val="21"/>
                <w:szCs w:val="21"/>
                <w:highlight w:val="none"/>
              </w:rPr>
              <w:t>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1）具有工程类高级工程师或以上</w:t>
            </w:r>
            <w:r>
              <w:rPr>
                <w:rFonts w:hint="eastAsia" w:ascii="宋体" w:hAnsi="宋体" w:eastAsia="宋体" w:cs="宋体"/>
                <w:color w:val="auto"/>
                <w:sz w:val="21"/>
                <w:szCs w:val="21"/>
                <w:highlight w:val="none"/>
                <w:lang w:val="en-US" w:eastAsia="zh-CN"/>
              </w:rPr>
              <w:t>技术</w:t>
            </w:r>
            <w:r>
              <w:rPr>
                <w:rFonts w:ascii="宋体" w:hAnsi="宋体" w:eastAsia="宋体" w:cs="宋体"/>
                <w:color w:val="auto"/>
                <w:sz w:val="21"/>
                <w:szCs w:val="21"/>
                <w:highlight w:val="none"/>
              </w:rPr>
              <w:t>职称的得2分；具有工程师</w:t>
            </w:r>
            <w:r>
              <w:rPr>
                <w:rFonts w:hint="eastAsia" w:ascii="宋体" w:hAnsi="宋体" w:eastAsia="宋体" w:cs="宋体"/>
                <w:color w:val="auto"/>
                <w:sz w:val="21"/>
                <w:szCs w:val="21"/>
                <w:highlight w:val="none"/>
                <w:lang w:val="en-US" w:eastAsia="zh-CN"/>
              </w:rPr>
              <w:t>技术</w:t>
            </w:r>
            <w:r>
              <w:rPr>
                <w:rFonts w:ascii="宋体" w:hAnsi="宋体" w:eastAsia="宋体" w:cs="宋体"/>
                <w:color w:val="auto"/>
                <w:sz w:val="21"/>
                <w:szCs w:val="21"/>
                <w:highlight w:val="none"/>
              </w:rPr>
              <w:t>职称的得1分（按最高职称计算一次，</w:t>
            </w:r>
            <w:r>
              <w:rPr>
                <w:rFonts w:hint="eastAsia" w:ascii="宋体" w:hAnsi="宋体" w:eastAsia="宋体" w:cs="宋体"/>
                <w:color w:val="auto"/>
                <w:sz w:val="21"/>
                <w:szCs w:val="21"/>
                <w:highlight w:val="none"/>
              </w:rPr>
              <w:t>不累计计分），</w:t>
            </w:r>
            <w:r>
              <w:rPr>
                <w:rFonts w:hint="eastAsia" w:ascii="宋体" w:hAnsi="宋体" w:eastAsia="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2）具有建设行政主管部门或其委托的机构、行业协会颁</w:t>
            </w:r>
          </w:p>
          <w:p>
            <w:pPr>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发的检测员证或检测鉴定培训合格证得</w:t>
            </w:r>
            <w:r>
              <w:rPr>
                <w:rFonts w:ascii="宋体" w:hAnsi="宋体" w:cs="宋体"/>
                <w:color w:val="auto"/>
                <w:sz w:val="21"/>
                <w:szCs w:val="21"/>
                <w:highlight w:val="none"/>
              </w:rPr>
              <w:t>1</w:t>
            </w:r>
            <w:r>
              <w:rPr>
                <w:rFonts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w:t>
            </w:r>
            <w:r>
              <w:rPr>
                <w:rFonts w:hint="default" w:ascii="宋体" w:hAnsi="宋体" w:cs="宋体"/>
                <w:color w:val="auto"/>
                <w:sz w:val="21"/>
                <w:szCs w:val="21"/>
                <w:highlight w:val="none"/>
              </w:rPr>
              <w:t>1</w:t>
            </w:r>
            <w:r>
              <w:rPr>
                <w:rFonts w:hint="eastAsia" w:ascii="宋体" w:hAnsi="宋体" w:eastAsia="宋体" w:cs="宋体"/>
                <w:color w:val="auto"/>
                <w:sz w:val="21"/>
                <w:szCs w:val="21"/>
                <w:highlight w:val="none"/>
              </w:rPr>
              <w:t>分；</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本项累计最高得</w:t>
            </w:r>
            <w:r>
              <w:rPr>
                <w:rFonts w:hint="default" w:ascii="宋体" w:hAnsi="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分。</w:t>
            </w:r>
          </w:p>
          <w:p>
            <w:pP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注：须提供职称证书、检测员证或检测鉴定培训合格证扫描件，提供近</w:t>
            </w:r>
            <w:r>
              <w:rPr>
                <w:rFonts w:ascii="宋体" w:hAnsi="宋体" w:eastAsia="宋体" w:cs="宋体"/>
                <w:b/>
                <w:color w:val="auto"/>
                <w:sz w:val="21"/>
                <w:szCs w:val="21"/>
                <w:highlight w:val="none"/>
              </w:rPr>
              <w:t>1月（2023年</w:t>
            </w:r>
            <w:r>
              <w:rPr>
                <w:rFonts w:hint="eastAsia" w:ascii="宋体" w:hAnsi="宋体" w:eastAsia="宋体" w:cs="宋体"/>
                <w:b/>
                <w:color w:val="auto"/>
                <w:sz w:val="21"/>
                <w:szCs w:val="21"/>
                <w:highlight w:val="none"/>
                <w:lang w:val="en-US" w:eastAsia="zh-CN"/>
              </w:rPr>
              <w:t>9</w:t>
            </w:r>
            <w:r>
              <w:rPr>
                <w:rFonts w:ascii="宋体" w:hAnsi="宋体" w:eastAsia="宋体" w:cs="宋体"/>
                <w:b/>
                <w:color w:val="auto"/>
                <w:sz w:val="21"/>
                <w:szCs w:val="21"/>
                <w:highlight w:val="none"/>
              </w:rPr>
              <w:t>月）在本单位参保的社保缴纳证明材料，并加盖公章，否则不得分。（</w:t>
            </w:r>
            <w:r>
              <w:rPr>
                <w:rFonts w:hint="eastAsia" w:ascii="宋体" w:hAnsi="宋体" w:eastAsia="宋体" w:cs="宋体"/>
                <w:b/>
                <w:color w:val="auto"/>
                <w:sz w:val="21"/>
                <w:szCs w:val="21"/>
                <w:highlight w:val="none"/>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trPr>
        <w:tc>
          <w:tcPr>
            <w:tcW w:w="900" w:type="dxa"/>
            <w:shd w:val="clear" w:color="auto" w:fill="auto"/>
            <w:vAlign w:val="center"/>
          </w:tcPr>
          <w:p>
            <w:pPr>
              <w:spacing w:line="360" w:lineRule="auto"/>
              <w:rPr>
                <w:rFonts w:ascii="Times New Roman" w:hAnsi="Times New Roman" w:eastAsia="宋体" w:cs="Times New Roman"/>
                <w:color w:val="auto"/>
                <w:highlight w:val="none"/>
              </w:rPr>
            </w:pPr>
          </w:p>
        </w:tc>
        <w:tc>
          <w:tcPr>
            <w:tcW w:w="1228" w:type="dxa"/>
            <w:shd w:val="clear" w:color="auto" w:fill="auto"/>
            <w:vAlign w:val="center"/>
          </w:tcPr>
          <w:p>
            <w:pPr>
              <w:snapToGrid w:val="0"/>
              <w:spacing w:line="360" w:lineRule="auto"/>
              <w:rPr>
                <w:rFonts w:ascii="Times New Roman" w:hAnsi="Times New Roman" w:eastAsia="宋体" w:cs="Times New Roman"/>
                <w:color w:val="auto"/>
                <w:highlight w:val="none"/>
              </w:rPr>
            </w:pPr>
          </w:p>
        </w:tc>
        <w:tc>
          <w:tcPr>
            <w:tcW w:w="1663" w:type="dxa"/>
            <w:vMerge w:val="continue"/>
            <w:shd w:val="clear" w:color="auto" w:fill="auto"/>
            <w:vAlign w:val="center"/>
          </w:tcPr>
          <w:p>
            <w:pPr>
              <w:rPr>
                <w:rFonts w:eastAsia="宋体" w:cs="Times New Roman"/>
                <w:color w:val="auto"/>
                <w:sz w:val="20"/>
                <w:szCs w:val="20"/>
                <w:highlight w:val="none"/>
              </w:rPr>
            </w:pPr>
          </w:p>
        </w:tc>
        <w:tc>
          <w:tcPr>
            <w:tcW w:w="5572" w:type="dxa"/>
            <w:shd w:val="clear" w:color="auto" w:fill="auto"/>
            <w:vAlign w:val="center"/>
          </w:tcPr>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拟投入本项目主要技术人员（除项目负责人、技术负责人外）要求（</w:t>
            </w:r>
            <w:r>
              <w:rPr>
                <w:rFonts w:hint="default" w:ascii="宋体" w:hAnsi="宋体" w:cs="宋体"/>
                <w:color w:val="auto"/>
                <w:sz w:val="21"/>
                <w:szCs w:val="21"/>
                <w:highlight w:val="none"/>
              </w:rPr>
              <w:t>4</w:t>
            </w:r>
            <w:r>
              <w:rPr>
                <w:rFonts w:ascii="宋体" w:hAnsi="宋体" w:eastAsia="宋体" w:cs="宋体"/>
                <w:color w:val="auto"/>
                <w:sz w:val="21"/>
                <w:szCs w:val="21"/>
                <w:highlight w:val="none"/>
              </w:rPr>
              <w:t>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1）持有建设行政主管部门或其委托的机构、行业协会颁发的检测员证或检测鉴定培训合格证，每一人得0.5分，</w:t>
            </w:r>
            <w:r>
              <w:rPr>
                <w:rFonts w:hint="eastAsia" w:ascii="宋体" w:hAnsi="宋体" w:eastAsia="宋体" w:cs="宋体"/>
                <w:color w:val="auto"/>
                <w:sz w:val="21"/>
                <w:szCs w:val="21"/>
                <w:highlight w:val="none"/>
                <w:lang w:val="en-US" w:eastAsia="zh-CN"/>
              </w:rPr>
              <w:t>本小项</w:t>
            </w:r>
            <w:r>
              <w:rPr>
                <w:rFonts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CN" w:bidi="ar"/>
              </w:rPr>
              <w:t>高</w:t>
            </w:r>
            <w:r>
              <w:rPr>
                <w:rFonts w:ascii="宋体" w:hAnsi="宋体" w:eastAsia="宋体" w:cs="宋体"/>
                <w:color w:val="auto"/>
                <w:sz w:val="21"/>
                <w:szCs w:val="21"/>
                <w:highlight w:val="none"/>
              </w:rPr>
              <w:t>得2分；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2）具有高级工程师或以上</w:t>
            </w:r>
            <w:r>
              <w:rPr>
                <w:rFonts w:hint="eastAsia" w:ascii="宋体" w:hAnsi="宋体" w:eastAsia="宋体" w:cs="宋体"/>
                <w:color w:val="auto"/>
                <w:sz w:val="21"/>
                <w:szCs w:val="21"/>
                <w:highlight w:val="none"/>
                <w:lang w:val="en-US" w:eastAsia="zh-CN"/>
              </w:rPr>
              <w:t>技术</w:t>
            </w:r>
            <w:r>
              <w:rPr>
                <w:rFonts w:ascii="宋体" w:hAnsi="宋体" w:eastAsia="宋体" w:cs="宋体"/>
                <w:color w:val="auto"/>
                <w:sz w:val="21"/>
                <w:szCs w:val="21"/>
                <w:highlight w:val="none"/>
              </w:rPr>
              <w:t>职称，每一人得0.5分，</w:t>
            </w:r>
            <w:r>
              <w:rPr>
                <w:rFonts w:hint="eastAsia" w:ascii="宋体" w:hAnsi="宋体" w:eastAsia="宋体" w:cs="宋体"/>
                <w:color w:val="auto"/>
                <w:sz w:val="21"/>
                <w:szCs w:val="21"/>
                <w:highlight w:val="none"/>
                <w:lang w:val="en-US" w:eastAsia="zh-CN"/>
              </w:rPr>
              <w:t>本小项</w:t>
            </w:r>
            <w:r>
              <w:rPr>
                <w:rFonts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CN" w:bidi="ar"/>
              </w:rPr>
              <w:t>高</w:t>
            </w:r>
            <w:r>
              <w:rPr>
                <w:rFonts w:ascii="宋体" w:hAnsi="宋体" w:eastAsia="宋体" w:cs="宋体"/>
                <w:color w:val="auto"/>
                <w:sz w:val="21"/>
                <w:szCs w:val="21"/>
                <w:highlight w:val="none"/>
              </w:rPr>
              <w:t>得</w:t>
            </w:r>
            <w:r>
              <w:rPr>
                <w:rFonts w:ascii="宋体" w:hAnsi="宋体" w:cs="宋体"/>
                <w:color w:val="auto"/>
                <w:sz w:val="21"/>
                <w:szCs w:val="21"/>
                <w:highlight w:val="none"/>
              </w:rPr>
              <w:t>2</w:t>
            </w:r>
            <w:r>
              <w:rPr>
                <w:rFonts w:ascii="宋体" w:hAnsi="宋体" w:eastAsia="宋体" w:cs="宋体"/>
                <w:color w:val="auto"/>
                <w:sz w:val="21"/>
                <w:szCs w:val="21"/>
                <w:highlight w:val="none"/>
              </w:rPr>
              <w:t>分；</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本项累计最高得</w:t>
            </w:r>
            <w:r>
              <w:rPr>
                <w:rFonts w:hint="default" w:ascii="宋体" w:hAnsi="宋体" w:cs="宋体"/>
                <w:b/>
                <w:color w:val="auto"/>
                <w:sz w:val="21"/>
                <w:szCs w:val="21"/>
                <w:highlight w:val="none"/>
                <w:lang w:eastAsia="zh-CN"/>
              </w:rPr>
              <w:t>4</w:t>
            </w:r>
            <w:r>
              <w:rPr>
                <w:rFonts w:hint="eastAsia" w:ascii="宋体" w:hAnsi="宋体" w:eastAsia="宋体" w:cs="宋体"/>
                <w:b/>
                <w:color w:val="auto"/>
                <w:sz w:val="21"/>
                <w:szCs w:val="21"/>
                <w:highlight w:val="none"/>
                <w:lang w:val="en-US" w:eastAsia="zh-CN"/>
              </w:rPr>
              <w:t>分。</w:t>
            </w:r>
          </w:p>
          <w:p>
            <w:pP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注：若同一技术人员同时满足上述（</w:t>
            </w:r>
            <w:r>
              <w:rPr>
                <w:rFonts w:ascii="宋体" w:hAnsi="宋体" w:eastAsia="宋体" w:cs="宋体"/>
                <w:b/>
                <w:color w:val="auto"/>
                <w:sz w:val="21"/>
                <w:szCs w:val="21"/>
                <w:highlight w:val="none"/>
              </w:rPr>
              <w:t>1）、（2）两项条件的，可累计得分。须提供职称证书、检测员证或检测鉴定培训合格证扫描件，提供近1月（2023年</w:t>
            </w:r>
            <w:r>
              <w:rPr>
                <w:rFonts w:hint="eastAsia" w:ascii="宋体" w:hAnsi="宋体" w:eastAsia="宋体" w:cs="宋体"/>
                <w:b/>
                <w:color w:val="auto"/>
                <w:sz w:val="21"/>
                <w:szCs w:val="21"/>
                <w:highlight w:val="none"/>
                <w:lang w:val="en-US" w:eastAsia="zh-CN"/>
              </w:rPr>
              <w:t>9</w:t>
            </w:r>
            <w:r>
              <w:rPr>
                <w:rFonts w:ascii="宋体" w:hAnsi="宋体" w:eastAsia="宋体" w:cs="宋体"/>
                <w:b/>
                <w:color w:val="auto"/>
                <w:sz w:val="21"/>
                <w:szCs w:val="21"/>
                <w:highlight w:val="none"/>
              </w:rPr>
              <w:t>月）在本单位参保的社保缴纳证明材料，并加盖公章，否则不得分。</w:t>
            </w:r>
            <w:r>
              <w:rPr>
                <w:rFonts w:hint="eastAsia" w:ascii="宋体" w:hAnsi="宋体" w:eastAsia="宋体" w:cs="宋体"/>
                <w:b/>
                <w:color w:val="auto"/>
                <w:sz w:val="21"/>
                <w:szCs w:val="21"/>
                <w:highlight w:val="none"/>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vMerge w:val="restart"/>
            <w:shd w:val="clear" w:color="auto" w:fill="auto"/>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lang w:bidi="ar"/>
              </w:rPr>
              <w:t>2.2.4</w:t>
            </w:r>
            <w:r>
              <w:rPr>
                <w:rFonts w:hint="eastAsia" w:ascii="Times New Roman" w:hAnsi="Times New Roman" w:eastAsia="宋体" w:cs="宋体"/>
                <w:color w:val="auto"/>
                <w:highlight w:val="none"/>
                <w:lang w:bidi="ar"/>
              </w:rPr>
              <w:t>（</w:t>
            </w:r>
            <w:r>
              <w:rPr>
                <w:rFonts w:ascii="Times New Roman" w:hAnsi="Times New Roman" w:eastAsia="宋体" w:cs="Times New Roman"/>
                <w:color w:val="auto"/>
                <w:highlight w:val="none"/>
                <w:lang w:bidi="ar"/>
              </w:rPr>
              <w:t>2</w:t>
            </w:r>
            <w:r>
              <w:rPr>
                <w:rFonts w:hint="eastAsia" w:ascii="Times New Roman" w:hAnsi="Times New Roman" w:eastAsia="宋体" w:cs="宋体"/>
                <w:color w:val="auto"/>
                <w:highlight w:val="none"/>
                <w:lang w:bidi="ar"/>
              </w:rPr>
              <w:t>）</w:t>
            </w:r>
          </w:p>
        </w:tc>
        <w:tc>
          <w:tcPr>
            <w:tcW w:w="1228" w:type="dxa"/>
            <w:vMerge w:val="restart"/>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lang w:bidi="ar"/>
              </w:rPr>
              <w:t>检测方案评分标准（</w:t>
            </w:r>
            <w:r>
              <w:rPr>
                <w:rFonts w:hint="eastAsia" w:ascii="Times New Roman" w:hAnsi="Times New Roman" w:eastAsia="宋体" w:cs="Times New Roman"/>
                <w:color w:val="auto"/>
                <w:szCs w:val="21"/>
                <w:highlight w:val="none"/>
                <w:lang w:val="en-US" w:eastAsia="zh-CN" w:bidi="ar"/>
              </w:rPr>
              <w:t>3</w:t>
            </w:r>
            <w:r>
              <w:rPr>
                <w:rFonts w:ascii="Times New Roman" w:hAnsi="Times New Roman" w:eastAsia="宋体" w:cs="Times New Roman"/>
                <w:color w:val="auto"/>
                <w:szCs w:val="21"/>
                <w:highlight w:val="none"/>
                <w:lang w:bidi="ar"/>
              </w:rPr>
              <w:t>5</w:t>
            </w:r>
            <w:r>
              <w:rPr>
                <w:rFonts w:hint="eastAsia" w:ascii="Times New Roman" w:hAnsi="Times New Roman" w:eastAsia="宋体" w:cs="宋体"/>
                <w:color w:val="auto"/>
                <w:szCs w:val="21"/>
                <w:highlight w:val="none"/>
                <w:lang w:bidi="ar"/>
              </w:rPr>
              <w:t>分）</w:t>
            </w:r>
          </w:p>
        </w:tc>
        <w:tc>
          <w:tcPr>
            <w:tcW w:w="1663" w:type="dxa"/>
            <w:shd w:val="clear" w:color="auto" w:fill="auto"/>
            <w:vAlign w:val="center"/>
          </w:tcPr>
          <w:p>
            <w:pPr>
              <w:spacing w:before="100" w:beforeAutospacing="1" w:after="100" w:afterAutospacing="1" w:line="360" w:lineRule="auto"/>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拟投入本项设备计划</w:t>
            </w:r>
          </w:p>
          <w:p>
            <w:pPr>
              <w:spacing w:before="100" w:beforeAutospacing="1" w:after="100" w:afterAutospacing="1"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rPr>
              <w:t>分）</w:t>
            </w:r>
          </w:p>
        </w:tc>
        <w:tc>
          <w:tcPr>
            <w:tcW w:w="5572" w:type="dxa"/>
            <w:shd w:val="clear" w:color="auto" w:fill="auto"/>
            <w:vAlign w:val="top"/>
          </w:tcPr>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优：拟投入检测设备先进、配备合理，完全满足检测和服务期要求，得</w:t>
            </w:r>
            <w:r>
              <w:rPr>
                <w:rFonts w:ascii="宋体" w:hAnsi="宋体" w:eastAsia="宋体" w:cs="Times New Roman"/>
                <w:color w:val="auto"/>
                <w:sz w:val="21"/>
                <w:szCs w:val="21"/>
                <w:highlight w:val="none"/>
              </w:rPr>
              <w:t>[10,8)</w:t>
            </w:r>
            <w:r>
              <w:rPr>
                <w:rFonts w:hint="eastAsia" w:ascii="Calibri" w:hAnsi="Calibri" w:eastAsia="宋体" w:cs="Times New Roman"/>
                <w:color w:val="auto"/>
                <w:sz w:val="21"/>
                <w:szCs w:val="21"/>
                <w:highlight w:val="none"/>
              </w:rPr>
              <w:t>分；</w:t>
            </w:r>
          </w:p>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良：拟投入检测设备先进、配备合理，能较好满足检测和服务期要求，得</w:t>
            </w:r>
            <w:r>
              <w:rPr>
                <w:rFonts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6)</w:t>
            </w:r>
            <w:r>
              <w:rPr>
                <w:rFonts w:hint="eastAsia" w:ascii="Calibri" w:hAnsi="Calibri" w:eastAsia="宋体" w:cs="Times New Roman"/>
                <w:color w:val="auto"/>
                <w:sz w:val="21"/>
                <w:szCs w:val="21"/>
                <w:highlight w:val="none"/>
              </w:rPr>
              <w:t>分；</w:t>
            </w:r>
          </w:p>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中：拟投入检测设备先进、配备基本合理，能基本满足检测和服务期要求，得</w:t>
            </w:r>
            <w:r>
              <w:rPr>
                <w:rFonts w:ascii="宋体" w:hAnsi="宋体" w:eastAsia="宋体" w:cs="Times New Roman"/>
                <w:color w:val="auto"/>
                <w:sz w:val="21"/>
                <w:szCs w:val="21"/>
                <w:highlight w:val="none"/>
              </w:rPr>
              <w:t>[6,3]</w:t>
            </w:r>
            <w:r>
              <w:rPr>
                <w:rFonts w:hint="eastAsia" w:ascii="Calibri" w:hAnsi="Calibri" w:eastAsia="宋体" w:cs="Times New Roman"/>
                <w:color w:val="auto"/>
                <w:sz w:val="21"/>
                <w:szCs w:val="21"/>
                <w:highlight w:val="none"/>
              </w:rPr>
              <w:t>分；</w:t>
            </w:r>
          </w:p>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差：设备不能满足检测需要和服务期要求，得</w:t>
            </w:r>
            <w:r>
              <w:rPr>
                <w:rFonts w:ascii="Calibri" w:hAnsi="Calibri" w:eastAsia="宋体" w:cs="Times New Roman"/>
                <w:color w:val="auto"/>
                <w:sz w:val="21"/>
                <w:szCs w:val="21"/>
                <w:highlight w:val="none"/>
              </w:rPr>
              <w:t>0</w:t>
            </w:r>
            <w:r>
              <w:rPr>
                <w:rFonts w:hint="eastAsia" w:ascii="Calibri" w:hAnsi="Calibri" w:eastAsia="宋体" w:cs="Times New Roman"/>
                <w:color w:val="auto"/>
                <w:sz w:val="21"/>
                <w:szCs w:val="21"/>
                <w:highlight w:val="none"/>
              </w:rPr>
              <w:t>分。</w:t>
            </w:r>
          </w:p>
          <w:p>
            <w:pPr>
              <w:rPr>
                <w:rFonts w:ascii="Times New Roman" w:hAnsi="Times New Roman" w:eastAsia="宋体" w:cs="Times New Roman"/>
                <w:b/>
                <w:color w:val="auto"/>
                <w:szCs w:val="21"/>
                <w:highlight w:val="none"/>
              </w:rPr>
            </w:pPr>
            <w:r>
              <w:rPr>
                <w:rFonts w:hint="eastAsia" w:ascii="Calibri" w:hAnsi="Calibri" w:eastAsia="宋体" w:cs="Times New Roman"/>
                <w:b/>
                <w:bCs/>
                <w:color w:val="auto"/>
                <w:sz w:val="21"/>
                <w:szCs w:val="21"/>
                <w:highlight w:val="none"/>
              </w:rPr>
              <w:t>注：需提交设备购置发票（或租赁证明）、仪器检定证书或其他证明材料的清晰扫描件。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vMerge w:val="continue"/>
            <w:shd w:val="clear" w:color="auto" w:fill="auto"/>
            <w:vAlign w:val="center"/>
          </w:tcPr>
          <w:p>
            <w:pPr>
              <w:rPr>
                <w:rFonts w:eastAsia="宋体" w:cs="Times New Roman"/>
                <w:color w:val="auto"/>
                <w:sz w:val="20"/>
                <w:szCs w:val="20"/>
                <w:highlight w:val="none"/>
              </w:rPr>
            </w:pPr>
          </w:p>
        </w:tc>
        <w:tc>
          <w:tcPr>
            <w:tcW w:w="1228" w:type="dxa"/>
            <w:vMerge w:val="continue"/>
            <w:shd w:val="clear" w:color="auto" w:fill="auto"/>
            <w:vAlign w:val="center"/>
          </w:tcPr>
          <w:p>
            <w:pPr>
              <w:rPr>
                <w:rFonts w:eastAsia="宋体" w:cs="Times New Roman"/>
                <w:color w:val="auto"/>
                <w:sz w:val="20"/>
                <w:szCs w:val="20"/>
                <w:highlight w:val="none"/>
              </w:rPr>
            </w:pPr>
          </w:p>
        </w:tc>
        <w:tc>
          <w:tcPr>
            <w:tcW w:w="1663" w:type="dxa"/>
            <w:shd w:val="clear" w:color="auto" w:fill="auto"/>
            <w:vAlign w:val="center"/>
          </w:tcPr>
          <w:p>
            <w:pPr>
              <w:spacing w:before="100" w:beforeAutospacing="1" w:after="100" w:afterAutospacing="1"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1"/>
                <w:szCs w:val="21"/>
                <w:highlight w:val="none"/>
              </w:rPr>
              <w:t>检测方案（</w:t>
            </w:r>
            <w:r>
              <w:rPr>
                <w:rFonts w:hint="eastAsia" w:ascii="Times New Roman" w:hAnsi="Times New Roman" w:eastAsia="宋体" w:cs="Times New Roman"/>
                <w:color w:val="auto"/>
                <w:sz w:val="21"/>
                <w:szCs w:val="21"/>
                <w:highlight w:val="none"/>
                <w:lang w:val="en-US" w:eastAsia="zh-CN"/>
              </w:rPr>
              <w:t>2</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分）</w:t>
            </w:r>
          </w:p>
        </w:tc>
        <w:tc>
          <w:tcPr>
            <w:tcW w:w="5572" w:type="dxa"/>
            <w:shd w:val="clear" w:color="auto" w:fill="auto"/>
            <w:vAlign w:val="top"/>
          </w:tcPr>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优：检测工作的程序与方案详细、具体，内容齐全，能满足用户需求，有合理可行的保证通过相关验收、满足工程进度确保措施，得</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w:t>
            </w:r>
            <w:r>
              <w:rPr>
                <w:rFonts w:ascii="宋体" w:hAnsi="宋体" w:eastAsia="宋体" w:cs="Times New Roman"/>
                <w:color w:val="auto"/>
                <w:sz w:val="21"/>
                <w:szCs w:val="21"/>
                <w:highlight w:val="none"/>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20</w:t>
            </w:r>
            <w:r>
              <w:rPr>
                <w:rFonts w:ascii="宋体" w:hAnsi="宋体" w:eastAsia="宋体" w:cs="Times New Roman"/>
                <w:color w:val="auto"/>
                <w:sz w:val="21"/>
                <w:szCs w:val="21"/>
                <w:highlight w:val="none"/>
              </w:rPr>
              <w:t>)</w:t>
            </w:r>
            <w:r>
              <w:rPr>
                <w:rFonts w:hint="eastAsia" w:ascii="Calibri" w:hAnsi="Calibri" w:eastAsia="宋体" w:cs="Times New Roman"/>
                <w:color w:val="auto"/>
                <w:sz w:val="21"/>
                <w:szCs w:val="21"/>
                <w:highlight w:val="none"/>
              </w:rPr>
              <w:t>分。</w:t>
            </w:r>
          </w:p>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良：检测工作的程序与方案内容齐全，基本满足要求，检测方法符合检测要求，得</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20</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15</w:t>
            </w:r>
            <w:r>
              <w:rPr>
                <w:rFonts w:ascii="宋体" w:hAnsi="宋体" w:eastAsia="宋体" w:cs="Times New Roman"/>
                <w:color w:val="auto"/>
                <w:sz w:val="21"/>
                <w:szCs w:val="21"/>
                <w:highlight w:val="none"/>
              </w:rPr>
              <w:t>)</w:t>
            </w:r>
            <w:r>
              <w:rPr>
                <w:rFonts w:hint="eastAsia" w:ascii="Calibri" w:hAnsi="Calibri" w:eastAsia="宋体" w:cs="Times New Roman"/>
                <w:color w:val="auto"/>
                <w:sz w:val="21"/>
                <w:szCs w:val="21"/>
                <w:highlight w:val="none"/>
              </w:rPr>
              <w:t>分；</w:t>
            </w:r>
          </w:p>
          <w:p>
            <w:pPr>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中：检测工作的程序与方案不够全面具体，可行性低，得</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15</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10</w:t>
            </w:r>
            <w:r>
              <w:rPr>
                <w:rFonts w:ascii="宋体" w:hAnsi="宋体" w:eastAsia="宋体" w:cs="Times New Roman"/>
                <w:color w:val="auto"/>
                <w:sz w:val="21"/>
                <w:szCs w:val="21"/>
                <w:highlight w:val="none"/>
              </w:rPr>
              <w:t>)</w:t>
            </w:r>
            <w:r>
              <w:rPr>
                <w:rFonts w:hint="eastAsia" w:ascii="Calibri" w:hAnsi="Calibri" w:eastAsia="宋体" w:cs="Times New Roman"/>
                <w:color w:val="auto"/>
                <w:sz w:val="21"/>
                <w:szCs w:val="21"/>
                <w:highlight w:val="none"/>
              </w:rPr>
              <w:t>分。</w:t>
            </w:r>
          </w:p>
          <w:p>
            <w:pPr>
              <w:rPr>
                <w:rFonts w:ascii="Times New Roman" w:hAnsi="Times New Roman" w:eastAsia="宋体" w:cs="Times New Roman"/>
                <w:color w:val="auto"/>
                <w:szCs w:val="21"/>
                <w:highlight w:val="none"/>
              </w:rPr>
            </w:pPr>
            <w:r>
              <w:rPr>
                <w:rFonts w:hint="eastAsia" w:ascii="Calibri" w:hAnsi="Calibri" w:eastAsia="宋体" w:cs="Times New Roman"/>
                <w:color w:val="auto"/>
                <w:sz w:val="21"/>
                <w:szCs w:val="21"/>
                <w:highlight w:val="none"/>
              </w:rPr>
              <w:t>差：检测方案内容阐述缺项，检测程序不满足要求，得</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10</w:t>
            </w:r>
            <w:r>
              <w:rPr>
                <w:rFonts w:ascii="宋体" w:hAnsi="宋体" w:eastAsia="宋体" w:cs="Times New Roman"/>
                <w:color w:val="auto"/>
                <w:sz w:val="21"/>
                <w:szCs w:val="21"/>
                <w:highlight w:val="none"/>
              </w:rPr>
              <w:t>,0]</w:t>
            </w:r>
            <w:r>
              <w:rPr>
                <w:rFonts w:hint="eastAsia" w:ascii="Calibri" w:hAnsi="Calibri" w:eastAsia="宋体" w:cs="Times New Roman"/>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00" w:type="dxa"/>
            <w:shd w:val="clear" w:color="auto" w:fill="auto"/>
            <w:vAlign w:val="center"/>
          </w:tcPr>
          <w:p>
            <w:pPr>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lang w:bidi="ar"/>
              </w:rPr>
              <w:t>2.2.4</w:t>
            </w:r>
            <w:r>
              <w:rPr>
                <w:rFonts w:hint="eastAsia" w:ascii="Times New Roman" w:hAnsi="Times New Roman" w:eastAsia="宋体" w:cs="宋体"/>
                <w:color w:val="auto"/>
                <w:szCs w:val="21"/>
                <w:highlight w:val="none"/>
                <w:lang w:bidi="ar"/>
              </w:rPr>
              <w:t>（</w:t>
            </w:r>
            <w:r>
              <w:rPr>
                <w:rFonts w:ascii="Times New Roman" w:hAnsi="Times New Roman" w:eastAsia="宋体" w:cs="Times New Roman"/>
                <w:color w:val="auto"/>
                <w:szCs w:val="21"/>
                <w:highlight w:val="none"/>
                <w:lang w:bidi="ar"/>
              </w:rPr>
              <w:t>3</w:t>
            </w:r>
            <w:r>
              <w:rPr>
                <w:rFonts w:hint="eastAsia" w:ascii="Times New Roman" w:hAnsi="Times New Roman" w:eastAsia="宋体" w:cs="宋体"/>
                <w:color w:val="auto"/>
                <w:szCs w:val="21"/>
                <w:highlight w:val="none"/>
                <w:lang w:bidi="ar"/>
              </w:rPr>
              <w:t>）</w:t>
            </w:r>
          </w:p>
        </w:tc>
        <w:tc>
          <w:tcPr>
            <w:tcW w:w="1228" w:type="dxa"/>
            <w:shd w:val="clear" w:color="auto" w:fill="auto"/>
            <w:vAlign w:val="center"/>
          </w:tcPr>
          <w:p>
            <w:pPr>
              <w:snapToGrid w:val="0"/>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lang w:bidi="ar"/>
              </w:rPr>
              <w:t>投标报价评分标准（</w:t>
            </w:r>
            <w:r>
              <w:rPr>
                <w:rFonts w:hint="eastAsia" w:ascii="Times New Roman" w:hAnsi="Times New Roman" w:eastAsia="宋体" w:cs="Times New Roman"/>
                <w:color w:val="auto"/>
                <w:szCs w:val="21"/>
                <w:highlight w:val="none"/>
                <w:lang w:val="en-US" w:eastAsia="zh-CN" w:bidi="ar"/>
              </w:rPr>
              <w:t>2</w:t>
            </w:r>
            <w:r>
              <w:rPr>
                <w:rFonts w:ascii="Times New Roman" w:hAnsi="Times New Roman" w:eastAsia="宋体" w:cs="Times New Roman"/>
                <w:color w:val="auto"/>
                <w:szCs w:val="21"/>
                <w:highlight w:val="none"/>
                <w:lang w:bidi="ar"/>
              </w:rPr>
              <w:t>0</w:t>
            </w:r>
            <w:r>
              <w:rPr>
                <w:rFonts w:hint="eastAsia" w:ascii="Times New Roman" w:hAnsi="Times New Roman" w:eastAsia="宋体" w:cs="宋体"/>
                <w:color w:val="auto"/>
                <w:szCs w:val="21"/>
                <w:highlight w:val="none"/>
                <w:lang w:bidi="ar"/>
              </w:rPr>
              <w:t>分）</w:t>
            </w:r>
          </w:p>
        </w:tc>
        <w:tc>
          <w:tcPr>
            <w:tcW w:w="166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lang w:bidi="ar"/>
              </w:rPr>
              <w:t>报价得分</w:t>
            </w:r>
          </w:p>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lang w:bidi="ar"/>
              </w:rPr>
              <w:t>（</w:t>
            </w:r>
            <w:r>
              <w:rPr>
                <w:rFonts w:hint="eastAsia" w:ascii="Times New Roman" w:hAnsi="Times New Roman" w:eastAsia="宋体" w:cs="Times New Roman"/>
                <w:color w:val="auto"/>
                <w:szCs w:val="21"/>
                <w:highlight w:val="none"/>
                <w:lang w:val="en-US" w:eastAsia="zh-CN" w:bidi="ar"/>
              </w:rPr>
              <w:t>2</w:t>
            </w:r>
            <w:r>
              <w:rPr>
                <w:rFonts w:ascii="Times New Roman" w:hAnsi="Times New Roman" w:eastAsia="宋体" w:cs="Times New Roman"/>
                <w:color w:val="auto"/>
                <w:szCs w:val="21"/>
                <w:highlight w:val="none"/>
                <w:lang w:bidi="ar"/>
              </w:rPr>
              <w:t>0</w:t>
            </w:r>
            <w:r>
              <w:rPr>
                <w:rFonts w:hint="eastAsia" w:ascii="Times New Roman" w:hAnsi="Times New Roman" w:eastAsia="宋体" w:cs="宋体"/>
                <w:color w:val="auto"/>
                <w:szCs w:val="21"/>
                <w:highlight w:val="none"/>
                <w:lang w:bidi="ar"/>
              </w:rPr>
              <w:t>分）</w:t>
            </w:r>
          </w:p>
        </w:tc>
        <w:tc>
          <w:tcPr>
            <w:tcW w:w="5572" w:type="dxa"/>
            <w:shd w:val="clear" w:color="auto" w:fill="auto"/>
            <w:vAlign w:val="center"/>
          </w:tcPr>
          <w:p>
            <w:pPr>
              <w:spacing w:line="360" w:lineRule="auto"/>
              <w:jc w:val="left"/>
              <w:rPr>
                <w:rFonts w:ascii="Times New Roman" w:hAnsi="Times New Roman" w:eastAsia="宋体" w:cs="Times New Roman"/>
                <w:color w:val="auto"/>
                <w:szCs w:val="21"/>
                <w:highlight w:val="none"/>
              </w:rPr>
            </w:pPr>
            <w:r>
              <w:rPr>
                <w:rFonts w:hint="eastAsia" w:eastAsia="宋体" w:cs="宋体"/>
                <w:color w:val="auto"/>
                <w:szCs w:val="21"/>
                <w:highlight w:val="none"/>
                <w:lang w:bidi="ar"/>
              </w:rPr>
              <w:t>以评标基准价作为计算各有效投标价得分的基础，当有效投标报价等于评标基准价时得</w:t>
            </w:r>
            <w:r>
              <w:rPr>
                <w:rFonts w:hint="eastAsia" w:eastAsia="宋体" w:cs="Times New Roman"/>
                <w:color w:val="auto"/>
                <w:szCs w:val="21"/>
                <w:highlight w:val="none"/>
                <w:lang w:val="en-US" w:eastAsia="zh-CN" w:bidi="ar"/>
              </w:rPr>
              <w:t>2</w:t>
            </w:r>
            <w:r>
              <w:rPr>
                <w:rFonts w:eastAsia="宋体" w:cs="Times New Roman"/>
                <w:color w:val="auto"/>
                <w:szCs w:val="21"/>
                <w:highlight w:val="none"/>
                <w:lang w:bidi="ar"/>
              </w:rPr>
              <w:t>0</w:t>
            </w:r>
            <w:r>
              <w:rPr>
                <w:rFonts w:hint="eastAsia" w:eastAsia="宋体" w:cs="宋体"/>
                <w:color w:val="auto"/>
                <w:szCs w:val="21"/>
                <w:highlight w:val="none"/>
                <w:lang w:bidi="ar"/>
              </w:rPr>
              <w:t>分；投标有效报价与评标基准价之差，每上偏</w:t>
            </w:r>
            <w:r>
              <w:rPr>
                <w:rFonts w:eastAsia="宋体" w:cs="Times New Roman"/>
                <w:color w:val="auto"/>
                <w:szCs w:val="21"/>
                <w:highlight w:val="none"/>
                <w:lang w:bidi="ar"/>
              </w:rPr>
              <w:t>1%</w:t>
            </w:r>
            <w:r>
              <w:rPr>
                <w:rFonts w:hint="eastAsia" w:eastAsia="宋体" w:cs="宋体"/>
                <w:color w:val="auto"/>
                <w:szCs w:val="21"/>
                <w:highlight w:val="none"/>
                <w:lang w:bidi="ar"/>
              </w:rPr>
              <w:t>扣</w:t>
            </w:r>
            <w:r>
              <w:rPr>
                <w:rFonts w:eastAsia="宋体" w:cs="Times New Roman"/>
                <w:color w:val="auto"/>
                <w:szCs w:val="21"/>
                <w:highlight w:val="none"/>
                <w:lang w:bidi="ar"/>
              </w:rPr>
              <w:t>1</w:t>
            </w:r>
            <w:r>
              <w:rPr>
                <w:rFonts w:hint="eastAsia" w:eastAsia="宋体" w:cs="宋体"/>
                <w:color w:val="auto"/>
                <w:szCs w:val="21"/>
                <w:highlight w:val="none"/>
                <w:lang w:bidi="ar"/>
              </w:rPr>
              <w:t>分，下偏</w:t>
            </w:r>
            <w:r>
              <w:rPr>
                <w:rFonts w:eastAsia="宋体" w:cs="Times New Roman"/>
                <w:color w:val="auto"/>
                <w:szCs w:val="21"/>
                <w:highlight w:val="none"/>
                <w:lang w:bidi="ar"/>
              </w:rPr>
              <w:t>1%</w:t>
            </w:r>
            <w:r>
              <w:rPr>
                <w:rFonts w:hint="eastAsia" w:eastAsia="宋体" w:cs="宋体"/>
                <w:color w:val="auto"/>
                <w:szCs w:val="21"/>
                <w:highlight w:val="none"/>
                <w:lang w:bidi="ar"/>
              </w:rPr>
              <w:t>扣</w:t>
            </w:r>
            <w:r>
              <w:rPr>
                <w:rFonts w:hint="default" w:cs="宋体"/>
                <w:color w:val="auto"/>
                <w:szCs w:val="21"/>
                <w:highlight w:val="none"/>
                <w:lang w:bidi="ar"/>
              </w:rPr>
              <w:t>0.5</w:t>
            </w:r>
            <w:r>
              <w:rPr>
                <w:rFonts w:hint="eastAsia" w:eastAsia="宋体" w:cs="宋体"/>
                <w:color w:val="auto"/>
                <w:szCs w:val="21"/>
                <w:highlight w:val="none"/>
                <w:lang w:bidi="ar"/>
              </w:rPr>
              <w:t>分。最多扣</w:t>
            </w:r>
            <w:r>
              <w:rPr>
                <w:rFonts w:hint="eastAsia" w:eastAsia="宋体" w:cs="宋体"/>
                <w:color w:val="auto"/>
                <w:szCs w:val="21"/>
                <w:highlight w:val="none"/>
                <w:lang w:val="en-US" w:eastAsia="zh-CN" w:bidi="ar"/>
              </w:rPr>
              <w:t>2</w:t>
            </w:r>
            <w:r>
              <w:rPr>
                <w:rFonts w:eastAsia="宋体" w:cs="Times New Roman"/>
                <w:color w:val="auto"/>
                <w:szCs w:val="21"/>
                <w:highlight w:val="none"/>
                <w:lang w:bidi="ar"/>
              </w:rPr>
              <w:t>0</w:t>
            </w:r>
            <w:r>
              <w:rPr>
                <w:rFonts w:hint="eastAsia" w:eastAsia="宋体" w:cs="宋体"/>
                <w:color w:val="auto"/>
                <w:szCs w:val="21"/>
                <w:highlight w:val="none"/>
                <w:lang w:bidi="ar"/>
              </w:rPr>
              <w:t>分，得分精确到小数点后两位。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00" w:type="dxa"/>
            <w:shd w:val="clear" w:color="auto" w:fill="auto"/>
            <w:vAlign w:val="center"/>
          </w:tcPr>
          <w:p>
            <w:pPr>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lang w:bidi="ar"/>
              </w:rPr>
              <w:t>2.2.4</w:t>
            </w:r>
            <w:r>
              <w:rPr>
                <w:rFonts w:hint="eastAsia" w:ascii="Times New Roman" w:hAnsi="Times New Roman" w:eastAsia="宋体" w:cs="宋体"/>
                <w:color w:val="auto"/>
                <w:highlight w:val="none"/>
                <w:lang w:bidi="ar"/>
              </w:rPr>
              <w:t>说明</w:t>
            </w:r>
          </w:p>
        </w:tc>
        <w:tc>
          <w:tcPr>
            <w:tcW w:w="8463" w:type="dxa"/>
            <w:gridSpan w:val="3"/>
            <w:shd w:val="clear" w:color="auto" w:fill="auto"/>
            <w:vAlign w:val="center"/>
          </w:tcPr>
          <w:p>
            <w:pPr>
              <w:spacing w:line="360" w:lineRule="auto"/>
              <w:rPr>
                <w:rFonts w:eastAsia="宋体" w:cs="Arial"/>
                <w:color w:val="auto"/>
                <w:sz w:val="20"/>
                <w:szCs w:val="20"/>
                <w:highlight w:val="none"/>
              </w:rPr>
            </w:pPr>
            <w:r>
              <w:rPr>
                <w:rFonts w:hint="eastAsia" w:eastAsia="宋体" w:cs="Arial"/>
                <w:color w:val="auto"/>
                <w:sz w:val="20"/>
                <w:szCs w:val="20"/>
                <w:highlight w:val="none"/>
                <w:lang w:bidi="ar"/>
              </w:rPr>
              <w:t>说明：</w:t>
            </w:r>
          </w:p>
          <w:p>
            <w:pPr>
              <w:spacing w:line="360" w:lineRule="auto"/>
              <w:rPr>
                <w:rFonts w:eastAsia="宋体" w:cs="宋体"/>
                <w:color w:val="auto"/>
                <w:highlight w:val="none"/>
                <w:lang w:bidi="ar"/>
              </w:rPr>
            </w:pPr>
            <w:r>
              <w:rPr>
                <w:rFonts w:eastAsia="宋体" w:cs="宋体"/>
                <w:color w:val="auto"/>
                <w:highlight w:val="none"/>
                <w:lang w:bidi="ar"/>
              </w:rPr>
              <w:t>1</w:t>
            </w:r>
            <w:r>
              <w:rPr>
                <w:rFonts w:hint="eastAsia" w:eastAsia="宋体" w:cs="宋体"/>
                <w:color w:val="auto"/>
                <w:highlight w:val="none"/>
                <w:lang w:bidi="ar"/>
              </w:rPr>
              <w:t>、本项目拟派人员应附上</w:t>
            </w:r>
            <w:r>
              <w:rPr>
                <w:rFonts w:eastAsia="宋体" w:cs="宋体"/>
                <w:color w:val="auto"/>
                <w:highlight w:val="none"/>
                <w:lang w:bidi="ar"/>
              </w:rPr>
              <w:t>2023</w:t>
            </w:r>
            <w:r>
              <w:rPr>
                <w:rFonts w:hint="eastAsia" w:eastAsia="宋体" w:cs="宋体"/>
                <w:color w:val="auto"/>
                <w:highlight w:val="none"/>
                <w:lang w:bidi="ar"/>
              </w:rPr>
              <w:t>年</w:t>
            </w:r>
            <w:r>
              <w:rPr>
                <w:rFonts w:hint="eastAsia" w:eastAsia="宋体" w:cs="宋体"/>
                <w:color w:val="auto"/>
                <w:highlight w:val="none"/>
                <w:lang w:val="en-US" w:eastAsia="zh-CN" w:bidi="ar"/>
              </w:rPr>
              <w:t>9</w:t>
            </w:r>
            <w:r>
              <w:rPr>
                <w:rFonts w:hint="eastAsia" w:eastAsia="宋体" w:cs="宋体"/>
                <w:color w:val="auto"/>
                <w:highlight w:val="none"/>
                <w:lang w:bidi="ar"/>
              </w:rPr>
              <w:t>月的有效社保证明（社保证明需能反映参保人在该投标单位缴纳社保），否则不得分。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pPr>
              <w:spacing w:line="360" w:lineRule="auto"/>
              <w:rPr>
                <w:rFonts w:ascii="Times New Roman" w:hAnsi="Times New Roman" w:eastAsia="宋体" w:cs="宋体"/>
                <w:color w:val="auto"/>
                <w:highlight w:val="none"/>
              </w:rPr>
            </w:pPr>
            <w:r>
              <w:rPr>
                <w:rFonts w:eastAsia="宋体" w:cs="宋体"/>
                <w:color w:val="auto"/>
                <w:highlight w:val="none"/>
                <w:lang w:bidi="ar"/>
              </w:rPr>
              <w:t>2</w:t>
            </w:r>
            <w:r>
              <w:rPr>
                <w:rFonts w:hint="eastAsia" w:eastAsia="宋体" w:cs="宋体"/>
                <w:color w:val="auto"/>
                <w:highlight w:val="none"/>
                <w:lang w:bidi="ar"/>
              </w:rPr>
              <w:t>、投标人的综合得分为各评委的算术平均分（分数出现小数点时，保留小数点后二位，第三位小数四舍五入）。</w:t>
            </w:r>
          </w:p>
        </w:tc>
      </w:tr>
    </w:tbl>
    <w:p>
      <w:pPr>
        <w:spacing w:before="120" w:beforeLines="50" w:after="120" w:afterLines="50" w:line="366" w:lineRule="exact"/>
        <w:rPr>
          <w:rFonts w:ascii="Times New Roman" w:hAnsi="Times New Roman" w:eastAsia="宋体" w:cs="宋体"/>
          <w:color w:val="auto"/>
          <w:szCs w:val="21"/>
          <w:highlight w:val="none"/>
        </w:rPr>
      </w:pPr>
    </w:p>
    <w:p>
      <w:pPr>
        <w:spacing w:before="120" w:beforeLines="50" w:after="120" w:afterLines="50" w:line="366" w:lineRule="exact"/>
        <w:rPr>
          <w:rFonts w:ascii="Times New Roman" w:hAnsi="Times New Roman" w:eastAsia="宋体" w:cs="Times New Roman"/>
          <w:color w:val="auto"/>
          <w:highlight w:val="none"/>
        </w:rPr>
      </w:pPr>
      <w:r>
        <w:rPr>
          <w:rFonts w:hint="eastAsia" w:ascii="Times New Roman" w:hAnsi="Times New Roman" w:eastAsia="宋体" w:cs="宋体"/>
          <w:color w:val="auto"/>
          <w:szCs w:val="21"/>
          <w:highlight w:val="none"/>
        </w:rPr>
        <w:t xml:space="preserve">评标委员（签名）：                     </w:t>
      </w:r>
      <w:r>
        <w:rPr>
          <w:rFonts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rPr>
        <w:t>日期：</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386" w:name="_Toc529196583"/>
      <w:bookmarkStart w:id="387" w:name="_Toc102997630"/>
      <w:bookmarkStart w:id="388" w:name="_Toc515205256"/>
      <w:r>
        <w:rPr>
          <w:rFonts w:ascii="Times New Roman" w:hAnsi="Times New Roman" w:eastAsia="宋体" w:cs="Times New Roman"/>
          <w:b/>
          <w:bCs/>
          <w:color w:val="auto"/>
          <w:kern w:val="2"/>
          <w:sz w:val="32"/>
          <w:szCs w:val="32"/>
          <w:highlight w:val="none"/>
          <w:lang w:val="en-US" w:eastAsia="zh-CN" w:bidi="ar-SA"/>
        </w:rPr>
        <w:t>1. 评标方法</w:t>
      </w:r>
      <w:bookmarkEnd w:id="386"/>
      <w:bookmarkEnd w:id="387"/>
      <w:bookmarkEnd w:id="38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89" w:name="_Toc300835008"/>
      <w:bookmarkStart w:id="390" w:name="_Toc247527623"/>
      <w:bookmarkStart w:id="391" w:name="_Toc247514022"/>
      <w:bookmarkStart w:id="392" w:name="_Toc144974565"/>
      <w:bookmarkStart w:id="393" w:name="_Toc152045598"/>
      <w:bookmarkStart w:id="394" w:name="_Toc361508646"/>
      <w:bookmarkStart w:id="395" w:name="_Toc152042375"/>
      <w:bookmarkStart w:id="396" w:name="_Toc384308272"/>
      <w:bookmarkStart w:id="397" w:name="_Toc352691533"/>
      <w:bookmarkStart w:id="398" w:name="_Toc4497"/>
      <w:bookmarkStart w:id="399" w:name="_Toc369531577"/>
      <w:r>
        <w:rPr>
          <w:rFonts w:ascii="Times New Roman" w:hAnsi="Times New Roman" w:eastAsia="宋体" w:cs="Times New Roman"/>
          <w:color w:val="auto"/>
          <w:sz w:val="24"/>
          <w:highlight w:val="none"/>
        </w:rPr>
        <w:t>外。综合评分相等</w:t>
      </w:r>
      <w:bookmarkEnd w:id="389"/>
      <w:bookmarkEnd w:id="390"/>
      <w:bookmarkEnd w:id="391"/>
      <w:bookmarkEnd w:id="392"/>
      <w:bookmarkEnd w:id="393"/>
      <w:bookmarkEnd w:id="394"/>
      <w:bookmarkEnd w:id="395"/>
      <w:bookmarkEnd w:id="396"/>
      <w:r>
        <w:rPr>
          <w:rFonts w:ascii="Times New Roman" w:hAnsi="Times New Roman" w:eastAsia="宋体" w:cs="Times New Roman"/>
          <w:color w:val="auto"/>
          <w:sz w:val="24"/>
          <w:highlight w:val="none"/>
        </w:rPr>
        <w:t>时，</w:t>
      </w:r>
      <w:bookmarkEnd w:id="397"/>
      <w:bookmarkEnd w:id="398"/>
      <w:bookmarkEnd w:id="399"/>
      <w:r>
        <w:rPr>
          <w:rFonts w:ascii="Times New Roman" w:hAnsi="Times New Roman" w:eastAsia="宋体" w:cs="Times New Roman"/>
          <w:color w:val="auto"/>
          <w:sz w:val="24"/>
          <w:highlight w:val="none"/>
        </w:rPr>
        <w:t>按照评标办法前附表的规定确定中标候选人顺序。</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00" w:name="_Toc102997631"/>
      <w:bookmarkStart w:id="401" w:name="_Toc515205257"/>
      <w:bookmarkStart w:id="402" w:name="_Toc529196584"/>
      <w:r>
        <w:rPr>
          <w:rFonts w:ascii="Times New Roman" w:hAnsi="Times New Roman" w:eastAsia="宋体" w:cs="Times New Roman"/>
          <w:b/>
          <w:bCs/>
          <w:color w:val="auto"/>
          <w:kern w:val="2"/>
          <w:sz w:val="32"/>
          <w:szCs w:val="32"/>
          <w:highlight w:val="none"/>
          <w:lang w:val="en-US" w:eastAsia="zh-CN" w:bidi="ar-SA"/>
        </w:rPr>
        <w:t>2. 评审标准</w:t>
      </w:r>
      <w:bookmarkEnd w:id="400"/>
      <w:bookmarkEnd w:id="401"/>
      <w:bookmarkEnd w:id="402"/>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03" w:name="_Toc102997632"/>
      <w:bookmarkStart w:id="404" w:name="_Toc529196585"/>
      <w:bookmarkStart w:id="405" w:name="_Toc515205258"/>
      <w:r>
        <w:rPr>
          <w:rFonts w:ascii="Times New Roman" w:hAnsi="Times New Roman" w:eastAsia="宋体" w:cs="Times New Roman"/>
          <w:b/>
          <w:bCs/>
          <w:color w:val="auto"/>
          <w:kern w:val="2"/>
          <w:sz w:val="32"/>
          <w:szCs w:val="32"/>
          <w:highlight w:val="none"/>
          <w:lang w:val="en-US" w:eastAsia="zh-CN" w:bidi="ar-SA"/>
        </w:rPr>
        <w:t>2.1 初步评审标准</w:t>
      </w:r>
      <w:bookmarkEnd w:id="403"/>
      <w:bookmarkEnd w:id="404"/>
      <w:bookmarkEnd w:id="40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2.1.1 形式评审标准：见评标办法前附表。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2.1.2 资格评审标准：见评标办法前附表。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2.1.3 响应性评审标准：见评标办法前附表。</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06" w:name="_Toc529196586"/>
      <w:bookmarkStart w:id="407" w:name="_Toc515205259"/>
      <w:bookmarkStart w:id="408" w:name="_Toc102997633"/>
      <w:r>
        <w:rPr>
          <w:rFonts w:ascii="Times New Roman" w:hAnsi="Times New Roman" w:eastAsia="宋体" w:cs="Times New Roman"/>
          <w:b/>
          <w:bCs/>
          <w:color w:val="auto"/>
          <w:kern w:val="2"/>
          <w:sz w:val="32"/>
          <w:szCs w:val="32"/>
          <w:highlight w:val="none"/>
          <w:lang w:val="en-US" w:eastAsia="zh-CN" w:bidi="ar-SA"/>
        </w:rPr>
        <w:t>2.2 分值构成与评分标准</w:t>
      </w:r>
      <w:bookmarkEnd w:id="406"/>
      <w:bookmarkEnd w:id="407"/>
      <w:bookmarkEnd w:id="40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2.2.1 分值构成</w:t>
      </w:r>
      <w:r>
        <w:rPr>
          <w:rFonts w:hint="eastAsia" w:ascii="Times New Roman" w:hAnsi="Times New Roman" w:eastAsia="宋体" w:cs="Times New Roman"/>
          <w:color w:val="auto"/>
          <w:sz w:val="24"/>
          <w:highlight w:val="none"/>
        </w:rPr>
        <w:t>：</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（1）资信业绩部分：见评标办法前附表；</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（2）方案部分：见评标办法前附表；</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（3）投标报价：见评标办法前附表；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2.2.2 评标基准价计算</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评标基准价计算方法：见评标办法前附表。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2.2.3 投标报价的偏差率计算</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投标报价的偏差率计算公式：见评标办法前附表。</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2.2.4 评分标准</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（1）资信业绩部分：见评标办法前附表；</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（2）方案部分：见评标办法前附表；</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（3）投标报价：见评标办法前附表；</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09" w:name="_Toc529196587"/>
      <w:bookmarkStart w:id="410" w:name="_Toc102997634"/>
      <w:bookmarkStart w:id="411" w:name="_Toc515205260"/>
      <w:r>
        <w:rPr>
          <w:rFonts w:ascii="Times New Roman" w:hAnsi="Times New Roman" w:eastAsia="宋体" w:cs="Times New Roman"/>
          <w:b/>
          <w:bCs/>
          <w:color w:val="auto"/>
          <w:kern w:val="2"/>
          <w:sz w:val="32"/>
          <w:szCs w:val="32"/>
          <w:highlight w:val="none"/>
          <w:lang w:val="en-US" w:eastAsia="zh-CN" w:bidi="ar-SA"/>
        </w:rPr>
        <w:t>3. 评标程序</w:t>
      </w:r>
      <w:bookmarkEnd w:id="409"/>
      <w:bookmarkEnd w:id="410"/>
      <w:bookmarkEnd w:id="411"/>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12" w:name="_Toc102997635"/>
      <w:bookmarkStart w:id="413" w:name="_Toc515205261"/>
      <w:bookmarkStart w:id="414" w:name="_Toc529196588"/>
      <w:r>
        <w:rPr>
          <w:rFonts w:ascii="Times New Roman" w:hAnsi="Times New Roman" w:eastAsia="宋体" w:cs="Times New Roman"/>
          <w:b/>
          <w:bCs/>
          <w:color w:val="auto"/>
          <w:kern w:val="2"/>
          <w:sz w:val="32"/>
          <w:szCs w:val="32"/>
          <w:highlight w:val="none"/>
          <w:lang w:val="en-US" w:eastAsia="zh-CN" w:bidi="ar-SA"/>
        </w:rPr>
        <w:t>3.1 初步评审</w:t>
      </w:r>
      <w:bookmarkEnd w:id="412"/>
      <w:bookmarkEnd w:id="413"/>
      <w:bookmarkEnd w:id="414"/>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3.1.2 投标人有以下情形之一的，评标委员会应当否决其投标：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（1）投标文件没有对招标文件的实质性要求和条件作出响应，或者对招标文件的偏差超出招标文件规定的偏差范围或最高项数；</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（2）有串通投标、弄虚作假、行贿等违法行为。</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3.1.3 投标报价有算术错误及其他错误的，评标委员会按以下原则要求投标人对投标报价进</w:t>
      </w:r>
      <w:bookmarkStart w:id="415" w:name="_Toc247527628"/>
      <w:bookmarkStart w:id="416" w:name="_Toc247514027"/>
      <w:bookmarkStart w:id="417" w:name="_Toc144974570"/>
      <w:bookmarkStart w:id="418" w:name="_Toc384308277"/>
      <w:bookmarkStart w:id="419" w:name="_Toc300835013"/>
      <w:bookmarkStart w:id="420" w:name="_Toc152045603"/>
      <w:bookmarkStart w:id="421" w:name="_Toc369531582"/>
      <w:bookmarkStart w:id="422" w:name="_Toc152042380"/>
      <w:bookmarkStart w:id="423" w:name="_Toc2907"/>
      <w:bookmarkStart w:id="424" w:name="_Toc361508651"/>
      <w:bookmarkStart w:id="425" w:name="_Toc352691538"/>
      <w:r>
        <w:rPr>
          <w:rFonts w:ascii="Times New Roman" w:hAnsi="Times New Roman" w:eastAsia="宋体" w:cs="Times New Roman"/>
          <w:color w:val="auto"/>
          <w:sz w:val="24"/>
          <w:highlight w:val="none"/>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cs="Times New Roman"/>
          <w:color w:val="auto"/>
          <w:sz w:val="24"/>
          <w:highlight w:val="none"/>
        </w:rPr>
        <w:t>投标人拒不澄清确认的，评标委员会应当否决其投标：</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（1）投标文件中的大写金额与小写金额不一致的，以大写金额为准；</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（2）总价金额与单价金额不一致的，以单价金额为准，但单价金额小数点有明显错误的除外</w:t>
      </w:r>
      <w:r>
        <w:rPr>
          <w:rFonts w:hint="eastAsia" w:ascii="Times New Roman" w:hAnsi="Times New Roman" w:eastAsia="宋体" w:cs="Times New Roman"/>
          <w:color w:val="auto"/>
          <w:sz w:val="24"/>
          <w:highlight w:val="none"/>
        </w:rPr>
        <w:t>。</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26" w:name="_Toc529196589"/>
      <w:bookmarkStart w:id="427" w:name="_Toc102997636"/>
      <w:bookmarkStart w:id="428" w:name="_Toc515205262"/>
      <w:r>
        <w:rPr>
          <w:rFonts w:ascii="Times New Roman" w:hAnsi="Times New Roman" w:eastAsia="宋体" w:cs="Times New Roman"/>
          <w:b/>
          <w:bCs/>
          <w:color w:val="auto"/>
          <w:kern w:val="2"/>
          <w:sz w:val="32"/>
          <w:szCs w:val="32"/>
          <w:highlight w:val="none"/>
          <w:lang w:val="en-US" w:eastAsia="zh-CN" w:bidi="ar-SA"/>
        </w:rPr>
        <w:t>3.2 详细评审</w:t>
      </w:r>
      <w:bookmarkEnd w:id="426"/>
      <w:bookmarkEnd w:id="427"/>
      <w:bookmarkEnd w:id="428"/>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3.2.1 评标委员会按本章第2.2款规定的量化因素和分值进行打分，并计算出综合评估得分。</w:t>
      </w:r>
    </w:p>
    <w:p>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（1）按本章第2.2.4（1）目规定的评审因素和分值对资信业绩部分计算出得分 A；</w:t>
      </w:r>
    </w:p>
    <w:p>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（2）按本章第2.2.4（2）目规定的评审因素和分值对方案部分计算出得分B；</w:t>
      </w:r>
    </w:p>
    <w:p>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（3）按本章第2.2.4（3）目规定的评审因素和分值对投标报价部分计算出得分 C；</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3.2.2 评分分值计算保留小数点后两位，小数点后第三位“四舍五入”。</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rPr>
        <w:t>3.2.3</w:t>
      </w:r>
      <w:r>
        <w:rPr>
          <w:rFonts w:hint="eastAsia" w:ascii="Times New Roman" w:hAnsi="Times New Roman" w:eastAsia="宋体" w:cs="Times New Roman"/>
          <w:color w:val="auto"/>
          <w:sz w:val="24"/>
          <w:highlight w:val="none"/>
          <w:u w:val="single"/>
        </w:rPr>
        <w:t>投标人得分=A+B+C。</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29" w:name="_Toc529196590"/>
      <w:bookmarkStart w:id="430" w:name="_Toc515205263"/>
      <w:bookmarkStart w:id="431" w:name="_Toc102997637"/>
      <w:r>
        <w:rPr>
          <w:rFonts w:ascii="Times New Roman" w:hAnsi="Times New Roman" w:eastAsia="宋体" w:cs="Times New Roman"/>
          <w:b/>
          <w:bCs/>
          <w:color w:val="auto"/>
          <w:kern w:val="2"/>
          <w:sz w:val="32"/>
          <w:szCs w:val="32"/>
          <w:highlight w:val="none"/>
          <w:lang w:val="en-US" w:eastAsia="zh-CN" w:bidi="ar-SA"/>
        </w:rPr>
        <w:t>3.3 投标文件的澄清</w:t>
      </w:r>
      <w:bookmarkEnd w:id="429"/>
      <w:bookmarkEnd w:id="430"/>
      <w:bookmarkEnd w:id="431"/>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3.3.2 澄清、说明或补正不得超出投标文件的范围且不得改变投标文件的实质性内容，并构成投标文件的组成部分。</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3.3.3 评标委员会对投标人提交的澄清、说明或补正有疑问的，可以要求投标人进一步澄清、说明或补正，直至满足评标委员会的要求。</w:t>
      </w:r>
    </w:p>
    <w:p>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highlight w:val="none"/>
          <w:lang w:val="en-US" w:eastAsia="zh-CN" w:bidi="ar-SA"/>
        </w:rPr>
      </w:pPr>
      <w:bookmarkStart w:id="432" w:name="_Toc515205264"/>
      <w:bookmarkStart w:id="433" w:name="_Toc529196591"/>
      <w:bookmarkStart w:id="434" w:name="_Toc102997638"/>
      <w:r>
        <w:rPr>
          <w:rFonts w:ascii="Times New Roman" w:hAnsi="Times New Roman" w:eastAsia="宋体" w:cs="Times New Roman"/>
          <w:b/>
          <w:bCs/>
          <w:color w:val="auto"/>
          <w:kern w:val="2"/>
          <w:sz w:val="32"/>
          <w:szCs w:val="32"/>
          <w:highlight w:val="none"/>
          <w:lang w:val="en-US" w:eastAsia="zh-CN" w:bidi="ar-SA"/>
        </w:rPr>
        <w:t>3.4 评标结果</w:t>
      </w:r>
      <w:bookmarkEnd w:id="432"/>
      <w:bookmarkEnd w:id="433"/>
      <w:bookmarkEnd w:id="434"/>
    </w:p>
    <w:p>
      <w:pPr>
        <w:spacing w:line="360" w:lineRule="auto"/>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3.4.1 除第二章“投标人须知”前附表授权直接确定中标人外，评标委员会按照得分由高到低的顺序推荐中标候选人，并标明排序。</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3.4.2 评标委员会完成评标后，应当向招标人提交书面评标报告和中标候选人名单。</w:t>
      </w: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spacing w:line="200" w:lineRule="exact"/>
        <w:rPr>
          <w:rFonts w:ascii="Times New Roman" w:hAnsi="Times New Roman" w:eastAsia="宋体" w:cs="Times New Roman"/>
          <w:color w:val="auto"/>
          <w:highlight w:val="none"/>
        </w:rPr>
      </w:pPr>
    </w:p>
    <w:p>
      <w:pPr>
        <w:spacing w:line="502" w:lineRule="exact"/>
        <w:jc w:val="center"/>
        <w:outlineLvl w:val="1"/>
        <w:rPr>
          <w:rFonts w:ascii="Times New Roman" w:hAnsi="Times New Roman" w:eastAsia="宋体" w:cs="Times New Roman"/>
          <w:b/>
          <w:color w:val="auto"/>
          <w:sz w:val="44"/>
          <w:highlight w:val="none"/>
        </w:rPr>
      </w:pPr>
      <w:bookmarkStart w:id="435" w:name="_Toc102997639"/>
      <w:r>
        <w:rPr>
          <w:rFonts w:ascii="Times New Roman" w:hAnsi="Times New Roman" w:eastAsia="宋体" w:cs="Times New Roman"/>
          <w:b/>
          <w:color w:val="auto"/>
          <w:sz w:val="44"/>
          <w:highlight w:val="none"/>
        </w:rPr>
        <w:t>第四章</w:t>
      </w:r>
      <w:r>
        <w:rPr>
          <w:rFonts w:hint="eastAsia" w:ascii="Times New Roman" w:hAnsi="Times New Roman" w:eastAsia="宋体" w:cs="Times New Roman"/>
          <w:b/>
          <w:color w:val="auto"/>
          <w:sz w:val="44"/>
          <w:highlight w:val="none"/>
        </w:rPr>
        <w:t xml:space="preserve"> </w:t>
      </w:r>
      <w:r>
        <w:rPr>
          <w:rFonts w:ascii="Times New Roman" w:hAnsi="Times New Roman" w:eastAsia="宋体" w:cs="Times New Roman"/>
          <w:b/>
          <w:color w:val="auto"/>
          <w:sz w:val="44"/>
          <w:highlight w:val="none"/>
        </w:rPr>
        <w:t>合同条款及格式</w:t>
      </w:r>
      <w:bookmarkEnd w:id="435"/>
    </w:p>
    <w:p>
      <w:pPr>
        <w:spacing w:line="324" w:lineRule="exact"/>
        <w:rPr>
          <w:rFonts w:ascii="Times New Roman" w:hAnsi="Times New Roman" w:eastAsia="宋体" w:cs="Times New Roman"/>
          <w:color w:val="auto"/>
          <w:highlight w:val="none"/>
        </w:rPr>
      </w:pPr>
    </w:p>
    <w:p>
      <w:pPr>
        <w:spacing w:before="120" w:after="120" w:line="360" w:lineRule="auto"/>
        <w:jc w:val="center"/>
        <w:rPr>
          <w:rFonts w:ascii="Times New Roman" w:hAnsi="Times New Roman"/>
          <w:color w:val="auto"/>
          <w:highlight w:val="none"/>
        </w:rPr>
        <w:sectPr>
          <w:pgSz w:w="11907" w:h="16839"/>
          <w:pgMar w:top="1440" w:right="1440" w:bottom="1418" w:left="1440" w:header="993" w:footer="749" w:gutter="0"/>
          <w:pgNumType w:fmt="decimal"/>
          <w:cols w:space="720" w:num="1"/>
          <w:titlePg/>
          <w:docGrid w:linePitch="360" w:charSpace="0"/>
        </w:sectPr>
      </w:pPr>
      <w:r>
        <w:rPr>
          <w:rFonts w:hint="eastAsia" w:ascii="Times New Roman" w:hAnsi="Times New Roman" w:eastAsia="宋体" w:cs="Times New Roman"/>
          <w:b/>
          <w:bCs/>
          <w:color w:val="auto"/>
          <w:sz w:val="32"/>
          <w:szCs w:val="32"/>
          <w:highlight w:val="none"/>
        </w:rPr>
        <w:t>（另册</w:t>
      </w:r>
      <w:r>
        <w:rPr>
          <w:rFonts w:ascii="Times New Roman" w:hAnsi="Times New Roman" w:eastAsia="宋体" w:cs="Times New Roman"/>
          <w:b/>
          <w:bCs/>
          <w:color w:val="auto"/>
          <w:sz w:val="32"/>
          <w:szCs w:val="32"/>
          <w:highlight w:val="none"/>
        </w:rPr>
        <w:t>）</w:t>
      </w:r>
    </w:p>
    <w:p>
      <w:pPr>
        <w:widowControl/>
        <w:jc w:val="left"/>
        <w:rPr>
          <w:rFonts w:ascii="Times New Roman" w:hAnsi="Times New Roman" w:eastAsia="宋体" w:cs="Times New Roman"/>
          <w:b/>
          <w:color w:val="auto"/>
          <w:sz w:val="43"/>
          <w:highlight w:val="none"/>
        </w:rPr>
      </w:pPr>
      <w:bookmarkStart w:id="436" w:name="_Toc102997640"/>
      <w:r>
        <w:rPr>
          <w:rFonts w:ascii="Times New Roman" w:hAnsi="Times New Roman" w:eastAsia="宋体" w:cs="Times New Roman"/>
          <w:b/>
          <w:color w:val="auto"/>
          <w:sz w:val="43"/>
          <w:highlight w:val="none"/>
        </w:rPr>
        <w:br w:type="page"/>
      </w:r>
    </w:p>
    <w:p>
      <w:pPr>
        <w:spacing w:line="491" w:lineRule="exact"/>
        <w:jc w:val="center"/>
        <w:outlineLvl w:val="1"/>
        <w:rPr>
          <w:rFonts w:ascii="Times New Roman" w:hAnsi="Times New Roman" w:eastAsia="宋体" w:cs="Times New Roman"/>
          <w:b/>
          <w:color w:val="auto"/>
          <w:sz w:val="43"/>
          <w:highlight w:val="none"/>
        </w:rPr>
      </w:pPr>
      <w:r>
        <w:rPr>
          <w:rFonts w:ascii="Times New Roman" w:hAnsi="Times New Roman" w:eastAsia="宋体" w:cs="Times New Roman"/>
          <w:b/>
          <w:color w:val="auto"/>
          <w:sz w:val="43"/>
          <w:highlight w:val="none"/>
        </w:rPr>
        <w:t>第五章</w:t>
      </w:r>
      <w:r>
        <w:rPr>
          <w:rFonts w:hint="eastAsia" w:ascii="Times New Roman" w:hAnsi="Times New Roman" w:eastAsia="宋体" w:cs="Times New Roman"/>
          <w:b/>
          <w:color w:val="auto"/>
          <w:sz w:val="43"/>
          <w:highlight w:val="none"/>
        </w:rPr>
        <w:t xml:space="preserve"> </w:t>
      </w:r>
      <w:r>
        <w:rPr>
          <w:rFonts w:ascii="Times New Roman" w:hAnsi="Times New Roman" w:eastAsia="宋体" w:cs="Times New Roman"/>
          <w:b/>
          <w:color w:val="auto"/>
          <w:sz w:val="43"/>
          <w:highlight w:val="none"/>
        </w:rPr>
        <w:t>委托人要求</w:t>
      </w:r>
      <w:bookmarkEnd w:id="436"/>
    </w:p>
    <w:p>
      <w:pPr>
        <w:spacing w:line="360" w:lineRule="auto"/>
        <w:rPr>
          <w:rFonts w:ascii="Times New Roman" w:hAnsi="Times New Roman" w:eastAsia="宋体" w:cs="宋体"/>
          <w:color w:val="auto"/>
          <w:sz w:val="24"/>
          <w:highlight w:val="none"/>
        </w:rPr>
      </w:pPr>
    </w:p>
    <w:p>
      <w:pPr>
        <w:spacing w:line="360" w:lineRule="auto"/>
        <w:rPr>
          <w:rFonts w:ascii="Times New Roman" w:hAnsi="Times New Roman" w:eastAsia="宋体" w:cs="宋体"/>
          <w:color w:val="auto"/>
          <w:sz w:val="24"/>
          <w:highlight w:val="none"/>
        </w:rPr>
      </w:pPr>
      <w:bookmarkStart w:id="437" w:name="_Toc102997642"/>
      <w:r>
        <w:rPr>
          <w:rFonts w:hint="eastAsia" w:ascii="Times New Roman" w:hAnsi="Times New Roman" w:eastAsia="宋体" w:cs="宋体"/>
          <w:color w:val="auto"/>
          <w:sz w:val="24"/>
          <w:highlight w:val="none"/>
        </w:rPr>
        <w:t>包括但不限于以下内容：</w:t>
      </w:r>
    </w:p>
    <w:p>
      <w:pPr>
        <w:widowControl w:val="0"/>
        <w:autoSpaceDE w:val="0"/>
        <w:autoSpaceDN w:val="0"/>
        <w:adjustRightInd w:val="0"/>
        <w:snapToGrid w:val="0"/>
        <w:spacing w:line="360" w:lineRule="auto"/>
        <w:ind w:firstLine="480" w:firstLineChars="200"/>
        <w:jc w:val="left"/>
        <w:rPr>
          <w:rFonts w:ascii="Times New Roman" w:hAnsi="Times New Roman" w:eastAsia="宋体" w:cs="宋体"/>
          <w:snapToGrid w:val="0"/>
          <w:color w:val="auto"/>
          <w:kern w:val="28"/>
          <w:sz w:val="24"/>
          <w:szCs w:val="24"/>
          <w:highlight w:val="none"/>
          <w:lang w:val="en-US" w:eastAsia="zh-CN" w:bidi="ar-SA"/>
        </w:rPr>
      </w:pPr>
      <w:r>
        <w:rPr>
          <w:rFonts w:hint="eastAsia" w:ascii="Times New Roman" w:hAnsi="Times New Roman" w:eastAsia="宋体" w:cs="宋体"/>
          <w:snapToGrid w:val="0"/>
          <w:color w:val="auto"/>
          <w:kern w:val="28"/>
          <w:sz w:val="24"/>
          <w:szCs w:val="24"/>
          <w:highlight w:val="none"/>
          <w:lang w:val="en-US" w:eastAsia="zh-CN" w:bidi="ar-SA"/>
        </w:rPr>
        <w:t>一、检测工作要求</w:t>
      </w:r>
    </w:p>
    <w:p>
      <w:pPr>
        <w:widowControl w:val="0"/>
        <w:autoSpaceDE w:val="0"/>
        <w:autoSpaceDN w:val="0"/>
        <w:adjustRightInd w:val="0"/>
        <w:snapToGrid w:val="0"/>
        <w:spacing w:line="360" w:lineRule="auto"/>
        <w:ind w:firstLine="600" w:firstLineChars="250"/>
        <w:jc w:val="left"/>
        <w:rPr>
          <w:rFonts w:ascii="Times New Roman" w:hAnsi="Times New Roman" w:eastAsia="宋体" w:cs="宋体"/>
          <w:snapToGrid w:val="0"/>
          <w:color w:val="auto"/>
          <w:kern w:val="28"/>
          <w:sz w:val="24"/>
          <w:szCs w:val="24"/>
          <w:highlight w:val="none"/>
          <w:lang w:val="en-US" w:eastAsia="zh-CN" w:bidi="ar-SA"/>
        </w:rPr>
      </w:pPr>
      <w:r>
        <w:rPr>
          <w:rFonts w:hint="eastAsia" w:ascii="Times New Roman" w:hAnsi="Times New Roman" w:eastAsia="宋体" w:cs="宋体"/>
          <w:snapToGrid w:val="0"/>
          <w:color w:val="auto"/>
          <w:kern w:val="28"/>
          <w:sz w:val="24"/>
          <w:szCs w:val="24"/>
          <w:highlight w:val="none"/>
          <w:lang w:val="en-US" w:eastAsia="zh-CN" w:bidi="ar-SA"/>
        </w:rPr>
        <w:t>1、中标人的检测工作必须满足国家、广东省、广州市相关检测规范、强制性标准。</w:t>
      </w:r>
    </w:p>
    <w:p>
      <w:pPr>
        <w:adjustRightInd w:val="0"/>
        <w:snapToGrid w:val="0"/>
        <w:spacing w:line="360" w:lineRule="auto"/>
        <w:ind w:firstLine="600" w:firstLineChars="25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2、中标人除按要求完成本次招标范围内的检测工作外，还应完成以下工作：</w:t>
      </w:r>
    </w:p>
    <w:p>
      <w:pPr>
        <w:widowControl/>
        <w:shd w:val="clear" w:color="auto" w:fill="FFFFFF"/>
        <w:spacing w:line="360" w:lineRule="auto"/>
        <w:ind w:firstLine="424" w:firstLineChars="177"/>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widowControl/>
        <w:shd w:val="clear" w:color="auto" w:fill="FFFFFF"/>
        <w:spacing w:line="360" w:lineRule="auto"/>
        <w:ind w:firstLine="424" w:firstLineChars="177"/>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（2）在进行检测服务过程中，与该工程相关的施工、监理、设计、咨询等相关单位及建设协调行政主管部门和监督部门协调，投标人需在投标报价中综合考虑该项协调工作费用。</w:t>
      </w:r>
    </w:p>
    <w:p>
      <w:pPr>
        <w:widowControl/>
        <w:shd w:val="clear" w:color="auto" w:fill="FFFFFF"/>
        <w:spacing w:line="360" w:lineRule="auto"/>
        <w:ind w:firstLine="424" w:firstLineChars="177"/>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（3）本招标项目已包含监督抽检的工作内容，监督抽检数量按建设行政主管部门要求实施，投标人需在投标报价中综合考虑该部分费用。</w:t>
      </w:r>
    </w:p>
    <w:p>
      <w:pPr>
        <w:widowControl/>
        <w:shd w:val="clear" w:color="auto" w:fill="FFFFFF"/>
        <w:spacing w:line="360" w:lineRule="auto"/>
        <w:ind w:firstLine="424" w:firstLineChars="177"/>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（4）负责检测数据的有关信息通过广州市建设工程质量检测监管信息网报送。</w:t>
      </w:r>
    </w:p>
    <w:p>
      <w:pPr>
        <w:widowControl/>
        <w:shd w:val="clear" w:color="auto" w:fill="FFFFFF"/>
        <w:spacing w:line="360" w:lineRule="auto"/>
        <w:ind w:firstLine="424" w:firstLineChars="177"/>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本项目实施期间，如果因本项目验收需要，按规范和经批准的检测方案，经招标人确认需增加《工程量清单》中没有的项目，且中标人也具备相应资质，则中标人不得以任何原因拒绝为招标人提供检测，并按要求出具符合验收要求的检测报告。中标人检测资质不能涵盖的项目报招标人批准后由中标人委托具有相应资质的单位实施，并取得相应管理部门的确认。</w:t>
      </w:r>
    </w:p>
    <w:p>
      <w:pPr>
        <w:widowControl w:val="0"/>
        <w:autoSpaceDE w:val="0"/>
        <w:autoSpaceDN w:val="0"/>
        <w:adjustRightInd w:val="0"/>
        <w:snapToGrid w:val="0"/>
        <w:spacing w:line="360" w:lineRule="auto"/>
        <w:ind w:firstLine="480" w:firstLineChars="200"/>
        <w:jc w:val="left"/>
        <w:rPr>
          <w:rFonts w:ascii="Times New Roman" w:hAnsi="Times New Roman" w:eastAsia="宋体" w:cs="宋体"/>
          <w:snapToGrid w:val="0"/>
          <w:color w:val="auto"/>
          <w:kern w:val="28"/>
          <w:sz w:val="24"/>
          <w:szCs w:val="24"/>
          <w:highlight w:val="none"/>
          <w:lang w:val="en-US" w:eastAsia="zh-CN" w:bidi="ar-SA"/>
        </w:rPr>
      </w:pPr>
      <w:r>
        <w:rPr>
          <w:rFonts w:hint="eastAsia" w:ascii="Times New Roman" w:hAnsi="Times New Roman" w:eastAsia="宋体" w:cs="宋体"/>
          <w:snapToGrid w:val="0"/>
          <w:color w:val="auto"/>
          <w:kern w:val="28"/>
          <w:sz w:val="24"/>
          <w:szCs w:val="24"/>
          <w:highlight w:val="none"/>
          <w:lang w:val="en-US" w:eastAsia="zh-CN" w:bidi="ar-SA"/>
        </w:rPr>
        <w:t>二、检测设备要求</w:t>
      </w:r>
    </w:p>
    <w:p>
      <w:pPr>
        <w:spacing w:line="491" w:lineRule="exact"/>
        <w:outlineLvl w:val="1"/>
        <w:rPr>
          <w:rFonts w:ascii="Times New Roman" w:hAnsi="Times New Roman" w:eastAsia="宋体" w:cs="Times New Roman"/>
          <w:color w:val="auto"/>
          <w:highlight w:val="none"/>
        </w:rPr>
      </w:pPr>
      <w:r>
        <w:rPr>
          <w:rFonts w:hint="eastAsia" w:ascii="Times New Roman" w:hAnsi="Times New Roman" w:eastAsia="宋体" w:cs="宋体"/>
          <w:snapToGrid w:val="0"/>
          <w:color w:val="auto"/>
          <w:kern w:val="28"/>
          <w:sz w:val="24"/>
          <w:highlight w:val="none"/>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pPr>
        <w:spacing w:line="491" w:lineRule="exact"/>
        <w:outlineLvl w:val="1"/>
        <w:rPr>
          <w:rFonts w:ascii="Times New Roman" w:hAnsi="Times New Roman"/>
          <w:b/>
          <w:color w:val="auto"/>
          <w:sz w:val="43"/>
          <w:highlight w:val="none"/>
        </w:rPr>
        <w:sectPr>
          <w:type w:val="continuous"/>
          <w:pgSz w:w="11907" w:h="16839"/>
          <w:pgMar w:top="1440" w:right="1440" w:bottom="1418" w:left="1440" w:header="0" w:footer="595" w:gutter="0"/>
          <w:pgNumType w:fmt="decimal"/>
          <w:cols w:space="720" w:num="1"/>
          <w:docGrid w:linePitch="360" w:charSpace="0"/>
        </w:sectPr>
      </w:pPr>
      <w:r>
        <w:rPr>
          <w:rFonts w:ascii="Times New Roman" w:hAnsi="Times New Roman" w:eastAsia="宋体" w:cs="Times New Roman"/>
          <w:b/>
          <w:color w:val="auto"/>
          <w:sz w:val="43"/>
          <w:highlight w:val="none"/>
        </w:rPr>
        <w:t xml:space="preserve"> </w:t>
      </w:r>
      <w:bookmarkEnd w:id="437"/>
    </w:p>
    <w:p>
      <w:pPr>
        <w:widowControl/>
        <w:textAlignment w:val="center"/>
        <w:rPr>
          <w:rFonts w:ascii="Times New Roman" w:hAnsi="Times New Roman" w:eastAsia="宋体" w:cs="Times New Roman"/>
          <w:b/>
          <w:color w:val="auto"/>
          <w:sz w:val="43"/>
          <w:highlight w:val="none"/>
        </w:rPr>
      </w:pPr>
    </w:p>
    <w:p>
      <w:pPr>
        <w:spacing w:line="491" w:lineRule="exact"/>
        <w:jc w:val="center"/>
        <w:outlineLvl w:val="1"/>
        <w:rPr>
          <w:rFonts w:ascii="Times New Roman" w:hAnsi="Times New Roman" w:eastAsia="宋体" w:cs="Times New Roman"/>
          <w:b/>
          <w:color w:val="auto"/>
          <w:sz w:val="43"/>
          <w:highlight w:val="none"/>
        </w:rPr>
      </w:pPr>
    </w:p>
    <w:p>
      <w:pPr>
        <w:spacing w:line="491" w:lineRule="exact"/>
        <w:jc w:val="center"/>
        <w:outlineLvl w:val="1"/>
        <w:rPr>
          <w:rFonts w:ascii="Times New Roman" w:hAnsi="Times New Roman" w:eastAsia="宋体" w:cs="Times New Roman"/>
          <w:b/>
          <w:color w:val="auto"/>
          <w:sz w:val="43"/>
          <w:highlight w:val="none"/>
        </w:rPr>
      </w:pPr>
    </w:p>
    <w:p>
      <w:pPr>
        <w:spacing w:line="491" w:lineRule="exact"/>
        <w:jc w:val="center"/>
        <w:outlineLvl w:val="1"/>
        <w:rPr>
          <w:rFonts w:ascii="Times New Roman" w:hAnsi="Times New Roman" w:eastAsia="宋体" w:cs="Times New Roman"/>
          <w:b/>
          <w:color w:val="auto"/>
          <w:sz w:val="43"/>
          <w:highlight w:val="none"/>
        </w:rPr>
      </w:pPr>
      <w:bookmarkStart w:id="438" w:name="_Toc102997644"/>
      <w:r>
        <w:rPr>
          <w:rFonts w:ascii="Times New Roman" w:hAnsi="Times New Roman" w:eastAsia="宋体" w:cs="Times New Roman"/>
          <w:b/>
          <w:color w:val="auto"/>
          <w:sz w:val="43"/>
          <w:highlight w:val="none"/>
        </w:rPr>
        <w:t>第</w:t>
      </w:r>
      <w:r>
        <w:rPr>
          <w:rFonts w:hint="eastAsia" w:ascii="Times New Roman" w:hAnsi="Times New Roman" w:eastAsia="宋体" w:cs="Times New Roman"/>
          <w:b/>
          <w:color w:val="auto"/>
          <w:sz w:val="43"/>
          <w:highlight w:val="none"/>
        </w:rPr>
        <w:t>六</w:t>
      </w:r>
      <w:r>
        <w:rPr>
          <w:rFonts w:ascii="Times New Roman" w:hAnsi="Times New Roman" w:eastAsia="宋体" w:cs="Times New Roman"/>
          <w:b/>
          <w:color w:val="auto"/>
          <w:sz w:val="43"/>
          <w:highlight w:val="none"/>
        </w:rPr>
        <w:t>章</w:t>
      </w:r>
      <w:r>
        <w:rPr>
          <w:rFonts w:hint="eastAsia" w:ascii="Times New Roman" w:hAnsi="Times New Roman" w:eastAsia="宋体" w:cs="Times New Roman"/>
          <w:b/>
          <w:color w:val="auto"/>
          <w:sz w:val="43"/>
          <w:highlight w:val="none"/>
        </w:rPr>
        <w:t xml:space="preserve"> </w:t>
      </w:r>
      <w:r>
        <w:rPr>
          <w:rFonts w:ascii="Times New Roman" w:hAnsi="Times New Roman" w:eastAsia="宋体" w:cs="Times New Roman"/>
          <w:b/>
          <w:color w:val="auto"/>
          <w:sz w:val="43"/>
          <w:highlight w:val="none"/>
        </w:rPr>
        <w:t>投标文件格式</w:t>
      </w:r>
      <w:bookmarkEnd w:id="438"/>
    </w:p>
    <w:p>
      <w:pPr>
        <w:spacing w:line="491" w:lineRule="exact"/>
        <w:jc w:val="center"/>
        <w:rPr>
          <w:rFonts w:ascii="Times New Roman" w:hAnsi="Times New Roman"/>
          <w:b/>
          <w:color w:val="auto"/>
          <w:sz w:val="43"/>
          <w:highlight w:val="none"/>
        </w:rPr>
        <w:sectPr>
          <w:pgSz w:w="11907" w:h="16839"/>
          <w:pgMar w:top="1440" w:right="1440" w:bottom="1418" w:left="1440" w:header="0" w:footer="736" w:gutter="0"/>
          <w:pgNumType w:fmt="decimal"/>
          <w:cols w:space="720" w:num="1"/>
          <w:docGrid w:linePitch="360" w:charSpace="0"/>
        </w:sectPr>
      </w:pPr>
    </w:p>
    <w:p>
      <w:pPr>
        <w:spacing w:line="200" w:lineRule="exact"/>
        <w:rPr>
          <w:rFonts w:ascii="Times New Roman" w:hAnsi="Times New Roman" w:eastAsia="宋体" w:cs="Times New Roman"/>
          <w:color w:val="auto"/>
          <w:highlight w:val="none"/>
        </w:rPr>
      </w:pPr>
    </w:p>
    <w:p>
      <w:pPr>
        <w:spacing w:line="0" w:lineRule="atLeast"/>
        <w:jc w:val="center"/>
        <w:rPr>
          <w:rFonts w:ascii="Times New Roman" w:hAnsi="Times New Roman"/>
          <w:color w:val="auto"/>
          <w:sz w:val="18"/>
          <w:highlight w:val="none"/>
        </w:rPr>
        <w:sectPr>
          <w:type w:val="continuous"/>
          <w:pgSz w:w="11907" w:h="16839"/>
          <w:pgMar w:top="1440" w:right="1440" w:bottom="1418" w:left="1440" w:header="0" w:footer="736" w:gutter="0"/>
          <w:pgNumType w:fmt="decimal"/>
          <w:cols w:space="720" w:num="1"/>
          <w:docGrid w:linePitch="360" w:charSpace="0"/>
        </w:sect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jc w:val="center"/>
        <w:rPr>
          <w:rFonts w:ascii="Times New Roman" w:hAnsi="Times New Roman" w:eastAsia="宋体" w:cs="Times New Roman"/>
          <w:b/>
          <w:color w:val="auto"/>
          <w:sz w:val="24"/>
          <w:highlight w:val="none"/>
        </w:rPr>
      </w:pPr>
      <w:r>
        <w:rPr>
          <w:rFonts w:hint="eastAsia" w:ascii="Times New Roman" w:hAnsi="Times New Roman" w:eastAsia="宋体" w:cs="Times New Roman"/>
          <w:b/>
          <w:bCs/>
          <w:color w:val="auto"/>
          <w:sz w:val="36"/>
          <w:szCs w:val="30"/>
          <w:highlight w:val="none"/>
          <w:lang w:eastAsia="zh-CN"/>
        </w:rPr>
        <w:t>广州市信息技术职业学校迁建工程第三方检测服务（室内环境检测、建筑节能工程检测、建筑设备及弱电系统检测）</w:t>
      </w:r>
      <w:r>
        <w:rPr>
          <w:rFonts w:hint="eastAsia" w:ascii="Times New Roman" w:hAnsi="Times New Roman" w:eastAsia="宋体" w:cs="Times New Roman"/>
          <w:b/>
          <w:bCs/>
          <w:color w:val="auto"/>
          <w:sz w:val="36"/>
          <w:szCs w:val="30"/>
          <w:highlight w:val="none"/>
        </w:rPr>
        <w:t xml:space="preserve"> </w:t>
      </w: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jc w:val="center"/>
        <w:rPr>
          <w:rFonts w:ascii="Times New Roman" w:hAnsi="Times New Roman" w:eastAsia="宋体" w:cs="Times New Roman"/>
          <w:color w:val="auto"/>
          <w:sz w:val="44"/>
          <w:highlight w:val="none"/>
        </w:rPr>
      </w:pPr>
    </w:p>
    <w:p>
      <w:pPr>
        <w:spacing w:line="360" w:lineRule="auto"/>
        <w:jc w:val="center"/>
        <w:rPr>
          <w:rFonts w:ascii="Times New Roman" w:hAnsi="Times New Roman" w:eastAsia="宋体" w:cs="Times New Roman"/>
          <w:b/>
          <w:color w:val="auto"/>
          <w:sz w:val="44"/>
          <w:highlight w:val="none"/>
        </w:rPr>
      </w:pPr>
      <w:r>
        <w:rPr>
          <w:rFonts w:ascii="Times New Roman" w:hAnsi="Times New Roman" w:eastAsia="宋体" w:cs="Times New Roman"/>
          <w:b/>
          <w:color w:val="auto"/>
          <w:sz w:val="44"/>
          <w:highlight w:val="none"/>
        </w:rPr>
        <w:t>投 标 文 件</w:t>
      </w: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spacing w:line="200" w:lineRule="exact"/>
        <w:rPr>
          <w:rFonts w:ascii="Times New Roman" w:hAnsi="Times New Roman" w:eastAsia="宋体" w:cs="Times New Roman"/>
          <w:color w:val="auto"/>
          <w:highlight w:val="none"/>
        </w:rPr>
      </w:pPr>
    </w:p>
    <w:p>
      <w:pPr>
        <w:tabs>
          <w:tab w:val="left" w:pos="7200"/>
        </w:tabs>
        <w:spacing w:line="308" w:lineRule="exact"/>
        <w:rPr>
          <w:rFonts w:ascii="Times New Roman" w:hAnsi="Times New Roman" w:eastAsia="宋体" w:cs="Times New Roman"/>
          <w:color w:val="auto"/>
          <w:sz w:val="27"/>
          <w:highlight w:val="none"/>
        </w:rPr>
      </w:pPr>
      <w:r>
        <w:rPr>
          <w:rFonts w:ascii="Times New Roman" w:hAnsi="Times New Roman" w:eastAsia="宋体" w:cs="Times New Roman"/>
          <w:color w:val="auto"/>
          <w:sz w:val="27"/>
          <w:highlight w:val="none"/>
        </w:rPr>
        <w:t>投标人：</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sz w:val="27"/>
          <w:highlight w:val="none"/>
        </w:rPr>
        <w:t>（盖单位章）</w:t>
      </w:r>
    </w:p>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59264" behindDoc="1" locked="0" layoutInCell="0" allowOverlap="1">
                <wp:simplePos x="0" y="0"/>
                <wp:positionH relativeFrom="column">
                  <wp:posOffset>1653540</wp:posOffset>
                </wp:positionH>
                <wp:positionV relativeFrom="paragraph">
                  <wp:posOffset>-5715</wp:posOffset>
                </wp:positionV>
                <wp:extent cx="2932430" cy="0"/>
                <wp:effectExtent l="0" t="0" r="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30.2pt;margin-top:-0.45pt;height:0pt;width:230.9pt;z-index:-251657216;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fill on="f" focussize="0,0"/>
                <v:stroke weight="0.47992125984252pt" color="#000000" joinstyle="round"/>
                <v:imagedata o:title=""/>
                <o:lock v:ext="edit" aspectratio="f"/>
              </v:line>
            </w:pict>
          </mc:Fallback>
        </mc:AlternateContent>
      </w:r>
    </w:p>
    <w:p>
      <w:pPr>
        <w:spacing w:line="205" w:lineRule="exact"/>
        <w:rPr>
          <w:rFonts w:ascii="Times New Roman" w:hAnsi="Times New Roman" w:eastAsia="宋体" w:cs="Times New Roman"/>
          <w:color w:val="auto"/>
          <w:highlight w:val="none"/>
        </w:rPr>
      </w:pPr>
    </w:p>
    <w:p>
      <w:pPr>
        <w:tabs>
          <w:tab w:val="left" w:pos="5840"/>
        </w:tabs>
        <w:spacing w:line="320" w:lineRule="exact"/>
        <w:rPr>
          <w:rFonts w:ascii="Times New Roman" w:hAnsi="Times New Roman" w:eastAsia="宋体" w:cs="Times New Roman"/>
          <w:color w:val="auto"/>
          <w:sz w:val="28"/>
          <w:highlight w:val="none"/>
        </w:rPr>
      </w:pPr>
      <w:r>
        <w:rPr>
          <w:rFonts w:ascii="Times New Roman" w:hAnsi="Times New Roman" w:eastAsia="宋体" w:cs="Times New Roman"/>
          <w:color w:val="auto"/>
          <w:sz w:val="28"/>
          <w:highlight w:val="none"/>
        </w:rPr>
        <w:t>法定代表人或其被授权人：（签字</w:t>
      </w:r>
      <w:r>
        <w:rPr>
          <w:rFonts w:hint="eastAsia" w:ascii="Times New Roman" w:hAnsi="Times New Roman" w:eastAsia="宋体" w:cs="Times New Roman"/>
          <w:color w:val="auto"/>
          <w:sz w:val="28"/>
          <w:highlight w:val="none"/>
        </w:rPr>
        <w:t>或盖章</w:t>
      </w:r>
      <w:r>
        <w:rPr>
          <w:rFonts w:ascii="Times New Roman" w:hAnsi="Times New Roman" w:eastAsia="宋体" w:cs="Times New Roman"/>
          <w:color w:val="auto"/>
          <w:sz w:val="28"/>
          <w:highlight w:val="none"/>
        </w:rPr>
        <w:t>）</w:t>
      </w:r>
      <w:r>
        <w:rPr>
          <w:rFonts w:hint="eastAsia" w:ascii="Times New Roman" w:hAnsi="Times New Roman" w:eastAsia="宋体" w:cs="Times New Roman"/>
          <w:color w:val="auto"/>
          <w:sz w:val="28"/>
          <w:highlight w:val="none"/>
        </w:rPr>
        <w:t xml:space="preserve">      </w:t>
      </w:r>
    </w:p>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0288" behindDoc="1" locked="0" layoutInCell="0" allowOverlap="1">
                <wp:simplePos x="0" y="0"/>
                <wp:positionH relativeFrom="column">
                  <wp:posOffset>3252470</wp:posOffset>
                </wp:positionH>
                <wp:positionV relativeFrom="paragraph">
                  <wp:posOffset>-5715</wp:posOffset>
                </wp:positionV>
                <wp:extent cx="466725"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256.1pt;margin-top:-0.45pt;height:0pt;width:36.75pt;z-index:-251656192;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fill on="f" focussize="0,0"/>
                <v:stroke weight="0.48pt" color="#000000" joinstyle="round"/>
                <v:imagedata o:title=""/>
                <o:lock v:ext="edit" aspectratio="f"/>
              </v:line>
            </w:pict>
          </mc:Fallback>
        </mc:AlternateContent>
      </w:r>
    </w:p>
    <w:p>
      <w:pPr>
        <w:spacing w:line="200" w:lineRule="exact"/>
        <w:rPr>
          <w:rFonts w:ascii="Times New Roman" w:hAnsi="Times New Roman" w:eastAsia="宋体" w:cs="Times New Roman"/>
          <w:color w:val="auto"/>
          <w:highlight w:val="none"/>
        </w:rPr>
      </w:pPr>
    </w:p>
    <w:p>
      <w:pPr>
        <w:tabs>
          <w:tab w:val="left" w:pos="4880"/>
          <w:tab w:val="left" w:pos="5900"/>
        </w:tabs>
        <w:spacing w:line="320" w:lineRule="exac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sz w:val="28"/>
          <w:highlight w:val="none"/>
        </w:rPr>
        <w:t>年</w:t>
      </w:r>
      <w:r>
        <w:rPr>
          <w:rFonts w:hint="eastAsia" w:ascii="Times New Roman" w:hAnsi="Times New Roman" w:eastAsia="宋体" w:cs="Times New Roman"/>
          <w:color w:val="auto"/>
          <w:sz w:val="28"/>
          <w:highlight w:val="none"/>
        </w:rPr>
        <w:t xml:space="preserve">   </w:t>
      </w:r>
      <w:r>
        <w:rPr>
          <w:rFonts w:ascii="Times New Roman" w:hAnsi="Times New Roman" w:eastAsia="宋体" w:cs="Times New Roman"/>
          <w:color w:val="auto"/>
          <w:sz w:val="28"/>
          <w:highlight w:val="none"/>
        </w:rPr>
        <w:t>月</w:t>
      </w:r>
      <w:r>
        <w:rPr>
          <w:rFonts w:hint="eastAsia" w:ascii="Times New Roman" w:hAnsi="Times New Roman" w:eastAsia="宋体" w:cs="Times New Roman"/>
          <w:color w:val="auto"/>
          <w:sz w:val="28"/>
          <w:highlight w:val="none"/>
        </w:rPr>
        <w:t xml:space="preserve">   </w:t>
      </w:r>
      <w:r>
        <w:rPr>
          <w:rFonts w:ascii="Times New Roman" w:hAnsi="Times New Roman" w:eastAsia="宋体" w:cs="Times New Roman"/>
          <w:color w:val="auto"/>
          <w:sz w:val="28"/>
          <w:highlight w:val="none"/>
        </w:rPr>
        <w:t>日</w:t>
      </w:r>
    </w:p>
    <w:p>
      <w:pPr>
        <w:spacing w:line="225" w:lineRule="exact"/>
        <w:rPr>
          <w:rFonts w:ascii="Times New Roman" w:hAnsi="Times New Roman" w:eastAsia="宋体" w:cs="Times New Roman"/>
          <w:color w:val="auto"/>
          <w:highlight w:val="none"/>
        </w:rPr>
      </w:pPr>
    </w:p>
    <w:p>
      <w:pPr>
        <w:spacing w:line="0" w:lineRule="atLeast"/>
        <w:jc w:val="center"/>
        <w:rPr>
          <w:rFonts w:ascii="Times New Roman" w:hAnsi="Times New Roman"/>
          <w:color w:val="auto"/>
          <w:sz w:val="18"/>
          <w:highlight w:val="none"/>
        </w:rPr>
        <w:sectPr>
          <w:pgSz w:w="11907" w:h="16839"/>
          <w:pgMar w:top="1440" w:right="1440" w:bottom="1418" w:left="1440" w:header="0" w:footer="736" w:gutter="0"/>
          <w:pgNumType w:fmt="decimal"/>
          <w:cols w:space="720" w:num="1"/>
          <w:docGrid w:linePitch="360" w:charSpace="0"/>
        </w:sectPr>
      </w:pPr>
    </w:p>
    <w:p>
      <w:pPr>
        <w:spacing w:line="1" w:lineRule="exact"/>
        <w:rPr>
          <w:rFonts w:ascii="Times New Roman" w:hAnsi="Times New Roman" w:eastAsia="宋体" w:cs="Times New Roman"/>
          <w:color w:val="auto"/>
          <w:highlight w:val="none"/>
        </w:rPr>
      </w:pPr>
    </w:p>
    <w:p>
      <w:pPr>
        <w:spacing w:line="366" w:lineRule="exact"/>
        <w:jc w:val="center"/>
        <w:rPr>
          <w:rFonts w:ascii="Times New Roman" w:hAnsi="Times New Roman" w:eastAsia="宋体" w:cs="Times New Roman"/>
          <w:b/>
          <w:color w:val="auto"/>
          <w:sz w:val="36"/>
          <w:highlight w:val="none"/>
        </w:rPr>
      </w:pPr>
      <w:r>
        <w:rPr>
          <w:rFonts w:ascii="Times New Roman" w:hAnsi="Times New Roman" w:eastAsia="宋体" w:cs="Times New Roman"/>
          <w:b/>
          <w:color w:val="auto"/>
          <w:sz w:val="36"/>
          <w:highlight w:val="none"/>
        </w:rPr>
        <w:t>目</w:t>
      </w:r>
      <w:r>
        <w:rPr>
          <w:rFonts w:hint="eastAsia" w:ascii="Times New Roman" w:hAnsi="Times New Roman" w:eastAsia="宋体" w:cs="Times New Roman"/>
          <w:b/>
          <w:color w:val="auto"/>
          <w:sz w:val="36"/>
          <w:highlight w:val="none"/>
        </w:rPr>
        <w:t xml:space="preserve"> </w:t>
      </w:r>
      <w:r>
        <w:rPr>
          <w:rFonts w:ascii="Times New Roman" w:hAnsi="Times New Roman" w:eastAsia="宋体" w:cs="Times New Roman"/>
          <w:b/>
          <w:color w:val="auto"/>
          <w:sz w:val="36"/>
          <w:highlight w:val="none"/>
        </w:rPr>
        <w:t>录</w:t>
      </w:r>
    </w:p>
    <w:p>
      <w:pPr>
        <w:spacing w:line="360" w:lineRule="auto"/>
        <w:rPr>
          <w:rFonts w:ascii="Times New Roman" w:hAnsi="Times New Roman" w:eastAsia="宋体" w:cs="Times New Roman"/>
          <w:color w:val="auto"/>
          <w:sz w:val="24"/>
          <w:highlight w:val="none"/>
        </w:rPr>
      </w:pPr>
      <w:bookmarkStart w:id="439" w:name="_Toc369531691"/>
      <w:bookmarkStart w:id="440" w:name="_Toc7039"/>
      <w:bookmarkStart w:id="441" w:name="_Toc352691655"/>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一、投标函及</w:t>
      </w:r>
      <w:r>
        <w:rPr>
          <w:rFonts w:hint="eastAsia" w:ascii="Times New Roman" w:hAnsi="Times New Roman" w:eastAsia="宋体" w:cs="Times New Roman"/>
          <w:color w:val="auto"/>
          <w:sz w:val="24"/>
          <w:highlight w:val="none"/>
        </w:rPr>
        <w:t>其</w:t>
      </w:r>
      <w:r>
        <w:rPr>
          <w:rFonts w:ascii="Times New Roman" w:hAnsi="Times New Roman" w:eastAsia="宋体" w:cs="Times New Roman"/>
          <w:color w:val="auto"/>
          <w:sz w:val="24"/>
          <w:highlight w:val="none"/>
        </w:rPr>
        <w:t>附录</w:t>
      </w:r>
    </w:p>
    <w:p>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二、法定代表人身份证明（适用于无委托代理人的情况）</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授权委托书（适用于有委托代理人的情况）</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三</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投标报价表</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四</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资格</w:t>
      </w:r>
      <w:r>
        <w:rPr>
          <w:rFonts w:ascii="Times New Roman" w:hAnsi="Times New Roman" w:eastAsia="宋体" w:cs="Times New Roman"/>
          <w:color w:val="auto"/>
          <w:sz w:val="24"/>
          <w:highlight w:val="none"/>
        </w:rPr>
        <w:t>审查资料</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五</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企业资信业绩证明资料</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六、检测方案</w:t>
      </w:r>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七、技术响应承诺书</w:t>
      </w:r>
    </w:p>
    <w:p>
      <w:pPr>
        <w:widowControl/>
        <w:spacing w:line="360" w:lineRule="auto"/>
        <w:jc w:val="left"/>
        <w:rPr>
          <w:rFonts w:ascii="Times New Roman" w:hAnsi="Times New Roman" w:eastAsia="宋体" w:cs="Times New Roman"/>
          <w:color w:val="auto"/>
          <w:sz w:val="20"/>
          <w:highlight w:val="none"/>
        </w:rPr>
      </w:pPr>
      <w:r>
        <w:rPr>
          <w:rFonts w:hint="eastAsia" w:ascii="Times New Roman" w:hAnsi="Times New Roman" w:eastAsia="宋体" w:cs="Times New Roman"/>
          <w:color w:val="auto"/>
          <w:sz w:val="24"/>
          <w:highlight w:val="none"/>
        </w:rPr>
        <w:t>八、其他资料（投标人认为需提交的其他资料）。</w:t>
      </w:r>
      <w:r>
        <w:rPr>
          <w:rFonts w:ascii="Times New Roman" w:hAnsi="Times New Roman" w:eastAsia="宋体" w:cs="Times New Roman"/>
          <w:color w:val="auto"/>
          <w:sz w:val="20"/>
          <w:highlight w:val="none"/>
        </w:rPr>
        <w:br w:type="page"/>
      </w:r>
    </w:p>
    <w:bookmarkEnd w:id="439"/>
    <w:bookmarkEnd w:id="440"/>
    <w:bookmarkEnd w:id="441"/>
    <w:p>
      <w:pPr>
        <w:keepNext/>
        <w:keepLines/>
        <w:widowControl w:val="0"/>
        <w:spacing w:before="260" w:after="260" w:line="360" w:lineRule="auto"/>
        <w:jc w:val="both"/>
        <w:outlineLvl w:val="1"/>
        <w:rPr>
          <w:rFonts w:ascii="Times New Roman" w:hAnsi="Times New Roman" w:eastAsia="宋体" w:cs="Times New Roman"/>
          <w:b/>
          <w:color w:val="auto"/>
          <w:kern w:val="0"/>
          <w:sz w:val="30"/>
          <w:szCs w:val="30"/>
          <w:highlight w:val="none"/>
          <w:lang w:val="en-US" w:eastAsia="zh-CN" w:bidi="ar-SA"/>
        </w:rPr>
      </w:pPr>
      <w:bookmarkStart w:id="442" w:name="_Toc535938751"/>
      <w:bookmarkStart w:id="443" w:name="_Toc529196600"/>
      <w:bookmarkStart w:id="444" w:name="_Toc530470642"/>
      <w:bookmarkStart w:id="445" w:name="_Toc102997645"/>
      <w:r>
        <w:rPr>
          <w:rFonts w:ascii="Times New Roman" w:hAnsi="Times New Roman" w:eastAsia="宋体" w:cs="Times New Roman"/>
          <w:b/>
          <w:color w:val="auto"/>
          <w:kern w:val="0"/>
          <w:sz w:val="30"/>
          <w:szCs w:val="30"/>
          <w:highlight w:val="none"/>
          <w:lang w:val="en-US" w:eastAsia="zh-CN" w:bidi="ar-SA"/>
        </w:rPr>
        <w:t>一、投标</w:t>
      </w:r>
      <w:bookmarkStart w:id="446" w:name="_Toc6931"/>
      <w:bookmarkStart w:id="447" w:name="_Toc352691656"/>
      <w:bookmarkStart w:id="448" w:name="_Toc369531692"/>
      <w:r>
        <w:rPr>
          <w:rFonts w:ascii="Times New Roman" w:hAnsi="Times New Roman" w:eastAsia="宋体" w:cs="Times New Roman"/>
          <w:b/>
          <w:color w:val="auto"/>
          <w:kern w:val="0"/>
          <w:sz w:val="30"/>
          <w:szCs w:val="30"/>
          <w:highlight w:val="none"/>
          <w:lang w:val="en-US" w:eastAsia="zh-CN" w:bidi="ar-SA"/>
        </w:rPr>
        <w:t>函及</w:t>
      </w:r>
      <w:r>
        <w:rPr>
          <w:rFonts w:hint="eastAsia" w:ascii="Times New Roman" w:hAnsi="Times New Roman" w:eastAsia="宋体" w:cs="Times New Roman"/>
          <w:b/>
          <w:color w:val="auto"/>
          <w:kern w:val="0"/>
          <w:sz w:val="30"/>
          <w:szCs w:val="30"/>
          <w:highlight w:val="none"/>
          <w:lang w:val="en-US" w:eastAsia="zh-CN" w:bidi="ar-SA"/>
        </w:rPr>
        <w:t>其</w:t>
      </w:r>
      <w:r>
        <w:rPr>
          <w:rFonts w:ascii="Times New Roman" w:hAnsi="Times New Roman" w:eastAsia="宋体" w:cs="Times New Roman"/>
          <w:b/>
          <w:color w:val="auto"/>
          <w:kern w:val="0"/>
          <w:sz w:val="30"/>
          <w:szCs w:val="30"/>
          <w:highlight w:val="none"/>
          <w:lang w:val="en-US" w:eastAsia="zh-CN" w:bidi="ar-SA"/>
        </w:rPr>
        <w:t>附录</w:t>
      </w:r>
      <w:bookmarkEnd w:id="442"/>
      <w:bookmarkEnd w:id="443"/>
      <w:bookmarkEnd w:id="444"/>
      <w:bookmarkEnd w:id="445"/>
    </w:p>
    <w:bookmarkEnd w:id="446"/>
    <w:bookmarkEnd w:id="447"/>
    <w:bookmarkEnd w:id="448"/>
    <w:p>
      <w:pPr>
        <w:spacing w:line="360" w:lineRule="auto"/>
        <w:jc w:val="center"/>
        <w:rPr>
          <w:rFonts w:ascii="宋体" w:hAnsi="宋体" w:eastAsia="宋体" w:cs="宋体"/>
          <w:b/>
          <w:color w:val="auto"/>
          <w:sz w:val="32"/>
          <w:szCs w:val="32"/>
          <w:highlight w:val="none"/>
        </w:rPr>
      </w:pPr>
      <w:bookmarkStart w:id="449" w:name="_Toc359594235"/>
      <w:bookmarkStart w:id="450" w:name="_Toc370676426"/>
      <w:bookmarkStart w:id="451" w:name="_Toc482188651"/>
      <w:bookmarkStart w:id="452" w:name="_Toc535938752"/>
      <w:bookmarkStart w:id="453" w:name="_Toc391394111"/>
      <w:bookmarkStart w:id="454" w:name="_Toc385943065"/>
      <w:bookmarkStart w:id="455" w:name="_Toc529196601"/>
      <w:bookmarkStart w:id="456" w:name="_Toc530470643"/>
      <w:r>
        <w:rPr>
          <w:rFonts w:hint="eastAsia" w:ascii="宋体" w:hAnsi="宋体" w:eastAsia="宋体" w:cs="宋体"/>
          <w:b/>
          <w:color w:val="auto"/>
          <w:sz w:val="32"/>
          <w:szCs w:val="32"/>
          <w:highlight w:val="none"/>
        </w:rPr>
        <w:t>投标函及其附录</w:t>
      </w:r>
    </w:p>
    <w:p>
      <w:pPr>
        <w:adjustRightInd w:val="0"/>
        <w:snapToGrid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广州市重点公共建设项目管理中心</w:t>
      </w:r>
    </w:p>
    <w:p>
      <w:pPr>
        <w:tabs>
          <w:tab w:val="left" w:pos="0"/>
          <w:tab w:val="left" w:pos="180"/>
        </w:tabs>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经考察现场并研究贵单位提供的有关资料后，我单位愿以：总报价¥</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），并按招标文件和合同规定的工期，完成</w:t>
      </w:r>
      <w:r>
        <w:rPr>
          <w:rFonts w:hint="eastAsia" w:ascii="宋体" w:hAnsi="宋体" w:eastAsia="宋体" w:cs="宋体"/>
          <w:color w:val="auto"/>
          <w:sz w:val="24"/>
          <w:szCs w:val="21"/>
          <w:highlight w:val="none"/>
          <w:u w:val="single"/>
        </w:rPr>
        <w:t xml:space="preserve">      项目名称 </w:t>
      </w:r>
      <w:r>
        <w:rPr>
          <w:rFonts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的全部工作内容。</w:t>
      </w:r>
    </w:p>
    <w:p>
      <w:pPr>
        <w:tabs>
          <w:tab w:val="left" w:pos="0"/>
          <w:tab w:val="left" w:pos="180"/>
        </w:tabs>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kern w:val="0"/>
          <w:sz w:val="24"/>
          <w:szCs w:val="21"/>
          <w:highlight w:val="none"/>
        </w:rPr>
        <w:t>我方完全愿意接受本项目招标文件中的合同条款，如我方中标，我们将在招标人要求的时间内签订技术服务合同。</w:t>
      </w:r>
    </w:p>
    <w:p>
      <w:pPr>
        <w:tabs>
          <w:tab w:val="left" w:pos="0"/>
          <w:tab w:val="left" w:pos="180"/>
        </w:tabs>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我单位承诺，如果我单位中标，我单位保证在接到委托人开工指令后，按承诺工期完成并交付合同规定的全部工作内容；若委托人在工程实施过程中根据项目实际需要提出增加</w:t>
      </w:r>
      <w:r>
        <w:rPr>
          <w:rFonts w:hint="eastAsia" w:ascii="宋体" w:hAnsi="宋体" w:eastAsia="宋体" w:cs="宋体"/>
          <w:snapToGrid w:val="0"/>
          <w:color w:val="auto"/>
          <w:kern w:val="28"/>
          <w:sz w:val="24"/>
          <w:szCs w:val="21"/>
          <w:highlight w:val="none"/>
        </w:rPr>
        <w:t>检测</w:t>
      </w:r>
      <w:r>
        <w:rPr>
          <w:rFonts w:hint="eastAsia" w:ascii="宋体" w:hAnsi="宋体" w:eastAsia="宋体" w:cs="宋体"/>
          <w:color w:val="auto"/>
          <w:sz w:val="24"/>
          <w:szCs w:val="21"/>
          <w:highlight w:val="none"/>
        </w:rPr>
        <w:t>工作（包括增加</w:t>
      </w:r>
      <w:r>
        <w:rPr>
          <w:rFonts w:hint="eastAsia" w:ascii="宋体" w:hAnsi="宋体" w:eastAsia="宋体" w:cs="宋体"/>
          <w:snapToGrid w:val="0"/>
          <w:color w:val="auto"/>
          <w:kern w:val="28"/>
          <w:sz w:val="24"/>
          <w:szCs w:val="21"/>
          <w:highlight w:val="none"/>
        </w:rPr>
        <w:t>检测</w:t>
      </w:r>
      <w:r>
        <w:rPr>
          <w:rFonts w:hint="eastAsia" w:ascii="宋体" w:hAnsi="宋体" w:eastAsia="宋体" w:cs="宋体"/>
          <w:color w:val="auto"/>
          <w:sz w:val="24"/>
          <w:szCs w:val="21"/>
          <w:highlight w:val="none"/>
        </w:rPr>
        <w:t>项目等）的指令，我单位将无条件按委托人要求开展相关工作。</w:t>
      </w:r>
    </w:p>
    <w:p>
      <w:pPr>
        <w:tabs>
          <w:tab w:val="left" w:pos="0"/>
          <w:tab w:val="left" w:pos="180"/>
        </w:tabs>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我单位承诺，如果我单位中标，我单位将按本投标文件的承诺为上述工作投入足够的设备、仪器、软件以及项目管理人员和技术人员等，并按要求驻场服务。</w:t>
      </w:r>
    </w:p>
    <w:p>
      <w:pPr>
        <w:tabs>
          <w:tab w:val="left" w:pos="0"/>
          <w:tab w:val="left" w:pos="180"/>
        </w:tabs>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我单位同意在规定的投标有效期内严格遵守本投标书，本投标书对我单位始终有约束力，且随时接受中标。</w:t>
      </w:r>
    </w:p>
    <w:p>
      <w:pPr>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我单位理解，贵单位不一定接受最低标价的投标或贵单位可能接受其他任何单位中标，同时也理解贵单位不负担我单位的任何投标费用。</w:t>
      </w:r>
    </w:p>
    <w:p>
      <w:pPr>
        <w:adjustRightInd w:val="0"/>
        <w:snapToGrid w:val="0"/>
        <w:spacing w:line="360" w:lineRule="auto"/>
        <w:ind w:firstLine="566" w:firstLineChars="236"/>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我单位承诺，不存在第二章“投标人须知”第1.4.3项规定的任何一种情形。</w:t>
      </w:r>
    </w:p>
    <w:p>
      <w:pPr>
        <w:spacing w:line="360" w:lineRule="auto"/>
        <w:rPr>
          <w:rFonts w:ascii="宋体" w:hAnsi="宋体" w:eastAsia="宋体" w:cs="宋体"/>
          <w:b/>
          <w:color w:val="auto"/>
          <w:sz w:val="24"/>
          <w:highlight w:val="none"/>
        </w:rPr>
      </w:pPr>
      <w:r>
        <w:rPr>
          <w:rFonts w:ascii="宋体" w:hAnsi="宋体" w:eastAsia="宋体" w:cs="宋体"/>
          <w:b/>
          <w:color w:val="auto"/>
          <w:sz w:val="24"/>
          <w:highlight w:val="none"/>
        </w:rPr>
        <w:br w:type="page"/>
      </w:r>
      <w:r>
        <w:rPr>
          <w:rFonts w:hint="eastAsia" w:ascii="宋体" w:hAnsi="宋体" w:eastAsia="宋体" w:cs="宋体"/>
          <w:b/>
          <w:color w:val="auto"/>
          <w:sz w:val="24"/>
          <w:highlight w:val="none"/>
        </w:rPr>
        <w:t>投标函附录：</w:t>
      </w:r>
    </w:p>
    <w:tbl>
      <w:tblPr>
        <w:tblStyle w:val="18"/>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    目</w:t>
            </w:r>
          </w:p>
        </w:tc>
        <w:tc>
          <w:tcPr>
            <w:tcW w:w="5283"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服务周期</w:t>
            </w:r>
          </w:p>
        </w:tc>
        <w:tc>
          <w:tcPr>
            <w:tcW w:w="5283"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5283"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spacing w:line="360" w:lineRule="auto"/>
              <w:jc w:val="center"/>
              <w:rPr>
                <w:rFonts w:ascii="宋体" w:hAnsi="宋体" w:eastAsia="宋体" w:cs="宋体"/>
                <w:color w:val="auto"/>
                <w:sz w:val="24"/>
                <w:highlight w:val="none"/>
              </w:rPr>
            </w:pPr>
            <w:r>
              <w:rPr>
                <w:rFonts w:hint="eastAsia" w:ascii="Times New Roman" w:hAnsi="Times New Roman" w:eastAsia="宋体" w:cs="Times New Roman"/>
                <w:color w:val="auto"/>
                <w:sz w:val="24"/>
                <w:highlight w:val="none"/>
              </w:rPr>
              <w:t>投标有效期</w:t>
            </w:r>
          </w:p>
        </w:tc>
        <w:tc>
          <w:tcPr>
            <w:tcW w:w="5283" w:type="dxa"/>
            <w:vAlign w:val="center"/>
          </w:tcPr>
          <w:p>
            <w:pPr>
              <w:spacing w:line="360" w:lineRule="auto"/>
              <w:jc w:val="center"/>
              <w:rPr>
                <w:rFonts w:ascii="宋体" w:hAnsi="宋体" w:eastAsia="宋体" w:cs="宋体"/>
                <w:color w:val="auto"/>
                <w:sz w:val="24"/>
                <w:highlight w:val="none"/>
              </w:rPr>
            </w:pPr>
            <w:r>
              <w:rPr>
                <w:rFonts w:hint="eastAsia" w:ascii="Times New Roman" w:hAnsi="Times New Roman" w:eastAsia="宋体" w:cs="Times New Roman"/>
                <w:color w:val="auto"/>
                <w:sz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52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auto"/>
                <w:sz w:val="24"/>
                <w:highlight w:val="none"/>
              </w:rPr>
            </w:pPr>
          </w:p>
        </w:tc>
        <w:tc>
          <w:tcPr>
            <w:tcW w:w="52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highlight w:val="none"/>
              </w:rPr>
            </w:pPr>
          </w:p>
        </w:tc>
        <w:tc>
          <w:tcPr>
            <w:tcW w:w="52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p>
        </w:tc>
      </w:tr>
    </w:tbl>
    <w:p>
      <w:pPr>
        <w:widowControl/>
        <w:jc w:val="left"/>
        <w:rPr>
          <w:rFonts w:eastAsia="宋体" w:cs="Times New Roman"/>
          <w:color w:val="auto"/>
          <w:szCs w:val="20"/>
          <w:highlight w:val="none"/>
        </w:rPr>
      </w:pPr>
    </w:p>
    <w:bookmarkEnd w:id="449"/>
    <w:bookmarkEnd w:id="450"/>
    <w:bookmarkEnd w:id="451"/>
    <w:bookmarkEnd w:id="452"/>
    <w:bookmarkEnd w:id="453"/>
    <w:bookmarkEnd w:id="454"/>
    <w:bookmarkEnd w:id="455"/>
    <w:bookmarkEnd w:id="456"/>
    <w:p>
      <w:pPr>
        <w:rPr>
          <w:rFonts w:ascii="Times New Roman" w:hAnsi="Times New Roman" w:eastAsia="宋体" w:cs="Times New Roman"/>
          <w:color w:val="auto"/>
          <w:sz w:val="24"/>
          <w:szCs w:val="24"/>
          <w:highlight w:val="none"/>
        </w:rPr>
      </w:pPr>
      <w:bookmarkStart w:id="457" w:name="_Toc391394112"/>
      <w:bookmarkStart w:id="458" w:name="_Toc530470645"/>
      <w:bookmarkStart w:id="459" w:name="_Toc359594236"/>
      <w:bookmarkStart w:id="460" w:name="_Toc370676427"/>
      <w:bookmarkStart w:id="461" w:name="_Toc385943066"/>
      <w:bookmarkStart w:id="462" w:name="_Toc535938753"/>
      <w:bookmarkStart w:id="463" w:name="_Toc529196602"/>
      <w:bookmarkStart w:id="464" w:name="_Toc482188652"/>
      <w:bookmarkStart w:id="465" w:name="_Toc144974856"/>
      <w:bookmarkStart w:id="466" w:name="_Toc369531697"/>
      <w:bookmarkStart w:id="467" w:name="_Toc17960"/>
      <w:bookmarkStart w:id="468" w:name="_Toc247527827"/>
      <w:bookmarkStart w:id="469" w:name="_Toc384308375"/>
      <w:bookmarkStart w:id="470" w:name="_Toc247514246"/>
      <w:bookmarkStart w:id="471" w:name="_Toc300835209"/>
      <w:bookmarkStart w:id="472" w:name="_Toc152045787"/>
      <w:bookmarkStart w:id="473" w:name="_Toc152042576"/>
      <w:bookmarkStart w:id="474" w:name="_Toc361508752"/>
      <w:bookmarkStart w:id="475" w:name="_Toc352691661"/>
    </w:p>
    <w:p>
      <w:pPr>
        <w:spacing w:line="360" w:lineRule="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投标人（公章）：</w:t>
      </w:r>
      <w:r>
        <w:rPr>
          <w:rFonts w:hint="eastAsia" w:ascii="Times New Roman" w:hAnsi="Times New Roman" w:eastAsia="宋体" w:cs="Times New Roman"/>
          <w:color w:val="auto"/>
          <w:sz w:val="24"/>
          <w:highlight w:val="none"/>
          <w:u w:val="single"/>
        </w:rPr>
        <w:t xml:space="preserve">                            </w:t>
      </w:r>
    </w:p>
    <w:p>
      <w:pPr>
        <w:spacing w:line="360" w:lineRule="auto"/>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rPr>
        <w:t>法定代表人（签字或盖章或签章）：</w:t>
      </w:r>
      <w:r>
        <w:rPr>
          <w:rFonts w:hint="eastAsia" w:ascii="Times New Roman" w:hAnsi="Times New Roman" w:eastAsia="宋体" w:cs="Times New Roman"/>
          <w:color w:val="auto"/>
          <w:sz w:val="24"/>
          <w:highlight w:val="none"/>
          <w:u w:val="single"/>
        </w:rPr>
        <w:t xml:space="preserve">                     </w:t>
      </w:r>
    </w:p>
    <w:p>
      <w:pPr>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4"/>
          <w:highlight w:val="none"/>
        </w:rPr>
        <w:t>日期：</w:t>
      </w:r>
      <w:r>
        <w:rPr>
          <w:rFonts w:hint="eastAsia" w:ascii="Times New Roman" w:hAnsi="Times New Roman" w:eastAsia="宋体" w:cs="Times New Roman"/>
          <w:color w:val="auto"/>
          <w:sz w:val="24"/>
          <w:highlight w:val="none"/>
          <w:u w:val="single"/>
        </w:rPr>
        <w:t xml:space="preserve">      年   月   日</w:t>
      </w:r>
    </w:p>
    <w:p>
      <w:pPr>
        <w:keepNext/>
        <w:keepLines/>
        <w:widowControl w:val="0"/>
        <w:spacing w:before="260" w:after="260" w:line="480" w:lineRule="auto"/>
        <w:jc w:val="both"/>
        <w:outlineLvl w:val="2"/>
        <w:rPr>
          <w:rFonts w:ascii="Times New Roman" w:hAnsi="Times New Roman" w:eastAsia="宋体" w:cs="Times New Roman"/>
          <w:b/>
          <w:bCs/>
          <w:color w:val="auto"/>
          <w:kern w:val="2"/>
          <w:sz w:val="30"/>
          <w:szCs w:val="30"/>
          <w:highlight w:val="none"/>
          <w:lang w:val="en-US" w:eastAsia="zh-CN" w:bidi="ar-SA"/>
        </w:rPr>
      </w:pPr>
      <w:r>
        <w:rPr>
          <w:rFonts w:ascii="Times New Roman" w:hAnsi="Times New Roman" w:eastAsia="宋体" w:cs="Times New Roman"/>
          <w:b/>
          <w:bCs/>
          <w:color w:val="auto"/>
          <w:kern w:val="2"/>
          <w:sz w:val="32"/>
          <w:szCs w:val="32"/>
          <w:highlight w:val="none"/>
          <w:lang w:val="en-US" w:eastAsia="zh-CN" w:bidi="ar-SA"/>
        </w:rPr>
        <w:br w:type="page"/>
      </w:r>
      <w:bookmarkEnd w:id="457"/>
      <w:bookmarkEnd w:id="458"/>
      <w:bookmarkEnd w:id="459"/>
      <w:bookmarkEnd w:id="460"/>
      <w:bookmarkEnd w:id="461"/>
      <w:bookmarkEnd w:id="462"/>
      <w:bookmarkEnd w:id="463"/>
      <w:bookmarkEnd w:id="464"/>
      <w:bookmarkStart w:id="476" w:name="_Toc535938754"/>
      <w:bookmarkStart w:id="477" w:name="_Toc530470646"/>
      <w:bookmarkStart w:id="478" w:name="_Toc529196603"/>
      <w:bookmarkStart w:id="479" w:name="_Toc102997646"/>
      <w:r>
        <w:rPr>
          <w:rFonts w:ascii="Times New Roman" w:hAnsi="Times New Roman" w:eastAsia="宋体" w:cs="Times New Roman"/>
          <w:b/>
          <w:bCs/>
          <w:color w:val="auto"/>
          <w:kern w:val="2"/>
          <w:sz w:val="30"/>
          <w:szCs w:val="30"/>
          <w:highlight w:val="none"/>
          <w:lang w:val="en-US" w:eastAsia="zh-CN" w:bidi="ar-SA"/>
        </w:rPr>
        <w:t>二</w:t>
      </w:r>
      <w:bookmarkEnd w:id="465"/>
      <w:bookmarkEnd w:id="466"/>
      <w:bookmarkEnd w:id="467"/>
      <w:bookmarkEnd w:id="468"/>
      <w:bookmarkEnd w:id="469"/>
      <w:bookmarkEnd w:id="470"/>
      <w:bookmarkEnd w:id="471"/>
      <w:bookmarkEnd w:id="472"/>
      <w:bookmarkEnd w:id="473"/>
      <w:bookmarkEnd w:id="474"/>
      <w:bookmarkEnd w:id="475"/>
      <w:r>
        <w:rPr>
          <w:rFonts w:ascii="Times New Roman" w:hAnsi="Times New Roman" w:eastAsia="宋体" w:cs="Times New Roman"/>
          <w:b/>
          <w:bCs/>
          <w:color w:val="auto"/>
          <w:kern w:val="2"/>
          <w:sz w:val="30"/>
          <w:szCs w:val="30"/>
          <w:highlight w:val="none"/>
          <w:lang w:val="en-US" w:eastAsia="zh-CN" w:bidi="ar-SA"/>
        </w:rPr>
        <w:t>、法定代表人身份证明</w:t>
      </w:r>
      <w:r>
        <w:rPr>
          <w:rFonts w:hint="eastAsia" w:ascii="Times New Roman" w:hAnsi="Times New Roman" w:eastAsia="宋体" w:cs="Times New Roman"/>
          <w:b/>
          <w:bCs/>
          <w:color w:val="auto"/>
          <w:kern w:val="2"/>
          <w:sz w:val="30"/>
          <w:szCs w:val="30"/>
          <w:highlight w:val="none"/>
          <w:lang w:val="en-US" w:eastAsia="zh-CN" w:bidi="ar-SA"/>
        </w:rPr>
        <w:t>或授权委托书（格式可自定）</w:t>
      </w:r>
      <w:bookmarkEnd w:id="476"/>
      <w:bookmarkEnd w:id="477"/>
      <w:bookmarkEnd w:id="478"/>
      <w:bookmarkEnd w:id="479"/>
    </w:p>
    <w:p>
      <w:pPr>
        <w:spacing w:line="360" w:lineRule="auto"/>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法定代表人身份证明</w:t>
      </w: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投标人名称：</w:t>
      </w:r>
      <w:r>
        <w:rPr>
          <w:rFonts w:ascii="Times New Roman" w:hAnsi="Times New Roman" w:eastAsia="宋体" w:cs="Times New Roman"/>
          <w:color w:val="auto"/>
          <w:sz w:val="24"/>
          <w:highlight w:val="none"/>
          <w:u w:val="single"/>
        </w:rPr>
        <w:t xml:space="preserve">                        </w:t>
      </w: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姓名：</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性别：</w:t>
      </w:r>
      <w:bookmarkStart w:id="480" w:name="_Toc352691662"/>
      <w:bookmarkStart w:id="481" w:name="_Toc369531698"/>
      <w:bookmarkStart w:id="482" w:name="_Toc27897"/>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年</w:t>
      </w:r>
      <w:bookmarkEnd w:id="480"/>
      <w:bookmarkEnd w:id="481"/>
      <w:bookmarkEnd w:id="482"/>
      <w:r>
        <w:rPr>
          <w:rFonts w:ascii="Times New Roman" w:hAnsi="Times New Roman" w:eastAsia="宋体" w:cs="Times New Roman"/>
          <w:color w:val="auto"/>
          <w:sz w:val="24"/>
          <w:highlight w:val="none"/>
        </w:rPr>
        <w:t>龄</w:t>
      </w:r>
      <w:bookmarkStart w:id="483" w:name="_Toc152042578"/>
      <w:bookmarkStart w:id="484" w:name="_Toc300835211"/>
      <w:bookmarkStart w:id="485" w:name="_Toc247514248"/>
      <w:bookmarkStart w:id="486" w:name="_Toc247527829"/>
      <w:bookmarkStart w:id="487" w:name="_Toc152045789"/>
      <w:bookmarkStart w:id="488" w:name="_Toc15573"/>
      <w:bookmarkStart w:id="489" w:name="_Toc369531699"/>
      <w:bookmarkStart w:id="490" w:name="_Toc144974858"/>
      <w:bookmarkStart w:id="491" w:name="_Toc361508754"/>
      <w:bookmarkStart w:id="492" w:name="_Toc352691663"/>
      <w:bookmarkStart w:id="493" w:name="_Toc384308377"/>
      <w:r>
        <w:rPr>
          <w:rFonts w:ascii="Times New Roman" w:hAnsi="Times New Roman" w:eastAsia="宋体" w:cs="Times New Roman"/>
          <w:color w:val="auto"/>
          <w:sz w:val="24"/>
          <w:highlight w:val="none"/>
        </w:rPr>
        <w:t>：</w:t>
      </w:r>
      <w:bookmarkEnd w:id="483"/>
      <w:bookmarkEnd w:id="484"/>
      <w:bookmarkEnd w:id="485"/>
      <w:bookmarkEnd w:id="486"/>
      <w:bookmarkEnd w:id="487"/>
      <w:bookmarkEnd w:id="488"/>
      <w:bookmarkEnd w:id="489"/>
      <w:bookmarkEnd w:id="490"/>
      <w:bookmarkEnd w:id="491"/>
      <w:bookmarkEnd w:id="492"/>
      <w:bookmarkEnd w:id="493"/>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职务：</w:t>
      </w:r>
      <w:r>
        <w:rPr>
          <w:rFonts w:ascii="Times New Roman" w:hAnsi="Times New Roman" w:eastAsia="宋体" w:cs="Times New Roman"/>
          <w:color w:val="auto"/>
          <w:sz w:val="24"/>
          <w:highlight w:val="none"/>
          <w:u w:val="single"/>
        </w:rPr>
        <w:t xml:space="preserve">        </w:t>
      </w: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系</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（投标人名称）的法定代表人。</w:t>
      </w: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特此证明。</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附：法定代表人身份证</w:t>
      </w:r>
      <w:r>
        <w:rPr>
          <w:rFonts w:hint="eastAsia" w:ascii="Times New Roman" w:hAnsi="Times New Roman" w:eastAsia="宋体" w:cs="Times New Roman"/>
          <w:color w:val="auto"/>
          <w:sz w:val="24"/>
          <w:highlight w:val="none"/>
        </w:rPr>
        <w:t>扫描</w:t>
      </w:r>
      <w:r>
        <w:rPr>
          <w:rFonts w:ascii="Times New Roman" w:hAnsi="Times New Roman" w:eastAsia="宋体" w:cs="Times New Roman"/>
          <w:color w:val="auto"/>
          <w:sz w:val="24"/>
          <w:highlight w:val="none"/>
        </w:rPr>
        <w:t>件。</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注：本身份证明需由投标人加盖单位公章。</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p>
    <w:p>
      <w:pPr>
        <w:spacing w:line="44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投标人：</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盖</w:t>
      </w:r>
      <w:r>
        <w:rPr>
          <w:rFonts w:ascii="Times New Roman" w:hAnsi="Times New Roman" w:eastAsia="宋体" w:cs="Times New Roman"/>
          <w:color w:val="auto"/>
          <w:sz w:val="24"/>
          <w:highlight w:val="none"/>
        </w:rPr>
        <w:t>单位</w:t>
      </w:r>
      <w:r>
        <w:rPr>
          <w:rFonts w:hint="eastAsia" w:ascii="Times New Roman" w:hAnsi="Times New Roman" w:eastAsia="宋体" w:cs="Times New Roman"/>
          <w:color w:val="auto"/>
          <w:sz w:val="24"/>
          <w:highlight w:val="none"/>
        </w:rPr>
        <w:t>章</w:t>
      </w:r>
      <w:r>
        <w:rPr>
          <w:rFonts w:ascii="Times New Roman" w:hAnsi="Times New Roman" w:eastAsia="宋体" w:cs="Times New Roman"/>
          <w:color w:val="auto"/>
          <w:sz w:val="24"/>
          <w:highlight w:val="none"/>
        </w:rPr>
        <w:t>）</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年</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月</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日</w:t>
      </w:r>
    </w:p>
    <w:p>
      <w:pPr>
        <w:spacing w:line="440" w:lineRule="exact"/>
        <w:rPr>
          <w:rFonts w:ascii="Times New Roman" w:hAnsi="Times New Roman" w:eastAsia="宋体" w:cs="Times New Roman"/>
          <w:color w:val="auto"/>
          <w:sz w:val="24"/>
          <w:highlight w:val="none"/>
        </w:rPr>
      </w:pPr>
    </w:p>
    <w:p>
      <w:pPr>
        <w:spacing w:line="360" w:lineRule="auto"/>
        <w:jc w:val="center"/>
        <w:rPr>
          <w:rFonts w:ascii="Times New Roman" w:hAnsi="Times New Roman" w:eastAsia="宋体" w:cs="Times New Roman"/>
          <w:b/>
          <w:color w:val="auto"/>
          <w:sz w:val="28"/>
          <w:szCs w:val="28"/>
          <w:highlight w:val="none"/>
        </w:rPr>
      </w:pPr>
      <w:bookmarkStart w:id="494" w:name="_Toc529196604"/>
      <w:bookmarkStart w:id="495" w:name="_Toc530470647"/>
      <w:r>
        <w:rPr>
          <w:rFonts w:ascii="Times New Roman" w:hAnsi="Times New Roman" w:eastAsia="宋体" w:cs="Times New Roman"/>
          <w:b/>
          <w:bCs/>
          <w:color w:val="auto"/>
          <w:sz w:val="20"/>
          <w:highlight w:val="none"/>
        </w:rPr>
        <w:br w:type="page"/>
      </w:r>
      <w:bookmarkStart w:id="496" w:name="_Toc535938755"/>
      <w:r>
        <w:rPr>
          <w:rFonts w:ascii="Times New Roman" w:hAnsi="Times New Roman" w:eastAsia="宋体" w:cs="Times New Roman"/>
          <w:color w:val="auto"/>
          <w:sz w:val="28"/>
          <w:szCs w:val="28"/>
          <w:highlight w:val="none"/>
        </w:rPr>
        <w:t xml:space="preserve"> </w:t>
      </w:r>
      <w:bookmarkEnd w:id="494"/>
      <w:bookmarkEnd w:id="495"/>
      <w:bookmarkEnd w:id="496"/>
      <w:r>
        <w:rPr>
          <w:rFonts w:hint="eastAsia" w:ascii="Times New Roman" w:hAnsi="Times New Roman" w:eastAsia="宋体" w:cs="Times New Roman"/>
          <w:b/>
          <w:color w:val="auto"/>
          <w:sz w:val="28"/>
          <w:szCs w:val="28"/>
          <w:highlight w:val="none"/>
        </w:rPr>
        <w:t>授权委托书</w:t>
      </w:r>
    </w:p>
    <w:p>
      <w:pPr>
        <w:topLinePunct/>
        <w:spacing w:line="440" w:lineRule="exact"/>
        <w:ind w:firstLine="424" w:firstLineChars="177"/>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本人</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（姓名）系</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（投标人名称）的法定代表人，现委托</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（姓名）为我方代理人。代理人根据授权，以我方名义签署、澄清确认、递交、撤回、修改</w:t>
      </w:r>
      <w:r>
        <w:rPr>
          <w:rFonts w:hint="eastAsia"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招标项目投标文件、签订合同和处理有关事宜，其法律后果由我方承担。</w:t>
      </w:r>
    </w:p>
    <w:p>
      <w:pPr>
        <w:spacing w:line="440" w:lineRule="exact"/>
        <w:ind w:firstLine="283" w:firstLineChars="118"/>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委托期限：</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w:t>
      </w: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代理人无转委托权。</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附：法定代表人身份证</w:t>
      </w:r>
      <w:r>
        <w:rPr>
          <w:rFonts w:hint="eastAsia" w:ascii="Times New Roman" w:hAnsi="Times New Roman" w:eastAsia="宋体" w:cs="Times New Roman"/>
          <w:color w:val="auto"/>
          <w:sz w:val="24"/>
          <w:highlight w:val="none"/>
        </w:rPr>
        <w:t>扫描</w:t>
      </w:r>
      <w:r>
        <w:rPr>
          <w:rFonts w:ascii="Times New Roman" w:hAnsi="Times New Roman" w:eastAsia="宋体" w:cs="Times New Roman"/>
          <w:color w:val="auto"/>
          <w:sz w:val="24"/>
          <w:highlight w:val="none"/>
        </w:rPr>
        <w:t>件及委托代理人身份证</w:t>
      </w:r>
      <w:r>
        <w:rPr>
          <w:rFonts w:hint="eastAsia" w:ascii="Times New Roman" w:hAnsi="Times New Roman" w:eastAsia="宋体" w:cs="Times New Roman"/>
          <w:color w:val="auto"/>
          <w:sz w:val="24"/>
          <w:highlight w:val="none"/>
        </w:rPr>
        <w:t>扫描</w:t>
      </w:r>
      <w:r>
        <w:rPr>
          <w:rFonts w:ascii="Times New Roman" w:hAnsi="Times New Roman" w:eastAsia="宋体" w:cs="Times New Roman"/>
          <w:color w:val="auto"/>
          <w:sz w:val="24"/>
          <w:highlight w:val="none"/>
        </w:rPr>
        <w:t>件</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注：本授权委托书需由投标人加盖单位公章并由其法定代表人和委托代理人签字。</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  标  人：</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盖</w:t>
      </w:r>
      <w:r>
        <w:rPr>
          <w:rFonts w:ascii="Times New Roman" w:hAnsi="Times New Roman" w:eastAsia="宋体" w:cs="Times New Roman"/>
          <w:color w:val="auto"/>
          <w:sz w:val="24"/>
          <w:highlight w:val="none"/>
        </w:rPr>
        <w:t>单位</w:t>
      </w:r>
      <w:r>
        <w:rPr>
          <w:rFonts w:hint="eastAsia" w:ascii="Times New Roman" w:hAnsi="Times New Roman" w:eastAsia="宋体" w:cs="Times New Roman"/>
          <w:color w:val="auto"/>
          <w:sz w:val="24"/>
          <w:highlight w:val="none"/>
        </w:rPr>
        <w:t>章</w:t>
      </w:r>
      <w:r>
        <w:rPr>
          <w:rFonts w:ascii="Times New Roman" w:hAnsi="Times New Roman" w:eastAsia="宋体" w:cs="Times New Roman"/>
          <w:color w:val="auto"/>
          <w:sz w:val="24"/>
          <w:highlight w:val="none"/>
        </w:rPr>
        <w:t>）</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法定代表人：</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rPr>
        <w:t>（签字）</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身份证号码：</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委托代理人：</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rPr>
        <w:t>（签字）</w:t>
      </w:r>
    </w:p>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color w:val="auto"/>
          <w:highlight w:val="none"/>
        </w:rPr>
      </w:pPr>
      <w:r>
        <w:rPr>
          <w:rFonts w:ascii="Times New Roman" w:hAnsi="Times New Roman" w:eastAsia="宋体" w:cs="Times New Roman"/>
          <w:color w:val="auto"/>
          <w:sz w:val="24"/>
          <w:highlight w:val="none"/>
        </w:rPr>
        <w:t>身份证号码：</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p>
    <w:p>
      <w:pPr>
        <w:spacing w:line="440" w:lineRule="exact"/>
        <w:rPr>
          <w:rFonts w:ascii="Times New Roman" w:hAnsi="Times New Roman" w:eastAsia="宋体" w:cs="Times New Roman"/>
          <w:color w:val="auto"/>
          <w:highlight w:val="none"/>
        </w:rPr>
      </w:pPr>
    </w:p>
    <w:p>
      <w:pPr>
        <w:spacing w:line="440" w:lineRule="exact"/>
        <w:jc w:val="right"/>
        <w:rPr>
          <w:rFonts w:ascii="Times New Roman" w:hAnsi="Times New Roman" w:eastAsia="宋体" w:cs="Times New Roman"/>
          <w:color w:val="auto"/>
          <w:highlight w:val="none"/>
        </w:rPr>
      </w:pP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年</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月</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日</w:t>
      </w:r>
    </w:p>
    <w:p>
      <w:pPr>
        <w:spacing w:line="440" w:lineRule="exact"/>
        <w:jc w:val="right"/>
        <w:rPr>
          <w:rFonts w:ascii="Times New Roman" w:hAnsi="Times New Roman" w:eastAsia="宋体" w:cs="Times New Roman"/>
          <w:color w:val="auto"/>
          <w:highlight w:val="none"/>
        </w:rPr>
      </w:pPr>
    </w:p>
    <w:p>
      <w:pPr>
        <w:keepNext/>
        <w:keepLines/>
        <w:widowControl w:val="0"/>
        <w:adjustRightInd w:val="0"/>
        <w:snapToGrid w:val="0"/>
        <w:spacing w:before="0" w:after="0" w:line="360" w:lineRule="auto"/>
        <w:jc w:val="both"/>
        <w:outlineLvl w:val="1"/>
        <w:rPr>
          <w:rFonts w:ascii="Times New Roman" w:hAnsi="Times New Roman" w:eastAsia="宋体" w:cs="Times New Roman"/>
          <w:b/>
          <w:color w:val="auto"/>
          <w:kern w:val="0"/>
          <w:sz w:val="30"/>
          <w:szCs w:val="30"/>
          <w:highlight w:val="none"/>
          <w:lang w:val="en-US" w:eastAsia="zh-CN" w:bidi="ar-SA"/>
        </w:rPr>
      </w:pPr>
      <w:r>
        <w:rPr>
          <w:rFonts w:ascii="Times New Roman" w:hAnsi="Times New Roman" w:eastAsia="宋体" w:cs="Times New Roman"/>
          <w:b/>
          <w:color w:val="auto"/>
          <w:kern w:val="0"/>
          <w:sz w:val="32"/>
          <w:szCs w:val="20"/>
          <w:highlight w:val="none"/>
          <w:lang w:val="en-US" w:eastAsia="zh-CN" w:bidi="ar-SA"/>
        </w:rPr>
        <w:br w:type="page"/>
      </w:r>
      <w:bookmarkStart w:id="497" w:name="_Toc535938756"/>
      <w:bookmarkStart w:id="498" w:name="_Toc530470648"/>
      <w:bookmarkStart w:id="499" w:name="_Toc529196605"/>
      <w:r>
        <w:rPr>
          <w:rFonts w:hint="eastAsia" w:ascii="Times New Roman" w:hAnsi="Times New Roman" w:eastAsia="黑体" w:cs="Times New Roman"/>
          <w:b/>
          <w:color w:val="auto"/>
          <w:kern w:val="0"/>
          <w:sz w:val="30"/>
          <w:szCs w:val="30"/>
          <w:highlight w:val="none"/>
          <w:lang w:val="en-US" w:eastAsia="zh-CN" w:bidi="ar-SA"/>
        </w:rPr>
        <w:t xml:space="preserve"> </w:t>
      </w:r>
      <w:bookmarkEnd w:id="497"/>
      <w:bookmarkEnd w:id="498"/>
      <w:bookmarkEnd w:id="499"/>
      <w:bookmarkStart w:id="500" w:name="_Toc535938757"/>
      <w:bookmarkStart w:id="501" w:name="_Toc530470649"/>
      <w:bookmarkStart w:id="502" w:name="_Toc529196606"/>
      <w:bookmarkStart w:id="503" w:name="_Toc102997647"/>
      <w:r>
        <w:rPr>
          <w:rFonts w:hint="eastAsia" w:ascii="Times New Roman" w:hAnsi="Times New Roman" w:eastAsia="宋体" w:cs="Times New Roman"/>
          <w:b/>
          <w:color w:val="auto"/>
          <w:kern w:val="0"/>
          <w:sz w:val="30"/>
          <w:szCs w:val="30"/>
          <w:highlight w:val="none"/>
          <w:lang w:val="en-US" w:eastAsia="zh-CN" w:bidi="ar-SA"/>
        </w:rPr>
        <w:t>三</w:t>
      </w:r>
      <w:r>
        <w:rPr>
          <w:rFonts w:ascii="Times New Roman" w:hAnsi="Times New Roman" w:eastAsia="宋体" w:cs="Times New Roman"/>
          <w:b/>
          <w:color w:val="auto"/>
          <w:kern w:val="0"/>
          <w:sz w:val="30"/>
          <w:szCs w:val="30"/>
          <w:highlight w:val="none"/>
          <w:lang w:val="en-US" w:eastAsia="zh-CN" w:bidi="ar-SA"/>
        </w:rPr>
        <w:t>、</w:t>
      </w:r>
      <w:bookmarkEnd w:id="500"/>
      <w:bookmarkEnd w:id="501"/>
      <w:bookmarkEnd w:id="502"/>
      <w:r>
        <w:rPr>
          <w:rFonts w:hint="eastAsia" w:ascii="Times New Roman" w:hAnsi="Times New Roman" w:eastAsia="宋体" w:cs="Times New Roman"/>
          <w:b/>
          <w:color w:val="auto"/>
          <w:kern w:val="0"/>
          <w:sz w:val="30"/>
          <w:szCs w:val="30"/>
          <w:highlight w:val="none"/>
          <w:lang w:val="en-US" w:eastAsia="zh-CN" w:bidi="ar-SA"/>
        </w:rPr>
        <w:t>投标报价表</w:t>
      </w:r>
      <w:bookmarkEnd w:id="503"/>
    </w:p>
    <w:p>
      <w:pPr>
        <w:spacing w:line="360" w:lineRule="auto"/>
        <w:jc w:val="center"/>
        <w:rPr>
          <w:rFonts w:ascii="Times New Roman" w:hAnsi="Times New Roman" w:eastAsia="宋体" w:cs="Times New Roman"/>
          <w:b/>
          <w:color w:val="auto"/>
          <w:sz w:val="28"/>
          <w:szCs w:val="28"/>
          <w:highlight w:val="none"/>
        </w:rPr>
      </w:pPr>
      <w:bookmarkStart w:id="504" w:name="_Toc361508760"/>
      <w:r>
        <w:rPr>
          <w:rFonts w:hint="eastAsia" w:ascii="Times New Roman" w:hAnsi="Times New Roman" w:eastAsia="宋体" w:cs="Times New Roman"/>
          <w:b/>
          <w:color w:val="auto"/>
          <w:sz w:val="28"/>
          <w:szCs w:val="28"/>
          <w:highlight w:val="none"/>
        </w:rPr>
        <w:t>投标总报价表</w:t>
      </w:r>
    </w:p>
    <w:p>
      <w:pPr>
        <w:spacing w:line="360" w:lineRule="auto"/>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项目名称：</w:t>
      </w:r>
      <w:r>
        <w:rPr>
          <w:rFonts w:hint="eastAsia" w:ascii="Times New Roman" w:hAnsi="Times New Roman" w:eastAsia="宋体" w:cs="Times New Roman"/>
          <w:color w:val="auto"/>
          <w:highlight w:val="none"/>
          <w:u w:val="single"/>
          <w:lang w:eastAsia="zh-CN"/>
        </w:rPr>
        <w:t xml:space="preserve"> 广州市信息技术职业学校迁建工程第三方检测服务（室内环境检测、建筑节能工程检测、建筑设备及弱电系统检测）</w:t>
      </w:r>
      <w:r>
        <w:rPr>
          <w:rFonts w:hint="eastAsia" w:ascii="Times New Roman" w:hAnsi="Times New Roman" w:eastAsia="宋体" w:cs="Times New Roman"/>
          <w:color w:val="auto"/>
          <w:highlight w:val="none"/>
          <w:u w:val="single"/>
        </w:rPr>
        <w:t xml:space="preserve"> </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84"/>
        <w:gridCol w:w="3539"/>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714" w:type="dxa"/>
            <w:vAlign w:val="center"/>
          </w:tcPr>
          <w:p>
            <w:pPr>
              <w:tabs>
                <w:tab w:val="left" w:pos="1620"/>
                <w:tab w:val="left" w:pos="1800"/>
                <w:tab w:val="left" w:pos="2520"/>
              </w:tabs>
              <w:snapToGrid w:val="0"/>
              <w:spacing w:before="120" w:beforeLines="50" w:after="120" w:line="360" w:lineRule="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序号</w:t>
            </w:r>
          </w:p>
        </w:tc>
        <w:tc>
          <w:tcPr>
            <w:tcW w:w="1984" w:type="dxa"/>
            <w:vAlign w:val="center"/>
          </w:tcPr>
          <w:p>
            <w:pPr>
              <w:tabs>
                <w:tab w:val="left" w:pos="1620"/>
                <w:tab w:val="left" w:pos="1800"/>
                <w:tab w:val="left" w:pos="2520"/>
              </w:tabs>
              <w:snapToGrid w:val="0"/>
              <w:spacing w:before="120" w:beforeLines="50" w:after="120" w:line="360" w:lineRule="auto"/>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费用名称</w:t>
            </w:r>
          </w:p>
        </w:tc>
        <w:tc>
          <w:tcPr>
            <w:tcW w:w="3539" w:type="dxa"/>
            <w:vAlign w:val="center"/>
          </w:tcPr>
          <w:p>
            <w:pPr>
              <w:widowControl w:val="0"/>
              <w:tabs>
                <w:tab w:val="left" w:pos="1620"/>
                <w:tab w:val="left" w:pos="1800"/>
                <w:tab w:val="left" w:pos="2520"/>
              </w:tabs>
              <w:snapToGrid w:val="0"/>
              <w:spacing w:before="120" w:beforeLines="50" w:after="156" w:line="360" w:lineRule="auto"/>
              <w:ind w:left="0" w:leftChars="0" w:right="-334" w:rightChars="-159" w:firstLine="0"/>
              <w:jc w:val="center"/>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投标报价金额（元）</w:t>
            </w:r>
          </w:p>
        </w:tc>
        <w:tc>
          <w:tcPr>
            <w:tcW w:w="2943" w:type="dxa"/>
            <w:vAlign w:val="center"/>
          </w:tcPr>
          <w:p>
            <w:pPr>
              <w:widowControl w:val="0"/>
              <w:tabs>
                <w:tab w:val="left" w:pos="1620"/>
                <w:tab w:val="left" w:pos="1800"/>
                <w:tab w:val="left" w:pos="2520"/>
              </w:tabs>
              <w:snapToGrid w:val="0"/>
              <w:spacing w:before="120" w:beforeLines="50" w:after="156" w:line="360" w:lineRule="auto"/>
              <w:ind w:left="0" w:leftChars="0" w:right="-334" w:rightChars="-159" w:firstLine="0"/>
              <w:jc w:val="center"/>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14"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1</w:t>
            </w:r>
          </w:p>
        </w:tc>
        <w:tc>
          <w:tcPr>
            <w:tcW w:w="1984" w:type="dxa"/>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室内环境检测</w:t>
            </w:r>
          </w:p>
        </w:tc>
        <w:tc>
          <w:tcPr>
            <w:tcW w:w="3539"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c>
          <w:tcPr>
            <w:tcW w:w="2943"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14"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2</w:t>
            </w:r>
          </w:p>
        </w:tc>
        <w:tc>
          <w:tcPr>
            <w:tcW w:w="1984" w:type="dxa"/>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建筑节能工程检测</w:t>
            </w:r>
          </w:p>
        </w:tc>
        <w:tc>
          <w:tcPr>
            <w:tcW w:w="3539"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c>
          <w:tcPr>
            <w:tcW w:w="2943"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714"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3</w:t>
            </w:r>
          </w:p>
        </w:tc>
        <w:tc>
          <w:tcPr>
            <w:tcW w:w="1984" w:type="dxa"/>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建筑设备及弱电系统检测</w:t>
            </w:r>
          </w:p>
        </w:tc>
        <w:tc>
          <w:tcPr>
            <w:tcW w:w="3539"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c>
          <w:tcPr>
            <w:tcW w:w="2943" w:type="dxa"/>
            <w:vAlign w:val="center"/>
          </w:tcPr>
          <w:p>
            <w:pPr>
              <w:widowControl/>
              <w:tabs>
                <w:tab w:val="left" w:pos="1620"/>
                <w:tab w:val="left" w:pos="1800"/>
                <w:tab w:val="left" w:pos="2520"/>
              </w:tabs>
              <w:jc w:val="center"/>
              <w:textAlignment w:val="center"/>
              <w:rPr>
                <w:rFonts w:ascii="宋体" w:hAnsi="宋体" w:eastAsia="宋体" w:cs="宋体"/>
                <w:color w:val="auto"/>
                <w:kern w:val="0"/>
                <w:sz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trPr>
        <w:tc>
          <w:tcPr>
            <w:tcW w:w="2698" w:type="dxa"/>
            <w:gridSpan w:val="2"/>
            <w:vAlign w:val="center"/>
          </w:tcPr>
          <w:p>
            <w:pPr>
              <w:tabs>
                <w:tab w:val="left" w:pos="1620"/>
                <w:tab w:val="left" w:pos="1800"/>
                <w:tab w:val="left" w:pos="2520"/>
              </w:tabs>
              <w:snapToGrid w:val="0"/>
              <w:spacing w:before="120" w:beforeLines="50" w:after="120"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合计</w:t>
            </w:r>
          </w:p>
        </w:tc>
        <w:tc>
          <w:tcPr>
            <w:tcW w:w="3539" w:type="dxa"/>
            <w:vAlign w:val="center"/>
          </w:tcPr>
          <w:p>
            <w:pPr>
              <w:widowControl/>
              <w:spacing w:before="100" w:beforeAutospacing="1" w:after="100" w:afterAutospacing="1"/>
              <w:jc w:val="left"/>
              <w:rPr>
                <w:rFonts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大写：人民币</w:t>
            </w:r>
            <w:r>
              <w:rPr>
                <w:rFonts w:hint="eastAsia" w:ascii="宋体" w:hAnsi="宋体" w:eastAsia="宋体" w:cs="宋体"/>
                <w:b/>
                <w:bCs/>
                <w:color w:val="auto"/>
                <w:kern w:val="0"/>
                <w:sz w:val="21"/>
                <w:szCs w:val="21"/>
                <w:highlight w:val="none"/>
                <w:u w:val="single"/>
                <w:lang w:val="en-US" w:eastAsia="zh-CN" w:bidi="ar-SA"/>
              </w:rPr>
              <w:t xml:space="preserve">        </w:t>
            </w:r>
            <w:r>
              <w:rPr>
                <w:rFonts w:hint="eastAsia" w:ascii="宋体" w:hAnsi="宋体" w:eastAsia="宋体" w:cs="宋体"/>
                <w:b/>
                <w:bCs/>
                <w:color w:val="auto"/>
                <w:kern w:val="0"/>
                <w:sz w:val="21"/>
                <w:szCs w:val="21"/>
                <w:highlight w:val="none"/>
                <w:lang w:val="en-US" w:eastAsia="zh-CN" w:bidi="ar-SA"/>
              </w:rPr>
              <w:t>；</w:t>
            </w:r>
          </w:p>
          <w:p>
            <w:pPr>
              <w:widowControl/>
              <w:spacing w:before="100" w:beforeAutospacing="1" w:after="100" w:afterAutospacing="1"/>
              <w:jc w:val="left"/>
              <w:rPr>
                <w:rFonts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小写：￥</w:t>
            </w:r>
            <w:r>
              <w:rPr>
                <w:rFonts w:hint="eastAsia" w:ascii="宋体" w:hAnsi="宋体" w:eastAsia="宋体" w:cs="宋体"/>
                <w:b/>
                <w:bCs/>
                <w:color w:val="auto"/>
                <w:kern w:val="0"/>
                <w:sz w:val="21"/>
                <w:szCs w:val="21"/>
                <w:highlight w:val="none"/>
                <w:u w:val="single"/>
                <w:lang w:val="en-US" w:eastAsia="zh-CN" w:bidi="ar-SA"/>
              </w:rPr>
              <w:t xml:space="preserve">         </w:t>
            </w:r>
            <w:r>
              <w:rPr>
                <w:rFonts w:ascii="宋体" w:hAnsi="宋体" w:eastAsia="宋体" w:cs="宋体"/>
                <w:b/>
                <w:bCs/>
                <w:color w:val="auto"/>
                <w:kern w:val="0"/>
                <w:sz w:val="21"/>
                <w:szCs w:val="21"/>
                <w:highlight w:val="none"/>
                <w:u w:val="single"/>
                <w:lang w:val="en-US" w:eastAsia="zh-CN" w:bidi="ar-SA"/>
              </w:rPr>
              <w:t xml:space="preserve">  </w:t>
            </w:r>
            <w:r>
              <w:rPr>
                <w:rFonts w:hint="eastAsia" w:ascii="宋体" w:hAnsi="宋体" w:eastAsia="宋体" w:cs="宋体"/>
                <w:b/>
                <w:bCs/>
                <w:color w:val="auto"/>
                <w:kern w:val="0"/>
                <w:sz w:val="21"/>
                <w:szCs w:val="21"/>
                <w:highlight w:val="none"/>
                <w:lang w:val="en-US" w:eastAsia="zh-CN" w:bidi="ar-SA"/>
              </w:rPr>
              <w:t>元。</w:t>
            </w:r>
          </w:p>
        </w:tc>
        <w:tc>
          <w:tcPr>
            <w:tcW w:w="2943" w:type="dxa"/>
            <w:vAlign w:val="center"/>
          </w:tcPr>
          <w:p>
            <w:pPr>
              <w:tabs>
                <w:tab w:val="left" w:pos="1620"/>
                <w:tab w:val="left" w:pos="1800"/>
                <w:tab w:val="left" w:pos="2520"/>
              </w:tabs>
              <w:snapToGrid w:val="0"/>
              <w:spacing w:before="120" w:beforeLines="50" w:after="120"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按《工程量清单报价表》汇总金额填写，投标报价不得超过最高投标限价。</w:t>
            </w:r>
          </w:p>
        </w:tc>
      </w:tr>
    </w:tbl>
    <w:p>
      <w:pPr>
        <w:adjustRightInd w:val="0"/>
        <w:snapToGrid w:val="0"/>
        <w:spacing w:before="120" w:beforeLines="50"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说明：</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上述投标报价用已包含了中标人开展招标范围内所有服务工作所需的检测费、劳务费、材料费、仪器工具使用费、进退场费、试验费、报告编写费、实物工作收费、技术工作收费、参加相关验收的费用、各项管理费，以及所有服务工作应交纳的政府规费、利润、税金等全部费用。</w:t>
      </w:r>
    </w:p>
    <w:p>
      <w:pPr>
        <w:adjustRightInd w:val="0"/>
        <w:snapToGrid w:val="0"/>
        <w:spacing w:before="120" w:beforeLines="50"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2、工程量报价清单内的每一清单项目均需填报单价和合价,对没有填报或填报为“0”的单价与合价项目,则视为该项费用已含在其他工程量报价清单中的综合单价与综合合价内</w:t>
      </w:r>
    </w:p>
    <w:p>
      <w:pPr>
        <w:adjustRightInd w:val="0"/>
        <w:snapToGrid w:val="0"/>
        <w:spacing w:before="120" w:beforeLines="50"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本项目投标报价采用的币种为人民币，以元为单位，保留小数点后两位小数</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第三位小数四舍五入。</w:t>
      </w:r>
    </w:p>
    <w:p>
      <w:pPr>
        <w:spacing w:line="360" w:lineRule="auto"/>
        <w:rPr>
          <w:rFonts w:ascii="Times New Roman" w:hAnsi="Times New Roman" w:eastAsia="宋体" w:cs="Times New Roman"/>
          <w:color w:val="auto"/>
          <w:sz w:val="24"/>
          <w:highlight w:val="none"/>
        </w:rPr>
      </w:pPr>
    </w:p>
    <w:p>
      <w:pPr>
        <w:spacing w:line="360" w:lineRule="auto"/>
        <w:rPr>
          <w:rFonts w:ascii="Times New Roman" w:hAnsi="Times New Roman" w:eastAsia="宋体" w:cs="Times New Roman"/>
          <w:color w:val="auto"/>
          <w:sz w:val="24"/>
          <w:highlight w:val="none"/>
        </w:rPr>
      </w:pPr>
    </w:p>
    <w:p>
      <w:pPr>
        <w:spacing w:line="360" w:lineRule="auto"/>
        <w:ind w:right="96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投标人（盖章）：</w:t>
      </w:r>
    </w:p>
    <w:p>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pacing w:val="18"/>
          <w:sz w:val="24"/>
          <w:highlight w:val="none"/>
        </w:rPr>
        <w:t>法定</w:t>
      </w:r>
      <w:r>
        <w:rPr>
          <w:rFonts w:ascii="Times New Roman" w:hAnsi="Times New Roman" w:eastAsia="宋体" w:cs="Times New Roman"/>
          <w:color w:val="auto"/>
          <w:spacing w:val="18"/>
          <w:sz w:val="24"/>
          <w:highlight w:val="none"/>
        </w:rPr>
        <w:t>代表人(或被授权人)</w:t>
      </w:r>
      <w:r>
        <w:rPr>
          <w:rFonts w:hint="eastAsia" w:ascii="Times New Roman" w:hAnsi="Times New Roman" w:eastAsia="宋体" w:cs="Times New Roman"/>
          <w:color w:val="auto"/>
          <w:spacing w:val="18"/>
          <w:sz w:val="24"/>
          <w:highlight w:val="none"/>
        </w:rPr>
        <w:t>签字或盖章</w:t>
      </w:r>
      <w:r>
        <w:rPr>
          <w:rFonts w:hint="eastAsia" w:ascii="Times New Roman" w:hAnsi="Times New Roman" w:eastAsia="宋体" w:cs="Times New Roman"/>
          <w:color w:val="auto"/>
          <w:sz w:val="24"/>
          <w:highlight w:val="none"/>
        </w:rPr>
        <w:t>：</w:t>
      </w:r>
    </w:p>
    <w:p>
      <w:pPr>
        <w:spacing w:line="360" w:lineRule="auto"/>
        <w:ind w:right="960"/>
        <w:jc w:val="left"/>
        <w:rPr>
          <w:rFonts w:ascii="Times New Roman" w:hAnsi="Times New Roman"/>
          <w:color w:val="auto"/>
          <w:sz w:val="24"/>
          <w:highlight w:val="none"/>
        </w:rPr>
        <w:sectPr>
          <w:footerReference r:id="rId8" w:type="default"/>
          <w:pgSz w:w="11906" w:h="16838"/>
          <w:pgMar w:top="1440" w:right="1797" w:bottom="1440" w:left="1797" w:header="851" w:footer="554" w:gutter="0"/>
          <w:pgNumType w:fmt="decimal"/>
          <w:cols w:space="720" w:num="1"/>
          <w:titlePg/>
          <w:docGrid w:linePitch="312" w:charSpace="0"/>
        </w:sectPr>
      </w:pPr>
      <w:r>
        <w:rPr>
          <w:rFonts w:hint="eastAsia" w:ascii="Times New Roman" w:hAnsi="Times New Roman" w:eastAsia="宋体" w:cs="Times New Roman"/>
          <w:color w:val="auto"/>
          <w:sz w:val="24"/>
          <w:highlight w:val="none"/>
        </w:rPr>
        <w:t>2023年  月  日</w:t>
      </w:r>
    </w:p>
    <w:p>
      <w:pPr>
        <w:spacing w:line="360" w:lineRule="auto"/>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工程量清单报价表</w:t>
      </w:r>
    </w:p>
    <w:p>
      <w:pPr>
        <w:widowControl/>
        <w:spacing w:before="120" w:beforeLines="50"/>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lang w:eastAsia="zh-CN" w:bidi="ar"/>
        </w:rPr>
        <w:t xml:space="preserve"> 广州市信息技术职业学校迁建工程第三方检测服务（室内环境检测、建筑节能工程检测、建筑设备及弱电系统检测）</w:t>
      </w:r>
      <w:r>
        <w:rPr>
          <w:rFonts w:hint="eastAsia" w:ascii="宋体" w:hAnsi="宋体" w:eastAsia="宋体" w:cs="宋体"/>
          <w:color w:val="auto"/>
          <w:kern w:val="0"/>
          <w:sz w:val="24"/>
          <w:highlight w:val="none"/>
          <w:lang w:bidi="ar"/>
        </w:rPr>
        <w:t xml:space="preserve"> </w:t>
      </w:r>
    </w:p>
    <w:p>
      <w:pPr>
        <w:widowControl/>
        <w:spacing w:line="360" w:lineRule="auto"/>
        <w:jc w:val="left"/>
        <w:rPr>
          <w:rFonts w:eastAsia="宋体" w:cs="Times New Roman"/>
          <w:b/>
          <w:bCs/>
          <w:color w:val="auto"/>
          <w:sz w:val="24"/>
          <w:szCs w:val="24"/>
          <w:highlight w:val="none"/>
          <w:lang w:bidi="ar"/>
        </w:rPr>
      </w:pPr>
    </w:p>
    <w:p>
      <w:pPr>
        <w:widowControl/>
        <w:numPr>
          <w:ilvl w:val="0"/>
          <w:numId w:val="1"/>
        </w:numPr>
        <w:spacing w:line="360" w:lineRule="auto"/>
        <w:jc w:val="left"/>
        <w:rPr>
          <w:rFonts w:eastAsia="宋体" w:cs="Times New Roman"/>
          <w:b/>
          <w:bCs/>
          <w:color w:val="auto"/>
          <w:sz w:val="32"/>
          <w:szCs w:val="32"/>
          <w:highlight w:val="none"/>
          <w:lang w:bidi="ar"/>
        </w:rPr>
      </w:pPr>
      <w:r>
        <w:rPr>
          <w:rFonts w:hint="eastAsia" w:eastAsia="宋体" w:cs="Times New Roman"/>
          <w:b/>
          <w:bCs/>
          <w:color w:val="auto"/>
          <w:sz w:val="32"/>
          <w:szCs w:val="32"/>
          <w:highlight w:val="none"/>
          <w:lang w:bidi="ar"/>
        </w:rPr>
        <w:t>室内环境检测</w:t>
      </w:r>
    </w:p>
    <w:tbl>
      <w:tblPr>
        <w:tblStyle w:val="18"/>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276"/>
        <w:gridCol w:w="2570"/>
        <w:gridCol w:w="3339"/>
        <w:gridCol w:w="780"/>
        <w:gridCol w:w="1103"/>
        <w:gridCol w:w="1501"/>
        <w:gridCol w:w="1685"/>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序号</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检测项目</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抽检依据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检测数量</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综合单价(元)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合价(元)</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建筑工程室内环境检测</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室内环境检测（甲醛、氨、苯、氡、TVOC）</w:t>
            </w:r>
          </w:p>
        </w:tc>
        <w:tc>
          <w:tcPr>
            <w:tcW w:w="3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日起，室内环境新标准GB50325-2020的实施，按标准6.0.14条规定，幼儿园、学校教室、学生宿舍、老年人照料房屋设施室内装饰装修验收时，室内空气中氡、甲醛、氨、苯、甲苯、二甲苯、TVOC的抽检量不得少于房间总数的50%，且不得少于20间。抽检参数增加了甲苯、二甲苯两项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甲苯</w:t>
            </w:r>
          </w:p>
        </w:tc>
        <w:tc>
          <w:tcPr>
            <w:tcW w:w="3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二甲苯</w:t>
            </w:r>
          </w:p>
        </w:tc>
        <w:tc>
          <w:tcPr>
            <w:tcW w:w="3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87" w:type="dxa"/>
            <w:gridSpan w:val="7"/>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rPr>
          <w:rFonts w:hint="eastAsia"/>
          <w:color w:val="auto"/>
          <w:highlight w:val="none"/>
        </w:rPr>
      </w:pPr>
    </w:p>
    <w:p>
      <w:pPr>
        <w:widowControl/>
        <w:spacing w:after="120" w:line="256" w:lineRule="auto"/>
        <w:ind w:left="420" w:leftChars="200" w:firstLine="440" w:firstLineChars="200"/>
        <w:jc w:val="left"/>
        <w:rPr>
          <w:rFonts w:ascii="Calibri" w:hAnsi="Calibri" w:eastAsia="Calibri" w:cs="Times New Roman"/>
          <w:color w:val="auto"/>
          <w:kern w:val="2"/>
          <w:sz w:val="22"/>
          <w:szCs w:val="22"/>
          <w:highlight w:val="none"/>
          <w:lang w:val="en-US" w:eastAsia="zh-CN" w:bidi="ar"/>
        </w:rPr>
      </w:pPr>
      <w:r>
        <w:rPr>
          <w:rFonts w:ascii="Calibri" w:hAnsi="Calibri" w:eastAsia="Calibri" w:cs="Times New Roman"/>
          <w:color w:val="auto"/>
          <w:kern w:val="2"/>
          <w:sz w:val="22"/>
          <w:szCs w:val="22"/>
          <w:highlight w:val="none"/>
          <w:lang w:val="en-US" w:eastAsia="zh-CN" w:bidi="ar"/>
        </w:rPr>
        <w:br w:type="page"/>
      </w:r>
    </w:p>
    <w:p>
      <w:pPr>
        <w:widowControl/>
        <w:numPr>
          <w:ilvl w:val="0"/>
          <w:numId w:val="1"/>
        </w:numPr>
        <w:spacing w:line="360" w:lineRule="auto"/>
        <w:jc w:val="left"/>
        <w:rPr>
          <w:rFonts w:eastAsia="宋体" w:cs="Times New Roman"/>
          <w:b/>
          <w:bCs/>
          <w:color w:val="auto"/>
          <w:sz w:val="32"/>
          <w:szCs w:val="32"/>
          <w:highlight w:val="none"/>
          <w:lang w:bidi="ar"/>
        </w:rPr>
      </w:pPr>
      <w:r>
        <w:rPr>
          <w:rFonts w:hint="eastAsia" w:eastAsia="宋体" w:cs="Times New Roman"/>
          <w:b/>
          <w:bCs/>
          <w:color w:val="auto"/>
          <w:sz w:val="32"/>
          <w:szCs w:val="32"/>
          <w:highlight w:val="none"/>
          <w:lang w:bidi="ar"/>
        </w:rPr>
        <w:t>建筑节能工程检测</w:t>
      </w:r>
    </w:p>
    <w:tbl>
      <w:tblPr>
        <w:tblStyle w:val="18"/>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021"/>
        <w:gridCol w:w="2387"/>
        <w:gridCol w:w="3903"/>
        <w:gridCol w:w="881"/>
        <w:gridCol w:w="1069"/>
        <w:gridCol w:w="1428"/>
        <w:gridCol w:w="1151"/>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检测项目</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检测参数</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抽检比例依据</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单位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综合单价(元)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合价(元)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门窗节能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门窗玻璃可见光透射比、遮蔽系数（单片）</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DBJ15-65-2021 8.2.3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不同厂家、材质、开启方式、型材系列的产品各抽查1次。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门窗玻璃可见光透射比、遮蔽系数（中空）</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中空玻璃露点</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外窗传热系数</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门窗三性试验</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同一厂家同一品种同一类型的产品抽检不少于</w:t>
            </w: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组（</w:t>
            </w: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一组3件规格 1.5m×1.5m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墙体节能工程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墙体材料导热系数、密度、抗压强度</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当单位工程建筑在2000 m2以下时，同一厂家的同一品种的材料抽查不少于1组；当单位工程建筑面积在2000 m2以上、20000 m2以下时，同一厂家同一品种的产抽查不少于3组；当单位工程建筑面积在20000m2以上时各抽检不少于6次。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墙体保温材料导热系数、密度、抗压强度</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外饰面材料太阳辐射吸收系数</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镀锌电焊网焊点抗拉力、抗腐蚀性能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墙体节能工程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耐碱玻璃纤维网布断裂强力、耐碱强力保留率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当单位工程建筑在2000 m2以下时，同一厂家的同一品种的材料抽查不少于1组；当单位工程建筑面积在2000 m2以上、20000 m2以下时，同一厂家同一品种的产抽查不少于3组；当单位工程建筑面积在20000m2以上时各抽检不少于6次。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外墙节能构造钻芯法检测</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每个单位工程的每种节能做法抽检不少于1组（3个芯样）</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墙体传热系数</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每个单位工程的每种节能做法的外墙至少抽查</w:t>
            </w: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处</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幕墙节能工程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遮阳材料太阳光透射比</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检查数量：同一厂家同一种产品抽查不少于 1 组。</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遮阳材料太阳光反射比</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屋面节能工程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屋面保温材料导热系数、密度、压缩强度</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检查数量：检查数量:同厂家、同品种产品,扣除天窗、采光顶后的屋面面积在1000m²以内时应复验1次;面积每增加1000m²应增加复验1次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屋面保温材料燃烧性能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遮阳材料太阳光透射比</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遮阳材料太阳光反射比</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浅色饰面材料隔热涂料耐沾污性能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通风与空调工程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风机单位风量耗功率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按总数抽检20%，且不得少于1台。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通风与空调工程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系统总风量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按风管系统数量抽检10%，且不得少于1个系统。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风管漏风量及变形量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按风管系统数量抽检10%，且不得少于1个系统。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风口风量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按风管系统数量抽检10%，且不得少于1个系统。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空调机组水流量、供回水温差</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按系统数量抽查10%，且不得少于一个系统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空调系统冷冻水总流量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全数抽检</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水力平衡度</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按系统数量抽查10%，且不少于1个系统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冷水机组实际性能系数</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对于2台（含）同型号机组，应至少抽取1台；对于3台及以上（含3台）同型号机组，应至少抽取2台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室内温湿度</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相同系统形式应按系统数量的20%；同一个系统检测数量不应少于总房间数量的10%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风机盘管性能</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同一厂家的风机盘管机组按数量抽检2%，但不得少于2台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水泵性能</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全数核查，检测工况下启用的循环水泵均进行效率检测</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空调机组</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按同类产品的数量抽查20%，且不少于1台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通风与空调工程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新风机组</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按同类产品的数量抽查20%，且不少于1台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送排风机</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按同类产品的数量抽查20%，且不少于1台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冷却塔性能</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全数核查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风管保温材料的导热系数、密度、吸水率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同一厂家同材质的绝热材料抽检次数不少于2次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水管保温材料的导热系数、密度、吸水率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同一厂家同材质的绝热材料抽检次数不少于2次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配电与照明工程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平均照度</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各功能区抽检数量不少于2个。</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照明功率密度</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各功能区抽检数量不少于2个。</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三相照明配电干线各相负荷平衡比</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全数检测</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低压配电系统电源质量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全数检测</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电线、电缆截面及每芯导体电阻值</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同厂各种规格总数的10％，且不少于2个规格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截面积≤50m㎡时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配电与照明工程</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电线、电缆截面及每芯导体电阻值</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同厂各种规格总数的10％，且不少于2个规格</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50mm2＜截面积≤120mm2）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截面积＞150mm2时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电源质量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检查数量：全部检测。</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太阳能热水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贮热水箱得热量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热损系数</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日有用得热量</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升温性能</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贮热水箱保温性能</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太阳能保证率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建筑声学（绿色建筑工程）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混响时间</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DBJ15-65-2021 23.1.5-3、GB 55016-2021 2.4.2</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每个单位工程每种构造不应少于1处。</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1件为1组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楼板空气声隔声性能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1件为1组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隔墙空气声隔声性能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1件为1组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楼板撞击声隔声性能</w:t>
            </w: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1件为1组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1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widowControl/>
        <w:jc w:val="left"/>
        <w:rPr>
          <w:rFonts w:eastAsia="宋体" w:cs="Times New Roman"/>
          <w:b/>
          <w:bCs/>
          <w:color w:val="auto"/>
          <w:sz w:val="24"/>
          <w:szCs w:val="24"/>
          <w:highlight w:val="none"/>
          <w:lang w:bidi="ar"/>
        </w:rPr>
      </w:pPr>
    </w:p>
    <w:p>
      <w:pPr>
        <w:widowControl/>
        <w:jc w:val="left"/>
        <w:rPr>
          <w:rFonts w:eastAsia="宋体" w:cs="Times New Roman"/>
          <w:b/>
          <w:bCs/>
          <w:color w:val="auto"/>
          <w:sz w:val="24"/>
          <w:szCs w:val="24"/>
          <w:highlight w:val="none"/>
          <w:lang w:bidi="ar"/>
        </w:rPr>
      </w:pPr>
    </w:p>
    <w:p>
      <w:pPr>
        <w:widowControl/>
        <w:jc w:val="left"/>
        <w:rPr>
          <w:rFonts w:eastAsia="宋体" w:cs="Times New Roman"/>
          <w:b/>
          <w:bCs/>
          <w:color w:val="auto"/>
          <w:sz w:val="32"/>
          <w:szCs w:val="32"/>
          <w:highlight w:val="none"/>
          <w:lang w:bidi="ar"/>
        </w:rPr>
      </w:pPr>
      <w:r>
        <w:rPr>
          <w:rFonts w:eastAsia="宋体" w:cs="Times New Roman"/>
          <w:b/>
          <w:bCs/>
          <w:color w:val="auto"/>
          <w:sz w:val="32"/>
          <w:szCs w:val="32"/>
          <w:highlight w:val="none"/>
          <w:lang w:bidi="ar"/>
        </w:rPr>
        <w:br w:type="page"/>
      </w:r>
    </w:p>
    <w:p>
      <w:pPr>
        <w:widowControl/>
        <w:jc w:val="left"/>
        <w:rPr>
          <w:rFonts w:eastAsia="宋体" w:cs="Times New Roman"/>
          <w:b/>
          <w:bCs/>
          <w:color w:val="auto"/>
          <w:sz w:val="32"/>
          <w:szCs w:val="32"/>
          <w:highlight w:val="none"/>
          <w:lang w:bidi="ar"/>
        </w:rPr>
      </w:pPr>
      <w:r>
        <w:rPr>
          <w:rFonts w:hint="eastAsia" w:eastAsia="宋体" w:cs="Times New Roman"/>
          <w:b/>
          <w:bCs/>
          <w:color w:val="auto"/>
          <w:sz w:val="32"/>
          <w:szCs w:val="32"/>
          <w:highlight w:val="none"/>
          <w:lang w:bidi="ar"/>
        </w:rPr>
        <w:t>三、建筑设备及弱电系统检测</w:t>
      </w:r>
    </w:p>
    <w:tbl>
      <w:tblPr>
        <w:tblStyle w:val="18"/>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32"/>
        <w:gridCol w:w="1361"/>
        <w:gridCol w:w="1516"/>
        <w:gridCol w:w="2625"/>
        <w:gridCol w:w="1035"/>
        <w:gridCol w:w="1341"/>
        <w:gridCol w:w="1457"/>
        <w:gridCol w:w="1720"/>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序号</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检测项目</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检测参数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检测频率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单位</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检测数量</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综合单价(元)</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合价(元)</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安全防范系统</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视频监控系统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前端设备（摄像机、镜头、护罩、云台等）抽检的数量不应低于设备总数的 20％，且不少于 3 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主控基本功能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系统监控功能、联动功能和图像记录等应全数检测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出入口控制系统（门禁）</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读卡器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前端设备（读卡器、识别器、控制器、电锁等）抽检的数量不应低于各类设备总数的 20％且不少于3台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主控基本功能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系统功能、软件功能和数据记录等应全数检测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停车场管理系统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出入口检测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停车场（库）管理系统应全数检测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出入口</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系统管理功能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停车场（库）管理系统应全数检测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建筑设备监控系统</w:t>
            </w:r>
          </w:p>
        </w:tc>
        <w:tc>
          <w:tcPr>
            <w:tcW w:w="136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空调与通风系统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温湿度</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对每类机组应按总数的 20％，且不得小于 5 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空调机组</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冷冻和冷却水系统系统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冷水机组</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按系统数量全数检测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传感器</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建筑设备监控系统</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冷冻和冷却水系统系统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冷冻/却水泵</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按系统数量全数检测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水阀</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电梯系统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全部检测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表具数据自动抄收及远传系统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主控管理功能</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每类表具总数达到 100 个及以上的按10％抽检，少于100个的抽检11个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设备安装质量</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电源箱、控制箱</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能源计费系统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一体化远传水表</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182:200513.4.3 每类表具总数达到 100 个及以上的按10％抽检，少于100个的抽检10个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超声波流量计</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能源计费系统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系统主控功能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182:200513.4.3 每类表具总数达到 100 个及以上的按10％抽检，少于100个的抽检10个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智能照明系统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照明回路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Light" w:hAnsi="Calibri Light" w:eastAsia="Calibri Light" w:cs="Calibri Light"/>
                <w:i w:val="0"/>
                <w:iCs w:val="0"/>
                <w:color w:val="auto"/>
                <w:sz w:val="22"/>
                <w:szCs w:val="22"/>
                <w:highlight w:val="none"/>
                <w:u w:val="none"/>
              </w:rPr>
            </w:pPr>
            <w:r>
              <w:rPr>
                <w:rFonts w:hint="default" w:ascii="Calibri Light" w:hAnsi="Calibri Light" w:eastAsia="Calibri Light" w:cs="Calibri Light"/>
                <w:i w:val="0"/>
                <w:iCs w:val="0"/>
                <w:color w:val="auto"/>
                <w:kern w:val="0"/>
                <w:sz w:val="22"/>
                <w:szCs w:val="22"/>
                <w:highlight w:val="none"/>
                <w:u w:val="none"/>
                <w:lang w:val="en-US" w:eastAsia="zh-CN" w:bidi="ar"/>
              </w:rPr>
              <w:t xml:space="preserve">CECS 182:2005 6.4.2 </w:t>
            </w:r>
            <w:r>
              <w:rPr>
                <w:rStyle w:val="40"/>
                <w:color w:val="auto"/>
                <w:highlight w:val="none"/>
                <w:lang w:val="en-US" w:eastAsia="zh-CN" w:bidi="ar"/>
              </w:rPr>
              <w:t>按照明回路总数的</w:t>
            </w:r>
            <w:r>
              <w:rPr>
                <w:rStyle w:val="41"/>
                <w:color w:val="auto"/>
                <w:highlight w:val="none"/>
                <w:lang w:val="en-US" w:eastAsia="zh-CN" w:bidi="ar"/>
              </w:rPr>
              <w:t>20%</w:t>
            </w:r>
            <w:r>
              <w:rPr>
                <w:rStyle w:val="40"/>
                <w:color w:val="auto"/>
                <w:highlight w:val="none"/>
                <w:lang w:val="en-US" w:eastAsia="zh-CN" w:bidi="ar"/>
              </w:rPr>
              <w:t>抽检，且不得少于</w:t>
            </w:r>
            <w:r>
              <w:rPr>
                <w:rStyle w:val="41"/>
                <w:color w:val="auto"/>
                <w:highlight w:val="none"/>
                <w:lang w:val="en-US" w:eastAsia="zh-CN" w:bidi="ar"/>
              </w:rPr>
              <w:t xml:space="preserve"> 10 </w:t>
            </w:r>
            <w:r>
              <w:rPr>
                <w:rStyle w:val="40"/>
                <w:color w:val="auto"/>
                <w:highlight w:val="none"/>
                <w:lang w:val="en-US" w:eastAsia="zh-CN" w:bidi="ar"/>
              </w:rPr>
              <w:t>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回路</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给排水系统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 6.5.2 对每类系统应按其数量的50％抽验，且不得少于5 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信息发布系统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显示屏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前端设备抽检</w:t>
            </w:r>
            <w:r>
              <w:rPr>
                <w:rStyle w:val="41"/>
                <w:color w:val="auto"/>
                <w:highlight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系统主控功能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前端设备抽检</w:t>
            </w:r>
            <w:r>
              <w:rPr>
                <w:rStyle w:val="41"/>
                <w:color w:val="auto"/>
                <w:highlight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广播系统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广播区域</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前端设备抽检</w:t>
            </w:r>
            <w:r>
              <w:rPr>
                <w:rStyle w:val="41"/>
                <w:color w:val="auto"/>
                <w:highlight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系统主控功能</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计算机网络系统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 5.2.2 网络设备应全数检测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会议系统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扩声性能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按照CECS182:2005 4.3.2 按系统全数检测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电源系统检测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 11.2.2 稳压、稳流、不间断电源装置和蓄电池组和充电设备应全数检测。智能化系统机房集中供电设备和线路安装应全数检查。智能化系统的其他专用电源设备和电源箱的抽检数量不低于20%，且不少于3台。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综合布线系统</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信息点（5类、超5类、6类双绞线）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 9.3.2 对绞电缆布线链路的测试应全数检测。竣工验收需要抽验时，数量不应少于 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光纤点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CECS 182:2005 9.4.2 光纤布线应全部检测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芯</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机房环境工程</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智能化系统机房应全数检测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机房</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1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bl>
    <w:p>
      <w:pPr>
        <w:widowControl/>
        <w:spacing w:line="360" w:lineRule="auto"/>
        <w:jc w:val="left"/>
        <w:rPr>
          <w:rFonts w:ascii="宋体" w:hAnsi="宋体" w:eastAsia="宋体" w:cs="宋体"/>
          <w:color w:val="auto"/>
          <w:kern w:val="0"/>
          <w:sz w:val="24"/>
          <w:highlight w:val="none"/>
          <w:lang w:bidi="ar"/>
        </w:rPr>
      </w:pPr>
    </w:p>
    <w:p>
      <w:pPr>
        <w:widowControl/>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说明： </w:t>
      </w:r>
    </w:p>
    <w:p>
      <w:pPr>
        <w:widowControl/>
        <w:spacing w:line="360" w:lineRule="auto"/>
        <w:ind w:firstLine="364" w:firstLineChars="152"/>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1.投标人应根据自身实力,结合本工程施工的特点，按上表要求填投标报价。</w:t>
      </w:r>
    </w:p>
    <w:p>
      <w:pPr>
        <w:widowControl/>
        <w:spacing w:line="360" w:lineRule="auto"/>
        <w:ind w:firstLine="364" w:firstLineChars="152"/>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2.本项目投标报价采用的币种为人民币，</w:t>
      </w:r>
      <w:r>
        <w:rPr>
          <w:rFonts w:hint="eastAsia" w:ascii="宋体" w:hAnsi="宋体" w:eastAsia="宋体" w:cs="宋体"/>
          <w:b/>
          <w:color w:val="auto"/>
          <w:kern w:val="0"/>
          <w:sz w:val="24"/>
          <w:highlight w:val="none"/>
          <w:lang w:bidi="ar"/>
        </w:rPr>
        <w:t>以元为单位</w:t>
      </w:r>
      <w:r>
        <w:rPr>
          <w:rFonts w:hint="eastAsia" w:ascii="宋体" w:hAnsi="宋体" w:eastAsia="宋体" w:cs="宋体"/>
          <w:color w:val="auto"/>
          <w:kern w:val="0"/>
          <w:sz w:val="24"/>
          <w:highlight w:val="none"/>
          <w:lang w:bidi="ar"/>
        </w:rPr>
        <w:t>，保留小数点后两位小数,第三位小数四舍五入。</w:t>
      </w:r>
    </w:p>
    <w:p>
      <w:pPr>
        <w:widowControl/>
        <w:spacing w:line="360" w:lineRule="auto"/>
        <w:ind w:firstLine="364" w:firstLineChars="152"/>
        <w:jc w:val="left"/>
        <w:textAlignment w:val="center"/>
        <w:rPr>
          <w:rFonts w:ascii="宋体" w:hAnsi="宋体" w:cs="宋体"/>
          <w:color w:val="auto"/>
          <w:kern w:val="0"/>
          <w:sz w:val="24"/>
          <w:highlight w:val="none"/>
          <w:lang w:bidi="ar"/>
        </w:rPr>
        <w:sectPr>
          <w:pgSz w:w="16838" w:h="11906" w:orient="landscape"/>
          <w:pgMar w:top="1797" w:right="1440" w:bottom="1797" w:left="1440" w:header="851" w:footer="554" w:gutter="0"/>
          <w:pgNumType w:fmt="decimal"/>
          <w:cols w:space="720" w:num="1"/>
          <w:titlePg/>
          <w:docGrid w:linePitch="312" w:charSpace="0"/>
        </w:sectPr>
      </w:pPr>
      <w:r>
        <w:rPr>
          <w:rFonts w:hint="eastAsia" w:ascii="宋体" w:hAnsi="宋体" w:eastAsia="宋体" w:cs="宋体"/>
          <w:color w:val="auto"/>
          <w:kern w:val="0"/>
          <w:sz w:val="24"/>
          <w:highlight w:val="none"/>
          <w:lang w:bidi="ar"/>
        </w:rPr>
        <w:t>3.</w:t>
      </w:r>
      <w:r>
        <w:rPr>
          <w:rFonts w:hint="eastAsia" w:eastAsia="宋体" w:cs="Times New Roman"/>
          <w:color w:val="auto"/>
          <w:sz w:val="20"/>
          <w:highlight w:val="none"/>
        </w:rPr>
        <w:t xml:space="preserve"> </w:t>
      </w:r>
      <w:r>
        <w:rPr>
          <w:rFonts w:hint="eastAsia" w:ascii="宋体" w:hAnsi="宋体" w:eastAsia="宋体" w:cs="宋体"/>
          <w:color w:val="auto"/>
          <w:kern w:val="0"/>
          <w:sz w:val="24"/>
          <w:highlight w:val="none"/>
          <w:lang w:bidi="ar"/>
        </w:rPr>
        <w:t>工程量清单内的每一清单项目</w:t>
      </w:r>
      <w:r>
        <w:rPr>
          <w:rFonts w:hint="eastAsia" w:ascii="宋体" w:hAnsi="宋体" w:eastAsia="宋体" w:cs="宋体"/>
          <w:b/>
          <w:color w:val="auto"/>
          <w:kern w:val="0"/>
          <w:sz w:val="24"/>
          <w:highlight w:val="none"/>
          <w:lang w:bidi="ar"/>
        </w:rPr>
        <w:t>均需填报单价和合价</w:t>
      </w:r>
      <w:r>
        <w:rPr>
          <w:rFonts w:hint="eastAsia" w:ascii="宋体" w:hAnsi="宋体" w:eastAsia="宋体" w:cs="宋体"/>
          <w:color w:val="auto"/>
          <w:kern w:val="0"/>
          <w:sz w:val="24"/>
          <w:highlight w:val="none"/>
          <w:lang w:bidi="ar"/>
        </w:rPr>
        <w:t>,对没有填报或填报为“0”的单价与合价项目,则视为该项费用已含在其他工程量清单中的综合单价与综合合价内。</w:t>
      </w:r>
    </w:p>
    <w:p>
      <w:pPr>
        <w:keepNext/>
        <w:keepLines/>
        <w:widowControl w:val="0"/>
        <w:spacing w:before="260" w:after="260" w:line="600" w:lineRule="auto"/>
        <w:jc w:val="both"/>
        <w:outlineLvl w:val="1"/>
        <w:rPr>
          <w:rFonts w:ascii="Times New Roman" w:hAnsi="Times New Roman" w:eastAsia="宋体" w:cs="Times New Roman"/>
          <w:b/>
          <w:color w:val="auto"/>
          <w:kern w:val="0"/>
          <w:sz w:val="30"/>
          <w:szCs w:val="30"/>
          <w:highlight w:val="none"/>
          <w:lang w:val="en-US" w:eastAsia="zh-CN" w:bidi="ar-SA"/>
        </w:rPr>
      </w:pPr>
      <w:bookmarkStart w:id="505" w:name="_Toc102997650"/>
      <w:r>
        <w:rPr>
          <w:rFonts w:hint="eastAsia" w:ascii="Times New Roman" w:hAnsi="Times New Roman" w:eastAsia="黑体" w:cs="Times New Roman"/>
          <w:b/>
          <w:color w:val="auto"/>
          <w:kern w:val="0"/>
          <w:sz w:val="24"/>
          <w:szCs w:val="20"/>
          <w:highlight w:val="none"/>
          <w:lang w:val="en-US" w:eastAsia="zh-CN" w:bidi="ar-SA"/>
        </w:rPr>
        <w:t>四</w:t>
      </w:r>
      <w:r>
        <w:rPr>
          <w:rFonts w:ascii="Times New Roman" w:hAnsi="Times New Roman" w:eastAsia="宋体" w:cs="Times New Roman"/>
          <w:b/>
          <w:color w:val="auto"/>
          <w:kern w:val="0"/>
          <w:sz w:val="30"/>
          <w:szCs w:val="30"/>
          <w:highlight w:val="none"/>
          <w:lang w:val="en-US" w:eastAsia="zh-CN" w:bidi="ar-SA"/>
        </w:rPr>
        <w:t>、</w:t>
      </w:r>
      <w:r>
        <w:rPr>
          <w:rFonts w:hint="eastAsia" w:ascii="Times New Roman" w:hAnsi="Times New Roman" w:eastAsia="宋体" w:cs="Times New Roman"/>
          <w:b/>
          <w:color w:val="auto"/>
          <w:kern w:val="0"/>
          <w:sz w:val="30"/>
          <w:szCs w:val="30"/>
          <w:highlight w:val="none"/>
          <w:lang w:val="en-US" w:eastAsia="zh-CN" w:bidi="ar-SA"/>
        </w:rPr>
        <w:t>资格审查资料</w:t>
      </w:r>
      <w:bookmarkEnd w:id="505"/>
    </w:p>
    <w:p>
      <w:pPr>
        <w:spacing w:line="360" w:lineRule="auto"/>
        <w:rPr>
          <w:rFonts w:ascii="Times New Roman" w:hAnsi="Times New Roman" w:eastAsia="宋体" w:cs="Times New Roman"/>
          <w:color w:val="auto"/>
          <w:highlight w:val="none"/>
        </w:rPr>
      </w:pPr>
      <w:bookmarkStart w:id="506" w:name="_Toc2154383"/>
      <w:bookmarkStart w:id="507" w:name="_Toc536042816"/>
      <w:r>
        <w:rPr>
          <w:rFonts w:ascii="Times New Roman" w:hAnsi="Times New Roman" w:eastAsia="宋体" w:cs="Times New Roman"/>
          <w:color w:val="auto"/>
          <w:sz w:val="28"/>
          <w:szCs w:val="28"/>
          <w:highlight w:val="none"/>
        </w:rPr>
        <w:t>（一）</w:t>
      </w:r>
      <w:bookmarkEnd w:id="506"/>
      <w:bookmarkEnd w:id="507"/>
      <w:r>
        <w:rPr>
          <w:rFonts w:hint="eastAsia" w:ascii="Times New Roman" w:hAnsi="Times New Roman" w:eastAsia="宋体" w:cs="Times New Roman"/>
          <w:color w:val="auto"/>
          <w:sz w:val="28"/>
          <w:szCs w:val="28"/>
          <w:highlight w:val="none"/>
        </w:rPr>
        <w:t>事业单位登记管理部门核发的事业单位法人证书或工商行政</w:t>
      </w:r>
      <w:r>
        <w:rPr>
          <w:rFonts w:hint="eastAsia" w:ascii="Times New Roman" w:hAnsi="Times New Roman" w:eastAsia="宋体" w:cs="Times New Roman"/>
          <w:color w:val="auto"/>
          <w:sz w:val="28"/>
          <w:szCs w:val="28"/>
          <w:highlight w:val="none"/>
          <w:u w:val="single"/>
        </w:rPr>
        <w:t>（或市场监督）</w:t>
      </w:r>
      <w:r>
        <w:rPr>
          <w:rFonts w:hint="eastAsia" w:ascii="Times New Roman" w:hAnsi="Times New Roman" w:eastAsia="宋体" w:cs="Times New Roman"/>
          <w:color w:val="auto"/>
          <w:sz w:val="28"/>
          <w:szCs w:val="28"/>
          <w:highlight w:val="none"/>
        </w:rPr>
        <w:t>管理部门核发的企业法人营业执照</w:t>
      </w:r>
    </w:p>
    <w:p>
      <w:pPr>
        <w:snapToGrid w:val="0"/>
        <w:spacing w:line="276" w:lineRule="auto"/>
        <w:rPr>
          <w:rFonts w:ascii="Times New Roman" w:hAnsi="Times New Roman" w:eastAsia="宋体" w:cs="Times New Roman"/>
          <w:color w:val="auto"/>
          <w:sz w:val="28"/>
          <w:szCs w:val="28"/>
          <w:highlight w:val="none"/>
        </w:rPr>
      </w:pPr>
      <w:bookmarkStart w:id="508" w:name="_Toc536042817"/>
      <w:bookmarkStart w:id="509" w:name="_Toc2154384"/>
      <w:r>
        <w:rPr>
          <w:rFonts w:ascii="Times New Roman" w:hAnsi="Times New Roman" w:eastAsia="宋体" w:cs="Times New Roman"/>
          <w:b/>
          <w:color w:val="auto"/>
          <w:sz w:val="28"/>
          <w:szCs w:val="28"/>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资质证书</w:t>
      </w:r>
    </w:p>
    <w:p>
      <w:pPr>
        <w:spacing w:line="360" w:lineRule="auto"/>
        <w:rPr>
          <w:rFonts w:ascii="Times New Roman" w:hAnsi="Times New Roman" w:eastAsia="宋体" w:cs="Times New Roman"/>
          <w:color w:val="auto"/>
          <w:sz w:val="28"/>
          <w:szCs w:val="28"/>
          <w:highlight w:val="none"/>
        </w:rPr>
      </w:pPr>
      <w:r>
        <w:rPr>
          <w:rFonts w:ascii="Times New Roman" w:hAnsi="Times New Roman" w:eastAsia="宋体" w:cs="Times New Roman"/>
          <w:b/>
          <w:color w:val="auto"/>
          <w:sz w:val="28"/>
          <w:szCs w:val="28"/>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w:t>
      </w:r>
      <w:bookmarkEnd w:id="508"/>
      <w:bookmarkEnd w:id="509"/>
      <w:r>
        <w:rPr>
          <w:rFonts w:hint="eastAsia" w:ascii="Times New Roman" w:hAnsi="Times New Roman" w:eastAsia="宋体" w:cs="Times New Roman"/>
          <w:color w:val="auto"/>
          <w:sz w:val="28"/>
          <w:szCs w:val="28"/>
          <w:highlight w:val="none"/>
        </w:rPr>
        <w:t>质量技术监督管理部门颁发的CMA计量认证合格证书（或CMA检验检测机构资质认定证书）</w:t>
      </w:r>
    </w:p>
    <w:p>
      <w:pPr>
        <w:rPr>
          <w:rFonts w:ascii="Times New Roman" w:hAnsi="Times New Roman" w:eastAsia="宋体" w:cs="Times New Roman"/>
          <w:color w:val="auto"/>
          <w:highlight w:val="none"/>
        </w:rPr>
      </w:pPr>
    </w:p>
    <w:p>
      <w:pPr>
        <w:rPr>
          <w:rFonts w:ascii="Times New Roman" w:hAnsi="Times New Roman" w:eastAsia="宋体" w:cs="Times New Roman"/>
          <w:color w:val="auto"/>
          <w:sz w:val="28"/>
          <w:szCs w:val="28"/>
          <w:highlight w:val="none"/>
        </w:rPr>
      </w:pPr>
      <w:bookmarkStart w:id="510" w:name="_Toc536042818"/>
      <w:bookmarkStart w:id="511" w:name="_Toc2154385"/>
      <w:r>
        <w:rPr>
          <w:rFonts w:ascii="Times New Roman" w:hAnsi="Times New Roman" w:eastAsia="宋体" w:cs="Times New Roman"/>
          <w:b/>
          <w:color w:val="auto"/>
          <w:sz w:val="28"/>
          <w:szCs w:val="28"/>
          <w:highlight w:val="none"/>
        </w:rPr>
        <w:br w:type="page"/>
      </w:r>
      <w:r>
        <w:rPr>
          <w:rFonts w:hint="eastAsia" w:ascii="Times New Roman" w:hAnsi="Times New Roman" w:eastAsia="宋体" w:cs="Times New Roman"/>
          <w:color w:val="auto"/>
          <w:sz w:val="28"/>
          <w:szCs w:val="28"/>
          <w:highlight w:val="none"/>
        </w:rPr>
        <w:t>（四）项目负责人职称证</w:t>
      </w:r>
    </w:p>
    <w:p>
      <w:pPr>
        <w:rPr>
          <w:rFonts w:ascii="Times New Roman" w:hAnsi="Times New Roman" w:eastAsia="宋体" w:cs="Times New Roman"/>
          <w:color w:val="auto"/>
          <w:sz w:val="28"/>
          <w:szCs w:val="28"/>
          <w:highlight w:val="none"/>
        </w:rPr>
      </w:pPr>
      <w:r>
        <w:rPr>
          <w:rFonts w:ascii="Times New Roman" w:hAnsi="Times New Roman" w:eastAsia="宋体" w:cs="Times New Roman"/>
          <w:b/>
          <w:color w:val="auto"/>
          <w:sz w:val="28"/>
          <w:szCs w:val="28"/>
          <w:highlight w:val="none"/>
        </w:rPr>
        <w:br w:type="page"/>
      </w:r>
      <w:r>
        <w:rPr>
          <w:rFonts w:hint="eastAsia" w:ascii="Times New Roman" w:hAnsi="Times New Roman" w:eastAsia="宋体" w:cs="Times New Roman"/>
          <w:color w:val="auto"/>
          <w:sz w:val="28"/>
          <w:szCs w:val="28"/>
          <w:highlight w:val="none"/>
        </w:rPr>
        <w:t>（五）投标人声明</w:t>
      </w:r>
      <w:bookmarkEnd w:id="510"/>
      <w:bookmarkEnd w:id="511"/>
      <w:r>
        <w:rPr>
          <w:rFonts w:hint="eastAsia" w:ascii="Times New Roman" w:hAnsi="Times New Roman" w:eastAsia="宋体" w:cs="Times New Roman"/>
          <w:color w:val="auto"/>
          <w:sz w:val="28"/>
          <w:szCs w:val="28"/>
          <w:highlight w:val="none"/>
        </w:rPr>
        <w:t>（按招标公告附件二提供）</w:t>
      </w:r>
    </w:p>
    <w:p>
      <w:pPr>
        <w:rPr>
          <w:rFonts w:ascii="Times New Roman" w:hAnsi="Times New Roman" w:eastAsia="宋体" w:cs="Times New Roman"/>
          <w:color w:val="auto"/>
          <w:highlight w:val="none"/>
        </w:rPr>
      </w:pPr>
      <w:r>
        <w:rPr>
          <w:rFonts w:ascii="Times New Roman" w:hAnsi="Times New Roman" w:eastAsia="宋体" w:cs="Times New Roman"/>
          <w:b/>
          <w:color w:val="auto"/>
          <w:sz w:val="28"/>
          <w:szCs w:val="28"/>
          <w:highlight w:val="none"/>
        </w:rPr>
        <w:br w:type="page"/>
      </w:r>
      <w:r>
        <w:rPr>
          <w:rFonts w:hint="eastAsia" w:ascii="Times New Roman" w:hAnsi="Times New Roman" w:eastAsia="宋体" w:cs="Times New Roman"/>
          <w:color w:val="auto"/>
          <w:sz w:val="28"/>
          <w:szCs w:val="28"/>
          <w:highlight w:val="none"/>
        </w:rPr>
        <w:t>（六）投标人认为需提供的其他材料</w:t>
      </w:r>
    </w:p>
    <w:p>
      <w:pPr>
        <w:rPr>
          <w:rFonts w:ascii="Times New Roman" w:hAnsi="Times New Roman" w:eastAsia="宋体" w:cs="Times New Roman"/>
          <w:color w:val="auto"/>
          <w:highlight w:val="none"/>
        </w:rPr>
      </w:pPr>
    </w:p>
    <w:p>
      <w:pPr>
        <w:spacing w:before="20" w:line="415" w:lineRule="auto"/>
        <w:outlineLvl w:val="2"/>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32"/>
          <w:szCs w:val="32"/>
          <w:highlight w:val="none"/>
        </w:rPr>
        <w:br w:type="page"/>
      </w:r>
      <w:bookmarkStart w:id="512" w:name="_Toc102997651"/>
      <w:r>
        <w:rPr>
          <w:rFonts w:hint="eastAsia" w:ascii="Times New Roman" w:hAnsi="Times New Roman" w:eastAsia="宋体" w:cs="Times New Roman"/>
          <w:color w:val="auto"/>
          <w:sz w:val="30"/>
          <w:szCs w:val="30"/>
          <w:highlight w:val="none"/>
        </w:rPr>
        <w:t>五、</w:t>
      </w:r>
      <w:r>
        <w:rPr>
          <w:rFonts w:hint="eastAsia" w:ascii="Times New Roman" w:hAnsi="Times New Roman" w:eastAsia="宋体" w:cs="Times New Roman"/>
          <w:b/>
          <w:bCs/>
          <w:color w:val="auto"/>
          <w:sz w:val="28"/>
          <w:szCs w:val="28"/>
          <w:highlight w:val="none"/>
        </w:rPr>
        <w:t>企业资信业绩证明资料</w:t>
      </w:r>
      <w:bookmarkEnd w:id="512"/>
    </w:p>
    <w:p>
      <w:pPr>
        <w:spacing w:before="20" w:line="415" w:lineRule="auto"/>
        <w:outlineLvl w:val="2"/>
        <w:rPr>
          <w:rFonts w:ascii="Times New Roman" w:hAnsi="Times New Roman" w:eastAsia="宋体" w:cs="Times New Roman"/>
          <w:b/>
          <w:bCs/>
          <w:color w:val="auto"/>
          <w:sz w:val="28"/>
          <w:szCs w:val="28"/>
          <w:highlight w:val="none"/>
        </w:rPr>
      </w:pPr>
      <w:bookmarkStart w:id="513" w:name="_Toc102997652"/>
      <w:r>
        <w:rPr>
          <w:rFonts w:hint="eastAsia" w:ascii="Times New Roman" w:hAnsi="Times New Roman" w:eastAsia="宋体" w:cs="Times New Roman"/>
          <w:b/>
          <w:bCs/>
          <w:color w:val="auto"/>
          <w:sz w:val="28"/>
          <w:szCs w:val="28"/>
          <w:highlight w:val="none"/>
        </w:rPr>
        <w:t>（一）企业资信证明资料</w:t>
      </w:r>
      <w:bookmarkEnd w:id="513"/>
    </w:p>
    <w:p>
      <w:pPr>
        <w:spacing w:before="20" w:line="415" w:lineRule="auto"/>
        <w:outlineLvl w:val="2"/>
        <w:rPr>
          <w:rFonts w:ascii="Times New Roman" w:hAnsi="Times New Roman" w:eastAsia="宋体" w:cs="Times New Roman"/>
          <w:b/>
          <w:bCs/>
          <w:color w:val="auto"/>
          <w:sz w:val="28"/>
          <w:szCs w:val="28"/>
          <w:highlight w:val="none"/>
        </w:rPr>
      </w:pPr>
      <w:bookmarkStart w:id="514" w:name="_Toc102997653"/>
      <w:r>
        <w:rPr>
          <w:rFonts w:hint="eastAsia" w:ascii="Times New Roman" w:hAnsi="Times New Roman" w:eastAsia="宋体" w:cs="Times New Roman"/>
          <w:color w:val="auto"/>
          <w:spacing w:val="4"/>
          <w:sz w:val="24"/>
          <w:highlight w:val="none"/>
        </w:rPr>
        <w:t>（</w:t>
      </w:r>
      <w:r>
        <w:rPr>
          <w:rFonts w:ascii="Times New Roman" w:hAnsi="Times New Roman" w:eastAsia="宋体" w:cs="Times New Roman"/>
          <w:color w:val="auto"/>
          <w:sz w:val="24"/>
          <w:highlight w:val="none"/>
        </w:rPr>
        <w:t>注：</w:t>
      </w:r>
      <w:r>
        <w:rPr>
          <w:rFonts w:hint="eastAsia" w:ascii="Times New Roman" w:hAnsi="Times New Roman" w:eastAsia="宋体" w:cs="Times New Roman"/>
          <w:color w:val="auto"/>
          <w:sz w:val="24"/>
          <w:highlight w:val="none"/>
        </w:rPr>
        <w:t>投标人可根据评标办法前附表的要求附相关证明材料。</w:t>
      </w:r>
      <w:r>
        <w:rPr>
          <w:rFonts w:hint="eastAsia" w:ascii="Times New Roman" w:hAnsi="Times New Roman" w:eastAsia="宋体" w:cs="Times New Roman"/>
          <w:color w:val="auto"/>
          <w:spacing w:val="4"/>
          <w:sz w:val="24"/>
          <w:highlight w:val="none"/>
        </w:rPr>
        <w:t>）</w:t>
      </w:r>
      <w:bookmarkEnd w:id="514"/>
      <w:r>
        <w:rPr>
          <w:rFonts w:ascii="Times New Roman" w:hAnsi="Times New Roman" w:eastAsia="宋体" w:cs="Times New Roman"/>
          <w:b/>
          <w:bCs/>
          <w:color w:val="auto"/>
          <w:sz w:val="28"/>
          <w:szCs w:val="28"/>
          <w:highlight w:val="none"/>
        </w:rPr>
        <w:br w:type="page"/>
      </w:r>
      <w:bookmarkStart w:id="515" w:name="_Toc102997654"/>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二</w:t>
      </w:r>
      <w:r>
        <w:rPr>
          <w:rFonts w:ascii="Times New Roman" w:hAnsi="Times New Roman" w:eastAsia="宋体" w:cs="Times New Roman"/>
          <w:b/>
          <w:bCs/>
          <w:color w:val="auto"/>
          <w:sz w:val="28"/>
          <w:szCs w:val="28"/>
          <w:highlight w:val="none"/>
        </w:rPr>
        <w:t>）近年完成的类似项目情况表（格式可自定）</w:t>
      </w:r>
      <w:bookmarkEnd w:id="515"/>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项目名称</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项目所在地</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委托人名称</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委托人地址</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委托人电话</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合同价格</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服务期限</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检测</w:t>
            </w:r>
            <w:r>
              <w:rPr>
                <w:rFonts w:ascii="Times New Roman" w:hAnsi="Times New Roman" w:eastAsia="宋体" w:cs="Times New Roman"/>
                <w:color w:val="auto"/>
                <w:highlight w:val="none"/>
              </w:rPr>
              <w:t>内容</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项目负责人</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项目描述</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p>
            <w:pPr>
              <w:topLinePunct/>
              <w:spacing w:line="440" w:lineRule="exact"/>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备注</w:t>
            </w:r>
          </w:p>
        </w:tc>
        <w:tc>
          <w:tcPr>
            <w:tcW w:w="6092"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eastAsia="宋体" w:cs="Times New Roman"/>
                <w:color w:val="auto"/>
                <w:highlight w:val="none"/>
              </w:rPr>
            </w:pPr>
          </w:p>
        </w:tc>
      </w:tr>
    </w:tbl>
    <w:p>
      <w:pPr>
        <w:spacing w:line="440" w:lineRule="exact"/>
        <w:rPr>
          <w:rFonts w:ascii="Times New Roman" w:hAnsi="Times New Roman" w:eastAsia="宋体" w:cs="Times New Roman"/>
          <w:color w:val="auto"/>
          <w:highlight w:val="none"/>
        </w:rPr>
      </w:pPr>
      <w:r>
        <w:rPr>
          <w:rFonts w:ascii="Times New Roman" w:hAnsi="Times New Roman" w:eastAsia="宋体" w:cs="Times New Roman"/>
          <w:color w:val="auto"/>
          <w:sz w:val="24"/>
          <w:highlight w:val="none"/>
        </w:rPr>
        <w:t>注：</w:t>
      </w:r>
      <w:r>
        <w:rPr>
          <w:rFonts w:hint="eastAsia" w:ascii="Times New Roman" w:hAnsi="Times New Roman" w:eastAsia="宋体" w:cs="Times New Roman"/>
          <w:color w:val="auto"/>
          <w:sz w:val="24"/>
          <w:highlight w:val="none"/>
        </w:rPr>
        <w:t>投标人可根据评标办法前附表的要求在本表后附相关证明材料。</w:t>
      </w:r>
      <w:r>
        <w:rPr>
          <w:rFonts w:ascii="Times New Roman" w:hAnsi="Times New Roman" w:eastAsia="宋体" w:cs="Times New Roman"/>
          <w:color w:val="auto"/>
          <w:highlight w:val="none"/>
        </w:rPr>
        <w:t xml:space="preserve"> </w:t>
      </w:r>
    </w:p>
    <w:p>
      <w:pPr>
        <w:spacing w:line="440" w:lineRule="exact"/>
        <w:rPr>
          <w:rFonts w:ascii="Times New Roman" w:hAnsi="Times New Roman" w:eastAsia="宋体" w:cs="Times New Roman"/>
          <w:color w:val="auto"/>
          <w:highlight w:val="none"/>
        </w:rPr>
      </w:pPr>
    </w:p>
    <w:p>
      <w:pPr>
        <w:spacing w:before="20" w:line="415" w:lineRule="auto"/>
        <w:outlineLvl w:val="2"/>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32"/>
          <w:szCs w:val="32"/>
          <w:highlight w:val="none"/>
        </w:rPr>
        <w:br w:type="page"/>
      </w:r>
      <w:bookmarkStart w:id="516" w:name="_Toc102997655"/>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三</w:t>
      </w:r>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拟投入本项目主要技术人员一览表</w:t>
      </w:r>
      <w:r>
        <w:rPr>
          <w:rFonts w:ascii="Times New Roman" w:hAnsi="Times New Roman" w:eastAsia="宋体" w:cs="Times New Roman"/>
          <w:b/>
          <w:bCs/>
          <w:color w:val="auto"/>
          <w:sz w:val="28"/>
          <w:szCs w:val="28"/>
          <w:highlight w:val="none"/>
        </w:rPr>
        <w:t>（格式可自定）</w:t>
      </w:r>
      <w:bookmarkEnd w:id="516"/>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06"/>
        <w:gridCol w:w="701"/>
        <w:gridCol w:w="616"/>
        <w:gridCol w:w="709"/>
        <w:gridCol w:w="672"/>
        <w:gridCol w:w="624"/>
        <w:gridCol w:w="722"/>
        <w:gridCol w:w="965"/>
        <w:gridCol w:w="965"/>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1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1106"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本项目任职</w:t>
            </w:r>
          </w:p>
        </w:tc>
        <w:tc>
          <w:tcPr>
            <w:tcW w:w="701"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姓名</w:t>
            </w:r>
          </w:p>
        </w:tc>
        <w:tc>
          <w:tcPr>
            <w:tcW w:w="616"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年龄</w:t>
            </w:r>
          </w:p>
        </w:tc>
        <w:tc>
          <w:tcPr>
            <w:tcW w:w="709"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学历</w:t>
            </w:r>
          </w:p>
        </w:tc>
        <w:tc>
          <w:tcPr>
            <w:tcW w:w="672"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专业</w:t>
            </w:r>
          </w:p>
        </w:tc>
        <w:tc>
          <w:tcPr>
            <w:tcW w:w="624"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职称</w:t>
            </w:r>
          </w:p>
        </w:tc>
        <w:tc>
          <w:tcPr>
            <w:tcW w:w="722"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上岗证</w:t>
            </w:r>
          </w:p>
        </w:tc>
        <w:tc>
          <w:tcPr>
            <w:tcW w:w="965"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参加</w:t>
            </w:r>
          </w:p>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工作时间</w:t>
            </w:r>
          </w:p>
        </w:tc>
        <w:tc>
          <w:tcPr>
            <w:tcW w:w="965"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从事相关工作年限</w:t>
            </w:r>
          </w:p>
        </w:tc>
        <w:tc>
          <w:tcPr>
            <w:tcW w:w="603"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vAlign w:val="center"/>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vAlign w:val="center"/>
          </w:tcPr>
          <w:p>
            <w:pPr>
              <w:spacing w:line="440" w:lineRule="exact"/>
              <w:jc w:val="center"/>
              <w:rPr>
                <w:rFonts w:ascii="Times New Roman" w:hAnsi="Times New Roman" w:eastAsia="宋体" w:cs="Times New Roman"/>
                <w:color w:val="auto"/>
                <w:highlight w:val="none"/>
              </w:rPr>
            </w:pPr>
          </w:p>
        </w:tc>
        <w:tc>
          <w:tcPr>
            <w:tcW w:w="624" w:type="dxa"/>
            <w:vAlign w:val="center"/>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pPr>
              <w:spacing w:line="440" w:lineRule="exact"/>
              <w:jc w:val="center"/>
              <w:rPr>
                <w:rFonts w:ascii="Times New Roman" w:hAnsi="Times New Roman" w:eastAsia="宋体" w:cs="Times New Roman"/>
                <w:color w:val="auto"/>
                <w:highlight w:val="none"/>
              </w:rPr>
            </w:pPr>
          </w:p>
        </w:tc>
        <w:tc>
          <w:tcPr>
            <w:tcW w:w="1106" w:type="dxa"/>
          </w:tcPr>
          <w:p>
            <w:pPr>
              <w:spacing w:line="440" w:lineRule="exact"/>
              <w:jc w:val="center"/>
              <w:rPr>
                <w:rFonts w:ascii="Times New Roman" w:hAnsi="Times New Roman" w:eastAsia="宋体" w:cs="Times New Roman"/>
                <w:color w:val="auto"/>
                <w:highlight w:val="none"/>
              </w:rPr>
            </w:pPr>
          </w:p>
        </w:tc>
        <w:tc>
          <w:tcPr>
            <w:tcW w:w="701" w:type="dxa"/>
          </w:tcPr>
          <w:p>
            <w:pPr>
              <w:spacing w:line="440" w:lineRule="exact"/>
              <w:jc w:val="center"/>
              <w:rPr>
                <w:rFonts w:ascii="Times New Roman" w:hAnsi="Times New Roman" w:eastAsia="宋体" w:cs="Times New Roman"/>
                <w:color w:val="auto"/>
                <w:highlight w:val="none"/>
              </w:rPr>
            </w:pPr>
          </w:p>
        </w:tc>
        <w:tc>
          <w:tcPr>
            <w:tcW w:w="616" w:type="dxa"/>
          </w:tcPr>
          <w:p>
            <w:pPr>
              <w:spacing w:line="440" w:lineRule="exact"/>
              <w:jc w:val="center"/>
              <w:rPr>
                <w:rFonts w:ascii="Times New Roman" w:hAnsi="Times New Roman" w:eastAsia="宋体" w:cs="Times New Roman"/>
                <w:color w:val="auto"/>
                <w:highlight w:val="none"/>
              </w:rPr>
            </w:pPr>
          </w:p>
        </w:tc>
        <w:tc>
          <w:tcPr>
            <w:tcW w:w="709" w:type="dxa"/>
          </w:tcPr>
          <w:p>
            <w:pPr>
              <w:spacing w:line="440" w:lineRule="exact"/>
              <w:jc w:val="center"/>
              <w:rPr>
                <w:rFonts w:ascii="Times New Roman" w:hAnsi="Times New Roman" w:eastAsia="宋体" w:cs="Times New Roman"/>
                <w:color w:val="auto"/>
                <w:highlight w:val="none"/>
              </w:rPr>
            </w:pPr>
          </w:p>
        </w:tc>
        <w:tc>
          <w:tcPr>
            <w:tcW w:w="672" w:type="dxa"/>
          </w:tcPr>
          <w:p>
            <w:pPr>
              <w:spacing w:line="440" w:lineRule="exact"/>
              <w:jc w:val="center"/>
              <w:rPr>
                <w:rFonts w:ascii="Times New Roman" w:hAnsi="Times New Roman" w:eastAsia="宋体" w:cs="Times New Roman"/>
                <w:color w:val="auto"/>
                <w:highlight w:val="none"/>
              </w:rPr>
            </w:pPr>
          </w:p>
        </w:tc>
        <w:tc>
          <w:tcPr>
            <w:tcW w:w="624" w:type="dxa"/>
          </w:tcPr>
          <w:p>
            <w:pPr>
              <w:spacing w:line="440" w:lineRule="exact"/>
              <w:jc w:val="center"/>
              <w:rPr>
                <w:rFonts w:ascii="Times New Roman" w:hAnsi="Times New Roman" w:eastAsia="宋体" w:cs="Times New Roman"/>
                <w:color w:val="auto"/>
                <w:highlight w:val="none"/>
              </w:rPr>
            </w:pPr>
          </w:p>
        </w:tc>
        <w:tc>
          <w:tcPr>
            <w:tcW w:w="722"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965" w:type="dxa"/>
          </w:tcPr>
          <w:p>
            <w:pPr>
              <w:spacing w:line="440" w:lineRule="exact"/>
              <w:jc w:val="center"/>
              <w:rPr>
                <w:rFonts w:ascii="Times New Roman" w:hAnsi="Times New Roman" w:eastAsia="宋体" w:cs="Times New Roman"/>
                <w:color w:val="auto"/>
                <w:highlight w:val="none"/>
              </w:rPr>
            </w:pPr>
          </w:p>
        </w:tc>
        <w:tc>
          <w:tcPr>
            <w:tcW w:w="603" w:type="dxa"/>
          </w:tcPr>
          <w:p>
            <w:pPr>
              <w:spacing w:line="440" w:lineRule="exact"/>
              <w:jc w:val="center"/>
              <w:rPr>
                <w:rFonts w:ascii="Times New Roman" w:hAnsi="Times New Roman" w:eastAsia="宋体" w:cs="Times New Roman"/>
                <w:color w:val="auto"/>
                <w:highlight w:val="none"/>
              </w:rPr>
            </w:pPr>
          </w:p>
        </w:tc>
      </w:tr>
    </w:tbl>
    <w:p>
      <w:pPr>
        <w:spacing w:line="440" w:lineRule="exact"/>
        <w:rPr>
          <w:rFonts w:ascii="Times New Roman" w:hAnsi="Times New Roman" w:eastAsia="宋体" w:cs="Arial"/>
          <w:color w:val="auto"/>
          <w:szCs w:val="21"/>
          <w:highlight w:val="none"/>
        </w:rPr>
      </w:pP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 xml:space="preserve">  注：1、</w:t>
      </w:r>
      <w:r>
        <w:rPr>
          <w:rFonts w:hint="eastAsia" w:ascii="Times New Roman" w:hAnsi="Times New Roman" w:eastAsia="宋体" w:cs="Arial"/>
          <w:color w:val="auto"/>
          <w:szCs w:val="21"/>
          <w:highlight w:val="none"/>
        </w:rPr>
        <w:t>拟投入本项目的主要技术人员须为投标单位在职职工（以社保证明为准），需提供职称证、资格证等证书扫描件，以及</w:t>
      </w:r>
      <w:r>
        <w:rPr>
          <w:rFonts w:hint="eastAsia" w:ascii="Times New Roman" w:hAnsi="Times New Roman" w:eastAsia="宋体" w:cs="Arial"/>
          <w:b/>
          <w:bCs/>
          <w:color w:val="auto"/>
          <w:szCs w:val="21"/>
          <w:highlight w:val="none"/>
        </w:rPr>
        <w:t>2023年</w:t>
      </w:r>
      <w:r>
        <w:rPr>
          <w:rFonts w:hint="eastAsia" w:ascii="Times New Roman" w:hAnsi="Times New Roman" w:eastAsia="宋体" w:cs="Arial"/>
          <w:b/>
          <w:bCs/>
          <w:color w:val="auto"/>
          <w:szCs w:val="21"/>
          <w:highlight w:val="none"/>
          <w:lang w:val="en-US" w:eastAsia="zh-CN"/>
        </w:rPr>
        <w:t>9</w:t>
      </w:r>
      <w:r>
        <w:rPr>
          <w:rFonts w:hint="eastAsia" w:ascii="Times New Roman" w:hAnsi="Times New Roman" w:eastAsia="宋体" w:cs="Arial"/>
          <w:b/>
          <w:bCs/>
          <w:color w:val="auto"/>
          <w:szCs w:val="21"/>
          <w:highlight w:val="none"/>
        </w:rPr>
        <w:t>月</w:t>
      </w:r>
      <w:r>
        <w:rPr>
          <w:rFonts w:hint="eastAsia" w:ascii="Times New Roman" w:hAnsi="Times New Roman" w:eastAsia="宋体" w:cs="Arial"/>
          <w:color w:val="auto"/>
          <w:szCs w:val="21"/>
          <w:highlight w:val="none"/>
        </w:rPr>
        <w:t>的社保证明（社保证明需能反映参保人在该投标单位缴纳社保），否则不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440" w:lineRule="exact"/>
        <w:ind w:firstLine="630" w:firstLineChars="300"/>
        <w:rPr>
          <w:rFonts w:ascii="Times New Roman" w:hAnsi="Times New Roman" w:eastAsia="宋体" w:cs="Times New Roman"/>
          <w:color w:val="auto"/>
          <w:szCs w:val="21"/>
          <w:highlight w:val="none"/>
        </w:rPr>
      </w:pPr>
      <w:r>
        <w:rPr>
          <w:rFonts w:hint="eastAsia" w:ascii="Times New Roman" w:hAnsi="Times New Roman" w:eastAsia="宋体" w:cs="Arial"/>
          <w:color w:val="auto"/>
          <w:szCs w:val="21"/>
          <w:highlight w:val="none"/>
        </w:rPr>
        <w:t>2、相关工作：指检测工作。</w:t>
      </w:r>
    </w:p>
    <w:p>
      <w:pPr>
        <w:spacing w:line="4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p>
    <w:p>
      <w:pPr>
        <w:spacing w:line="440" w:lineRule="exact"/>
        <w:rPr>
          <w:rFonts w:ascii="Times New Roman" w:hAnsi="Times New Roman" w:eastAsia="宋体" w:cs="Times New Roman"/>
          <w:b/>
          <w:bCs/>
          <w:color w:val="auto"/>
          <w:sz w:val="28"/>
          <w:szCs w:val="28"/>
          <w:highlight w:val="none"/>
        </w:rPr>
      </w:pPr>
      <w:r>
        <w:rPr>
          <w:rFonts w:ascii="Times New Roman" w:hAnsi="Times New Roman" w:eastAsia="宋体" w:cs="Times New Roman"/>
          <w:color w:val="auto"/>
          <w:highlight w:val="none"/>
        </w:rPr>
        <w:br w:type="page"/>
      </w:r>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四</w:t>
      </w:r>
      <w:r>
        <w:rPr>
          <w:rFonts w:ascii="Times New Roman" w:hAnsi="Times New Roman" w:eastAsia="宋体" w:cs="Times New Roman"/>
          <w:b/>
          <w:bCs/>
          <w:color w:val="auto"/>
          <w:sz w:val="28"/>
          <w:szCs w:val="28"/>
          <w:highlight w:val="none"/>
        </w:rPr>
        <w:t>）主要人员简历表（格式可自定）</w:t>
      </w:r>
    </w:p>
    <w:p>
      <w:pPr>
        <w:topLinePunct/>
        <w:spacing w:line="440" w:lineRule="exact"/>
        <w:jc w:val="center"/>
        <w:rPr>
          <w:rFonts w:ascii="Times New Roman" w:hAnsi="Times New Roman" w:eastAsia="宋体" w:cs="Times New Roman"/>
          <w:color w:val="auto"/>
          <w:sz w:val="23"/>
          <w:szCs w:val="23"/>
          <w:highlight w:val="none"/>
        </w:rPr>
      </w:pPr>
      <w:r>
        <w:rPr>
          <w:rFonts w:ascii="Times New Roman" w:hAnsi="Times New Roman" w:eastAsia="宋体" w:cs="Times New Roman"/>
          <w:color w:val="auto"/>
          <w:sz w:val="23"/>
          <w:szCs w:val="23"/>
          <w:highlight w:val="none"/>
        </w:rPr>
        <w:t xml:space="preserve"> </w:t>
      </w:r>
    </w:p>
    <w:tbl>
      <w:tblPr>
        <w:tblStyle w:val="18"/>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363"/>
        <w:gridCol w:w="171"/>
        <w:gridCol w:w="681"/>
        <w:gridCol w:w="782"/>
        <w:gridCol w:w="810"/>
        <w:gridCol w:w="624"/>
        <w:gridCol w:w="682"/>
        <w:gridCol w:w="68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125" w:type="dxa"/>
            <w:tcBorders>
              <w:top w:val="single" w:color="auto" w:sz="12" w:space="0"/>
              <w:left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姓名</w:t>
            </w:r>
          </w:p>
        </w:tc>
        <w:tc>
          <w:tcPr>
            <w:tcW w:w="1363" w:type="dxa"/>
            <w:tcBorders>
              <w:top w:val="single" w:color="auto" w:sz="12" w:space="0"/>
            </w:tcBorders>
            <w:vAlign w:val="center"/>
          </w:tcPr>
          <w:p>
            <w:pPr>
              <w:jc w:val="center"/>
              <w:rPr>
                <w:rFonts w:ascii="Times New Roman" w:hAnsi="Times New Roman" w:eastAsia="宋体" w:cs="Times New Roman"/>
                <w:color w:val="auto"/>
                <w:position w:val="-30"/>
                <w:sz w:val="24"/>
                <w:highlight w:val="none"/>
              </w:rPr>
            </w:pPr>
          </w:p>
        </w:tc>
        <w:tc>
          <w:tcPr>
            <w:tcW w:w="852" w:type="dxa"/>
            <w:gridSpan w:val="2"/>
            <w:tcBorders>
              <w:top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性别</w:t>
            </w:r>
          </w:p>
        </w:tc>
        <w:tc>
          <w:tcPr>
            <w:tcW w:w="782" w:type="dxa"/>
            <w:tcBorders>
              <w:top w:val="single" w:color="auto" w:sz="12" w:space="0"/>
            </w:tcBorders>
            <w:vAlign w:val="center"/>
          </w:tcPr>
          <w:p>
            <w:pPr>
              <w:jc w:val="center"/>
              <w:rPr>
                <w:rFonts w:ascii="Times New Roman" w:hAnsi="Times New Roman" w:eastAsia="宋体" w:cs="Times New Roman"/>
                <w:color w:val="auto"/>
                <w:position w:val="-30"/>
                <w:sz w:val="24"/>
                <w:highlight w:val="none"/>
              </w:rPr>
            </w:pPr>
          </w:p>
        </w:tc>
        <w:tc>
          <w:tcPr>
            <w:tcW w:w="810" w:type="dxa"/>
            <w:tcBorders>
              <w:top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出生</w:t>
            </w:r>
          </w:p>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年月</w:t>
            </w:r>
          </w:p>
        </w:tc>
        <w:tc>
          <w:tcPr>
            <w:tcW w:w="1306" w:type="dxa"/>
            <w:gridSpan w:val="2"/>
            <w:tcBorders>
              <w:top w:val="single" w:color="auto" w:sz="12" w:space="0"/>
            </w:tcBorders>
            <w:vAlign w:val="center"/>
          </w:tcPr>
          <w:p>
            <w:pPr>
              <w:jc w:val="center"/>
              <w:rPr>
                <w:rFonts w:ascii="Times New Roman" w:hAnsi="Times New Roman" w:eastAsia="宋体" w:cs="Times New Roman"/>
                <w:color w:val="auto"/>
                <w:position w:val="-30"/>
                <w:sz w:val="24"/>
                <w:highlight w:val="none"/>
              </w:rPr>
            </w:pPr>
          </w:p>
        </w:tc>
        <w:tc>
          <w:tcPr>
            <w:tcW w:w="682" w:type="dxa"/>
            <w:tcBorders>
              <w:top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文化程度</w:t>
            </w:r>
          </w:p>
        </w:tc>
        <w:tc>
          <w:tcPr>
            <w:tcW w:w="1362" w:type="dxa"/>
            <w:tcBorders>
              <w:top w:val="single" w:color="auto" w:sz="12" w:space="0"/>
              <w:right w:val="single" w:color="auto" w:sz="12" w:space="0"/>
            </w:tcBorders>
            <w:vAlign w:val="center"/>
          </w:tcPr>
          <w:p>
            <w:pPr>
              <w:jc w:val="center"/>
              <w:rPr>
                <w:rFonts w:ascii="Times New Roman" w:hAnsi="Times New Roman" w:eastAsia="宋体" w:cs="Times New Roman"/>
                <w:color w:val="auto"/>
                <w:position w:val="-3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125" w:type="dxa"/>
            <w:tcBorders>
              <w:left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毕业院校</w:t>
            </w:r>
          </w:p>
        </w:tc>
        <w:tc>
          <w:tcPr>
            <w:tcW w:w="2215" w:type="dxa"/>
            <w:gridSpan w:val="3"/>
            <w:vAlign w:val="center"/>
          </w:tcPr>
          <w:p>
            <w:pPr>
              <w:jc w:val="center"/>
              <w:rPr>
                <w:rFonts w:ascii="Times New Roman" w:hAnsi="Times New Roman" w:eastAsia="宋体" w:cs="Times New Roman"/>
                <w:color w:val="auto"/>
                <w:position w:val="-30"/>
                <w:sz w:val="24"/>
                <w:highlight w:val="none"/>
              </w:rPr>
            </w:pPr>
          </w:p>
        </w:tc>
        <w:tc>
          <w:tcPr>
            <w:tcW w:w="782" w:type="dxa"/>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专业</w:t>
            </w:r>
          </w:p>
        </w:tc>
        <w:tc>
          <w:tcPr>
            <w:tcW w:w="1434" w:type="dxa"/>
            <w:gridSpan w:val="2"/>
            <w:vAlign w:val="center"/>
          </w:tcPr>
          <w:p>
            <w:pPr>
              <w:jc w:val="center"/>
              <w:rPr>
                <w:rFonts w:ascii="Times New Roman" w:hAnsi="Times New Roman" w:eastAsia="宋体" w:cs="Times New Roman"/>
                <w:color w:val="auto"/>
                <w:position w:val="-30"/>
                <w:sz w:val="24"/>
                <w:highlight w:val="none"/>
              </w:rPr>
            </w:pPr>
          </w:p>
        </w:tc>
        <w:tc>
          <w:tcPr>
            <w:tcW w:w="1364" w:type="dxa"/>
            <w:gridSpan w:val="2"/>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毕业时间</w:t>
            </w:r>
          </w:p>
        </w:tc>
        <w:tc>
          <w:tcPr>
            <w:tcW w:w="1362" w:type="dxa"/>
            <w:tcBorders>
              <w:right w:val="single" w:color="auto" w:sz="12" w:space="0"/>
            </w:tcBorders>
            <w:vAlign w:val="center"/>
          </w:tcPr>
          <w:p>
            <w:pPr>
              <w:jc w:val="center"/>
              <w:rPr>
                <w:rFonts w:ascii="Times New Roman" w:hAnsi="Times New Roman" w:eastAsia="宋体" w:cs="Times New Roman"/>
                <w:color w:val="auto"/>
                <w:position w:val="-3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125" w:type="dxa"/>
            <w:tcBorders>
              <w:left w:val="single" w:color="auto" w:sz="12" w:space="0"/>
              <w:bottom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技术职称</w:t>
            </w:r>
          </w:p>
        </w:tc>
        <w:tc>
          <w:tcPr>
            <w:tcW w:w="1534" w:type="dxa"/>
            <w:gridSpan w:val="2"/>
            <w:tcBorders>
              <w:bottom w:val="single" w:color="auto" w:sz="12" w:space="0"/>
            </w:tcBorders>
            <w:vAlign w:val="center"/>
          </w:tcPr>
          <w:p>
            <w:pPr>
              <w:jc w:val="center"/>
              <w:rPr>
                <w:rFonts w:ascii="Times New Roman" w:hAnsi="Times New Roman" w:eastAsia="宋体" w:cs="Times New Roman"/>
                <w:color w:val="auto"/>
                <w:position w:val="-30"/>
                <w:sz w:val="24"/>
                <w:highlight w:val="none"/>
              </w:rPr>
            </w:pPr>
          </w:p>
        </w:tc>
        <w:tc>
          <w:tcPr>
            <w:tcW w:w="1463" w:type="dxa"/>
            <w:gridSpan w:val="2"/>
            <w:tcBorders>
              <w:bottom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从事检测工作年限</w:t>
            </w:r>
          </w:p>
        </w:tc>
        <w:tc>
          <w:tcPr>
            <w:tcW w:w="1434" w:type="dxa"/>
            <w:gridSpan w:val="2"/>
            <w:tcBorders>
              <w:bottom w:val="single" w:color="auto" w:sz="12" w:space="0"/>
            </w:tcBorders>
            <w:vAlign w:val="center"/>
          </w:tcPr>
          <w:p>
            <w:pPr>
              <w:jc w:val="center"/>
              <w:rPr>
                <w:rFonts w:ascii="Times New Roman" w:hAnsi="Times New Roman" w:eastAsia="宋体" w:cs="Times New Roman"/>
                <w:color w:val="auto"/>
                <w:position w:val="-30"/>
                <w:sz w:val="24"/>
                <w:highlight w:val="none"/>
              </w:rPr>
            </w:pPr>
          </w:p>
        </w:tc>
        <w:tc>
          <w:tcPr>
            <w:tcW w:w="1364" w:type="dxa"/>
            <w:gridSpan w:val="2"/>
            <w:tcBorders>
              <w:bottom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拟在本项目担任的职务</w:t>
            </w:r>
          </w:p>
        </w:tc>
        <w:tc>
          <w:tcPr>
            <w:tcW w:w="1362" w:type="dxa"/>
            <w:tcBorders>
              <w:bottom w:val="single" w:color="auto" w:sz="12" w:space="0"/>
              <w:right w:val="single" w:color="auto" w:sz="12" w:space="0"/>
            </w:tcBorders>
            <w:vAlign w:val="center"/>
          </w:tcPr>
          <w:p>
            <w:pPr>
              <w:jc w:val="center"/>
              <w:rPr>
                <w:rFonts w:ascii="Times New Roman" w:hAnsi="Times New Roman" w:eastAsia="宋体" w:cs="Times New Roman"/>
                <w:color w:val="auto"/>
                <w:position w:val="-3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125" w:type="dxa"/>
            <w:vMerge w:val="restart"/>
            <w:tcBorders>
              <w:top w:val="single" w:color="auto" w:sz="12" w:space="0"/>
              <w:left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检测</w:t>
            </w:r>
          </w:p>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主要经历</w:t>
            </w:r>
          </w:p>
        </w:tc>
        <w:tc>
          <w:tcPr>
            <w:tcW w:w="1534" w:type="dxa"/>
            <w:gridSpan w:val="2"/>
            <w:tcBorders>
              <w:top w:val="single" w:color="auto" w:sz="12" w:space="0"/>
            </w:tcBorders>
            <w:vAlign w:val="center"/>
          </w:tcPr>
          <w:p>
            <w:pPr>
              <w:jc w:val="center"/>
              <w:rPr>
                <w:rFonts w:ascii="Times New Roman" w:hAnsi="Times New Roman" w:eastAsia="宋体" w:cs="Times New Roman"/>
                <w:color w:val="auto"/>
                <w:position w:val="-30"/>
                <w:sz w:val="24"/>
                <w:highlight w:val="none"/>
              </w:rPr>
            </w:pPr>
            <w:bookmarkStart w:id="517" w:name="OLE_LINK3"/>
            <w:r>
              <w:rPr>
                <w:rFonts w:hint="eastAsia" w:ascii="Times New Roman" w:hAnsi="Times New Roman" w:eastAsia="宋体" w:cs="Times New Roman"/>
                <w:color w:val="auto"/>
                <w:position w:val="-30"/>
                <w:sz w:val="24"/>
                <w:highlight w:val="none"/>
              </w:rPr>
              <w:t>起讫</w:t>
            </w:r>
            <w:bookmarkEnd w:id="517"/>
            <w:r>
              <w:rPr>
                <w:rFonts w:hint="eastAsia" w:ascii="Times New Roman" w:hAnsi="Times New Roman" w:eastAsia="宋体" w:cs="Times New Roman"/>
                <w:color w:val="auto"/>
                <w:position w:val="-30"/>
                <w:sz w:val="24"/>
                <w:highlight w:val="none"/>
              </w:rPr>
              <w:t>时间</w:t>
            </w:r>
          </w:p>
        </w:tc>
        <w:tc>
          <w:tcPr>
            <w:tcW w:w="1463" w:type="dxa"/>
            <w:gridSpan w:val="2"/>
            <w:tcBorders>
              <w:top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任  职</w:t>
            </w:r>
          </w:p>
        </w:tc>
        <w:tc>
          <w:tcPr>
            <w:tcW w:w="1434" w:type="dxa"/>
            <w:gridSpan w:val="2"/>
            <w:tcBorders>
              <w:top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工程名称</w:t>
            </w:r>
          </w:p>
        </w:tc>
        <w:tc>
          <w:tcPr>
            <w:tcW w:w="2726" w:type="dxa"/>
            <w:gridSpan w:val="3"/>
            <w:tcBorders>
              <w:top w:val="single" w:color="auto" w:sz="12" w:space="0"/>
              <w:right w:val="single" w:color="auto" w:sz="12" w:space="0"/>
            </w:tcBorders>
            <w:vAlign w:val="center"/>
          </w:tcPr>
          <w:p>
            <w:pPr>
              <w:jc w:val="center"/>
              <w:rPr>
                <w:rFonts w:ascii="Times New Roman" w:hAnsi="Times New Roman" w:eastAsia="宋体" w:cs="Times New Roman"/>
                <w:color w:val="auto"/>
                <w:position w:val="-30"/>
                <w:sz w:val="24"/>
                <w:highlight w:val="none"/>
              </w:rPr>
            </w:pPr>
            <w:r>
              <w:rPr>
                <w:rFonts w:hint="eastAsia" w:ascii="Times New Roman" w:hAnsi="Times New Roman" w:eastAsia="宋体" w:cs="Times New Roman"/>
                <w:color w:val="auto"/>
                <w:position w:val="-30"/>
                <w:sz w:val="24"/>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125" w:type="dxa"/>
            <w:vMerge w:val="continue"/>
            <w:tcBorders>
              <w:left w:val="single" w:color="auto" w:sz="12" w:space="0"/>
              <w:bottom w:val="single" w:color="auto" w:sz="12" w:space="0"/>
            </w:tcBorders>
          </w:tcPr>
          <w:p>
            <w:pPr>
              <w:rPr>
                <w:rFonts w:ascii="Times New Roman" w:hAnsi="Times New Roman" w:eastAsia="宋体" w:cs="Times New Roman"/>
                <w:color w:val="auto"/>
                <w:position w:val="-30"/>
                <w:sz w:val="24"/>
                <w:highlight w:val="none"/>
              </w:rPr>
            </w:pPr>
          </w:p>
        </w:tc>
        <w:tc>
          <w:tcPr>
            <w:tcW w:w="1534" w:type="dxa"/>
            <w:gridSpan w:val="2"/>
            <w:tcBorders>
              <w:bottom w:val="single" w:color="auto" w:sz="12" w:space="0"/>
            </w:tcBorders>
          </w:tcPr>
          <w:p>
            <w:pPr>
              <w:rPr>
                <w:rFonts w:ascii="Times New Roman" w:hAnsi="Times New Roman" w:eastAsia="宋体" w:cs="Times New Roman"/>
                <w:color w:val="auto"/>
                <w:position w:val="-30"/>
                <w:sz w:val="24"/>
                <w:highlight w:val="none"/>
              </w:rPr>
            </w:pPr>
          </w:p>
        </w:tc>
        <w:tc>
          <w:tcPr>
            <w:tcW w:w="1463" w:type="dxa"/>
            <w:gridSpan w:val="2"/>
            <w:tcBorders>
              <w:bottom w:val="single" w:color="auto" w:sz="12" w:space="0"/>
            </w:tcBorders>
          </w:tcPr>
          <w:p>
            <w:pPr>
              <w:rPr>
                <w:rFonts w:ascii="Times New Roman" w:hAnsi="Times New Roman" w:eastAsia="宋体" w:cs="Times New Roman"/>
                <w:color w:val="auto"/>
                <w:position w:val="-30"/>
                <w:sz w:val="24"/>
                <w:highlight w:val="none"/>
              </w:rPr>
            </w:pPr>
          </w:p>
        </w:tc>
        <w:tc>
          <w:tcPr>
            <w:tcW w:w="1434" w:type="dxa"/>
            <w:gridSpan w:val="2"/>
            <w:tcBorders>
              <w:bottom w:val="single" w:color="auto" w:sz="12" w:space="0"/>
            </w:tcBorders>
          </w:tcPr>
          <w:p>
            <w:pPr>
              <w:rPr>
                <w:rFonts w:ascii="Times New Roman" w:hAnsi="Times New Roman" w:eastAsia="宋体" w:cs="Times New Roman"/>
                <w:color w:val="auto"/>
                <w:position w:val="-30"/>
                <w:sz w:val="24"/>
                <w:highlight w:val="none"/>
              </w:rPr>
            </w:pPr>
          </w:p>
        </w:tc>
        <w:tc>
          <w:tcPr>
            <w:tcW w:w="2726" w:type="dxa"/>
            <w:gridSpan w:val="3"/>
            <w:tcBorders>
              <w:bottom w:val="single" w:color="auto" w:sz="12" w:space="0"/>
              <w:right w:val="single" w:color="auto" w:sz="12" w:space="0"/>
            </w:tcBorders>
          </w:tcPr>
          <w:p>
            <w:pPr>
              <w:rPr>
                <w:rFonts w:ascii="Times New Roman" w:hAnsi="Times New Roman" w:eastAsia="宋体" w:cs="Times New Roman"/>
                <w:color w:val="auto"/>
                <w:position w:val="-30"/>
                <w:sz w:val="24"/>
                <w:highlight w:val="none"/>
              </w:rPr>
            </w:pPr>
          </w:p>
        </w:tc>
      </w:tr>
    </w:tbl>
    <w:p>
      <w:pPr>
        <w:spacing w:line="440" w:lineRule="exact"/>
        <w:rPr>
          <w:rFonts w:ascii="Times New Roman" w:hAnsi="Times New Roman" w:eastAsia="宋体" w:cs="Times New Roman"/>
          <w:color w:val="auto"/>
          <w:sz w:val="24"/>
          <w:highlight w:val="none"/>
        </w:rPr>
      </w:pPr>
    </w:p>
    <w:p>
      <w:pPr>
        <w:spacing w:line="440" w:lineRule="exact"/>
        <w:rPr>
          <w:rFonts w:ascii="Times New Roman" w:hAnsi="Times New Roman" w:eastAsia="宋体" w:cs="Times New Roman"/>
          <w:b/>
          <w:bCs/>
          <w:color w:val="auto"/>
          <w:sz w:val="28"/>
          <w:szCs w:val="28"/>
          <w:highlight w:val="none"/>
        </w:rPr>
      </w:pPr>
      <w:r>
        <w:rPr>
          <w:rFonts w:ascii="Times New Roman" w:hAnsi="Times New Roman" w:eastAsia="宋体" w:cs="Times New Roman"/>
          <w:color w:val="auto"/>
          <w:sz w:val="24"/>
          <w:highlight w:val="none"/>
        </w:rPr>
        <w:br w:type="page"/>
      </w:r>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五</w:t>
      </w:r>
      <w:r>
        <w:rPr>
          <w:rFonts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rPr>
        <w:t>拟投入本项目的主要仪器设备一览表</w:t>
      </w:r>
      <w:r>
        <w:rPr>
          <w:rFonts w:ascii="Times New Roman" w:hAnsi="Times New Roman" w:eastAsia="宋体" w:cs="Times New Roman"/>
          <w:b/>
          <w:bCs/>
          <w:color w:val="auto"/>
          <w:sz w:val="28"/>
          <w:szCs w:val="28"/>
          <w:highlight w:val="none"/>
        </w:rPr>
        <w:t>（格式可自定）</w:t>
      </w:r>
    </w:p>
    <w:p>
      <w:pPr>
        <w:spacing w:line="440" w:lineRule="exact"/>
        <w:rPr>
          <w:rFonts w:ascii="Times New Roman" w:hAnsi="Times New Roman" w:eastAsia="宋体" w:cs="Times New Roman"/>
          <w:b/>
          <w:bCs/>
          <w:color w:val="auto"/>
          <w:sz w:val="28"/>
          <w:szCs w:val="28"/>
          <w:highlight w:val="none"/>
        </w:rPr>
      </w:pPr>
    </w:p>
    <w:tbl>
      <w:tblPr>
        <w:tblStyle w:val="18"/>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30"/>
        <w:gridCol w:w="1236"/>
        <w:gridCol w:w="780"/>
        <w:gridCol w:w="979"/>
        <w:gridCol w:w="694"/>
        <w:gridCol w:w="1125"/>
        <w:gridCol w:w="571"/>
        <w:gridCol w:w="72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dxa"/>
            <w:tcBorders>
              <w:top w:val="single" w:color="auto" w:sz="12" w:space="0"/>
              <w:left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830"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被检产品名称</w:t>
            </w:r>
          </w:p>
        </w:tc>
        <w:tc>
          <w:tcPr>
            <w:tcW w:w="1236"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检定此产品</w:t>
            </w:r>
          </w:p>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所用的仪器名称</w:t>
            </w:r>
          </w:p>
        </w:tc>
        <w:tc>
          <w:tcPr>
            <w:tcW w:w="780"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制造厂</w:t>
            </w:r>
          </w:p>
        </w:tc>
        <w:tc>
          <w:tcPr>
            <w:tcW w:w="979"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检定/校准机构</w:t>
            </w:r>
          </w:p>
        </w:tc>
        <w:tc>
          <w:tcPr>
            <w:tcW w:w="694"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有效期</w:t>
            </w:r>
          </w:p>
        </w:tc>
        <w:tc>
          <w:tcPr>
            <w:tcW w:w="1125" w:type="dxa"/>
            <w:tcBorders>
              <w:top w:val="single" w:color="auto" w:sz="12" w:space="0"/>
              <w:bottom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检定/校准周期</w:t>
            </w:r>
          </w:p>
        </w:tc>
        <w:tc>
          <w:tcPr>
            <w:tcW w:w="571" w:type="dxa"/>
            <w:tcBorders>
              <w:top w:val="single" w:color="auto" w:sz="12" w:space="0"/>
              <w:bottom w:val="single" w:color="auto" w:sz="12" w:space="0"/>
              <w:right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自有</w:t>
            </w:r>
          </w:p>
        </w:tc>
        <w:tc>
          <w:tcPr>
            <w:tcW w:w="729" w:type="dxa"/>
            <w:tcBorders>
              <w:top w:val="single" w:color="auto" w:sz="12" w:space="0"/>
              <w:bottom w:val="single" w:color="auto" w:sz="12" w:space="0"/>
              <w:right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租赁</w:t>
            </w:r>
          </w:p>
        </w:tc>
        <w:tc>
          <w:tcPr>
            <w:tcW w:w="912" w:type="dxa"/>
            <w:tcBorders>
              <w:top w:val="single" w:color="auto" w:sz="12" w:space="0"/>
              <w:bottom w:val="single" w:color="auto" w:sz="12" w:space="0"/>
              <w:right w:val="single" w:color="auto" w:sz="12" w:space="0"/>
            </w:tcBorders>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12" w:space="0"/>
              <w:left w:val="single" w:color="auto" w:sz="12" w:space="0"/>
            </w:tcBorders>
            <w:vAlign w:val="center"/>
          </w:tcPr>
          <w:p>
            <w:pPr>
              <w:rPr>
                <w:rFonts w:ascii="Times New Roman" w:hAnsi="Times New Roman" w:eastAsia="宋体" w:cs="Times New Roman"/>
                <w:color w:val="auto"/>
                <w:szCs w:val="21"/>
                <w:highlight w:val="none"/>
              </w:rPr>
            </w:pPr>
          </w:p>
        </w:tc>
        <w:tc>
          <w:tcPr>
            <w:tcW w:w="830"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1236"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780"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979"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694"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1125" w:type="dxa"/>
            <w:tcBorders>
              <w:top w:val="single" w:color="auto" w:sz="12" w:space="0"/>
            </w:tcBorders>
            <w:vAlign w:val="center"/>
          </w:tcPr>
          <w:p>
            <w:pPr>
              <w:rPr>
                <w:rFonts w:ascii="Times New Roman" w:hAnsi="Times New Roman" w:eastAsia="宋体" w:cs="Times New Roman"/>
                <w:color w:val="auto"/>
                <w:szCs w:val="21"/>
                <w:highlight w:val="none"/>
              </w:rPr>
            </w:pPr>
          </w:p>
        </w:tc>
        <w:tc>
          <w:tcPr>
            <w:tcW w:w="571" w:type="dxa"/>
            <w:tcBorders>
              <w:top w:val="single" w:color="auto" w:sz="12" w:space="0"/>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top w:val="single" w:color="auto" w:sz="12" w:space="0"/>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top w:val="single" w:color="auto" w:sz="12" w:space="0"/>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rPr>
                <w:rFonts w:ascii="Times New Roman" w:hAnsi="Times New Roman" w:eastAsia="宋体" w:cs="Times New Roman"/>
                <w:color w:val="auto"/>
                <w:szCs w:val="21"/>
                <w:highlight w:val="none"/>
              </w:rPr>
            </w:pPr>
          </w:p>
        </w:tc>
        <w:tc>
          <w:tcPr>
            <w:tcW w:w="830" w:type="dxa"/>
            <w:vAlign w:val="center"/>
          </w:tcPr>
          <w:p>
            <w:pPr>
              <w:rPr>
                <w:rFonts w:ascii="Times New Roman" w:hAnsi="Times New Roman" w:eastAsia="宋体" w:cs="Times New Roman"/>
                <w:color w:val="auto"/>
                <w:szCs w:val="21"/>
                <w:highlight w:val="none"/>
              </w:rPr>
            </w:pPr>
          </w:p>
        </w:tc>
        <w:tc>
          <w:tcPr>
            <w:tcW w:w="1236" w:type="dxa"/>
            <w:vAlign w:val="center"/>
          </w:tcPr>
          <w:p>
            <w:pPr>
              <w:rPr>
                <w:rFonts w:ascii="Times New Roman" w:hAnsi="Times New Roman" w:eastAsia="宋体" w:cs="Times New Roman"/>
                <w:color w:val="auto"/>
                <w:szCs w:val="21"/>
                <w:highlight w:val="none"/>
              </w:rPr>
            </w:pPr>
          </w:p>
        </w:tc>
        <w:tc>
          <w:tcPr>
            <w:tcW w:w="780" w:type="dxa"/>
            <w:vAlign w:val="center"/>
          </w:tcPr>
          <w:p>
            <w:pPr>
              <w:rPr>
                <w:rFonts w:ascii="Times New Roman" w:hAnsi="Times New Roman" w:eastAsia="宋体" w:cs="Times New Roman"/>
                <w:color w:val="auto"/>
                <w:szCs w:val="21"/>
                <w:highlight w:val="none"/>
              </w:rPr>
            </w:pPr>
          </w:p>
        </w:tc>
        <w:tc>
          <w:tcPr>
            <w:tcW w:w="979" w:type="dxa"/>
            <w:vAlign w:val="center"/>
          </w:tcPr>
          <w:p>
            <w:pPr>
              <w:rPr>
                <w:rFonts w:ascii="Times New Roman" w:hAnsi="Times New Roman" w:eastAsia="宋体" w:cs="Times New Roman"/>
                <w:color w:val="auto"/>
                <w:szCs w:val="21"/>
                <w:highlight w:val="none"/>
              </w:rPr>
            </w:pPr>
          </w:p>
        </w:tc>
        <w:tc>
          <w:tcPr>
            <w:tcW w:w="694" w:type="dxa"/>
            <w:vAlign w:val="center"/>
          </w:tcPr>
          <w:p>
            <w:pPr>
              <w:rPr>
                <w:rFonts w:ascii="Times New Roman" w:hAnsi="Times New Roman" w:eastAsia="宋体" w:cs="Times New Roman"/>
                <w:color w:val="auto"/>
                <w:szCs w:val="21"/>
                <w:highlight w:val="none"/>
              </w:rPr>
            </w:pPr>
          </w:p>
        </w:tc>
        <w:tc>
          <w:tcPr>
            <w:tcW w:w="1125" w:type="dxa"/>
            <w:vAlign w:val="center"/>
          </w:tcPr>
          <w:p>
            <w:pPr>
              <w:rPr>
                <w:rFonts w:ascii="Times New Roman" w:hAnsi="Times New Roman" w:eastAsia="宋体" w:cs="Times New Roman"/>
                <w:color w:val="auto"/>
                <w:szCs w:val="21"/>
                <w:highlight w:val="none"/>
              </w:rPr>
            </w:pPr>
          </w:p>
        </w:tc>
        <w:tc>
          <w:tcPr>
            <w:tcW w:w="571"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729" w:type="dxa"/>
            <w:tcBorders>
              <w:right w:val="single" w:color="auto" w:sz="12" w:space="0"/>
            </w:tcBorders>
            <w:vAlign w:val="center"/>
          </w:tcPr>
          <w:p>
            <w:pPr>
              <w:rPr>
                <w:rFonts w:ascii="Times New Roman" w:hAnsi="Times New Roman" w:eastAsia="宋体" w:cs="Times New Roman"/>
                <w:color w:val="auto"/>
                <w:szCs w:val="21"/>
                <w:highlight w:val="none"/>
              </w:rPr>
            </w:pPr>
          </w:p>
        </w:tc>
        <w:tc>
          <w:tcPr>
            <w:tcW w:w="912" w:type="dxa"/>
            <w:tcBorders>
              <w:right w:val="single" w:color="auto" w:sz="12" w:space="0"/>
            </w:tcBorders>
            <w:vAlign w:val="center"/>
          </w:tcPr>
          <w:p>
            <w:pP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2" w:type="dxa"/>
            <w:gridSpan w:val="10"/>
            <w:tcBorders>
              <w:left w:val="single" w:color="auto" w:sz="12" w:space="0"/>
              <w:right w:val="single" w:color="auto" w:sz="12" w:space="0"/>
            </w:tcBorders>
            <w:vAlign w:val="center"/>
          </w:tcPr>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申请单位能达到的程度简述（由申请单位填写）</w:t>
            </w:r>
          </w:p>
        </w:tc>
      </w:tr>
    </w:tbl>
    <w:p>
      <w:pPr>
        <w:spacing w:line="400" w:lineRule="exact"/>
        <w:rPr>
          <w:rFonts w:ascii="Times New Roman" w:hAnsi="Times New Roman" w:eastAsia="宋体" w:cs="Arial"/>
          <w:color w:val="auto"/>
          <w:szCs w:val="20"/>
          <w:highlight w:val="none"/>
        </w:rPr>
      </w:pPr>
      <w:r>
        <w:rPr>
          <w:rFonts w:hint="eastAsia" w:ascii="Times New Roman" w:hAnsi="Times New Roman" w:eastAsia="宋体" w:cs="Arial"/>
          <w:color w:val="auto"/>
          <w:szCs w:val="20"/>
          <w:highlight w:val="none"/>
        </w:rPr>
        <w:t>注：要求投标人同时提供购置发票（或租赁合同）</w:t>
      </w:r>
      <w:r>
        <w:rPr>
          <w:rFonts w:ascii="Times New Roman" w:hAnsi="Times New Roman" w:eastAsia="宋体" w:cs="Arial"/>
          <w:color w:val="auto"/>
          <w:szCs w:val="20"/>
          <w:highlight w:val="none"/>
        </w:rPr>
        <w:t>和</w:t>
      </w:r>
      <w:r>
        <w:rPr>
          <w:rFonts w:hint="eastAsia" w:ascii="Times New Roman" w:hAnsi="Times New Roman" w:eastAsia="宋体" w:cs="Arial"/>
          <w:color w:val="auto"/>
          <w:szCs w:val="20"/>
          <w:highlight w:val="none"/>
        </w:rPr>
        <w:t>检定校准证书扫描件；</w:t>
      </w:r>
    </w:p>
    <w:p>
      <w:pPr>
        <w:topLinePunct/>
        <w:spacing w:line="360" w:lineRule="auto"/>
        <w:rPr>
          <w:rFonts w:ascii="Times New Roman" w:hAnsi="Times New Roman" w:eastAsia="宋体" w:cs="Times New Roman"/>
          <w:color w:val="auto"/>
          <w:spacing w:val="18"/>
          <w:sz w:val="24"/>
          <w:highlight w:val="none"/>
        </w:rPr>
      </w:pPr>
    </w:p>
    <w:p>
      <w:pPr>
        <w:topLinePunct/>
        <w:spacing w:line="360" w:lineRule="auto"/>
        <w:rPr>
          <w:rFonts w:ascii="Times New Roman" w:hAnsi="Times New Roman" w:eastAsia="宋体" w:cs="Times New Roman"/>
          <w:color w:val="auto"/>
          <w:spacing w:val="18"/>
          <w:sz w:val="24"/>
          <w:highlight w:val="none"/>
        </w:rPr>
      </w:pPr>
      <w:r>
        <w:rPr>
          <w:rFonts w:ascii="Times New Roman" w:hAnsi="Times New Roman" w:eastAsia="宋体" w:cs="Times New Roman"/>
          <w:color w:val="auto"/>
          <w:spacing w:val="18"/>
          <w:sz w:val="24"/>
          <w:highlight w:val="none"/>
        </w:rPr>
        <w:t xml:space="preserve"> </w:t>
      </w:r>
    </w:p>
    <w:p>
      <w:pPr>
        <w:topLinePunct/>
        <w:spacing w:line="360" w:lineRule="auto"/>
        <w:rPr>
          <w:rFonts w:ascii="Times New Roman" w:hAnsi="Times New Roman" w:eastAsia="宋体" w:cs="Times New Roman"/>
          <w:color w:val="auto"/>
          <w:spacing w:val="18"/>
          <w:sz w:val="24"/>
          <w:highlight w:val="none"/>
        </w:rPr>
      </w:pPr>
    </w:p>
    <w:p>
      <w:pPr>
        <w:topLinePunct/>
        <w:spacing w:line="360" w:lineRule="auto"/>
        <w:rPr>
          <w:rFonts w:ascii="Times New Roman" w:hAnsi="Times New Roman" w:eastAsia="宋体" w:cs="Times New Roman"/>
          <w:b/>
          <w:bCs/>
          <w:color w:val="auto"/>
          <w:sz w:val="28"/>
          <w:szCs w:val="28"/>
          <w:highlight w:val="none"/>
        </w:rPr>
      </w:pPr>
      <w:r>
        <w:rPr>
          <w:rFonts w:ascii="Times New Roman" w:hAnsi="Times New Roman" w:eastAsia="宋体" w:cs="Times New Roman"/>
          <w:color w:val="auto"/>
          <w:spacing w:val="18"/>
          <w:sz w:val="24"/>
          <w:highlight w:val="none"/>
        </w:rPr>
        <w:br w:type="page"/>
      </w:r>
      <w:bookmarkEnd w:id="504"/>
      <w:bookmarkStart w:id="518" w:name="_Toc529196610"/>
      <w:bookmarkStart w:id="519" w:name="_Toc535938758"/>
      <w:bookmarkStart w:id="520" w:name="_Toc530470651"/>
      <w:r>
        <w:rPr>
          <w:rFonts w:hint="eastAsia" w:ascii="Times New Roman" w:hAnsi="Times New Roman" w:eastAsia="宋体" w:cs="Times New Roman"/>
          <w:b/>
          <w:bCs/>
          <w:color w:val="auto"/>
          <w:sz w:val="28"/>
          <w:szCs w:val="28"/>
          <w:highlight w:val="none"/>
        </w:rPr>
        <w:t>六</w:t>
      </w:r>
      <w:r>
        <w:rPr>
          <w:rFonts w:ascii="Times New Roman" w:hAnsi="Times New Roman" w:eastAsia="宋体" w:cs="Times New Roman"/>
          <w:b/>
          <w:bCs/>
          <w:color w:val="auto"/>
          <w:sz w:val="28"/>
          <w:szCs w:val="28"/>
          <w:highlight w:val="none"/>
        </w:rPr>
        <w:t>、</w:t>
      </w:r>
      <w:bookmarkEnd w:id="518"/>
      <w:bookmarkEnd w:id="519"/>
      <w:bookmarkEnd w:id="520"/>
      <w:r>
        <w:rPr>
          <w:rFonts w:hint="eastAsia" w:ascii="Times New Roman" w:hAnsi="Times New Roman" w:eastAsia="宋体" w:cs="Times New Roman"/>
          <w:b/>
          <w:bCs/>
          <w:color w:val="auto"/>
          <w:sz w:val="28"/>
          <w:szCs w:val="28"/>
          <w:highlight w:val="none"/>
        </w:rPr>
        <w:t>检测方案</w:t>
      </w:r>
    </w:p>
    <w:p>
      <w:pPr>
        <w:keepNext/>
        <w:keepLines/>
        <w:widowControl w:val="0"/>
        <w:spacing w:before="240" w:after="260" w:line="480" w:lineRule="auto"/>
        <w:jc w:val="both"/>
        <w:outlineLvl w:val="1"/>
        <w:rPr>
          <w:rFonts w:ascii="Times New Roman" w:hAnsi="Times New Roman" w:eastAsia="宋体" w:cs="Times New Roman"/>
          <w:b/>
          <w:color w:val="auto"/>
          <w:kern w:val="0"/>
          <w:sz w:val="30"/>
          <w:szCs w:val="30"/>
          <w:highlight w:val="none"/>
          <w:lang w:val="en-US" w:eastAsia="zh-CN" w:bidi="ar-SA"/>
        </w:rPr>
      </w:pPr>
      <w:bookmarkStart w:id="521" w:name="_Toc529196611"/>
      <w:bookmarkStart w:id="522" w:name="_Toc530470652"/>
      <w:r>
        <w:rPr>
          <w:rFonts w:ascii="Times New Roman" w:hAnsi="Times New Roman" w:eastAsia="宋体" w:cs="Times New Roman"/>
          <w:b/>
          <w:color w:val="auto"/>
          <w:kern w:val="0"/>
          <w:sz w:val="32"/>
          <w:szCs w:val="20"/>
          <w:highlight w:val="none"/>
          <w:lang w:val="en-US" w:eastAsia="zh-CN" w:bidi="ar-SA"/>
        </w:rPr>
        <w:br w:type="page"/>
      </w:r>
      <w:bookmarkStart w:id="523" w:name="_Toc102997656"/>
      <w:bookmarkStart w:id="524" w:name="_Toc535938759"/>
      <w:r>
        <w:rPr>
          <w:rFonts w:hint="eastAsia" w:ascii="Times New Roman" w:hAnsi="Times New Roman" w:eastAsia="宋体" w:cs="Times New Roman"/>
          <w:b/>
          <w:color w:val="auto"/>
          <w:kern w:val="0"/>
          <w:sz w:val="30"/>
          <w:szCs w:val="30"/>
          <w:highlight w:val="none"/>
          <w:lang w:val="en-US" w:eastAsia="zh-CN" w:bidi="ar-SA"/>
        </w:rPr>
        <w:t>七、技术响应承诺书</w:t>
      </w:r>
      <w:bookmarkEnd w:id="523"/>
    </w:p>
    <w:p>
      <w:pPr>
        <w:adjustRightInd w:val="0"/>
        <w:snapToGrid w:val="0"/>
        <w:spacing w:line="360" w:lineRule="auto"/>
        <w:jc w:val="center"/>
        <w:rPr>
          <w:rFonts w:ascii="Times New Roman" w:hAnsi="Times New Roman" w:eastAsia="宋体" w:cs="Times New Roman"/>
          <w:color w:val="auto"/>
          <w:highlight w:val="none"/>
        </w:rPr>
      </w:pPr>
      <w:r>
        <w:rPr>
          <w:rFonts w:hint="eastAsia" w:ascii="Times New Roman" w:hAnsi="Times New Roman" w:eastAsia="宋体" w:cs="Times New Roman"/>
          <w:b/>
          <w:color w:val="auto"/>
          <w:sz w:val="28"/>
          <w:szCs w:val="28"/>
          <w:highlight w:val="none"/>
        </w:rPr>
        <w:t>技术响应承诺书</w:t>
      </w:r>
    </w:p>
    <w:p>
      <w:pPr>
        <w:adjustRightInd w:val="0"/>
        <w:snapToGrid w:val="0"/>
        <w:spacing w:before="156" w:beforeLines="50" w:line="360" w:lineRule="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致：广州市重点公共建设项目管理中心</w:t>
      </w:r>
    </w:p>
    <w:p>
      <w:pPr>
        <w:adjustRightInd w:val="0"/>
        <w:snapToGrid w:val="0"/>
        <w:spacing w:line="360" w:lineRule="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我方承诺：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1、检测工作必须满足国家、广东省、广州市相关检测规范、强制性标准。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2、除按要求完成本次招标范围内的检测工作外，还根据贵单位要求完成以下工作：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（2）在进行检测任务的过程中与该工程相关的项目管理单位、施工单位、监理单位、设计单位、建设主管部门等相关单位的协调工作。</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（3）负责检测数据的有关信息通过广州市建设工程质量检测监管信息网报送</w:t>
      </w:r>
      <w:r>
        <w:rPr>
          <w:rFonts w:ascii="Times New Roman" w:hAnsi="Times New Roman" w:eastAsia="宋体" w:cs="Times New Roman"/>
          <w:snapToGrid w:val="0"/>
          <w:color w:val="auto"/>
          <w:kern w:val="28"/>
          <w:sz w:val="24"/>
          <w:szCs w:val="24"/>
          <w:highlight w:val="none"/>
        </w:rPr>
        <w:t>；</w:t>
      </w:r>
      <w:r>
        <w:rPr>
          <w:rFonts w:ascii="Times New Roman" w:hAnsi="Times New Roman" w:eastAsia="宋体" w:cs="宋体"/>
          <w:color w:val="auto"/>
          <w:sz w:val="24"/>
          <w:szCs w:val="24"/>
          <w:highlight w:val="none"/>
        </w:rPr>
        <w:t>按</w:t>
      </w:r>
      <w:r>
        <w:rPr>
          <w:rFonts w:hint="eastAsia" w:ascii="Times New Roman" w:hAnsi="Times New Roman" w:eastAsia="宋体" w:cs="宋体"/>
          <w:color w:val="auto"/>
          <w:sz w:val="24"/>
          <w:szCs w:val="24"/>
          <w:highlight w:val="none"/>
        </w:rPr>
        <w:t>贵单位</w:t>
      </w:r>
      <w:r>
        <w:rPr>
          <w:rFonts w:ascii="Times New Roman" w:hAnsi="Times New Roman" w:eastAsia="宋体" w:cs="宋体"/>
          <w:color w:val="auto"/>
          <w:sz w:val="24"/>
          <w:szCs w:val="24"/>
          <w:highlight w:val="none"/>
        </w:rPr>
        <w:t>要求实时或及时对接</w:t>
      </w:r>
      <w:r>
        <w:rPr>
          <w:rFonts w:hint="eastAsia" w:ascii="Times New Roman" w:hAnsi="Times New Roman" w:eastAsia="宋体" w:cs="宋体"/>
          <w:color w:val="auto"/>
          <w:sz w:val="24"/>
          <w:szCs w:val="24"/>
          <w:highlight w:val="none"/>
        </w:rPr>
        <w:t>贵单位</w:t>
      </w:r>
      <w:r>
        <w:rPr>
          <w:rFonts w:ascii="Times New Roman" w:hAnsi="Times New Roman" w:eastAsia="宋体" w:cs="宋体"/>
          <w:color w:val="auto"/>
          <w:sz w:val="24"/>
          <w:szCs w:val="24"/>
          <w:highlight w:val="none"/>
        </w:rPr>
        <w:t>的相关信息化（数字化）监管平台，要求上传</w:t>
      </w:r>
      <w:r>
        <w:rPr>
          <w:rFonts w:hint="eastAsia" w:ascii="Times New Roman" w:hAnsi="Times New Roman" w:eastAsia="宋体" w:cs="宋体"/>
          <w:color w:val="auto"/>
          <w:sz w:val="24"/>
          <w:szCs w:val="24"/>
          <w:highlight w:val="none"/>
        </w:rPr>
        <w:t>贵单位</w:t>
      </w:r>
      <w:r>
        <w:rPr>
          <w:rFonts w:ascii="Times New Roman" w:hAnsi="Times New Roman" w:eastAsia="宋体" w:cs="宋体"/>
          <w:color w:val="auto"/>
          <w:sz w:val="24"/>
          <w:szCs w:val="24"/>
          <w:highlight w:val="none"/>
        </w:rPr>
        <w:t>平台的相关内容包括但不限于合同、方案、过程结果、报告、验收结算资料等</w:t>
      </w:r>
      <w:r>
        <w:rPr>
          <w:rFonts w:hint="eastAsia" w:ascii="Times New Roman" w:hAnsi="Times New Roman"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3、用于完成本项目检测的仪器、设备和材料由我方自行运输，存管。仪器、设备和材料应有产品出厂合格证，检定/校准证书，同时符合相关技术标准和检定要求。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4、我方在进场检测前，将根据施工图纸及现场实际情况编制检测方案，方案必须满足设计文件以及国家、广东省及广州市监督部门现行技术规范的要求；并报监理工程师、贵单位、项目所在行政区域的相关建设行政主管部门和监督部门等审批同意后实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napToGrid w:val="0"/>
          <w:color w:val="auto"/>
          <w:kern w:val="28"/>
          <w:sz w:val="24"/>
          <w:szCs w:val="24"/>
          <w:highlight w:val="none"/>
        </w:rPr>
      </w:pPr>
      <w:r>
        <w:rPr>
          <w:rFonts w:hint="eastAsia" w:ascii="Times New Roman" w:hAnsi="Times New Roman" w:eastAsia="宋体" w:cs="Times New Roman"/>
          <w:snapToGrid w:val="0"/>
          <w:color w:val="auto"/>
          <w:kern w:val="28"/>
          <w:sz w:val="24"/>
          <w:szCs w:val="24"/>
          <w:highlight w:val="none"/>
        </w:rPr>
        <w:t>5、我方投入的检测机构人员、设备符合国家、省市相关规范要求，符合本项目需求。如贵单位认为我司投入的人员有不满足的情况，我司将无条件更换符合项目要求的人员，不增加任何费用。</w:t>
      </w:r>
    </w:p>
    <w:p>
      <w:pPr>
        <w:adjustRightInd w:val="0"/>
        <w:snapToGrid w:val="0"/>
        <w:spacing w:line="360" w:lineRule="auto"/>
        <w:rPr>
          <w:rFonts w:ascii="Times New Roman" w:hAnsi="Times New Roman" w:eastAsia="宋体" w:cs="Times New Roman"/>
          <w:color w:val="auto"/>
          <w:sz w:val="24"/>
          <w:szCs w:val="24"/>
          <w:highlight w:val="none"/>
        </w:rPr>
      </w:pPr>
    </w:p>
    <w:p>
      <w:pPr>
        <w:adjustRightInd w:val="0"/>
        <w:snapToGrid w:val="0"/>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投标人（盖章）：</w:t>
      </w:r>
    </w:p>
    <w:p>
      <w:pPr>
        <w:adjustRightInd w:val="0"/>
        <w:snapToGrid w:val="0"/>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18"/>
          <w:sz w:val="24"/>
          <w:szCs w:val="24"/>
          <w:highlight w:val="none"/>
        </w:rPr>
        <w:t>法定代表人</w:t>
      </w:r>
      <w:r>
        <w:rPr>
          <w:rFonts w:ascii="Times New Roman" w:hAnsi="Times New Roman" w:eastAsia="宋体" w:cs="Times New Roman"/>
          <w:color w:val="auto"/>
          <w:spacing w:val="18"/>
          <w:sz w:val="24"/>
          <w:szCs w:val="24"/>
          <w:highlight w:val="none"/>
        </w:rPr>
        <w:t>(</w:t>
      </w:r>
      <w:r>
        <w:rPr>
          <w:rFonts w:hint="eastAsia" w:ascii="Times New Roman" w:hAnsi="Times New Roman" w:eastAsia="宋体" w:cs="Times New Roman"/>
          <w:color w:val="auto"/>
          <w:spacing w:val="18"/>
          <w:sz w:val="24"/>
          <w:szCs w:val="24"/>
          <w:highlight w:val="none"/>
        </w:rPr>
        <w:t>或被授权人</w:t>
      </w:r>
      <w:r>
        <w:rPr>
          <w:rFonts w:ascii="Times New Roman" w:hAnsi="Times New Roman" w:eastAsia="宋体" w:cs="Times New Roman"/>
          <w:color w:val="auto"/>
          <w:spacing w:val="18"/>
          <w:sz w:val="24"/>
          <w:szCs w:val="24"/>
          <w:highlight w:val="none"/>
        </w:rPr>
        <w:t>)</w:t>
      </w:r>
      <w:r>
        <w:rPr>
          <w:rFonts w:hint="eastAsia" w:ascii="Times New Roman" w:hAnsi="Times New Roman" w:eastAsia="宋体" w:cs="Times New Roman"/>
          <w:color w:val="auto"/>
          <w:spacing w:val="18"/>
          <w:sz w:val="24"/>
          <w:szCs w:val="24"/>
          <w:highlight w:val="none"/>
        </w:rPr>
        <w:t>签字或盖章</w:t>
      </w:r>
      <w:r>
        <w:rPr>
          <w:rFonts w:hint="eastAsia" w:ascii="Times New Roman" w:hAnsi="Times New Roman" w:eastAsia="宋体" w:cs="Times New Roman"/>
          <w:color w:val="auto"/>
          <w:sz w:val="24"/>
          <w:szCs w:val="24"/>
          <w:highlight w:val="none"/>
        </w:rPr>
        <w:t>：</w:t>
      </w:r>
    </w:p>
    <w:p>
      <w:pPr>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202</w:t>
      </w:r>
      <w:r>
        <w:rPr>
          <w:rFonts w:hint="eastAsia" w:ascii="Times New Roman" w:hAnsi="Times New Roman" w:eastAsia="宋体" w:cs="Times New Roman"/>
          <w:color w:val="auto"/>
          <w:sz w:val="24"/>
          <w:szCs w:val="24"/>
          <w:highlight w:val="none"/>
        </w:rPr>
        <w:t>3年   月   日</w:t>
      </w:r>
      <w:r>
        <w:rPr>
          <w:rFonts w:ascii="Times New Roman" w:hAnsi="Times New Roman" w:eastAsia="宋体" w:cs="Times New Roman"/>
          <w:color w:val="auto"/>
          <w:sz w:val="24"/>
          <w:szCs w:val="24"/>
          <w:highlight w:val="none"/>
        </w:rPr>
        <w:br w:type="page"/>
      </w:r>
      <w:bookmarkEnd w:id="521"/>
      <w:bookmarkEnd w:id="522"/>
      <w:bookmarkEnd w:id="524"/>
      <w:bookmarkStart w:id="525" w:name="_Toc2154396"/>
    </w:p>
    <w:p>
      <w:pPr>
        <w:keepNext/>
        <w:keepLines/>
        <w:widowControl w:val="0"/>
        <w:spacing w:before="260" w:after="260" w:line="480" w:lineRule="auto"/>
        <w:jc w:val="both"/>
        <w:outlineLvl w:val="1"/>
        <w:rPr>
          <w:rFonts w:ascii="Times New Roman" w:hAnsi="Times New Roman" w:eastAsia="黑体" w:cs="Times New Roman"/>
          <w:b/>
          <w:color w:val="auto"/>
          <w:kern w:val="0"/>
          <w:sz w:val="32"/>
          <w:szCs w:val="20"/>
          <w:highlight w:val="none"/>
          <w:lang w:val="en-US" w:eastAsia="zh-CN" w:bidi="ar-SA"/>
        </w:rPr>
      </w:pPr>
      <w:bookmarkStart w:id="526" w:name="_Toc102997657"/>
      <w:r>
        <w:rPr>
          <w:rFonts w:hint="eastAsia" w:ascii="Times New Roman" w:hAnsi="Times New Roman" w:eastAsia="宋体" w:cs="Times New Roman"/>
          <w:b/>
          <w:color w:val="auto"/>
          <w:kern w:val="0"/>
          <w:sz w:val="30"/>
          <w:szCs w:val="30"/>
          <w:highlight w:val="none"/>
          <w:lang w:val="en-US" w:eastAsia="zh-CN" w:bidi="ar-SA"/>
        </w:rPr>
        <w:t>八、其他资料</w:t>
      </w:r>
      <w:bookmarkEnd w:id="525"/>
      <w:bookmarkEnd w:id="526"/>
    </w:p>
    <w:p>
      <w:pPr>
        <w:spacing w:line="360" w:lineRule="auto"/>
        <w:jc w:val="left"/>
        <w:rPr>
          <w:rFonts w:ascii="Times New Roman" w:hAnsi="Times New Roman" w:eastAsia="宋体" w:cs="Times New Roman"/>
          <w:color w:val="auto"/>
          <w:sz w:val="24"/>
          <w:szCs w:val="44"/>
          <w:highlight w:val="none"/>
        </w:rPr>
      </w:pPr>
      <w:r>
        <w:rPr>
          <w:rFonts w:hint="eastAsia" w:ascii="Times New Roman" w:hAnsi="Times New Roman" w:eastAsia="宋体" w:cs="Times New Roman"/>
          <w:color w:val="auto"/>
          <w:sz w:val="24"/>
          <w:szCs w:val="24"/>
          <w:highlight w:val="none"/>
        </w:rPr>
        <w:t>投标人认为需提交的其他资料，格式自定。</w:t>
      </w:r>
    </w:p>
    <w:p>
      <w:pPr>
        <w:rPr>
          <w:rFonts w:eastAsia="宋体" w:cs="Times New Roman"/>
          <w:color w:val="auto"/>
          <w:highlight w:val="none"/>
        </w:rPr>
      </w:pPr>
    </w:p>
    <w:p>
      <w:pPr>
        <w:widowControl/>
        <w:spacing w:after="120" w:line="256" w:lineRule="auto"/>
        <w:ind w:left="0" w:leftChars="0" w:firstLine="0" w:firstLineChars="0"/>
        <w:jc w:val="left"/>
        <w:rPr>
          <w:rFonts w:ascii="Calibri" w:hAnsi="Calibri" w:cs="Times New Roman" w:eastAsiaTheme="minorEastAsia"/>
          <w:color w:val="auto"/>
          <w:kern w:val="2"/>
          <w:sz w:val="22"/>
          <w:szCs w:val="22"/>
          <w:highlight w:val="none"/>
          <w:lang w:val="en-US" w:eastAsia="zh-CN" w:bidi="ar"/>
        </w:rPr>
      </w:pPr>
    </w:p>
    <w:p>
      <w:pPr>
        <w:widowControl/>
        <w:jc w:val="left"/>
        <w:rPr>
          <w:rFonts w:cs="Times New Roman" w:eastAsiaTheme="minorEastAsia"/>
          <w:color w:val="auto"/>
          <w:sz w:val="22"/>
          <w:highlight w:val="none"/>
          <w:lang w:bidi="ar"/>
        </w:rPr>
      </w:pPr>
    </w:p>
    <w:p>
      <w:pPr>
        <w:rPr>
          <w:color w:val="auto"/>
          <w:highlight w:val="none"/>
        </w:rPr>
      </w:pPr>
      <w:bookmarkStart w:id="527" w:name="_GoBack"/>
      <w:bookmarkEnd w:id="527"/>
    </w:p>
    <w:sectPr>
      <w:headerReference r:id="rId9"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cs="Times New Roma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cs="Times New Roma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jc w:val="center"/>
                            <w:rPr>
                              <w:rFonts w:eastAsia="宋体" w:cs="Times New Roman"/>
                            </w:rPr>
                          </w:pPr>
                        </w:p>
                        <w:p>
                          <w:pPr>
                            <w:rPr>
                              <w:rFonts w:eastAsia="宋体" w:cs="Times New Roma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7G5YnRAAAAAwEAAA8AAAAAAAAAAQAgAAAAIgAA&#10;AGRycy9kb3ducmV2LnhtbFBLAQIUABQAAAAIAIdO4kB8pv29DwIAABAEAAAOAAAAAAAAAAEAIAAA&#10;ACABAABkcnMvZTJvRG9jLnhtbFBLBQYAAAAABgAGAFkBAAChBQAAAAA=&#10;">
              <v:fill on="f" focussize="0,0"/>
              <v:stroke on="f"/>
              <v:imagedata o:title=""/>
              <o:lock v:ext="edit" aspectratio="f"/>
              <v:textbox inset="0mm,0mm,0mm,0mm" style="mso-fit-shape-to-text:t;">
                <w:txbxContent>
                  <w:p>
                    <w:pPr>
                      <w:jc w:val="center"/>
                      <w:rPr>
                        <w:rFonts w:eastAsia="宋体" w:cs="Times New Roman"/>
                      </w:rPr>
                    </w:pPr>
                  </w:p>
                  <w:p>
                    <w:pPr>
                      <w:rPr>
                        <w:rFonts w:eastAsia="宋体" w:cs="Times New Roman"/>
                      </w:rPr>
                    </w:pPr>
                  </w:p>
                </w:txbxContent>
              </v:textbox>
            </v:shape>
          </w:pict>
        </mc:Fallback>
      </mc:AlternateContent>
    </w:r>
  </w:p>
  <w:p>
    <w:pPr>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jc w:val="right"/>
      <w:rPr>
        <w:rFonts w:eastAsia="宋体" w:cs="Times New Roman"/>
        <w:b/>
        <w:bCs/>
        <w:sz w:val="24"/>
        <w:szCs w:val="24"/>
      </w:rPr>
    </w:pPr>
  </w:p>
  <w:p>
    <w:pPr>
      <w:ind w:left="420"/>
      <w:jc w:val="right"/>
      <w:rPr>
        <w:rFonts w:eastAsia="宋体" w:cs="Times New Roman"/>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48CAB"/>
    <w:multiLevelType w:val="singleLevel"/>
    <w:tmpl w:val="BCC48C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ZDkwZTM5ZTkwNWU2NjFlMmJmMTljMjYzMzk5MzQifQ=="/>
  </w:docVars>
  <w:rsids>
    <w:rsidRoot w:val="00890B99"/>
    <w:rsid w:val="00077C6C"/>
    <w:rsid w:val="00110188"/>
    <w:rsid w:val="001142B2"/>
    <w:rsid w:val="00247343"/>
    <w:rsid w:val="002B0915"/>
    <w:rsid w:val="0034285A"/>
    <w:rsid w:val="003F1067"/>
    <w:rsid w:val="004D7CCD"/>
    <w:rsid w:val="0050638A"/>
    <w:rsid w:val="00523B3E"/>
    <w:rsid w:val="00535668"/>
    <w:rsid w:val="005B57A7"/>
    <w:rsid w:val="00650F75"/>
    <w:rsid w:val="006B31DA"/>
    <w:rsid w:val="007517D3"/>
    <w:rsid w:val="007C35A1"/>
    <w:rsid w:val="007D0F25"/>
    <w:rsid w:val="00890B99"/>
    <w:rsid w:val="00A46790"/>
    <w:rsid w:val="00A775E0"/>
    <w:rsid w:val="00B84E8A"/>
    <w:rsid w:val="00CE7169"/>
    <w:rsid w:val="00D70D8D"/>
    <w:rsid w:val="015772A4"/>
    <w:rsid w:val="02B93A83"/>
    <w:rsid w:val="03D9195C"/>
    <w:rsid w:val="04F857AE"/>
    <w:rsid w:val="05451EFB"/>
    <w:rsid w:val="05BB49FE"/>
    <w:rsid w:val="078A20ED"/>
    <w:rsid w:val="07CD3E5B"/>
    <w:rsid w:val="08AB21C5"/>
    <w:rsid w:val="0AB51320"/>
    <w:rsid w:val="0BE72997"/>
    <w:rsid w:val="0C3B5902"/>
    <w:rsid w:val="0DC7542B"/>
    <w:rsid w:val="0DD95345"/>
    <w:rsid w:val="0DED0A25"/>
    <w:rsid w:val="106C46E2"/>
    <w:rsid w:val="11BD735F"/>
    <w:rsid w:val="14A23773"/>
    <w:rsid w:val="155F3E9D"/>
    <w:rsid w:val="164B692F"/>
    <w:rsid w:val="1750464D"/>
    <w:rsid w:val="17852965"/>
    <w:rsid w:val="17EBEB2B"/>
    <w:rsid w:val="192E3167"/>
    <w:rsid w:val="1A363ED7"/>
    <w:rsid w:val="1ADC658C"/>
    <w:rsid w:val="1B546DE6"/>
    <w:rsid w:val="1C2361BA"/>
    <w:rsid w:val="1E3F9E51"/>
    <w:rsid w:val="1E8A43AA"/>
    <w:rsid w:val="1EA261CE"/>
    <w:rsid w:val="1F6B3BBD"/>
    <w:rsid w:val="23C26642"/>
    <w:rsid w:val="254716DD"/>
    <w:rsid w:val="27C6B596"/>
    <w:rsid w:val="27EDF50E"/>
    <w:rsid w:val="280136B2"/>
    <w:rsid w:val="29B07B75"/>
    <w:rsid w:val="2B3C2EE3"/>
    <w:rsid w:val="2D0F4C2F"/>
    <w:rsid w:val="2D57196B"/>
    <w:rsid w:val="2EF5FDDA"/>
    <w:rsid w:val="2EFFDDAA"/>
    <w:rsid w:val="2FB77156"/>
    <w:rsid w:val="32D30DAD"/>
    <w:rsid w:val="33775400"/>
    <w:rsid w:val="34ED1C61"/>
    <w:rsid w:val="35104F87"/>
    <w:rsid w:val="36192590"/>
    <w:rsid w:val="36801546"/>
    <w:rsid w:val="38CB41BA"/>
    <w:rsid w:val="3B881A3E"/>
    <w:rsid w:val="3C2970C0"/>
    <w:rsid w:val="3D2D0EEC"/>
    <w:rsid w:val="3D4D2D2E"/>
    <w:rsid w:val="3D7F8341"/>
    <w:rsid w:val="3DC7137D"/>
    <w:rsid w:val="3EDC19B1"/>
    <w:rsid w:val="3EFA4B91"/>
    <w:rsid w:val="3F3F81DA"/>
    <w:rsid w:val="3F7F8FA0"/>
    <w:rsid w:val="3F7FCDD0"/>
    <w:rsid w:val="3F8FA4E8"/>
    <w:rsid w:val="3F922241"/>
    <w:rsid w:val="405368AD"/>
    <w:rsid w:val="40760B19"/>
    <w:rsid w:val="41880DC7"/>
    <w:rsid w:val="42C669D1"/>
    <w:rsid w:val="43297F3D"/>
    <w:rsid w:val="436C7D6B"/>
    <w:rsid w:val="439274EE"/>
    <w:rsid w:val="443F3FFC"/>
    <w:rsid w:val="446C184E"/>
    <w:rsid w:val="45115610"/>
    <w:rsid w:val="457CBE2D"/>
    <w:rsid w:val="46D026DB"/>
    <w:rsid w:val="4803505C"/>
    <w:rsid w:val="49B3CE46"/>
    <w:rsid w:val="4A7224B3"/>
    <w:rsid w:val="4A7E09F0"/>
    <w:rsid w:val="4B5F82E3"/>
    <w:rsid w:val="4C0F4D8B"/>
    <w:rsid w:val="4C2600E8"/>
    <w:rsid w:val="4D812CAB"/>
    <w:rsid w:val="4DF655F8"/>
    <w:rsid w:val="4FFF0EEB"/>
    <w:rsid w:val="50C44491"/>
    <w:rsid w:val="52C670DA"/>
    <w:rsid w:val="52D8F375"/>
    <w:rsid w:val="53FE2BF7"/>
    <w:rsid w:val="549363D0"/>
    <w:rsid w:val="55F1E074"/>
    <w:rsid w:val="56582839"/>
    <w:rsid w:val="56FD4C65"/>
    <w:rsid w:val="57BE4AFC"/>
    <w:rsid w:val="57FD5624"/>
    <w:rsid w:val="59CC1752"/>
    <w:rsid w:val="5A66205E"/>
    <w:rsid w:val="5AF2343A"/>
    <w:rsid w:val="5B7E05FA"/>
    <w:rsid w:val="5BBB66CE"/>
    <w:rsid w:val="5C0A65EF"/>
    <w:rsid w:val="5D02548B"/>
    <w:rsid w:val="5E0B315A"/>
    <w:rsid w:val="5EF12152"/>
    <w:rsid w:val="5FA91901"/>
    <w:rsid w:val="5FEF3701"/>
    <w:rsid w:val="5FF7D7CC"/>
    <w:rsid w:val="60402552"/>
    <w:rsid w:val="61554B37"/>
    <w:rsid w:val="61B95F68"/>
    <w:rsid w:val="62790DC9"/>
    <w:rsid w:val="641E704E"/>
    <w:rsid w:val="642052D3"/>
    <w:rsid w:val="65F74ED9"/>
    <w:rsid w:val="66DE3E0F"/>
    <w:rsid w:val="671B1623"/>
    <w:rsid w:val="67650123"/>
    <w:rsid w:val="67CF2E9C"/>
    <w:rsid w:val="6AA60A9A"/>
    <w:rsid w:val="6AFC176B"/>
    <w:rsid w:val="6B0B7C00"/>
    <w:rsid w:val="6BC8789F"/>
    <w:rsid w:val="6BFF043A"/>
    <w:rsid w:val="6CFB0ED9"/>
    <w:rsid w:val="6D4D5460"/>
    <w:rsid w:val="6D9E3515"/>
    <w:rsid w:val="6DA23511"/>
    <w:rsid w:val="6E4965FC"/>
    <w:rsid w:val="6F0A66BA"/>
    <w:rsid w:val="6FCF4062"/>
    <w:rsid w:val="6FFF011B"/>
    <w:rsid w:val="703D7D31"/>
    <w:rsid w:val="767F90FC"/>
    <w:rsid w:val="769D3E02"/>
    <w:rsid w:val="78D14237"/>
    <w:rsid w:val="798D1378"/>
    <w:rsid w:val="79FE5AF0"/>
    <w:rsid w:val="7A920C25"/>
    <w:rsid w:val="7B3FD21F"/>
    <w:rsid w:val="7BF7DF74"/>
    <w:rsid w:val="7C482AA8"/>
    <w:rsid w:val="7CFB0C64"/>
    <w:rsid w:val="7DAFD5F1"/>
    <w:rsid w:val="7DBD32C9"/>
    <w:rsid w:val="7DD620CC"/>
    <w:rsid w:val="7DFDB949"/>
    <w:rsid w:val="7EDDCF52"/>
    <w:rsid w:val="7F5DF83F"/>
    <w:rsid w:val="7F7F7B28"/>
    <w:rsid w:val="7FDD8D14"/>
    <w:rsid w:val="7FDEF73B"/>
    <w:rsid w:val="7FE7EE66"/>
    <w:rsid w:val="7FEB3646"/>
    <w:rsid w:val="7FF6601D"/>
    <w:rsid w:val="7FFF7B31"/>
    <w:rsid w:val="8D3EBC96"/>
    <w:rsid w:val="933FB707"/>
    <w:rsid w:val="97F8EF05"/>
    <w:rsid w:val="9FE62076"/>
    <w:rsid w:val="9FEF61CF"/>
    <w:rsid w:val="9FFE352B"/>
    <w:rsid w:val="AFFFD7BF"/>
    <w:rsid w:val="B7FF42C2"/>
    <w:rsid w:val="B8EEB8A8"/>
    <w:rsid w:val="B97C8042"/>
    <w:rsid w:val="BA37311A"/>
    <w:rsid w:val="BFAB3351"/>
    <w:rsid w:val="BFE27215"/>
    <w:rsid w:val="BFFEE6D7"/>
    <w:rsid w:val="CAD8775D"/>
    <w:rsid w:val="CF95E846"/>
    <w:rsid w:val="D274059A"/>
    <w:rsid w:val="D7CBF15A"/>
    <w:rsid w:val="D7FE2BA8"/>
    <w:rsid w:val="DFBFAD81"/>
    <w:rsid w:val="E5DEE1EC"/>
    <w:rsid w:val="E6DF196A"/>
    <w:rsid w:val="EBE9EB35"/>
    <w:rsid w:val="EBFF857D"/>
    <w:rsid w:val="EF452F9D"/>
    <w:rsid w:val="EFDDE029"/>
    <w:rsid w:val="EFEF0A75"/>
    <w:rsid w:val="EFFD611B"/>
    <w:rsid w:val="F52F22B5"/>
    <w:rsid w:val="F5AF2F6B"/>
    <w:rsid w:val="F76DF856"/>
    <w:rsid w:val="FADC3C11"/>
    <w:rsid w:val="FAEBC3EE"/>
    <w:rsid w:val="FB5D8A7B"/>
    <w:rsid w:val="FB7E3CCD"/>
    <w:rsid w:val="FBEB4BC8"/>
    <w:rsid w:val="FCFB5ECC"/>
    <w:rsid w:val="FE7EE62F"/>
    <w:rsid w:val="FF3B6127"/>
    <w:rsid w:val="FF7B7A10"/>
    <w:rsid w:val="FFA796A3"/>
    <w:rsid w:val="FFD7894B"/>
    <w:rsid w:val="FFDC118E"/>
    <w:rsid w:val="FFE7EF1F"/>
    <w:rsid w:val="FFFFEE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25"/>
    <w:qFormat/>
    <w:uiPriority w:val="0"/>
    <w:pPr>
      <w:keepNext/>
      <w:keepLines/>
      <w:spacing w:before="260" w:after="260" w:line="416" w:lineRule="auto"/>
      <w:outlineLvl w:val="2"/>
    </w:pPr>
    <w:rPr>
      <w:rFonts w:ascii="Times New Roman" w:hAnsi="Times New Roman"/>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34"/>
    <w:unhideWhenUsed/>
    <w:qFormat/>
    <w:uiPriority w:val="99"/>
    <w:pPr>
      <w:widowControl/>
      <w:spacing w:after="120" w:line="256" w:lineRule="auto"/>
      <w:ind w:left="420" w:leftChars="200" w:firstLine="420" w:firstLineChars="200"/>
      <w:jc w:val="left"/>
    </w:pPr>
    <w:rPr>
      <w:rFonts w:eastAsia="Calibri"/>
      <w:color w:val="000000"/>
      <w:sz w:val="22"/>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link w:val="26"/>
    <w:qFormat/>
    <w:uiPriority w:val="0"/>
    <w:pPr>
      <w:jc w:val="left"/>
    </w:pPr>
  </w:style>
  <w:style w:type="paragraph" w:styleId="7">
    <w:name w:val="Body Text"/>
    <w:basedOn w:val="1"/>
    <w:next w:val="1"/>
    <w:link w:val="27"/>
    <w:qFormat/>
    <w:uiPriority w:val="0"/>
    <w:pPr>
      <w:spacing w:after="120"/>
    </w:pPr>
  </w:style>
  <w:style w:type="paragraph" w:styleId="8">
    <w:name w:val="Body Text Indent"/>
    <w:basedOn w:val="1"/>
    <w:link w:val="33"/>
    <w:semiHidden/>
    <w:unhideWhenUsed/>
    <w:qFormat/>
    <w:uiPriority w:val="0"/>
    <w:pPr>
      <w:spacing w:after="120"/>
      <w:ind w:left="420" w:leftChars="200"/>
    </w:pPr>
  </w:style>
  <w:style w:type="paragraph" w:styleId="9">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10">
    <w:name w:val="Plain Text"/>
    <w:basedOn w:val="1"/>
    <w:link w:val="31"/>
    <w:qFormat/>
    <w:uiPriority w:val="0"/>
    <w:rPr>
      <w:rFonts w:hint="eastAsia" w:ascii="宋体" w:hAnsi="Courier New"/>
      <w:kern w:val="0"/>
      <w:sz w:val="20"/>
      <w:szCs w:val="21"/>
    </w:rPr>
  </w:style>
  <w:style w:type="paragraph" w:styleId="11">
    <w:name w:val="Balloon Text"/>
    <w:basedOn w:val="1"/>
    <w:link w:val="21"/>
    <w:qFormat/>
    <w:uiPriority w:val="0"/>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16">
    <w:name w:val="annotation subject"/>
    <w:basedOn w:val="6"/>
    <w:next w:val="6"/>
    <w:link w:val="28"/>
    <w:qFormat/>
    <w:uiPriority w:val="0"/>
    <w:pPr>
      <w:widowControl/>
    </w:pPr>
    <w:rPr>
      <w:b/>
      <w:bCs/>
      <w:kern w:val="0"/>
      <w:sz w:val="20"/>
      <w:szCs w:val="20"/>
    </w:rPr>
  </w:style>
  <w:style w:type="paragraph" w:styleId="17">
    <w:name w:val="Body Text First Indent"/>
    <w:basedOn w:val="7"/>
    <w:link w:val="29"/>
    <w:qFormat/>
    <w:uiPriority w:val="0"/>
    <w:pPr>
      <w:ind w:firstLine="420" w:firstLineChars="100"/>
    </w:pPr>
    <w:rPr>
      <w:rFonts w:ascii="Times New Roman" w:hAnsi="Times New Roman"/>
    </w:rPr>
  </w:style>
  <w:style w:type="character" w:styleId="20">
    <w:name w:val="Hyperlink"/>
    <w:unhideWhenUsed/>
    <w:qFormat/>
    <w:uiPriority w:val="99"/>
    <w:rPr>
      <w:color w:val="0563C1"/>
      <w:u w:val="single"/>
    </w:rPr>
  </w:style>
  <w:style w:type="character" w:customStyle="1" w:styleId="21">
    <w:name w:val="批注框文本 Char"/>
    <w:basedOn w:val="19"/>
    <w:link w:val="11"/>
    <w:qFormat/>
    <w:uiPriority w:val="0"/>
    <w:rPr>
      <w:rFonts w:ascii="Calibri" w:hAnsi="Calibri" w:eastAsia="宋体" w:cs="Times New Roman"/>
      <w:kern w:val="2"/>
      <w:sz w:val="18"/>
      <w:szCs w:val="18"/>
    </w:rPr>
  </w:style>
  <w:style w:type="character" w:customStyle="1" w:styleId="22">
    <w:name w:val="页眉 Char"/>
    <w:basedOn w:val="19"/>
    <w:link w:val="13"/>
    <w:qFormat/>
    <w:uiPriority w:val="0"/>
    <w:rPr>
      <w:rFonts w:ascii="Calibri" w:hAnsi="Calibri" w:eastAsia="宋体" w:cs="Times New Roman"/>
      <w:kern w:val="2"/>
      <w:sz w:val="18"/>
      <w:szCs w:val="18"/>
    </w:rPr>
  </w:style>
  <w:style w:type="character" w:customStyle="1" w:styleId="23">
    <w:name w:val="页脚 Char"/>
    <w:basedOn w:val="19"/>
    <w:link w:val="12"/>
    <w:qFormat/>
    <w:uiPriority w:val="0"/>
    <w:rPr>
      <w:rFonts w:ascii="Calibri" w:hAnsi="Calibri" w:eastAsia="宋体" w:cs="Times New Roman"/>
      <w:kern w:val="2"/>
      <w:sz w:val="18"/>
      <w:szCs w:val="18"/>
    </w:rPr>
  </w:style>
  <w:style w:type="character" w:customStyle="1" w:styleId="24">
    <w:name w:val="标题 2 Char"/>
    <w:basedOn w:val="19"/>
    <w:link w:val="3"/>
    <w:qFormat/>
    <w:uiPriority w:val="0"/>
    <w:rPr>
      <w:rFonts w:ascii="Arial" w:hAnsi="Arial" w:eastAsia="黑体" w:cs="Times New Roman"/>
      <w:b/>
      <w:sz w:val="32"/>
    </w:rPr>
  </w:style>
  <w:style w:type="character" w:customStyle="1" w:styleId="25">
    <w:name w:val="标题 3 Char"/>
    <w:basedOn w:val="19"/>
    <w:link w:val="4"/>
    <w:qFormat/>
    <w:uiPriority w:val="0"/>
    <w:rPr>
      <w:rFonts w:ascii="Times New Roman" w:hAnsi="Times New Roman" w:eastAsia="宋体" w:cs="Times New Roman"/>
      <w:b/>
      <w:bCs/>
      <w:kern w:val="2"/>
      <w:sz w:val="32"/>
      <w:szCs w:val="32"/>
    </w:rPr>
  </w:style>
  <w:style w:type="character" w:customStyle="1" w:styleId="26">
    <w:name w:val="批注文字 Char"/>
    <w:basedOn w:val="19"/>
    <w:link w:val="6"/>
    <w:qFormat/>
    <w:uiPriority w:val="0"/>
    <w:rPr>
      <w:rFonts w:ascii="Calibri" w:hAnsi="Calibri" w:eastAsia="宋体" w:cs="Times New Roman"/>
      <w:kern w:val="2"/>
      <w:sz w:val="21"/>
      <w:szCs w:val="22"/>
    </w:rPr>
  </w:style>
  <w:style w:type="character" w:customStyle="1" w:styleId="27">
    <w:name w:val="正文文本 Char"/>
    <w:basedOn w:val="19"/>
    <w:link w:val="7"/>
    <w:qFormat/>
    <w:uiPriority w:val="0"/>
    <w:rPr>
      <w:rFonts w:ascii="Calibri" w:hAnsi="Calibri" w:eastAsia="宋体" w:cs="Times New Roman"/>
      <w:kern w:val="2"/>
      <w:sz w:val="21"/>
      <w:szCs w:val="22"/>
    </w:rPr>
  </w:style>
  <w:style w:type="character" w:customStyle="1" w:styleId="28">
    <w:name w:val="批注主题 Char"/>
    <w:basedOn w:val="26"/>
    <w:link w:val="16"/>
    <w:qFormat/>
    <w:uiPriority w:val="0"/>
    <w:rPr>
      <w:rFonts w:ascii="Calibri" w:hAnsi="Calibri" w:eastAsia="宋体" w:cs="Times New Roman"/>
      <w:b/>
      <w:bCs/>
      <w:kern w:val="2"/>
      <w:sz w:val="21"/>
      <w:szCs w:val="22"/>
    </w:rPr>
  </w:style>
  <w:style w:type="character" w:customStyle="1" w:styleId="29">
    <w:name w:val="正文首行缩进 Char"/>
    <w:basedOn w:val="27"/>
    <w:link w:val="17"/>
    <w:qFormat/>
    <w:uiPriority w:val="0"/>
    <w:rPr>
      <w:rFonts w:ascii="Times New Roman" w:hAnsi="Times New Roman" w:eastAsia="宋体" w:cs="Times New Roman"/>
      <w:kern w:val="2"/>
      <w:sz w:val="21"/>
      <w:szCs w:val="22"/>
    </w:rPr>
  </w:style>
  <w:style w:type="paragraph" w:customStyle="1" w:styleId="30">
    <w:name w:val="xl84"/>
    <w:basedOn w:val="1"/>
    <w:qFormat/>
    <w:uiPriority w:val="0"/>
    <w:pPr>
      <w:widowControl/>
      <w:spacing w:before="100" w:beforeAutospacing="1" w:after="100" w:afterAutospacing="1"/>
      <w:jc w:val="left"/>
    </w:pPr>
    <w:rPr>
      <w:rFonts w:ascii="宋体" w:hAnsi="宋体" w:cs="宋体"/>
      <w:b/>
      <w:bCs/>
      <w:kern w:val="0"/>
      <w:sz w:val="18"/>
      <w:szCs w:val="18"/>
    </w:rPr>
  </w:style>
  <w:style w:type="character" w:customStyle="1" w:styleId="31">
    <w:name w:val="纯文本 Char"/>
    <w:basedOn w:val="19"/>
    <w:link w:val="10"/>
    <w:qFormat/>
    <w:uiPriority w:val="0"/>
    <w:rPr>
      <w:rFonts w:ascii="宋体" w:hAnsi="Courier New" w:eastAsia="宋体" w:cs="Times New Roman"/>
      <w:szCs w:val="21"/>
    </w:rPr>
  </w:style>
  <w:style w:type="paragraph" w:customStyle="1" w:styleId="32">
    <w:name w:val="_Style 44"/>
    <w:basedOn w:val="7"/>
    <w:next w:val="17"/>
    <w:qFormat/>
    <w:uiPriority w:val="99"/>
    <w:pPr>
      <w:spacing w:before="100" w:beforeAutospacing="1"/>
      <w:ind w:firstLine="420"/>
    </w:pPr>
    <w:rPr>
      <w:rFonts w:ascii="Times New Roman" w:hAnsi="Times New Roman"/>
    </w:rPr>
  </w:style>
  <w:style w:type="character" w:customStyle="1" w:styleId="33">
    <w:name w:val="正文文本缩进 Char"/>
    <w:basedOn w:val="19"/>
    <w:link w:val="8"/>
    <w:qFormat/>
    <w:uiPriority w:val="0"/>
    <w:rPr>
      <w:rFonts w:hint="default" w:ascii="Calibri" w:hAnsi="Calibri" w:eastAsia="宋体" w:cs="Times New Roman"/>
      <w:kern w:val="2"/>
      <w:sz w:val="21"/>
      <w:szCs w:val="22"/>
    </w:rPr>
  </w:style>
  <w:style w:type="character" w:customStyle="1" w:styleId="34">
    <w:name w:val="正文首行缩进 2 Char"/>
    <w:basedOn w:val="33"/>
    <w:link w:val="2"/>
    <w:qFormat/>
    <w:uiPriority w:val="0"/>
    <w:rPr>
      <w:rFonts w:hint="default" w:ascii="Calibri" w:hAnsi="Calibri" w:eastAsia="宋体" w:cs="Times New Roman"/>
      <w:kern w:val="2"/>
      <w:sz w:val="21"/>
      <w:szCs w:val="22"/>
    </w:rPr>
  </w:style>
  <w:style w:type="paragraph" w:customStyle="1" w:styleId="35">
    <w:name w:val="样式 宋体 行距: 1.5 倍行距"/>
    <w:basedOn w:val="1"/>
    <w:qFormat/>
    <w:uiPriority w:val="0"/>
    <w:pPr>
      <w:jc w:val="center"/>
    </w:pPr>
    <w:rPr>
      <w:rFonts w:ascii="Calibri" w:hAnsi="Calibri"/>
      <w:b/>
    </w:rPr>
  </w:style>
  <w:style w:type="paragraph" w:customStyle="1" w:styleId="36">
    <w:name w:val="CM6"/>
    <w:basedOn w:val="1"/>
    <w:next w:val="1"/>
    <w:qFormat/>
    <w:uiPriority w:val="0"/>
    <w:pPr>
      <w:autoSpaceDE w:val="0"/>
      <w:autoSpaceDN w:val="0"/>
      <w:adjustRightInd w:val="0"/>
      <w:spacing w:line="626" w:lineRule="atLeast"/>
      <w:jc w:val="left"/>
    </w:pPr>
    <w:rPr>
      <w:rFonts w:ascii="隶书" w:hAnsi="Times New Roman" w:eastAsia="隶书"/>
      <w:kern w:val="0"/>
      <w:sz w:val="24"/>
      <w:szCs w:val="24"/>
    </w:rPr>
  </w:style>
  <w:style w:type="paragraph" w:customStyle="1" w:styleId="37">
    <w:name w:val="正文首行缩进1"/>
    <w:basedOn w:val="7"/>
    <w:qFormat/>
    <w:uiPriority w:val="0"/>
    <w:pPr>
      <w:spacing w:before="100" w:beforeAutospacing="1"/>
      <w:ind w:firstLine="420"/>
    </w:pPr>
    <w:rPr>
      <w:rFonts w:ascii="Times New Roman" w:hAnsi="Times New Roman"/>
      <w:szCs w:val="21"/>
    </w:rPr>
  </w:style>
  <w:style w:type="character" w:customStyle="1" w:styleId="38">
    <w:name w:val="font51"/>
    <w:basedOn w:val="19"/>
    <w:qFormat/>
    <w:uiPriority w:val="0"/>
    <w:rPr>
      <w:rFonts w:hint="default" w:ascii="Times New Roman" w:hAnsi="Times New Roman" w:cs="Times New Roman"/>
      <w:color w:val="000000"/>
      <w:sz w:val="22"/>
      <w:szCs w:val="22"/>
      <w:u w:val="none"/>
    </w:rPr>
  </w:style>
  <w:style w:type="character" w:customStyle="1" w:styleId="39">
    <w:name w:val="font01"/>
    <w:basedOn w:val="19"/>
    <w:qFormat/>
    <w:uiPriority w:val="0"/>
    <w:rPr>
      <w:rFonts w:hint="eastAsia" w:ascii="宋体" w:hAnsi="宋体" w:eastAsia="宋体" w:cs="宋体"/>
      <w:color w:val="000000"/>
      <w:sz w:val="22"/>
      <w:szCs w:val="22"/>
      <w:u w:val="none"/>
    </w:rPr>
  </w:style>
  <w:style w:type="character" w:customStyle="1" w:styleId="40">
    <w:name w:val="font61"/>
    <w:basedOn w:val="19"/>
    <w:qFormat/>
    <w:uiPriority w:val="0"/>
    <w:rPr>
      <w:rFonts w:hint="eastAsia" w:ascii="宋体" w:hAnsi="宋体" w:eastAsia="宋体" w:cs="宋体"/>
      <w:color w:val="000000"/>
      <w:sz w:val="22"/>
      <w:szCs w:val="22"/>
      <w:u w:val="none"/>
    </w:rPr>
  </w:style>
  <w:style w:type="character" w:customStyle="1" w:styleId="41">
    <w:name w:val="font81"/>
    <w:basedOn w:val="19"/>
    <w:qFormat/>
    <w:uiPriority w:val="0"/>
    <w:rPr>
      <w:rFonts w:hint="default" w:ascii="Calibri Light" w:hAnsi="Calibri Light" w:eastAsia="Calibri Light" w:cs="Calibri Ligh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4209</Words>
  <Characters>4613</Characters>
  <Lines>34</Lines>
  <Paragraphs>9</Paragraphs>
  <TotalTime>33</TotalTime>
  <ScaleCrop>false</ScaleCrop>
  <LinksUpToDate>false</LinksUpToDate>
  <CharactersWithSpaces>4815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2023-03-08T14:15:00Z</dcterms:created>
  <dc:creator>gdzgjl</dc:creator>
  <cp:lastModifiedBy>gzzb</cp:lastModifiedBy>
  <dcterms:modified xsi:type="dcterms:W3CDTF">2023-09-27T10:17:56Z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334EFB07869F49A0A90EA39D6FED0272_13</vt:lpwstr>
  </property>
</Properties>
</file>