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auto"/>
          <w:kern w:val="0"/>
          <w:sz w:val="32"/>
          <w:szCs w:val="32"/>
          <w:highlight w:val="none"/>
        </w:rPr>
      </w:pPr>
      <w:r>
        <w:rPr>
          <w:rFonts w:hint="eastAsia" w:ascii="宋体" w:hAnsi="宋体"/>
          <w:b/>
          <w:color w:val="auto"/>
          <w:kern w:val="0"/>
          <w:sz w:val="32"/>
          <w:szCs w:val="32"/>
          <w:highlight w:val="none"/>
        </w:rPr>
        <w:t>广州市增城区官湖河（新塘段）整治工程施工</w:t>
      </w:r>
    </w:p>
    <w:p>
      <w:pPr>
        <w:jc w:val="center"/>
        <w:rPr>
          <w:rFonts w:ascii="宋体" w:hAnsi="宋体"/>
          <w:b/>
          <w:color w:val="auto"/>
          <w:kern w:val="0"/>
          <w:sz w:val="32"/>
          <w:szCs w:val="32"/>
          <w:highlight w:val="none"/>
        </w:rPr>
      </w:pPr>
      <w:r>
        <w:rPr>
          <w:rFonts w:hint="eastAsia" w:ascii="宋体" w:hAnsi="宋体"/>
          <w:b/>
          <w:color w:val="auto"/>
          <w:kern w:val="0"/>
          <w:sz w:val="32"/>
          <w:szCs w:val="32"/>
          <w:highlight w:val="none"/>
        </w:rPr>
        <w:t>招标公告</w:t>
      </w:r>
    </w:p>
    <w:p>
      <w:pPr>
        <w:pStyle w:val="2"/>
        <w:rPr>
          <w:rFonts w:ascii="宋体" w:hAnsi="宋体"/>
          <w:b/>
          <w:color w:val="auto"/>
          <w:highlight w:val="none"/>
        </w:rPr>
      </w:pPr>
      <w:bookmarkStart w:id="0" w:name="_Toc115179673"/>
      <w:r>
        <w:rPr>
          <w:rFonts w:hint="eastAsia" w:ascii="宋体" w:hAnsi="宋体"/>
          <w:b/>
          <w:color w:val="auto"/>
          <w:highlight w:val="none"/>
        </w:rPr>
        <w:t>招标条件</w:t>
      </w:r>
      <w:bookmarkEnd w:id="0"/>
    </w:p>
    <w:p>
      <w:pPr>
        <w:spacing w:line="360" w:lineRule="auto"/>
        <w:ind w:firstLine="540" w:firstLineChars="225"/>
        <w:rPr>
          <w:rFonts w:ascii="宋体" w:hAnsi="宋体"/>
          <w:color w:val="auto"/>
          <w:sz w:val="24"/>
          <w:szCs w:val="24"/>
          <w:highlight w:val="none"/>
        </w:rPr>
      </w:pPr>
      <w:r>
        <w:rPr>
          <w:rFonts w:ascii="宋体" w:hAnsi="宋体"/>
          <w:color w:val="auto"/>
          <w:sz w:val="24"/>
          <w:szCs w:val="24"/>
          <w:highlight w:val="none"/>
        </w:rPr>
        <w:t>本招标项目</w:t>
      </w:r>
      <w:r>
        <w:rPr>
          <w:rFonts w:hint="eastAsia" w:ascii="宋体" w:hAnsi="宋体"/>
          <w:color w:val="auto"/>
          <w:sz w:val="24"/>
          <w:szCs w:val="24"/>
          <w:highlight w:val="none"/>
          <w:u w:val="single"/>
        </w:rPr>
        <w:t>广州市增城区官湖河（新塘段）整治工程</w:t>
      </w:r>
      <w:r>
        <w:rPr>
          <w:rFonts w:ascii="宋体" w:hAnsi="宋体"/>
          <w:color w:val="auto"/>
          <w:sz w:val="24"/>
          <w:szCs w:val="24"/>
          <w:highlight w:val="none"/>
        </w:rPr>
        <w:t>已由</w:t>
      </w:r>
      <w:r>
        <w:rPr>
          <w:rFonts w:hint="eastAsia" w:ascii="宋体" w:hAnsi="宋体"/>
          <w:color w:val="auto"/>
          <w:sz w:val="24"/>
          <w:szCs w:val="24"/>
          <w:highlight w:val="none"/>
          <w:u w:val="single"/>
        </w:rPr>
        <w:t>广州市增城区发展和改革局</w:t>
      </w:r>
      <w:r>
        <w:rPr>
          <w:rFonts w:ascii="宋体" w:hAnsi="宋体"/>
          <w:color w:val="auto"/>
          <w:sz w:val="24"/>
          <w:szCs w:val="24"/>
          <w:highlight w:val="none"/>
        </w:rPr>
        <w:t>以</w:t>
      </w:r>
      <w:r>
        <w:rPr>
          <w:rFonts w:hint="eastAsia" w:ascii="宋体" w:hAnsi="宋体"/>
          <w:color w:val="auto"/>
          <w:sz w:val="24"/>
          <w:szCs w:val="24"/>
          <w:highlight w:val="none"/>
          <w:u w:val="single"/>
        </w:rPr>
        <w:t>穗增发改投批〔2022〕33号（项目代码：2109-440118-04-01-782069）</w:t>
      </w:r>
      <w:r>
        <w:rPr>
          <w:rFonts w:ascii="宋体" w:hAnsi="宋体"/>
          <w:color w:val="auto"/>
          <w:sz w:val="24"/>
          <w:szCs w:val="24"/>
          <w:highlight w:val="none"/>
        </w:rPr>
        <w:t>批准建设</w:t>
      </w:r>
      <w:r>
        <w:rPr>
          <w:rFonts w:hint="eastAsia" w:ascii="宋体" w:hAnsi="宋体"/>
          <w:color w:val="auto"/>
          <w:sz w:val="24"/>
          <w:szCs w:val="24"/>
          <w:highlight w:val="none"/>
        </w:rPr>
        <w:t>，</w:t>
      </w:r>
      <w:r>
        <w:rPr>
          <w:rFonts w:ascii="宋体" w:hAnsi="宋体"/>
          <w:color w:val="auto"/>
          <w:sz w:val="24"/>
          <w:szCs w:val="24"/>
          <w:highlight w:val="none"/>
        </w:rPr>
        <w:t>项目业主为</w:t>
      </w:r>
      <w:r>
        <w:rPr>
          <w:rFonts w:hint="eastAsia" w:ascii="宋体" w:hAnsi="宋体"/>
          <w:color w:val="auto"/>
          <w:sz w:val="24"/>
          <w:szCs w:val="24"/>
          <w:highlight w:val="none"/>
          <w:u w:val="single"/>
        </w:rPr>
        <w:t>广州市增城区新塘镇人民政府</w:t>
      </w:r>
      <w:r>
        <w:rPr>
          <w:rFonts w:ascii="宋体" w:hAnsi="宋体"/>
          <w:color w:val="auto"/>
          <w:sz w:val="24"/>
          <w:szCs w:val="24"/>
          <w:highlight w:val="none"/>
        </w:rPr>
        <w:t>，建设资金来自</w:t>
      </w:r>
      <w:r>
        <w:rPr>
          <w:rFonts w:hint="eastAsia" w:ascii="宋体" w:hAnsi="宋体"/>
          <w:color w:val="auto"/>
          <w:sz w:val="24"/>
          <w:szCs w:val="24"/>
          <w:highlight w:val="none"/>
          <w:u w:val="single"/>
        </w:rPr>
        <w:t>财政资金</w:t>
      </w:r>
      <w:r>
        <w:rPr>
          <w:rFonts w:ascii="宋体" w:hAnsi="宋体"/>
          <w:color w:val="auto"/>
          <w:sz w:val="24"/>
          <w:szCs w:val="24"/>
          <w:highlight w:val="none"/>
        </w:rPr>
        <w:t>，项目出资比例为</w:t>
      </w:r>
      <w:r>
        <w:rPr>
          <w:rFonts w:hint="eastAsia" w:ascii="宋体" w:hAnsi="宋体"/>
          <w:color w:val="auto"/>
          <w:sz w:val="24"/>
          <w:szCs w:val="24"/>
          <w:highlight w:val="none"/>
          <w:u w:val="single"/>
        </w:rPr>
        <w:t>100%</w:t>
      </w:r>
      <w:r>
        <w:rPr>
          <w:rFonts w:ascii="宋体" w:hAnsi="宋体"/>
          <w:color w:val="auto"/>
          <w:sz w:val="24"/>
          <w:szCs w:val="24"/>
          <w:highlight w:val="none"/>
        </w:rPr>
        <w:t>, 招标人为</w:t>
      </w:r>
      <w:r>
        <w:rPr>
          <w:rFonts w:hint="eastAsia" w:ascii="宋体" w:hAnsi="宋体"/>
          <w:color w:val="auto"/>
          <w:sz w:val="24"/>
          <w:szCs w:val="24"/>
          <w:highlight w:val="none"/>
          <w:u w:val="single"/>
        </w:rPr>
        <w:t>广州市增城区新塘镇人民政府</w:t>
      </w:r>
      <w:r>
        <w:rPr>
          <w:rFonts w:hint="eastAsia" w:ascii="宋体" w:hAnsi="宋体"/>
          <w:color w:val="auto"/>
          <w:sz w:val="24"/>
          <w:szCs w:val="24"/>
          <w:highlight w:val="none"/>
        </w:rPr>
        <w:t>。</w:t>
      </w:r>
      <w:r>
        <w:rPr>
          <w:rFonts w:ascii="宋体" w:hAnsi="宋体"/>
          <w:color w:val="auto"/>
          <w:sz w:val="24"/>
          <w:szCs w:val="24"/>
          <w:highlight w:val="none"/>
        </w:rPr>
        <w:t>项目已具备招标条件，现对该项目施工进行公开招标。</w:t>
      </w:r>
    </w:p>
    <w:p>
      <w:pPr>
        <w:pStyle w:val="2"/>
        <w:rPr>
          <w:rFonts w:ascii="宋体" w:hAnsi="宋体"/>
          <w:b/>
          <w:color w:val="auto"/>
          <w:highlight w:val="none"/>
        </w:rPr>
      </w:pPr>
      <w:bookmarkStart w:id="1" w:name="_Toc115179674"/>
      <w:r>
        <w:rPr>
          <w:rFonts w:ascii="宋体" w:hAnsi="宋体"/>
          <w:b/>
          <w:color w:val="auto"/>
          <w:highlight w:val="none"/>
        </w:rPr>
        <w:t>项目概况与招标范围</w:t>
      </w:r>
      <w:bookmarkEnd w:id="1"/>
    </w:p>
    <w:p>
      <w:pPr>
        <w:numPr>
          <w:ilvl w:val="1"/>
          <w:numId w:val="1"/>
        </w:numPr>
        <w:spacing w:line="360" w:lineRule="auto"/>
        <w:rPr>
          <w:rFonts w:ascii="宋体" w:hAnsi="宋体"/>
          <w:color w:val="auto"/>
          <w:sz w:val="24"/>
          <w:szCs w:val="24"/>
          <w:highlight w:val="none"/>
        </w:rPr>
      </w:pPr>
      <w:r>
        <w:rPr>
          <w:rFonts w:hint="eastAsia" w:ascii="宋体" w:hAnsi="宋体"/>
          <w:color w:val="auto"/>
          <w:sz w:val="24"/>
          <w:szCs w:val="24"/>
          <w:highlight w:val="none"/>
        </w:rPr>
        <w:t>建设地点：</w:t>
      </w:r>
      <w:r>
        <w:rPr>
          <w:rFonts w:hint="eastAsia" w:ascii="宋体" w:hAnsi="宋体" w:cs="宋体"/>
          <w:color w:val="auto"/>
          <w:sz w:val="24"/>
          <w:szCs w:val="24"/>
          <w:highlight w:val="none"/>
          <w:u w:val="single"/>
          <w:lang w:bidi="ar"/>
        </w:rPr>
        <w:t>广州市增城区</w:t>
      </w:r>
      <w:r>
        <w:rPr>
          <w:rFonts w:hint="eastAsia" w:ascii="宋体" w:hAnsi="宋体"/>
          <w:color w:val="auto"/>
          <w:sz w:val="24"/>
          <w:szCs w:val="24"/>
          <w:highlight w:val="none"/>
        </w:rPr>
        <w:t>。</w:t>
      </w:r>
    </w:p>
    <w:p>
      <w:pPr>
        <w:numPr>
          <w:ilvl w:val="1"/>
          <w:numId w:val="1"/>
        </w:numPr>
        <w:spacing w:line="360" w:lineRule="auto"/>
        <w:rPr>
          <w:rFonts w:hint="eastAsia" w:ascii="宋体" w:hAnsi="宋体"/>
          <w:color w:val="auto"/>
          <w:sz w:val="24"/>
          <w:szCs w:val="24"/>
          <w:highlight w:val="none"/>
        </w:rPr>
      </w:pPr>
      <w:r>
        <w:rPr>
          <w:rFonts w:hint="eastAsia" w:ascii="宋体" w:hAnsi="宋体" w:cs="宋体"/>
          <w:color w:val="auto"/>
          <w:sz w:val="24"/>
          <w:szCs w:val="24"/>
          <w:highlight w:val="none"/>
          <w:lang w:bidi="ar"/>
        </w:rPr>
        <w:t>项目规模：项目位于增城区新塘镇，设计防洪标准为50年一遇，工程堤防级别为2级，主要建筑物为2级，次要建筑物为3级。主要建设内容为治理河道全长7.37km，达标加固堤岸9.528km（其中新建生态护岸6.627km，岸坡加固2.901km），重建修复排水涵管27处，新建桥梁3座。</w:t>
      </w:r>
    </w:p>
    <w:p>
      <w:pPr>
        <w:numPr>
          <w:ilvl w:val="1"/>
          <w:numId w:val="1"/>
        </w:num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最高投标限价：</w:t>
      </w:r>
      <w:r>
        <w:rPr>
          <w:rFonts w:hint="eastAsia" w:ascii="宋体" w:hAnsi="宋体"/>
          <w:b/>
          <w:bCs/>
          <w:color w:val="auto"/>
          <w:sz w:val="24"/>
          <w:szCs w:val="24"/>
          <w:highlight w:val="none"/>
          <w:u w:val="single"/>
        </w:rPr>
        <w:t>354063002.72</w:t>
      </w:r>
      <w:r>
        <w:rPr>
          <w:rFonts w:hint="eastAsia" w:ascii="宋体" w:hAnsi="宋体"/>
          <w:color w:val="auto"/>
          <w:sz w:val="24"/>
          <w:szCs w:val="24"/>
          <w:highlight w:val="none"/>
          <w:u w:val="single"/>
        </w:rPr>
        <w:t>元</w:t>
      </w:r>
      <w:r>
        <w:rPr>
          <w:rFonts w:hint="eastAsia" w:ascii="宋体" w:hAnsi="宋体"/>
          <w:color w:val="auto"/>
          <w:sz w:val="24"/>
          <w:szCs w:val="24"/>
          <w:highlight w:val="none"/>
        </w:rPr>
        <w:t>。本工程根据国家和省有关计价规范设置最高投标限价。</w:t>
      </w:r>
    </w:p>
    <w:p>
      <w:pPr>
        <w:numPr>
          <w:ilvl w:val="1"/>
          <w:numId w:val="1"/>
        </w:numPr>
        <w:spacing w:line="360" w:lineRule="auto"/>
        <w:rPr>
          <w:rFonts w:ascii="宋体" w:hAnsi="宋体"/>
          <w:color w:val="auto"/>
          <w:sz w:val="24"/>
          <w:szCs w:val="24"/>
          <w:highlight w:val="none"/>
        </w:rPr>
      </w:pPr>
      <w:r>
        <w:rPr>
          <w:rFonts w:hint="eastAsia" w:ascii="宋体" w:hAnsi="宋体"/>
          <w:color w:val="auto"/>
          <w:sz w:val="24"/>
          <w:szCs w:val="24"/>
          <w:highlight w:val="none"/>
        </w:rPr>
        <w:t>计划工期：</w:t>
      </w:r>
      <w:r>
        <w:rPr>
          <w:rFonts w:hint="eastAsia" w:ascii="宋体" w:hAnsi="宋体"/>
          <w:color w:val="auto"/>
          <w:sz w:val="24"/>
          <w:szCs w:val="24"/>
          <w:highlight w:val="none"/>
          <w:u w:val="single"/>
        </w:rPr>
        <w:t>730</w:t>
      </w:r>
      <w:r>
        <w:rPr>
          <w:rFonts w:hint="eastAsia" w:ascii="宋体" w:hAnsi="宋体"/>
          <w:color w:val="auto"/>
          <w:sz w:val="24"/>
          <w:szCs w:val="24"/>
          <w:highlight w:val="none"/>
        </w:rPr>
        <w:t>日历天。</w:t>
      </w:r>
    </w:p>
    <w:p>
      <w:pPr>
        <w:numPr>
          <w:ilvl w:val="1"/>
          <w:numId w:val="1"/>
        </w:numPr>
        <w:spacing w:line="360" w:lineRule="auto"/>
        <w:rPr>
          <w:rFonts w:hint="eastAsia" w:ascii="宋体" w:hAnsi="宋体"/>
          <w:color w:val="auto"/>
          <w:sz w:val="24"/>
          <w:szCs w:val="24"/>
          <w:highlight w:val="none"/>
          <w:u w:val="single"/>
        </w:rPr>
      </w:pPr>
      <w:r>
        <w:rPr>
          <w:rFonts w:hint="eastAsia" w:ascii="宋体" w:hAnsi="宋体"/>
          <w:color w:val="auto"/>
          <w:sz w:val="24"/>
          <w:szCs w:val="24"/>
          <w:highlight w:val="none"/>
          <w:u w:val="single"/>
        </w:rPr>
        <w:t>招标内容：治理河道全长7.37km，达标加固堤岸9.528km（其中新建生态护岸6.627km，岸坡加固2.901km），重建修复排水涵管27处，新建桥梁3座。（具体工作内容详见施工设计图纸和工程量清单）。</w:t>
      </w:r>
    </w:p>
    <w:p>
      <w:pPr>
        <w:numPr>
          <w:ilvl w:val="1"/>
          <w:numId w:val="1"/>
        </w:numPr>
        <w:spacing w:line="360" w:lineRule="auto"/>
        <w:rPr>
          <w:rFonts w:ascii="宋体" w:hAnsi="宋体"/>
          <w:color w:val="auto"/>
          <w:sz w:val="24"/>
          <w:szCs w:val="24"/>
          <w:highlight w:val="none"/>
        </w:rPr>
      </w:pPr>
      <w:r>
        <w:rPr>
          <w:rFonts w:hint="eastAsia" w:ascii="宋体" w:hAnsi="宋体"/>
          <w:color w:val="auto"/>
          <w:sz w:val="24"/>
          <w:szCs w:val="24"/>
          <w:highlight w:val="none"/>
        </w:rPr>
        <w:t>标段划分：</w:t>
      </w:r>
      <w:r>
        <w:rPr>
          <w:rFonts w:ascii="宋体" w:hAnsi="宋体"/>
          <w:color w:val="auto"/>
          <w:sz w:val="24"/>
          <w:szCs w:val="24"/>
          <w:highlight w:val="none"/>
          <w:u w:val="single"/>
        </w:rPr>
        <w:t xml:space="preserve"> 1 </w:t>
      </w:r>
      <w:r>
        <w:rPr>
          <w:rFonts w:hint="eastAsia" w:ascii="宋体" w:hAnsi="宋体"/>
          <w:color w:val="auto"/>
          <w:sz w:val="24"/>
          <w:szCs w:val="24"/>
          <w:highlight w:val="none"/>
        </w:rPr>
        <w:t>个标段。</w:t>
      </w:r>
    </w:p>
    <w:p>
      <w:pPr>
        <w:numPr>
          <w:ilvl w:val="1"/>
          <w:numId w:val="1"/>
        </w:numPr>
        <w:spacing w:line="360" w:lineRule="auto"/>
        <w:rPr>
          <w:rFonts w:ascii="宋体" w:hAnsi="宋体"/>
          <w:color w:val="auto"/>
          <w:sz w:val="24"/>
          <w:szCs w:val="24"/>
          <w:highlight w:val="none"/>
        </w:rPr>
      </w:pPr>
      <w:r>
        <w:rPr>
          <w:rFonts w:hint="eastAsia" w:ascii="宋体" w:hAnsi="宋体"/>
          <w:color w:val="auto"/>
          <w:sz w:val="24"/>
          <w:szCs w:val="24"/>
          <w:highlight w:val="none"/>
        </w:rPr>
        <w:t>承包方式：</w:t>
      </w:r>
      <w:r>
        <w:rPr>
          <w:rFonts w:hint="eastAsia" w:ascii="宋体" w:hAnsi="宋体"/>
          <w:color w:val="auto"/>
          <w:sz w:val="24"/>
          <w:szCs w:val="24"/>
          <w:highlight w:val="none"/>
          <w:u w:val="single"/>
        </w:rPr>
        <w:t>包工、包料、包工期、包质量、包安全、包文明施工。永久工程综合单价包干、项目临时工程总价包干。</w:t>
      </w:r>
    </w:p>
    <w:p>
      <w:pPr>
        <w:pStyle w:val="2"/>
        <w:rPr>
          <w:rFonts w:ascii="宋体" w:hAnsi="宋体"/>
          <w:b/>
          <w:color w:val="auto"/>
          <w:highlight w:val="none"/>
        </w:rPr>
      </w:pPr>
      <w:bookmarkStart w:id="2" w:name="_Toc115179675"/>
      <w:r>
        <w:rPr>
          <w:rFonts w:ascii="宋体" w:hAnsi="宋体"/>
          <w:b/>
          <w:color w:val="auto"/>
          <w:highlight w:val="none"/>
        </w:rPr>
        <w:t>投标人资格要求</w:t>
      </w:r>
      <w:bookmarkEnd w:id="2"/>
    </w:p>
    <w:p>
      <w:pPr>
        <w:spacing w:line="360" w:lineRule="auto"/>
        <w:rPr>
          <w:rFonts w:ascii="宋体" w:hAnsi="宋体"/>
          <w:bCs/>
          <w:color w:val="auto"/>
          <w:sz w:val="24"/>
          <w:highlight w:val="none"/>
        </w:rPr>
      </w:pPr>
      <w:r>
        <w:rPr>
          <w:rFonts w:hint="eastAsia" w:ascii="宋体" w:hAnsi="宋体"/>
          <w:bCs/>
          <w:color w:val="auto"/>
          <w:sz w:val="24"/>
          <w:highlight w:val="none"/>
        </w:rPr>
        <w:t>投标人应具备承担本工程施工的资质条件、能力和信誉，具体要求如下：</w:t>
      </w:r>
    </w:p>
    <w:p>
      <w:pPr>
        <w:numPr>
          <w:ilvl w:val="1"/>
          <w:numId w:val="1"/>
        </w:num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投标人应具有独立法人资格并依法取得营业执照，营业执照处于有效期。</w:t>
      </w:r>
    </w:p>
    <w:p>
      <w:pPr>
        <w:numPr>
          <w:ilvl w:val="1"/>
          <w:numId w:val="1"/>
        </w:numPr>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投标人应持有建设行政主管部门颁发的企业资质证书及安全生产许可证。</w:t>
      </w:r>
    </w:p>
    <w:p>
      <w:pPr>
        <w:numPr>
          <w:ilvl w:val="1"/>
          <w:numId w:val="1"/>
        </w:numPr>
        <w:spacing w:line="360" w:lineRule="auto"/>
        <w:rPr>
          <w:rFonts w:ascii="宋体" w:hAnsi="宋体" w:cs="宋体"/>
          <w:color w:val="auto"/>
          <w:kern w:val="0"/>
          <w:sz w:val="24"/>
          <w:szCs w:val="24"/>
          <w:highlight w:val="none"/>
        </w:rPr>
      </w:pPr>
      <w:r>
        <w:rPr>
          <w:rFonts w:hint="eastAsia" w:ascii="宋体" w:hAnsi="宋体"/>
          <w:color w:val="auto"/>
          <w:sz w:val="24"/>
          <w:szCs w:val="24"/>
          <w:highlight w:val="none"/>
        </w:rPr>
        <w:t>投标</w:t>
      </w:r>
      <w:r>
        <w:rPr>
          <w:rFonts w:hint="eastAsia" w:ascii="宋体" w:hAnsi="宋体" w:cs="宋体"/>
          <w:color w:val="auto"/>
          <w:kern w:val="0"/>
          <w:sz w:val="24"/>
          <w:szCs w:val="24"/>
          <w:highlight w:val="none"/>
        </w:rPr>
        <w:t>人应具备以下资质：</w:t>
      </w:r>
    </w:p>
    <w:p>
      <w:pPr>
        <w:spacing w:line="360" w:lineRule="auto"/>
        <w:ind w:firstLine="480" w:firstLineChars="200"/>
        <w:rPr>
          <w:rFonts w:ascii="宋体" w:hAnsi="宋体" w:cs="宋体"/>
          <w:color w:val="auto"/>
          <w:kern w:val="0"/>
          <w:sz w:val="24"/>
          <w:szCs w:val="24"/>
          <w:highlight w:val="none"/>
        </w:rPr>
      </w:pPr>
      <w:r>
        <w:rPr>
          <w:rFonts w:hint="eastAsia" w:ascii="宋体" w:hAnsi="宋体"/>
          <w:bCs/>
          <w:color w:val="auto"/>
          <w:sz w:val="24"/>
          <w:highlight w:val="none"/>
        </w:rPr>
        <w:t>投标</w:t>
      </w:r>
      <w:r>
        <w:rPr>
          <w:rFonts w:hint="eastAsia" w:ascii="宋体" w:hAnsi="宋体" w:cs="宋体"/>
          <w:color w:val="auto"/>
          <w:kern w:val="0"/>
          <w:sz w:val="24"/>
          <w:szCs w:val="24"/>
          <w:highlight w:val="none"/>
        </w:rPr>
        <w:t>人具有承接本工程所需的水利水电工程施工总承包壹级（或以上)级别资质</w:t>
      </w:r>
      <w:r>
        <w:rPr>
          <w:rFonts w:ascii="宋体" w:hAnsi="宋体" w:cs="宋体"/>
          <w:color w:val="auto"/>
          <w:kern w:val="0"/>
          <w:sz w:val="24"/>
          <w:szCs w:val="24"/>
          <w:highlight w:val="none"/>
        </w:rPr>
        <w:t>和市政公用工程施工总承包</w:t>
      </w:r>
      <w:r>
        <w:rPr>
          <w:rFonts w:hint="eastAsia" w:ascii="宋体" w:hAnsi="宋体" w:cs="宋体"/>
          <w:color w:val="auto"/>
          <w:kern w:val="0"/>
          <w:sz w:val="24"/>
          <w:szCs w:val="24"/>
          <w:highlight w:val="none"/>
        </w:rPr>
        <w:t>叁级</w:t>
      </w:r>
      <w:r>
        <w:rPr>
          <w:rFonts w:ascii="宋体" w:hAnsi="宋体" w:cs="宋体"/>
          <w:color w:val="auto"/>
          <w:kern w:val="0"/>
          <w:sz w:val="24"/>
          <w:szCs w:val="24"/>
          <w:highlight w:val="none"/>
        </w:rPr>
        <w:t>（或以上）级别资质</w:t>
      </w:r>
      <w:r>
        <w:rPr>
          <w:rFonts w:hint="eastAsia" w:ascii="宋体" w:hAnsi="宋体" w:cs="宋体"/>
          <w:color w:val="auto"/>
          <w:kern w:val="0"/>
          <w:sz w:val="24"/>
          <w:szCs w:val="24"/>
          <w:highlight w:val="none"/>
        </w:rPr>
        <w:t>。</w:t>
      </w:r>
    </w:p>
    <w:p>
      <w:pPr>
        <w:pStyle w:val="10"/>
        <w:spacing w:before="0" w:after="0" w:line="360" w:lineRule="auto"/>
        <w:ind w:firstLine="540"/>
        <w:rPr>
          <w:rFonts w:hint="eastAsia"/>
          <w:b/>
          <w:bCs/>
          <w:color w:val="auto"/>
          <w:highlight w:val="none"/>
        </w:rPr>
      </w:pPr>
      <w:r>
        <w:rPr>
          <w:rFonts w:hint="eastAsia"/>
          <w:b/>
          <w:bCs/>
          <w:color w:val="auto"/>
          <w:highlight w:val="none"/>
        </w:rPr>
        <w:t>注：工程建筑业企业资质证书有效期按《住房和城乡建设部办公厅关于建设工程企业资质延续有关事项的通知》（建办市函〔2020〕334号）、《住房和城乡建设部建筑市场监管司关于建设工程企业资质有效期延期的通知》（建司局函市〔2020〕38号）、《广东省住房和城乡建设厅关于建设工程企业资质延续有关事项的通知》（粤建许函〔2020〕298号）、《广州市住房和城乡建设局关于建设工程企业资质有效期顺延的通知》（穗建审批〔2020〕295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执行。</w:t>
      </w:r>
    </w:p>
    <w:p>
      <w:pPr>
        <w:pStyle w:val="3"/>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如投标人的企业资质是根据 2020年11月30日发布的《住房和城乡建设部关于印发建设工程企业资质管理制度改革方案的通知》（建市〔2020〕94号）办理的，则资质相应要求如下：具有建设行政主管部门颁发的水利水电工程施工总承包</w:t>
      </w:r>
      <w:r>
        <w:rPr>
          <w:rFonts w:hint="eastAsia" w:ascii="宋体" w:hAnsi="宋体" w:cs="宋体"/>
          <w:b/>
          <w:bCs/>
          <w:color w:val="auto"/>
          <w:kern w:val="0"/>
          <w:sz w:val="24"/>
          <w:szCs w:val="24"/>
          <w:highlight w:val="none"/>
          <w:lang w:eastAsia="zh-CN"/>
        </w:rPr>
        <w:t>甲级或以上</w:t>
      </w:r>
      <w:r>
        <w:rPr>
          <w:rFonts w:hint="eastAsia" w:ascii="宋体" w:hAnsi="宋体" w:cs="宋体"/>
          <w:b/>
          <w:bCs/>
          <w:color w:val="auto"/>
          <w:kern w:val="0"/>
          <w:sz w:val="24"/>
          <w:szCs w:val="24"/>
          <w:highlight w:val="none"/>
        </w:rPr>
        <w:t xml:space="preserve">资质和市政公用工程施工总承包乙级或以上资质。 </w:t>
      </w:r>
    </w:p>
    <w:p>
      <w:pPr>
        <w:numPr>
          <w:ilvl w:val="1"/>
          <w:numId w:val="1"/>
        </w:num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对投标人拟派项目负责人的要求：</w:t>
      </w:r>
    </w:p>
    <w:p>
      <w:pPr>
        <w:spacing w:line="360" w:lineRule="auto"/>
        <w:ind w:firstLine="480" w:firstLineChars="200"/>
        <w:rPr>
          <w:rFonts w:ascii="宋体" w:hAnsi="宋体"/>
          <w:color w:val="auto"/>
          <w:sz w:val="24"/>
          <w:szCs w:val="24"/>
          <w:highlight w:val="none"/>
        </w:rPr>
      </w:pPr>
      <w:r>
        <w:rPr>
          <w:rFonts w:hint="eastAsia" w:ascii="宋体" w:hAnsi="宋体"/>
          <w:bCs/>
          <w:color w:val="auto"/>
          <w:sz w:val="24"/>
          <w:highlight w:val="none"/>
        </w:rPr>
        <w:t>（1）投标人拟担任本工程项目负责人的人员须具有注册一级建造师证书（水利水电工程专业）。</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bCs/>
          <w:color w:val="auto"/>
          <w:sz w:val="24"/>
          <w:highlight w:val="none"/>
        </w:rPr>
        <w:t>项目</w:t>
      </w:r>
      <w:r>
        <w:rPr>
          <w:rFonts w:ascii="宋体" w:hAnsi="宋体"/>
          <w:color w:val="auto"/>
          <w:sz w:val="24"/>
          <w:szCs w:val="24"/>
          <w:highlight w:val="none"/>
        </w:rPr>
        <w:t>负责人持有</w:t>
      </w:r>
      <w:r>
        <w:rPr>
          <w:rFonts w:hint="eastAsia" w:ascii="宋体" w:hAnsi="宋体"/>
          <w:color w:val="auto"/>
          <w:sz w:val="24"/>
          <w:szCs w:val="24"/>
          <w:highlight w:val="none"/>
        </w:rPr>
        <w:t>水行政主管部门或相关的水利工程行业协会颁发的安全生产考核合格证（</w:t>
      </w:r>
      <w:r>
        <w:rPr>
          <w:rFonts w:ascii="宋体" w:hAnsi="宋体"/>
          <w:color w:val="auto"/>
          <w:sz w:val="24"/>
          <w:szCs w:val="24"/>
          <w:highlight w:val="none"/>
        </w:rPr>
        <w:t>B类）</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②项目负责人在任职期间不得担任专职安全员，项目专职安全员在任职期间也不得担任项目负责人，项目负责人和安全员不为同一人。</w:t>
      </w:r>
    </w:p>
    <w:p>
      <w:pPr>
        <w:numPr>
          <w:ilvl w:val="1"/>
          <w:numId w:val="1"/>
        </w:num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对投标人拟派专职安全员的要求：</w:t>
      </w:r>
    </w:p>
    <w:p>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专职安全员须具有水行政主管部门或相关的水利工程行业协会颁发的安全生产考核合格证（</w:t>
      </w:r>
      <w:r>
        <w:rPr>
          <w:rFonts w:ascii="宋体" w:hAnsi="宋体" w:cs="仿宋_GB2312"/>
          <w:color w:val="auto"/>
          <w:sz w:val="24"/>
          <w:szCs w:val="24"/>
          <w:highlight w:val="none"/>
        </w:rPr>
        <w:t>C类）</w:t>
      </w:r>
      <w:r>
        <w:rPr>
          <w:rFonts w:hint="eastAsia" w:ascii="宋体" w:hAnsi="宋体" w:cs="仿宋_GB2312"/>
          <w:color w:val="auto"/>
          <w:sz w:val="24"/>
          <w:szCs w:val="24"/>
          <w:highlight w:val="none"/>
        </w:rPr>
        <w:t>。</w:t>
      </w:r>
    </w:p>
    <w:p>
      <w:pPr>
        <w:numPr>
          <w:ilvl w:val="1"/>
          <w:numId w:val="1"/>
        </w:num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类似项目业绩要求：/</w:t>
      </w:r>
    </w:p>
    <w:p>
      <w:pPr>
        <w:numPr>
          <w:ilvl w:val="1"/>
          <w:numId w:val="1"/>
        </w:numPr>
        <w:spacing w:line="360" w:lineRule="auto"/>
        <w:rPr>
          <w:rFonts w:ascii="宋体" w:hAnsi="宋体" w:cs="宋体"/>
          <w:color w:val="auto"/>
          <w:kern w:val="0"/>
          <w:sz w:val="24"/>
          <w:szCs w:val="24"/>
          <w:highlight w:val="none"/>
        </w:rPr>
      </w:pPr>
      <w:r>
        <w:rPr>
          <w:rFonts w:hint="eastAsia" w:ascii="宋体" w:hAnsi="宋体"/>
          <w:color w:val="auto"/>
          <w:sz w:val="24"/>
          <w:szCs w:val="24"/>
          <w:highlight w:val="none"/>
        </w:rPr>
        <w:t>提交</w:t>
      </w:r>
      <w:r>
        <w:rPr>
          <w:rFonts w:hint="eastAsia" w:ascii="宋体" w:hAnsi="宋体" w:cs="宋体"/>
          <w:color w:val="auto"/>
          <w:kern w:val="0"/>
          <w:sz w:val="24"/>
          <w:szCs w:val="24"/>
          <w:highlight w:val="none"/>
        </w:rPr>
        <w:t>社保文件的要求</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投标申请人须保证授权的委托代理人及项目部主要组成人员（项目负责人、技术负责人（如有）、专职安全员）均为本单位的正式职工，必须具有最近</w:t>
      </w:r>
      <w:r>
        <w:rPr>
          <w:rFonts w:ascii="宋体" w:hAnsi="宋体" w:cs="宋体"/>
          <w:color w:val="auto"/>
          <w:kern w:val="0"/>
          <w:sz w:val="24"/>
          <w:szCs w:val="24"/>
          <w:highlight w:val="none"/>
          <w:u w:val="single"/>
        </w:rPr>
        <w:t>6</w:t>
      </w:r>
      <w:r>
        <w:rPr>
          <w:rFonts w:hint="eastAsia" w:ascii="宋体" w:hAnsi="宋体" w:cs="宋体"/>
          <w:color w:val="auto"/>
          <w:kern w:val="0"/>
          <w:sz w:val="24"/>
          <w:szCs w:val="24"/>
          <w:highlight w:val="none"/>
          <w:u w:val="single"/>
        </w:rPr>
        <w:t>个</w:t>
      </w:r>
      <w:r>
        <w:rPr>
          <w:rFonts w:hint="eastAsia" w:ascii="宋体" w:hAnsi="宋体" w:cs="宋体"/>
          <w:color w:val="auto"/>
          <w:kern w:val="0"/>
          <w:sz w:val="24"/>
          <w:szCs w:val="24"/>
          <w:highlight w:val="none"/>
        </w:rPr>
        <w:t>月（时间为：2023年3月</w:t>
      </w:r>
      <w:r>
        <w:rPr>
          <w:rFonts w:hint="eastAsia" w:ascii="新宋体" w:hAnsi="新宋体" w:eastAsia="新宋体" w:cs="宋体"/>
          <w:color w:val="auto"/>
          <w:kern w:val="0"/>
          <w:sz w:val="24"/>
          <w:szCs w:val="24"/>
          <w:highlight w:val="none"/>
        </w:rPr>
        <w:t>～</w:t>
      </w:r>
      <w:r>
        <w:rPr>
          <w:rFonts w:hint="eastAsia" w:ascii="宋体" w:hAnsi="宋体" w:eastAsia="新宋体" w:cs="宋体"/>
          <w:color w:val="auto"/>
          <w:kern w:val="0"/>
          <w:sz w:val="24"/>
          <w:szCs w:val="24"/>
          <w:highlight w:val="none"/>
        </w:rPr>
        <w:t>2023年8月</w:t>
      </w:r>
      <w:r>
        <w:rPr>
          <w:rFonts w:hint="eastAsia" w:ascii="宋体" w:hAnsi="宋体" w:cs="宋体"/>
          <w:color w:val="auto"/>
          <w:kern w:val="0"/>
          <w:sz w:val="24"/>
          <w:szCs w:val="24"/>
          <w:highlight w:val="none"/>
        </w:rPr>
        <w:t>）在本单位（含分支机构）交纳的社保证明文件（以加盖社会保险基金管理中心印章的《投保单》或《社会保险参保人员证明》资料为准）。</w:t>
      </w:r>
    </w:p>
    <w:p>
      <w:pPr>
        <w:numPr>
          <w:ilvl w:val="1"/>
          <w:numId w:val="1"/>
        </w:numPr>
        <w:spacing w:line="360" w:lineRule="auto"/>
        <w:rPr>
          <w:rFonts w:ascii="宋体" w:hAnsi="宋体" w:cs="宋体"/>
          <w:color w:val="auto"/>
          <w:kern w:val="0"/>
          <w:sz w:val="24"/>
          <w:szCs w:val="24"/>
          <w:highlight w:val="none"/>
        </w:rPr>
      </w:pPr>
      <w:r>
        <w:rPr>
          <w:rFonts w:hint="eastAsia" w:ascii="宋体" w:hAnsi="宋体"/>
          <w:color w:val="auto"/>
          <w:sz w:val="24"/>
          <w:szCs w:val="24"/>
          <w:highlight w:val="none"/>
        </w:rPr>
        <w:t>关于</w:t>
      </w:r>
      <w:r>
        <w:rPr>
          <w:rFonts w:hint="eastAsia" w:ascii="宋体" w:hAnsi="宋体" w:cs="宋体"/>
          <w:color w:val="auto"/>
          <w:kern w:val="0"/>
          <w:sz w:val="24"/>
          <w:szCs w:val="24"/>
          <w:highlight w:val="none"/>
        </w:rPr>
        <w:t>联合体投标</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本次招标接受联合体投标。</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如投标人组成联合体，应以具备水利水电工程施工总承包壹级（或以上）级别资质</w:t>
      </w:r>
      <w:r>
        <w:rPr>
          <w:rFonts w:hint="eastAsia" w:ascii="宋体" w:hAnsi="宋体" w:cs="宋体"/>
          <w:color w:val="auto"/>
          <w:kern w:val="0"/>
          <w:sz w:val="24"/>
          <w:szCs w:val="24"/>
          <w:highlight w:val="none"/>
        </w:rPr>
        <w:t>（或水利水电工程施工总承包</w:t>
      </w:r>
      <w:r>
        <w:rPr>
          <w:rFonts w:hint="eastAsia" w:ascii="宋体" w:hAnsi="宋体" w:cs="宋体"/>
          <w:color w:val="auto"/>
          <w:kern w:val="0"/>
          <w:sz w:val="24"/>
          <w:szCs w:val="24"/>
          <w:highlight w:val="none"/>
          <w:lang w:eastAsia="zh-CN"/>
        </w:rPr>
        <w:t>甲级或以上</w:t>
      </w:r>
      <w:r>
        <w:rPr>
          <w:rFonts w:hint="eastAsia" w:ascii="宋体" w:hAnsi="宋体" w:cs="宋体"/>
          <w:color w:val="auto"/>
          <w:kern w:val="0"/>
          <w:sz w:val="24"/>
          <w:szCs w:val="24"/>
          <w:highlight w:val="none"/>
        </w:rPr>
        <w:t>资质）</w:t>
      </w:r>
      <w:r>
        <w:rPr>
          <w:rFonts w:ascii="宋体" w:hAnsi="宋体" w:cs="宋体"/>
          <w:color w:val="auto"/>
          <w:kern w:val="0"/>
          <w:sz w:val="24"/>
          <w:szCs w:val="24"/>
          <w:highlight w:val="none"/>
        </w:rPr>
        <w:t>的联合体成员为</w:t>
      </w:r>
      <w:r>
        <w:rPr>
          <w:rFonts w:hint="eastAsia" w:ascii="宋体" w:hAnsi="宋体" w:cs="宋体"/>
          <w:color w:val="auto"/>
          <w:kern w:val="0"/>
          <w:sz w:val="24"/>
          <w:szCs w:val="24"/>
          <w:highlight w:val="none"/>
        </w:rPr>
        <w:t>主办</w:t>
      </w:r>
      <w:r>
        <w:rPr>
          <w:rFonts w:ascii="宋体" w:hAnsi="宋体" w:cs="宋体"/>
          <w:color w:val="auto"/>
          <w:kern w:val="0"/>
          <w:sz w:val="24"/>
          <w:szCs w:val="24"/>
          <w:highlight w:val="none"/>
        </w:rPr>
        <w:t>方，并签定联合体工作协议。联合体工作协议应明确约定各方拟承担的工作和责任。</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（1）组成联合体承接按资质标准划分为同一类工程的投标人，资质等级按类别就低计算，其人员、资金、机械设备等资源性指标可合并计算。</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（2）组成联合体承接按资质标准划分为多类工程的投标人，应在联合体协议中明确承接每一类工程的成员单位。</w:t>
      </w:r>
    </w:p>
    <w:p>
      <w:pPr>
        <w:spacing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（3）联合体组成单位数量不得超过2家。在投标过程中联合体不允许发生联合体成员变更的情形，否则其投标资格将被取消。</w:t>
      </w:r>
    </w:p>
    <w:p>
      <w:pPr>
        <w:numPr>
          <w:ilvl w:val="1"/>
          <w:numId w:val="1"/>
        </w:num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落实失信联合惩戒措施</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未被纳入失信联合惩戒名单，失信联合惩戒名单以 “信用广州”网站http://credit.gz.gov.cn/公布的名单为准。（如有相关失信记录已失效，投标人需提供相关证明资料）。注：因联合惩戒措施表述存在细微差别，惩戒措施与上文不完全一致但措施内容相同的，也应属于被限制参与相关项目的投标。</w:t>
      </w:r>
    </w:p>
    <w:p>
      <w:pPr>
        <w:pStyle w:val="2"/>
        <w:rPr>
          <w:rFonts w:ascii="宋体" w:hAnsi="宋体"/>
          <w:b/>
          <w:color w:val="auto"/>
          <w:highlight w:val="none"/>
        </w:rPr>
      </w:pPr>
      <w:bookmarkStart w:id="3" w:name="_Toc115179676"/>
      <w:r>
        <w:rPr>
          <w:rFonts w:hint="eastAsia" w:ascii="宋体" w:hAnsi="宋体"/>
          <w:b/>
          <w:color w:val="auto"/>
          <w:highlight w:val="none"/>
        </w:rPr>
        <w:t>招标公告和</w:t>
      </w:r>
      <w:r>
        <w:rPr>
          <w:rFonts w:ascii="宋体" w:hAnsi="宋体"/>
          <w:b/>
          <w:color w:val="auto"/>
          <w:highlight w:val="none"/>
        </w:rPr>
        <w:t>招标文件的获取</w:t>
      </w:r>
      <w:bookmarkEnd w:id="3"/>
    </w:p>
    <w:p>
      <w:pPr>
        <w:widowControl/>
        <w:numPr>
          <w:ilvl w:val="1"/>
          <w:numId w:val="1"/>
        </w:numPr>
        <w:shd w:val="clear" w:color="auto" w:fill="FFFFFF"/>
        <w:snapToGrid w:val="0"/>
        <w:spacing w:line="360" w:lineRule="auto"/>
        <w:rPr>
          <w:rFonts w:ascii="宋体" w:hAnsi="宋体"/>
          <w:bCs/>
          <w:color w:val="auto"/>
          <w:sz w:val="24"/>
          <w:highlight w:val="none"/>
        </w:rPr>
      </w:pPr>
      <w:r>
        <w:rPr>
          <w:rFonts w:hint="eastAsia" w:ascii="宋体" w:hAnsi="宋体"/>
          <w:bCs/>
          <w:color w:val="auto"/>
          <w:sz w:val="24"/>
          <w:highlight w:val="none"/>
        </w:rPr>
        <w:t>招标公告发布时间</w:t>
      </w:r>
    </w:p>
    <w:p>
      <w:pPr>
        <w:widowControl/>
        <w:shd w:val="clear" w:color="auto" w:fill="FFFFFF"/>
        <w:snapToGrid w:val="0"/>
        <w:spacing w:line="360" w:lineRule="auto"/>
        <w:ind w:firstLine="480" w:firstLineChars="200"/>
        <w:rPr>
          <w:rFonts w:ascii="宋体" w:hAnsi="宋体"/>
          <w:color w:val="auto"/>
          <w:sz w:val="24"/>
          <w:szCs w:val="24"/>
          <w:highlight w:val="none"/>
        </w:rPr>
      </w:pPr>
      <w:r>
        <w:rPr>
          <w:rFonts w:hint="eastAsia" w:ascii="宋体" w:hAnsi="宋体"/>
          <w:bCs/>
          <w:color w:val="auto"/>
          <w:sz w:val="24"/>
          <w:highlight w:val="none"/>
        </w:rPr>
        <w:t>从</w:t>
      </w:r>
      <w:r>
        <w:rPr>
          <w:rFonts w:hint="eastAsia" w:ascii="宋体" w:hAnsi="宋体"/>
          <w:color w:val="auto"/>
          <w:sz w:val="24"/>
          <w:szCs w:val="24"/>
          <w:highlight w:val="none"/>
          <w:u w:val="single"/>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bCs/>
          <w:color w:val="auto"/>
          <w:sz w:val="24"/>
          <w:highlight w:val="none"/>
        </w:rPr>
        <w:t>至</w:t>
      </w:r>
      <w:r>
        <w:rPr>
          <w:rFonts w:hint="eastAsia" w:ascii="宋体" w:hAnsi="宋体"/>
          <w:color w:val="auto"/>
          <w:sz w:val="24"/>
          <w:szCs w:val="24"/>
          <w:highlight w:val="none"/>
          <w:u w:val="single"/>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bCs/>
          <w:color w:val="auto"/>
          <w:sz w:val="24"/>
          <w:highlight w:val="none"/>
        </w:rPr>
        <w:t>（注：发布招标公告的时间为招标公告发出之日起至投标截止时间止）。</w:t>
      </w:r>
    </w:p>
    <w:p>
      <w:pPr>
        <w:widowControl/>
        <w:numPr>
          <w:ilvl w:val="1"/>
          <w:numId w:val="1"/>
        </w:numPr>
        <w:shd w:val="clear" w:color="auto" w:fill="FFFFFF"/>
        <w:snapToGrid w:val="0"/>
        <w:spacing w:line="360" w:lineRule="auto"/>
        <w:rPr>
          <w:rFonts w:ascii="宋体" w:hAnsi="宋体"/>
          <w:bCs/>
          <w:color w:val="auto"/>
          <w:sz w:val="24"/>
          <w:highlight w:val="none"/>
        </w:rPr>
      </w:pPr>
      <w:r>
        <w:rPr>
          <w:rFonts w:hint="eastAsia" w:ascii="宋体" w:hAnsi="宋体"/>
          <w:bCs/>
          <w:color w:val="auto"/>
          <w:sz w:val="24"/>
          <w:highlight w:val="none"/>
        </w:rPr>
        <w:t>招标文件获取方式</w:t>
      </w:r>
    </w:p>
    <w:p>
      <w:pPr>
        <w:widowControl/>
        <w:shd w:val="clear" w:color="auto" w:fill="FFFFFF"/>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w:t>
      </w:r>
      <w:r>
        <w:rPr>
          <w:rFonts w:hint="eastAsia" w:ascii="宋体" w:hAnsi="宋体"/>
          <w:color w:val="auto"/>
          <w:sz w:val="24"/>
          <w:highlight w:val="none"/>
        </w:rPr>
        <w:t>网发布</w:t>
      </w:r>
      <w:r>
        <w:rPr>
          <w:rFonts w:hint="eastAsia" w:ascii="宋体" w:hAnsi="宋体"/>
          <w:color w:val="auto"/>
          <w:sz w:val="24"/>
          <w:szCs w:val="24"/>
          <w:highlight w:val="none"/>
        </w:rPr>
        <w:t>，由投</w:t>
      </w:r>
      <w:r>
        <w:rPr>
          <w:rFonts w:hint="eastAsia" w:ascii="宋体" w:hAnsi="宋体" w:cs="宋体"/>
          <w:color w:val="auto"/>
          <w:kern w:val="0"/>
          <w:sz w:val="24"/>
          <w:szCs w:val="24"/>
          <w:highlight w:val="none"/>
        </w:rPr>
        <w:t>标人自行下载。</w:t>
      </w:r>
    </w:p>
    <w:p>
      <w:pPr>
        <w:widowControl/>
        <w:numPr>
          <w:ilvl w:val="1"/>
          <w:numId w:val="1"/>
        </w:numPr>
        <w:shd w:val="clear" w:color="auto" w:fill="FFFFFF"/>
        <w:snapToGrid w:val="0"/>
        <w:spacing w:line="360" w:lineRule="auto"/>
        <w:rPr>
          <w:rFonts w:ascii="宋体" w:hAnsi="宋体"/>
          <w:bCs/>
          <w:color w:val="auto"/>
          <w:sz w:val="24"/>
          <w:highlight w:val="none"/>
        </w:rPr>
      </w:pPr>
      <w:r>
        <w:rPr>
          <w:rFonts w:hint="eastAsia" w:ascii="宋体" w:hAnsi="宋体"/>
          <w:bCs/>
          <w:color w:val="auto"/>
          <w:sz w:val="24"/>
          <w:highlight w:val="none"/>
        </w:rPr>
        <w:t>招标公告网上发布时，同时发布招标文件、施工图纸、招标控制价。</w:t>
      </w:r>
    </w:p>
    <w:p>
      <w:pPr>
        <w:widowControl/>
        <w:numPr>
          <w:ilvl w:val="1"/>
          <w:numId w:val="1"/>
        </w:numPr>
        <w:shd w:val="clear" w:color="auto" w:fill="FFFFFF"/>
        <w:snapToGrid w:val="0"/>
        <w:spacing w:line="360" w:lineRule="auto"/>
        <w:rPr>
          <w:rFonts w:ascii="宋体" w:hAnsi="宋体"/>
          <w:bCs/>
          <w:color w:val="auto"/>
          <w:sz w:val="24"/>
          <w:highlight w:val="none"/>
        </w:rPr>
      </w:pPr>
      <w:r>
        <w:rPr>
          <w:rFonts w:hint="eastAsia" w:ascii="宋体" w:hAnsi="宋体"/>
          <w:bCs/>
          <w:color w:val="auto"/>
          <w:sz w:val="24"/>
          <w:highlight w:val="none"/>
        </w:rPr>
        <w:t>招标公告、招标文件发布媒体</w:t>
      </w:r>
    </w:p>
    <w:p>
      <w:pPr>
        <w:widowControl/>
        <w:shd w:val="clear" w:color="auto" w:fill="FFFFFF"/>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本公告在</w:t>
      </w:r>
      <w:r>
        <w:rPr>
          <w:rFonts w:hint="eastAsia" w:ascii="宋体" w:hAnsi="宋体" w:cs="宋体"/>
          <w:color w:val="auto"/>
          <w:kern w:val="0"/>
          <w:sz w:val="24"/>
          <w:szCs w:val="24"/>
          <w:highlight w:val="none"/>
          <w:u w:val="single"/>
        </w:rPr>
        <w:t>广州交易集团有限公司（广州公共资源交易中心）</w:t>
      </w:r>
      <w:r>
        <w:rPr>
          <w:rFonts w:hint="eastAsia" w:ascii="宋体" w:hAnsi="宋体" w:cs="宋体"/>
          <w:color w:val="auto"/>
          <w:kern w:val="0"/>
          <w:sz w:val="24"/>
          <w:szCs w:val="24"/>
          <w:highlight w:val="none"/>
        </w:rPr>
        <w:t>（网址：http://www.gzggzy.cn）、广东省招标投标监管网（网址：http://zbtb.gd.gov.cn/login）和中国招标投标公共服务平台（网址：http://www.cebpubservice.com/）及广州市增城区人民政府门户网站（http://www.zc.gov.cn/）的“首页&gt;公开&gt;公共资源配置领域&gt;工程建设项目招投标”栏目发布，本公告的修改、补充，在</w:t>
      </w:r>
      <w:r>
        <w:rPr>
          <w:rFonts w:hint="eastAsia" w:ascii="宋体" w:hAnsi="宋体" w:cs="宋体"/>
          <w:color w:val="auto"/>
          <w:kern w:val="0"/>
          <w:sz w:val="24"/>
          <w:szCs w:val="24"/>
          <w:highlight w:val="none"/>
          <w:u w:val="single"/>
        </w:rPr>
        <w:t>广州交易集团有限公司（广州公共资源交易中心）</w:t>
      </w:r>
      <w:r>
        <w:rPr>
          <w:rFonts w:hint="eastAsia" w:ascii="宋体" w:hAnsi="宋体" w:cs="宋体"/>
          <w:color w:val="auto"/>
          <w:kern w:val="0"/>
          <w:sz w:val="24"/>
          <w:szCs w:val="24"/>
          <w:highlight w:val="none"/>
        </w:rPr>
        <w:t>交易网发布。</w:t>
      </w:r>
    </w:p>
    <w:p>
      <w:pPr>
        <w:pStyle w:val="2"/>
        <w:rPr>
          <w:rFonts w:ascii="宋体" w:hAnsi="宋体"/>
          <w:b/>
          <w:color w:val="auto"/>
          <w:highlight w:val="none"/>
        </w:rPr>
      </w:pPr>
      <w:bookmarkStart w:id="4" w:name="_Toc115179677"/>
      <w:r>
        <w:rPr>
          <w:rFonts w:ascii="宋体" w:hAnsi="宋体"/>
          <w:b/>
          <w:color w:val="auto"/>
          <w:highlight w:val="none"/>
        </w:rPr>
        <w:t>投标文件的递交</w:t>
      </w:r>
      <w:bookmarkEnd w:id="4"/>
    </w:p>
    <w:p>
      <w:pPr>
        <w:widowControl/>
        <w:numPr>
          <w:ilvl w:val="1"/>
          <w:numId w:val="1"/>
        </w:numPr>
        <w:shd w:val="clear" w:color="auto" w:fill="FFFFFF"/>
        <w:snapToGrid w:val="0"/>
        <w:spacing w:line="360" w:lineRule="auto"/>
        <w:rPr>
          <w:rFonts w:ascii="宋体" w:hAnsi="宋体"/>
          <w:color w:val="auto"/>
          <w:sz w:val="24"/>
          <w:szCs w:val="24"/>
          <w:highlight w:val="none"/>
        </w:rPr>
      </w:pPr>
      <w:r>
        <w:rPr>
          <w:rFonts w:hint="eastAsia" w:ascii="宋体" w:hAnsi="宋体"/>
          <w:color w:val="auto"/>
          <w:sz w:val="24"/>
          <w:szCs w:val="24"/>
          <w:highlight w:val="none"/>
          <w:u w:val="single"/>
        </w:rPr>
        <w:t>本项目采用电子投标，</w:t>
      </w:r>
      <w:r>
        <w:rPr>
          <w:rFonts w:hint="eastAsia" w:ascii="宋体" w:hAnsi="宋体"/>
          <w:color w:val="auto"/>
          <w:sz w:val="24"/>
          <w:szCs w:val="24"/>
          <w:highlight w:val="none"/>
        </w:rPr>
        <w:t>投标文件递交的截止时间（投标截止时间，下同）为</w:t>
      </w:r>
    </w:p>
    <w:p>
      <w:pPr>
        <w:widowControl/>
        <w:shd w:val="clear" w:color="auto" w:fill="FFFFFF"/>
        <w:snapToGrid w:val="0"/>
        <w:spacing w:line="360" w:lineRule="auto"/>
        <w:ind w:left="479" w:leftChars="228"/>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olor w:val="auto"/>
          <w:sz w:val="24"/>
          <w:szCs w:val="24"/>
          <w:highlight w:val="none"/>
          <w:u w:val="single"/>
        </w:rPr>
        <w:t>有关电子投标的操作指引请投标人自行登录广州公共资源交易中心网站查阅“【全流程电子化项目】电子招投标操作手册（无纸化）”。</w:t>
      </w:r>
    </w:p>
    <w:p>
      <w:pPr>
        <w:widowControl/>
        <w:shd w:val="clear" w:color="auto" w:fill="FFFFFF"/>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投标人投标文件解密时间为投标截止时间后 60 </w:t>
      </w:r>
      <w:r>
        <w:rPr>
          <w:rFonts w:ascii="宋体" w:hAnsi="宋体"/>
          <w:color w:val="auto"/>
          <w:sz w:val="24"/>
          <w:szCs w:val="24"/>
          <w:highlight w:val="none"/>
        </w:rPr>
        <w:t>分钟</w:t>
      </w:r>
      <w:r>
        <w:rPr>
          <w:rFonts w:hint="eastAsia" w:ascii="宋体" w:hAnsi="宋体"/>
          <w:color w:val="auto"/>
          <w:sz w:val="24"/>
          <w:szCs w:val="24"/>
          <w:highlight w:val="none"/>
        </w:rPr>
        <w:t>，即：</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ascii="宋体" w:hAnsi="宋体"/>
          <w:color w:val="auto"/>
          <w:sz w:val="24"/>
          <w:szCs w:val="24"/>
          <w:highlight w:val="none"/>
        </w:rPr>
        <w:t>至</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rPr>
        <w:t>分</w:t>
      </w:r>
    </w:p>
    <w:p>
      <w:pPr>
        <w:widowControl/>
        <w:numPr>
          <w:ilvl w:val="1"/>
          <w:numId w:val="1"/>
        </w:numPr>
        <w:shd w:val="clear" w:color="auto" w:fill="FFFFFF"/>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开标时间：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rPr>
        <w:t xml:space="preserve">分。  </w:t>
      </w:r>
    </w:p>
    <w:p>
      <w:pPr>
        <w:widowControl/>
        <w:numPr>
          <w:ilvl w:val="1"/>
          <w:numId w:val="1"/>
        </w:numPr>
        <w:shd w:val="clear" w:color="auto" w:fill="FFFFFF"/>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投标截止时间与开标时间是否有变化，请密切留意招标答疑中的相关信息。递交投标文件截止时间后，开标时间因故推迟的，相关评标信息仍以原递交投标文件截止时间的信息为准。</w:t>
      </w:r>
    </w:p>
    <w:p>
      <w:pPr>
        <w:widowControl/>
        <w:numPr>
          <w:ilvl w:val="1"/>
          <w:numId w:val="1"/>
        </w:numPr>
        <w:shd w:val="clear" w:color="auto" w:fill="FFFFFF"/>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投标人通过</w:t>
      </w:r>
      <w:r>
        <w:rPr>
          <w:rFonts w:hint="eastAsia" w:ascii="宋体" w:hAnsi="宋体" w:cs="宋体"/>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交易平台递交电子投标文件。投标人应在递交投标文件截止时间前，登录</w:t>
      </w:r>
      <w:r>
        <w:rPr>
          <w:rFonts w:hint="eastAsia" w:ascii="宋体" w:hAnsi="宋体" w:cs="宋体"/>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交易平台网站办理网上投标登记手续；完成所有投标文件的上传，并取得回执码，</w:t>
      </w:r>
      <w:r>
        <w:rPr>
          <w:rFonts w:ascii="宋体" w:hAnsi="宋体"/>
          <w:color w:val="auto"/>
          <w:sz w:val="24"/>
          <w:szCs w:val="24"/>
          <w:highlight w:val="none"/>
        </w:rPr>
        <w:t>投标截止时间前未完成投标文件传输的，视为未递交投标文件</w:t>
      </w:r>
      <w:r>
        <w:rPr>
          <w:rFonts w:hint="eastAsia" w:ascii="宋体" w:hAnsi="宋体"/>
          <w:color w:val="auto"/>
          <w:sz w:val="24"/>
          <w:szCs w:val="24"/>
          <w:highlight w:val="none"/>
        </w:rPr>
        <w:t>。</w:t>
      </w:r>
    </w:p>
    <w:p>
      <w:pPr>
        <w:widowControl/>
        <w:numPr>
          <w:ilvl w:val="1"/>
          <w:numId w:val="1"/>
        </w:numPr>
        <w:shd w:val="clear" w:color="auto" w:fill="FFFFFF"/>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pPr>
        <w:widowControl/>
        <w:numPr>
          <w:ilvl w:val="1"/>
          <w:numId w:val="1"/>
        </w:numPr>
        <w:shd w:val="clear" w:color="auto" w:fill="FFFFFF"/>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在投标文件递交截止时间之前，投标人可以撤回或替换已递交的投标文件；可以修改网上投标登记相关信息。</w:t>
      </w:r>
    </w:p>
    <w:p>
      <w:pPr>
        <w:widowControl/>
        <w:numPr>
          <w:ilvl w:val="1"/>
          <w:numId w:val="1"/>
        </w:numPr>
        <w:shd w:val="clear" w:color="auto" w:fill="FFFFFF"/>
        <w:snapToGrid w:val="0"/>
        <w:spacing w:line="360" w:lineRule="auto"/>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广东中京建设有限公司因在增城区水务工程建设中存在严重违约行为，根据《广州市增城区水务局关于对广东中京建设有限公司（施工单位）不良行为的通报》（穗增水〔2020〕102号）的规定，不予以接受广东中京建设有限公司参加增城区水务建设项目的投标，有效期至2023年9月27日。</w:t>
      </w:r>
    </w:p>
    <w:p>
      <w:pPr>
        <w:pStyle w:val="2"/>
        <w:rPr>
          <w:rFonts w:ascii="宋体" w:hAnsi="宋体"/>
          <w:b/>
          <w:color w:val="auto"/>
          <w:highlight w:val="none"/>
        </w:rPr>
      </w:pPr>
      <w:bookmarkStart w:id="5" w:name="_Toc115179678"/>
      <w:r>
        <w:rPr>
          <w:rFonts w:hint="eastAsia" w:ascii="宋体" w:hAnsi="宋体"/>
          <w:b/>
          <w:color w:val="auto"/>
          <w:highlight w:val="none"/>
        </w:rPr>
        <w:t>投标保证金</w:t>
      </w:r>
      <w:bookmarkEnd w:id="5"/>
    </w:p>
    <w:p>
      <w:pPr>
        <w:widowControl/>
        <w:shd w:val="clear" w:color="auto" w:fill="FFFFFF"/>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本招标项目不需要递交投标担保。</w:t>
      </w:r>
    </w:p>
    <w:p>
      <w:pPr>
        <w:pStyle w:val="2"/>
        <w:rPr>
          <w:rFonts w:ascii="宋体" w:hAnsi="宋体"/>
          <w:b/>
          <w:color w:val="auto"/>
          <w:highlight w:val="none"/>
        </w:rPr>
      </w:pPr>
      <w:bookmarkStart w:id="6" w:name="_Toc115179679"/>
      <w:r>
        <w:rPr>
          <w:rFonts w:hint="eastAsia" w:ascii="宋体" w:hAnsi="宋体"/>
          <w:b/>
          <w:color w:val="auto"/>
          <w:highlight w:val="none"/>
        </w:rPr>
        <w:t>资格审查方式</w:t>
      </w:r>
      <w:bookmarkEnd w:id="6"/>
    </w:p>
    <w:p>
      <w:pPr>
        <w:widowControl/>
        <w:numPr>
          <w:ilvl w:val="1"/>
          <w:numId w:val="1"/>
        </w:numPr>
        <w:shd w:val="clear" w:color="auto" w:fill="FFFFFF"/>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本工程采用资格后审方式，由评标委员会负责资格审查。</w:t>
      </w:r>
    </w:p>
    <w:p>
      <w:pPr>
        <w:widowControl/>
        <w:numPr>
          <w:ilvl w:val="1"/>
          <w:numId w:val="1"/>
        </w:numPr>
        <w:shd w:val="clear" w:color="auto" w:fill="FFFFFF"/>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资格审查结果将在</w:t>
      </w:r>
      <w:r>
        <w:rPr>
          <w:rFonts w:hint="eastAsia" w:ascii="宋体" w:hAnsi="宋体" w:cs="宋体"/>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交易网和广东省招标投标监管网公示，公示时间不得少于3日。</w:t>
      </w:r>
    </w:p>
    <w:p>
      <w:pPr>
        <w:pStyle w:val="2"/>
        <w:rPr>
          <w:rFonts w:ascii="宋体" w:hAnsi="宋体"/>
          <w:b/>
          <w:color w:val="auto"/>
          <w:highlight w:val="none"/>
        </w:rPr>
      </w:pPr>
      <w:bookmarkStart w:id="7" w:name="_Toc115179680"/>
      <w:r>
        <w:rPr>
          <w:rFonts w:hint="eastAsia" w:ascii="宋体" w:hAnsi="宋体"/>
          <w:b/>
          <w:color w:val="auto"/>
          <w:highlight w:val="none"/>
        </w:rPr>
        <w:t>企业信息登记</w:t>
      </w:r>
      <w:bookmarkEnd w:id="7"/>
    </w:p>
    <w:p>
      <w:pPr>
        <w:widowControl/>
        <w:shd w:val="clear" w:color="auto" w:fill="FFFFFF"/>
        <w:snapToGrid w:val="0"/>
        <w:spacing w:line="360" w:lineRule="auto"/>
        <w:ind w:firstLine="480" w:firstLineChars="200"/>
        <w:rPr>
          <w:rFonts w:ascii="宋体" w:hAnsi="宋体"/>
          <w:color w:val="auto"/>
          <w:highlight w:val="none"/>
        </w:rPr>
      </w:pPr>
      <w:r>
        <w:rPr>
          <w:rFonts w:hint="eastAsia" w:ascii="宋体" w:hAnsi="宋体"/>
          <w:color w:val="auto"/>
          <w:sz w:val="24"/>
          <w:highlight w:val="none"/>
        </w:rPr>
        <w:t>本次招标要求投标人办理网上投标登记前，须在</w:t>
      </w:r>
      <w:r>
        <w:rPr>
          <w:rFonts w:hint="eastAsia" w:ascii="宋体" w:hAnsi="宋体" w:cs="宋体"/>
          <w:color w:val="auto"/>
          <w:kern w:val="0"/>
          <w:sz w:val="24"/>
          <w:szCs w:val="24"/>
          <w:highlight w:val="none"/>
          <w:u w:val="single"/>
        </w:rPr>
        <w:t>广州交易集团有限公司（广州公共资源交易中心）</w:t>
      </w:r>
      <w:r>
        <w:rPr>
          <w:rFonts w:hint="eastAsia" w:ascii="宋体" w:hAnsi="宋体"/>
          <w:color w:val="auto"/>
          <w:sz w:val="24"/>
          <w:highlight w:val="none"/>
        </w:rPr>
        <w:t>交易平台完成企业信息登记，及拟担任本工程项目负责人、专职安全员须是本企业信息登记中的在册人员。</w:t>
      </w:r>
      <w:r>
        <w:rPr>
          <w:rFonts w:hint="eastAsia" w:ascii="宋体" w:hAnsi="宋体" w:cs="宋体"/>
          <w:color w:val="auto"/>
          <w:kern w:val="0"/>
          <w:sz w:val="24"/>
          <w:szCs w:val="24"/>
          <w:highlight w:val="none"/>
        </w:rPr>
        <w:t>企业信息登记应按照</w:t>
      </w:r>
      <w:r>
        <w:rPr>
          <w:rFonts w:hint="eastAsia" w:ascii="宋体" w:hAnsi="宋体" w:cs="宋体"/>
          <w:color w:val="auto"/>
          <w:kern w:val="0"/>
          <w:sz w:val="24"/>
          <w:szCs w:val="24"/>
          <w:highlight w:val="none"/>
          <w:u w:val="single"/>
        </w:rPr>
        <w:t>广州交易集团有限公司（广州公共资源交易中心）</w:t>
      </w:r>
      <w:r>
        <w:rPr>
          <w:rFonts w:hint="eastAsia" w:ascii="宋体" w:hAnsi="宋体" w:cs="宋体"/>
          <w:color w:val="auto"/>
          <w:kern w:val="0"/>
          <w:sz w:val="24"/>
          <w:szCs w:val="24"/>
          <w:highlight w:val="none"/>
        </w:rPr>
        <w:t>交易平台关于企业信息登记的相关指南进行操作。</w:t>
      </w:r>
    </w:p>
    <w:p>
      <w:pPr>
        <w:pStyle w:val="2"/>
        <w:rPr>
          <w:rFonts w:ascii="宋体" w:hAnsi="宋体"/>
          <w:b/>
          <w:color w:val="auto"/>
          <w:highlight w:val="none"/>
        </w:rPr>
      </w:pPr>
      <w:bookmarkStart w:id="8" w:name="_Toc115179681"/>
      <w:r>
        <w:rPr>
          <w:rFonts w:hint="eastAsia" w:ascii="宋体" w:hAnsi="宋体"/>
          <w:b/>
          <w:color w:val="auto"/>
          <w:highlight w:val="none"/>
        </w:rPr>
        <w:t>诚信得分</w:t>
      </w:r>
      <w:bookmarkEnd w:id="8"/>
    </w:p>
    <w:p>
      <w:pPr>
        <w:spacing w:line="360" w:lineRule="auto"/>
        <w:ind w:firstLine="480" w:firstLineChars="200"/>
        <w:rPr>
          <w:rFonts w:ascii="宋体" w:hAnsi="宋体"/>
          <w:color w:val="auto"/>
          <w:sz w:val="24"/>
          <w:highlight w:val="none"/>
        </w:rPr>
      </w:pPr>
      <w:r>
        <w:rPr>
          <w:rFonts w:ascii="宋体" w:hAnsi="宋体"/>
          <w:color w:val="auto"/>
          <w:sz w:val="24"/>
          <w:highlight w:val="none"/>
        </w:rPr>
        <w:t>按投标单位在广东省水利建设市场信用信息平台登记的信用分计算，具体得分按照开标时的水利施工资质信用分值（超100分的按100分计）乘以权重（10%）计算。</w:t>
      </w:r>
    </w:p>
    <w:p>
      <w:pPr>
        <w:spacing w:line="360" w:lineRule="auto"/>
        <w:ind w:firstLine="480" w:firstLineChars="200"/>
        <w:rPr>
          <w:rFonts w:ascii="宋体" w:hAnsi="宋体"/>
          <w:color w:val="auto"/>
          <w:sz w:val="24"/>
          <w:highlight w:val="none"/>
        </w:rPr>
      </w:pPr>
      <w:r>
        <w:rPr>
          <w:rFonts w:ascii="宋体" w:hAnsi="宋体"/>
          <w:color w:val="auto"/>
          <w:sz w:val="24"/>
          <w:highlight w:val="none"/>
        </w:rPr>
        <w:t>两个或者两个以上水利建设市场主体组成联合体投标时，以信用分值较低主体的信用分值计算信用得分。</w:t>
      </w:r>
    </w:p>
    <w:p>
      <w:pPr>
        <w:pStyle w:val="2"/>
        <w:rPr>
          <w:rFonts w:ascii="宋体" w:hAnsi="宋体"/>
          <w:b/>
          <w:color w:val="auto"/>
          <w:highlight w:val="none"/>
        </w:rPr>
      </w:pPr>
      <w:bookmarkStart w:id="9" w:name="_Toc115179682"/>
      <w:r>
        <w:rPr>
          <w:rFonts w:hint="eastAsia" w:ascii="宋体" w:hAnsi="宋体"/>
          <w:b/>
          <w:color w:val="auto"/>
          <w:highlight w:val="none"/>
        </w:rPr>
        <w:t>疑问、异议、投诉处理</w:t>
      </w:r>
      <w:bookmarkEnd w:id="9"/>
    </w:p>
    <w:p>
      <w:pPr>
        <w:widowControl/>
        <w:numPr>
          <w:ilvl w:val="1"/>
          <w:numId w:val="1"/>
        </w:numPr>
        <w:shd w:val="clear" w:color="auto" w:fill="FFFFFF"/>
        <w:snapToGrid w:val="0"/>
        <w:spacing w:line="360" w:lineRule="auto"/>
        <w:rPr>
          <w:rFonts w:ascii="宋体" w:hAnsi="宋体"/>
          <w:color w:val="auto"/>
          <w:sz w:val="24"/>
          <w:highlight w:val="none"/>
        </w:rPr>
      </w:pPr>
      <w:r>
        <w:rPr>
          <w:rFonts w:hint="eastAsia" w:ascii="宋体" w:hAnsi="宋体"/>
          <w:color w:val="auto"/>
          <w:sz w:val="24"/>
          <w:highlight w:val="none"/>
        </w:rPr>
        <w:t>关于疑问、异议、投诉的基本概念和处理程序详见《广州市水务局关于明确市属水务工程招标投标活动中疑问、异议和投诉有关事项的通知》（穗水建设〔2017〕31号，以下简称《通知》）。《通知》可通过广州市水务局门户网站或广州公共资源交易中心网站获取。</w:t>
      </w:r>
    </w:p>
    <w:p>
      <w:pPr>
        <w:widowControl/>
        <w:numPr>
          <w:ilvl w:val="1"/>
          <w:numId w:val="1"/>
        </w:numPr>
        <w:shd w:val="clear" w:color="auto" w:fill="FFFFFF"/>
        <w:snapToGrid w:val="0"/>
        <w:spacing w:line="360" w:lineRule="auto"/>
        <w:rPr>
          <w:rFonts w:ascii="宋体" w:hAnsi="宋体"/>
          <w:color w:val="auto"/>
          <w:sz w:val="24"/>
          <w:highlight w:val="none"/>
        </w:rPr>
      </w:pPr>
      <w:r>
        <w:rPr>
          <w:rFonts w:hint="eastAsia" w:ascii="宋体" w:hAnsi="宋体"/>
          <w:color w:val="auto"/>
          <w:sz w:val="24"/>
          <w:highlight w:val="none"/>
        </w:rPr>
        <w:t>潜在投标人或利害关系人对本招标告及招标文件、开标、评标结果有疑问或异议的，向招标人提出，由招标人受理。投诉由本招标项目的招标监督机构受理。</w:t>
      </w:r>
    </w:p>
    <w:p>
      <w:pPr>
        <w:shd w:val="clear" w:color="auto" w:fill="FFFFFF"/>
        <w:snapToGrid w:val="0"/>
        <w:spacing w:line="360" w:lineRule="auto"/>
        <w:ind w:firstLine="482" w:firstLineChars="200"/>
        <w:rPr>
          <w:rFonts w:hint="eastAsia" w:ascii="宋体" w:hAnsi="宋体" w:cs="宋体"/>
          <w:b/>
          <w:bCs/>
          <w:color w:val="auto"/>
          <w:sz w:val="24"/>
          <w:szCs w:val="24"/>
          <w:highlight w:val="none"/>
          <w:lang w:bidi="ar"/>
        </w:rPr>
      </w:pPr>
      <w:r>
        <w:rPr>
          <w:rFonts w:hint="eastAsia" w:ascii="宋体" w:hAnsi="宋体" w:cs="宋体"/>
          <w:b/>
          <w:bCs/>
          <w:color w:val="auto"/>
          <w:sz w:val="24"/>
          <w:szCs w:val="24"/>
          <w:highlight w:val="none"/>
          <w:lang w:bidi="ar"/>
        </w:rPr>
        <w:t>注：潜在投标人或利害关系人可以通过线下书面或线上的形式提出异议。选择线上异议方式的，其中对资格预审文件、招标文件和评标结果有异议的，通过广交易建设工程电子交易系统提出；对开标有异议的，通过广交易建设工程电子开标系统提出。具体操作详见“广州交易集团有限公司（广州公共资源交易中心）门户网站首页-&gt;服务指南-&gt;系统帮助-&gt;操作手册-&gt;发起及受理异议操作指引”。</w:t>
      </w:r>
    </w:p>
    <w:p>
      <w:pPr>
        <w:pStyle w:val="2"/>
        <w:rPr>
          <w:rFonts w:ascii="宋体" w:hAnsi="宋体"/>
          <w:b/>
          <w:color w:val="auto"/>
          <w:highlight w:val="none"/>
        </w:rPr>
      </w:pPr>
      <w:bookmarkStart w:id="10" w:name="_Toc115179683"/>
      <w:r>
        <w:rPr>
          <w:rFonts w:ascii="宋体" w:hAnsi="宋体"/>
          <w:b/>
          <w:color w:val="auto"/>
          <w:highlight w:val="none"/>
        </w:rPr>
        <w:t>联系方式</w:t>
      </w:r>
      <w:bookmarkEnd w:id="10"/>
    </w:p>
    <w:p>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招标单位：</w:t>
      </w:r>
      <w:r>
        <w:rPr>
          <w:rFonts w:hint="eastAsia" w:ascii="宋体" w:hAnsi="宋体"/>
          <w:color w:val="auto"/>
          <w:sz w:val="24"/>
          <w:highlight w:val="none"/>
          <w:u w:val="single"/>
        </w:rPr>
        <w:t>广州市增城区新塘镇人民政府</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联系人：</w:t>
      </w:r>
      <w:r>
        <w:rPr>
          <w:rFonts w:hint="eastAsia" w:ascii="宋体" w:hAnsi="宋体"/>
          <w:color w:val="auto"/>
          <w:sz w:val="24"/>
          <w:highlight w:val="none"/>
          <w:u w:val="single"/>
        </w:rPr>
        <w:t xml:space="preserve">萧工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020-82770301</w:t>
      </w:r>
    </w:p>
    <w:p>
      <w:pPr>
        <w:spacing w:line="360" w:lineRule="auto"/>
        <w:ind w:firstLine="480" w:firstLineChars="200"/>
        <w:rPr>
          <w:rFonts w:ascii="宋体" w:hAnsi="宋体"/>
          <w:color w:val="auto"/>
          <w:sz w:val="24"/>
          <w:highlight w:val="none"/>
        </w:rPr>
      </w:pPr>
    </w:p>
    <w:p>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招标代理机构：</w:t>
      </w:r>
      <w:r>
        <w:rPr>
          <w:rFonts w:hint="eastAsia" w:ascii="宋体" w:hAnsi="宋体"/>
          <w:color w:val="auto"/>
          <w:sz w:val="24"/>
          <w:highlight w:val="none"/>
          <w:u w:val="single"/>
        </w:rPr>
        <w:t>广东城华工程咨询有限公司</w:t>
      </w:r>
    </w:p>
    <w:p>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联系人：</w:t>
      </w:r>
      <w:r>
        <w:rPr>
          <w:rFonts w:hint="eastAsia" w:ascii="宋体" w:hAnsi="宋体"/>
          <w:color w:val="auto"/>
          <w:sz w:val="24"/>
          <w:highlight w:val="none"/>
          <w:u w:val="single"/>
        </w:rPr>
        <w:t xml:space="preserve"> 胡工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 xml:space="preserve">18620898595 </w:t>
      </w:r>
    </w:p>
    <w:p>
      <w:pPr>
        <w:pStyle w:val="7"/>
        <w:ind w:firstLine="400"/>
        <w:rPr>
          <w:color w:val="auto"/>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招标监督机构：</w:t>
      </w:r>
      <w:r>
        <w:rPr>
          <w:rFonts w:hint="eastAsia" w:ascii="宋体" w:hAnsi="宋体" w:cs="宋体"/>
          <w:color w:val="auto"/>
          <w:sz w:val="24"/>
          <w:highlight w:val="none"/>
          <w:u w:val="single"/>
        </w:rPr>
        <w:t>广州市增城区水务局</w:t>
      </w:r>
    </w:p>
    <w:p>
      <w:pPr>
        <w:spacing w:line="360" w:lineRule="auto"/>
        <w:ind w:firstLine="480" w:firstLineChars="200"/>
        <w:rPr>
          <w:rFonts w:ascii="宋体" w:hAnsi="宋体" w:cs="宋体"/>
          <w:color w:val="auto"/>
          <w:sz w:val="24"/>
          <w:highlight w:val="none"/>
          <w:u w:val="single"/>
        </w:rPr>
      </w:pPr>
      <w:r>
        <w:rPr>
          <w:rFonts w:hint="eastAsia" w:ascii="宋体" w:hAnsi="宋体"/>
          <w:color w:val="auto"/>
          <w:sz w:val="24"/>
          <w:highlight w:val="none"/>
        </w:rPr>
        <w:t>监督电话：</w:t>
      </w:r>
      <w:r>
        <w:rPr>
          <w:rFonts w:ascii="宋体" w:hAnsi="宋体" w:cs="宋体"/>
          <w:color w:val="auto"/>
          <w:sz w:val="24"/>
          <w:highlight w:val="none"/>
          <w:u w:val="single"/>
        </w:rPr>
        <w:t xml:space="preserve">020-82639502 </w:t>
      </w: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wordWrap w:val="0"/>
        <w:jc w:val="right"/>
        <w:rPr>
          <w:rFonts w:hint="eastAsia" w:ascii="宋体" w:hAnsi="宋体"/>
          <w:color w:val="auto"/>
          <w:highlight w:val="none"/>
        </w:rPr>
      </w:pPr>
      <w:r>
        <w:rPr>
          <w:rFonts w:ascii="宋体" w:hAnsi="宋体"/>
          <w:color w:val="auto"/>
          <w:sz w:val="24"/>
          <w:highlight w:val="none"/>
        </w:rPr>
        <w:t>202</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 xml:space="preserve">   月   日</w:t>
      </w:r>
    </w:p>
    <w:p>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B13E1"/>
    <w:multiLevelType w:val="multilevel"/>
    <w:tmpl w:val="74AB13E1"/>
    <w:lvl w:ilvl="0" w:tentative="0">
      <w:start w:val="1"/>
      <w:numFmt w:val="decimal"/>
      <w:pStyle w:val="2"/>
      <w:suff w:val="space"/>
      <w:lvlText w:val="%1."/>
      <w:lvlJc w:val="left"/>
      <w:pPr>
        <w:ind w:left="420" w:hanging="420"/>
      </w:pPr>
      <w:rPr>
        <w:rFonts w:hint="eastAsia"/>
        <w:sz w:val="30"/>
        <w:szCs w:val="30"/>
      </w:rPr>
    </w:lvl>
    <w:lvl w:ilvl="1" w:tentative="0">
      <w:start w:val="1"/>
      <w:numFmt w:val="decimal"/>
      <w:isLgl/>
      <w:suff w:val="space"/>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MDVlN2E3NjEwODZiOWQ4MDczNGRhZjkxYmNmOWQifQ=="/>
  </w:docVars>
  <w:rsids>
    <w:rsidRoot w:val="00000000"/>
    <w:rsid w:val="25870BDE"/>
    <w:rsid w:val="6CBA7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numPr>
        <w:ilvl w:val="0"/>
        <w:numId w:val="1"/>
      </w:numPr>
      <w:spacing w:before="260" w:after="260" w:line="415" w:lineRule="auto"/>
      <w:outlineLvl w:val="1"/>
    </w:pPr>
    <w:rPr>
      <w:rFonts w:ascii="黑体" w:hAnsi="黑体"/>
      <w:sz w:val="30"/>
      <w:szCs w:val="3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Indent"/>
    <w:basedOn w:val="1"/>
    <w:next w:val="5"/>
    <w:qFormat/>
    <w:uiPriority w:val="0"/>
    <w:pPr>
      <w:spacing w:after="120"/>
      <w:ind w:left="420" w:leftChars="200"/>
    </w:pPr>
    <w:rPr>
      <w:rFonts w:ascii="Times New Roman" w:hAnsi="Times New Roman"/>
      <w:kern w:val="0"/>
      <w:sz w:val="20"/>
      <w:szCs w:val="24"/>
    </w:rPr>
  </w:style>
  <w:style w:type="paragraph" w:styleId="5">
    <w:name w:val="envelope return"/>
    <w:basedOn w:val="1"/>
    <w:qFormat/>
    <w:uiPriority w:val="0"/>
    <w:pPr>
      <w:snapToGrid w:val="0"/>
    </w:pPr>
    <w:rPr>
      <w:rFonts w:ascii="Arial" w:hAnsi="Arial" w:cs="Arial"/>
      <w:szCs w:val="24"/>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Body Text First Indent 2"/>
    <w:basedOn w:val="4"/>
    <w:qFormat/>
    <w:uiPriority w:val="99"/>
    <w:pPr>
      <w:ind w:firstLine="420" w:firstLineChars="200"/>
    </w:pPr>
  </w:style>
  <w:style w:type="paragraph" w:customStyle="1" w:styleId="10">
    <w:name w:val="p0"/>
    <w:basedOn w:val="1"/>
    <w:qFormat/>
    <w:uiPriority w:val="0"/>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2023-09-26T00:55:00Z</dcterms:created>
  <dc:creator>fdghdf</dc:creator>
  <cp:lastModifiedBy>H</cp:lastModifiedBy>
  <dcterms:modified xsi:type="dcterms:W3CDTF">2023-09-27T09:15:09Z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E2E4EC06DD464C179B168B5825F57BDA_12</vt:lpwstr>
  </property>
</Properties>
</file>