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sz w:val="36"/>
          <w:szCs w:val="36"/>
        </w:rPr>
      </w:pPr>
      <w:bookmarkStart w:id="0" w:name="_Toc288578279"/>
      <w:bookmarkStart w:id="1" w:name="_Toc251569647"/>
      <w:bookmarkStart w:id="2" w:name="_Toc197843635"/>
    </w:p>
    <w:p>
      <w:pPr>
        <w:jc w:val="center"/>
      </w:pPr>
      <w:r>
        <w:rPr>
          <w:rFonts w:hint="eastAsia" w:eastAsia="楷体_GB2312"/>
          <w:b/>
          <w:bCs/>
          <w:color w:val="auto"/>
          <w:spacing w:val="26"/>
          <w:sz w:val="48"/>
          <w:szCs w:val="48"/>
          <w14:shadow w14:blurRad="50800" w14:dist="38100" w14:dir="2700000" w14:sx="100000" w14:sy="100000" w14:kx="0" w14:ky="0" w14:algn="tl">
            <w14:srgbClr w14:val="000000">
              <w14:alpha w14:val="60000"/>
            </w14:srgbClr>
          </w14:shadow>
        </w:rPr>
        <w:t>正源湾区智慧工程检验检测基地项目第三方检测和监测</w:t>
      </w:r>
    </w:p>
    <w:p>
      <w:pPr>
        <w:widowControl/>
        <w:autoSpaceDE w:val="0"/>
        <w:autoSpaceDN w:val="0"/>
        <w:adjustRightInd w:val="0"/>
        <w:spacing w:after="160" w:line="360" w:lineRule="auto"/>
        <w:jc w:val="center"/>
        <w:rPr>
          <w:rFonts w:ascii="Calibri" w:hAnsi="Calibri" w:eastAsia="楷体_GB2312" w:cs="Calibri"/>
          <w:b/>
          <w:bCs/>
          <w:shadow/>
          <w:color w:val="auto"/>
          <w:spacing w:val="26"/>
          <w:sz w:val="52"/>
          <w:szCs w:val="110"/>
          <w:highlight w:val="none"/>
        </w:rPr>
      </w:pPr>
    </w:p>
    <w:p>
      <w:pPr>
        <w:widowControl/>
        <w:autoSpaceDE w:val="0"/>
        <w:autoSpaceDN w:val="0"/>
        <w:adjustRightInd w:val="0"/>
        <w:spacing w:after="160" w:line="360" w:lineRule="auto"/>
        <w:jc w:val="center"/>
        <w:rPr>
          <w:rFonts w:ascii="Calibri" w:hAnsi="Calibri" w:eastAsia="楷体_GB2312" w:cs="Calibri"/>
          <w:b/>
          <w:bCs/>
          <w:shadow/>
          <w:color w:val="auto"/>
          <w:spacing w:val="26"/>
          <w:sz w:val="52"/>
          <w:szCs w:val="110"/>
          <w:highlight w:val="none"/>
        </w:rPr>
      </w:pPr>
    </w:p>
    <w:p>
      <w:pPr>
        <w:pStyle w:val="5"/>
        <w:rPr>
          <w:color w:val="auto"/>
          <w:highlight w:val="none"/>
        </w:rPr>
      </w:pPr>
    </w:p>
    <w:p>
      <w:pPr>
        <w:spacing w:line="400" w:lineRule="exact"/>
        <w:jc w:val="center"/>
        <w:rPr>
          <w:rFonts w:ascii="宋体" w:hAnsi="宋体"/>
          <w:color w:val="auto"/>
          <w:sz w:val="32"/>
          <w:szCs w:val="32"/>
          <w:highlight w:val="none"/>
        </w:rPr>
      </w:pPr>
    </w:p>
    <w:p>
      <w:pPr>
        <w:jc w:val="center"/>
        <w:rPr>
          <w:rFonts w:ascii="宋体" w:hAnsi="宋体"/>
          <w:color w:val="auto"/>
          <w:sz w:val="32"/>
          <w:szCs w:val="32"/>
          <w:highlight w:val="none"/>
          <w:u w:val="single"/>
        </w:rPr>
      </w:pPr>
    </w:p>
    <w:p>
      <w:pPr>
        <w:widowControl/>
        <w:spacing w:after="160" w:line="360" w:lineRule="auto"/>
        <w:jc w:val="center"/>
        <w:rPr>
          <w:rFonts w:ascii="Calibri" w:hAnsi="Calibri" w:eastAsia="楷体_GB2312" w:cs="Calibri"/>
          <w:b/>
          <w:bCs/>
          <w:shadow/>
          <w:color w:val="auto"/>
          <w:spacing w:val="26"/>
          <w:sz w:val="110"/>
          <w:szCs w:val="110"/>
          <w:highlight w:val="none"/>
        </w:rPr>
      </w:pPr>
      <w:r>
        <w:rPr>
          <w:rFonts w:hint="eastAsia" w:ascii="Calibri" w:hAnsi="Calibri" w:eastAsia="楷体_GB2312" w:cs="Calibri"/>
          <w:b/>
          <w:bCs/>
          <w:shadow/>
          <w:color w:val="auto"/>
          <w:spacing w:val="26"/>
          <w:sz w:val="110"/>
          <w:szCs w:val="110"/>
          <w:highlight w:val="none"/>
        </w:rPr>
        <w:t>招标文件</w:t>
      </w: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rPr>
          <w:rFonts w:ascii="宋体" w:hAnsi="宋体"/>
          <w:color w:val="auto"/>
          <w:sz w:val="32"/>
          <w:szCs w:val="32"/>
          <w:highlight w:val="none"/>
          <w:u w:val="single"/>
        </w:rPr>
      </w:pPr>
    </w:p>
    <w:p>
      <w:pPr>
        <w:snapToGrid w:val="0"/>
        <w:spacing w:line="360" w:lineRule="auto"/>
        <w:ind w:firstLine="562" w:firstLineChars="200"/>
        <w:rPr>
          <w:rFonts w:ascii="宋体" w:hAnsi="宋体"/>
          <w:b/>
          <w:color w:val="auto"/>
          <w:sz w:val="28"/>
          <w:szCs w:val="24"/>
          <w:highlight w:val="none"/>
        </w:rPr>
      </w:pPr>
    </w:p>
    <w:p>
      <w:pPr>
        <w:autoSpaceDE w:val="0"/>
        <w:autoSpaceDN w:val="0"/>
        <w:adjustRightInd w:val="0"/>
        <w:spacing w:line="360" w:lineRule="auto"/>
        <w:ind w:firstLine="1205"/>
        <w:outlineLvl w:val="9"/>
        <w:rPr>
          <w:rFonts w:ascii="宋体" w:hAnsi="宋体" w:cs="宋体"/>
          <w:b/>
          <w:bCs/>
          <w:color w:val="auto"/>
          <w:sz w:val="30"/>
          <w:szCs w:val="30"/>
          <w:highlight w:val="none"/>
          <w:u w:val="single"/>
          <w:lang w:val="zh-CN"/>
        </w:rPr>
      </w:pPr>
      <w:bookmarkStart w:id="3" w:name="_Toc24811"/>
      <w:bookmarkStart w:id="4" w:name="_Toc10487"/>
      <w:bookmarkStart w:id="5" w:name="_Toc10625"/>
      <w:r>
        <w:rPr>
          <w:rFonts w:hint="eastAsia" w:ascii="宋体" w:hAnsi="宋体" w:cs="宋体"/>
          <w:b/>
          <w:bCs/>
          <w:color w:val="auto"/>
          <w:sz w:val="30"/>
          <w:szCs w:val="30"/>
          <w:highlight w:val="none"/>
          <w:lang w:val="zh-CN"/>
        </w:rPr>
        <w:t>招标人：</w:t>
      </w:r>
      <w:bookmarkEnd w:id="3"/>
      <w:r>
        <w:rPr>
          <w:rFonts w:hint="eastAsia" w:ascii="宋体" w:hAnsi="宋体" w:cs="宋体"/>
          <w:b/>
          <w:bCs/>
          <w:color w:val="auto"/>
          <w:sz w:val="30"/>
          <w:szCs w:val="30"/>
          <w:highlight w:val="none"/>
          <w:u w:val="single"/>
          <w:lang w:val="zh-CN"/>
        </w:rPr>
        <w:t>广州正源实业投资有限公司</w:t>
      </w:r>
      <w:bookmarkEnd w:id="4"/>
      <w:bookmarkEnd w:id="5"/>
    </w:p>
    <w:p>
      <w:pPr>
        <w:autoSpaceDE w:val="0"/>
        <w:autoSpaceDN w:val="0"/>
        <w:adjustRightInd w:val="0"/>
        <w:spacing w:line="360" w:lineRule="auto"/>
        <w:ind w:firstLine="1205"/>
        <w:outlineLvl w:val="9"/>
        <w:rPr>
          <w:rFonts w:ascii="宋体" w:hAnsi="宋体" w:cs="宋体"/>
          <w:b/>
          <w:bCs/>
          <w:color w:val="auto"/>
          <w:sz w:val="30"/>
          <w:szCs w:val="30"/>
          <w:highlight w:val="none"/>
          <w:u w:val="single"/>
        </w:rPr>
      </w:pPr>
      <w:bookmarkStart w:id="6" w:name="_Toc29618"/>
      <w:bookmarkStart w:id="7" w:name="_Toc13334"/>
      <w:bookmarkStart w:id="8" w:name="_Toc14305"/>
      <w:r>
        <w:rPr>
          <w:rFonts w:hint="eastAsia" w:ascii="宋体" w:hAnsi="宋体" w:cs="宋体"/>
          <w:b/>
          <w:bCs/>
          <w:color w:val="auto"/>
          <w:sz w:val="30"/>
          <w:szCs w:val="30"/>
          <w:highlight w:val="none"/>
          <w:lang w:val="zh-CN"/>
        </w:rPr>
        <w:t>招标代理机构：</w:t>
      </w:r>
      <w:r>
        <w:rPr>
          <w:rFonts w:hint="eastAsia" w:ascii="宋体" w:hAnsi="宋体" w:cs="宋体"/>
          <w:b/>
          <w:bCs/>
          <w:color w:val="auto"/>
          <w:sz w:val="30"/>
          <w:szCs w:val="30"/>
          <w:highlight w:val="none"/>
          <w:u w:val="single"/>
          <w:lang w:val="zh-CN"/>
        </w:rPr>
        <w:t>广州永安工程管理有限公司</w:t>
      </w:r>
      <w:bookmarkEnd w:id="6"/>
      <w:bookmarkEnd w:id="7"/>
      <w:bookmarkEnd w:id="8"/>
    </w:p>
    <w:p>
      <w:pPr>
        <w:spacing w:line="360" w:lineRule="auto"/>
        <w:ind w:firstLine="1193" w:firstLineChars="396"/>
        <w:outlineLvl w:val="9"/>
        <w:rPr>
          <w:rFonts w:ascii="宋体" w:hAnsi="宋体" w:cs="宋体"/>
          <w:b/>
          <w:bCs/>
          <w:color w:val="auto"/>
          <w:sz w:val="30"/>
          <w:szCs w:val="30"/>
          <w:highlight w:val="none"/>
          <w:lang w:val="zh-CN"/>
        </w:rPr>
      </w:pPr>
      <w:bookmarkStart w:id="9" w:name="_Toc5793"/>
      <w:bookmarkStart w:id="10" w:name="_Toc16641"/>
      <w:bookmarkStart w:id="11" w:name="_Toc8322"/>
      <w:r>
        <w:rPr>
          <w:rFonts w:hint="eastAsia" w:ascii="宋体" w:hAnsi="宋体" w:cs="宋体"/>
          <w:b/>
          <w:bCs/>
          <w:color w:val="auto"/>
          <w:sz w:val="30"/>
          <w:szCs w:val="30"/>
          <w:highlight w:val="none"/>
          <w:lang w:val="zh-CN"/>
        </w:rPr>
        <w:t>日</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期：</w:t>
      </w:r>
      <w:r>
        <w:rPr>
          <w:rFonts w:hint="eastAsia" w:ascii="宋体" w:hAnsi="宋体" w:cs="宋体"/>
          <w:b/>
          <w:bCs/>
          <w:color w:val="auto"/>
          <w:sz w:val="30"/>
          <w:szCs w:val="30"/>
          <w:highlight w:val="none"/>
          <w:u w:val="single"/>
          <w:lang w:val="zh-CN"/>
        </w:rPr>
        <w:t>20</w:t>
      </w:r>
      <w:r>
        <w:rPr>
          <w:rFonts w:hint="eastAsia" w:ascii="宋体" w:hAnsi="宋体" w:cs="宋体"/>
          <w:b/>
          <w:bCs/>
          <w:color w:val="auto"/>
          <w:sz w:val="30"/>
          <w:szCs w:val="30"/>
          <w:highlight w:val="none"/>
          <w:u w:val="single"/>
        </w:rPr>
        <w:t>23</w:t>
      </w:r>
      <w:r>
        <w:rPr>
          <w:rFonts w:hint="eastAsia" w:ascii="宋体" w:hAnsi="宋体" w:cs="宋体"/>
          <w:b/>
          <w:bCs/>
          <w:color w:val="auto"/>
          <w:sz w:val="30"/>
          <w:szCs w:val="30"/>
          <w:highlight w:val="none"/>
          <w:lang w:val="zh-CN"/>
        </w:rPr>
        <w:t>年</w:t>
      </w:r>
      <w:r>
        <w:rPr>
          <w:rFonts w:hint="eastAsia" w:ascii="宋体" w:hAnsi="宋体" w:cs="宋体"/>
          <w:b/>
          <w:bCs/>
          <w:color w:val="auto"/>
          <w:sz w:val="30"/>
          <w:szCs w:val="30"/>
          <w:highlight w:val="none"/>
          <w:u w:val="single"/>
          <w:lang w:val="en-US" w:eastAsia="zh-CN"/>
        </w:rPr>
        <w:t>9</w:t>
      </w:r>
      <w:r>
        <w:rPr>
          <w:rFonts w:hint="eastAsia" w:ascii="宋体" w:hAnsi="宋体" w:cs="宋体"/>
          <w:b/>
          <w:bCs/>
          <w:color w:val="auto"/>
          <w:sz w:val="30"/>
          <w:szCs w:val="30"/>
          <w:highlight w:val="none"/>
          <w:lang w:val="zh-CN"/>
        </w:rPr>
        <w:t>月</w:t>
      </w:r>
      <w:bookmarkEnd w:id="9"/>
      <w:bookmarkEnd w:id="10"/>
      <w:bookmarkEnd w:id="11"/>
    </w:p>
    <w:p>
      <w:pPr>
        <w:jc w:val="center"/>
        <w:rPr>
          <w:rFonts w:ascii="宋体" w:hAnsi="宋体" w:cs="宋体"/>
          <w:color w:val="auto"/>
          <w:sz w:val="36"/>
          <w:szCs w:val="36"/>
          <w:highlight w:val="none"/>
        </w:rPr>
        <w:sectPr>
          <w:pgSz w:w="11906" w:h="16838"/>
          <w:pgMar w:top="1440" w:right="1418" w:bottom="1440" w:left="1418" w:header="851" w:footer="992" w:gutter="0"/>
          <w:cols w:space="720" w:num="1"/>
          <w:docGrid w:type="lines" w:linePitch="312" w:charSpace="0"/>
        </w:sectPr>
      </w:pPr>
    </w:p>
    <w:p>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pPr>
        <w:spacing w:line="360" w:lineRule="auto"/>
        <w:ind w:firstLine="537" w:firstLineChars="224"/>
        <w:jc w:val="center"/>
        <w:rPr>
          <w:rFonts w:ascii="宋体" w:hAnsi="宋体"/>
          <w:bCs/>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rPr>
        <w:t>最新指引</w:t>
      </w:r>
      <w:r>
        <w:rPr>
          <w:rFonts w:hint="eastAsia" w:ascii="宋体" w:hAnsi="宋体"/>
          <w:color w:val="auto"/>
          <w:sz w:val="24"/>
          <w:highlight w:val="none"/>
        </w:rPr>
        <w:t>。</w:t>
      </w:r>
    </w:p>
    <w:p>
      <w:pPr>
        <w:jc w:val="center"/>
        <w:rPr>
          <w:rFonts w:ascii="宋体" w:hAnsi="宋体"/>
          <w:b/>
          <w:color w:val="auto"/>
          <w:sz w:val="28"/>
          <w:szCs w:val="28"/>
          <w:highlight w:val="none"/>
        </w:rPr>
      </w:pPr>
    </w:p>
    <w:p>
      <w:pPr>
        <w:spacing w:line="360" w:lineRule="auto"/>
        <w:ind w:firstLine="1164" w:firstLineChars="224"/>
        <w:jc w:val="center"/>
        <w:rPr>
          <w:rFonts w:ascii="宋体" w:hAnsi="宋体"/>
          <w:bCs/>
          <w:color w:val="auto"/>
          <w:sz w:val="52"/>
          <w:highlight w:val="none"/>
        </w:rPr>
        <w:sectPr>
          <w:footerReference r:id="rId3" w:type="default"/>
          <w:pgSz w:w="11906" w:h="16838"/>
          <w:pgMar w:top="1440" w:right="1080" w:bottom="1440" w:left="1080" w:header="851" w:footer="1020" w:gutter="0"/>
          <w:pgNumType w:fmt="decimal" w:start="1"/>
          <w:cols w:space="720" w:num="1"/>
          <w:docGrid w:type="lines" w:linePitch="312" w:charSpace="0"/>
        </w:sectPr>
      </w:pPr>
    </w:p>
    <w:p>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pPr>
        <w:pStyle w:val="23"/>
        <w:tabs>
          <w:tab w:val="right" w:leader="dot" w:pos="9072"/>
        </w:tabs>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r>
        <w:rPr>
          <w:rFonts w:ascii="宋体" w:hAnsi="宋体"/>
          <w:color w:val="auto"/>
          <w:szCs w:val="28"/>
          <w:highlight w:val="none"/>
        </w:rPr>
        <w:fldChar w:fldCharType="begin"/>
      </w:r>
      <w:r>
        <w:rPr>
          <w:rFonts w:ascii="宋体" w:hAnsi="宋体"/>
          <w:szCs w:val="28"/>
          <w:highlight w:val="none"/>
        </w:rPr>
        <w:instrText xml:space="preserve"> HYPERLINK \l _Toc27406 </w:instrText>
      </w:r>
      <w:r>
        <w:rPr>
          <w:rFonts w:ascii="宋体" w:hAnsi="宋体"/>
          <w:szCs w:val="28"/>
          <w:highlight w:val="none"/>
        </w:rPr>
        <w:fldChar w:fldCharType="separate"/>
      </w:r>
      <w:r>
        <w:rPr>
          <w:rFonts w:hint="eastAsia"/>
          <w:highlight w:val="none"/>
        </w:rPr>
        <w:t>第一卷</w:t>
      </w:r>
      <w:r>
        <w:tab/>
      </w:r>
      <w:r>
        <w:fldChar w:fldCharType="begin"/>
      </w:r>
      <w:r>
        <w:instrText xml:space="preserve"> PAGEREF _Toc27406 \h </w:instrText>
      </w:r>
      <w:r>
        <w:fldChar w:fldCharType="separate"/>
      </w:r>
      <w:r>
        <w:t>3</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_Toc14266 </w:instrText>
      </w:r>
      <w:r>
        <w:rPr>
          <w:rFonts w:ascii="宋体" w:hAnsi="宋体"/>
          <w:szCs w:val="28"/>
          <w:highlight w:val="none"/>
        </w:rPr>
        <w:fldChar w:fldCharType="separate"/>
      </w:r>
      <w:r>
        <w:rPr>
          <w:rFonts w:hint="eastAsia"/>
          <w:highlight w:val="none"/>
        </w:rPr>
        <w:t>第一章  招标公告</w:t>
      </w:r>
      <w:r>
        <w:tab/>
      </w:r>
      <w:r>
        <w:fldChar w:fldCharType="begin"/>
      </w:r>
      <w:r>
        <w:instrText xml:space="preserve"> PAGEREF _Toc14266 \h </w:instrText>
      </w:r>
      <w:r>
        <w:fldChar w:fldCharType="separate"/>
      </w:r>
      <w:r>
        <w:t>3</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_Toc29 </w:instrText>
      </w:r>
      <w:r>
        <w:rPr>
          <w:rFonts w:ascii="宋体" w:hAnsi="宋体"/>
          <w:szCs w:val="28"/>
          <w:highlight w:val="none"/>
        </w:rPr>
        <w:fldChar w:fldCharType="separate"/>
      </w:r>
      <w:r>
        <w:rPr>
          <w:rFonts w:hint="eastAsia"/>
          <w:highlight w:val="none"/>
        </w:rPr>
        <w:t>第二章  投标人须知</w:t>
      </w:r>
      <w:r>
        <w:tab/>
      </w:r>
      <w:r>
        <w:fldChar w:fldCharType="begin"/>
      </w:r>
      <w:r>
        <w:instrText xml:space="preserve"> PAGEREF _Toc29 \h </w:instrText>
      </w:r>
      <w:r>
        <w:fldChar w:fldCharType="separate"/>
      </w:r>
      <w:r>
        <w:t>4</w:t>
      </w:r>
      <w:r>
        <w:fldChar w:fldCharType="end"/>
      </w:r>
      <w:r>
        <w:rPr>
          <w:rFonts w:ascii="宋体" w:hAnsi="宋体"/>
          <w:color w:val="auto"/>
          <w:szCs w:val="28"/>
          <w:highlight w:val="none"/>
        </w:rPr>
        <w:fldChar w:fldCharType="end"/>
      </w:r>
    </w:p>
    <w:p>
      <w:pPr>
        <w:pStyle w:val="2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_Toc31285 </w:instrText>
      </w:r>
      <w:r>
        <w:rPr>
          <w:rFonts w:ascii="宋体" w:hAnsi="宋体"/>
          <w:szCs w:val="28"/>
          <w:highlight w:val="none"/>
        </w:rPr>
        <w:fldChar w:fldCharType="separate"/>
      </w:r>
      <w:r>
        <w:rPr>
          <w:rFonts w:hint="eastAsia" w:ascii="宋体" w:hAnsi="宋体"/>
          <w:highlight w:val="none"/>
        </w:rPr>
        <w:t>投标人须知前附</w:t>
      </w:r>
      <w:r>
        <w:tab/>
      </w:r>
      <w:r>
        <w:fldChar w:fldCharType="begin"/>
      </w:r>
      <w:r>
        <w:instrText xml:space="preserve"> PAGEREF _Toc31285 \h </w:instrText>
      </w:r>
      <w:r>
        <w:fldChar w:fldCharType="separate"/>
      </w:r>
      <w:r>
        <w:t>4</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_Toc14041 </w:instrText>
      </w:r>
      <w:r>
        <w:rPr>
          <w:rFonts w:ascii="宋体" w:hAnsi="宋体"/>
          <w:szCs w:val="28"/>
          <w:highlight w:val="none"/>
        </w:rPr>
        <w:fldChar w:fldCharType="separate"/>
      </w:r>
      <w:r>
        <w:rPr>
          <w:highlight w:val="none"/>
        </w:rPr>
        <w:t xml:space="preserve">1. </w:t>
      </w:r>
      <w:r>
        <w:rPr>
          <w:rFonts w:hint="eastAsia"/>
          <w:highlight w:val="none"/>
        </w:rPr>
        <w:t>总则</w:t>
      </w:r>
      <w:r>
        <w:tab/>
      </w:r>
      <w:r>
        <w:fldChar w:fldCharType="begin"/>
      </w:r>
      <w:r>
        <w:instrText xml:space="preserve"> PAGEREF _Toc14041 \h </w:instrText>
      </w:r>
      <w:r>
        <w:fldChar w:fldCharType="separate"/>
      </w:r>
      <w:r>
        <w:t>10</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_Toc21018 </w:instrText>
      </w:r>
      <w:r>
        <w:rPr>
          <w:rFonts w:ascii="宋体" w:hAnsi="宋体"/>
          <w:szCs w:val="28"/>
          <w:highlight w:val="none"/>
        </w:rPr>
        <w:fldChar w:fldCharType="separate"/>
      </w:r>
      <w:r>
        <w:rPr>
          <w:highlight w:val="none"/>
        </w:rPr>
        <w:t xml:space="preserve">2. </w:t>
      </w:r>
      <w:r>
        <w:rPr>
          <w:rFonts w:hint="eastAsia"/>
          <w:highlight w:val="none"/>
        </w:rPr>
        <w:t>招标文件</w:t>
      </w:r>
      <w:r>
        <w:tab/>
      </w:r>
      <w:r>
        <w:fldChar w:fldCharType="begin"/>
      </w:r>
      <w:r>
        <w:instrText xml:space="preserve"> PAGEREF _Toc21018 \h </w:instrText>
      </w:r>
      <w:r>
        <w:fldChar w:fldCharType="separate"/>
      </w:r>
      <w:r>
        <w:t>12</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_Toc22272 </w:instrText>
      </w:r>
      <w:r>
        <w:rPr>
          <w:rFonts w:ascii="宋体" w:hAnsi="宋体"/>
          <w:szCs w:val="28"/>
          <w:highlight w:val="none"/>
        </w:rPr>
        <w:fldChar w:fldCharType="separate"/>
      </w:r>
      <w:r>
        <w:rPr>
          <w:highlight w:val="none"/>
        </w:rPr>
        <w:t xml:space="preserve">3. </w:t>
      </w:r>
      <w:r>
        <w:rPr>
          <w:rFonts w:hint="eastAsia"/>
          <w:highlight w:val="none"/>
        </w:rPr>
        <w:t>投标文件</w:t>
      </w:r>
      <w:r>
        <w:tab/>
      </w:r>
      <w:r>
        <w:fldChar w:fldCharType="begin"/>
      </w:r>
      <w:r>
        <w:instrText xml:space="preserve"> PAGEREF _Toc22272 \h </w:instrText>
      </w:r>
      <w:r>
        <w:fldChar w:fldCharType="separate"/>
      </w:r>
      <w:r>
        <w:t>13</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_Toc9664 </w:instrText>
      </w:r>
      <w:r>
        <w:rPr>
          <w:rFonts w:ascii="宋体" w:hAnsi="宋体"/>
          <w:szCs w:val="28"/>
          <w:highlight w:val="none"/>
        </w:rPr>
        <w:fldChar w:fldCharType="separate"/>
      </w:r>
      <w:r>
        <w:rPr>
          <w:rFonts w:hint="eastAsia"/>
          <w:highlight w:val="none"/>
        </w:rPr>
        <w:t>4. 投标</w:t>
      </w:r>
      <w:r>
        <w:tab/>
      </w:r>
      <w:r>
        <w:fldChar w:fldCharType="begin"/>
      </w:r>
      <w:r>
        <w:instrText xml:space="preserve"> PAGEREF _Toc9664 \h </w:instrText>
      </w:r>
      <w:r>
        <w:fldChar w:fldCharType="separate"/>
      </w:r>
      <w:r>
        <w:t>15</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_Toc15576 </w:instrText>
      </w:r>
      <w:r>
        <w:rPr>
          <w:rFonts w:ascii="宋体" w:hAnsi="宋体"/>
          <w:szCs w:val="28"/>
          <w:highlight w:val="none"/>
        </w:rPr>
        <w:fldChar w:fldCharType="separate"/>
      </w:r>
      <w:r>
        <w:rPr>
          <w:highlight w:val="none"/>
        </w:rPr>
        <w:t xml:space="preserve">5. </w:t>
      </w:r>
      <w:r>
        <w:rPr>
          <w:rFonts w:hint="eastAsia"/>
          <w:highlight w:val="none"/>
        </w:rPr>
        <w:t>开标</w:t>
      </w:r>
      <w:r>
        <w:tab/>
      </w:r>
      <w:r>
        <w:fldChar w:fldCharType="begin"/>
      </w:r>
      <w:r>
        <w:instrText xml:space="preserve"> PAGEREF _Toc15576 \h </w:instrText>
      </w:r>
      <w:r>
        <w:fldChar w:fldCharType="separate"/>
      </w:r>
      <w:r>
        <w:t>16</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_Toc23165 </w:instrText>
      </w:r>
      <w:r>
        <w:rPr>
          <w:rFonts w:ascii="宋体" w:hAnsi="宋体"/>
          <w:szCs w:val="28"/>
          <w:highlight w:val="none"/>
        </w:rPr>
        <w:fldChar w:fldCharType="separate"/>
      </w:r>
      <w:r>
        <w:rPr>
          <w:highlight w:val="none"/>
        </w:rPr>
        <w:t xml:space="preserve">6. </w:t>
      </w:r>
      <w:r>
        <w:rPr>
          <w:rFonts w:hint="eastAsia"/>
          <w:highlight w:val="none"/>
        </w:rPr>
        <w:t>评标</w:t>
      </w:r>
      <w:r>
        <w:tab/>
      </w:r>
      <w:r>
        <w:fldChar w:fldCharType="begin"/>
      </w:r>
      <w:r>
        <w:instrText xml:space="preserve"> PAGEREF _Toc23165 \h </w:instrText>
      </w:r>
      <w:r>
        <w:fldChar w:fldCharType="separate"/>
      </w:r>
      <w:r>
        <w:t>16</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_Toc20984 </w:instrText>
      </w:r>
      <w:r>
        <w:rPr>
          <w:rFonts w:ascii="宋体" w:hAnsi="宋体"/>
          <w:szCs w:val="28"/>
          <w:highlight w:val="none"/>
        </w:rPr>
        <w:fldChar w:fldCharType="separate"/>
      </w:r>
      <w:r>
        <w:rPr>
          <w:highlight w:val="none"/>
        </w:rPr>
        <w:t xml:space="preserve">7. </w:t>
      </w:r>
      <w:r>
        <w:rPr>
          <w:rFonts w:hint="eastAsia"/>
          <w:highlight w:val="none"/>
        </w:rPr>
        <w:t>合同授予</w:t>
      </w:r>
      <w:r>
        <w:tab/>
      </w:r>
      <w:r>
        <w:fldChar w:fldCharType="begin"/>
      </w:r>
      <w:r>
        <w:instrText xml:space="preserve"> PAGEREF _Toc20984 \h </w:instrText>
      </w:r>
      <w:r>
        <w:fldChar w:fldCharType="separate"/>
      </w:r>
      <w:r>
        <w:t>17</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_Toc20151 </w:instrText>
      </w:r>
      <w:r>
        <w:rPr>
          <w:rFonts w:ascii="宋体" w:hAnsi="宋体"/>
          <w:szCs w:val="28"/>
          <w:highlight w:val="none"/>
        </w:rPr>
        <w:fldChar w:fldCharType="separate"/>
      </w:r>
      <w:r>
        <w:rPr>
          <w:highlight w:val="none"/>
        </w:rPr>
        <w:t xml:space="preserve">8. </w:t>
      </w:r>
      <w:r>
        <w:rPr>
          <w:rFonts w:hint="eastAsia"/>
          <w:highlight w:val="none"/>
        </w:rPr>
        <w:t>纪律和监督</w:t>
      </w:r>
      <w:r>
        <w:tab/>
      </w:r>
      <w:r>
        <w:fldChar w:fldCharType="begin"/>
      </w:r>
      <w:r>
        <w:instrText xml:space="preserve"> PAGEREF _Toc20151 \h </w:instrText>
      </w:r>
      <w:r>
        <w:fldChar w:fldCharType="separate"/>
      </w:r>
      <w:r>
        <w:t>18</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_Toc29080 </w:instrText>
      </w:r>
      <w:r>
        <w:rPr>
          <w:rFonts w:ascii="宋体" w:hAnsi="宋体"/>
          <w:szCs w:val="28"/>
          <w:highlight w:val="none"/>
        </w:rPr>
        <w:fldChar w:fldCharType="separate"/>
      </w:r>
      <w:r>
        <w:rPr>
          <w:highlight w:val="none"/>
        </w:rPr>
        <w:t xml:space="preserve">9. </w:t>
      </w:r>
      <w:r>
        <w:rPr>
          <w:rFonts w:hint="eastAsia"/>
          <w:highlight w:val="none"/>
        </w:rPr>
        <w:t>是否采用电子招标投标</w:t>
      </w:r>
      <w:r>
        <w:tab/>
      </w:r>
      <w:r>
        <w:fldChar w:fldCharType="begin"/>
      </w:r>
      <w:r>
        <w:instrText xml:space="preserve"> PAGEREF _Toc29080 \h </w:instrText>
      </w:r>
      <w:r>
        <w:fldChar w:fldCharType="separate"/>
      </w:r>
      <w:r>
        <w:t>19</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_Toc13709 </w:instrText>
      </w:r>
      <w:r>
        <w:rPr>
          <w:rFonts w:ascii="宋体" w:hAnsi="宋体"/>
          <w:szCs w:val="28"/>
          <w:highlight w:val="none"/>
        </w:rPr>
        <w:fldChar w:fldCharType="separate"/>
      </w:r>
      <w:r>
        <w:rPr>
          <w:highlight w:val="none"/>
        </w:rPr>
        <w:t xml:space="preserve">10. </w:t>
      </w:r>
      <w:r>
        <w:rPr>
          <w:rFonts w:hint="eastAsia"/>
          <w:highlight w:val="none"/>
        </w:rPr>
        <w:t>需要补充的其他内容</w:t>
      </w:r>
      <w:r>
        <w:tab/>
      </w:r>
      <w:r>
        <w:fldChar w:fldCharType="begin"/>
      </w:r>
      <w:r>
        <w:instrText xml:space="preserve"> PAGEREF _Toc13709 \h </w:instrText>
      </w:r>
      <w:r>
        <w:fldChar w:fldCharType="separate"/>
      </w:r>
      <w:r>
        <w:t>19</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_Toc15379 </w:instrText>
      </w:r>
      <w:r>
        <w:rPr>
          <w:rFonts w:ascii="宋体" w:hAnsi="宋体"/>
          <w:szCs w:val="28"/>
          <w:highlight w:val="none"/>
        </w:rPr>
        <w:fldChar w:fldCharType="separate"/>
      </w:r>
      <w:r>
        <w:rPr>
          <w:rFonts w:hint="eastAsia"/>
          <w:highlight w:val="none"/>
        </w:rPr>
        <w:t>第三章  评标办法（综合评估法）</w:t>
      </w:r>
      <w:r>
        <w:tab/>
      </w:r>
      <w:r>
        <w:fldChar w:fldCharType="begin"/>
      </w:r>
      <w:r>
        <w:instrText xml:space="preserve"> PAGEREF _Toc15379 \h </w:instrText>
      </w:r>
      <w:r>
        <w:fldChar w:fldCharType="separate"/>
      </w:r>
      <w:r>
        <w:t>20</w:t>
      </w:r>
      <w:r>
        <w:fldChar w:fldCharType="end"/>
      </w:r>
      <w:r>
        <w:rPr>
          <w:rFonts w:ascii="宋体" w:hAnsi="宋体"/>
          <w:color w:val="auto"/>
          <w:szCs w:val="28"/>
          <w:highlight w:val="none"/>
        </w:rPr>
        <w:fldChar w:fldCharType="end"/>
      </w:r>
    </w:p>
    <w:p>
      <w:pPr>
        <w:pStyle w:val="2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_Toc26813 </w:instrText>
      </w:r>
      <w:r>
        <w:rPr>
          <w:rFonts w:ascii="宋体" w:hAnsi="宋体"/>
          <w:szCs w:val="28"/>
          <w:highlight w:val="none"/>
        </w:rPr>
        <w:fldChar w:fldCharType="separate"/>
      </w:r>
      <w:r>
        <w:rPr>
          <w:rFonts w:hint="eastAsia" w:ascii="宋体" w:hAnsi="宋体"/>
          <w:highlight w:val="none"/>
        </w:rPr>
        <w:t>评标办法前附表</w:t>
      </w:r>
      <w:r>
        <w:tab/>
      </w:r>
      <w:r>
        <w:fldChar w:fldCharType="begin"/>
      </w:r>
      <w:r>
        <w:instrText xml:space="preserve"> PAGEREF _Toc26813 \h </w:instrText>
      </w:r>
      <w:r>
        <w:fldChar w:fldCharType="separate"/>
      </w:r>
      <w:r>
        <w:t>20</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_Toc15295 </w:instrText>
      </w:r>
      <w:r>
        <w:rPr>
          <w:rFonts w:ascii="宋体" w:hAnsi="宋体"/>
          <w:szCs w:val="28"/>
          <w:highlight w:val="none"/>
        </w:rPr>
        <w:fldChar w:fldCharType="separate"/>
      </w:r>
      <w:r>
        <w:rPr>
          <w:rFonts w:hint="eastAsia"/>
          <w:highlight w:val="none"/>
        </w:rPr>
        <w:t>附表一：形式评审表</w:t>
      </w:r>
      <w:r>
        <w:tab/>
      </w:r>
      <w:r>
        <w:fldChar w:fldCharType="begin"/>
      </w:r>
      <w:r>
        <w:instrText xml:space="preserve"> PAGEREF _Toc15295 \h </w:instrText>
      </w:r>
      <w:r>
        <w:fldChar w:fldCharType="separate"/>
      </w:r>
      <w:r>
        <w:t>22</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_Toc10920 </w:instrText>
      </w:r>
      <w:r>
        <w:rPr>
          <w:rFonts w:ascii="宋体" w:hAnsi="宋体"/>
          <w:szCs w:val="28"/>
          <w:highlight w:val="none"/>
        </w:rPr>
        <w:fldChar w:fldCharType="separate"/>
      </w:r>
      <w:r>
        <w:rPr>
          <w:rFonts w:hint="eastAsia"/>
          <w:highlight w:val="none"/>
        </w:rPr>
        <w:t>附表二：资格评审表</w:t>
      </w:r>
      <w:r>
        <w:tab/>
      </w:r>
      <w:r>
        <w:fldChar w:fldCharType="begin"/>
      </w:r>
      <w:r>
        <w:instrText xml:space="preserve"> PAGEREF _Toc10920 \h </w:instrText>
      </w:r>
      <w:r>
        <w:fldChar w:fldCharType="separate"/>
      </w:r>
      <w:r>
        <w:t>23</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_Toc3405 </w:instrText>
      </w:r>
      <w:r>
        <w:rPr>
          <w:rFonts w:ascii="宋体" w:hAnsi="宋体"/>
          <w:szCs w:val="28"/>
          <w:highlight w:val="none"/>
        </w:rPr>
        <w:fldChar w:fldCharType="separate"/>
      </w:r>
      <w:r>
        <w:rPr>
          <w:rFonts w:hint="eastAsia"/>
          <w:highlight w:val="none"/>
        </w:rPr>
        <w:t>附表三：响应性评审表</w:t>
      </w:r>
      <w:r>
        <w:tab/>
      </w:r>
      <w:r>
        <w:fldChar w:fldCharType="begin"/>
      </w:r>
      <w:r>
        <w:instrText xml:space="preserve"> PAGEREF _Toc3405 \h </w:instrText>
      </w:r>
      <w:r>
        <w:fldChar w:fldCharType="separate"/>
      </w:r>
      <w:r>
        <w:t>24</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_Toc4163 </w:instrText>
      </w:r>
      <w:r>
        <w:rPr>
          <w:rFonts w:ascii="宋体" w:hAnsi="宋体"/>
          <w:szCs w:val="28"/>
          <w:highlight w:val="none"/>
        </w:rPr>
        <w:fldChar w:fldCharType="separate"/>
      </w:r>
      <w:r>
        <w:rPr>
          <w:rFonts w:hint="eastAsia"/>
          <w:highlight w:val="none"/>
        </w:rPr>
        <w:t>附表四：综合评分表</w:t>
      </w:r>
      <w:r>
        <w:tab/>
      </w:r>
      <w:r>
        <w:fldChar w:fldCharType="begin"/>
      </w:r>
      <w:r>
        <w:instrText xml:space="preserve"> PAGEREF _Toc4163 \h </w:instrText>
      </w:r>
      <w:r>
        <w:fldChar w:fldCharType="separate"/>
      </w:r>
      <w:r>
        <w:t>25</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_Toc24383 </w:instrText>
      </w:r>
      <w:r>
        <w:rPr>
          <w:rFonts w:ascii="宋体" w:hAnsi="宋体"/>
          <w:szCs w:val="28"/>
          <w:highlight w:val="none"/>
        </w:rPr>
        <w:fldChar w:fldCharType="separate"/>
      </w:r>
      <w:r>
        <w:rPr>
          <w:rFonts w:hint="eastAsia"/>
          <w:highlight w:val="none"/>
        </w:rPr>
        <w:t>附表五：算术复核表</w:t>
      </w:r>
      <w:r>
        <w:tab/>
      </w:r>
      <w:r>
        <w:fldChar w:fldCharType="begin"/>
      </w:r>
      <w:r>
        <w:instrText xml:space="preserve"> PAGEREF _Toc24383 \h </w:instrText>
      </w:r>
      <w:r>
        <w:fldChar w:fldCharType="separate"/>
      </w:r>
      <w:r>
        <w:t>29</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_Toc2144 </w:instrText>
      </w:r>
      <w:r>
        <w:rPr>
          <w:rFonts w:ascii="宋体" w:hAnsi="宋体"/>
          <w:szCs w:val="28"/>
          <w:highlight w:val="none"/>
        </w:rPr>
        <w:fldChar w:fldCharType="separate"/>
      </w:r>
      <w:r>
        <w:rPr>
          <w:rFonts w:hint="eastAsia"/>
          <w:bCs/>
          <w:highlight w:val="none"/>
        </w:rPr>
        <w:t>附表六：</w:t>
      </w:r>
      <w:r>
        <w:rPr>
          <w:rFonts w:hint="eastAsia"/>
          <w:highlight w:val="none"/>
        </w:rPr>
        <w:t>报价得分计算表</w:t>
      </w:r>
      <w:r>
        <w:tab/>
      </w:r>
      <w:r>
        <w:fldChar w:fldCharType="begin"/>
      </w:r>
      <w:r>
        <w:instrText xml:space="preserve"> PAGEREF _Toc2144 \h </w:instrText>
      </w:r>
      <w:r>
        <w:fldChar w:fldCharType="separate"/>
      </w:r>
      <w:r>
        <w:t>30</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_Toc6191 </w:instrText>
      </w:r>
      <w:r>
        <w:rPr>
          <w:rFonts w:ascii="宋体" w:hAnsi="宋体"/>
          <w:szCs w:val="28"/>
          <w:highlight w:val="none"/>
        </w:rPr>
        <w:fldChar w:fldCharType="separate"/>
      </w:r>
      <w:r>
        <w:rPr>
          <w:rFonts w:hint="default"/>
        </w:rPr>
        <w:t xml:space="preserve">1. </w:t>
      </w:r>
      <w:r>
        <w:rPr>
          <w:rFonts w:hint="eastAsia"/>
          <w:highlight w:val="none"/>
        </w:rPr>
        <w:t>评标方法</w:t>
      </w:r>
      <w:r>
        <w:tab/>
      </w:r>
      <w:r>
        <w:fldChar w:fldCharType="begin"/>
      </w:r>
      <w:r>
        <w:instrText xml:space="preserve"> PAGEREF _Toc6191 \h </w:instrText>
      </w:r>
      <w:r>
        <w:fldChar w:fldCharType="separate"/>
      </w:r>
      <w:r>
        <w:t>31</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_Toc7899 </w:instrText>
      </w:r>
      <w:r>
        <w:rPr>
          <w:rFonts w:ascii="宋体" w:hAnsi="宋体"/>
          <w:szCs w:val="28"/>
          <w:highlight w:val="none"/>
        </w:rPr>
        <w:fldChar w:fldCharType="separate"/>
      </w:r>
      <w:r>
        <w:rPr>
          <w:highlight w:val="none"/>
        </w:rPr>
        <w:t xml:space="preserve">2. </w:t>
      </w:r>
      <w:r>
        <w:rPr>
          <w:rFonts w:hint="eastAsia"/>
          <w:highlight w:val="none"/>
        </w:rPr>
        <w:t>评审标准</w:t>
      </w:r>
      <w:r>
        <w:tab/>
      </w:r>
      <w:r>
        <w:fldChar w:fldCharType="begin"/>
      </w:r>
      <w:r>
        <w:instrText xml:space="preserve"> PAGEREF _Toc7899 \h </w:instrText>
      </w:r>
      <w:r>
        <w:fldChar w:fldCharType="separate"/>
      </w:r>
      <w:r>
        <w:t>31</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_Toc8572 </w:instrText>
      </w:r>
      <w:r>
        <w:rPr>
          <w:rFonts w:ascii="宋体" w:hAnsi="宋体"/>
          <w:szCs w:val="28"/>
          <w:highlight w:val="none"/>
        </w:rPr>
        <w:fldChar w:fldCharType="separate"/>
      </w:r>
      <w:r>
        <w:rPr>
          <w:highlight w:val="none"/>
        </w:rPr>
        <w:t xml:space="preserve">3. </w:t>
      </w:r>
      <w:r>
        <w:rPr>
          <w:rFonts w:hint="eastAsia"/>
          <w:highlight w:val="none"/>
        </w:rPr>
        <w:t>评标程序</w:t>
      </w:r>
      <w:r>
        <w:tab/>
      </w:r>
      <w:r>
        <w:fldChar w:fldCharType="begin"/>
      </w:r>
      <w:r>
        <w:instrText xml:space="preserve"> PAGEREF _Toc8572 \h </w:instrText>
      </w:r>
      <w:r>
        <w:fldChar w:fldCharType="separate"/>
      </w:r>
      <w:r>
        <w:t>32</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_Toc27357 </w:instrText>
      </w:r>
      <w:r>
        <w:rPr>
          <w:rFonts w:ascii="宋体" w:hAnsi="宋体"/>
          <w:szCs w:val="28"/>
          <w:highlight w:val="none"/>
        </w:rPr>
        <w:fldChar w:fldCharType="separate"/>
      </w:r>
      <w:r>
        <w:rPr>
          <w:rFonts w:hint="eastAsia"/>
          <w:highlight w:val="none"/>
        </w:rPr>
        <w:t>第四章  合同条款及格式</w:t>
      </w:r>
      <w:r>
        <w:tab/>
      </w:r>
      <w:r>
        <w:fldChar w:fldCharType="begin"/>
      </w:r>
      <w:r>
        <w:instrText xml:space="preserve"> PAGEREF _Toc27357 \h </w:instrText>
      </w:r>
      <w:r>
        <w:fldChar w:fldCharType="separate"/>
      </w:r>
      <w:r>
        <w:t>34</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_Toc7002 </w:instrText>
      </w:r>
      <w:r>
        <w:rPr>
          <w:rFonts w:ascii="宋体" w:hAnsi="宋体"/>
          <w:szCs w:val="28"/>
          <w:highlight w:val="none"/>
        </w:rPr>
        <w:fldChar w:fldCharType="separate"/>
      </w:r>
      <w:r>
        <w:rPr>
          <w:rFonts w:hint="eastAsia"/>
          <w:highlight w:val="none"/>
        </w:rPr>
        <w:t>第二卷</w:t>
      </w:r>
      <w:r>
        <w:tab/>
      </w:r>
      <w:r>
        <w:fldChar w:fldCharType="begin"/>
      </w:r>
      <w:r>
        <w:instrText xml:space="preserve"> PAGEREF _Toc7002 \h </w:instrText>
      </w:r>
      <w:r>
        <w:fldChar w:fldCharType="separate"/>
      </w:r>
      <w:r>
        <w:t>35</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_Toc8883 </w:instrText>
      </w:r>
      <w:r>
        <w:rPr>
          <w:rFonts w:ascii="宋体" w:hAnsi="宋体"/>
          <w:szCs w:val="28"/>
          <w:highlight w:val="none"/>
        </w:rPr>
        <w:fldChar w:fldCharType="separate"/>
      </w:r>
      <w:r>
        <w:rPr>
          <w:rFonts w:hint="eastAsia"/>
        </w:rPr>
        <w:t xml:space="preserve">第五章 </w:t>
      </w:r>
      <w:r>
        <w:rPr>
          <w:rFonts w:hint="eastAsia"/>
          <w:highlight w:val="none"/>
        </w:rPr>
        <w:t>委托人要求</w:t>
      </w:r>
      <w:r>
        <w:tab/>
      </w:r>
      <w:r>
        <w:fldChar w:fldCharType="begin"/>
      </w:r>
      <w:r>
        <w:instrText xml:space="preserve"> PAGEREF _Toc8883 \h </w:instrText>
      </w:r>
      <w:r>
        <w:fldChar w:fldCharType="separate"/>
      </w:r>
      <w:r>
        <w:t>35</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_Toc17960 </w:instrText>
      </w:r>
      <w:r>
        <w:rPr>
          <w:rFonts w:ascii="宋体" w:hAnsi="宋体"/>
          <w:szCs w:val="28"/>
          <w:highlight w:val="none"/>
        </w:rPr>
        <w:fldChar w:fldCharType="separate"/>
      </w:r>
      <w:r>
        <w:rPr>
          <w:rFonts w:hint="eastAsia"/>
          <w:highlight w:val="none"/>
        </w:rPr>
        <w:t>第三卷</w:t>
      </w:r>
      <w:r>
        <w:tab/>
      </w:r>
      <w:r>
        <w:fldChar w:fldCharType="begin"/>
      </w:r>
      <w:r>
        <w:instrText xml:space="preserve"> PAGEREF _Toc17960 \h </w:instrText>
      </w:r>
      <w:r>
        <w:fldChar w:fldCharType="separate"/>
      </w:r>
      <w:r>
        <w:t>38</w:t>
      </w:r>
      <w:r>
        <w:fldChar w:fldCharType="end"/>
      </w:r>
      <w:r>
        <w:rPr>
          <w:rFonts w:ascii="宋体" w:hAnsi="宋体"/>
          <w:color w:val="auto"/>
          <w:szCs w:val="28"/>
          <w:highlight w:val="none"/>
        </w:rPr>
        <w:fldChar w:fldCharType="end"/>
      </w:r>
    </w:p>
    <w:p>
      <w:pPr>
        <w:pStyle w:val="23"/>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_Toc25468 </w:instrText>
      </w:r>
      <w:r>
        <w:rPr>
          <w:rFonts w:ascii="宋体" w:hAnsi="宋体"/>
          <w:szCs w:val="28"/>
          <w:highlight w:val="none"/>
        </w:rPr>
        <w:fldChar w:fldCharType="separate"/>
      </w:r>
      <w:r>
        <w:rPr>
          <w:rFonts w:hint="eastAsia"/>
          <w:highlight w:val="none"/>
        </w:rPr>
        <w:t>第六章  投标文件格式</w:t>
      </w:r>
      <w:r>
        <w:tab/>
      </w:r>
      <w:r>
        <w:fldChar w:fldCharType="begin"/>
      </w:r>
      <w:r>
        <w:instrText xml:space="preserve"> PAGEREF _Toc25468 \h </w:instrText>
      </w:r>
      <w:r>
        <w:fldChar w:fldCharType="separate"/>
      </w:r>
      <w:r>
        <w:t>38</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_Toc6105 </w:instrText>
      </w:r>
      <w:r>
        <w:rPr>
          <w:rFonts w:ascii="宋体" w:hAnsi="宋体"/>
          <w:szCs w:val="28"/>
          <w:highlight w:val="none"/>
        </w:rPr>
        <w:fldChar w:fldCharType="separate"/>
      </w:r>
      <w:r>
        <w:rPr>
          <w:rFonts w:hint="eastAsia"/>
          <w:highlight w:val="none"/>
        </w:rPr>
        <w:t>一、投标函及其附表</w:t>
      </w:r>
      <w:r>
        <w:tab/>
      </w:r>
      <w:r>
        <w:fldChar w:fldCharType="begin"/>
      </w:r>
      <w:r>
        <w:instrText xml:space="preserve"> PAGEREF _Toc6105 \h </w:instrText>
      </w:r>
      <w:r>
        <w:fldChar w:fldCharType="separate"/>
      </w:r>
      <w:r>
        <w:t>40</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_Toc11108 </w:instrText>
      </w:r>
      <w:r>
        <w:rPr>
          <w:rFonts w:ascii="宋体" w:hAnsi="宋体"/>
          <w:szCs w:val="28"/>
          <w:highlight w:val="none"/>
        </w:rPr>
        <w:fldChar w:fldCharType="separate"/>
      </w:r>
      <w:r>
        <w:rPr>
          <w:rFonts w:hint="eastAsia"/>
          <w:highlight w:val="none"/>
        </w:rPr>
        <w:t>二、法定代表人证明书及授权委托书</w:t>
      </w:r>
      <w:r>
        <w:tab/>
      </w:r>
      <w:r>
        <w:fldChar w:fldCharType="begin"/>
      </w:r>
      <w:r>
        <w:instrText xml:space="preserve"> PAGEREF _Toc11108 \h </w:instrText>
      </w:r>
      <w:r>
        <w:fldChar w:fldCharType="separate"/>
      </w:r>
      <w:r>
        <w:t>42</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_Toc7627 </w:instrText>
      </w:r>
      <w:r>
        <w:rPr>
          <w:rFonts w:ascii="宋体" w:hAnsi="宋体"/>
          <w:szCs w:val="28"/>
          <w:highlight w:val="none"/>
        </w:rPr>
        <w:fldChar w:fldCharType="separate"/>
      </w:r>
      <w:r>
        <w:rPr>
          <w:rFonts w:hint="eastAsia"/>
          <w:szCs w:val="32"/>
          <w:highlight w:val="none"/>
          <w:lang w:val="en-US" w:eastAsia="zh-CN"/>
        </w:rPr>
        <w:t>三</w:t>
      </w:r>
      <w:r>
        <w:rPr>
          <w:rFonts w:hint="eastAsia"/>
          <w:szCs w:val="32"/>
          <w:highlight w:val="none"/>
        </w:rPr>
        <w:t>、</w:t>
      </w:r>
      <w:r>
        <w:rPr>
          <w:rFonts w:hint="eastAsia"/>
          <w:highlight w:val="none"/>
        </w:rPr>
        <w:t>投</w:t>
      </w:r>
      <w:r>
        <w:rPr>
          <w:rFonts w:hint="eastAsia"/>
          <w:szCs w:val="22"/>
          <w:highlight w:val="none"/>
        </w:rPr>
        <w:t>标</w:t>
      </w:r>
      <w:r>
        <w:rPr>
          <w:rFonts w:hint="eastAsia"/>
          <w:highlight w:val="none"/>
        </w:rPr>
        <w:t>报价书</w:t>
      </w:r>
      <w:r>
        <w:tab/>
      </w:r>
      <w:r>
        <w:fldChar w:fldCharType="begin"/>
      </w:r>
      <w:r>
        <w:instrText xml:space="preserve"> PAGEREF _Toc7627 \h </w:instrText>
      </w:r>
      <w:r>
        <w:fldChar w:fldCharType="separate"/>
      </w:r>
      <w:r>
        <w:t>44</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_Toc17072 </w:instrText>
      </w:r>
      <w:r>
        <w:rPr>
          <w:rFonts w:ascii="宋体" w:hAnsi="宋体"/>
          <w:szCs w:val="28"/>
          <w:highlight w:val="none"/>
        </w:rPr>
        <w:fldChar w:fldCharType="separate"/>
      </w:r>
      <w:r>
        <w:rPr>
          <w:rFonts w:hint="eastAsia"/>
          <w:highlight w:val="none"/>
          <w:lang w:val="en-US" w:eastAsia="zh-CN"/>
        </w:rPr>
        <w:t>四</w:t>
      </w:r>
      <w:r>
        <w:rPr>
          <w:rFonts w:hint="eastAsia"/>
          <w:highlight w:val="none"/>
        </w:rPr>
        <w:t>、资格审查资料</w:t>
      </w:r>
      <w:r>
        <w:tab/>
      </w:r>
      <w:r>
        <w:fldChar w:fldCharType="begin"/>
      </w:r>
      <w:r>
        <w:instrText xml:space="preserve"> PAGEREF _Toc17072 \h </w:instrText>
      </w:r>
      <w:r>
        <w:fldChar w:fldCharType="separate"/>
      </w:r>
      <w:r>
        <w:t>46</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_Toc5664 </w:instrText>
      </w:r>
      <w:r>
        <w:rPr>
          <w:rFonts w:ascii="宋体" w:hAnsi="宋体"/>
          <w:szCs w:val="28"/>
          <w:highlight w:val="none"/>
        </w:rPr>
        <w:fldChar w:fldCharType="separate"/>
      </w:r>
      <w:r>
        <w:rPr>
          <w:rFonts w:hint="eastAsia"/>
          <w:highlight w:val="none"/>
          <w:lang w:val="en-US" w:eastAsia="zh-CN"/>
        </w:rPr>
        <w:t>五</w:t>
      </w:r>
      <w:r>
        <w:rPr>
          <w:rFonts w:hint="eastAsia"/>
          <w:highlight w:val="none"/>
        </w:rPr>
        <w:t>、类似项目业绩表</w:t>
      </w:r>
      <w:r>
        <w:tab/>
      </w:r>
      <w:r>
        <w:fldChar w:fldCharType="begin"/>
      </w:r>
      <w:r>
        <w:instrText xml:space="preserve"> PAGEREF _Toc5664 \h </w:instrText>
      </w:r>
      <w:r>
        <w:fldChar w:fldCharType="separate"/>
      </w:r>
      <w:r>
        <w:t>51</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_Toc29219 </w:instrText>
      </w:r>
      <w:r>
        <w:rPr>
          <w:rFonts w:ascii="宋体" w:hAnsi="宋体"/>
          <w:szCs w:val="28"/>
          <w:highlight w:val="none"/>
        </w:rPr>
        <w:fldChar w:fldCharType="separate"/>
      </w:r>
      <w:r>
        <w:rPr>
          <w:rFonts w:hint="eastAsia"/>
          <w:highlight w:val="none"/>
          <w:lang w:val="en-US" w:eastAsia="zh-CN"/>
        </w:rPr>
        <w:t>六</w:t>
      </w:r>
      <w:r>
        <w:rPr>
          <w:rFonts w:hint="eastAsia"/>
          <w:highlight w:val="none"/>
        </w:rPr>
        <w:t>、拟投入本项目的检测和监测人员一览表</w:t>
      </w:r>
      <w:r>
        <w:tab/>
      </w:r>
      <w:r>
        <w:fldChar w:fldCharType="begin"/>
      </w:r>
      <w:r>
        <w:instrText xml:space="preserve"> PAGEREF _Toc29219 \h </w:instrText>
      </w:r>
      <w:r>
        <w:fldChar w:fldCharType="separate"/>
      </w:r>
      <w:r>
        <w:t>52</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_Toc17685 </w:instrText>
      </w:r>
      <w:r>
        <w:rPr>
          <w:rFonts w:ascii="宋体" w:hAnsi="宋体"/>
          <w:szCs w:val="28"/>
          <w:highlight w:val="none"/>
        </w:rPr>
        <w:fldChar w:fldCharType="separate"/>
      </w:r>
      <w:r>
        <w:rPr>
          <w:rFonts w:hint="eastAsia"/>
          <w:highlight w:val="none"/>
          <w:lang w:val="en-US" w:eastAsia="zh-CN"/>
        </w:rPr>
        <w:t>七</w:t>
      </w:r>
      <w:r>
        <w:rPr>
          <w:rFonts w:hint="eastAsia"/>
          <w:highlight w:val="none"/>
        </w:rPr>
        <w:t>、拟投入本项目的检测和监测人员简历表</w:t>
      </w:r>
      <w:r>
        <w:tab/>
      </w:r>
      <w:r>
        <w:fldChar w:fldCharType="begin"/>
      </w:r>
      <w:r>
        <w:instrText xml:space="preserve"> PAGEREF _Toc17685 \h </w:instrText>
      </w:r>
      <w:r>
        <w:fldChar w:fldCharType="separate"/>
      </w:r>
      <w:r>
        <w:t>53</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_Toc6527 </w:instrText>
      </w:r>
      <w:r>
        <w:rPr>
          <w:rFonts w:ascii="宋体" w:hAnsi="宋体"/>
          <w:szCs w:val="28"/>
          <w:highlight w:val="none"/>
        </w:rPr>
        <w:fldChar w:fldCharType="separate"/>
      </w:r>
      <w:r>
        <w:rPr>
          <w:rFonts w:hint="eastAsia"/>
          <w:highlight w:val="none"/>
          <w:lang w:val="en-US" w:eastAsia="zh-CN"/>
        </w:rPr>
        <w:t>八</w:t>
      </w:r>
      <w:r>
        <w:rPr>
          <w:rFonts w:hint="eastAsia"/>
          <w:highlight w:val="none"/>
        </w:rPr>
        <w:t>、拟投入本项目的主要仪器设备一览表</w:t>
      </w:r>
      <w:r>
        <w:tab/>
      </w:r>
      <w:r>
        <w:fldChar w:fldCharType="begin"/>
      </w:r>
      <w:r>
        <w:instrText xml:space="preserve"> PAGEREF _Toc6527 \h </w:instrText>
      </w:r>
      <w:r>
        <w:fldChar w:fldCharType="separate"/>
      </w:r>
      <w:r>
        <w:t>54</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_Toc28145 </w:instrText>
      </w:r>
      <w:r>
        <w:rPr>
          <w:rFonts w:ascii="宋体" w:hAnsi="宋体"/>
          <w:szCs w:val="28"/>
          <w:highlight w:val="none"/>
        </w:rPr>
        <w:fldChar w:fldCharType="separate"/>
      </w:r>
      <w:r>
        <w:rPr>
          <w:rFonts w:hint="eastAsia"/>
          <w:highlight w:val="none"/>
          <w:lang w:val="en-US" w:eastAsia="zh-CN"/>
        </w:rPr>
        <w:t>九</w:t>
      </w:r>
      <w:r>
        <w:rPr>
          <w:rFonts w:hint="eastAsia"/>
          <w:highlight w:val="none"/>
        </w:rPr>
        <w:t>、检测和监测方案</w:t>
      </w:r>
      <w:r>
        <w:tab/>
      </w:r>
      <w:r>
        <w:fldChar w:fldCharType="begin"/>
      </w:r>
      <w:r>
        <w:instrText xml:space="preserve"> PAGEREF _Toc28145 \h </w:instrText>
      </w:r>
      <w:r>
        <w:fldChar w:fldCharType="separate"/>
      </w:r>
      <w:r>
        <w:t>55</w:t>
      </w:r>
      <w:r>
        <w:fldChar w:fldCharType="end"/>
      </w:r>
      <w:r>
        <w:rPr>
          <w:rFonts w:ascii="宋体" w:hAnsi="宋体"/>
          <w:color w:val="auto"/>
          <w:szCs w:val="28"/>
          <w:highlight w:val="none"/>
        </w:rPr>
        <w:fldChar w:fldCharType="end"/>
      </w:r>
    </w:p>
    <w:p>
      <w:pPr>
        <w:pStyle w:val="15"/>
        <w:tabs>
          <w:tab w:val="right" w:leader="dot" w:pos="9072"/>
        </w:tabs>
      </w:pPr>
      <w:r>
        <w:rPr>
          <w:rFonts w:ascii="宋体" w:hAnsi="宋体"/>
          <w:color w:val="auto"/>
          <w:szCs w:val="28"/>
          <w:highlight w:val="none"/>
        </w:rPr>
        <w:fldChar w:fldCharType="begin"/>
      </w:r>
      <w:r>
        <w:rPr>
          <w:rFonts w:ascii="宋体" w:hAnsi="宋体"/>
          <w:szCs w:val="28"/>
          <w:highlight w:val="none"/>
        </w:rPr>
        <w:instrText xml:space="preserve"> HYPERLINK \l _Toc3896 </w:instrText>
      </w:r>
      <w:r>
        <w:rPr>
          <w:rFonts w:ascii="宋体" w:hAnsi="宋体"/>
          <w:szCs w:val="28"/>
          <w:highlight w:val="none"/>
        </w:rPr>
        <w:fldChar w:fldCharType="separate"/>
      </w:r>
      <w:r>
        <w:rPr>
          <w:rFonts w:hint="eastAsia"/>
          <w:highlight w:val="none"/>
        </w:rPr>
        <w:t>十、其他资料</w:t>
      </w:r>
      <w:r>
        <w:tab/>
      </w:r>
      <w:r>
        <w:fldChar w:fldCharType="begin"/>
      </w:r>
      <w:r>
        <w:instrText xml:space="preserve"> PAGEREF _Toc3896 \h </w:instrText>
      </w:r>
      <w:r>
        <w:fldChar w:fldCharType="separate"/>
      </w:r>
      <w:r>
        <w:t>56</w:t>
      </w:r>
      <w:r>
        <w:fldChar w:fldCharType="end"/>
      </w:r>
      <w:r>
        <w:rPr>
          <w:rFonts w:ascii="宋体" w:hAnsi="宋体"/>
          <w:color w:val="auto"/>
          <w:szCs w:val="28"/>
          <w:highlight w:val="none"/>
        </w:rPr>
        <w:fldChar w:fldCharType="end"/>
      </w:r>
    </w:p>
    <w:p>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pPr>
        <w:pStyle w:val="4"/>
        <w:ind w:firstLine="470"/>
        <w:rPr>
          <w:color w:val="auto"/>
          <w:highlight w:val="none"/>
        </w:rPr>
      </w:pPr>
      <w:bookmarkStart w:id="12" w:name="_Toc103592005"/>
      <w:bookmarkStart w:id="13" w:name="_Toc27406"/>
      <w:bookmarkStart w:id="14" w:name="_Toc31541"/>
      <w:bookmarkStart w:id="15" w:name="_Toc17981"/>
      <w:bookmarkStart w:id="16" w:name="_Toc19187"/>
      <w:bookmarkStart w:id="17" w:name="_Toc1381"/>
      <w:r>
        <w:rPr>
          <w:rFonts w:hint="eastAsia"/>
          <w:color w:val="auto"/>
          <w:highlight w:val="none"/>
        </w:rPr>
        <w:t>第一卷</w:t>
      </w:r>
      <w:bookmarkEnd w:id="12"/>
      <w:bookmarkEnd w:id="13"/>
      <w:bookmarkEnd w:id="14"/>
      <w:bookmarkEnd w:id="15"/>
      <w:bookmarkEnd w:id="16"/>
      <w:bookmarkEnd w:id="17"/>
    </w:p>
    <w:p>
      <w:pPr>
        <w:pStyle w:val="4"/>
        <w:rPr>
          <w:color w:val="auto"/>
          <w:sz w:val="28"/>
          <w:highlight w:val="none"/>
        </w:rPr>
      </w:pPr>
      <w:bookmarkStart w:id="18" w:name="_Toc14266"/>
      <w:bookmarkStart w:id="19" w:name="_Toc32025"/>
      <w:bookmarkStart w:id="20" w:name="_Toc9706"/>
      <w:bookmarkStart w:id="21" w:name="_Toc22369"/>
      <w:bookmarkStart w:id="22" w:name="_Toc29010"/>
      <w:bookmarkStart w:id="23" w:name="_Toc103592006"/>
      <w:bookmarkStart w:id="24" w:name="_Toc533357306"/>
      <w:r>
        <w:rPr>
          <w:rFonts w:hint="eastAsia"/>
          <w:color w:val="auto"/>
          <w:highlight w:val="none"/>
        </w:rPr>
        <w:t>第一章  招标公告</w:t>
      </w:r>
      <w:bookmarkEnd w:id="18"/>
      <w:bookmarkEnd w:id="19"/>
      <w:bookmarkEnd w:id="20"/>
      <w:bookmarkEnd w:id="21"/>
      <w:bookmarkEnd w:id="22"/>
      <w:bookmarkEnd w:id="23"/>
    </w:p>
    <w:p>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pPr>
        <w:spacing w:line="360" w:lineRule="auto"/>
        <w:ind w:left="3986" w:firstLine="421"/>
        <w:rPr>
          <w:rFonts w:ascii="宋体" w:hAnsi="宋体"/>
          <w:color w:val="auto"/>
          <w:highlight w:val="none"/>
        </w:rPr>
      </w:pPr>
    </w:p>
    <w:p>
      <w:pPr>
        <w:pStyle w:val="4"/>
        <w:keepNext/>
        <w:keepLines/>
        <w:pageBreakBefore w:val="0"/>
        <w:widowControl w:val="0"/>
        <w:kinsoku/>
        <w:wordWrap/>
        <w:overflowPunct/>
        <w:topLinePunct w:val="0"/>
        <w:autoSpaceDE/>
        <w:autoSpaceDN/>
        <w:bidi w:val="0"/>
        <w:adjustRightInd/>
        <w:snapToGrid w:val="0"/>
        <w:spacing w:line="360" w:lineRule="auto"/>
        <w:textAlignment w:val="auto"/>
        <w:rPr>
          <w:color w:val="auto"/>
          <w:sz w:val="28"/>
          <w:highlight w:val="none"/>
        </w:rPr>
      </w:pPr>
      <w:bookmarkStart w:id="25" w:name="_Toc514099629"/>
      <w:bookmarkStart w:id="26" w:name="_Toc511557031"/>
      <w:r>
        <w:rPr>
          <w:rFonts w:hint="eastAsia"/>
          <w:color w:val="auto"/>
          <w:highlight w:val="none"/>
        </w:rPr>
        <w:br w:type="page"/>
      </w:r>
      <w:bookmarkEnd w:id="24"/>
      <w:bookmarkEnd w:id="25"/>
      <w:bookmarkEnd w:id="26"/>
      <w:bookmarkStart w:id="27" w:name="_Toc384308185"/>
      <w:bookmarkEnd w:id="27"/>
      <w:bookmarkStart w:id="28" w:name="_Toc352691456"/>
      <w:bookmarkEnd w:id="28"/>
      <w:bookmarkStart w:id="29" w:name="_Toc361508563"/>
      <w:bookmarkEnd w:id="29"/>
      <w:bookmarkStart w:id="30" w:name="_Toc384308187"/>
      <w:bookmarkEnd w:id="30"/>
      <w:bookmarkStart w:id="31" w:name="_Toc369531498"/>
      <w:bookmarkEnd w:id="31"/>
      <w:bookmarkStart w:id="32" w:name="_Toc369531497"/>
      <w:bookmarkEnd w:id="32"/>
      <w:bookmarkStart w:id="33" w:name="_Toc144974481"/>
      <w:bookmarkEnd w:id="33"/>
      <w:bookmarkStart w:id="34" w:name="_Toc352691455"/>
      <w:bookmarkEnd w:id="34"/>
      <w:bookmarkStart w:id="35" w:name="_Toc247527535"/>
      <w:bookmarkEnd w:id="35"/>
      <w:bookmarkStart w:id="36" w:name="_Toc361508562"/>
      <w:bookmarkEnd w:id="36"/>
      <w:bookmarkStart w:id="37" w:name="_Toc384308188"/>
      <w:bookmarkEnd w:id="37"/>
      <w:bookmarkStart w:id="38" w:name="_Toc152042288"/>
      <w:bookmarkEnd w:id="38"/>
      <w:bookmarkStart w:id="39" w:name="_Toc247513934"/>
      <w:bookmarkEnd w:id="39"/>
      <w:bookmarkStart w:id="40" w:name="_Toc247527536"/>
      <w:bookmarkEnd w:id="40"/>
      <w:bookmarkStart w:id="41" w:name="_Toc152042289"/>
      <w:bookmarkEnd w:id="41"/>
      <w:bookmarkStart w:id="42" w:name="_Toc300834930"/>
      <w:bookmarkEnd w:id="42"/>
      <w:bookmarkStart w:id="43" w:name="_Toc369531495"/>
      <w:bookmarkEnd w:id="43"/>
      <w:bookmarkStart w:id="44" w:name="_Toc247513935"/>
      <w:bookmarkEnd w:id="44"/>
      <w:bookmarkStart w:id="45" w:name="_Toc17972"/>
      <w:bookmarkEnd w:id="45"/>
      <w:bookmarkStart w:id="46" w:name="_Toc10785"/>
      <w:bookmarkEnd w:id="46"/>
      <w:bookmarkStart w:id="47" w:name="_Toc152045513"/>
      <w:bookmarkEnd w:id="47"/>
      <w:bookmarkStart w:id="48" w:name="_Toc144974480"/>
      <w:bookmarkEnd w:id="48"/>
      <w:bookmarkStart w:id="49" w:name="_Toc352691453"/>
      <w:bookmarkEnd w:id="49"/>
      <w:bookmarkStart w:id="50" w:name="_Toc300834927"/>
      <w:bookmarkEnd w:id="50"/>
      <w:bookmarkStart w:id="51" w:name="_Toc361508560"/>
      <w:bookmarkEnd w:id="51"/>
      <w:bookmarkStart w:id="52" w:name="_Toc152045512"/>
      <w:bookmarkEnd w:id="52"/>
      <w:bookmarkStart w:id="53" w:name="_Toc300834929"/>
      <w:bookmarkEnd w:id="53"/>
      <w:bookmarkStart w:id="54" w:name="_Toc30817"/>
      <w:bookmarkEnd w:id="54"/>
      <w:bookmarkStart w:id="55" w:name="_Toc21778"/>
      <w:bookmarkStart w:id="56" w:name="_Toc26638"/>
      <w:bookmarkStart w:id="57" w:name="_Toc1807"/>
      <w:bookmarkStart w:id="58" w:name="_Toc103592007"/>
      <w:bookmarkStart w:id="59" w:name="_Toc29"/>
      <w:bookmarkStart w:id="60" w:name="_Toc18562"/>
      <w:r>
        <w:rPr>
          <w:rFonts w:hint="eastAsia"/>
          <w:color w:val="auto"/>
          <w:highlight w:val="none"/>
        </w:rPr>
        <w:t>第二章  投标人须知</w:t>
      </w:r>
      <w:bookmarkEnd w:id="55"/>
      <w:bookmarkEnd w:id="56"/>
      <w:bookmarkEnd w:id="57"/>
      <w:bookmarkEnd w:id="58"/>
      <w:bookmarkEnd w:id="59"/>
      <w:bookmarkEnd w:id="60"/>
    </w:p>
    <w:p>
      <w:pPr>
        <w:pStyle w:val="5"/>
        <w:rPr>
          <w:rFonts w:ascii="宋体" w:hAnsi="宋体"/>
          <w:color w:val="auto"/>
          <w:highlight w:val="none"/>
        </w:rPr>
      </w:pPr>
      <w:bookmarkStart w:id="61" w:name="_Toc27764"/>
      <w:bookmarkStart w:id="62" w:name="_Toc103592008"/>
      <w:bookmarkStart w:id="63" w:name="_Toc31285"/>
      <w:bookmarkStart w:id="64" w:name="_Toc30331"/>
      <w:bookmarkStart w:id="65" w:name="_Toc3436"/>
      <w:bookmarkStart w:id="66" w:name="_Toc14888"/>
      <w:bookmarkStart w:id="67" w:name="_Toc533357307"/>
      <w:r>
        <w:rPr>
          <w:rFonts w:hint="eastAsia" w:ascii="宋体" w:hAnsi="宋体"/>
          <w:color w:val="auto"/>
          <w:highlight w:val="none"/>
        </w:rPr>
        <w:t>投标人须知前附</w:t>
      </w:r>
      <w:bookmarkEnd w:id="61"/>
      <w:bookmarkEnd w:id="62"/>
      <w:bookmarkEnd w:id="63"/>
      <w:bookmarkEnd w:id="64"/>
      <w:bookmarkEnd w:id="65"/>
      <w:bookmarkEnd w:id="66"/>
      <w:bookmarkEnd w:id="67"/>
    </w:p>
    <w:tbl>
      <w:tblPr>
        <w:tblStyle w:val="28"/>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209"/>
        <w:gridCol w:w="71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trPr>
        <w:tc>
          <w:tcPr>
            <w:tcW w:w="866"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209"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151"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招标人</w:t>
            </w:r>
          </w:p>
        </w:tc>
        <w:tc>
          <w:tcPr>
            <w:tcW w:w="7151" w:type="dxa"/>
            <w:vAlign w:val="center"/>
          </w:tcPr>
          <w:p>
            <w:pPr>
              <w:adjustRightInd w:val="0"/>
              <w:snapToGrid w:val="0"/>
              <w:spacing w:before="0" w:beforeLines="20" w:after="0" w:afterLines="20" w:line="264" w:lineRule="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广州正源实业投资有限公司</w:t>
            </w:r>
          </w:p>
          <w:p>
            <w:pPr>
              <w:adjustRightInd w:val="0"/>
              <w:snapToGrid w:val="0"/>
              <w:spacing w:before="0" w:beforeLines="20" w:after="0" w:afterLines="20" w:line="264" w:lineRule="auto"/>
              <w:rPr>
                <w:color w:val="auto"/>
                <w:szCs w:val="21"/>
                <w:highlight w:val="none"/>
                <w:u w:val="single"/>
              </w:rPr>
            </w:pPr>
            <w:r>
              <w:rPr>
                <w:rFonts w:hint="eastAsia" w:ascii="宋体" w:hAnsi="宋体" w:cs="宋体"/>
                <w:color w:val="auto"/>
                <w:szCs w:val="21"/>
                <w:highlight w:val="none"/>
              </w:rPr>
              <w:t>地址：</w:t>
            </w:r>
            <w:r>
              <w:rPr>
                <w:rFonts w:hint="eastAsia"/>
                <w:color w:val="auto"/>
                <w:szCs w:val="21"/>
                <w:highlight w:val="none"/>
                <w:u w:val="single"/>
              </w:rPr>
              <w:t>广州市增城区荔城街民乐路20号6楼601</w:t>
            </w:r>
          </w:p>
          <w:p>
            <w:pPr>
              <w:adjustRightInd w:val="0"/>
              <w:snapToGrid w:val="0"/>
              <w:spacing w:before="0" w:beforeLines="20" w:after="0" w:afterLines="20" w:line="264"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谢工</w:t>
            </w:r>
          </w:p>
          <w:p>
            <w:pPr>
              <w:adjustRightInd w:val="0"/>
              <w:snapToGrid w:val="0"/>
              <w:spacing w:before="0" w:beforeLines="20" w:after="0" w:afterLines="20" w:line="264"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020-66289369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招标代理机构</w:t>
            </w:r>
          </w:p>
        </w:tc>
        <w:tc>
          <w:tcPr>
            <w:tcW w:w="7151" w:type="dxa"/>
            <w:vAlign w:val="center"/>
          </w:tcPr>
          <w:p>
            <w:pPr>
              <w:adjustRightInd w:val="0"/>
              <w:snapToGrid w:val="0"/>
              <w:spacing w:before="0" w:beforeLines="20" w:after="0" w:afterLines="20" w:line="264" w:lineRule="auto"/>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广州永安工程管理有限公司</w:t>
            </w:r>
          </w:p>
          <w:p>
            <w:pPr>
              <w:adjustRightInd w:val="0"/>
              <w:snapToGrid w:val="0"/>
              <w:spacing w:before="0" w:beforeLines="20" w:after="0" w:afterLines="20" w:line="264" w:lineRule="auto"/>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广州市黄埔区观虹路10号1105室 </w:t>
            </w:r>
          </w:p>
          <w:p>
            <w:pPr>
              <w:adjustRightInd w:val="0"/>
              <w:snapToGrid w:val="0"/>
              <w:spacing w:before="0" w:beforeLines="20" w:after="0" w:afterLines="20" w:line="264"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魏工</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020-82217860转607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1.1.4</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招标项目名称</w:t>
            </w:r>
          </w:p>
        </w:tc>
        <w:tc>
          <w:tcPr>
            <w:tcW w:w="7151" w:type="dxa"/>
            <w:vAlign w:val="center"/>
          </w:tcPr>
          <w:p>
            <w:pPr>
              <w:adjustRightInd w:val="0"/>
              <w:snapToGrid w:val="0"/>
              <w:spacing w:before="0" w:beforeLines="20" w:after="0" w:afterLines="20" w:line="264" w:lineRule="auto"/>
              <w:jc w:val="left"/>
              <w:rPr>
                <w:rFonts w:hint="eastAsia" w:ascii="宋体" w:hAnsi="宋体" w:eastAsia="宋体"/>
                <w:color w:val="auto"/>
                <w:szCs w:val="21"/>
                <w:highlight w:val="none"/>
                <w:u w:val="single"/>
                <w:lang w:eastAsia="zh-CN"/>
              </w:rPr>
            </w:pPr>
            <w:r>
              <w:rPr>
                <w:rFonts w:hint="eastAsia" w:ascii="宋体" w:hAnsi="宋体" w:cs="宋体"/>
                <w:color w:val="auto"/>
                <w:szCs w:val="21"/>
                <w:highlight w:val="none"/>
                <w:u w:val="single"/>
                <w:lang w:eastAsia="zh-CN"/>
              </w:rPr>
              <w:t>正源湾区智慧工程检验检测基地项目第三方检测和监测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1.1.5</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项目建设地点</w:t>
            </w:r>
          </w:p>
        </w:tc>
        <w:tc>
          <w:tcPr>
            <w:tcW w:w="7151" w:type="dxa"/>
            <w:vAlign w:val="center"/>
          </w:tcPr>
          <w:p>
            <w:pPr>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1.1.6</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项目建设规模</w:t>
            </w:r>
          </w:p>
        </w:tc>
        <w:tc>
          <w:tcPr>
            <w:tcW w:w="7151" w:type="dxa"/>
            <w:vAlign w:val="center"/>
          </w:tcPr>
          <w:p>
            <w:pPr>
              <w:adjustRightInd w:val="0"/>
              <w:snapToGrid w:val="0"/>
              <w:spacing w:before="0" w:beforeLines="20" w:after="0" w:afterLines="20" w:line="264"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1.1.7</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1.1.8</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151" w:type="dxa"/>
            <w:vAlign w:val="center"/>
          </w:tcPr>
          <w:p>
            <w:pPr>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1.2.1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资金来源及比例</w:t>
            </w:r>
          </w:p>
        </w:tc>
        <w:tc>
          <w:tcPr>
            <w:tcW w:w="7151" w:type="dxa"/>
            <w:vAlign w:val="center"/>
          </w:tcPr>
          <w:p>
            <w:pPr>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1.2.2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资金落实情况</w:t>
            </w:r>
          </w:p>
        </w:tc>
        <w:tc>
          <w:tcPr>
            <w:tcW w:w="7151" w:type="dxa"/>
            <w:vAlign w:val="center"/>
          </w:tcPr>
          <w:p>
            <w:pPr>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1.3.1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招标范围</w:t>
            </w:r>
          </w:p>
        </w:tc>
        <w:tc>
          <w:tcPr>
            <w:tcW w:w="7151" w:type="dxa"/>
            <w:vAlign w:val="center"/>
          </w:tcPr>
          <w:p>
            <w:pPr>
              <w:adjustRightInd w:val="0"/>
              <w:snapToGrid w:val="0"/>
              <w:spacing w:before="0" w:beforeLines="20" w:after="0" w:afterLines="20" w:line="264" w:lineRule="auto"/>
              <w:ind w:right="106"/>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1.3.2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服务期</w:t>
            </w:r>
          </w:p>
        </w:tc>
        <w:tc>
          <w:tcPr>
            <w:tcW w:w="7151" w:type="dxa"/>
            <w:vAlign w:val="center"/>
          </w:tcPr>
          <w:p>
            <w:pPr>
              <w:adjustRightInd w:val="0"/>
              <w:snapToGrid w:val="0"/>
              <w:spacing w:before="0" w:beforeLines="20" w:after="0" w:afterLines="20" w:line="264" w:lineRule="auto"/>
              <w:ind w:right="106"/>
              <w:jc w:val="left"/>
              <w:rPr>
                <w:rFonts w:ascii="宋体" w:hAnsi="宋体"/>
                <w:color w:val="auto"/>
                <w:szCs w:val="21"/>
                <w:highlight w:val="none"/>
                <w:u w:val="single"/>
              </w:rPr>
            </w:pPr>
            <w:r>
              <w:rPr>
                <w:rFonts w:hint="eastAsia" w:ascii="宋体" w:hAnsi="宋体"/>
                <w:color w:val="auto"/>
                <w:szCs w:val="21"/>
                <w:highlight w:val="none"/>
                <w:u w:val="single"/>
              </w:rPr>
              <w:t>本合同服务期限自本合同签订之日起至所有服务项目完成且结清检测和监测费用之日止。从乙方进场至完成所有检测和监测项目且技术成果通过审批，服务周期必须满足实际施工及验收要求，且甲方有权根据工程实际需要调整工期及验收时间，乙方需配合甲方的调整作出相应的执行计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1.3.3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质量标准</w:t>
            </w:r>
          </w:p>
        </w:tc>
        <w:tc>
          <w:tcPr>
            <w:tcW w:w="7151" w:type="dxa"/>
            <w:vAlign w:val="center"/>
          </w:tcPr>
          <w:p>
            <w:pPr>
              <w:pStyle w:val="27"/>
              <w:adjustRightInd w:val="0"/>
              <w:snapToGrid w:val="0"/>
              <w:spacing w:before="0" w:beforeLines="20" w:after="0" w:afterLines="20" w:line="264"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符合国家及省、市有关检测和监测标准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1.4.1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s="宋体"/>
                <w:color w:val="auto"/>
                <w:szCs w:val="21"/>
                <w:highlight w:val="none"/>
              </w:rPr>
              <w:t>/</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rPr>
              <w:t>/</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s="宋体"/>
                <w:color w:val="auto"/>
                <w:szCs w:val="21"/>
                <w:highlight w:val="none"/>
              </w:rPr>
              <w:t>/</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rPr>
              <w:t>/</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s="宋体"/>
                <w:color w:val="auto"/>
                <w:szCs w:val="21"/>
                <w:highlight w:val="none"/>
              </w:rPr>
              <w:t>/</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1.4.2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151" w:type="dxa"/>
            <w:vAlign w:val="center"/>
          </w:tcPr>
          <w:p>
            <w:pPr>
              <w:adjustRightInd w:val="0"/>
              <w:snapToGrid w:val="0"/>
              <w:spacing w:before="0" w:beforeLines="20" w:after="0" w:afterLines="20" w:line="264" w:lineRule="auto"/>
              <w:ind w:right="-238"/>
              <w:rPr>
                <w:rFonts w:ascii="宋体" w:hAnsi="宋体"/>
                <w:color w:val="auto"/>
                <w:szCs w:val="21"/>
                <w:highlight w:val="none"/>
              </w:rPr>
            </w:pPr>
            <w:r>
              <w:rPr>
                <w:rFonts w:hint="eastAsia" w:hAnsi="宋体"/>
                <w:color w:val="auto"/>
                <w:szCs w:val="21"/>
                <w:highlight w:val="none"/>
              </w:rPr>
              <w:t>□</w:t>
            </w:r>
            <w:r>
              <w:rPr>
                <w:rFonts w:hint="eastAsia" w:ascii="宋体" w:hAnsi="宋体" w:cs="宋体"/>
                <w:color w:val="auto"/>
                <w:position w:val="3"/>
                <w:szCs w:val="21"/>
                <w:highlight w:val="none"/>
              </w:rPr>
              <w:t>不接受</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1.4.3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u w:val="singl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1.9.1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踏勘现场</w:t>
            </w:r>
          </w:p>
        </w:tc>
        <w:tc>
          <w:tcPr>
            <w:tcW w:w="7151" w:type="dxa"/>
            <w:vAlign w:val="center"/>
          </w:tcPr>
          <w:p>
            <w:pPr>
              <w:pStyle w:val="13"/>
              <w:adjustRightInd w:val="0"/>
              <w:snapToGrid w:val="0"/>
              <w:spacing w:before="0" w:beforeLines="15" w:after="0" w:afterLines="15" w:line="264"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pPr>
              <w:pStyle w:val="13"/>
              <w:adjustRightInd w:val="0"/>
              <w:snapToGrid w:val="0"/>
              <w:spacing w:before="0" w:beforeLines="15" w:after="0" w:afterLines="15" w:line="264" w:lineRule="auto"/>
              <w:rPr>
                <w:rFonts w:hAnsi="宋体"/>
                <w:color w:val="auto"/>
                <w:sz w:val="21"/>
                <w:szCs w:val="21"/>
                <w:highlight w:val="none"/>
              </w:rPr>
            </w:pPr>
            <w:r>
              <w:rPr>
                <w:rFonts w:hint="eastAsia" w:hAnsi="宋体"/>
                <w:color w:val="auto"/>
                <w:sz w:val="21"/>
                <w:szCs w:val="21"/>
                <w:highlight w:val="none"/>
              </w:rPr>
              <w:t>□组织，踏勘时间：</w:t>
            </w:r>
            <w:r>
              <w:rPr>
                <w:rFonts w:hAnsi="宋体"/>
                <w:color w:val="auto"/>
                <w:sz w:val="21"/>
                <w:szCs w:val="21"/>
                <w:highlight w:val="none"/>
              </w:rPr>
              <w:t>/</w:t>
            </w:r>
          </w:p>
          <w:p>
            <w:pPr>
              <w:pStyle w:val="13"/>
              <w:adjustRightInd w:val="0"/>
              <w:snapToGrid w:val="0"/>
              <w:spacing w:before="0" w:beforeLines="15" w:after="0" w:afterLines="15" w:line="264"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1.10.1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投标预备会</w:t>
            </w:r>
          </w:p>
        </w:tc>
        <w:tc>
          <w:tcPr>
            <w:tcW w:w="7151" w:type="dxa"/>
            <w:vAlign w:val="center"/>
          </w:tcPr>
          <w:p>
            <w:pPr>
              <w:pStyle w:val="13"/>
              <w:adjustRightInd w:val="0"/>
              <w:snapToGrid w:val="0"/>
              <w:spacing w:before="0" w:beforeLines="15" w:after="0" w:afterLines="15" w:line="264"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p>
          <w:p>
            <w:pPr>
              <w:adjustRightInd w:val="0"/>
              <w:snapToGrid w:val="0"/>
              <w:spacing w:before="0" w:beforeLines="15" w:after="0" w:afterLines="15" w:line="264" w:lineRule="auto"/>
              <w:ind w:firstLine="840" w:firstLineChars="400"/>
              <w:rPr>
                <w:rFonts w:ascii="宋体" w:hAnsi="宋体"/>
                <w:color w:val="auto"/>
                <w:szCs w:val="21"/>
                <w:highlight w:val="none"/>
              </w:rPr>
            </w:pPr>
            <w:r>
              <w:rPr>
                <w:rFonts w:hint="eastAsia" w:ascii="宋体" w:hAnsi="宋体"/>
                <w:color w:val="auto"/>
                <w:szCs w:val="21"/>
                <w:highlight w:val="none"/>
              </w:rPr>
              <w:t>召开地点：</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1.10.2</w:t>
            </w:r>
          </w:p>
        </w:tc>
        <w:tc>
          <w:tcPr>
            <w:tcW w:w="2209"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209"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形式：</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1.10.3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151" w:type="dxa"/>
            <w:vAlign w:val="center"/>
          </w:tcPr>
          <w:p>
            <w:pPr>
              <w:adjustRightInd w:val="0"/>
              <w:snapToGrid w:val="0"/>
              <w:spacing w:before="0" w:beforeLines="15" w:after="0" w:afterLines="15"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在递交投标文件截止时间15天前；在广州公共资源交易中心网站通过项目答疑专区网上公开发布。</w:t>
            </w:r>
          </w:p>
          <w:p>
            <w:pPr>
              <w:adjustRightInd w:val="0"/>
              <w:snapToGrid w:val="0"/>
              <w:spacing w:before="0" w:beforeLines="15" w:after="0" w:afterLines="15"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查看项目答疑纪要操作指南为：</w:t>
            </w:r>
          </w:p>
          <w:p>
            <w:pPr>
              <w:adjustRightInd w:val="0"/>
              <w:snapToGrid w:val="0"/>
              <w:spacing w:before="0" w:beforeLines="15" w:after="0" w:afterLines="15" w:line="264" w:lineRule="auto"/>
              <w:jc w:val="left"/>
              <w:rPr>
                <w:rFonts w:ascii="宋体" w:hAnsi="宋体"/>
                <w:color w:val="auto"/>
                <w:szCs w:val="21"/>
                <w:highlight w:val="none"/>
              </w:rPr>
            </w:pPr>
            <w:r>
              <w:rPr>
                <w:rFonts w:hint="eastAsia" w:ascii="宋体" w:hAnsi="宋体" w:cs="宋体"/>
                <w:color w:val="auto"/>
                <w:szCs w:val="21"/>
                <w:highlight w:val="none"/>
                <w:u w:val="single"/>
              </w:rPr>
              <w:t>投标人可直接从</w:t>
            </w:r>
            <w:r>
              <w:rPr>
                <w:rFonts w:hint="eastAsia" w:ascii="宋体" w:cs="宋体"/>
                <w:color w:val="auto"/>
                <w:szCs w:val="21"/>
                <w:highlight w:val="none"/>
                <w:u w:val="single"/>
              </w:rPr>
              <w:t>广州公共资源交易中心网站</w:t>
            </w:r>
            <w:r>
              <w:rPr>
                <w:rFonts w:hint="eastAsia" w:ascii="宋体" w:hAnsi="宋体" w:cs="宋体"/>
                <w:color w:val="auto"/>
                <w:szCs w:val="21"/>
                <w:highlight w:val="none"/>
                <w:u w:val="single"/>
              </w:rPr>
              <w:t>“建设工程”-&gt;“项目查询（日程安排、答疑纪要）”专区下载本项目的答疑纪要。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1.12.1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151" w:type="dxa"/>
            <w:vAlign w:val="center"/>
          </w:tcPr>
          <w:p>
            <w:pPr>
              <w:adjustRightInd w:val="0"/>
              <w:snapToGrid w:val="0"/>
              <w:spacing w:before="0" w:beforeLines="15" w:after="0" w:afterLines="15" w:line="264" w:lineRule="auto"/>
              <w:rPr>
                <w:rFonts w:hAnsi="宋体"/>
                <w:color w:val="auto"/>
                <w:szCs w:val="21"/>
                <w:highlight w:val="none"/>
              </w:rPr>
            </w:pPr>
            <w:r>
              <w:rPr>
                <w:rFonts w:hint="eastAsia" w:ascii="宋体" w:hAnsi="宋体" w:cs="宋体"/>
                <w:color w:val="auto"/>
                <w:szCs w:val="21"/>
                <w:highlight w:val="none"/>
              </w:rPr>
              <w:t>详见评标办法前附表中2.1.1、2.1.2、2.1.3的评审标准。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1.12.3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偏差</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pPr>
              <w:pStyle w:val="13"/>
              <w:adjustRightInd w:val="0"/>
              <w:snapToGrid w:val="0"/>
              <w:spacing w:before="0" w:beforeLines="15" w:after="0" w:afterLines="15" w:line="264" w:lineRule="auto"/>
              <w:rPr>
                <w:rFonts w:hAnsi="宋体"/>
                <w:color w:val="auto"/>
                <w:sz w:val="21"/>
                <w:szCs w:val="21"/>
                <w:highlight w:val="none"/>
              </w:rPr>
            </w:pPr>
            <w:r>
              <w:rPr>
                <w:rFonts w:hint="eastAsia" w:hAnsi="宋体"/>
                <w:color w:val="auto"/>
                <w:sz w:val="21"/>
                <w:szCs w:val="21"/>
                <w:highlight w:val="none"/>
              </w:rPr>
              <w:t>□允许，偏差范围：</w:t>
            </w:r>
            <w:r>
              <w:rPr>
                <w:rFonts w:hAnsi="宋体"/>
                <w:color w:val="auto"/>
                <w:sz w:val="21"/>
                <w:szCs w:val="21"/>
                <w:highlight w:val="none"/>
              </w:rPr>
              <w:t>/</w:t>
            </w:r>
          </w:p>
          <w:p>
            <w:pPr>
              <w:pStyle w:val="13"/>
              <w:adjustRightInd w:val="0"/>
              <w:snapToGrid w:val="0"/>
              <w:spacing w:before="0" w:beforeLines="15" w:after="0" w:afterLines="15" w:line="264" w:lineRule="auto"/>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s="宋体"/>
                <w:color w:val="auto"/>
                <w:szCs w:val="21"/>
                <w:highlight w:val="none"/>
                <w:u w:val="single"/>
              </w:rPr>
              <w:t>招标公告、招标文件澄清修改及答疑纪要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2.2.1</w:t>
            </w:r>
          </w:p>
        </w:tc>
        <w:tc>
          <w:tcPr>
            <w:tcW w:w="2209"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209"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151" w:type="dxa"/>
            <w:vAlign w:val="center"/>
          </w:tcPr>
          <w:p>
            <w:pPr>
              <w:pStyle w:val="27"/>
              <w:adjustRightInd w:val="0"/>
              <w:snapToGrid w:val="0"/>
              <w:spacing w:before="0" w:beforeLines="15" w:after="0" w:afterLines="15" w:line="264"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合同版本、最高投标限价等）有疑问的，可在规定的时间内通过广州公共资源交易中心网站将问题提交给招标人或招标代理人，提交问题一律不得署名。</w:t>
            </w:r>
          </w:p>
          <w:p>
            <w:pPr>
              <w:pStyle w:val="27"/>
              <w:adjustRightInd w:val="0"/>
              <w:snapToGrid w:val="0"/>
              <w:spacing w:before="0" w:beforeLines="15" w:after="0" w:afterLines="15" w:line="264"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网上答疑的操作指南为：登陆广州公共资源交易中心网站-&gt;进入“我是投标人（供应商）”-&gt;“我的投标”-&gt;“招标答疑提问”查询项目并提问。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2.2.2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2.2.3</w:t>
            </w:r>
          </w:p>
        </w:tc>
        <w:tc>
          <w:tcPr>
            <w:tcW w:w="2209"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209"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形式：招标文件澄清（招标答疑纪要）一经在广州公共资源交易中心网站发布，视作已发放给所有投标人。招标文件的澄清内容作为招标文件的组成部分，具有约束作用。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2.3.1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以补充公告或项目答疑澄清的方式在广州公共资源交易中心网站发布</w:t>
            </w:r>
            <w:r>
              <w:rPr>
                <w:rFonts w:hint="eastAsia" w:ascii="宋体" w:hAnsi="宋体" w:cs="宋体"/>
                <w:color w:val="auto"/>
                <w:szCs w:val="21"/>
                <w:highlight w:val="none"/>
                <w:u w:val="single"/>
              </w:rPr>
              <w:t>。当招标文件的修改在同一内容的表述不一致时，以广州公共资源交易中心网站最后发布的内容为准。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2.3.2</w:t>
            </w:r>
          </w:p>
        </w:tc>
        <w:tc>
          <w:tcPr>
            <w:tcW w:w="2209"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209"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151" w:type="dxa"/>
            <w:vAlign w:val="center"/>
          </w:tcPr>
          <w:p>
            <w:pPr>
              <w:adjustRightInd w:val="0"/>
              <w:snapToGrid w:val="0"/>
              <w:spacing w:before="0" w:beforeLines="15" w:after="0" w:afterLines="15" w:line="264" w:lineRule="auto"/>
              <w:rPr>
                <w:rFonts w:ascii="宋体" w:hAnsi="宋体"/>
                <w:color w:val="auto"/>
                <w:szCs w:val="21"/>
                <w:highlight w:val="none"/>
              </w:rPr>
            </w:pPr>
            <w:r>
              <w:rPr>
                <w:rFonts w:hint="eastAsia" w:ascii="宋体" w:hAnsi="宋体"/>
                <w:color w:val="auto"/>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3.1.1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u w:val="single"/>
              </w:rPr>
              <w:t>投标人提交的投标文件应当使用招标文件所提供的投标格式文件的格式，无提供格式的内容投标人自行定义格式（表格可以按同样格式扩展）。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rPr>
              <w:t xml:space="preserve"> 按有关规定。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报价方式</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rPr>
              <w:t>采用固定下浮率报价方式报价。并依据所报下浮率列明投标报价。（以元为单位，精确到小数点后2位）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3.2.4</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最高投标限价</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□无</w:t>
            </w:r>
          </w:p>
          <w:p>
            <w:pPr>
              <w:adjustRightInd w:val="0"/>
              <w:snapToGrid w:val="0"/>
              <w:spacing w:before="0" w:beforeLines="20" w:after="0" w:afterLines="20" w:line="264" w:lineRule="auto"/>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2,042,240.00 </w:t>
            </w:r>
            <w:r>
              <w:rPr>
                <w:rFonts w:hint="eastAsia" w:ascii="宋体" w:hAnsi="宋体" w:cs="宋体"/>
                <w:color w:val="auto"/>
                <w:szCs w:val="21"/>
                <w:highlight w:val="none"/>
              </w:rPr>
              <w:t>元。</w:t>
            </w:r>
          </w:p>
          <w:p>
            <w:pPr>
              <w:tabs>
                <w:tab w:val="left" w:pos="7513"/>
              </w:tabs>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本项目招标控制价只作为招标的依据，投标金额及下浮率（%）作为签订合同的依据。中标价不作为竣工结算的依据。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3.2.5</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151" w:type="dxa"/>
            <w:vAlign w:val="center"/>
          </w:tcPr>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投标人必须详细审阅全部招标文件，充分考虑职责和义务，全面地理解招标文件对投标报价的要求，并按招标人提出的条件及内容进行报价。</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一、各投标人自行报价，投标报价超过最高投标限价的，一律视为废标。</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二、投标报价及费用计算方式：</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1.投标项目总报价=最高投标限价*（1-投标下浮率）。</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2.招标不提供检测和监测清单，各投标人应根据工程实际编制检测和监测方案，综合单价包干，本项目检测和监测综合结算单价原则：</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1）参照《关于印发&lt;广东省房屋建筑和市政工程质量安全检测收费指导价（第一批）&gt;和&lt;广东省既有房屋建筑安全性鉴定收费指导价&gt;的通知》（粤建检协[2015]8号）、关于执行省质检中心消防设施委托检验收费标准的通知（粤质检[2008]52号）、关于建筑消防设施检测收费有关问题的批复（粤价[2001]340号）相适应的单价</w:t>
            </w:r>
            <w:r>
              <w:rPr>
                <w:rFonts w:hint="eastAsia" w:ascii="宋体" w:hAnsi="宋体" w:cs="仿宋"/>
                <w:color w:val="auto"/>
                <w:szCs w:val="21"/>
                <w:highlight w:val="none"/>
                <w:u w:val="single"/>
              </w:rPr>
              <w:t>下浮20%后，再</w:t>
            </w:r>
            <w:r>
              <w:rPr>
                <w:rFonts w:hint="eastAsia" w:ascii="宋体" w:hAnsi="宋体"/>
                <w:color w:val="auto"/>
                <w:szCs w:val="21"/>
                <w:highlight w:val="none"/>
                <w:u w:val="single"/>
              </w:rPr>
              <w:t>乘以（1-投标下浮率），以招标人审定为准。</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2）预算价中的综合单价已包括了为完成设计文件及有关规范要求的所有材料设备检测和监测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如超出检测和监测规范或相关文件规定的工程量，不予结算）。最终检测和监测综合单价和结算总价以发包人或其授权委托单位审定为准。</w:t>
            </w:r>
          </w:p>
          <w:p>
            <w:pPr>
              <w:pStyle w:val="2"/>
              <w:adjustRightInd w:val="0"/>
              <w:snapToGrid w:val="0"/>
              <w:spacing w:before="0" w:beforeLines="20" w:after="0" w:afterLines="20" w:line="264" w:lineRule="auto"/>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lang w:val="en-US" w:eastAsia="zh-CN"/>
              </w:rPr>
              <w:t>三</w:t>
            </w:r>
            <w:r>
              <w:rPr>
                <w:rFonts w:hint="eastAsia" w:ascii="宋体" w:hAnsi="宋体"/>
                <w:color w:val="auto"/>
                <w:szCs w:val="21"/>
                <w:highlight w:val="none"/>
                <w:u w:val="single"/>
              </w:rPr>
              <w:t>、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3.3.1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投标有效期</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3.4.1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投标保证金</w:t>
            </w:r>
          </w:p>
        </w:tc>
        <w:tc>
          <w:tcPr>
            <w:tcW w:w="7151" w:type="dxa"/>
            <w:vAlign w:val="center"/>
          </w:tcPr>
          <w:p>
            <w:pPr>
              <w:pStyle w:val="13"/>
              <w:adjustRightInd w:val="0"/>
              <w:snapToGrid w:val="0"/>
              <w:spacing w:before="0" w:beforeLines="20" w:after="0" w:afterLines="20" w:line="264" w:lineRule="auto"/>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pPr>
              <w:pStyle w:val="13"/>
              <w:adjustRightInd w:val="0"/>
              <w:snapToGrid w:val="0"/>
              <w:spacing w:before="0" w:beforeLines="20" w:after="0" w:afterLines="20" w:line="264" w:lineRule="auto"/>
              <w:rPr>
                <w:rFonts w:ascii="宋体" w:hAnsi="宋体"/>
                <w:color w:val="auto"/>
                <w:szCs w:val="21"/>
                <w:highlight w:val="none"/>
                <w:u w:val="single"/>
              </w:rPr>
            </w:pPr>
            <w:r>
              <w:rPr>
                <w:rFonts w:hint="eastAsia" w:hAnsi="宋体"/>
                <w:color w:val="auto"/>
                <w:sz w:val="21"/>
                <w:szCs w:val="21"/>
                <w:highlight w:val="none"/>
                <w:u w:val="singl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151" w:type="dxa"/>
            <w:vAlign w:val="center"/>
          </w:tcPr>
          <w:p>
            <w:pPr>
              <w:pStyle w:val="13"/>
              <w:adjustRightInd w:val="0"/>
              <w:snapToGrid w:val="0"/>
              <w:spacing w:before="0" w:beforeLines="20" w:after="0" w:afterLines="20" w:line="264" w:lineRule="auto"/>
              <w:rPr>
                <w:rFonts w:hAnsi="宋体"/>
                <w:color w:val="auto"/>
                <w:spacing w:val="-1"/>
                <w:sz w:val="21"/>
                <w:szCs w:val="21"/>
                <w:highlight w:val="none"/>
              </w:rPr>
            </w:pPr>
            <w:r>
              <w:rPr>
                <w:rFonts w:hint="eastAsia" w:hAnsi="宋体"/>
                <w:color w:val="auto"/>
                <w:spacing w:val="-1"/>
                <w:sz w:val="21"/>
                <w:szCs w:val="21"/>
                <w:highlight w:val="none"/>
              </w:rPr>
              <w:t>■无</w:t>
            </w:r>
          </w:p>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pacing w:val="-1"/>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151" w:type="dxa"/>
            <w:vAlign w:val="center"/>
          </w:tcPr>
          <w:p>
            <w:pPr>
              <w:adjustRightInd w:val="0"/>
              <w:snapToGrid w:val="0"/>
              <w:spacing w:before="0" w:beforeLines="20" w:after="0" w:afterLines="20" w:line="264" w:lineRule="auto"/>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151" w:type="dxa"/>
            <w:vAlign w:val="center"/>
          </w:tcPr>
          <w:p>
            <w:pPr>
              <w:adjustRightInd w:val="0"/>
              <w:snapToGrid w:val="0"/>
              <w:spacing w:before="0" w:beforeLines="20" w:after="0" w:afterLines="20" w:line="264" w:lineRule="auto"/>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3.5.5</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151" w:type="dxa"/>
            <w:vAlign w:val="center"/>
          </w:tcPr>
          <w:p>
            <w:pPr>
              <w:adjustRightInd w:val="0"/>
              <w:snapToGrid w:val="0"/>
              <w:spacing w:before="0" w:beforeLines="20" w:after="0" w:afterLines="20" w:line="264" w:lineRule="auto"/>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3.6.1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151" w:type="dxa"/>
            <w:vAlign w:val="center"/>
          </w:tcPr>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3.7.3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原件清晰彩色扫描件</w:t>
            </w:r>
            <w:r>
              <w:rPr>
                <w:rFonts w:hint="eastAsia" w:ascii="宋体" w:hAnsi="宋体"/>
                <w:color w:val="auto"/>
                <w:szCs w:val="21"/>
                <w:highlight w:val="none"/>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3.7.3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151" w:type="dxa"/>
            <w:vAlign w:val="center"/>
          </w:tcPr>
          <w:p>
            <w:pPr>
              <w:pStyle w:val="13"/>
              <w:adjustRightInd w:val="0"/>
              <w:snapToGrid w:val="0"/>
              <w:spacing w:before="0" w:beforeLines="20" w:after="0" w:afterLines="20" w:line="264" w:lineRule="auto"/>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按照交易平台关于全流程电子化项目的相关指南进行操作，联合体投标的，除联合体共同投标协议书需联合体各方同时签字或盖章外，法定代表人证明书及授权委托证明书可由联合体主办方出具，其中“单位”一栏可只填写联合体主办方名称外，其他内容及落款中的“投标人”应填写联合体各方的单位全称【格式示例为：（主）单位全称（成）单位全称】，由联合体主办方签字、盖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4.1.1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151" w:type="dxa"/>
            <w:vAlign w:val="center"/>
          </w:tcPr>
          <w:p>
            <w:pPr>
              <w:pStyle w:val="13"/>
              <w:adjustRightInd w:val="0"/>
              <w:snapToGrid w:val="0"/>
              <w:spacing w:before="0" w:beforeLines="20" w:after="0" w:afterLines="20" w:line="264" w:lineRule="auto"/>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4.1.2</w:t>
            </w:r>
          </w:p>
        </w:tc>
        <w:tc>
          <w:tcPr>
            <w:tcW w:w="2209" w:type="dxa"/>
            <w:vAlign w:val="center"/>
          </w:tcPr>
          <w:p>
            <w:pPr>
              <w:adjustRightInd w:val="0"/>
              <w:snapToGrid w:val="0"/>
              <w:spacing w:before="48" w:beforeLines="20" w:after="48" w:afterLines="20"/>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151" w:type="dxa"/>
            <w:vAlign w:val="center"/>
          </w:tcPr>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pPr>
              <w:pStyle w:val="13"/>
              <w:adjustRightInd w:val="0"/>
              <w:snapToGrid w:val="0"/>
              <w:spacing w:before="0" w:beforeLines="20" w:after="0" w:afterLines="20" w:line="264" w:lineRule="auto"/>
              <w:rPr>
                <w:rFonts w:hint="eastAsia" w:hAnsi="宋体" w:eastAsia="宋体"/>
                <w:color w:val="auto"/>
                <w:sz w:val="21"/>
                <w:szCs w:val="21"/>
                <w:highlight w:val="none"/>
                <w:lang w:eastAsia="zh-CN"/>
              </w:rPr>
            </w:pPr>
            <w:r>
              <w:rPr>
                <w:rFonts w:hint="eastAsia" w:hAnsi="宋体"/>
                <w:color w:val="auto"/>
                <w:sz w:val="21"/>
                <w:szCs w:val="21"/>
                <w:highlight w:val="none"/>
              </w:rPr>
              <w:t>招标人名称：</w:t>
            </w:r>
            <w:r>
              <w:rPr>
                <w:rFonts w:hint="eastAsia" w:hAnsi="宋体"/>
                <w:color w:val="auto"/>
                <w:sz w:val="21"/>
                <w:szCs w:val="21"/>
                <w:highlight w:val="none"/>
                <w:lang w:eastAsia="zh-CN"/>
              </w:rPr>
              <w:t>广州正源实业投资有限公司</w:t>
            </w:r>
          </w:p>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z w:val="21"/>
                <w:szCs w:val="21"/>
                <w:highlight w:val="none"/>
              </w:rPr>
              <w:t>招标人地址：广州市增城区荔城街民乐路20号6楼601</w:t>
            </w:r>
          </w:p>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z w:val="21"/>
                <w:szCs w:val="21"/>
                <w:highlight w:val="none"/>
                <w:u w:val="single"/>
                <w:lang w:eastAsia="zh-CN"/>
              </w:rPr>
              <w:t>正源湾区智慧工程检验检测基地项目第三方检测和监测</w:t>
            </w:r>
            <w:r>
              <w:rPr>
                <w:rFonts w:hint="eastAsia" w:hAnsi="宋体"/>
                <w:color w:val="auto"/>
                <w:sz w:val="21"/>
                <w:szCs w:val="21"/>
                <w:highlight w:val="none"/>
              </w:rPr>
              <w:t>投标文件</w:t>
            </w:r>
          </w:p>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z w:val="21"/>
                <w:szCs w:val="21"/>
                <w:highlight w:val="none"/>
              </w:rPr>
              <w:t>招标项目编号：</w:t>
            </w:r>
          </w:p>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4.2.1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投标截止时间</w:t>
            </w:r>
          </w:p>
        </w:tc>
        <w:tc>
          <w:tcPr>
            <w:tcW w:w="7151" w:type="dxa"/>
            <w:vAlign w:val="center"/>
          </w:tcPr>
          <w:p>
            <w:pPr>
              <w:adjustRightInd w:val="0"/>
              <w:snapToGrid w:val="0"/>
              <w:spacing w:before="0" w:beforeLines="20" w:after="0" w:afterLines="20" w:line="264" w:lineRule="auto"/>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4.2.2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递交方式：网上递交投标文件</w:t>
            </w:r>
            <w:r>
              <w:rPr>
                <w:rFonts w:ascii="宋体" w:hAnsi="宋体"/>
                <w:color w:val="auto"/>
                <w:szCs w:val="21"/>
                <w:highlight w:val="none"/>
                <w:u w:val="single"/>
              </w:rPr>
              <w:t xml:space="preserve"> </w:t>
            </w:r>
          </w:p>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递交投标文件的起始时间：（详见广州公共资源交易中心网站信息）。</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截止时间：（详见广州公共资源交易中心网站信息）</w:t>
            </w:r>
          </w:p>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地点：广州公共资源交易中心网站。</w:t>
            </w:r>
          </w:p>
          <w:p>
            <w:pPr>
              <w:adjustRightInd w:val="0"/>
              <w:snapToGrid w:val="0"/>
              <w:spacing w:before="0" w:beforeLines="20" w:after="0" w:afterLines="20" w:line="264" w:lineRule="auto"/>
              <w:rPr>
                <w:rFonts w:ascii="宋体" w:hAnsi="宋体"/>
                <w:color w:val="auto"/>
                <w:szCs w:val="21"/>
                <w:highlight w:val="none"/>
              </w:rPr>
            </w:pPr>
            <w:r>
              <w:rPr>
                <w:rFonts w:ascii="宋体" w:hAnsi="宋体"/>
                <w:color w:val="auto"/>
                <w:szCs w:val="21"/>
                <w:highlight w:val="none"/>
                <w:u w:val="single"/>
              </w:rPr>
              <w:t>4.</w:t>
            </w:r>
            <w:r>
              <w:rPr>
                <w:rFonts w:hint="eastAsia" w:ascii="宋体" w:hAnsi="宋体"/>
                <w:color w:val="auto"/>
                <w:szCs w:val="21"/>
                <w:highlight w:val="none"/>
                <w:u w:val="single"/>
              </w:rPr>
              <w:t>上述时间及地点是否有改变，</w:t>
            </w:r>
            <w:r>
              <w:rPr>
                <w:rFonts w:ascii="宋体" w:hAnsi="宋体"/>
                <w:color w:val="auto"/>
                <w:szCs w:val="21"/>
                <w:highlight w:val="none"/>
                <w:u w:val="single"/>
              </w:rPr>
              <w:t xml:space="preserve"> </w:t>
            </w:r>
            <w:r>
              <w:rPr>
                <w:rFonts w:hint="eastAsia" w:ascii="宋体" w:hAnsi="宋体"/>
                <w:color w:val="auto"/>
                <w:szCs w:val="21"/>
                <w:highlight w:val="none"/>
                <w:u w:val="single"/>
              </w:rPr>
              <w:t>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4.2.3</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151" w:type="dxa"/>
            <w:vAlign w:val="center"/>
          </w:tcPr>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pPr>
              <w:pStyle w:val="13"/>
              <w:adjustRightInd w:val="0"/>
              <w:snapToGrid w:val="0"/>
              <w:spacing w:before="0" w:beforeLines="20" w:after="0" w:afterLines="20" w:line="264" w:lineRule="auto"/>
              <w:rPr>
                <w:rFonts w:hAnsi="宋体"/>
                <w:color w:val="auto"/>
                <w:sz w:val="21"/>
                <w:szCs w:val="21"/>
                <w:highlight w:val="none"/>
              </w:rPr>
            </w:pPr>
            <w:r>
              <w:rPr>
                <w:rFonts w:hint="eastAsia" w:hAnsi="宋体"/>
                <w:color w:val="auto"/>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5.1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开标时间和地点</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开标时间：同投标截止时间</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开标地点：广州公共资源交易中心增城交易部</w:t>
            </w:r>
            <w:r>
              <w:rPr>
                <w:rFonts w:hint="eastAsia" w:ascii="宋体" w:hAnsi="宋体" w:cs="宋体"/>
                <w:color w:val="auto"/>
                <w:szCs w:val="21"/>
                <w:highlight w:val="none"/>
              </w:rPr>
              <w:t>开标室</w:t>
            </w:r>
            <w:r>
              <w:rPr>
                <w:rFonts w:hint="eastAsia" w:ascii="宋体" w:hAnsi="宋体"/>
                <w:color w:val="auto"/>
                <w:szCs w:val="21"/>
                <w:highlight w:val="none"/>
                <w:u w:val="single"/>
              </w:rPr>
              <w:t>（详见广州公共资源交易中心网站信息），并邀请所有投标人的法定代表人或其委托代理人准时参加。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5.2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开标程序</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电子招投标项目开标按下列程序进行：</w:t>
            </w:r>
          </w:p>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）投标人通过电子招标投标交易平台对已递交的电子投标文件进行解密，公布招标项目名称、投标人名称的递交情况、投标报价及其他内容，并记录在案；</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napToGrid w:val="0"/>
              <w:spacing w:before="0" w:beforeLines="20" w:after="0" w:afterLines="20" w:line="264" w:lineRule="auto"/>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6.1.1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151" w:type="dxa"/>
            <w:vAlign w:val="center"/>
          </w:tcPr>
          <w:p>
            <w:pPr>
              <w:adjustRightInd w:val="0"/>
              <w:snapToGrid w:val="0"/>
              <w:spacing w:before="0" w:beforeLines="20" w:after="0" w:afterLines="20" w:line="264" w:lineRule="auto"/>
              <w:rPr>
                <w:rFonts w:hint="eastAsia" w:ascii="宋体" w:hAnsi="宋体"/>
                <w:color w:val="auto"/>
                <w:szCs w:val="21"/>
                <w:highlight w:val="none"/>
              </w:rPr>
            </w:pPr>
            <w:r>
              <w:rPr>
                <w:rFonts w:hint="eastAsia" w:ascii="宋体" w:hAnsi="宋体" w:eastAsia="宋体"/>
                <w:color w:val="auto"/>
                <w:highlight w:val="none"/>
              </w:rPr>
              <w:t>评标委员会共</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 xml:space="preserve">5 </w:t>
            </w:r>
            <w:r>
              <w:rPr>
                <w:rFonts w:hint="eastAsia" w:ascii="宋体" w:hAnsi="宋体" w:eastAsia="宋体"/>
                <w:color w:val="auto"/>
                <w:highlight w:val="none"/>
              </w:rPr>
              <w:t>人，其中招标人代表</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 xml:space="preserve">1 </w:t>
            </w:r>
            <w:r>
              <w:rPr>
                <w:rFonts w:hint="eastAsia" w:ascii="宋体" w:hAnsi="宋体" w:eastAsia="宋体"/>
                <w:color w:val="auto"/>
                <w:highlight w:val="none"/>
              </w:rPr>
              <w:t>人，技术、经济等方面专家</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 xml:space="preserve">4 </w:t>
            </w:r>
            <w:r>
              <w:rPr>
                <w:rFonts w:hint="eastAsia" w:ascii="宋体" w:hAnsi="宋体" w:eastAsia="宋体"/>
                <w:color w:val="auto"/>
                <w:highlight w:val="none"/>
              </w:rPr>
              <w:t>人。</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评标专家确定方式：评标委员会由招标人依法组建。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6.3.2</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7.1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151" w:type="dxa"/>
            <w:vAlign w:val="center"/>
          </w:tcPr>
          <w:p>
            <w:pPr>
              <w:adjustRightInd w:val="0"/>
              <w:snapToGrid w:val="0"/>
              <w:spacing w:before="0" w:beforeLines="20" w:after="0" w:afterLines="20" w:line="264" w:lineRule="auto"/>
              <w:ind w:right="106"/>
              <w:rPr>
                <w:rFonts w:ascii="宋体" w:hAnsi="宋体" w:cs="宋体"/>
                <w:color w:val="auto"/>
                <w:szCs w:val="21"/>
                <w:highlight w:val="none"/>
              </w:rPr>
            </w:pPr>
            <w:r>
              <w:rPr>
                <w:rFonts w:hint="eastAsia" w:ascii="宋体" w:hAnsi="宋体" w:cs="宋体"/>
                <w:color w:val="auto"/>
                <w:szCs w:val="21"/>
                <w:highlight w:val="none"/>
              </w:rPr>
              <w:t>公示媒介：广州公共资源交易中心网站（网址：http://www.gzggzy.cn/）、</w:t>
            </w:r>
            <w:r>
              <w:rPr>
                <w:rFonts w:hint="eastAsia" w:ascii="宋体" w:hAnsi="宋体" w:cs="宋体"/>
                <w:color w:val="auto"/>
                <w:szCs w:val="21"/>
                <w:highlight w:val="none"/>
                <w:u w:val="single"/>
              </w:rPr>
              <w:t>中国招标投标公共服务平台（网址：http://www.cebpubservice.com/）</w:t>
            </w:r>
            <w:r>
              <w:rPr>
                <w:rFonts w:hint="eastAsia" w:ascii="宋体" w:hAnsi="宋体" w:cs="宋体"/>
                <w:color w:val="auto"/>
                <w:szCs w:val="21"/>
                <w:highlight w:val="none"/>
              </w:rPr>
              <w:t>、</w:t>
            </w:r>
            <w:r>
              <w:rPr>
                <w:rFonts w:hint="eastAsia" w:ascii="宋体" w:hAnsi="宋体" w:cs="宋体"/>
                <w:color w:val="auto"/>
                <w:szCs w:val="21"/>
                <w:highlight w:val="none"/>
                <w:u w:val="single"/>
              </w:rPr>
              <w:t>广东省招标投标监管网</w:t>
            </w:r>
            <w:r>
              <w:rPr>
                <w:rFonts w:hint="eastAsia" w:ascii="宋体" w:cs="宋体"/>
                <w:color w:val="auto"/>
                <w:szCs w:val="21"/>
                <w:highlight w:val="none"/>
              </w:rPr>
              <w:t>（网址：http://zbtb.gd.gov.cn ）</w:t>
            </w:r>
            <w:r>
              <w:rPr>
                <w:rFonts w:hint="eastAsia" w:ascii="宋体" w:hAnsi="宋体" w:cs="宋体"/>
                <w:color w:val="auto"/>
                <w:szCs w:val="21"/>
                <w:highlight w:val="none"/>
              </w:rPr>
              <w:t>。</w:t>
            </w:r>
          </w:p>
          <w:p>
            <w:pPr>
              <w:adjustRightInd w:val="0"/>
              <w:snapToGrid w:val="0"/>
              <w:spacing w:before="0" w:beforeLines="20" w:after="0" w:afterLines="20" w:line="264" w:lineRule="auto"/>
              <w:ind w:right="106"/>
              <w:rPr>
                <w:rFonts w:ascii="宋体" w:hAnsi="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color="000000"/>
              </w:rPr>
              <w:t xml:space="preserve"> 3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（公示期间的最后1天应当为工作日，否则将公示期的最后1天顺延至下一个工作日）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7.4</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□是</w:t>
            </w:r>
          </w:p>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7.6.1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履约保证金</w:t>
            </w:r>
          </w:p>
        </w:tc>
        <w:tc>
          <w:tcPr>
            <w:tcW w:w="7151" w:type="dxa"/>
            <w:vAlign w:val="center"/>
          </w:tcPr>
          <w:p>
            <w:pPr>
              <w:pStyle w:val="13"/>
              <w:topLinePunct w:val="0"/>
              <w:snapToGrid w:val="0"/>
              <w:spacing w:beforeLines="20" w:afterLines="20" w:line="264" w:lineRule="auto"/>
              <w:rPr>
                <w:rFonts w:hint="eastAsia" w:cs="宋体"/>
                <w:sz w:val="21"/>
                <w:szCs w:val="21"/>
                <w:highlight w:val="none"/>
                <w:lang w:bidi="ar-SA"/>
              </w:rPr>
            </w:pPr>
            <w:r>
              <w:rPr>
                <w:rFonts w:hint="eastAsia" w:cs="宋体"/>
                <w:sz w:val="21"/>
                <w:szCs w:val="21"/>
                <w:highlight w:val="none"/>
                <w:lang w:bidi="ar-SA"/>
              </w:rPr>
              <w:t>是否要求中标人提交履约保证金：</w:t>
            </w:r>
          </w:p>
          <w:p>
            <w:pPr>
              <w:pStyle w:val="13"/>
              <w:topLinePunct w:val="0"/>
              <w:snapToGrid w:val="0"/>
              <w:spacing w:beforeLines="20" w:afterLines="20" w:line="264" w:lineRule="auto"/>
              <w:rPr>
                <w:rFonts w:hint="eastAsia" w:cs="宋体"/>
                <w:sz w:val="21"/>
                <w:szCs w:val="21"/>
                <w:highlight w:val="none"/>
                <w:lang w:bidi="ar-SA"/>
              </w:rPr>
            </w:pPr>
            <w:r>
              <w:rPr>
                <w:rFonts w:cs="宋体"/>
                <w:sz w:val="21"/>
                <w:szCs w:val="21"/>
                <w:highlight w:val="none"/>
                <w:lang w:bidi="ar-SA"/>
              </w:rPr>
              <w:sym w:font="Wingdings 2" w:char="0052"/>
            </w:r>
            <w:r>
              <w:rPr>
                <w:rFonts w:hint="eastAsia" w:cs="宋体"/>
                <w:sz w:val="21"/>
                <w:szCs w:val="21"/>
                <w:highlight w:val="none"/>
                <w:lang w:bidi="ar-SA"/>
              </w:rPr>
              <w:t>要求：</w:t>
            </w:r>
            <w:r>
              <w:rPr>
                <w:rFonts w:hint="eastAsia" w:cs="宋体"/>
                <w:sz w:val="21"/>
                <w:szCs w:val="21"/>
                <w:highlight w:val="none"/>
              </w:rPr>
              <w:t>履约担保的形式及金额：履约担保形式包含担保保函、银行保函。中标人提供的履约担保为中标价的10%（以合同约定为准）</w:t>
            </w:r>
            <w:r>
              <w:rPr>
                <w:rFonts w:hint="eastAsia" w:cs="宋体"/>
                <w:sz w:val="21"/>
                <w:szCs w:val="21"/>
                <w:highlight w:val="none"/>
                <w:lang w:bidi="ar-SA"/>
              </w:rPr>
              <w:t>。</w:t>
            </w:r>
          </w:p>
          <w:p>
            <w:pPr>
              <w:pStyle w:val="13"/>
              <w:adjustRightInd w:val="0"/>
              <w:snapToGrid w:val="0"/>
              <w:spacing w:before="0" w:beforeLines="20" w:after="0" w:afterLines="20" w:line="264" w:lineRule="auto"/>
              <w:rPr>
                <w:rFonts w:hAnsi="宋体"/>
                <w:color w:val="auto"/>
                <w:sz w:val="21"/>
                <w:szCs w:val="21"/>
                <w:highlight w:val="none"/>
              </w:rPr>
            </w:pPr>
            <w:r>
              <w:rPr>
                <w:rFonts w:hint="eastAsia" w:cs="宋体"/>
                <w:sz w:val="21"/>
                <w:szCs w:val="21"/>
                <w:highlight w:val="none"/>
                <w:lang w:bidi="ar-SA"/>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9</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pPr>
              <w:adjustRightInd w:val="0"/>
              <w:snapToGrid w:val="0"/>
              <w:spacing w:before="0" w:beforeLines="20" w:after="0" w:afterLines="20" w:line="264" w:lineRule="auto"/>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pPr>
              <w:adjustRightInd w:val="0"/>
              <w:snapToGrid w:val="0"/>
              <w:spacing w:before="0" w:beforeLines="20" w:after="0" w:afterLines="20" w:line="264" w:lineRule="auto"/>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1.具体操作详见广州公共资源交易中心网站最新发布的最新指引。</w:t>
            </w:r>
          </w:p>
          <w:p>
            <w:pPr>
              <w:adjustRightInd w:val="0"/>
              <w:snapToGrid w:val="0"/>
              <w:spacing w:before="0" w:beforeLines="20" w:after="0" w:afterLines="20" w:line="264" w:lineRule="auto"/>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投标人将按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adjustRightInd w:val="0"/>
              <w:snapToGrid w:val="0"/>
              <w:spacing w:before="0" w:beforeLines="20" w:after="0" w:afterLines="20" w:line="264" w:lineRule="auto"/>
              <w:ind w:firstLine="0" w:firstLineChars="0"/>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pPr>
              <w:adjustRightInd w:val="0"/>
              <w:snapToGrid w:val="0"/>
              <w:spacing w:before="0" w:beforeLines="20" w:after="0" w:afterLines="20" w:line="264" w:lineRule="auto"/>
              <w:ind w:firstLine="315" w:firstLineChars="150"/>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pPr>
              <w:adjustRightInd w:val="0"/>
              <w:snapToGrid w:val="0"/>
              <w:spacing w:before="0" w:beforeLines="20" w:after="0" w:afterLines="20" w:line="264" w:lineRule="auto"/>
              <w:ind w:firstLine="315" w:firstLineChars="150"/>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pPr>
              <w:adjustRightInd w:val="0"/>
              <w:snapToGrid w:val="0"/>
              <w:spacing w:before="0" w:beforeLines="20" w:after="0" w:afterLines="20" w:line="264" w:lineRule="auto"/>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需要补充的其他内容</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10.1</w:t>
            </w:r>
          </w:p>
        </w:tc>
        <w:tc>
          <w:tcPr>
            <w:tcW w:w="2209"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特别提示</w:t>
            </w:r>
          </w:p>
        </w:tc>
        <w:tc>
          <w:tcPr>
            <w:tcW w:w="7151" w:type="dxa"/>
            <w:vAlign w:val="center"/>
          </w:tcPr>
          <w:p>
            <w:pPr>
              <w:widowControl/>
              <w:shd w:val="clear" w:color="auto" w:fill="FFFFFF"/>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pPr>
              <w:widowControl/>
              <w:shd w:val="clear" w:color="auto" w:fill="FFFFFF"/>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pPr>
              <w:widowControl/>
              <w:shd w:val="clear" w:color="auto" w:fill="FFFFFF"/>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3.存在围标或串标情形的；</w:t>
            </w:r>
          </w:p>
          <w:p>
            <w:pPr>
              <w:adjustRightInd w:val="0"/>
              <w:snapToGrid w:val="0"/>
              <w:spacing w:before="0" w:beforeLines="20" w:after="0" w:afterLines="20" w:line="264" w:lineRule="auto"/>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209" w:type="dxa"/>
            <w:vAlign w:val="center"/>
          </w:tcPr>
          <w:p>
            <w:pPr>
              <w:widowControl/>
              <w:shd w:val="clear" w:color="auto" w:fill="FFFFFF"/>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招标失败情形</w:t>
            </w:r>
          </w:p>
        </w:tc>
        <w:tc>
          <w:tcPr>
            <w:tcW w:w="7151" w:type="dxa"/>
            <w:vAlign w:val="center"/>
          </w:tcPr>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本项目采用资格后审方式。若投标登记或递交投标文件或通过初步评审（含形式评审、资格评审、响应性评审）的合格投标人不足3家的，则该项目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209"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其他费用</w:t>
            </w:r>
          </w:p>
        </w:tc>
        <w:tc>
          <w:tcPr>
            <w:tcW w:w="7151" w:type="dxa"/>
            <w:tcBorders>
              <w:bottom w:val="single" w:color="auto" w:sz="4" w:space="0"/>
            </w:tcBorders>
            <w:vAlign w:val="center"/>
          </w:tcPr>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1、交易服务费：中标人按规定，向广州公共资源交易中心缴纳交易服务费。</w:t>
            </w:r>
          </w:p>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2、招标代理费：按照招标人与招标代理签订的招标代理合同约定的内容执行，由中标人在领取中标通知书后一次性支付。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209"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151" w:type="dxa"/>
            <w:tcBorders>
              <w:bottom w:val="single" w:color="auto" w:sz="4" w:space="0"/>
            </w:tcBorders>
            <w:vAlign w:val="center"/>
          </w:tcPr>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209" w:type="dxa"/>
            <w:tcBorders>
              <w:bottom w:val="single" w:color="auto" w:sz="4" w:space="0"/>
            </w:tcBorders>
            <w:vAlign w:val="center"/>
          </w:tcPr>
          <w:p>
            <w:pPr>
              <w:widowControl/>
              <w:shd w:val="clear" w:color="auto" w:fill="FFFFFF"/>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其他</w:t>
            </w:r>
          </w:p>
        </w:tc>
        <w:tc>
          <w:tcPr>
            <w:tcW w:w="7151" w:type="dxa"/>
            <w:tcBorders>
              <w:bottom w:val="single" w:color="auto" w:sz="4" w:space="0"/>
            </w:tcBorders>
            <w:vAlign w:val="center"/>
          </w:tcPr>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1.在产生中标候选人后，招标人将中标候选人的投标文件商务部分的电子版（报价清单、检测监测方案等涉及商业秘密的内容除外）在广州公共资源交易中心网站公开。</w:t>
            </w:r>
          </w:p>
          <w:p>
            <w:pPr>
              <w:adjustRightInd w:val="0"/>
              <w:snapToGrid w:val="0"/>
              <w:spacing w:before="0" w:beforeLines="20" w:after="0" w:afterLines="20" w:line="264" w:lineRule="auto"/>
              <w:ind w:left="1" w:hanging="1"/>
              <w:rPr>
                <w:rFonts w:ascii="宋体" w:hAnsi="宋体"/>
                <w:color w:val="auto"/>
                <w:szCs w:val="21"/>
                <w:highlight w:val="none"/>
              </w:rPr>
            </w:pPr>
            <w:r>
              <w:rPr>
                <w:rFonts w:hint="eastAsia" w:ascii="宋体" w:hAnsi="宋体"/>
                <w:color w:val="auto"/>
                <w:szCs w:val="21"/>
                <w:highlight w:val="none"/>
              </w:rPr>
              <w:t>2.中标单位在中标通知书发出后3个工作日内，补送一正二副正式书面投标文件（加盖公章）给招标人。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10.6</w:t>
            </w:r>
          </w:p>
        </w:tc>
        <w:tc>
          <w:tcPr>
            <w:tcW w:w="2209" w:type="dxa"/>
            <w:vAlign w:val="center"/>
          </w:tcPr>
          <w:p>
            <w:pPr>
              <w:widowControl/>
              <w:shd w:val="clear" w:color="auto" w:fill="FFFFFF"/>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投标人是否参加开标</w:t>
            </w:r>
          </w:p>
        </w:tc>
        <w:tc>
          <w:tcPr>
            <w:tcW w:w="7151" w:type="dxa"/>
            <w:vAlign w:val="center"/>
          </w:tcPr>
          <w:p>
            <w:pPr>
              <w:adjustRightInd w:val="0"/>
              <w:snapToGrid w:val="0"/>
              <w:spacing w:before="0" w:beforeLines="20" w:after="0" w:afterLines="20" w:line="264" w:lineRule="auto"/>
              <w:rPr>
                <w:rFonts w:ascii="宋体" w:hAnsi="宋体"/>
                <w:color w:val="auto"/>
                <w:szCs w:val="21"/>
                <w:highlight w:val="none"/>
              </w:rPr>
            </w:pPr>
            <w:r>
              <w:rPr>
                <w:rFonts w:hint="eastAsia" w:ascii="宋体" w:hAnsi="宋体"/>
                <w:color w:val="auto"/>
                <w:szCs w:val="21"/>
                <w:highlight w:val="none"/>
              </w:rPr>
              <w:t>开标时，投标人代表有权出席开标会，也可以自主决定不参加开标会，若投标人代表对开标过程提出异议，该投标人代表须同时出示本人身份证原件。</w:t>
            </w:r>
          </w:p>
        </w:tc>
      </w:tr>
    </w:tbl>
    <w:p>
      <w:pPr>
        <w:rPr>
          <w:rFonts w:ascii="宋体" w:hAnsi="宋体"/>
          <w:color w:val="auto"/>
          <w:highlight w:val="none"/>
        </w:rPr>
      </w:pPr>
    </w:p>
    <w:p>
      <w:pPr>
        <w:pStyle w:val="6"/>
        <w:adjustRightInd w:val="0"/>
        <w:snapToGrid w:val="0"/>
        <w:rPr>
          <w:color w:val="auto"/>
          <w:highlight w:val="none"/>
        </w:rPr>
      </w:pPr>
      <w:bookmarkStart w:id="68" w:name="_Toc533357308"/>
      <w:r>
        <w:rPr>
          <w:color w:val="auto"/>
          <w:highlight w:val="none"/>
        </w:rPr>
        <w:br w:type="page"/>
      </w:r>
      <w:bookmarkStart w:id="69" w:name="_Toc16638"/>
      <w:bookmarkStart w:id="70" w:name="_Toc7422"/>
      <w:bookmarkStart w:id="71" w:name="_Toc103592009"/>
      <w:bookmarkStart w:id="72" w:name="_Toc15880"/>
      <w:bookmarkStart w:id="73" w:name="_Toc14041"/>
      <w:bookmarkStart w:id="74" w:name="_Toc3010"/>
      <w:r>
        <w:rPr>
          <w:color w:val="auto"/>
          <w:highlight w:val="none"/>
        </w:rPr>
        <w:t xml:space="preserve">1. </w:t>
      </w:r>
      <w:r>
        <w:rPr>
          <w:rFonts w:hint="eastAsia"/>
          <w:color w:val="auto"/>
          <w:highlight w:val="none"/>
        </w:rPr>
        <w:t>总则</w:t>
      </w:r>
      <w:bookmarkEnd w:id="68"/>
      <w:bookmarkEnd w:id="69"/>
      <w:bookmarkEnd w:id="70"/>
      <w:bookmarkEnd w:id="71"/>
      <w:bookmarkEnd w:id="72"/>
      <w:bookmarkEnd w:id="73"/>
      <w:bookmarkEnd w:id="74"/>
    </w:p>
    <w:p>
      <w:pPr>
        <w:pStyle w:val="8"/>
        <w:adjustRightInd w:val="0"/>
        <w:snapToGrid w:val="0"/>
        <w:spacing w:line="360" w:lineRule="auto"/>
        <w:rPr>
          <w:color w:val="auto"/>
          <w:highlight w:val="none"/>
        </w:rPr>
      </w:pPr>
      <w:r>
        <w:rPr>
          <w:color w:val="auto"/>
          <w:highlight w:val="none"/>
        </w:rPr>
        <w:t xml:space="preserve">1.1 </w:t>
      </w:r>
      <w:r>
        <w:rPr>
          <w:rFonts w:hint="eastAsia"/>
          <w:color w:val="auto"/>
          <w:highlight w:val="none"/>
        </w:rPr>
        <w:t>招标项目概况</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根据《中华人民共和国招标投标法》、《中华人民共和国招标投标法实施条例》等有关法律、法规和规章的规定，本招标项目已具备招标条件，现对检测和监测服务进行招标。</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pPr>
        <w:pStyle w:val="27"/>
        <w:adjustRightInd w:val="0"/>
        <w:snapToGrid w:val="0"/>
        <w:spacing w:line="360"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pPr>
        <w:pStyle w:val="8"/>
        <w:adjustRightInd w:val="0"/>
        <w:snapToGrid w:val="0"/>
        <w:spacing w:line="360" w:lineRule="auto"/>
        <w:rPr>
          <w:color w:val="auto"/>
          <w:highlight w:val="none"/>
        </w:rPr>
      </w:pPr>
      <w:r>
        <w:rPr>
          <w:color w:val="auto"/>
          <w:highlight w:val="none"/>
        </w:rPr>
        <w:t xml:space="preserve">1.2 </w:t>
      </w:r>
      <w:r>
        <w:rPr>
          <w:rFonts w:hint="eastAsia"/>
          <w:color w:val="auto"/>
          <w:highlight w:val="none"/>
        </w:rPr>
        <w:t>招标项目的资金来源和落实情况</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pPr>
        <w:pStyle w:val="8"/>
        <w:adjustRightInd w:val="0"/>
        <w:snapToGrid w:val="0"/>
        <w:spacing w:line="360" w:lineRule="auto"/>
        <w:rPr>
          <w:color w:val="auto"/>
          <w:highlight w:val="none"/>
        </w:rPr>
      </w:pPr>
      <w:r>
        <w:rPr>
          <w:color w:val="auto"/>
          <w:highlight w:val="none"/>
        </w:rPr>
        <w:t xml:space="preserve">1.3 </w:t>
      </w:r>
      <w:r>
        <w:rPr>
          <w:rFonts w:hint="eastAsia"/>
          <w:color w:val="auto"/>
          <w:highlight w:val="none"/>
        </w:rPr>
        <w:t>招标范围、服务期限和质量标准</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pPr>
        <w:pStyle w:val="8"/>
        <w:adjustRightInd w:val="0"/>
        <w:snapToGrid w:val="0"/>
        <w:spacing w:line="360" w:lineRule="auto"/>
        <w:rPr>
          <w:color w:val="auto"/>
          <w:highlight w:val="none"/>
        </w:rPr>
      </w:pPr>
      <w:r>
        <w:rPr>
          <w:color w:val="auto"/>
          <w:highlight w:val="none"/>
        </w:rPr>
        <w:t xml:space="preserve">1.4 </w:t>
      </w:r>
      <w:r>
        <w:rPr>
          <w:rFonts w:hint="eastAsia"/>
          <w:color w:val="auto"/>
          <w:highlight w:val="none"/>
        </w:rPr>
        <w:t>投标人资格要求</w:t>
      </w:r>
    </w:p>
    <w:p>
      <w:pPr>
        <w:pStyle w:val="14"/>
        <w:kinsoku w:val="0"/>
        <w:overflowPunct w:val="0"/>
        <w:adjustRightInd w:val="0"/>
        <w:snapToGrid w:val="0"/>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为招标人不具有独立法人资格的附属机构（单位）；</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为本标段前期准备提供设计或咨询服务或者与本项目设计人或提供咨询服务的机构存在附属关系的；</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为本标段监理人或者与本标段监理人存在隶属关系或者其他利害关系；</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为本标段的代建人；</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为本标段提供招标代理服务的；</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与本标段的监理人或代建人或招标代理机构同为一个法定代表人的；</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与本标段的监理人或代建人或招标代理机构互相控股或参股的；</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与本标段的监理人或代建人或招标代理机构相互任职或工作的；</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与招标人存在利害关系且可能影响招标公正性； </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被依法暂停或取消投标资格的；（</w:t>
      </w:r>
      <w:r>
        <w:rPr>
          <w:rFonts w:hint="eastAsia" w:ascii="宋体" w:hAnsi="宋体"/>
          <w:color w:val="auto"/>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szCs w:val="21"/>
          <w:highlight w:val="none"/>
        </w:rPr>
        <w:t xml:space="preserve">） </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被责令停产停业、暂扣或者吊销许可证、暂扣或者吊销执照的（</w:t>
      </w:r>
      <w:r>
        <w:rPr>
          <w:rFonts w:hint="eastAsia" w:ascii="宋体" w:hAnsi="宋体"/>
          <w:color w:val="auto"/>
          <w:szCs w:val="21"/>
          <w:highlight w:val="none"/>
          <w:lang w:val="zh-CN"/>
        </w:rPr>
        <w:t>本项事实应当以根据《中华人民共和国行政处罚法》依法作出并已经生效的行政处罚决定为认定依据。</w:t>
      </w:r>
      <w:r>
        <w:rPr>
          <w:rFonts w:hint="eastAsia" w:ascii="宋体" w:hAnsi="宋体"/>
          <w:color w:val="auto"/>
          <w:szCs w:val="21"/>
          <w:highlight w:val="none"/>
        </w:rPr>
        <w:t>）</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进入清算程序，或被宣布破产，或其他丧失履约能力的情形；</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在最近三年内有严重违约或重大工程质量问题的；（</w:t>
      </w:r>
      <w:r>
        <w:rPr>
          <w:rFonts w:hint="eastAsia" w:ascii="宋体" w:hAnsi="宋体"/>
          <w:color w:val="auto"/>
          <w:szCs w:val="21"/>
          <w:highlight w:val="none"/>
          <w:lang w:val="zh-CN"/>
        </w:rPr>
        <w:t>“严重违约”事实应当以</w:t>
      </w:r>
      <w:r>
        <w:rPr>
          <w:rFonts w:hint="eastAsia" w:ascii="宋体" w:hAnsi="宋体"/>
          <w:color w:val="auto"/>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4"/>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法律法规规定的其他情形。</w:t>
      </w:r>
    </w:p>
    <w:p>
      <w:pPr>
        <w:pStyle w:val="8"/>
        <w:adjustRightInd w:val="0"/>
        <w:snapToGrid w:val="0"/>
        <w:spacing w:line="360" w:lineRule="auto"/>
        <w:rPr>
          <w:color w:val="auto"/>
          <w:highlight w:val="none"/>
        </w:rPr>
      </w:pPr>
      <w:r>
        <w:rPr>
          <w:color w:val="auto"/>
          <w:highlight w:val="none"/>
        </w:rPr>
        <w:t xml:space="preserve">1.5 </w:t>
      </w:r>
      <w:r>
        <w:rPr>
          <w:rFonts w:hint="eastAsia"/>
          <w:color w:val="auto"/>
          <w:highlight w:val="none"/>
        </w:rPr>
        <w:t>费用承担</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pPr>
        <w:pStyle w:val="8"/>
        <w:adjustRightInd w:val="0"/>
        <w:snapToGrid w:val="0"/>
        <w:spacing w:line="360" w:lineRule="auto"/>
        <w:rPr>
          <w:color w:val="auto"/>
          <w:highlight w:val="none"/>
        </w:rPr>
      </w:pPr>
      <w:bookmarkStart w:id="75" w:name="bookmark26"/>
      <w:bookmarkEnd w:id="75"/>
      <w:r>
        <w:rPr>
          <w:color w:val="auto"/>
          <w:highlight w:val="none"/>
        </w:rPr>
        <w:t xml:space="preserve">1.6 </w:t>
      </w:r>
      <w:r>
        <w:rPr>
          <w:rFonts w:hint="eastAsia"/>
          <w:color w:val="auto"/>
          <w:highlight w:val="none"/>
        </w:rPr>
        <w:t>保密</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pStyle w:val="8"/>
        <w:adjustRightInd w:val="0"/>
        <w:snapToGrid w:val="0"/>
        <w:spacing w:line="360" w:lineRule="auto"/>
        <w:rPr>
          <w:color w:val="auto"/>
          <w:highlight w:val="none"/>
        </w:rPr>
      </w:pPr>
      <w:bookmarkStart w:id="76" w:name="bookmark27"/>
      <w:bookmarkEnd w:id="76"/>
      <w:r>
        <w:rPr>
          <w:color w:val="auto"/>
          <w:highlight w:val="none"/>
        </w:rPr>
        <w:t xml:space="preserve">1.7 </w:t>
      </w:r>
      <w:r>
        <w:rPr>
          <w:rFonts w:hint="eastAsia"/>
          <w:color w:val="auto"/>
          <w:highlight w:val="none"/>
        </w:rPr>
        <w:t>语言文字</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pStyle w:val="8"/>
        <w:adjustRightInd w:val="0"/>
        <w:snapToGrid w:val="0"/>
        <w:spacing w:line="360" w:lineRule="auto"/>
        <w:rPr>
          <w:color w:val="auto"/>
          <w:highlight w:val="none"/>
        </w:rPr>
      </w:pPr>
      <w:bookmarkStart w:id="77" w:name="bookmark28"/>
      <w:bookmarkEnd w:id="77"/>
      <w:r>
        <w:rPr>
          <w:color w:val="auto"/>
          <w:highlight w:val="none"/>
        </w:rPr>
        <w:t xml:space="preserve">1.8 </w:t>
      </w:r>
      <w:r>
        <w:rPr>
          <w:rFonts w:hint="eastAsia"/>
          <w:color w:val="auto"/>
          <w:highlight w:val="none"/>
        </w:rPr>
        <w:t>计量单位</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pPr>
        <w:pStyle w:val="8"/>
        <w:adjustRightInd w:val="0"/>
        <w:snapToGrid w:val="0"/>
        <w:spacing w:line="360" w:lineRule="auto"/>
        <w:rPr>
          <w:color w:val="auto"/>
          <w:highlight w:val="none"/>
        </w:rPr>
      </w:pPr>
      <w:bookmarkStart w:id="78" w:name="bookmark29"/>
      <w:bookmarkEnd w:id="78"/>
      <w:r>
        <w:rPr>
          <w:color w:val="auto"/>
          <w:highlight w:val="none"/>
        </w:rPr>
        <w:t xml:space="preserve">1.9 </w:t>
      </w:r>
      <w:r>
        <w:rPr>
          <w:rFonts w:hint="eastAsia"/>
          <w:color w:val="auto"/>
          <w:highlight w:val="none"/>
        </w:rPr>
        <w:t>踏勘现场</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pPr>
        <w:pStyle w:val="8"/>
        <w:adjustRightInd w:val="0"/>
        <w:snapToGrid w:val="0"/>
        <w:spacing w:line="360" w:lineRule="auto"/>
        <w:rPr>
          <w:color w:val="auto"/>
          <w:highlight w:val="none"/>
        </w:rPr>
      </w:pPr>
      <w:bookmarkStart w:id="79" w:name="bookmark30"/>
      <w:bookmarkEnd w:id="79"/>
      <w:r>
        <w:rPr>
          <w:color w:val="auto"/>
          <w:highlight w:val="none"/>
        </w:rPr>
        <w:t xml:space="preserve">1.10 </w:t>
      </w:r>
      <w:r>
        <w:rPr>
          <w:rFonts w:hint="eastAsia"/>
          <w:color w:val="auto"/>
          <w:highlight w:val="none"/>
        </w:rPr>
        <w:t>投标预备会</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80" w:name="bookmark31"/>
      <w:bookmarkEnd w:id="80"/>
    </w:p>
    <w:p>
      <w:pPr>
        <w:pStyle w:val="8"/>
        <w:adjustRightInd w:val="0"/>
        <w:snapToGrid w:val="0"/>
        <w:spacing w:line="360" w:lineRule="auto"/>
        <w:rPr>
          <w:color w:val="auto"/>
          <w:highlight w:val="none"/>
        </w:rPr>
      </w:pPr>
      <w:r>
        <w:rPr>
          <w:color w:val="auto"/>
          <w:highlight w:val="none"/>
        </w:rPr>
        <w:t xml:space="preserve">1.11 </w:t>
      </w:r>
      <w:r>
        <w:rPr>
          <w:rFonts w:hint="eastAsia"/>
          <w:color w:val="auto"/>
          <w:highlight w:val="none"/>
        </w:rPr>
        <w:t>分包</w:t>
      </w:r>
    </w:p>
    <w:p>
      <w:pPr>
        <w:pStyle w:val="14"/>
        <w:kinsoku w:val="0"/>
        <w:overflowPunct w:val="0"/>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w:t>
      </w:r>
      <w:r>
        <w:rPr>
          <w:rFonts w:hint="eastAsia" w:ascii="宋体" w:hAnsi="宋体"/>
          <w:color w:val="auto"/>
          <w:szCs w:val="21"/>
          <w:highlight w:val="none"/>
          <w:u w:val="single"/>
        </w:rPr>
        <w:t>和监测</w:t>
      </w:r>
      <w:r>
        <w:rPr>
          <w:rFonts w:ascii="宋体" w:hAnsi="宋体"/>
          <w:color w:val="auto"/>
          <w:szCs w:val="21"/>
          <w:highlight w:val="none"/>
          <w:u w:val="single"/>
        </w:rPr>
        <w:t>工作，中标人不具备资质的，经招标人同意后可依法分包给具备相关资质的检测</w:t>
      </w:r>
      <w:r>
        <w:rPr>
          <w:rFonts w:hint="eastAsia" w:ascii="宋体" w:hAnsi="宋体"/>
          <w:color w:val="auto"/>
          <w:szCs w:val="21"/>
          <w:highlight w:val="none"/>
          <w:u w:val="single"/>
        </w:rPr>
        <w:t>监测</w:t>
      </w:r>
      <w:r>
        <w:rPr>
          <w:rFonts w:ascii="宋体" w:hAnsi="宋体"/>
          <w:color w:val="auto"/>
          <w:szCs w:val="21"/>
          <w:highlight w:val="none"/>
          <w:u w:val="single"/>
        </w:rPr>
        <w:t>单位，分包的检测</w:t>
      </w:r>
      <w:r>
        <w:rPr>
          <w:rFonts w:hint="eastAsia" w:ascii="宋体" w:hAnsi="宋体"/>
          <w:color w:val="auto"/>
          <w:szCs w:val="21"/>
          <w:highlight w:val="none"/>
          <w:u w:val="single"/>
        </w:rPr>
        <w:t>和监测</w:t>
      </w:r>
      <w:r>
        <w:rPr>
          <w:rFonts w:ascii="宋体" w:hAnsi="宋体"/>
          <w:color w:val="auto"/>
          <w:szCs w:val="21"/>
          <w:highlight w:val="none"/>
          <w:u w:val="single"/>
        </w:rPr>
        <w:t>工作不得再次分包。</w:t>
      </w:r>
    </w:p>
    <w:p>
      <w:pPr>
        <w:pStyle w:val="8"/>
        <w:adjustRightInd w:val="0"/>
        <w:snapToGrid w:val="0"/>
        <w:spacing w:line="360" w:lineRule="auto"/>
        <w:rPr>
          <w:color w:val="auto"/>
          <w:highlight w:val="none"/>
        </w:rPr>
      </w:pPr>
      <w:bookmarkStart w:id="81" w:name="bookmark32"/>
      <w:bookmarkEnd w:id="81"/>
      <w:r>
        <w:rPr>
          <w:color w:val="auto"/>
          <w:highlight w:val="none"/>
        </w:rPr>
        <w:t xml:space="preserve">1.12 </w:t>
      </w:r>
      <w:r>
        <w:rPr>
          <w:rFonts w:hint="eastAsia"/>
          <w:color w:val="auto"/>
          <w:highlight w:val="none"/>
        </w:rPr>
        <w:t>响应和偏差</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pPr>
        <w:pStyle w:val="6"/>
        <w:adjustRightInd w:val="0"/>
        <w:snapToGrid w:val="0"/>
        <w:rPr>
          <w:color w:val="auto"/>
          <w:highlight w:val="none"/>
        </w:rPr>
      </w:pPr>
      <w:bookmarkStart w:id="82" w:name="_Toc16122"/>
      <w:bookmarkStart w:id="83" w:name="_Toc14240"/>
      <w:bookmarkStart w:id="84" w:name="_Toc21018"/>
      <w:bookmarkStart w:id="85" w:name="_Toc103592010"/>
      <w:bookmarkStart w:id="86" w:name="_Toc28699"/>
      <w:bookmarkStart w:id="87" w:name="_Toc14874"/>
      <w:bookmarkStart w:id="88" w:name="_Toc533357309"/>
      <w:r>
        <w:rPr>
          <w:color w:val="auto"/>
          <w:highlight w:val="none"/>
        </w:rPr>
        <w:t xml:space="preserve">2. </w:t>
      </w:r>
      <w:r>
        <w:rPr>
          <w:rFonts w:hint="eastAsia"/>
          <w:color w:val="auto"/>
          <w:highlight w:val="none"/>
        </w:rPr>
        <w:t>招标文件</w:t>
      </w:r>
      <w:bookmarkEnd w:id="82"/>
      <w:bookmarkEnd w:id="83"/>
      <w:bookmarkEnd w:id="84"/>
      <w:bookmarkEnd w:id="85"/>
      <w:bookmarkEnd w:id="86"/>
      <w:bookmarkEnd w:id="87"/>
      <w:bookmarkEnd w:id="88"/>
    </w:p>
    <w:p>
      <w:pPr>
        <w:pStyle w:val="8"/>
        <w:adjustRightInd w:val="0"/>
        <w:snapToGrid w:val="0"/>
        <w:spacing w:line="360" w:lineRule="auto"/>
        <w:rPr>
          <w:color w:val="auto"/>
          <w:highlight w:val="none"/>
        </w:rPr>
      </w:pPr>
      <w:bookmarkStart w:id="89" w:name="bookmark34"/>
      <w:bookmarkEnd w:id="89"/>
      <w:r>
        <w:rPr>
          <w:color w:val="auto"/>
          <w:highlight w:val="none"/>
        </w:rPr>
        <w:t xml:space="preserve">2.1 </w:t>
      </w:r>
      <w:r>
        <w:rPr>
          <w:rFonts w:hint="eastAsia"/>
          <w:color w:val="auto"/>
          <w:highlight w:val="none"/>
        </w:rPr>
        <w:t>招标文件的组成</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pPr>
        <w:pStyle w:val="8"/>
        <w:adjustRightInd w:val="0"/>
        <w:snapToGrid w:val="0"/>
        <w:spacing w:line="360" w:lineRule="auto"/>
        <w:rPr>
          <w:color w:val="auto"/>
          <w:highlight w:val="none"/>
        </w:rPr>
      </w:pPr>
      <w:bookmarkStart w:id="90" w:name="bookmark35"/>
      <w:bookmarkEnd w:id="90"/>
      <w:r>
        <w:rPr>
          <w:color w:val="auto"/>
          <w:highlight w:val="none"/>
        </w:rPr>
        <w:t xml:space="preserve">2.2 </w:t>
      </w:r>
      <w:r>
        <w:rPr>
          <w:rFonts w:hint="eastAsia"/>
          <w:color w:val="auto"/>
          <w:highlight w:val="none"/>
        </w:rPr>
        <w:t>招标文件的澄清</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pPr>
        <w:pStyle w:val="14"/>
        <w:kinsoku w:val="0"/>
        <w:overflowPunct w:val="0"/>
        <w:adjustRightInd w:val="0"/>
        <w:snapToGrid w:val="0"/>
        <w:spacing w:line="360" w:lineRule="auto"/>
        <w:ind w:firstLine="420" w:firstLineChars="200"/>
        <w:rPr>
          <w:color w:val="auto"/>
          <w:highlight w:val="none"/>
        </w:rPr>
      </w:pPr>
      <w:r>
        <w:rPr>
          <w:rFonts w:ascii="宋体" w:hAnsi="宋体"/>
          <w:color w:val="auto"/>
          <w:szCs w:val="21"/>
          <w:highlight w:val="none"/>
        </w:rPr>
        <w:t xml:space="preserve">2.2.3 </w:t>
      </w:r>
      <w:r>
        <w:rPr>
          <w:rFonts w:hint="eastAsia"/>
          <w:color w:val="auto"/>
          <w:highlight w:val="none"/>
          <w:u w:val="single"/>
        </w:rPr>
        <w:t xml:space="preserve">招标文件的澄清在广州公共资源交易中心网站发布。招标文件的澄清一经在广州公共资源交易中心网站发布，视作已发放给所有投标人，招标文件的澄清内容作为招标文件的组成部分，具有约束作用。 </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pPr>
        <w:pStyle w:val="8"/>
        <w:adjustRightInd w:val="0"/>
        <w:snapToGrid w:val="0"/>
        <w:spacing w:line="360" w:lineRule="auto"/>
        <w:rPr>
          <w:color w:val="auto"/>
          <w:highlight w:val="none"/>
        </w:rPr>
      </w:pPr>
      <w:bookmarkStart w:id="91" w:name="bookmark36"/>
      <w:bookmarkEnd w:id="91"/>
      <w:r>
        <w:rPr>
          <w:color w:val="auto"/>
          <w:highlight w:val="none"/>
        </w:rPr>
        <w:t xml:space="preserve">2.3 </w:t>
      </w:r>
      <w:r>
        <w:rPr>
          <w:rFonts w:hint="eastAsia"/>
          <w:color w:val="auto"/>
          <w:highlight w:val="none"/>
        </w:rPr>
        <w:t>招标文件的修改</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pPr>
        <w:pStyle w:val="14"/>
        <w:kinsoku w:val="0"/>
        <w:overflowPunct w:val="0"/>
        <w:adjustRightInd w:val="0"/>
        <w:snapToGrid w:val="0"/>
        <w:spacing w:line="360" w:lineRule="auto"/>
        <w:ind w:firstLine="420" w:firstLineChars="200"/>
        <w:rPr>
          <w:rFonts w:ascii="宋体" w:hAnsi="宋体"/>
          <w:color w:val="auto"/>
          <w:szCs w:val="21"/>
          <w:highlight w:val="none"/>
        </w:rPr>
      </w:pPr>
    </w:p>
    <w:p>
      <w:pPr>
        <w:pStyle w:val="8"/>
        <w:adjustRightInd w:val="0"/>
        <w:snapToGrid w:val="0"/>
        <w:spacing w:line="360" w:lineRule="auto"/>
        <w:rPr>
          <w:color w:val="auto"/>
          <w:highlight w:val="none"/>
        </w:rPr>
      </w:pPr>
      <w:bookmarkStart w:id="92" w:name="bookmark37"/>
      <w:bookmarkEnd w:id="92"/>
      <w:r>
        <w:rPr>
          <w:color w:val="auto"/>
          <w:highlight w:val="none"/>
        </w:rPr>
        <w:t xml:space="preserve">2.4 </w:t>
      </w:r>
      <w:r>
        <w:rPr>
          <w:rFonts w:hint="eastAsia"/>
          <w:color w:val="auto"/>
          <w:highlight w:val="none"/>
        </w:rPr>
        <w:t>招标文件的异议</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日前以书面形式提出。招标人将在收到异议之日起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pPr>
        <w:pStyle w:val="6"/>
        <w:adjustRightInd w:val="0"/>
        <w:snapToGrid w:val="0"/>
        <w:rPr>
          <w:color w:val="auto"/>
          <w:highlight w:val="none"/>
        </w:rPr>
      </w:pPr>
      <w:bookmarkStart w:id="93" w:name="_Toc2106"/>
      <w:bookmarkStart w:id="94" w:name="_Toc22272"/>
      <w:bookmarkStart w:id="95" w:name="_Toc29352"/>
      <w:bookmarkStart w:id="96" w:name="_Toc22073"/>
      <w:bookmarkStart w:id="97" w:name="_Toc13083"/>
      <w:bookmarkStart w:id="98" w:name="_Toc103592011"/>
      <w:bookmarkStart w:id="99" w:name="_Toc533357310"/>
      <w:r>
        <w:rPr>
          <w:color w:val="auto"/>
          <w:highlight w:val="none"/>
        </w:rPr>
        <w:t xml:space="preserve">3. </w:t>
      </w:r>
      <w:r>
        <w:rPr>
          <w:rFonts w:hint="eastAsia"/>
          <w:color w:val="auto"/>
          <w:highlight w:val="none"/>
        </w:rPr>
        <w:t>投标文件</w:t>
      </w:r>
      <w:bookmarkEnd w:id="93"/>
      <w:bookmarkEnd w:id="94"/>
      <w:bookmarkEnd w:id="95"/>
      <w:bookmarkEnd w:id="96"/>
      <w:bookmarkEnd w:id="97"/>
      <w:bookmarkEnd w:id="98"/>
      <w:bookmarkEnd w:id="99"/>
    </w:p>
    <w:p>
      <w:pPr>
        <w:pStyle w:val="8"/>
        <w:adjustRightInd w:val="0"/>
        <w:snapToGrid w:val="0"/>
        <w:spacing w:line="360" w:lineRule="auto"/>
        <w:ind w:firstLine="420"/>
        <w:rPr>
          <w:color w:val="auto"/>
          <w:highlight w:val="none"/>
        </w:rPr>
      </w:pPr>
      <w:bookmarkStart w:id="100" w:name="bookmark39"/>
      <w:bookmarkEnd w:id="100"/>
      <w:r>
        <w:rPr>
          <w:color w:val="auto"/>
          <w:highlight w:val="none"/>
        </w:rPr>
        <w:t xml:space="preserve">3.1 </w:t>
      </w:r>
      <w:r>
        <w:rPr>
          <w:rFonts w:hint="eastAsia"/>
          <w:color w:val="auto"/>
          <w:highlight w:val="none"/>
        </w:rPr>
        <w:t>投标文件的组成</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hint="eastAsia" w:ascii="宋体" w:hAnsi="宋体"/>
          <w:color w:val="auto"/>
          <w:szCs w:val="21"/>
          <w:highlight w:val="none"/>
        </w:rPr>
        <w:t>（2）法定代表人证明书及授权委托书；</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）投标报价书；</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）资格审查资料；</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）类似项目情况表；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）拟投入本项目的检测监测人员一览表；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）拟投入本项目的检测监测人员简历表；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）拟投入本项目的主要仪器设备一览表；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）检测和监测方案；</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）其他资料。投标人须知前附表规定的其他资料，投标人认为有必要提交的其他资料。投标人在评标过程中作出的符合法律法规和招标文件规定的澄清确认，构成投标文件的组成部分。</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p>
    <w:p>
      <w:pPr>
        <w:pStyle w:val="8"/>
        <w:adjustRightInd w:val="0"/>
        <w:snapToGrid w:val="0"/>
        <w:spacing w:line="360" w:lineRule="auto"/>
        <w:rPr>
          <w:color w:val="auto"/>
          <w:highlight w:val="none"/>
        </w:rPr>
      </w:pPr>
      <w:bookmarkStart w:id="101" w:name="bookmark40"/>
      <w:bookmarkEnd w:id="101"/>
      <w:r>
        <w:rPr>
          <w:color w:val="auto"/>
          <w:highlight w:val="none"/>
        </w:rPr>
        <w:t xml:space="preserve">3.2 </w:t>
      </w:r>
      <w:r>
        <w:rPr>
          <w:rFonts w:hint="eastAsia"/>
          <w:color w:val="auto"/>
          <w:highlight w:val="none"/>
        </w:rPr>
        <w:t>投标报价</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pPr>
        <w:pStyle w:val="8"/>
        <w:adjustRightInd w:val="0"/>
        <w:snapToGrid w:val="0"/>
        <w:spacing w:line="360" w:lineRule="auto"/>
        <w:rPr>
          <w:color w:val="auto"/>
          <w:highlight w:val="none"/>
        </w:rPr>
      </w:pPr>
      <w:bookmarkStart w:id="102" w:name="bookmark41"/>
      <w:bookmarkEnd w:id="102"/>
      <w:r>
        <w:rPr>
          <w:color w:val="auto"/>
          <w:highlight w:val="none"/>
        </w:rPr>
        <w:t xml:space="preserve">3.3 </w:t>
      </w:r>
      <w:r>
        <w:rPr>
          <w:rFonts w:hint="eastAsia"/>
          <w:color w:val="auto"/>
          <w:highlight w:val="none"/>
        </w:rPr>
        <w:t>投标有效期</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出现特殊情况需要延长投标有效期的，招标人以书面形式通知所有投标人延长投标有效期。投标人应予以书面答复，同意延长的，不得要求或被允许修改其投标文件；投标人拒绝延长的，其投标失效。</w:t>
      </w:r>
    </w:p>
    <w:p>
      <w:pPr>
        <w:pStyle w:val="8"/>
        <w:adjustRightInd w:val="0"/>
        <w:snapToGrid w:val="0"/>
        <w:spacing w:line="360" w:lineRule="auto"/>
        <w:rPr>
          <w:rFonts w:hint="eastAsia" w:eastAsia="宋体"/>
          <w:strike/>
          <w:dstrike w:val="0"/>
          <w:color w:val="auto"/>
          <w:highlight w:val="none"/>
          <w:lang w:eastAsia="zh-CN"/>
        </w:rPr>
      </w:pPr>
      <w:bookmarkStart w:id="103" w:name="bookmark42"/>
      <w:bookmarkEnd w:id="103"/>
      <w:r>
        <w:rPr>
          <w:strike/>
          <w:dstrike w:val="0"/>
          <w:color w:val="auto"/>
          <w:highlight w:val="none"/>
        </w:rPr>
        <w:t xml:space="preserve">3.4 </w:t>
      </w:r>
      <w:r>
        <w:rPr>
          <w:rFonts w:hint="eastAsia"/>
          <w:strike/>
          <w:dstrike w:val="0"/>
          <w:color w:val="auto"/>
          <w:highlight w:val="none"/>
        </w:rPr>
        <w:t>投标保证金</w:t>
      </w:r>
      <w:r>
        <w:rPr>
          <w:rFonts w:hint="eastAsia"/>
          <w:strike/>
          <w:dstrike w:val="0"/>
          <w:color w:val="auto"/>
          <w:highlight w:val="none"/>
          <w:lang w:eastAsia="zh-CN"/>
        </w:rPr>
        <w:t>【</w:t>
      </w:r>
      <w:r>
        <w:rPr>
          <w:rFonts w:hint="eastAsia"/>
          <w:strike/>
          <w:dstrike w:val="0"/>
          <w:color w:val="auto"/>
          <w:highlight w:val="none"/>
          <w:lang w:val="en-US" w:eastAsia="zh-CN"/>
        </w:rPr>
        <w:t>不适用</w:t>
      </w:r>
      <w:r>
        <w:rPr>
          <w:rFonts w:hint="eastAsia"/>
          <w:strike/>
          <w:dstrike w:val="0"/>
          <w:color w:val="auto"/>
          <w:highlight w:val="none"/>
          <w:lang w:eastAsia="zh-CN"/>
        </w:rPr>
        <w:t>】</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ascii="宋体" w:hAnsi="宋体"/>
          <w:strike/>
          <w:dstrike w:val="0"/>
          <w:color w:val="auto"/>
          <w:szCs w:val="21"/>
          <w:highlight w:val="none"/>
        </w:rPr>
        <w:t>3.4.1</w:t>
      </w:r>
      <w:r>
        <w:rPr>
          <w:rFonts w:hint="eastAsia" w:ascii="宋体" w:hAnsi="宋体"/>
          <w:strike/>
          <w:dstrike w:val="0"/>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ascii="宋体" w:hAnsi="宋体"/>
          <w:strike/>
          <w:dstrike w:val="0"/>
          <w:color w:val="auto"/>
          <w:szCs w:val="21"/>
          <w:highlight w:val="none"/>
        </w:rPr>
        <w:t>3.4.2</w:t>
      </w:r>
      <w:r>
        <w:rPr>
          <w:rFonts w:hint="eastAsia" w:ascii="宋体" w:hAnsi="宋体"/>
          <w:strike/>
          <w:dstrike w:val="0"/>
          <w:color w:val="auto"/>
          <w:szCs w:val="21"/>
          <w:highlight w:val="none"/>
        </w:rPr>
        <w:t>投标人不按本章第</w:t>
      </w:r>
      <w:r>
        <w:rPr>
          <w:rFonts w:ascii="宋体" w:hAnsi="宋体"/>
          <w:strike/>
          <w:dstrike w:val="0"/>
          <w:color w:val="auto"/>
          <w:szCs w:val="21"/>
          <w:highlight w:val="none"/>
        </w:rPr>
        <w:t>3.4.1</w:t>
      </w:r>
      <w:r>
        <w:rPr>
          <w:rFonts w:hint="eastAsia" w:ascii="宋体" w:hAnsi="宋体"/>
          <w:strike/>
          <w:dstrike w:val="0"/>
          <w:color w:val="auto"/>
          <w:szCs w:val="21"/>
          <w:highlight w:val="none"/>
        </w:rPr>
        <w:t>项要求提交投标保证金的，评标委员会将否决其投标。</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ascii="宋体" w:hAnsi="宋体"/>
          <w:strike/>
          <w:dstrike w:val="0"/>
          <w:color w:val="auto"/>
          <w:szCs w:val="21"/>
          <w:highlight w:val="none"/>
        </w:rPr>
        <w:t>3.4.3</w:t>
      </w:r>
      <w:r>
        <w:rPr>
          <w:rFonts w:hint="eastAsia" w:ascii="宋体" w:hAnsi="宋体"/>
          <w:strike/>
          <w:dstrike w:val="0"/>
          <w:color w:val="auto"/>
          <w:szCs w:val="21"/>
          <w:highlight w:val="none"/>
        </w:rPr>
        <w:t>招标人最迟将在与中标人签订合同后</w:t>
      </w:r>
      <w:r>
        <w:rPr>
          <w:rFonts w:ascii="宋体" w:hAnsi="宋体"/>
          <w:strike/>
          <w:dstrike w:val="0"/>
          <w:color w:val="auto"/>
          <w:szCs w:val="21"/>
          <w:highlight w:val="none"/>
        </w:rPr>
        <w:t>5</w:t>
      </w:r>
      <w:r>
        <w:rPr>
          <w:rFonts w:hint="eastAsia" w:ascii="宋体" w:hAnsi="宋体"/>
          <w:strike/>
          <w:dstrike w:val="0"/>
          <w:color w:val="auto"/>
          <w:szCs w:val="21"/>
          <w:highlight w:val="none"/>
        </w:rPr>
        <w:t>日内，向未中标的投标人和中标人退还投标保证金。投标保证金以现金或者支票形式递交的，还应退还银行同期存款利息。</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ascii="宋体" w:hAnsi="宋体"/>
          <w:strike/>
          <w:dstrike w:val="0"/>
          <w:color w:val="auto"/>
          <w:szCs w:val="21"/>
          <w:highlight w:val="none"/>
        </w:rPr>
        <w:t>3.4.4</w:t>
      </w:r>
      <w:r>
        <w:rPr>
          <w:rFonts w:hint="eastAsia" w:ascii="宋体" w:hAnsi="宋体"/>
          <w:strike/>
          <w:dstrike w:val="0"/>
          <w:color w:val="auto"/>
          <w:szCs w:val="21"/>
          <w:highlight w:val="none"/>
        </w:rPr>
        <w:t>有下列情形之一的，投标保证金将不予退还：</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hint="eastAsia" w:ascii="宋体" w:hAnsi="宋体"/>
          <w:strike/>
          <w:dstrike w:val="0"/>
          <w:color w:val="auto"/>
          <w:szCs w:val="21"/>
          <w:highlight w:val="none"/>
        </w:rPr>
        <w:t>（</w:t>
      </w:r>
      <w:r>
        <w:rPr>
          <w:rFonts w:ascii="宋体" w:hAnsi="宋体"/>
          <w:strike/>
          <w:dstrike w:val="0"/>
          <w:color w:val="auto"/>
          <w:szCs w:val="21"/>
          <w:highlight w:val="none"/>
        </w:rPr>
        <w:t>1</w:t>
      </w:r>
      <w:r>
        <w:rPr>
          <w:rFonts w:hint="eastAsia" w:ascii="宋体" w:hAnsi="宋体"/>
          <w:strike/>
          <w:dstrike w:val="0"/>
          <w:color w:val="auto"/>
          <w:szCs w:val="21"/>
          <w:highlight w:val="none"/>
        </w:rPr>
        <w:t>）投标人在投标有效期内撤销投标文件；</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hint="eastAsia" w:ascii="宋体" w:hAnsi="宋体"/>
          <w:strike/>
          <w:dstrike w:val="0"/>
          <w:color w:val="auto"/>
          <w:szCs w:val="21"/>
          <w:highlight w:val="none"/>
        </w:rPr>
        <w:t>（</w:t>
      </w:r>
      <w:r>
        <w:rPr>
          <w:rFonts w:ascii="宋体" w:hAnsi="宋体"/>
          <w:strike/>
          <w:dstrike w:val="0"/>
          <w:color w:val="auto"/>
          <w:szCs w:val="21"/>
          <w:highlight w:val="none"/>
        </w:rPr>
        <w:t>2</w:t>
      </w:r>
      <w:r>
        <w:rPr>
          <w:rFonts w:hint="eastAsia" w:ascii="宋体" w:hAnsi="宋体"/>
          <w:strike/>
          <w:dstrike w:val="0"/>
          <w:color w:val="auto"/>
          <w:szCs w:val="21"/>
          <w:highlight w:val="none"/>
        </w:rPr>
        <w:t>）中标人在收到中标通知书后，无正当理由不与招标人订立合同，在签订合同时向招标人提出附加条件，或者不按照招标文件要求提交履约保证金；</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hint="eastAsia" w:ascii="宋体" w:hAnsi="宋体"/>
          <w:strike/>
          <w:dstrike w:val="0"/>
          <w:color w:val="auto"/>
          <w:szCs w:val="21"/>
          <w:highlight w:val="none"/>
        </w:rPr>
        <w:t>（</w:t>
      </w:r>
      <w:r>
        <w:rPr>
          <w:rFonts w:ascii="宋体" w:hAnsi="宋体"/>
          <w:strike/>
          <w:dstrike w:val="0"/>
          <w:color w:val="auto"/>
          <w:szCs w:val="21"/>
          <w:highlight w:val="none"/>
        </w:rPr>
        <w:t>3</w:t>
      </w:r>
      <w:r>
        <w:rPr>
          <w:rFonts w:hint="eastAsia" w:ascii="宋体" w:hAnsi="宋体"/>
          <w:strike/>
          <w:dstrike w:val="0"/>
          <w:color w:val="auto"/>
          <w:szCs w:val="21"/>
          <w:highlight w:val="none"/>
        </w:rPr>
        <w:t>）发生投标人须知前附表规定的其他可以不予退还投标保证金的情形。</w:t>
      </w:r>
    </w:p>
    <w:p>
      <w:pPr>
        <w:pStyle w:val="8"/>
        <w:adjustRightInd w:val="0"/>
        <w:snapToGrid w:val="0"/>
        <w:spacing w:line="360" w:lineRule="auto"/>
        <w:rPr>
          <w:color w:val="auto"/>
          <w:highlight w:val="none"/>
        </w:rPr>
      </w:pPr>
      <w:bookmarkStart w:id="104" w:name="bookmark43"/>
      <w:bookmarkEnd w:id="104"/>
      <w:bookmarkStart w:id="105" w:name="bookmark44"/>
      <w:bookmarkEnd w:id="105"/>
      <w:r>
        <w:rPr>
          <w:color w:val="auto"/>
          <w:highlight w:val="none"/>
        </w:rPr>
        <w:t xml:space="preserve">3.5 </w:t>
      </w:r>
      <w:r>
        <w:rPr>
          <w:rFonts w:hint="eastAsia"/>
          <w:color w:val="auto"/>
          <w:highlight w:val="none"/>
        </w:rPr>
        <w:t>资格审查资料</w:t>
      </w:r>
    </w:p>
    <w:p>
      <w:pPr>
        <w:pStyle w:val="14"/>
        <w:kinsoku w:val="0"/>
        <w:overflowPunct w:val="0"/>
        <w:adjustRightInd w:val="0"/>
        <w:snapToGrid w:val="0"/>
        <w:spacing w:line="360" w:lineRule="auto"/>
        <w:ind w:firstLine="420" w:firstLineChars="200"/>
        <w:rPr>
          <w:rFonts w:ascii="宋体" w:hAnsi="宋体"/>
          <w:color w:val="auto"/>
          <w:szCs w:val="21"/>
          <w:highlight w:val="none"/>
        </w:rPr>
      </w:pPr>
      <w:bookmarkStart w:id="106" w:name="bookmark45"/>
      <w:bookmarkEnd w:id="106"/>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款规定的资质、财务、业绩、信誉等要求。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“投标人基本情况表”应附投标单位的营业执照副本或事业单位法人证书副本、建设行政主管部门颁发的资质证书、检验检测机构资质认定证书（CMA计量认证合格证书）以及其他相关资料。</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3.5.2其他满足本章第</w:t>
      </w:r>
      <w:r>
        <w:rPr>
          <w:rFonts w:ascii="宋体" w:hAnsi="宋体"/>
          <w:color w:val="auto"/>
          <w:szCs w:val="21"/>
          <w:highlight w:val="none"/>
        </w:rPr>
        <w:t>1.4.1</w:t>
      </w:r>
      <w:r>
        <w:rPr>
          <w:rFonts w:hint="eastAsia" w:ascii="宋体" w:hAnsi="宋体"/>
          <w:color w:val="auto"/>
          <w:szCs w:val="21"/>
          <w:highlight w:val="none"/>
        </w:rPr>
        <w:t>项规定的要求的相关资料。</w:t>
      </w:r>
    </w:p>
    <w:p>
      <w:pPr>
        <w:pStyle w:val="8"/>
        <w:adjustRightInd w:val="0"/>
        <w:snapToGrid w:val="0"/>
        <w:spacing w:line="360" w:lineRule="auto"/>
        <w:rPr>
          <w:color w:val="auto"/>
          <w:highlight w:val="none"/>
        </w:rPr>
      </w:pPr>
      <w:r>
        <w:rPr>
          <w:color w:val="auto"/>
          <w:highlight w:val="none"/>
        </w:rPr>
        <w:t xml:space="preserve">3.6 </w:t>
      </w:r>
      <w:r>
        <w:rPr>
          <w:rFonts w:hint="eastAsia"/>
          <w:color w:val="auto"/>
          <w:highlight w:val="none"/>
        </w:rPr>
        <w:t>备选投标方案</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pPr>
        <w:pStyle w:val="8"/>
        <w:adjustRightInd w:val="0"/>
        <w:snapToGrid w:val="0"/>
        <w:spacing w:line="360" w:lineRule="auto"/>
        <w:rPr>
          <w:color w:val="auto"/>
          <w:highlight w:val="none"/>
        </w:rPr>
      </w:pPr>
      <w:bookmarkStart w:id="107" w:name="bookmark46"/>
      <w:bookmarkEnd w:id="107"/>
      <w:r>
        <w:rPr>
          <w:color w:val="auto"/>
          <w:highlight w:val="none"/>
        </w:rPr>
        <w:t xml:space="preserve">3.7 </w:t>
      </w:r>
      <w:r>
        <w:rPr>
          <w:rFonts w:hint="eastAsia"/>
          <w:color w:val="auto"/>
          <w:highlight w:val="none"/>
        </w:rPr>
        <w:t>投标文件的编制</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Start w:id="108" w:name="_Toc103592012"/>
      <w:bookmarkStart w:id="109" w:name="_Toc14476"/>
      <w:bookmarkStart w:id="110" w:name="_Toc533357311"/>
    </w:p>
    <w:p>
      <w:pPr>
        <w:pStyle w:val="6"/>
        <w:adjustRightInd w:val="0"/>
        <w:snapToGrid w:val="0"/>
        <w:rPr>
          <w:color w:val="auto"/>
          <w:highlight w:val="none"/>
        </w:rPr>
      </w:pPr>
      <w:bookmarkStart w:id="111" w:name="_Toc16008"/>
      <w:bookmarkStart w:id="112" w:name="_Toc9664"/>
      <w:bookmarkStart w:id="113" w:name="_Toc25264"/>
      <w:bookmarkStart w:id="114" w:name="_Toc12723"/>
      <w:r>
        <w:rPr>
          <w:rFonts w:hint="eastAsia"/>
          <w:color w:val="auto"/>
          <w:highlight w:val="none"/>
        </w:rPr>
        <w:t>4. 投标</w:t>
      </w:r>
      <w:bookmarkEnd w:id="108"/>
      <w:bookmarkEnd w:id="109"/>
      <w:bookmarkEnd w:id="110"/>
      <w:bookmarkEnd w:id="111"/>
      <w:bookmarkEnd w:id="112"/>
      <w:bookmarkEnd w:id="113"/>
      <w:bookmarkEnd w:id="114"/>
    </w:p>
    <w:p>
      <w:pPr>
        <w:pStyle w:val="8"/>
        <w:adjustRightInd w:val="0"/>
        <w:snapToGrid w:val="0"/>
        <w:spacing w:line="360" w:lineRule="auto"/>
        <w:rPr>
          <w:color w:val="auto"/>
          <w:highlight w:val="none"/>
        </w:rPr>
      </w:pPr>
      <w:bookmarkStart w:id="115" w:name="bookmark48"/>
      <w:bookmarkEnd w:id="115"/>
      <w:r>
        <w:rPr>
          <w:color w:val="auto"/>
          <w:highlight w:val="none"/>
        </w:rPr>
        <w:t xml:space="preserve">4.1 </w:t>
      </w:r>
      <w:r>
        <w:rPr>
          <w:rFonts w:hint="eastAsia"/>
          <w:color w:val="auto"/>
          <w:highlight w:val="none"/>
        </w:rPr>
        <w:t>投标文件的密封和标记</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pPr>
        <w:pStyle w:val="8"/>
        <w:adjustRightInd w:val="0"/>
        <w:snapToGrid w:val="0"/>
        <w:spacing w:line="360" w:lineRule="auto"/>
        <w:rPr>
          <w:color w:val="auto"/>
          <w:highlight w:val="none"/>
        </w:rPr>
      </w:pPr>
      <w:bookmarkStart w:id="116" w:name="bookmark49"/>
      <w:bookmarkEnd w:id="116"/>
      <w:r>
        <w:rPr>
          <w:color w:val="auto"/>
          <w:highlight w:val="none"/>
        </w:rPr>
        <w:t xml:space="preserve">4.2 </w:t>
      </w:r>
      <w:r>
        <w:rPr>
          <w:rFonts w:hint="eastAsia"/>
          <w:color w:val="auto"/>
          <w:highlight w:val="none"/>
        </w:rPr>
        <w:t>投标文件的递交</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117" w:name="bookmark50"/>
      <w:bookmarkEnd w:id="117"/>
    </w:p>
    <w:p>
      <w:pPr>
        <w:pStyle w:val="8"/>
        <w:adjustRightInd w:val="0"/>
        <w:snapToGrid w:val="0"/>
        <w:spacing w:line="360" w:lineRule="auto"/>
        <w:rPr>
          <w:color w:val="auto"/>
          <w:highlight w:val="none"/>
        </w:rPr>
      </w:pPr>
      <w:r>
        <w:rPr>
          <w:color w:val="auto"/>
          <w:highlight w:val="none"/>
        </w:rPr>
        <w:t xml:space="preserve">4.3 </w:t>
      </w:r>
      <w:r>
        <w:rPr>
          <w:rFonts w:hint="eastAsia"/>
          <w:color w:val="auto"/>
          <w:highlight w:val="none"/>
        </w:rPr>
        <w:t>投标文件的修改与撤回</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lang w:val="en-US" w:eastAsia="zh-CN"/>
        </w:rPr>
        <w:t>3</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pPr>
        <w:pStyle w:val="6"/>
        <w:adjustRightInd w:val="0"/>
        <w:snapToGrid w:val="0"/>
        <w:rPr>
          <w:color w:val="auto"/>
          <w:highlight w:val="none"/>
        </w:rPr>
      </w:pPr>
      <w:bookmarkStart w:id="118" w:name="_Toc8491"/>
      <w:bookmarkStart w:id="119" w:name="_Toc533357312"/>
      <w:bookmarkStart w:id="120" w:name="_Toc17035"/>
      <w:bookmarkStart w:id="121" w:name="_Toc103592013"/>
      <w:bookmarkStart w:id="122" w:name="_Toc30016"/>
      <w:bookmarkStart w:id="123" w:name="_Toc15576"/>
      <w:bookmarkStart w:id="124" w:name="_Toc12638"/>
      <w:r>
        <w:rPr>
          <w:color w:val="auto"/>
          <w:highlight w:val="none"/>
        </w:rPr>
        <w:t xml:space="preserve">5. </w:t>
      </w:r>
      <w:r>
        <w:rPr>
          <w:rFonts w:hint="eastAsia"/>
          <w:color w:val="auto"/>
          <w:highlight w:val="none"/>
        </w:rPr>
        <w:t>开标</w:t>
      </w:r>
      <w:bookmarkEnd w:id="118"/>
      <w:bookmarkEnd w:id="119"/>
      <w:bookmarkEnd w:id="120"/>
      <w:bookmarkEnd w:id="121"/>
      <w:bookmarkEnd w:id="122"/>
      <w:bookmarkEnd w:id="123"/>
      <w:bookmarkEnd w:id="124"/>
    </w:p>
    <w:p>
      <w:pPr>
        <w:pStyle w:val="8"/>
        <w:adjustRightInd w:val="0"/>
        <w:snapToGrid w:val="0"/>
        <w:spacing w:line="360" w:lineRule="auto"/>
        <w:ind w:firstLine="420"/>
        <w:rPr>
          <w:color w:val="auto"/>
          <w:highlight w:val="none"/>
        </w:rPr>
      </w:pPr>
      <w:bookmarkStart w:id="125" w:name="bookmark53"/>
      <w:bookmarkEnd w:id="125"/>
      <w:bookmarkStart w:id="126" w:name="bookmark52"/>
      <w:bookmarkEnd w:id="126"/>
      <w:r>
        <w:rPr>
          <w:color w:val="auto"/>
          <w:highlight w:val="none"/>
        </w:rPr>
        <w:t xml:space="preserve">5.1 </w:t>
      </w:r>
      <w:r>
        <w:rPr>
          <w:rFonts w:hint="eastAsia"/>
          <w:color w:val="auto"/>
          <w:highlight w:val="none"/>
        </w:rPr>
        <w:t>开标时间和地点</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项规定的投标截止时间（开标时间），通过电子招标投标交易平台公开开标。开标时，投标人代表有权出席开标会，也可以自主决定不参加开标会。</w:t>
      </w:r>
    </w:p>
    <w:p>
      <w:pPr>
        <w:pStyle w:val="8"/>
        <w:adjustRightInd w:val="0"/>
        <w:snapToGrid w:val="0"/>
        <w:spacing w:line="360" w:lineRule="auto"/>
        <w:rPr>
          <w:color w:val="auto"/>
          <w:highlight w:val="none"/>
        </w:rPr>
      </w:pPr>
      <w:bookmarkStart w:id="127" w:name="bookmark54"/>
      <w:bookmarkEnd w:id="127"/>
      <w:r>
        <w:rPr>
          <w:color w:val="auto"/>
          <w:highlight w:val="none"/>
        </w:rPr>
        <w:t xml:space="preserve">5.2 </w:t>
      </w:r>
      <w:r>
        <w:rPr>
          <w:rFonts w:hint="eastAsia"/>
          <w:color w:val="auto"/>
          <w:highlight w:val="none"/>
        </w:rPr>
        <w:t>开标程序</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）投标人通过电子招标投标交易平台对已递交的电子投标文件进行解密，公布招标项目名称、投标人名称、投标报价及其他内容，并记录在案；</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pPr>
        <w:pStyle w:val="8"/>
        <w:adjustRightInd w:val="0"/>
        <w:snapToGrid w:val="0"/>
        <w:spacing w:line="360" w:lineRule="auto"/>
        <w:rPr>
          <w:color w:val="auto"/>
          <w:highlight w:val="none"/>
        </w:rPr>
      </w:pPr>
      <w:bookmarkStart w:id="128" w:name="bookmark55"/>
      <w:bookmarkEnd w:id="128"/>
      <w:r>
        <w:rPr>
          <w:color w:val="auto"/>
          <w:highlight w:val="none"/>
        </w:rPr>
        <w:t xml:space="preserve">5.3 </w:t>
      </w:r>
      <w:r>
        <w:rPr>
          <w:rFonts w:hint="eastAsia"/>
          <w:color w:val="auto"/>
          <w:highlight w:val="none"/>
        </w:rPr>
        <w:t>开标异议</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投标人对开标有异议的，应当在开标现场提出，并出示本人身份证，招标人当场作出答复，并制作记录。</w:t>
      </w:r>
    </w:p>
    <w:p>
      <w:pPr>
        <w:pStyle w:val="6"/>
        <w:adjustRightInd w:val="0"/>
        <w:snapToGrid w:val="0"/>
        <w:rPr>
          <w:color w:val="auto"/>
          <w:highlight w:val="none"/>
        </w:rPr>
      </w:pPr>
      <w:bookmarkStart w:id="129" w:name="_Toc533357313"/>
      <w:bookmarkStart w:id="130" w:name="_Toc24874"/>
      <w:bookmarkStart w:id="131" w:name="_Toc103592014"/>
      <w:bookmarkStart w:id="132" w:name="_Toc6383"/>
      <w:bookmarkStart w:id="133" w:name="_Toc23165"/>
      <w:bookmarkStart w:id="134" w:name="_Toc5226"/>
      <w:bookmarkStart w:id="135" w:name="_Toc18018"/>
      <w:r>
        <w:rPr>
          <w:color w:val="auto"/>
          <w:highlight w:val="none"/>
        </w:rPr>
        <w:t xml:space="preserve">6. </w:t>
      </w:r>
      <w:r>
        <w:rPr>
          <w:rFonts w:hint="eastAsia"/>
          <w:color w:val="auto"/>
          <w:highlight w:val="none"/>
        </w:rPr>
        <w:t>评标</w:t>
      </w:r>
      <w:bookmarkEnd w:id="129"/>
      <w:bookmarkEnd w:id="130"/>
      <w:bookmarkEnd w:id="131"/>
      <w:bookmarkEnd w:id="132"/>
      <w:bookmarkEnd w:id="133"/>
      <w:bookmarkEnd w:id="134"/>
      <w:bookmarkEnd w:id="135"/>
    </w:p>
    <w:p>
      <w:pPr>
        <w:pStyle w:val="8"/>
        <w:adjustRightInd w:val="0"/>
        <w:snapToGrid w:val="0"/>
        <w:spacing w:line="360" w:lineRule="auto"/>
        <w:ind w:firstLine="420"/>
        <w:rPr>
          <w:color w:val="auto"/>
          <w:highlight w:val="none"/>
        </w:rPr>
      </w:pPr>
      <w:bookmarkStart w:id="136" w:name="bookmark57"/>
      <w:bookmarkEnd w:id="136"/>
      <w:r>
        <w:rPr>
          <w:color w:val="auto"/>
          <w:highlight w:val="none"/>
        </w:rPr>
        <w:t xml:space="preserve">6.1 </w:t>
      </w:r>
      <w:r>
        <w:rPr>
          <w:rFonts w:hint="eastAsia"/>
          <w:color w:val="auto"/>
          <w:highlight w:val="none"/>
        </w:rPr>
        <w:t>评标委员会</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8"/>
        <w:adjustRightInd w:val="0"/>
        <w:snapToGrid w:val="0"/>
        <w:spacing w:line="360" w:lineRule="auto"/>
        <w:rPr>
          <w:color w:val="auto"/>
          <w:highlight w:val="none"/>
        </w:rPr>
      </w:pPr>
      <w:bookmarkStart w:id="137" w:name="bookmark58"/>
      <w:bookmarkEnd w:id="137"/>
      <w:r>
        <w:rPr>
          <w:color w:val="auto"/>
          <w:highlight w:val="none"/>
        </w:rPr>
        <w:t xml:space="preserve">6.2 </w:t>
      </w:r>
      <w:r>
        <w:rPr>
          <w:rFonts w:hint="eastAsia"/>
          <w:color w:val="auto"/>
          <w:highlight w:val="none"/>
        </w:rPr>
        <w:t>评标原则</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pPr>
        <w:pStyle w:val="8"/>
        <w:adjustRightInd w:val="0"/>
        <w:snapToGrid w:val="0"/>
        <w:spacing w:line="360" w:lineRule="auto"/>
        <w:rPr>
          <w:color w:val="auto"/>
          <w:highlight w:val="none"/>
        </w:rPr>
      </w:pPr>
      <w:bookmarkStart w:id="138" w:name="bookmark59"/>
      <w:bookmarkEnd w:id="138"/>
      <w:r>
        <w:rPr>
          <w:color w:val="auto"/>
          <w:highlight w:val="none"/>
        </w:rPr>
        <w:t xml:space="preserve">6.3 </w:t>
      </w:r>
      <w:r>
        <w:rPr>
          <w:rFonts w:hint="eastAsia"/>
          <w:color w:val="auto"/>
          <w:highlight w:val="none"/>
        </w:rPr>
        <w:t>评标</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pPr>
        <w:pStyle w:val="6"/>
        <w:adjustRightInd w:val="0"/>
        <w:snapToGrid w:val="0"/>
        <w:rPr>
          <w:color w:val="auto"/>
          <w:highlight w:val="none"/>
        </w:rPr>
      </w:pPr>
      <w:bookmarkStart w:id="139" w:name="bookmark60"/>
      <w:bookmarkEnd w:id="139"/>
      <w:bookmarkStart w:id="140" w:name="_Toc26228"/>
      <w:bookmarkStart w:id="141" w:name="_Toc17802"/>
      <w:bookmarkStart w:id="142" w:name="_Toc103592015"/>
      <w:bookmarkStart w:id="143" w:name="_Toc10479"/>
      <w:bookmarkStart w:id="144" w:name="_Toc533357314"/>
      <w:bookmarkStart w:id="145" w:name="_Toc20984"/>
      <w:bookmarkStart w:id="146" w:name="_Toc15309"/>
      <w:r>
        <w:rPr>
          <w:color w:val="auto"/>
          <w:highlight w:val="none"/>
        </w:rPr>
        <w:t xml:space="preserve">7. </w:t>
      </w:r>
      <w:r>
        <w:rPr>
          <w:rFonts w:hint="eastAsia"/>
          <w:color w:val="auto"/>
          <w:highlight w:val="none"/>
        </w:rPr>
        <w:t>合同授予</w:t>
      </w:r>
      <w:bookmarkEnd w:id="140"/>
      <w:bookmarkEnd w:id="141"/>
      <w:bookmarkEnd w:id="142"/>
      <w:bookmarkEnd w:id="143"/>
      <w:bookmarkEnd w:id="144"/>
      <w:bookmarkEnd w:id="145"/>
      <w:bookmarkEnd w:id="146"/>
    </w:p>
    <w:p>
      <w:pPr>
        <w:pStyle w:val="8"/>
        <w:adjustRightInd w:val="0"/>
        <w:snapToGrid w:val="0"/>
        <w:spacing w:line="360" w:lineRule="auto"/>
        <w:rPr>
          <w:color w:val="auto"/>
          <w:highlight w:val="none"/>
        </w:rPr>
      </w:pPr>
      <w:bookmarkStart w:id="147" w:name="bookmark61"/>
      <w:bookmarkEnd w:id="147"/>
      <w:r>
        <w:rPr>
          <w:color w:val="auto"/>
          <w:highlight w:val="none"/>
        </w:rPr>
        <w:t xml:space="preserve">7.1 </w:t>
      </w:r>
      <w:r>
        <w:rPr>
          <w:rFonts w:hint="eastAsia"/>
          <w:color w:val="auto"/>
          <w:highlight w:val="none"/>
        </w:rPr>
        <w:t>中标候选人公示</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r>
        <w:rPr>
          <w:rFonts w:hint="eastAsia" w:ascii="宋体" w:hAnsi="宋体" w:cs="宋体"/>
          <w:color w:val="auto"/>
          <w:szCs w:val="21"/>
          <w:highlight w:val="none"/>
          <w:u w:val="single"/>
        </w:rPr>
        <w:t>（公示期间的最后1天应当为工作日，否则将公示期的最后1天顺延至下一个工作日）。</w:t>
      </w:r>
    </w:p>
    <w:p>
      <w:pPr>
        <w:pStyle w:val="8"/>
        <w:adjustRightInd w:val="0"/>
        <w:snapToGrid w:val="0"/>
        <w:spacing w:line="360" w:lineRule="auto"/>
        <w:rPr>
          <w:color w:val="auto"/>
          <w:highlight w:val="none"/>
        </w:rPr>
      </w:pPr>
      <w:bookmarkStart w:id="148" w:name="bookmark62"/>
      <w:bookmarkEnd w:id="148"/>
      <w:r>
        <w:rPr>
          <w:color w:val="auto"/>
          <w:highlight w:val="none"/>
        </w:rPr>
        <w:t xml:space="preserve">7.2 </w:t>
      </w:r>
      <w:r>
        <w:rPr>
          <w:rFonts w:hint="eastAsia"/>
          <w:color w:val="auto"/>
          <w:highlight w:val="none"/>
        </w:rPr>
        <w:t>评标结果异议</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pPr>
        <w:pStyle w:val="8"/>
        <w:adjustRightInd w:val="0"/>
        <w:snapToGrid w:val="0"/>
        <w:spacing w:line="360" w:lineRule="auto"/>
        <w:rPr>
          <w:color w:val="auto"/>
          <w:highlight w:val="none"/>
        </w:rPr>
      </w:pPr>
      <w:bookmarkStart w:id="149" w:name="bookmark63"/>
      <w:bookmarkEnd w:id="149"/>
      <w:r>
        <w:rPr>
          <w:color w:val="auto"/>
          <w:highlight w:val="none"/>
        </w:rPr>
        <w:t xml:space="preserve">7.3 </w:t>
      </w:r>
      <w:r>
        <w:rPr>
          <w:rFonts w:hint="eastAsia"/>
          <w:color w:val="auto"/>
          <w:highlight w:val="none"/>
        </w:rPr>
        <w:t>中标候选人履约能力审查</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8"/>
        <w:adjustRightInd w:val="0"/>
        <w:snapToGrid w:val="0"/>
        <w:spacing w:line="360" w:lineRule="auto"/>
        <w:rPr>
          <w:color w:val="auto"/>
          <w:highlight w:val="none"/>
        </w:rPr>
      </w:pPr>
      <w:bookmarkStart w:id="150" w:name="bookmark64"/>
      <w:bookmarkEnd w:id="150"/>
      <w:r>
        <w:rPr>
          <w:color w:val="auto"/>
          <w:highlight w:val="none"/>
        </w:rPr>
        <w:t xml:space="preserve">7.4 </w:t>
      </w:r>
      <w:r>
        <w:rPr>
          <w:rFonts w:hint="eastAsia"/>
          <w:color w:val="auto"/>
          <w:highlight w:val="none"/>
        </w:rPr>
        <w:t>定标</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pPr>
        <w:pStyle w:val="8"/>
        <w:adjustRightInd w:val="0"/>
        <w:snapToGrid w:val="0"/>
        <w:spacing w:line="360" w:lineRule="auto"/>
        <w:rPr>
          <w:color w:val="auto"/>
          <w:highlight w:val="none"/>
        </w:rPr>
      </w:pPr>
      <w:bookmarkStart w:id="151" w:name="bookmark65"/>
      <w:bookmarkEnd w:id="151"/>
      <w:r>
        <w:rPr>
          <w:color w:val="auto"/>
          <w:highlight w:val="none"/>
        </w:rPr>
        <w:t xml:space="preserve">7.5 </w:t>
      </w:r>
      <w:r>
        <w:rPr>
          <w:rFonts w:hint="eastAsia"/>
          <w:color w:val="auto"/>
          <w:highlight w:val="none"/>
        </w:rPr>
        <w:t>中标通知</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pPr>
        <w:pStyle w:val="8"/>
        <w:adjustRightInd w:val="0"/>
        <w:snapToGrid w:val="0"/>
        <w:spacing w:line="360" w:lineRule="auto"/>
        <w:rPr>
          <w:color w:val="auto"/>
          <w:highlight w:val="none"/>
        </w:rPr>
      </w:pPr>
      <w:bookmarkStart w:id="152" w:name="bookmark66"/>
      <w:bookmarkEnd w:id="152"/>
      <w:r>
        <w:rPr>
          <w:color w:val="auto"/>
          <w:highlight w:val="none"/>
        </w:rPr>
        <w:t xml:space="preserve">7.6 </w:t>
      </w:r>
      <w:r>
        <w:rPr>
          <w:rFonts w:hint="eastAsia"/>
          <w:color w:val="auto"/>
          <w:highlight w:val="none"/>
        </w:rPr>
        <w:t>履约保证金</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pPr>
        <w:pStyle w:val="14"/>
        <w:kinsoku w:val="0"/>
        <w:overflowPunct w:val="0"/>
        <w:adjustRightInd w:val="0"/>
        <w:snapToGrid w:val="0"/>
        <w:spacing w:line="360" w:lineRule="auto"/>
        <w:ind w:firstLine="420" w:firstLineChars="200"/>
        <w:rPr>
          <w:rFonts w:hint="eastAsia" w:ascii="宋体" w:hAnsi="宋体"/>
          <w:color w:val="auto"/>
          <w:szCs w:val="21"/>
          <w:highlight w:val="none"/>
          <w:lang w:val="en-US" w:eastAsia="zh-CN"/>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w:t>
      </w:r>
      <w:r>
        <w:rPr>
          <w:rFonts w:hint="eastAsia" w:ascii="宋体" w:hAnsi="宋体"/>
          <w:color w:val="auto"/>
          <w:szCs w:val="21"/>
          <w:highlight w:val="none"/>
          <w:lang w:val="en-US" w:eastAsia="zh-CN"/>
        </w:rPr>
        <w:t>中标人应当对其造成的实际损失予以赔偿。</w:t>
      </w:r>
    </w:p>
    <w:p>
      <w:pPr>
        <w:pStyle w:val="8"/>
        <w:adjustRightInd w:val="0"/>
        <w:snapToGrid w:val="0"/>
        <w:spacing w:line="360" w:lineRule="auto"/>
        <w:rPr>
          <w:color w:val="auto"/>
          <w:highlight w:val="none"/>
        </w:rPr>
      </w:pPr>
      <w:bookmarkStart w:id="153" w:name="bookmark67"/>
      <w:bookmarkEnd w:id="153"/>
      <w:r>
        <w:rPr>
          <w:color w:val="auto"/>
          <w:highlight w:val="none"/>
        </w:rPr>
        <w:t xml:space="preserve">7.7 </w:t>
      </w:r>
      <w:r>
        <w:rPr>
          <w:rFonts w:hint="eastAsia"/>
          <w:color w:val="auto"/>
          <w:highlight w:val="none"/>
        </w:rPr>
        <w:t>签订合同</w:t>
      </w:r>
    </w:p>
    <w:p>
      <w:pPr>
        <w:pStyle w:val="14"/>
        <w:kinsoku w:val="0"/>
        <w:overflowPunct w:val="0"/>
        <w:adjustRightInd w:val="0"/>
        <w:snapToGrid w:val="0"/>
        <w:spacing w:line="360" w:lineRule="auto"/>
        <w:ind w:firstLine="420" w:firstLineChars="200"/>
        <w:rPr>
          <w:rFonts w:ascii="宋体" w:hAnsi="宋体"/>
          <w:strike/>
          <w:dstrike w:val="0"/>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color w:val="auto"/>
          <w:szCs w:val="21"/>
          <w:highlight w:val="none"/>
          <w:lang w:val="en-US" w:eastAsia="zh-CN"/>
        </w:rPr>
        <w:t>应当对其造成的实际损失予以赔偿。</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发出中标通知书后，招标人无正当理由拒签合同，或者在签订合同时向中标人提出附加条件的，给中标人造成损失的，还应当赔偿损失。</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pPr>
        <w:pStyle w:val="6"/>
        <w:adjustRightInd w:val="0"/>
        <w:snapToGrid w:val="0"/>
        <w:rPr>
          <w:color w:val="auto"/>
          <w:highlight w:val="none"/>
        </w:rPr>
      </w:pPr>
      <w:bookmarkStart w:id="154" w:name="bookmark68"/>
      <w:bookmarkEnd w:id="154"/>
      <w:bookmarkStart w:id="155" w:name="_Toc103592016"/>
      <w:bookmarkStart w:id="156" w:name="_Toc20151"/>
      <w:bookmarkStart w:id="157" w:name="_Toc13700"/>
      <w:bookmarkStart w:id="158" w:name="_Toc12288"/>
      <w:bookmarkStart w:id="159" w:name="_Toc20506"/>
      <w:bookmarkStart w:id="160" w:name="_Toc520"/>
      <w:bookmarkStart w:id="161" w:name="_Toc533357315"/>
      <w:r>
        <w:rPr>
          <w:color w:val="auto"/>
          <w:highlight w:val="none"/>
        </w:rPr>
        <w:t xml:space="preserve">8. </w:t>
      </w:r>
      <w:r>
        <w:rPr>
          <w:rFonts w:hint="eastAsia"/>
          <w:color w:val="auto"/>
          <w:highlight w:val="none"/>
        </w:rPr>
        <w:t>纪律和监督</w:t>
      </w:r>
      <w:bookmarkEnd w:id="155"/>
      <w:bookmarkEnd w:id="156"/>
      <w:bookmarkEnd w:id="157"/>
      <w:bookmarkEnd w:id="158"/>
      <w:bookmarkEnd w:id="159"/>
      <w:bookmarkEnd w:id="160"/>
      <w:bookmarkEnd w:id="161"/>
    </w:p>
    <w:p>
      <w:pPr>
        <w:pStyle w:val="8"/>
        <w:adjustRightInd w:val="0"/>
        <w:snapToGrid w:val="0"/>
        <w:spacing w:line="360" w:lineRule="auto"/>
        <w:rPr>
          <w:color w:val="auto"/>
          <w:highlight w:val="none"/>
        </w:rPr>
      </w:pPr>
      <w:bookmarkStart w:id="162" w:name="bookmark69"/>
      <w:bookmarkEnd w:id="162"/>
      <w:r>
        <w:rPr>
          <w:color w:val="auto"/>
          <w:highlight w:val="none"/>
        </w:rPr>
        <w:t xml:space="preserve">8.1 </w:t>
      </w:r>
      <w:r>
        <w:rPr>
          <w:rFonts w:hint="eastAsia"/>
          <w:color w:val="auto"/>
          <w:highlight w:val="none"/>
        </w:rPr>
        <w:t>对招标人的纪律要求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pStyle w:val="8"/>
        <w:adjustRightInd w:val="0"/>
        <w:snapToGrid w:val="0"/>
        <w:spacing w:line="360" w:lineRule="auto"/>
        <w:rPr>
          <w:color w:val="auto"/>
          <w:highlight w:val="none"/>
        </w:rPr>
      </w:pPr>
      <w:bookmarkStart w:id="163" w:name="bookmark70"/>
      <w:bookmarkEnd w:id="163"/>
      <w:r>
        <w:rPr>
          <w:color w:val="auto"/>
          <w:highlight w:val="none"/>
        </w:rPr>
        <w:t xml:space="preserve">8.2 </w:t>
      </w:r>
      <w:r>
        <w:rPr>
          <w:rFonts w:hint="eastAsia"/>
          <w:color w:val="auto"/>
          <w:highlight w:val="none"/>
        </w:rPr>
        <w:t>对投标人的纪律要求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8"/>
        <w:adjustRightInd w:val="0"/>
        <w:snapToGrid w:val="0"/>
        <w:spacing w:line="360" w:lineRule="auto"/>
        <w:rPr>
          <w:color w:val="auto"/>
          <w:highlight w:val="none"/>
        </w:rPr>
      </w:pPr>
      <w:bookmarkStart w:id="164" w:name="bookmark71"/>
      <w:bookmarkEnd w:id="164"/>
      <w:r>
        <w:rPr>
          <w:color w:val="auto"/>
          <w:highlight w:val="none"/>
        </w:rPr>
        <w:t xml:space="preserve">8.3 </w:t>
      </w:r>
      <w:r>
        <w:rPr>
          <w:rFonts w:hint="eastAsia"/>
          <w:color w:val="auto"/>
          <w:highlight w:val="none"/>
        </w:rPr>
        <w:t>对评标委员会成员的纪律要求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8"/>
        <w:adjustRightInd w:val="0"/>
        <w:snapToGrid w:val="0"/>
        <w:spacing w:line="360" w:lineRule="auto"/>
        <w:rPr>
          <w:color w:val="auto"/>
          <w:highlight w:val="none"/>
        </w:rPr>
      </w:pPr>
      <w:bookmarkStart w:id="165" w:name="bookmark72"/>
      <w:bookmarkEnd w:id="165"/>
      <w:r>
        <w:rPr>
          <w:color w:val="auto"/>
          <w:highlight w:val="none"/>
        </w:rPr>
        <w:t xml:space="preserve">8.4 </w:t>
      </w:r>
      <w:r>
        <w:rPr>
          <w:rFonts w:hint="eastAsia"/>
          <w:color w:val="auto"/>
          <w:highlight w:val="none"/>
        </w:rPr>
        <w:t>对与评标活动有关的工作人员的纪律要求</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8"/>
        <w:adjustRightInd w:val="0"/>
        <w:snapToGrid w:val="0"/>
        <w:spacing w:line="360" w:lineRule="auto"/>
        <w:rPr>
          <w:color w:val="auto"/>
          <w:highlight w:val="none"/>
        </w:rPr>
      </w:pPr>
      <w:bookmarkStart w:id="166" w:name="bookmark73"/>
      <w:bookmarkEnd w:id="166"/>
      <w:r>
        <w:rPr>
          <w:color w:val="auto"/>
          <w:highlight w:val="none"/>
        </w:rPr>
        <w:t xml:space="preserve">8.5 </w:t>
      </w:r>
      <w:r>
        <w:rPr>
          <w:rFonts w:hint="eastAsia"/>
          <w:color w:val="auto"/>
          <w:highlight w:val="none"/>
        </w:rPr>
        <w:t>投诉</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pPr>
        <w:pStyle w:val="6"/>
        <w:adjustRightInd w:val="0"/>
        <w:snapToGrid w:val="0"/>
        <w:rPr>
          <w:color w:val="auto"/>
          <w:highlight w:val="none"/>
        </w:rPr>
      </w:pPr>
      <w:bookmarkStart w:id="167" w:name="bookmark74"/>
      <w:bookmarkEnd w:id="167"/>
      <w:bookmarkStart w:id="168" w:name="_Toc22884"/>
      <w:bookmarkStart w:id="169" w:name="_Toc16512"/>
      <w:bookmarkStart w:id="170" w:name="_Toc103592017"/>
      <w:bookmarkStart w:id="171" w:name="_Toc29080"/>
      <w:bookmarkStart w:id="172" w:name="_Toc12217"/>
      <w:bookmarkStart w:id="173" w:name="_Toc25353"/>
      <w:r>
        <w:rPr>
          <w:color w:val="auto"/>
          <w:highlight w:val="none"/>
        </w:rPr>
        <w:t xml:space="preserve">9. </w:t>
      </w:r>
      <w:r>
        <w:rPr>
          <w:rFonts w:hint="eastAsia"/>
          <w:color w:val="auto"/>
          <w:highlight w:val="none"/>
        </w:rPr>
        <w:t>是否采用电子招标投标</w:t>
      </w:r>
      <w:bookmarkEnd w:id="168"/>
      <w:bookmarkEnd w:id="169"/>
      <w:bookmarkEnd w:id="170"/>
      <w:bookmarkEnd w:id="171"/>
      <w:bookmarkEnd w:id="172"/>
      <w:bookmarkEnd w:id="173"/>
    </w:p>
    <w:p>
      <w:pPr>
        <w:pStyle w:val="14"/>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pPr>
        <w:pStyle w:val="6"/>
        <w:adjustRightInd w:val="0"/>
        <w:snapToGrid w:val="0"/>
        <w:rPr>
          <w:color w:val="auto"/>
          <w:highlight w:val="none"/>
        </w:rPr>
      </w:pPr>
      <w:bookmarkStart w:id="174" w:name="bookmark75"/>
      <w:bookmarkEnd w:id="174"/>
      <w:bookmarkStart w:id="175" w:name="_Toc13709"/>
      <w:bookmarkStart w:id="176" w:name="_Toc103592018"/>
      <w:bookmarkStart w:id="177" w:name="_Toc10012"/>
      <w:bookmarkStart w:id="178" w:name="_Toc15549"/>
      <w:bookmarkStart w:id="179" w:name="_Toc15968"/>
      <w:bookmarkStart w:id="180" w:name="_Toc808"/>
      <w:r>
        <w:rPr>
          <w:color w:val="auto"/>
          <w:highlight w:val="none"/>
        </w:rPr>
        <w:t xml:space="preserve">10. </w:t>
      </w:r>
      <w:r>
        <w:rPr>
          <w:rFonts w:hint="eastAsia"/>
          <w:color w:val="auto"/>
          <w:highlight w:val="none"/>
        </w:rPr>
        <w:t>需要补充的其他内容</w:t>
      </w:r>
      <w:bookmarkEnd w:id="175"/>
      <w:bookmarkEnd w:id="176"/>
      <w:bookmarkEnd w:id="177"/>
      <w:bookmarkEnd w:id="178"/>
      <w:bookmarkEnd w:id="179"/>
      <w:bookmarkEnd w:id="180"/>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pPr>
        <w:pStyle w:val="4"/>
        <w:snapToGrid w:val="0"/>
        <w:spacing w:line="360" w:lineRule="auto"/>
        <w:rPr>
          <w:color w:val="auto"/>
          <w:highlight w:val="none"/>
        </w:rPr>
      </w:pPr>
      <w:r>
        <w:rPr>
          <w:color w:val="auto"/>
          <w:szCs w:val="24"/>
          <w:highlight w:val="none"/>
        </w:rPr>
        <w:br w:type="page"/>
      </w:r>
      <w:bookmarkStart w:id="181" w:name="_Toc103592019"/>
      <w:bookmarkStart w:id="182" w:name="_Toc533357317"/>
      <w:bookmarkStart w:id="183" w:name="_Toc18312"/>
      <w:bookmarkStart w:id="184" w:name="_Toc24409"/>
      <w:bookmarkStart w:id="185" w:name="_Toc15379"/>
      <w:bookmarkStart w:id="186" w:name="_Toc27751"/>
      <w:bookmarkStart w:id="187" w:name="_Toc25009"/>
      <w:r>
        <w:rPr>
          <w:rFonts w:hint="eastAsia"/>
          <w:color w:val="auto"/>
          <w:highlight w:val="none"/>
        </w:rPr>
        <w:t>第三章  评标办法（综合评估法）</w:t>
      </w:r>
      <w:bookmarkEnd w:id="181"/>
      <w:bookmarkEnd w:id="182"/>
      <w:bookmarkEnd w:id="183"/>
      <w:bookmarkEnd w:id="184"/>
      <w:bookmarkEnd w:id="185"/>
      <w:bookmarkEnd w:id="186"/>
      <w:bookmarkEnd w:id="187"/>
    </w:p>
    <w:p>
      <w:pPr>
        <w:pStyle w:val="5"/>
        <w:rPr>
          <w:rFonts w:hint="eastAsia" w:ascii="宋体" w:hAnsi="宋体"/>
          <w:color w:val="auto"/>
          <w:highlight w:val="none"/>
        </w:rPr>
      </w:pPr>
      <w:bookmarkStart w:id="188" w:name="_Toc533357318"/>
      <w:bookmarkStart w:id="189" w:name="_Toc13295"/>
      <w:bookmarkStart w:id="190" w:name="_Toc25912"/>
      <w:bookmarkStart w:id="191" w:name="_Toc14013"/>
      <w:bookmarkStart w:id="192" w:name="_Toc103592020"/>
      <w:bookmarkStart w:id="193" w:name="_Toc17897"/>
      <w:bookmarkStart w:id="194" w:name="_Toc26813"/>
      <w:r>
        <w:rPr>
          <w:rFonts w:hint="eastAsia" w:ascii="宋体" w:hAnsi="宋体"/>
          <w:color w:val="auto"/>
          <w:highlight w:val="none"/>
        </w:rPr>
        <w:t>评标办法前附表</w:t>
      </w:r>
      <w:bookmarkEnd w:id="188"/>
      <w:bookmarkEnd w:id="189"/>
      <w:bookmarkEnd w:id="190"/>
      <w:bookmarkEnd w:id="191"/>
      <w:bookmarkEnd w:id="192"/>
      <w:bookmarkEnd w:id="193"/>
      <w:bookmarkEnd w:id="194"/>
    </w:p>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1</w:t>
            </w:r>
          </w:p>
        </w:tc>
        <w:tc>
          <w:tcPr>
            <w:tcW w:w="851"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和监测方案得分高的优先；如果检测和监测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不同投标人机器码相同（以广州公共资源交易中心评标系统的检索信息为准），将被否决。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（或事业单位法人证书）</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s="Times New Roman"/>
                <w:color w:val="auto"/>
                <w:sz w:val="21"/>
                <w:szCs w:val="21"/>
                <w:highlight w:val="none"/>
                <w:u w:val="none"/>
              </w:rPr>
              <w:t>详见招标公告第3点“投标人资格要求”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ascii="宋体" w:hAnsi="宋体"/>
                <w:color w:val="auto"/>
                <w:szCs w:val="21"/>
                <w:highlight w:val="none"/>
              </w:rPr>
              <w:t xml:space="preserve">符合第二章“投标人须知”第 1.4.2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投标有效期</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符合第二章“投标人须知”第3.3.1规定；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2.2.1</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分值构成</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b/>
                <w:color w:val="auto"/>
                <w:szCs w:val="21"/>
                <w:highlight w:val="none"/>
              </w:rPr>
              <w:t>A企业综合实力部分：</w:t>
            </w:r>
            <w:r>
              <w:rPr>
                <w:rFonts w:ascii="宋体" w:hAnsi="宋体"/>
                <w:bCs/>
                <w:color w:val="auto"/>
                <w:szCs w:val="21"/>
                <w:highlight w:val="none"/>
                <w:u w:val="single"/>
              </w:rPr>
              <w:t>5</w:t>
            </w:r>
            <w:r>
              <w:rPr>
                <w:rFonts w:hint="eastAsia" w:ascii="宋体" w:hAnsi="宋体"/>
                <w:bCs/>
                <w:color w:val="auto"/>
                <w:szCs w:val="21"/>
                <w:highlight w:val="none"/>
                <w:u w:val="single"/>
              </w:rPr>
              <w:t>0</w:t>
            </w:r>
            <w:r>
              <w:rPr>
                <w:rFonts w:hint="eastAsia" w:ascii="宋体" w:hAnsi="宋体"/>
                <w:bCs/>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b/>
                <w:color w:val="auto"/>
                <w:szCs w:val="21"/>
                <w:highlight w:val="none"/>
              </w:rPr>
            </w:pPr>
            <w:r>
              <w:rPr>
                <w:rFonts w:hint="eastAsia" w:ascii="宋体" w:hAnsi="宋体"/>
                <w:b/>
                <w:color w:val="auto"/>
                <w:szCs w:val="21"/>
                <w:highlight w:val="none"/>
              </w:rPr>
              <w:t>B技术方案部分：</w:t>
            </w:r>
            <w:r>
              <w:rPr>
                <w:rFonts w:ascii="宋体" w:hAnsi="宋体"/>
                <w:bCs/>
                <w:color w:val="auto"/>
                <w:szCs w:val="21"/>
                <w:highlight w:val="none"/>
                <w:u w:val="single"/>
              </w:rPr>
              <w:t>3</w:t>
            </w:r>
            <w:r>
              <w:rPr>
                <w:rFonts w:hint="eastAsia" w:ascii="宋体" w:hAnsi="宋体"/>
                <w:bCs/>
                <w:color w:val="auto"/>
                <w:szCs w:val="21"/>
                <w:highlight w:val="none"/>
                <w:u w:val="single"/>
              </w:rPr>
              <w:t>0</w:t>
            </w:r>
            <w:r>
              <w:rPr>
                <w:rFonts w:hint="eastAsia" w:ascii="宋体" w:hAnsi="宋体"/>
                <w:bCs/>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b/>
                <w:color w:val="auto"/>
                <w:szCs w:val="21"/>
                <w:highlight w:val="none"/>
              </w:rPr>
              <w:t>C投标报价部分：</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0</w:t>
            </w:r>
            <w:r>
              <w:rPr>
                <w:rFonts w:hint="eastAsia" w:ascii="宋体" w:hAnsi="宋体"/>
                <w:bCs/>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ind w:right="65" w:rightChars="31"/>
              <w:textAlignment w:val="auto"/>
              <w:rPr>
                <w:rFonts w:ascii="宋体" w:hAnsi="宋体" w:cs="宋体"/>
                <w:color w:val="auto"/>
                <w:szCs w:val="21"/>
                <w:highlight w:val="none"/>
              </w:rPr>
            </w:pPr>
            <w:r>
              <w:rPr>
                <w:rFonts w:hint="eastAsia" w:ascii="宋体" w:hAnsi="宋体"/>
                <w:b/>
                <w:color w:val="auto"/>
                <w:szCs w:val="21"/>
                <w:highlight w:val="none"/>
              </w:rPr>
              <w:t>D其他因素部分：</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0</w:t>
            </w:r>
            <w:r>
              <w:rPr>
                <w:rFonts w:hint="eastAsia" w:ascii="宋体" w:hAnsi="宋体"/>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2.2.2</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评标参考价计算方法</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ind w:right="65" w:rightChars="31"/>
              <w:textAlignment w:val="auto"/>
              <w:rPr>
                <w:rFonts w:ascii="宋体" w:hAnsi="宋体" w:cs="宋体"/>
                <w:color w:val="auto"/>
                <w:szCs w:val="21"/>
                <w:highlight w:val="none"/>
              </w:rPr>
            </w:pPr>
            <w:r>
              <w:rPr>
                <w:rFonts w:hint="eastAsia" w:ascii="宋体" w:hAnsi="宋体" w:cs="宋体"/>
                <w:color w:val="auto"/>
                <w:szCs w:val="21"/>
                <w:highlight w:val="none"/>
              </w:rPr>
              <w:t>1、若当通过形式评审、资格评审、响应性评审且位于[最高限价×</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0%，最高限价×100%]区间的投标报价中的有效投标人大于5名时，去掉一个最高价和一个最低价，取余下有效投标报价的算术平均值的作为评标参考价。</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ind w:right="65" w:rightChars="31"/>
              <w:textAlignment w:val="auto"/>
              <w:rPr>
                <w:rFonts w:ascii="宋体" w:hAnsi="宋体" w:cs="宋体"/>
                <w:color w:val="auto"/>
                <w:szCs w:val="21"/>
                <w:highlight w:val="none"/>
              </w:rPr>
            </w:pPr>
            <w:r>
              <w:rPr>
                <w:rFonts w:hint="eastAsia" w:ascii="宋体" w:hAnsi="宋体" w:cs="宋体"/>
                <w:color w:val="auto"/>
                <w:szCs w:val="21"/>
                <w:highlight w:val="none"/>
              </w:rPr>
              <w:t>2、若当通过形式评审、资格评审、响应性评审且位于[最高限价×</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0%，最高限价×100%]区间的投标报价中的有效投标人小于或等于5名时，取所有入围的有效投标报价的算术平均值的作为评标参考价。</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ind w:right="65" w:rightChars="31"/>
              <w:textAlignment w:val="auto"/>
              <w:rPr>
                <w:rFonts w:ascii="宋体" w:hAnsi="宋体" w:cs="宋体"/>
                <w:color w:val="auto"/>
                <w:szCs w:val="21"/>
                <w:highlight w:val="none"/>
              </w:rPr>
            </w:pPr>
            <w:r>
              <w:rPr>
                <w:rFonts w:hint="eastAsia" w:ascii="宋体" w:hAnsi="宋体" w:cs="宋体"/>
                <w:color w:val="auto"/>
                <w:szCs w:val="21"/>
                <w:highlight w:val="none"/>
              </w:rPr>
              <w:t>3、若当通过形式评审、资格评审、响应性评审但没有投标报价位于[最高限价×</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0%，最高限价×100%]区间的有效投标人，所有投标人的报价得分为0分。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2.2.3</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olor w:val="auto"/>
                <w:szCs w:val="21"/>
                <w:highlight w:val="none"/>
              </w:rPr>
              <w:t>偏差率=100% ×|投标人报价-评标参考价|/评标参考价（偏差率出现小数点时，保留小数点后2位，第三位小数四舍五入；报价偏差率不足1%的，按直线内插法计算投标报价得分。）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highlight w:val="none"/>
              </w:rPr>
              <w:t>投标人业绩</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highlight w:val="none"/>
              </w:rPr>
              <w:t>投标人信誉</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highlight w:val="none"/>
              </w:rPr>
              <w:t>拟投入人员综合水平</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技术方案评分标准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拟投入仪器设备计划</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Arial Unicode MS"/>
                <w:color w:val="auto"/>
                <w:szCs w:val="21"/>
                <w:highlight w:val="none"/>
              </w:rPr>
            </w:pPr>
            <w:r>
              <w:rPr>
                <w:rFonts w:hint="eastAsia" w:ascii="宋体" w:hAnsi="宋体" w:cs="宋体"/>
                <w:color w:val="auto"/>
                <w:highlight w:val="none"/>
              </w:rPr>
              <w:t>检测和监测方案</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ind w:left="420" w:hanging="420" w:hangingChars="200"/>
              <w:textAlignment w:val="auto"/>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left="-107" w:leftChars="-51" w:right="-107" w:rightChars="-51"/>
              <w:jc w:val="center"/>
              <w:textAlignment w:val="auto"/>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bCs/>
                <w:color w:val="auto"/>
                <w:szCs w:val="21"/>
                <w:highlight w:val="none"/>
              </w:rPr>
            </w:pPr>
            <w:r>
              <w:rPr>
                <w:rFonts w:hint="eastAsia" w:ascii="宋体" w:hAnsi="宋体"/>
                <w:bCs/>
                <w:color w:val="auto"/>
                <w:szCs w:val="21"/>
                <w:highlight w:val="none"/>
              </w:rPr>
              <w:t>以评标参考价作为计算各有效投标报价得分的基础，当有效投标报价等于评标参考价时得</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分；投标有效报价与评标参考价之差，每上偏1%扣0.5分，下偏1%扣0.3分；最多减至0分止。（</w:t>
            </w:r>
            <w:r>
              <w:rPr>
                <w:rFonts w:hint="eastAsia" w:ascii="宋体" w:hAnsi="宋体" w:cs="宋体"/>
                <w:bCs/>
                <w:color w:val="auto"/>
                <w:szCs w:val="21"/>
                <w:highlight w:val="none"/>
              </w:rPr>
              <w:t>中间报价得分按直线内插法计算</w:t>
            </w:r>
            <w:r>
              <w:rPr>
                <w:rFonts w:hint="eastAsia" w:ascii="宋体" w:hAnsi="宋体"/>
                <w:bCs/>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ascii="宋体" w:hAnsi="宋体" w:cs="宋体"/>
                <w:color w:val="auto"/>
                <w:kern w:val="0"/>
                <w:szCs w:val="21"/>
                <w:highlight w:val="none"/>
              </w:rPr>
            </w:pPr>
            <w:r>
              <w:rPr>
                <w:rFonts w:hint="eastAsia" w:ascii="宋体" w:hAnsi="宋体"/>
                <w:bCs/>
                <w:color w:val="auto"/>
                <w:szCs w:val="21"/>
                <w:highlight w:val="none"/>
              </w:rPr>
              <w:t>注：本项最高分为</w:t>
            </w:r>
            <w:r>
              <w:rPr>
                <w:rFonts w:hint="eastAsia" w:ascii="宋体" w:hAnsi="宋体"/>
                <w:bCs/>
                <w:color w:val="auto"/>
                <w:szCs w:val="21"/>
                <w:highlight w:val="none"/>
                <w:lang w:val="en-US" w:eastAsia="zh-CN"/>
              </w:rPr>
              <w:t>10</w:t>
            </w:r>
            <w:r>
              <w:rPr>
                <w:rFonts w:hint="eastAsia" w:ascii="宋体" w:hAnsi="宋体"/>
                <w:bCs/>
                <w:color w:val="auto"/>
                <w:szCs w:val="21"/>
                <w:highlight w:val="none"/>
              </w:rPr>
              <w:t>分，最低分为0分。得分精确到小数点后两位。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2.2.4（4）</w:t>
            </w:r>
          </w:p>
        </w:tc>
        <w:tc>
          <w:tcPr>
            <w:tcW w:w="851"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left="-107" w:leftChars="-51" w:right="-107" w:rightChars="-51"/>
              <w:jc w:val="center"/>
              <w:textAlignment w:val="auto"/>
              <w:rPr>
                <w:rFonts w:hint="default" w:ascii="宋体" w:hAnsi="宋体" w:eastAsia="宋体" w:cs="宋体"/>
                <w:color w:val="auto"/>
                <w:szCs w:val="21"/>
                <w:highlight w:val="none"/>
                <w:lang w:val="en-US" w:eastAsia="zh-CN"/>
              </w:rPr>
            </w:pPr>
            <w:r>
              <w:rPr>
                <w:rFonts w:hint="eastAsia" w:ascii="宋体" w:hAnsi="宋体"/>
                <w:b/>
                <w:color w:val="auto"/>
                <w:szCs w:val="21"/>
                <w:highlight w:val="none"/>
              </w:rPr>
              <w:t>其他因素</w:t>
            </w:r>
            <w:r>
              <w:rPr>
                <w:rFonts w:hint="eastAsia" w:ascii="宋体" w:hAnsi="宋体"/>
                <w:b/>
                <w:color w:val="auto"/>
                <w:szCs w:val="21"/>
                <w:highlight w:val="none"/>
                <w:lang w:val="en-US" w:eastAsia="zh-CN"/>
              </w:rPr>
              <w:t>企业诚信得分</w:t>
            </w:r>
          </w:p>
        </w:tc>
        <w:tc>
          <w:tcPr>
            <w:tcW w:w="8686" w:type="dxa"/>
            <w:gridSpan w:val="2"/>
            <w:vAlign w:val="center"/>
          </w:tcPr>
          <w:p>
            <w:pPr>
              <w:adjustRightInd w:val="0"/>
              <w:snapToGrid w:val="0"/>
              <w:spacing w:beforeLines="20" w:afterLines="20"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投标人诚信得分＝诚信综合评分排名得分*10%。企业的诚信综合评价得分以开标当天广州公共资源交易中心网站上公布的检测机构60日诚信评价得分为准。</w:t>
            </w:r>
          </w:p>
          <w:p>
            <w:pPr>
              <w:keepNext w:val="0"/>
              <w:keepLines w:val="0"/>
              <w:pageBreakBefore w:val="0"/>
              <w:widowControl w:val="0"/>
              <w:kinsoku/>
              <w:wordWrap/>
              <w:overflowPunct/>
              <w:topLinePunct w:val="0"/>
              <w:autoSpaceDE/>
              <w:autoSpaceDN/>
              <w:bidi w:val="0"/>
              <w:adjustRightInd w:val="0"/>
              <w:snapToGrid w:val="0"/>
              <w:spacing w:before="0" w:beforeLines="20" w:after="0" w:afterLines="20" w:line="288" w:lineRule="auto"/>
              <w:textAlignment w:val="auto"/>
              <w:rPr>
                <w:rFonts w:hint="eastAsia" w:ascii="宋体" w:hAnsi="宋体"/>
                <w:bCs/>
                <w:color w:val="auto"/>
                <w:szCs w:val="21"/>
                <w:highlight w:val="none"/>
              </w:rPr>
            </w:pPr>
            <w:r>
              <w:rPr>
                <w:rFonts w:hint="eastAsia" w:ascii="宋体" w:hAnsi="宋体" w:eastAsia="宋体" w:cs="宋体"/>
                <w:color w:val="auto"/>
                <w:szCs w:val="21"/>
                <w:highlight w:val="none"/>
              </w:rPr>
              <w:t>查询地址：</w:t>
            </w:r>
            <w:ins w:id="0" w:author="zho～" w:date="2023-09-20T15:18:43Z">
              <w:r>
                <w:rPr>
                  <w:rFonts w:hint="eastAsia" w:ascii="宋体" w:hAnsi="宋体" w:eastAsia="宋体" w:cs="宋体"/>
                  <w:color w:val="auto"/>
                  <w:szCs w:val="21"/>
                  <w:highlight w:val="none"/>
                </w:rPr>
                <w:t>https://rhjg.gzcqs.com/evaluationPage</w:t>
              </w:r>
            </w:ins>
            <w:r>
              <w:rPr>
                <w:rFonts w:hint="eastAsia" w:ascii="宋体" w:hAnsi="宋体" w:eastAsia="宋体" w:cs="宋体"/>
                <w:color w:val="auto"/>
                <w:szCs w:val="21"/>
                <w:highlight w:val="none"/>
              </w:rPr>
              <w:t>。若开标时网址有变化，以最新的网址为准。</w:t>
            </w:r>
          </w:p>
        </w:tc>
      </w:tr>
    </w:tbl>
    <w:p>
      <w:pPr>
        <w:pStyle w:val="6"/>
        <w:rPr>
          <w:color w:val="auto"/>
          <w:highlight w:val="none"/>
        </w:rPr>
      </w:pPr>
      <w:r>
        <w:rPr>
          <w:rFonts w:cs="宋体"/>
          <w:color w:val="auto"/>
          <w:szCs w:val="21"/>
          <w:highlight w:val="none"/>
        </w:rPr>
        <w:br w:type="page"/>
      </w:r>
      <w:bookmarkStart w:id="195" w:name="_Toc4520"/>
      <w:bookmarkStart w:id="196" w:name="_Toc15295"/>
      <w:bookmarkStart w:id="197" w:name="_Toc103592021"/>
      <w:bookmarkStart w:id="198" w:name="_Toc10690"/>
      <w:bookmarkStart w:id="199" w:name="_Toc20153"/>
      <w:bookmarkStart w:id="200" w:name="_Toc17237"/>
      <w:r>
        <w:rPr>
          <w:rFonts w:hint="eastAsia"/>
          <w:color w:val="auto"/>
          <w:highlight w:val="none"/>
        </w:rPr>
        <w:t>附表一：形式评审表</w:t>
      </w:r>
      <w:bookmarkEnd w:id="195"/>
      <w:bookmarkEnd w:id="196"/>
      <w:bookmarkEnd w:id="197"/>
      <w:bookmarkEnd w:id="198"/>
      <w:bookmarkEnd w:id="199"/>
      <w:bookmarkEnd w:id="200"/>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8"/>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8"/>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编号</w:t>
            </w:r>
          </w:p>
        </w:tc>
        <w:tc>
          <w:tcPr>
            <w:tcW w:w="4258" w:type="dxa"/>
            <w:tcBorders>
              <w:tl2br w:val="single" w:color="auto" w:sz="4" w:space="0"/>
            </w:tcBorders>
            <w:vAlign w:val="center"/>
          </w:tcPr>
          <w:p>
            <w:pPr>
              <w:tabs>
                <w:tab w:val="left" w:pos="720"/>
              </w:tabs>
              <w:snapToGrid w:val="0"/>
              <w:spacing w:line="276" w:lineRule="auto"/>
              <w:ind w:firstLine="2070" w:firstLineChars="1150"/>
              <w:rPr>
                <w:rFonts w:ascii="宋体" w:hAnsi="宋体"/>
                <w:color w:val="auto"/>
                <w:sz w:val="18"/>
                <w:szCs w:val="18"/>
                <w:highlight w:val="none"/>
              </w:rPr>
            </w:pPr>
            <w:r>
              <w:rPr>
                <w:rFonts w:hint="eastAsia" w:ascii="宋体" w:hAnsi="宋体"/>
                <w:color w:val="auto"/>
                <w:sz w:val="18"/>
                <w:szCs w:val="18"/>
                <w:highlight w:val="none"/>
              </w:rPr>
              <w:t>投标人名称</w:t>
            </w:r>
          </w:p>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评审项目</w:t>
            </w:r>
          </w:p>
        </w:tc>
        <w:tc>
          <w:tcPr>
            <w:tcW w:w="761" w:type="dxa"/>
            <w:vAlign w:val="center"/>
          </w:tcPr>
          <w:p>
            <w:pPr>
              <w:tabs>
                <w:tab w:val="left" w:pos="720"/>
              </w:tabs>
              <w:snapToGrid w:val="0"/>
              <w:spacing w:line="276" w:lineRule="auto"/>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4258" w:type="dxa"/>
            <w:vAlign w:val="center"/>
          </w:tcPr>
          <w:p>
            <w:pPr>
              <w:tabs>
                <w:tab w:val="left" w:pos="720"/>
              </w:tabs>
              <w:snapToGrid w:val="0"/>
              <w:spacing w:beforeLines="20" w:afterLines="20" w:line="276" w:lineRule="auto"/>
              <w:rPr>
                <w:rFonts w:ascii="宋体" w:hAnsi="宋体"/>
                <w:color w:val="auto"/>
                <w:sz w:val="18"/>
                <w:szCs w:val="18"/>
                <w:highlight w:val="none"/>
              </w:rPr>
            </w:pPr>
            <w:r>
              <w:rPr>
                <w:rFonts w:hint="eastAsia" w:ascii="宋体" w:hAnsi="宋体"/>
                <w:color w:val="auto"/>
                <w:sz w:val="18"/>
                <w:szCs w:val="18"/>
                <w:highlight w:val="none"/>
              </w:rPr>
              <w:t>投标人名称：与营业执照（或事业单位法人证书）、资质证书一致。</w:t>
            </w:r>
          </w:p>
        </w:tc>
        <w:tc>
          <w:tcPr>
            <w:tcW w:w="761"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258" w:type="dxa"/>
            <w:vAlign w:val="center"/>
          </w:tcPr>
          <w:p>
            <w:pPr>
              <w:tabs>
                <w:tab w:val="left" w:pos="720"/>
              </w:tabs>
              <w:snapToGrid w:val="0"/>
              <w:spacing w:beforeLines="20" w:afterLines="20" w:line="276" w:lineRule="auto"/>
              <w:rPr>
                <w:rFonts w:ascii="宋体" w:hAnsi="宋体"/>
                <w:color w:val="auto"/>
                <w:sz w:val="18"/>
                <w:szCs w:val="18"/>
                <w:highlight w:val="none"/>
              </w:rPr>
            </w:pPr>
            <w:r>
              <w:rPr>
                <w:rFonts w:hint="eastAsia" w:ascii="宋体" w:hAnsi="宋体"/>
                <w:color w:val="auto"/>
                <w:sz w:val="18"/>
                <w:szCs w:val="18"/>
                <w:highlight w:val="none"/>
              </w:rPr>
              <w:t>投标函及其附表签字盖章：投标函及其附表格式及签字盖章符合招标文件要求，由法定代表人签字的，应附法定代表人证明书，由代理人签字的，应附法定代表人证明书及授权委托书。</w:t>
            </w:r>
          </w:p>
        </w:tc>
        <w:tc>
          <w:tcPr>
            <w:tcW w:w="761"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4258" w:type="dxa"/>
            <w:vAlign w:val="center"/>
          </w:tcPr>
          <w:p>
            <w:pPr>
              <w:tabs>
                <w:tab w:val="left" w:pos="720"/>
              </w:tabs>
              <w:snapToGrid w:val="0"/>
              <w:spacing w:beforeLines="20" w:afterLines="20" w:line="276" w:lineRule="auto"/>
              <w:rPr>
                <w:rFonts w:ascii="宋体" w:hAnsi="宋体"/>
                <w:color w:val="auto"/>
                <w:sz w:val="18"/>
                <w:szCs w:val="18"/>
                <w:highlight w:val="none"/>
              </w:rPr>
            </w:pPr>
            <w:r>
              <w:rPr>
                <w:rFonts w:hint="eastAsia" w:ascii="宋体" w:hAnsi="宋体"/>
                <w:color w:val="auto"/>
                <w:sz w:val="18"/>
                <w:szCs w:val="18"/>
                <w:highlight w:val="none"/>
              </w:rPr>
              <w:t>投标文件格式：符合第六章“投标文件格式”的规定。</w:t>
            </w:r>
          </w:p>
        </w:tc>
        <w:tc>
          <w:tcPr>
            <w:tcW w:w="761"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4258" w:type="dxa"/>
            <w:vAlign w:val="center"/>
          </w:tcPr>
          <w:p>
            <w:pPr>
              <w:tabs>
                <w:tab w:val="left" w:pos="720"/>
              </w:tabs>
              <w:snapToGrid w:val="0"/>
              <w:spacing w:beforeLines="20" w:afterLines="20" w:line="276" w:lineRule="auto"/>
              <w:rPr>
                <w:rFonts w:ascii="宋体" w:hAnsi="宋体"/>
                <w:color w:val="auto"/>
                <w:sz w:val="18"/>
                <w:szCs w:val="18"/>
                <w:highlight w:val="none"/>
              </w:rPr>
            </w:pPr>
            <w:r>
              <w:rPr>
                <w:rFonts w:hint="eastAsia" w:ascii="宋体" w:hAnsi="宋体"/>
                <w:color w:val="auto"/>
                <w:sz w:val="18"/>
                <w:szCs w:val="18"/>
                <w:highlight w:val="none"/>
              </w:rPr>
              <w:t>备选投标方案：不允许。</w:t>
            </w:r>
          </w:p>
        </w:tc>
        <w:tc>
          <w:tcPr>
            <w:tcW w:w="761"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4"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4258" w:type="dxa"/>
            <w:vAlign w:val="center"/>
          </w:tcPr>
          <w:p>
            <w:pPr>
              <w:tabs>
                <w:tab w:val="left" w:pos="720"/>
              </w:tabs>
              <w:snapToGrid w:val="0"/>
              <w:spacing w:beforeLines="20" w:afterLines="20" w:line="276" w:lineRule="auto"/>
              <w:rPr>
                <w:rFonts w:ascii="宋体" w:hAnsi="宋体"/>
                <w:color w:val="auto"/>
                <w:sz w:val="18"/>
                <w:szCs w:val="18"/>
                <w:highlight w:val="none"/>
              </w:rPr>
            </w:pPr>
            <w:r>
              <w:rPr>
                <w:rFonts w:hint="eastAsia" w:ascii="宋体" w:hAnsi="宋体"/>
                <w:color w:val="auto"/>
                <w:sz w:val="18"/>
                <w:szCs w:val="18"/>
                <w:highlight w:val="none"/>
              </w:rPr>
              <w:t>投标人机器码：不同投标人机器码相同（以广州公共资源交易中心评标系统的检索信息为准），将被否决。</w:t>
            </w:r>
          </w:p>
        </w:tc>
        <w:tc>
          <w:tcPr>
            <w:tcW w:w="761"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beforeLines="20" w:afterLines="20"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结论</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bl>
    <w:p>
      <w:pPr>
        <w:rPr>
          <w:rFonts w:ascii="宋体" w:hAnsi="宋体"/>
          <w:color w:val="auto"/>
          <w:sz w:val="18"/>
          <w:szCs w:val="18"/>
          <w:highlight w:val="none"/>
        </w:rPr>
      </w:pPr>
    </w:p>
    <w:p>
      <w:pPr>
        <w:pStyle w:val="6"/>
        <w:rPr>
          <w:color w:val="auto"/>
          <w:highlight w:val="none"/>
        </w:rPr>
      </w:pPr>
    </w:p>
    <w:p>
      <w:pPr>
        <w:pStyle w:val="6"/>
        <w:rPr>
          <w:color w:val="auto"/>
          <w:highlight w:val="none"/>
        </w:rPr>
      </w:pPr>
      <w:r>
        <w:rPr>
          <w:color w:val="auto"/>
          <w:highlight w:val="none"/>
        </w:rPr>
        <w:br w:type="page"/>
      </w:r>
      <w:bookmarkStart w:id="201" w:name="_Toc23671"/>
      <w:bookmarkStart w:id="202" w:name="_Toc103592022"/>
      <w:bookmarkStart w:id="203" w:name="_Toc30890"/>
      <w:bookmarkStart w:id="204" w:name="_Toc10920"/>
      <w:bookmarkStart w:id="205" w:name="_Toc29686"/>
      <w:bookmarkStart w:id="206" w:name="_Toc13299"/>
      <w:r>
        <w:rPr>
          <w:rFonts w:hint="eastAsia"/>
          <w:color w:val="auto"/>
          <w:highlight w:val="none"/>
        </w:rPr>
        <w:t>附表二：资格评审表</w:t>
      </w:r>
      <w:bookmarkEnd w:id="201"/>
      <w:bookmarkEnd w:id="202"/>
      <w:bookmarkEnd w:id="203"/>
      <w:bookmarkEnd w:id="204"/>
      <w:bookmarkEnd w:id="205"/>
      <w:bookmarkEnd w:id="206"/>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资格评审表</w:t>
      </w:r>
    </w:p>
    <w:tbl>
      <w:tblPr>
        <w:tblStyle w:val="28"/>
        <w:tblpPr w:leftFromText="180" w:rightFromText="180" w:vertAnchor="text" w:horzAnchor="margin" w:tblpX="-289" w:tblpY="121"/>
        <w:tblOverlap w:val="never"/>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630"/>
        <w:gridCol w:w="800"/>
        <w:gridCol w:w="73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编号</w:t>
            </w:r>
          </w:p>
        </w:tc>
        <w:tc>
          <w:tcPr>
            <w:tcW w:w="6630" w:type="dxa"/>
            <w:tcBorders>
              <w:tl2br w:val="single" w:color="auto" w:sz="4" w:space="0"/>
            </w:tcBorders>
            <w:vAlign w:val="center"/>
          </w:tcPr>
          <w:p>
            <w:pPr>
              <w:tabs>
                <w:tab w:val="left" w:pos="720"/>
              </w:tabs>
              <w:snapToGrid w:val="0"/>
              <w:spacing w:line="276" w:lineRule="auto"/>
              <w:ind w:firstLine="5490" w:firstLineChars="3050"/>
              <w:rPr>
                <w:rFonts w:ascii="宋体" w:hAnsi="宋体"/>
                <w:color w:val="auto"/>
                <w:sz w:val="18"/>
                <w:szCs w:val="18"/>
                <w:highlight w:val="none"/>
              </w:rPr>
            </w:pPr>
            <w:r>
              <w:rPr>
                <w:rFonts w:hint="eastAsia" w:ascii="宋体" w:hAnsi="宋体"/>
                <w:color w:val="auto"/>
                <w:sz w:val="18"/>
                <w:szCs w:val="18"/>
                <w:highlight w:val="none"/>
              </w:rPr>
              <w:t>投标人名称</w:t>
            </w:r>
          </w:p>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审查项目</w:t>
            </w:r>
          </w:p>
        </w:tc>
        <w:tc>
          <w:tcPr>
            <w:tcW w:w="800" w:type="dxa"/>
            <w:vAlign w:val="center"/>
          </w:tcPr>
          <w:p>
            <w:pPr>
              <w:tabs>
                <w:tab w:val="left" w:pos="720"/>
              </w:tabs>
              <w:snapToGrid w:val="0"/>
              <w:spacing w:line="276" w:lineRule="auto"/>
              <w:jc w:val="center"/>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营业执照（或事业单位法人证书）：符合第二章“投标人须知”第3.5.1项规定。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资质要求：符合第二章“投标人须知”第1.4.1项规定。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项目负责人：符合第二章“投标人须知”第1.4.1项规定。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其他要求：</w:t>
            </w:r>
            <w:r>
              <w:rPr>
                <w:rFonts w:hint="eastAsia" w:ascii="宋体" w:hAnsi="宋体" w:cs="Times New Roman"/>
                <w:color w:val="auto"/>
                <w:sz w:val="18"/>
                <w:szCs w:val="18"/>
                <w:highlight w:val="none"/>
                <w:u w:val="none"/>
              </w:rPr>
              <w:t>详见招标公告第3点“投标人资格要求”</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 xml:space="preserve">联合体投标人：符合第二章“投标人须知”第 1.4.2 项规定。 </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6</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不存在禁止投标的情形：不存在第二章“投标人须知”第 1.4.3 项规定的任何一种情形（以《投标申请人声明》为准）。</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结论</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800" w:type="dxa"/>
            <w:vAlign w:val="center"/>
          </w:tcPr>
          <w:p>
            <w:pPr>
              <w:tabs>
                <w:tab w:val="left" w:pos="720"/>
              </w:tabs>
              <w:snapToGrid w:val="0"/>
              <w:spacing w:line="276" w:lineRule="auto"/>
              <w:jc w:val="center"/>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bl>
    <w:p>
      <w:pPr>
        <w:pStyle w:val="6"/>
        <w:rPr>
          <w:rFonts w:cs="宋体"/>
          <w:color w:val="auto"/>
          <w:szCs w:val="21"/>
          <w:highlight w:val="none"/>
        </w:rPr>
      </w:pPr>
      <w:r>
        <w:rPr>
          <w:color w:val="auto"/>
          <w:highlight w:val="none"/>
        </w:rPr>
        <w:br w:type="page"/>
      </w:r>
      <w:bookmarkStart w:id="207" w:name="_Toc29404"/>
      <w:bookmarkStart w:id="208" w:name="_Toc103592023"/>
      <w:bookmarkStart w:id="209" w:name="_Toc32341"/>
      <w:bookmarkStart w:id="210" w:name="_Toc10706"/>
      <w:bookmarkStart w:id="211" w:name="_Toc3405"/>
      <w:bookmarkStart w:id="212" w:name="_Toc24735"/>
      <w:r>
        <w:rPr>
          <w:rFonts w:hint="eastAsia"/>
          <w:color w:val="auto"/>
          <w:highlight w:val="none"/>
        </w:rPr>
        <w:t>附表三：响应性评审表</w:t>
      </w:r>
      <w:bookmarkEnd w:id="207"/>
      <w:bookmarkEnd w:id="208"/>
      <w:bookmarkEnd w:id="209"/>
      <w:bookmarkEnd w:id="210"/>
      <w:bookmarkEnd w:id="211"/>
      <w:bookmarkEnd w:id="212"/>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pPr>
        <w:rPr>
          <w:rFonts w:ascii="宋体" w:hAnsi="宋体"/>
          <w:color w:val="auto"/>
          <w:sz w:val="18"/>
          <w:szCs w:val="18"/>
          <w:highlight w:val="none"/>
        </w:rPr>
      </w:pPr>
    </w:p>
    <w:tbl>
      <w:tblPr>
        <w:tblStyle w:val="28"/>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927"/>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编号</w:t>
            </w:r>
          </w:p>
        </w:tc>
        <w:tc>
          <w:tcPr>
            <w:tcW w:w="4927" w:type="dxa"/>
            <w:tcBorders>
              <w:tl2br w:val="single" w:color="auto" w:sz="4" w:space="0"/>
            </w:tcBorders>
            <w:vAlign w:val="center"/>
          </w:tcPr>
          <w:p>
            <w:pPr>
              <w:tabs>
                <w:tab w:val="left" w:pos="720"/>
              </w:tabs>
              <w:snapToGrid w:val="0"/>
              <w:spacing w:line="276" w:lineRule="auto"/>
              <w:ind w:firstLine="3240" w:firstLineChars="1800"/>
              <w:rPr>
                <w:rFonts w:ascii="宋体" w:hAnsi="宋体"/>
                <w:color w:val="auto"/>
                <w:sz w:val="18"/>
                <w:szCs w:val="18"/>
                <w:highlight w:val="none"/>
              </w:rPr>
            </w:pPr>
            <w:r>
              <w:rPr>
                <w:rFonts w:hint="eastAsia" w:ascii="宋体" w:hAnsi="宋体"/>
                <w:color w:val="auto"/>
                <w:sz w:val="18"/>
                <w:szCs w:val="18"/>
                <w:highlight w:val="none"/>
              </w:rPr>
              <w:t>投标人名称</w:t>
            </w:r>
          </w:p>
          <w:p>
            <w:pPr>
              <w:tabs>
                <w:tab w:val="left" w:pos="720"/>
              </w:tabs>
              <w:snapToGrid w:val="0"/>
              <w:spacing w:line="276" w:lineRule="auto"/>
              <w:rPr>
                <w:rFonts w:ascii="宋体" w:hAnsi="宋体"/>
                <w:color w:val="auto"/>
                <w:sz w:val="18"/>
                <w:szCs w:val="18"/>
                <w:highlight w:val="none"/>
              </w:rPr>
            </w:pPr>
          </w:p>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评审项目</w:t>
            </w:r>
          </w:p>
        </w:tc>
        <w:tc>
          <w:tcPr>
            <w:tcW w:w="761" w:type="dxa"/>
            <w:vAlign w:val="center"/>
          </w:tcPr>
          <w:p>
            <w:pPr>
              <w:tabs>
                <w:tab w:val="left" w:pos="720"/>
              </w:tabs>
              <w:snapToGrid w:val="0"/>
              <w:spacing w:line="276" w:lineRule="auto"/>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投标报价：符合第二章“投标人须知”第3.2款规定；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投标内容：符合第二章“投标人须知”第1.3.1规定；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服务期限：符合第二章“投标人须知”第1.3.2规定；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质量标准：符合第二章“投标人须知”第1.3.3规定；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投标有效期：符合第二章“投标人须知”第3.3.1规定；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lang w:val="en-US" w:eastAsia="zh-CN"/>
              </w:rPr>
              <w:t>6</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串通投标情形：不存在串通投标情形（串通投标情形以《中华人民共和国招标投标法实施条例》的规定为准）；</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结论</w:t>
            </w:r>
          </w:p>
        </w:tc>
        <w:tc>
          <w:tcPr>
            <w:tcW w:w="4927"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bl>
    <w:p>
      <w:pPr>
        <w:pStyle w:val="6"/>
        <w:rPr>
          <w:color w:val="auto"/>
          <w:highlight w:val="none"/>
        </w:rPr>
      </w:pPr>
      <w:r>
        <w:rPr>
          <w:rFonts w:hint="eastAsia"/>
          <w:color w:val="auto"/>
          <w:highlight w:val="none"/>
        </w:rPr>
        <w:br w:type="page"/>
      </w:r>
    </w:p>
    <w:p>
      <w:pPr>
        <w:pStyle w:val="6"/>
        <w:ind w:firstLine="281" w:firstLineChars="100"/>
        <w:rPr>
          <w:color w:val="auto"/>
          <w:highlight w:val="none"/>
        </w:rPr>
      </w:pPr>
      <w:bookmarkStart w:id="213" w:name="_Toc14681"/>
      <w:bookmarkStart w:id="214" w:name="_Toc103592024"/>
      <w:bookmarkStart w:id="215" w:name="_Toc2105"/>
      <w:bookmarkStart w:id="216" w:name="_Toc19098"/>
      <w:bookmarkStart w:id="217" w:name="_Toc20634"/>
      <w:bookmarkStart w:id="218" w:name="_Toc4163"/>
      <w:bookmarkStart w:id="219" w:name="_Toc21236"/>
      <w:bookmarkStart w:id="220" w:name="_Toc18437"/>
      <w:r>
        <w:rPr>
          <w:rFonts w:hint="eastAsia"/>
          <w:color w:val="auto"/>
          <w:highlight w:val="none"/>
        </w:rPr>
        <w:t>附表四：综合评分表</w:t>
      </w:r>
      <w:bookmarkEnd w:id="213"/>
      <w:bookmarkEnd w:id="214"/>
      <w:bookmarkEnd w:id="215"/>
      <w:bookmarkEnd w:id="216"/>
      <w:bookmarkEnd w:id="217"/>
      <w:bookmarkEnd w:id="218"/>
      <w:bookmarkEnd w:id="219"/>
      <w:bookmarkEnd w:id="220"/>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28"/>
        <w:gridCol w:w="982"/>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3" w:type="dxa"/>
            <w:vMerge w:val="restart"/>
            <w:vAlign w:val="center"/>
          </w:tcPr>
          <w:p>
            <w:pPr>
              <w:adjustRightInd w:val="0"/>
              <w:snapToGrid w:val="0"/>
              <w:spacing w:line="360" w:lineRule="auto"/>
              <w:jc w:val="center"/>
              <w:rPr>
                <w:color w:val="auto"/>
                <w:highlight w:val="none"/>
              </w:rPr>
            </w:pPr>
            <w:r>
              <w:rPr>
                <w:rFonts w:hint="eastAsia"/>
                <w:color w:val="auto"/>
                <w:highlight w:val="none"/>
              </w:rPr>
              <w:t>2.2.4</w:t>
            </w:r>
          </w:p>
          <w:p>
            <w:pPr>
              <w:pStyle w:val="10"/>
              <w:adjustRightInd w:val="0"/>
              <w:snapToGrid w:val="0"/>
              <w:spacing w:line="360" w:lineRule="auto"/>
              <w:ind w:firstLine="0"/>
              <w:rPr>
                <w:color w:val="auto"/>
                <w:highlight w:val="none"/>
              </w:rPr>
            </w:pPr>
            <w:r>
              <w:rPr>
                <w:rFonts w:hint="eastAsia" w:ascii="宋体" w:hAnsi="宋体" w:cs="宋体"/>
                <w:color w:val="auto"/>
                <w:highlight w:val="none"/>
              </w:rPr>
              <w:t>（1）</w:t>
            </w:r>
          </w:p>
        </w:tc>
        <w:tc>
          <w:tcPr>
            <w:tcW w:w="1028" w:type="dxa"/>
            <w:vMerge w:val="restart"/>
            <w:vAlign w:val="center"/>
          </w:tcPr>
          <w:p>
            <w:pPr>
              <w:adjustRightInd w:val="0"/>
              <w:snapToGrid w:val="0"/>
              <w:spacing w:line="360" w:lineRule="auto"/>
              <w:jc w:val="center"/>
              <w:rPr>
                <w:rFonts w:ascii="宋体" w:hAnsi="宋体" w:cs="宋体"/>
                <w:color w:val="auto"/>
                <w:highlight w:val="none"/>
              </w:rPr>
            </w:pPr>
            <w:r>
              <w:rPr>
                <w:rFonts w:hint="eastAsia" w:ascii="宋体" w:hAnsi="宋体"/>
                <w:color w:val="auto"/>
                <w:szCs w:val="21"/>
                <w:highlight w:val="none"/>
              </w:rPr>
              <w:t>企业综合实力评分</w:t>
            </w:r>
            <w:r>
              <w:rPr>
                <w:rFonts w:hint="eastAsia" w:ascii="宋体" w:hAnsi="宋体" w:cs="宋体"/>
                <w:color w:val="auto"/>
                <w:highlight w:val="none"/>
              </w:rPr>
              <w:t>标准</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0分）</w:t>
            </w:r>
          </w:p>
        </w:tc>
        <w:tc>
          <w:tcPr>
            <w:tcW w:w="982" w:type="dxa"/>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投标人业绩</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（10分）</w:t>
            </w:r>
          </w:p>
        </w:tc>
        <w:tc>
          <w:tcPr>
            <w:tcW w:w="7611" w:type="dxa"/>
            <w:vAlign w:val="center"/>
          </w:tcPr>
          <w:p>
            <w:pPr>
              <w:pStyle w:val="6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投标人自201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年1月1日至</w:t>
            </w:r>
            <w:r>
              <w:rPr>
                <w:rFonts w:hint="eastAsia" w:ascii="宋体" w:hAnsi="宋体"/>
                <w:bCs/>
                <w:color w:val="auto"/>
                <w:szCs w:val="21"/>
                <w:highlight w:val="none"/>
              </w:rPr>
              <w:t>投标截止时间</w:t>
            </w:r>
            <w:r>
              <w:rPr>
                <w:rFonts w:hint="eastAsia" w:ascii="宋体" w:hAnsi="宋体" w:cs="宋体"/>
                <w:color w:val="auto"/>
                <w:szCs w:val="21"/>
                <w:highlight w:val="none"/>
              </w:rPr>
              <w:t>承担过单个合同额</w:t>
            </w:r>
            <w:r>
              <w:rPr>
                <w:rFonts w:hint="eastAsia" w:ascii="宋体" w:hAnsi="宋体" w:cs="宋体"/>
                <w:color w:val="auto"/>
                <w:szCs w:val="21"/>
                <w:highlight w:val="none"/>
                <w:lang w:val="en-US" w:eastAsia="zh-CN"/>
              </w:rPr>
              <w:t>200</w:t>
            </w:r>
            <w:r>
              <w:rPr>
                <w:rFonts w:hint="eastAsia" w:ascii="宋体" w:hAnsi="宋体" w:cs="宋体"/>
                <w:color w:val="auto"/>
                <w:szCs w:val="21"/>
                <w:highlight w:val="none"/>
              </w:rPr>
              <w:t>万元或以上的类似业绩，每项得2分，本项最多得10分。</w:t>
            </w:r>
          </w:p>
          <w:p>
            <w:pPr>
              <w:adjustRightInd w:val="0"/>
              <w:snapToGrid w:val="0"/>
              <w:spacing w:line="360" w:lineRule="auto"/>
              <w:rPr>
                <w:rFonts w:ascii="宋体" w:hAnsi="宋体" w:cs="宋体"/>
                <w:color w:val="auto"/>
                <w:szCs w:val="21"/>
                <w:highlight w:val="none"/>
              </w:rPr>
            </w:pPr>
            <w:r>
              <w:rPr>
                <w:rFonts w:ascii="宋体" w:hAnsi="宋体"/>
                <w:b/>
                <w:bCs/>
                <w:color w:val="auto"/>
                <w:szCs w:val="21"/>
                <w:highlight w:val="none"/>
              </w:rPr>
              <w:t>注：类似业绩指包含本项目检测</w:t>
            </w:r>
            <w:r>
              <w:rPr>
                <w:rFonts w:hint="eastAsia" w:ascii="宋体" w:hAnsi="宋体"/>
                <w:b/>
                <w:bCs/>
                <w:color w:val="auto"/>
                <w:szCs w:val="21"/>
                <w:highlight w:val="none"/>
              </w:rPr>
              <w:t>和监测</w:t>
            </w:r>
            <w:r>
              <w:rPr>
                <w:rFonts w:ascii="宋体" w:hAnsi="宋体"/>
                <w:b/>
                <w:bCs/>
                <w:color w:val="auto"/>
                <w:szCs w:val="21"/>
                <w:highlight w:val="none"/>
              </w:rPr>
              <w:t>内容的一项或多项的建设工程质量检测业绩，需提供中标通知书（或免招标证明）、服务合同证明材料清晰扫描件，业绩时间以合同签订时间为准、金额以中标通知书为准（免招标的项目以服务合同为准）。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3" w:type="dxa"/>
            <w:vMerge w:val="continue"/>
            <w:vAlign w:val="center"/>
          </w:tcPr>
          <w:p>
            <w:pPr>
              <w:adjustRightInd w:val="0"/>
              <w:snapToGrid w:val="0"/>
              <w:spacing w:line="360" w:lineRule="auto"/>
              <w:jc w:val="center"/>
              <w:rPr>
                <w:rFonts w:ascii="宋体" w:hAnsi="宋体"/>
                <w:color w:val="auto"/>
                <w:highlight w:val="none"/>
              </w:rPr>
            </w:pPr>
          </w:p>
        </w:tc>
        <w:tc>
          <w:tcPr>
            <w:tcW w:w="1028" w:type="dxa"/>
            <w:vMerge w:val="continue"/>
            <w:vAlign w:val="center"/>
          </w:tcPr>
          <w:p>
            <w:pPr>
              <w:adjustRightInd w:val="0"/>
              <w:snapToGrid w:val="0"/>
              <w:spacing w:line="360" w:lineRule="auto"/>
              <w:jc w:val="center"/>
              <w:rPr>
                <w:rFonts w:ascii="宋体" w:hAnsi="宋体"/>
                <w:color w:val="auto"/>
                <w:highlight w:val="none"/>
              </w:rPr>
            </w:pPr>
          </w:p>
        </w:tc>
        <w:tc>
          <w:tcPr>
            <w:tcW w:w="982" w:type="dxa"/>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投标人信誉</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分）</w:t>
            </w:r>
          </w:p>
        </w:tc>
        <w:tc>
          <w:tcPr>
            <w:tcW w:w="7611" w:type="dxa"/>
            <w:vAlign w:val="center"/>
          </w:tcPr>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1、投标人获得过中国建筑业协会工程建设质量监督与检测分会“全国建设工程质量检测行业先进单位”表彰的得4分，其余不得分，</w:t>
            </w:r>
            <w:r>
              <w:rPr>
                <w:rFonts w:hint="eastAsia" w:ascii="宋体" w:hAnsi="宋体" w:eastAsia="宋体" w:cs="Times New Roman"/>
                <w:b/>
                <w:bCs w:val="0"/>
                <w:color w:val="auto"/>
                <w:szCs w:val="21"/>
                <w:highlight w:val="none"/>
                <w:lang w:val="en-US" w:eastAsia="zh-CN"/>
              </w:rPr>
              <w:t>本项最高可得4分。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2、投标人具备 “环境管理体系、职业健康安全管理体系、质量管理体系、测量管理体系、企业社会责任管理体系、</w:t>
            </w:r>
            <w:r>
              <w:rPr>
                <w:rFonts w:hint="eastAsia" w:ascii="宋体" w:hAnsi="宋体" w:eastAsia="宋体" w:cs="Times New Roman"/>
                <w:bCs/>
                <w:color w:val="auto"/>
                <w:szCs w:val="21"/>
                <w:highlight w:val="none"/>
                <w:lang w:eastAsia="zh-CN"/>
              </w:rPr>
              <w:t>履约能力评价体系</w:t>
            </w:r>
            <w:r>
              <w:rPr>
                <w:rFonts w:hint="eastAsia" w:ascii="宋体" w:hAnsi="宋体" w:eastAsia="宋体" w:cs="Times New Roman"/>
                <w:bCs/>
                <w:color w:val="auto"/>
                <w:szCs w:val="21"/>
                <w:highlight w:val="none"/>
                <w:lang w:val="en-US" w:eastAsia="zh-CN"/>
              </w:rPr>
              <w:t>”认证，同时具备且在有效期内得6分，每少一个扣1分，扣完为止。其余不得分，</w:t>
            </w:r>
            <w:r>
              <w:rPr>
                <w:rFonts w:hint="eastAsia" w:ascii="宋体" w:hAnsi="宋体" w:eastAsia="宋体" w:cs="Times New Roman"/>
                <w:b/>
                <w:bCs w:val="0"/>
                <w:color w:val="auto"/>
                <w:szCs w:val="21"/>
                <w:highlight w:val="none"/>
                <w:lang w:val="en-US" w:eastAsia="zh-CN"/>
              </w:rPr>
              <w:t>本项最高可得6分。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3、2018年1月1日至投标截止时间止，获得过与检测或监测类相关发明专利的，每个得0.5分；</w:t>
            </w:r>
            <w:r>
              <w:rPr>
                <w:rFonts w:hint="eastAsia" w:ascii="宋体" w:hAnsi="宋体" w:eastAsia="宋体" w:cs="Times New Roman"/>
                <w:b/>
                <w:bCs w:val="0"/>
                <w:color w:val="auto"/>
                <w:szCs w:val="21"/>
                <w:highlight w:val="none"/>
                <w:lang w:val="en-US" w:eastAsia="zh-CN"/>
              </w:rPr>
              <w:t>本项最高可得5分。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4、2018年1月1日至投标截止时间止获得过“科学技术奖励证书”的：</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（1）获得国家级（不限等级）或省级（特等奖或一等奖）的，得5分；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（2）获得省级（二等奖）的，得2分；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（3）获得省级（三等奖）的或市级（不限等级）的，得1分；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其余不得分，</w:t>
            </w:r>
            <w:r>
              <w:rPr>
                <w:rFonts w:hint="eastAsia" w:ascii="宋体" w:hAnsi="宋体" w:eastAsia="宋体" w:cs="Times New Roman"/>
                <w:b/>
                <w:bCs w:val="0"/>
                <w:color w:val="auto"/>
                <w:szCs w:val="21"/>
                <w:highlight w:val="none"/>
                <w:lang w:val="en-US" w:eastAsia="zh-CN"/>
              </w:rPr>
              <w:t>本项最高可得5分。</w:t>
            </w:r>
          </w:p>
          <w:p>
            <w:pPr>
              <w:pStyle w:val="60"/>
              <w:adjustRightInd w:val="0"/>
              <w:snapToGrid w:val="0"/>
              <w:spacing w:line="360" w:lineRule="auto"/>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5、投标人至投标截止时间止（含2022年）连续8年或以上获得税务总局“A级纳税人”称号得的5分，连续5-7年的得3分，连续4年或以下的得 1 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其余不得分，</w:t>
            </w:r>
            <w:r>
              <w:rPr>
                <w:rFonts w:hint="eastAsia" w:ascii="宋体" w:hAnsi="宋体" w:eastAsia="宋体" w:cs="Times New Roman"/>
                <w:b/>
                <w:bCs w:val="0"/>
                <w:color w:val="auto"/>
                <w:szCs w:val="21"/>
                <w:highlight w:val="none"/>
                <w:lang w:val="en-US" w:eastAsia="zh-CN"/>
              </w:rPr>
              <w:t>本项最高可得5分。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83" w:type="dxa"/>
            <w:vMerge w:val="continue"/>
            <w:vAlign w:val="center"/>
          </w:tcPr>
          <w:p>
            <w:pPr>
              <w:adjustRightInd w:val="0"/>
              <w:snapToGrid w:val="0"/>
              <w:spacing w:line="360" w:lineRule="auto"/>
              <w:jc w:val="left"/>
              <w:rPr>
                <w:rFonts w:ascii="宋体" w:hAnsi="宋体" w:cs="宋体"/>
                <w:color w:val="auto"/>
                <w:highlight w:val="none"/>
              </w:rPr>
            </w:pPr>
          </w:p>
        </w:tc>
        <w:tc>
          <w:tcPr>
            <w:tcW w:w="1028" w:type="dxa"/>
            <w:vMerge w:val="continue"/>
            <w:vAlign w:val="center"/>
          </w:tcPr>
          <w:p>
            <w:pPr>
              <w:adjustRightInd w:val="0"/>
              <w:snapToGrid w:val="0"/>
              <w:spacing w:line="360" w:lineRule="auto"/>
              <w:jc w:val="left"/>
              <w:rPr>
                <w:rFonts w:ascii="宋体" w:hAnsi="宋体" w:cs="宋体"/>
                <w:color w:val="auto"/>
                <w:highlight w:val="none"/>
              </w:rPr>
            </w:pPr>
          </w:p>
        </w:tc>
        <w:tc>
          <w:tcPr>
            <w:tcW w:w="982" w:type="dxa"/>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拟投入人员综合水平</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15</w:t>
            </w:r>
            <w:r>
              <w:rPr>
                <w:rFonts w:hint="eastAsia" w:ascii="宋体" w:hAnsi="宋体" w:cs="宋体"/>
                <w:color w:val="auto"/>
                <w:highlight w:val="none"/>
              </w:rPr>
              <w:t>分）</w:t>
            </w:r>
          </w:p>
        </w:tc>
        <w:tc>
          <w:tcPr>
            <w:tcW w:w="7611" w:type="dxa"/>
            <w:vAlign w:val="center"/>
          </w:tcPr>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1、项目负责人：</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（1）、具有注册土木工程师（岩土）执业资格证书，得2分；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（2）、具有工程类高级工程师或以上职称，得2分；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（3）、具有省级（或以上）建设工程质量安全监督部门或其委托的机构、行业协会颁发的相关检测员证或检测鉴定培训合格证，得1分。其余不得分，</w:t>
            </w:r>
            <w:r>
              <w:rPr>
                <w:rFonts w:hint="eastAsia" w:ascii="宋体" w:hAnsi="宋体" w:eastAsia="宋体" w:cs="Times New Roman"/>
                <w:b/>
                <w:bCs w:val="0"/>
                <w:color w:val="auto"/>
                <w:szCs w:val="21"/>
                <w:highlight w:val="none"/>
              </w:rPr>
              <w:t>本项最高可得5分。</w:t>
            </w:r>
          </w:p>
          <w:p>
            <w:pPr>
              <w:pStyle w:val="60"/>
              <w:adjustRightInd w:val="0"/>
              <w:snapToGrid w:val="0"/>
              <w:spacing w:line="360" w:lineRule="auto"/>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注：须提供注册证（如有）、执业资格查询网页截图（如有）、职称证（如有）、检测员证（或检测鉴定培训合格证）（如有）和社保证明文件扫描件。不符合条件或不提供则不得分。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2、技术负责人：</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（1）、具有注册土木工程师（岩土）执业资格证书，得2分；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（2）、具有工程类高级工程师或以上职称，得2分；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（3）、具有省级（或以上）建设工程质量安全监督部门或其委托的机构、行业协会颁发的相关检测员证或检测鉴定培训合格证，得1分。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注：须提供注册证（如有）、执业资格查询网页截图（如有）、职称证（如有）、检测员证（或检测鉴定培训合格证）（如有）和社保证明文件扫描件。不符合条件或不提供则不得分。其余不得分，</w:t>
            </w:r>
            <w:r>
              <w:rPr>
                <w:rFonts w:hint="eastAsia" w:ascii="宋体" w:hAnsi="宋体" w:eastAsia="宋体" w:cs="Times New Roman"/>
                <w:b/>
                <w:bCs w:val="0"/>
                <w:color w:val="auto"/>
                <w:szCs w:val="21"/>
                <w:highlight w:val="none"/>
              </w:rPr>
              <w:t>本项最高可得5分。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3、主要检测技术人员（不含项目负责人及技术负责人）：</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（1）、具有工程类高级工程师（或以上）职称，且持有检测专项的检测鉴定培训合格证的，每人得1分，</w:t>
            </w:r>
            <w:r>
              <w:rPr>
                <w:rFonts w:hint="eastAsia" w:ascii="宋体" w:hAnsi="宋体" w:eastAsia="宋体" w:cs="Times New Roman"/>
                <w:b/>
                <w:bCs w:val="0"/>
                <w:color w:val="auto"/>
                <w:szCs w:val="21"/>
                <w:highlight w:val="none"/>
              </w:rPr>
              <w:t>本小项最多得2分；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（2）、具有工程类中级工程师职称，且持有检测专项的检测鉴定培训合格证的，每人得0.5分，</w:t>
            </w:r>
            <w:r>
              <w:rPr>
                <w:rFonts w:hint="eastAsia" w:ascii="宋体" w:hAnsi="宋体" w:eastAsia="宋体" w:cs="Times New Roman"/>
                <w:b/>
                <w:bCs w:val="0"/>
                <w:color w:val="auto"/>
                <w:szCs w:val="21"/>
                <w:highlight w:val="none"/>
              </w:rPr>
              <w:t>本小项最多得1分；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（3）、具有注册土木工程师（岩土）执业资格证书且注册单位为投标单位的，每人得0.5分，</w:t>
            </w:r>
            <w:r>
              <w:rPr>
                <w:rFonts w:hint="eastAsia" w:ascii="宋体" w:hAnsi="宋体" w:eastAsia="宋体" w:cs="Times New Roman"/>
                <w:b/>
                <w:bCs w:val="0"/>
                <w:color w:val="auto"/>
                <w:szCs w:val="21"/>
                <w:highlight w:val="none"/>
              </w:rPr>
              <w:t>本小项最多可得2分；</w:t>
            </w:r>
          </w:p>
          <w:p>
            <w:pPr>
              <w:pStyle w:val="60"/>
              <w:adjustRightInd w:val="0"/>
              <w:snapToGrid w:val="0"/>
              <w:spacing w:line="360" w:lineRule="auto"/>
              <w:jc w:val="left"/>
              <w:rPr>
                <w:rFonts w:hint="eastAsia" w:ascii="宋体" w:hAnsi="宋体" w:eastAsia="宋体" w:cs="Times New Roman"/>
                <w:bCs/>
                <w:color w:val="auto"/>
                <w:szCs w:val="21"/>
                <w:highlight w:val="none"/>
              </w:rPr>
            </w:pPr>
            <w:r>
              <w:rPr>
                <w:rFonts w:hint="eastAsia" w:ascii="宋体" w:hAnsi="宋体" w:eastAsia="宋体" w:cs="Times New Roman"/>
                <w:b/>
                <w:bCs w:val="0"/>
                <w:color w:val="auto"/>
                <w:szCs w:val="21"/>
                <w:highlight w:val="none"/>
              </w:rPr>
              <w:t>注：须提供职称证（如有）、注册证（如有）、检测员证（或检测鉴定培训合格证）（如有）和社保证明文件扫描件。不符合条件或不提供则不得分。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3" w:type="dxa"/>
            <w:vMerge w:val="restart"/>
            <w:vAlign w:val="center"/>
          </w:tcPr>
          <w:p>
            <w:pPr>
              <w:adjustRightInd w:val="0"/>
              <w:snapToGrid w:val="0"/>
              <w:spacing w:line="360" w:lineRule="auto"/>
              <w:jc w:val="center"/>
              <w:rPr>
                <w:color w:val="auto"/>
                <w:highlight w:val="none"/>
              </w:rPr>
            </w:pPr>
            <w:r>
              <w:rPr>
                <w:rFonts w:hint="eastAsia"/>
                <w:color w:val="auto"/>
                <w:highlight w:val="none"/>
              </w:rPr>
              <w:t>2.2.4（2）</w:t>
            </w:r>
          </w:p>
        </w:tc>
        <w:tc>
          <w:tcPr>
            <w:tcW w:w="1028" w:type="dxa"/>
            <w:vMerge w:val="restart"/>
            <w:vAlign w:val="center"/>
          </w:tcPr>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技术方案评分标准</w:t>
            </w:r>
          </w:p>
          <w:p>
            <w:pPr>
              <w:adjustRightInd w:val="0"/>
              <w:snapToGrid w:val="0"/>
              <w:spacing w:line="360" w:lineRule="auto"/>
              <w:jc w:val="left"/>
              <w:rPr>
                <w:rFonts w:ascii="宋体" w:hAnsi="宋体" w:cs="宋体"/>
                <w:color w:val="auto"/>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0分）</w:t>
            </w:r>
          </w:p>
        </w:tc>
        <w:tc>
          <w:tcPr>
            <w:tcW w:w="982"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检测和监测方案</w:t>
            </w:r>
          </w:p>
          <w:p>
            <w:pPr>
              <w:adjustRightInd w:val="0"/>
              <w:snapToGrid w:val="0"/>
              <w:spacing w:line="360" w:lineRule="auto"/>
              <w:jc w:val="center"/>
              <w:rPr>
                <w:rFonts w:ascii="宋体" w:hAnsi="宋体" w:cs="宋体"/>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tc>
        <w:tc>
          <w:tcPr>
            <w:tcW w:w="7611" w:type="dxa"/>
            <w:vAlign w:val="center"/>
          </w:tcPr>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【优】检测和监测工作的程序与方案详细、具体，内容齐全，能满足用户需求，有合理可行的保证通过相关验收、满足工程进度确保措施，得[</w:t>
            </w:r>
            <w:r>
              <w:rPr>
                <w:rFonts w:hint="eastAsia" w:ascii="宋体" w:hAnsi="宋体"/>
                <w:bCs/>
                <w:color w:val="auto"/>
                <w:szCs w:val="21"/>
                <w:highlight w:val="none"/>
                <w:lang w:val="en-US" w:eastAsia="zh-CN"/>
              </w:rPr>
              <w:t>20</w:t>
            </w:r>
            <w:r>
              <w:rPr>
                <w:rFonts w:hint="eastAsia" w:ascii="宋体" w:hAnsi="宋体"/>
                <w:bCs/>
                <w:color w:val="auto"/>
                <w:szCs w:val="21"/>
                <w:highlight w:val="none"/>
              </w:rPr>
              <w:t>,</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w:t>
            </w:r>
          </w:p>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【良】检测和监测工作的程序与方案内容齐全，基本满足要求，检测和监测方法符合检测和监测要求，得[</w:t>
            </w:r>
            <w:r>
              <w:rPr>
                <w:rFonts w:hint="eastAsia" w:ascii="宋体" w:hAnsi="宋体"/>
                <w:bCs/>
                <w:color w:val="auto"/>
                <w:szCs w:val="21"/>
                <w:highlight w:val="none"/>
                <w:lang w:val="en-US" w:eastAsia="zh-CN"/>
              </w:rPr>
              <w:t>10</w:t>
            </w:r>
            <w:r>
              <w:rPr>
                <w:rFonts w:hint="eastAsia" w:ascii="宋体" w:hAnsi="宋体"/>
                <w:bCs/>
                <w:color w:val="auto"/>
                <w:szCs w:val="21"/>
                <w:highlight w:val="none"/>
              </w:rPr>
              <w:t>,</w:t>
            </w:r>
            <w:r>
              <w:rPr>
                <w:rFonts w:hint="eastAsia" w:ascii="宋体" w:hAnsi="宋体"/>
                <w:bCs/>
                <w:color w:val="auto"/>
                <w:szCs w:val="21"/>
                <w:highlight w:val="none"/>
                <w:lang w:val="en-US" w:eastAsia="zh-CN"/>
              </w:rPr>
              <w:t>20</w:t>
            </w:r>
            <w:r>
              <w:rPr>
                <w:rFonts w:hint="eastAsia" w:ascii="宋体" w:hAnsi="宋体"/>
                <w:bCs/>
                <w:color w:val="auto"/>
                <w:szCs w:val="21"/>
                <w:highlight w:val="none"/>
                <w:lang w:eastAsia="zh-CN"/>
              </w:rPr>
              <w:t>）</w:t>
            </w:r>
            <w:r>
              <w:rPr>
                <w:rFonts w:hint="eastAsia" w:ascii="宋体" w:hAnsi="宋体"/>
                <w:bCs/>
                <w:color w:val="auto"/>
                <w:szCs w:val="21"/>
                <w:highlight w:val="none"/>
              </w:rPr>
              <w:t>分；</w:t>
            </w:r>
          </w:p>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【中】检测和监测工作的程序与方案不够全面具体，可行性低，得[</w:t>
            </w: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bCs/>
                <w:color w:val="auto"/>
                <w:szCs w:val="21"/>
                <w:highlight w:val="none"/>
                <w:lang w:val="en-US" w:eastAsia="zh-CN"/>
              </w:rPr>
              <w:t>10</w:t>
            </w:r>
            <w:r>
              <w:rPr>
                <w:rFonts w:hint="eastAsia" w:ascii="宋体" w:hAnsi="宋体"/>
                <w:bCs/>
                <w:color w:val="auto"/>
                <w:szCs w:val="21"/>
                <w:highlight w:val="none"/>
                <w:lang w:eastAsia="zh-CN"/>
              </w:rPr>
              <w:t>）</w:t>
            </w:r>
            <w:r>
              <w:rPr>
                <w:rFonts w:hint="eastAsia" w:ascii="宋体" w:hAnsi="宋体"/>
                <w:bCs/>
                <w:color w:val="auto"/>
                <w:szCs w:val="21"/>
                <w:highlight w:val="none"/>
              </w:rPr>
              <w:t>分。</w:t>
            </w:r>
          </w:p>
          <w:p>
            <w:pPr>
              <w:pStyle w:val="60"/>
              <w:adjustRightInd w:val="0"/>
              <w:snapToGrid w:val="0"/>
              <w:spacing w:line="360" w:lineRule="auto"/>
              <w:jc w:val="left"/>
              <w:rPr>
                <w:rFonts w:ascii="宋体" w:hAnsi="宋体" w:cs="宋体"/>
                <w:color w:val="auto"/>
                <w:szCs w:val="21"/>
                <w:highlight w:val="none"/>
              </w:rPr>
            </w:pPr>
            <w:r>
              <w:rPr>
                <w:rFonts w:hint="eastAsia" w:ascii="宋体" w:hAnsi="宋体"/>
                <w:bCs/>
                <w:color w:val="auto"/>
                <w:szCs w:val="21"/>
                <w:highlight w:val="none"/>
              </w:rPr>
              <w:t>【差】检测和监测方案内容阐述缺项，检测和监测程序不满足要求，得[</w:t>
            </w:r>
            <w:r>
              <w:rPr>
                <w:rFonts w:hint="eastAsia" w:ascii="宋体" w:hAnsi="宋体"/>
                <w:bCs/>
                <w:color w:val="auto"/>
                <w:szCs w:val="21"/>
                <w:highlight w:val="none"/>
                <w:lang w:val="en-US" w:eastAsia="zh-CN"/>
              </w:rPr>
              <w:t>0</w:t>
            </w: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lang w:eastAsia="zh-CN"/>
              </w:rPr>
              <w:t>）</w:t>
            </w:r>
            <w:r>
              <w:rPr>
                <w:rFonts w:hint="eastAsia" w:ascii="宋体" w:hAnsi="宋体"/>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3" w:type="dxa"/>
            <w:vMerge w:val="continue"/>
            <w:vAlign w:val="center"/>
          </w:tcPr>
          <w:p>
            <w:pPr>
              <w:adjustRightInd w:val="0"/>
              <w:snapToGrid w:val="0"/>
              <w:spacing w:line="360" w:lineRule="auto"/>
              <w:jc w:val="center"/>
              <w:rPr>
                <w:color w:val="auto"/>
                <w:highlight w:val="none"/>
              </w:rPr>
            </w:pPr>
          </w:p>
        </w:tc>
        <w:tc>
          <w:tcPr>
            <w:tcW w:w="1028" w:type="dxa"/>
            <w:vMerge w:val="continue"/>
            <w:vAlign w:val="center"/>
          </w:tcPr>
          <w:p>
            <w:pPr>
              <w:adjustRightInd w:val="0"/>
              <w:snapToGrid w:val="0"/>
              <w:spacing w:line="360" w:lineRule="auto"/>
              <w:jc w:val="left"/>
              <w:rPr>
                <w:rFonts w:ascii="宋体" w:hAnsi="宋体"/>
                <w:color w:val="auto"/>
                <w:szCs w:val="21"/>
                <w:highlight w:val="none"/>
              </w:rPr>
            </w:pPr>
          </w:p>
        </w:tc>
        <w:tc>
          <w:tcPr>
            <w:tcW w:w="982" w:type="dxa"/>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拟投入的仪器设备</w:t>
            </w:r>
          </w:p>
          <w:p>
            <w:pPr>
              <w:adjustRightInd w:val="0"/>
              <w:snapToGrid w:val="0"/>
              <w:spacing w:line="360" w:lineRule="auto"/>
              <w:jc w:val="center"/>
              <w:rPr>
                <w:rFonts w:ascii="宋体" w:hAnsi="宋体" w:cs="宋体"/>
                <w:color w:val="auto"/>
                <w:sz w:val="18"/>
                <w:szCs w:val="18"/>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分）  </w:t>
            </w:r>
          </w:p>
        </w:tc>
        <w:tc>
          <w:tcPr>
            <w:tcW w:w="7611"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拟投入本</w:t>
            </w:r>
            <w:r>
              <w:rPr>
                <w:rFonts w:hint="eastAsia" w:ascii="宋体" w:hAnsi="宋体" w:cs="宋体"/>
                <w:b/>
                <w:color w:val="auto"/>
                <w:szCs w:val="21"/>
                <w:highlight w:val="none"/>
              </w:rPr>
              <w:t>项目</w:t>
            </w:r>
            <w:r>
              <w:rPr>
                <w:rFonts w:ascii="宋体" w:hAnsi="宋体" w:cs="宋体"/>
                <w:b/>
                <w:color w:val="auto"/>
                <w:szCs w:val="21"/>
                <w:highlight w:val="none"/>
              </w:rPr>
              <w:t>检测</w:t>
            </w:r>
            <w:r>
              <w:rPr>
                <w:rFonts w:hint="eastAsia" w:ascii="宋体" w:hAnsi="宋体" w:cs="宋体"/>
                <w:b/>
                <w:color w:val="auto"/>
                <w:szCs w:val="21"/>
                <w:highlight w:val="none"/>
              </w:rPr>
              <w:t>、检测</w:t>
            </w:r>
            <w:r>
              <w:rPr>
                <w:rFonts w:ascii="宋体" w:hAnsi="宋体" w:cs="宋体"/>
                <w:b/>
                <w:color w:val="auto"/>
                <w:szCs w:val="21"/>
                <w:highlight w:val="none"/>
              </w:rPr>
              <w:t>设备</w:t>
            </w:r>
            <w:r>
              <w:rPr>
                <w:rFonts w:hint="eastAsia" w:ascii="宋体" w:hAnsi="宋体" w:cs="宋体"/>
                <w:b/>
                <w:color w:val="auto"/>
                <w:szCs w:val="21"/>
                <w:highlight w:val="none"/>
              </w:rPr>
              <w:t>：</w:t>
            </w:r>
          </w:p>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【优】拟投入</w:t>
            </w:r>
            <w:r>
              <w:rPr>
                <w:rFonts w:hint="eastAsia" w:ascii="宋体" w:hAnsi="宋体" w:cs="宋体"/>
                <w:color w:val="auto"/>
                <w:szCs w:val="21"/>
                <w:highlight w:val="none"/>
              </w:rPr>
              <w:t>仪器</w:t>
            </w:r>
            <w:r>
              <w:rPr>
                <w:rFonts w:hint="eastAsia" w:ascii="宋体" w:hAnsi="宋体"/>
                <w:bCs/>
                <w:color w:val="auto"/>
                <w:szCs w:val="21"/>
                <w:highlight w:val="none"/>
              </w:rPr>
              <w:t>设备先进、配备合理，完全满足检测监测和服务期要求，得[</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5</w:t>
            </w:r>
            <w:r>
              <w:rPr>
                <w:rFonts w:hint="eastAsia" w:ascii="宋体" w:hAnsi="宋体"/>
                <w:bCs/>
                <w:color w:val="auto"/>
                <w:szCs w:val="21"/>
                <w:highlight w:val="none"/>
              </w:rPr>
              <w:t>]分；</w:t>
            </w:r>
          </w:p>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【良】拟投入</w:t>
            </w:r>
            <w:r>
              <w:rPr>
                <w:rFonts w:hint="eastAsia" w:ascii="宋体" w:hAnsi="宋体" w:cs="宋体"/>
                <w:color w:val="auto"/>
                <w:szCs w:val="21"/>
                <w:highlight w:val="none"/>
              </w:rPr>
              <w:t>仪器</w:t>
            </w:r>
            <w:r>
              <w:rPr>
                <w:rFonts w:hint="eastAsia" w:ascii="宋体" w:hAnsi="宋体"/>
                <w:bCs/>
                <w:color w:val="auto"/>
                <w:szCs w:val="21"/>
                <w:highlight w:val="none"/>
              </w:rPr>
              <w:t>设备先进、配备合理，能较好满足检测监测和服务期要求，得[</w:t>
            </w: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lang w:eastAsia="zh-CN"/>
              </w:rPr>
              <w:t>）</w:t>
            </w:r>
            <w:r>
              <w:rPr>
                <w:rFonts w:hint="eastAsia" w:ascii="宋体" w:hAnsi="宋体"/>
                <w:bCs/>
                <w:color w:val="auto"/>
                <w:szCs w:val="21"/>
                <w:highlight w:val="none"/>
              </w:rPr>
              <w:t>分；</w:t>
            </w:r>
          </w:p>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【中】拟</w:t>
            </w:r>
            <w:r>
              <w:rPr>
                <w:rFonts w:hint="eastAsia" w:ascii="宋体" w:hAnsi="宋体" w:cs="宋体"/>
                <w:color w:val="auto"/>
                <w:szCs w:val="21"/>
                <w:highlight w:val="none"/>
              </w:rPr>
              <w:t>投入仪器</w:t>
            </w:r>
            <w:r>
              <w:rPr>
                <w:rFonts w:hint="eastAsia" w:ascii="宋体" w:hAnsi="宋体"/>
                <w:bCs/>
                <w:color w:val="auto"/>
                <w:szCs w:val="21"/>
                <w:highlight w:val="none"/>
              </w:rPr>
              <w:t>设备先进、配备基本合理，能基本满足检测监测和服务期要求，得[</w:t>
            </w:r>
            <w:r>
              <w:rPr>
                <w:rFonts w:hint="eastAsia" w:ascii="宋体" w:hAnsi="宋体"/>
                <w:bCs/>
                <w:color w:val="auto"/>
                <w:szCs w:val="21"/>
                <w:highlight w:val="none"/>
                <w:lang w:val="en-US" w:eastAsia="zh-CN"/>
              </w:rPr>
              <w:t>2</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w:t>
            </w:r>
            <w:r>
              <w:rPr>
                <w:rFonts w:hint="eastAsia" w:ascii="宋体" w:hAnsi="宋体"/>
                <w:bCs/>
                <w:color w:val="auto"/>
                <w:szCs w:val="21"/>
                <w:highlight w:val="none"/>
              </w:rPr>
              <w:t>分；</w:t>
            </w:r>
          </w:p>
          <w:p>
            <w:pPr>
              <w:pStyle w:val="6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【差】</w:t>
            </w:r>
            <w:r>
              <w:rPr>
                <w:rFonts w:hint="eastAsia" w:ascii="宋体" w:hAnsi="宋体" w:cs="宋体"/>
                <w:color w:val="auto"/>
                <w:szCs w:val="21"/>
                <w:highlight w:val="none"/>
              </w:rPr>
              <w:t>设备</w:t>
            </w:r>
            <w:r>
              <w:rPr>
                <w:rFonts w:hint="eastAsia" w:ascii="宋体" w:hAnsi="宋体"/>
                <w:bCs/>
                <w:color w:val="auto"/>
                <w:szCs w:val="21"/>
                <w:highlight w:val="none"/>
              </w:rPr>
              <w:t>不能满足检测监测需要和服务期要求，得[</w:t>
            </w:r>
            <w:r>
              <w:rPr>
                <w:rFonts w:hint="eastAsia" w:ascii="宋体" w:hAnsi="宋体"/>
                <w:bCs/>
                <w:color w:val="auto"/>
                <w:szCs w:val="21"/>
                <w:highlight w:val="none"/>
                <w:lang w:val="en-US" w:eastAsia="zh-CN"/>
              </w:rPr>
              <w:t>0</w:t>
            </w:r>
            <w:r>
              <w:rPr>
                <w:rFonts w:hint="eastAsia" w:ascii="宋体" w:hAnsi="宋体"/>
                <w:bCs/>
                <w:color w:val="auto"/>
                <w:szCs w:val="21"/>
                <w:highlight w:val="none"/>
              </w:rPr>
              <w:t>,2</w:t>
            </w:r>
            <w:r>
              <w:rPr>
                <w:rFonts w:hint="eastAsia" w:ascii="宋体" w:hAnsi="宋体"/>
                <w:bCs/>
                <w:color w:val="auto"/>
                <w:szCs w:val="21"/>
                <w:highlight w:val="none"/>
                <w:lang w:eastAsia="zh-CN"/>
              </w:rPr>
              <w:t>）</w:t>
            </w:r>
            <w:r>
              <w:rPr>
                <w:rFonts w:hint="eastAsia" w:ascii="宋体" w:hAnsi="宋体"/>
                <w:bCs/>
                <w:color w:val="auto"/>
                <w:szCs w:val="21"/>
                <w:highlight w:val="none"/>
              </w:rPr>
              <w:t>分。</w:t>
            </w:r>
          </w:p>
          <w:p>
            <w:pPr>
              <w:adjustRightInd w:val="0"/>
              <w:snapToGrid w:val="0"/>
              <w:spacing w:line="360" w:lineRule="auto"/>
              <w:rPr>
                <w:rFonts w:ascii="宋体" w:hAnsi="宋体" w:cs="宋体"/>
                <w:color w:val="auto"/>
                <w:szCs w:val="21"/>
                <w:highlight w:val="none"/>
              </w:rPr>
            </w:pPr>
            <w:r>
              <w:rPr>
                <w:rFonts w:hint="eastAsia" w:ascii="宋体" w:hAnsi="宋体"/>
                <w:b/>
                <w:color w:val="auto"/>
                <w:szCs w:val="21"/>
                <w:highlight w:val="none"/>
              </w:rPr>
              <w:t>注：需提交设备购置发票</w:t>
            </w:r>
            <w:r>
              <w:rPr>
                <w:rFonts w:hint="eastAsia" w:ascii="宋体" w:hAnsi="宋体"/>
                <w:b/>
                <w:color w:val="auto"/>
                <w:szCs w:val="21"/>
                <w:highlight w:val="none"/>
                <w:lang w:eastAsia="zh-CN"/>
              </w:rPr>
              <w:t>或</w:t>
            </w:r>
            <w:r>
              <w:rPr>
                <w:rFonts w:hint="eastAsia" w:ascii="宋体" w:hAnsi="宋体"/>
                <w:b/>
                <w:color w:val="auto"/>
                <w:szCs w:val="21"/>
                <w:highlight w:val="none"/>
              </w:rPr>
              <w:t>仪器检定证书或其他证明材料的清晰扫描件。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83" w:type="dxa"/>
            <w:vMerge w:val="restart"/>
            <w:vAlign w:val="center"/>
          </w:tcPr>
          <w:p>
            <w:pPr>
              <w:adjustRightInd w:val="0"/>
              <w:snapToGrid w:val="0"/>
              <w:spacing w:line="360" w:lineRule="auto"/>
              <w:jc w:val="center"/>
              <w:rPr>
                <w:color w:val="auto"/>
                <w:highlight w:val="none"/>
              </w:rPr>
            </w:pPr>
            <w:r>
              <w:rPr>
                <w:rFonts w:hint="eastAsia"/>
                <w:color w:val="auto"/>
                <w:highlight w:val="none"/>
              </w:rPr>
              <w:t>2.2.4（3）</w:t>
            </w:r>
          </w:p>
        </w:tc>
        <w:tc>
          <w:tcPr>
            <w:tcW w:w="1028" w:type="dxa"/>
            <w:vMerge w:val="restart"/>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投标报价评分标准（</w:t>
            </w:r>
            <w:r>
              <w:rPr>
                <w:rFonts w:hint="eastAsia" w:ascii="宋体" w:hAnsi="宋体" w:cs="宋体"/>
                <w:color w:val="auto"/>
                <w:highlight w:val="none"/>
                <w:lang w:val="en-US" w:eastAsia="zh-CN"/>
              </w:rPr>
              <w:t>1</w:t>
            </w:r>
            <w:r>
              <w:rPr>
                <w:rFonts w:hint="eastAsia" w:ascii="宋体" w:hAnsi="宋体" w:cs="宋体"/>
                <w:color w:val="auto"/>
                <w:highlight w:val="none"/>
              </w:rPr>
              <w:t>0分）</w:t>
            </w:r>
          </w:p>
        </w:tc>
        <w:tc>
          <w:tcPr>
            <w:tcW w:w="982" w:type="dxa"/>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偏差率</w:t>
            </w:r>
          </w:p>
        </w:tc>
        <w:tc>
          <w:tcPr>
            <w:tcW w:w="7611" w:type="dxa"/>
            <w:vAlign w:val="center"/>
          </w:tcPr>
          <w:p>
            <w:pPr>
              <w:adjustRightInd w:val="0"/>
              <w:snapToGrid w:val="0"/>
              <w:spacing w:line="360" w:lineRule="auto"/>
              <w:ind w:right="65" w:rightChars="31"/>
              <w:rPr>
                <w:rFonts w:ascii="宋体" w:hAnsi="宋体" w:cs="宋体"/>
                <w:color w:val="auto"/>
                <w:szCs w:val="21"/>
                <w:highlight w:val="none"/>
              </w:rPr>
            </w:pPr>
            <w:r>
              <w:rPr>
                <w:rFonts w:hint="eastAsia" w:ascii="宋体" w:hAnsi="宋体"/>
                <w:color w:val="auto"/>
                <w:szCs w:val="21"/>
                <w:highlight w:val="none"/>
              </w:rPr>
              <w:t>偏差率=100% ×|投标人报价-评标参考价|/评标参考价（偏差率出现小数点时，保留小数点后2位，第三位小数四舍五入；报价偏差率不足1%的，按直线内插法计算投标报价得分。）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83" w:type="dxa"/>
            <w:vMerge w:val="continue"/>
            <w:vAlign w:val="center"/>
          </w:tcPr>
          <w:p>
            <w:pPr>
              <w:adjustRightInd w:val="0"/>
              <w:snapToGrid w:val="0"/>
              <w:spacing w:line="360" w:lineRule="auto"/>
              <w:jc w:val="center"/>
              <w:rPr>
                <w:color w:val="auto"/>
                <w:highlight w:val="none"/>
              </w:rPr>
            </w:pPr>
          </w:p>
        </w:tc>
        <w:tc>
          <w:tcPr>
            <w:tcW w:w="1028" w:type="dxa"/>
            <w:vMerge w:val="continue"/>
            <w:vAlign w:val="center"/>
          </w:tcPr>
          <w:p>
            <w:pPr>
              <w:adjustRightInd w:val="0"/>
              <w:snapToGrid w:val="0"/>
              <w:spacing w:line="360" w:lineRule="auto"/>
              <w:jc w:val="center"/>
              <w:rPr>
                <w:rFonts w:ascii="宋体" w:hAnsi="宋体" w:cs="宋体"/>
                <w:color w:val="auto"/>
                <w:highlight w:val="none"/>
              </w:rPr>
            </w:pPr>
          </w:p>
        </w:tc>
        <w:tc>
          <w:tcPr>
            <w:tcW w:w="982" w:type="dxa"/>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计算</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方法</w:t>
            </w:r>
          </w:p>
        </w:tc>
        <w:tc>
          <w:tcPr>
            <w:tcW w:w="7611" w:type="dxa"/>
            <w:vAlign w:val="center"/>
          </w:tcPr>
          <w:p>
            <w:pPr>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以评标参考价作为计算各有效投标报价得分的基础，当有效投标报价等于评标参考价时得</w:t>
            </w:r>
            <w:r>
              <w:rPr>
                <w:rFonts w:hint="eastAsia" w:ascii="宋体" w:hAnsi="宋体"/>
                <w:color w:val="auto"/>
                <w:szCs w:val="21"/>
                <w:highlight w:val="none"/>
                <w:lang w:val="en-US" w:eastAsia="zh-CN"/>
              </w:rPr>
              <w:t>1</w:t>
            </w:r>
            <w:r>
              <w:rPr>
                <w:rFonts w:hint="eastAsia" w:ascii="宋体" w:hAnsi="宋体"/>
                <w:color w:val="auto"/>
                <w:szCs w:val="21"/>
                <w:highlight w:val="none"/>
              </w:rPr>
              <w:t>0</w:t>
            </w:r>
            <w:r>
              <w:rPr>
                <w:rFonts w:hint="eastAsia" w:ascii="宋体" w:hAnsi="宋体" w:cs="宋体"/>
                <w:color w:val="auto"/>
                <w:szCs w:val="21"/>
                <w:highlight w:val="none"/>
              </w:rPr>
              <w:t>分；投标有效报价与评标参考价之差，每上偏</w:t>
            </w:r>
            <w:r>
              <w:rPr>
                <w:rFonts w:hint="eastAsia" w:ascii="宋体" w:hAnsi="宋体"/>
                <w:color w:val="auto"/>
                <w:szCs w:val="21"/>
                <w:highlight w:val="none"/>
              </w:rPr>
              <w:t>1%</w:t>
            </w:r>
            <w:r>
              <w:rPr>
                <w:rFonts w:hint="eastAsia" w:ascii="宋体" w:hAnsi="宋体" w:cs="宋体"/>
                <w:color w:val="auto"/>
                <w:szCs w:val="21"/>
                <w:highlight w:val="none"/>
              </w:rPr>
              <w:t>扣</w:t>
            </w:r>
            <w:r>
              <w:rPr>
                <w:rFonts w:hint="eastAsia" w:ascii="宋体" w:hAnsi="宋体"/>
                <w:color w:val="auto"/>
                <w:szCs w:val="21"/>
                <w:highlight w:val="none"/>
              </w:rPr>
              <w:t>0.5</w:t>
            </w:r>
            <w:r>
              <w:rPr>
                <w:rFonts w:hint="eastAsia" w:ascii="宋体" w:hAnsi="宋体" w:cs="宋体"/>
                <w:color w:val="auto"/>
                <w:szCs w:val="21"/>
                <w:highlight w:val="none"/>
              </w:rPr>
              <w:t>分，下偏</w:t>
            </w:r>
            <w:r>
              <w:rPr>
                <w:rFonts w:hint="eastAsia" w:ascii="宋体" w:hAnsi="宋体"/>
                <w:color w:val="auto"/>
                <w:szCs w:val="21"/>
                <w:highlight w:val="none"/>
              </w:rPr>
              <w:t>1%</w:t>
            </w:r>
            <w:r>
              <w:rPr>
                <w:rFonts w:hint="eastAsia" w:ascii="宋体" w:hAnsi="宋体" w:cs="宋体"/>
                <w:color w:val="auto"/>
                <w:szCs w:val="21"/>
                <w:highlight w:val="none"/>
              </w:rPr>
              <w:t>扣</w:t>
            </w:r>
            <w:r>
              <w:rPr>
                <w:rFonts w:hint="eastAsia" w:ascii="宋体" w:hAnsi="宋体"/>
                <w:color w:val="auto"/>
                <w:szCs w:val="21"/>
                <w:highlight w:val="none"/>
              </w:rPr>
              <w:t>0.3</w:t>
            </w:r>
            <w:r>
              <w:rPr>
                <w:rFonts w:hint="eastAsia" w:ascii="宋体" w:hAnsi="宋体" w:cs="宋体"/>
                <w:color w:val="auto"/>
                <w:szCs w:val="21"/>
                <w:highlight w:val="none"/>
              </w:rPr>
              <w:t>分；最多减至</w:t>
            </w:r>
            <w:r>
              <w:rPr>
                <w:rFonts w:hint="eastAsia" w:ascii="宋体" w:hAnsi="宋体"/>
                <w:color w:val="auto"/>
                <w:szCs w:val="21"/>
                <w:highlight w:val="none"/>
              </w:rPr>
              <w:t>0</w:t>
            </w:r>
            <w:r>
              <w:rPr>
                <w:rFonts w:hint="eastAsia" w:ascii="宋体" w:hAnsi="宋体" w:cs="宋体"/>
                <w:color w:val="auto"/>
                <w:szCs w:val="21"/>
                <w:highlight w:val="none"/>
              </w:rPr>
              <w:t>分止。</w:t>
            </w:r>
            <w:r>
              <w:rPr>
                <w:rFonts w:hint="eastAsia" w:ascii="宋体" w:hAnsi="宋体"/>
                <w:bCs/>
                <w:color w:val="auto"/>
                <w:szCs w:val="21"/>
                <w:highlight w:val="none"/>
              </w:rPr>
              <w:t>（</w:t>
            </w:r>
            <w:r>
              <w:rPr>
                <w:rFonts w:hint="eastAsia" w:ascii="宋体" w:hAnsi="宋体" w:cs="宋体"/>
                <w:bCs/>
                <w:color w:val="auto"/>
                <w:szCs w:val="21"/>
                <w:highlight w:val="none"/>
              </w:rPr>
              <w:t>中间报价得分按直线内插法计算</w:t>
            </w:r>
            <w:r>
              <w:rPr>
                <w:rFonts w:hint="eastAsia" w:ascii="宋体" w:hAnsi="宋体"/>
                <w:bCs/>
                <w:color w:val="auto"/>
                <w:szCs w:val="21"/>
                <w:highlight w:val="none"/>
              </w:rPr>
              <w:t>）</w:t>
            </w:r>
          </w:p>
          <w:p>
            <w:pPr>
              <w:adjustRightInd w:val="0"/>
              <w:snapToGrid w:val="0"/>
              <w:spacing w:line="360" w:lineRule="auto"/>
              <w:jc w:val="left"/>
              <w:rPr>
                <w:rFonts w:ascii="宋体" w:hAnsi="宋体" w:cs="宋体"/>
                <w:color w:val="auto"/>
                <w:szCs w:val="21"/>
                <w:highlight w:val="none"/>
              </w:rPr>
            </w:pPr>
            <w:r>
              <w:rPr>
                <w:rFonts w:hint="eastAsia" w:ascii="宋体" w:hAnsi="宋体"/>
                <w:b/>
                <w:color w:val="auto"/>
                <w:szCs w:val="21"/>
                <w:highlight w:val="none"/>
              </w:rPr>
              <w:t>注：</w:t>
            </w:r>
            <w:r>
              <w:rPr>
                <w:rFonts w:hint="eastAsia" w:ascii="宋体" w:hAnsi="宋体" w:cs="宋体"/>
                <w:b/>
                <w:color w:val="auto"/>
                <w:szCs w:val="21"/>
                <w:highlight w:val="none"/>
              </w:rPr>
              <w:t>本项最高分为</w:t>
            </w:r>
            <w:r>
              <w:rPr>
                <w:rFonts w:hint="eastAsia" w:ascii="宋体" w:hAnsi="宋体"/>
                <w:b/>
                <w:color w:val="auto"/>
                <w:szCs w:val="21"/>
                <w:highlight w:val="none"/>
                <w:lang w:val="en-US" w:eastAsia="zh-CN"/>
              </w:rPr>
              <w:t>10</w:t>
            </w:r>
            <w:r>
              <w:rPr>
                <w:rFonts w:hint="eastAsia" w:ascii="宋体" w:hAnsi="宋体" w:cs="宋体"/>
                <w:b/>
                <w:color w:val="auto"/>
                <w:szCs w:val="21"/>
                <w:highlight w:val="none"/>
              </w:rPr>
              <w:t>分，最低分为</w:t>
            </w:r>
            <w:r>
              <w:rPr>
                <w:rFonts w:hint="eastAsia" w:ascii="宋体" w:hAnsi="宋体"/>
                <w:b/>
                <w:color w:val="auto"/>
                <w:szCs w:val="21"/>
                <w:highlight w:val="none"/>
              </w:rPr>
              <w:t>0</w:t>
            </w:r>
            <w:r>
              <w:rPr>
                <w:rFonts w:hint="eastAsia" w:ascii="宋体" w:hAnsi="宋体" w:cs="宋体"/>
                <w:b/>
                <w:color w:val="auto"/>
                <w:szCs w:val="21"/>
                <w:highlight w:val="none"/>
              </w:rPr>
              <w:t>分。得分精确到小数点后两位。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83" w:type="dxa"/>
            <w:vAlign w:val="center"/>
          </w:tcPr>
          <w:p>
            <w:pPr>
              <w:adjustRightInd w:val="0"/>
              <w:snapToGrid w:val="0"/>
              <w:spacing w:line="360" w:lineRule="auto"/>
              <w:jc w:val="center"/>
              <w:rPr>
                <w:color w:val="auto"/>
                <w:highlight w:val="none"/>
              </w:rPr>
            </w:pPr>
            <w:r>
              <w:rPr>
                <w:rFonts w:hint="eastAsia"/>
                <w:color w:val="auto"/>
                <w:highlight w:val="none"/>
              </w:rPr>
              <w:t>2.2.4（</w:t>
            </w:r>
            <w:r>
              <w:rPr>
                <w:rFonts w:hint="eastAsia"/>
                <w:color w:val="auto"/>
                <w:highlight w:val="none"/>
                <w:lang w:val="en-US" w:eastAsia="zh-CN"/>
              </w:rPr>
              <w:t>4</w:t>
            </w:r>
            <w:r>
              <w:rPr>
                <w:rFonts w:hint="eastAsia"/>
                <w:color w:val="auto"/>
                <w:highlight w:val="none"/>
              </w:rPr>
              <w:t>）</w:t>
            </w:r>
          </w:p>
        </w:tc>
        <w:tc>
          <w:tcPr>
            <w:tcW w:w="1028" w:type="dxa"/>
            <w:vAlign w:val="center"/>
          </w:tcPr>
          <w:p>
            <w:pPr>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其他因素评分标准</w:t>
            </w:r>
          </w:p>
          <w:p>
            <w:pPr>
              <w:adjustRightInd w:val="0"/>
              <w:snapToGrid w:val="0"/>
              <w:spacing w:line="360" w:lineRule="auto"/>
              <w:jc w:val="center"/>
              <w:rPr>
                <w:rFonts w:ascii="宋体" w:hAnsi="宋体" w:cs="宋体"/>
                <w:color w:val="auto"/>
                <w:highlight w:val="none"/>
              </w:rPr>
            </w:pPr>
            <w:r>
              <w:rPr>
                <w:rFonts w:hint="eastAsia" w:ascii="宋体" w:hAnsi="宋体" w:eastAsia="宋体" w:cs="宋体"/>
                <w:color w:val="auto"/>
                <w:highlight w:val="none"/>
              </w:rPr>
              <w:t>（10分）</w:t>
            </w:r>
          </w:p>
        </w:tc>
        <w:tc>
          <w:tcPr>
            <w:tcW w:w="982" w:type="dxa"/>
            <w:vAlign w:val="center"/>
          </w:tcPr>
          <w:p>
            <w:pPr>
              <w:spacing w:line="276" w:lineRule="auto"/>
              <w:jc w:val="center"/>
              <w:rPr>
                <w:rFonts w:ascii="宋体" w:hAnsi="宋体" w:eastAsia="宋体" w:cs="宋体"/>
                <w:color w:val="000000"/>
                <w:sz w:val="21"/>
                <w:szCs w:val="21"/>
              </w:rPr>
            </w:pPr>
            <w:r>
              <w:rPr>
                <w:rFonts w:hint="eastAsia" w:ascii="宋体" w:hAnsi="宋体" w:eastAsia="宋体" w:cs="宋体"/>
                <w:color w:val="000000"/>
                <w:sz w:val="21"/>
                <w:szCs w:val="21"/>
              </w:rPr>
              <w:t>企业诚信得分</w:t>
            </w:r>
          </w:p>
          <w:p>
            <w:pPr>
              <w:spacing w:line="276" w:lineRule="auto"/>
              <w:jc w:val="center"/>
              <w:rPr>
                <w:rFonts w:hint="eastAsia" w:ascii="宋体" w:hAnsi="宋体" w:cs="宋体"/>
                <w:color w:val="auto"/>
                <w:szCs w:val="21"/>
                <w:highlight w:val="none"/>
              </w:rPr>
            </w:pPr>
            <w:r>
              <w:rPr>
                <w:rFonts w:hint="eastAsia" w:ascii="宋体" w:hAnsi="宋体" w:eastAsia="宋体" w:cs="宋体"/>
                <w:color w:val="000000"/>
                <w:sz w:val="21"/>
                <w:szCs w:val="21"/>
              </w:rPr>
              <w:t>（10分）</w:t>
            </w:r>
          </w:p>
        </w:tc>
        <w:tc>
          <w:tcPr>
            <w:tcW w:w="7611" w:type="dxa"/>
            <w:vAlign w:val="center"/>
          </w:tcPr>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投标人诚信得分＝诚信综合评分排名得分*10%。企业的诚信综合评价得分以开标当天广州公共资源交易中心网站上公布的检测机构60日诚信评价得分为准。</w:t>
            </w:r>
          </w:p>
          <w:p>
            <w:pPr>
              <w:adjustRightInd w:val="0"/>
              <w:snapToGrid w:val="0"/>
              <w:spacing w:line="360" w:lineRule="auto"/>
              <w:rPr>
                <w:rFonts w:hint="eastAsia" w:ascii="宋体" w:hAnsi="宋体"/>
                <w:b/>
                <w:color w:val="auto"/>
                <w:szCs w:val="21"/>
                <w:highlight w:val="none"/>
              </w:rPr>
            </w:pPr>
            <w:r>
              <w:rPr>
                <w:rFonts w:hint="eastAsia" w:ascii="宋体" w:hAnsi="宋体" w:eastAsia="宋体" w:cs="宋体"/>
                <w:color w:val="auto"/>
                <w:szCs w:val="21"/>
                <w:highlight w:val="none"/>
              </w:rPr>
              <w:t>查询地址：https://rhjg.gzcqs.com/evaluationPage。若开标时网址有变化，以最新的网址为准。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04" w:type="dxa"/>
            <w:gridSpan w:val="4"/>
            <w:vAlign w:val="center"/>
          </w:tcPr>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说明：</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1</w:t>
            </w:r>
            <w:r>
              <w:rPr>
                <w:rFonts w:ascii="宋体" w:hAnsi="宋体" w:eastAsia="Times New Roman" w:cs="宋体"/>
                <w:color w:val="000000"/>
                <w:kern w:val="2"/>
                <w:sz w:val="22"/>
                <w:szCs w:val="21"/>
                <w:lang w:val="en-US" w:eastAsia="zh-CN" w:bidi="ar-SA"/>
              </w:rPr>
              <w:t>、</w:t>
            </w:r>
            <w:r>
              <w:rPr>
                <w:rFonts w:hint="eastAsia" w:ascii="宋体" w:hAnsi="宋体" w:eastAsia="Times New Roman" w:cs="宋体"/>
                <w:color w:val="000000"/>
                <w:kern w:val="2"/>
                <w:sz w:val="22"/>
                <w:szCs w:val="21"/>
                <w:lang w:val="en-US" w:eastAsia="zh-CN" w:bidi="ar-SA"/>
              </w:rPr>
              <w:t>投标人信誉：</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1.1</w:t>
            </w:r>
            <w:r>
              <w:rPr>
                <w:rFonts w:ascii="宋体" w:hAnsi="宋体" w:eastAsia="Times New Roman" w:cs="宋体"/>
                <w:color w:val="000000"/>
                <w:kern w:val="2"/>
                <w:sz w:val="22"/>
                <w:szCs w:val="21"/>
                <w:lang w:val="en-US" w:eastAsia="zh-CN" w:bidi="ar-SA"/>
              </w:rPr>
              <w:t>体系认证</w:t>
            </w:r>
            <w:r>
              <w:rPr>
                <w:rFonts w:hint="eastAsia" w:ascii="宋体" w:hAnsi="宋体" w:eastAsia="Times New Roman" w:cs="宋体"/>
                <w:color w:val="000000"/>
                <w:kern w:val="2"/>
                <w:sz w:val="22"/>
                <w:szCs w:val="21"/>
                <w:lang w:val="en-US" w:eastAsia="zh-CN" w:bidi="ar-SA"/>
              </w:rPr>
              <w:t>证书：投标人需提供有效期内的认证证书清晰扫描件并加盖电子印章，及在国家认证认可监督管理委员会官网（http://www.cnca.gov.cn）上查询到的有效期内的截图打印件</w:t>
            </w:r>
            <w:r>
              <w:rPr>
                <w:rFonts w:ascii="宋体" w:hAnsi="宋体" w:eastAsia="Times New Roman" w:cs="宋体"/>
                <w:color w:val="000000"/>
                <w:kern w:val="2"/>
                <w:sz w:val="22"/>
                <w:szCs w:val="21"/>
                <w:lang w:val="en-US" w:eastAsia="zh-CN" w:bidi="ar-SA"/>
              </w:rPr>
              <w:t>并加盖电子印章</w:t>
            </w:r>
            <w:r>
              <w:rPr>
                <w:rFonts w:hint="eastAsia" w:ascii="宋体" w:hAnsi="宋体" w:eastAsia="Times New Roman" w:cs="宋体"/>
                <w:color w:val="000000"/>
                <w:kern w:val="2"/>
                <w:sz w:val="22"/>
                <w:szCs w:val="21"/>
                <w:lang w:val="en-US" w:eastAsia="zh-CN" w:bidi="ar-SA"/>
              </w:rPr>
              <w:t>。</w:t>
            </w:r>
          </w:p>
          <w:p>
            <w:pPr>
              <w:pStyle w:val="16"/>
              <w:wordWrap w:val="0"/>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1.2发明专利：发明专利证书授权以中华人民共和国国家知识产权局网站（http://www.cnipa.gov.cn/,网站中“专利公布公告”）可查询的专利为准，时间以授权公告日为准。获得单位必须包含投标单位，以子公司分公司名义获得不作计算。</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1.3科学技术进步奖励证书：按最高奖项一次计取，不重复计算。需提供获奖证书扫描件并加盖电子印章，科学技术进步奖证书颁发部门为国务院、省、市人民政府。个人奖项不计分。</w:t>
            </w:r>
          </w:p>
          <w:p>
            <w:pPr>
              <w:spacing w:line="440" w:lineRule="exact"/>
              <w:ind w:firstLine="440" w:firstLineChars="20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1.4 A级纳税人：以国家税务总局官网（http://www.chinatax.gov.cn/index.html）查询结果为准，纳税人登记只计算投标人自身（不计算投标</w:t>
            </w:r>
            <w:bookmarkStart w:id="422" w:name="_GoBack"/>
            <w:bookmarkEnd w:id="422"/>
            <w:r>
              <w:rPr>
                <w:rFonts w:hint="eastAsia" w:ascii="宋体" w:hAnsi="宋体" w:eastAsia="Times New Roman" w:cs="宋体"/>
                <w:color w:val="000000"/>
                <w:kern w:val="2"/>
                <w:sz w:val="22"/>
                <w:szCs w:val="21"/>
                <w:lang w:val="en-US" w:eastAsia="zh-CN" w:bidi="ar-SA"/>
              </w:rPr>
              <w:t>人的分公司和子公司）。投标人须提供在上述官网的查询结果网页打印页和证书扫描件（不符合条件或无提交上述打印件的不计分）。时间以国家税务总局官网公布的获奖年度（评价年度）为准。</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2、拟投入本项目人员的技术水平：</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2.1拟投入本项目的项目负责人、技术负责人及项目组技术人员仅指注册在本公司人员，不含子母公司人员，如投标申请人为集团公司，则不含集团下属分公司，专指集团本部人员，同样下属公司也不得使用集团公司的人员。人员不能兼任，不重复计算得分。</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2.2人员需提供相应证书、身份证等证明文件。</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2.3所有人员应提供近</w:t>
            </w:r>
            <w:r>
              <w:rPr>
                <w:rFonts w:hint="eastAsia" w:ascii="宋体" w:hAnsi="宋体" w:eastAsia="Times New Roman" w:cs="宋体"/>
                <w:color w:val="000000"/>
                <w:kern w:val="2"/>
                <w:sz w:val="22"/>
                <w:szCs w:val="21"/>
                <w:highlight w:val="none"/>
                <w:lang w:val="en-US" w:eastAsia="zh-CN" w:bidi="ar-SA"/>
              </w:rPr>
              <w:t>1个月（2023年0</w:t>
            </w:r>
            <w:r>
              <w:rPr>
                <w:rFonts w:hint="eastAsia" w:hAnsi="宋体" w:eastAsia="Times New Roman" w:cs="宋体"/>
                <w:color w:val="000000"/>
                <w:kern w:val="2"/>
                <w:sz w:val="22"/>
                <w:szCs w:val="21"/>
                <w:highlight w:val="none"/>
                <w:lang w:val="en-US" w:eastAsia="zh-CN" w:bidi="ar-SA"/>
              </w:rPr>
              <w:t>8</w:t>
            </w:r>
            <w:r>
              <w:rPr>
                <w:rFonts w:hint="eastAsia" w:ascii="宋体" w:hAnsi="宋体" w:eastAsia="Times New Roman" w:cs="宋体"/>
                <w:color w:val="000000"/>
                <w:kern w:val="2"/>
                <w:sz w:val="22"/>
                <w:szCs w:val="21"/>
                <w:highlight w:val="none"/>
                <w:lang w:val="en-US" w:eastAsia="zh-CN" w:bidi="ar-SA"/>
              </w:rPr>
              <w:t>月）</w:t>
            </w:r>
            <w:r>
              <w:rPr>
                <w:rFonts w:hint="eastAsia" w:ascii="宋体" w:hAnsi="宋体" w:eastAsia="Times New Roman" w:cs="宋体"/>
                <w:color w:val="000000"/>
                <w:kern w:val="2"/>
                <w:sz w:val="22"/>
                <w:szCs w:val="21"/>
                <w:lang w:val="en-US" w:eastAsia="zh-CN" w:bidi="ar-SA"/>
              </w:rPr>
              <w:t>，由社保行政主管部门出具的社保证明资料原件扫描件。</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3、若以联合体方式参与投标的，资信业绩部分评分标准中的企业综合实力评价的评分内容以联合体牵头方信息为准，其他成员单位不进行累计计分；投标人业绩、</w:t>
            </w:r>
            <w:r>
              <w:rPr>
                <w:rFonts w:hint="eastAsia" w:ascii="宋体" w:hAnsi="宋体" w:cs="宋体"/>
                <w:color w:val="auto"/>
                <w:szCs w:val="21"/>
                <w:highlight w:val="none"/>
              </w:rPr>
              <w:t>拟投入的仪器设备</w:t>
            </w:r>
            <w:r>
              <w:rPr>
                <w:rFonts w:hint="eastAsia" w:ascii="宋体" w:hAnsi="宋体" w:eastAsia="Times New Roman" w:cs="宋体"/>
                <w:color w:val="000000"/>
                <w:kern w:val="2"/>
                <w:sz w:val="22"/>
                <w:szCs w:val="21"/>
                <w:lang w:val="en-US" w:eastAsia="zh-CN" w:bidi="ar-SA"/>
              </w:rPr>
              <w:t>的评分内容联合体各成员可以累计加分。</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4、若以联合体方式参与投标的，投标人诚信综合评价得分以联合体牵头方的诚信综合评价得分为准。</w:t>
            </w:r>
          </w:p>
          <w:p>
            <w:pPr>
              <w:spacing w:line="440" w:lineRule="exact"/>
              <w:ind w:firstLine="440" w:firstLineChars="200"/>
              <w:rPr>
                <w:rFonts w:hint="eastAsia"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5、</w:t>
            </w:r>
            <w:r>
              <w:rPr>
                <w:rFonts w:hint="eastAsia" w:ascii="宋体" w:hAnsi="宋体" w:eastAsia="Times New Roman" w:cs="宋体"/>
                <w:color w:val="000000"/>
                <w:kern w:val="2"/>
                <w:sz w:val="22"/>
                <w:szCs w:val="21"/>
                <w:lang w:val="zh-CN" w:eastAsia="zh-CN" w:bidi="ar-SA"/>
              </w:rPr>
              <w:t>本评分表中所需要的证明材料可为原件扫描件（或复印件）、网页截图（或查询页面）打印件、电子版证书文件等投标人认为应提供的资料，投标人提供的证明材料必须加盖投标人（若为联合体，指联合体牵头单位）电子印章且内容必须清晰可辨，如因提供证明资料内容模糊或不全导致评标时无法判断或辨认的，视为证明资料不提供或提供不完整或提供不符合要求，该评分项不得分。</w:t>
            </w:r>
          </w:p>
          <w:p>
            <w:pPr>
              <w:pStyle w:val="16"/>
              <w:spacing w:line="440" w:lineRule="exact"/>
              <w:ind w:firstLine="420"/>
              <w:rPr>
                <w:rFonts w:ascii="宋体" w:hAnsi="宋体" w:eastAsia="Times New Roman" w:cs="宋体"/>
                <w:color w:val="000000"/>
                <w:kern w:val="2"/>
                <w:sz w:val="22"/>
                <w:szCs w:val="21"/>
                <w:lang w:val="en-US" w:eastAsia="zh-CN" w:bidi="ar-SA"/>
              </w:rPr>
            </w:pPr>
            <w:r>
              <w:rPr>
                <w:rFonts w:hint="eastAsia" w:ascii="宋体" w:hAnsi="宋体" w:eastAsia="Times New Roman" w:cs="宋体"/>
                <w:color w:val="000000"/>
                <w:kern w:val="2"/>
                <w:sz w:val="22"/>
                <w:szCs w:val="21"/>
                <w:lang w:val="en-US" w:eastAsia="zh-CN" w:bidi="ar-SA"/>
              </w:rPr>
              <w:t>6、本表按百分制评分，所有评委分数汇总后的算术平均值为投标人的最终得分。分数出现小数点，保留小数点后二位小数，第三位小数四舍五入。</w:t>
            </w:r>
          </w:p>
          <w:p>
            <w:pPr>
              <w:adjustRightInd w:val="0"/>
              <w:snapToGrid w:val="0"/>
              <w:spacing w:line="360" w:lineRule="auto"/>
              <w:ind w:firstLine="440" w:firstLineChars="200"/>
              <w:rPr>
                <w:rFonts w:ascii="宋体" w:hAnsi="宋体" w:cs="宋体"/>
                <w:color w:val="auto"/>
                <w:szCs w:val="21"/>
                <w:highlight w:val="none"/>
              </w:rPr>
            </w:pPr>
            <w:r>
              <w:rPr>
                <w:rFonts w:hint="eastAsia" w:ascii="宋体" w:hAnsi="宋体" w:eastAsia="Times New Roman" w:cs="宋体"/>
                <w:b w:val="0"/>
                <w:bCs w:val="0"/>
                <w:color w:val="000000"/>
                <w:kern w:val="2"/>
                <w:sz w:val="22"/>
                <w:szCs w:val="21"/>
                <w:lang w:val="en-US" w:eastAsia="zh-CN" w:bidi="ar-SA"/>
              </w:rPr>
              <w:t>7</w:t>
            </w:r>
            <w:r>
              <w:rPr>
                <w:rFonts w:hint="eastAsia" w:ascii="宋体" w:hAnsi="宋体" w:eastAsia="Times New Roman" w:cs="宋体"/>
                <w:b w:val="0"/>
                <w:bCs w:val="0"/>
                <w:color w:val="000000"/>
                <w:kern w:val="2"/>
                <w:sz w:val="22"/>
                <w:szCs w:val="21"/>
                <w:lang w:val="zh-CN" w:eastAsia="zh-CN" w:bidi="ar-SA"/>
              </w:rPr>
              <w:t>、中标单位需准备投标文件涉及的所有原件待查，如原件不齐或与原件不符的，招标人有权认为其中标无效。</w:t>
            </w:r>
          </w:p>
        </w:tc>
      </w:tr>
    </w:tbl>
    <w:p>
      <w:pPr>
        <w:pStyle w:val="6"/>
        <w:rPr>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17" w:right="1417" w:bottom="1417" w:left="1417" w:header="850" w:footer="567" w:gutter="0"/>
          <w:pgNumType w:fmt="decimal"/>
          <w:cols w:space="720" w:num="1"/>
        </w:sectPr>
      </w:pPr>
      <w:bookmarkStart w:id="221" w:name="_Toc103592026"/>
    </w:p>
    <w:p>
      <w:pPr>
        <w:pStyle w:val="6"/>
        <w:rPr>
          <w:color w:val="auto"/>
          <w:szCs w:val="21"/>
          <w:highlight w:val="none"/>
        </w:rPr>
      </w:pPr>
      <w:bookmarkStart w:id="222" w:name="_Toc30608"/>
      <w:bookmarkStart w:id="223" w:name="_Toc10027"/>
      <w:bookmarkStart w:id="224" w:name="_Toc1608"/>
      <w:bookmarkStart w:id="225" w:name="_Toc11729"/>
      <w:bookmarkStart w:id="226" w:name="_Toc24383"/>
      <w:r>
        <w:rPr>
          <w:rFonts w:hint="eastAsia"/>
          <w:color w:val="auto"/>
          <w:highlight w:val="none"/>
        </w:rPr>
        <w:t>附表五：算术复核表</w:t>
      </w:r>
      <w:bookmarkEnd w:id="221"/>
      <w:bookmarkEnd w:id="222"/>
      <w:bookmarkEnd w:id="223"/>
      <w:bookmarkEnd w:id="224"/>
      <w:bookmarkEnd w:id="225"/>
      <w:bookmarkEnd w:id="226"/>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8"/>
        <w:tblW w:w="0" w:type="auto"/>
        <w:jc w:val="center"/>
        <w:tblLayout w:type="fixed"/>
        <w:tblCellMar>
          <w:top w:w="0" w:type="dxa"/>
          <w:left w:w="108" w:type="dxa"/>
          <w:bottom w:w="0" w:type="dxa"/>
          <w:right w:w="108" w:type="dxa"/>
        </w:tblCellMar>
      </w:tblPr>
      <w:tblGrid>
        <w:gridCol w:w="727"/>
        <w:gridCol w:w="2057"/>
        <w:gridCol w:w="1701"/>
        <w:gridCol w:w="2410"/>
        <w:gridCol w:w="2866"/>
      </w:tblGrid>
      <w:tr>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bl>
    <w:p>
      <w:pPr>
        <w:snapToGrid w:val="0"/>
        <w:spacing w:line="240" w:lineRule="atLeast"/>
        <w:jc w:val="center"/>
        <w:rPr>
          <w:rFonts w:ascii="宋体" w:hAnsi="宋体"/>
          <w:color w:val="auto"/>
          <w:szCs w:val="21"/>
          <w:highlight w:val="none"/>
        </w:rPr>
      </w:pPr>
    </w:p>
    <w:p>
      <w:pPr>
        <w:pStyle w:val="27"/>
        <w:adjustRightInd w:val="0"/>
        <w:snapToGrid w:val="0"/>
        <w:spacing w:line="360" w:lineRule="auto"/>
        <w:ind w:firstLine="0"/>
        <w:rPr>
          <w:rFonts w:ascii="宋体" w:hAnsi="宋体"/>
          <w:color w:val="auto"/>
          <w:highlight w:val="none"/>
        </w:rPr>
      </w:pPr>
    </w:p>
    <w:p>
      <w:pPr>
        <w:pStyle w:val="6"/>
        <w:rPr>
          <w:color w:val="auto"/>
          <w:highlight w:val="none"/>
        </w:rPr>
      </w:pPr>
      <w:r>
        <w:rPr>
          <w:bCs/>
          <w:color w:val="auto"/>
          <w:highlight w:val="none"/>
        </w:rPr>
        <w:br w:type="page"/>
      </w:r>
      <w:bookmarkStart w:id="227" w:name="_Toc7272"/>
      <w:bookmarkStart w:id="228" w:name="_Toc30712"/>
      <w:bookmarkStart w:id="229" w:name="_Toc103592027"/>
      <w:bookmarkStart w:id="230" w:name="_Toc2144"/>
      <w:bookmarkStart w:id="231" w:name="_Toc13610"/>
      <w:bookmarkStart w:id="232" w:name="_Toc14137"/>
      <w:r>
        <w:rPr>
          <w:rFonts w:hint="eastAsia"/>
          <w:bCs/>
          <w:color w:val="auto"/>
          <w:highlight w:val="none"/>
        </w:rPr>
        <w:t>附表六：</w:t>
      </w:r>
      <w:r>
        <w:rPr>
          <w:rFonts w:hint="eastAsia"/>
          <w:color w:val="auto"/>
          <w:highlight w:val="none"/>
        </w:rPr>
        <w:t>报价得分计算表</w:t>
      </w:r>
      <w:bookmarkEnd w:id="227"/>
      <w:bookmarkEnd w:id="228"/>
      <w:bookmarkEnd w:id="229"/>
      <w:bookmarkEnd w:id="230"/>
      <w:bookmarkEnd w:id="231"/>
      <w:bookmarkEnd w:id="232"/>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8"/>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65"/>
        <w:gridCol w:w="664"/>
        <w:gridCol w:w="664"/>
        <w:gridCol w:w="664"/>
        <w:gridCol w:w="664"/>
        <w:gridCol w:w="664"/>
        <w:gridCol w:w="664"/>
        <w:gridCol w:w="664"/>
        <w:gridCol w:w="664"/>
        <w:gridCol w:w="664"/>
        <w:gridCol w:w="66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投标报价（元）</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评标参考价</w:t>
            </w:r>
          </w:p>
        </w:tc>
        <w:tc>
          <w:tcPr>
            <w:tcW w:w="7970" w:type="dxa"/>
            <w:gridSpan w:val="12"/>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下浮率（%）</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bl>
    <w:p>
      <w:pPr>
        <w:pStyle w:val="10"/>
        <w:adjustRightInd w:val="0"/>
        <w:snapToGrid w:val="0"/>
        <w:rPr>
          <w:rFonts w:ascii="宋体" w:hAnsi="宋体" w:cs="宋体"/>
          <w:color w:val="auto"/>
          <w:kern w:val="0"/>
          <w:szCs w:val="21"/>
          <w:highlight w:val="none"/>
        </w:rPr>
      </w:pPr>
    </w:p>
    <w:p>
      <w:pPr>
        <w:pStyle w:val="10"/>
        <w:adjustRightInd w:val="0"/>
        <w:snapToGrid w:val="0"/>
        <w:spacing w:line="360" w:lineRule="auto"/>
        <w:ind w:firstLine="0"/>
        <w:rPr>
          <w:rFonts w:ascii="宋体" w:hAnsi="宋体"/>
          <w:color w:val="auto"/>
          <w:szCs w:val="36"/>
          <w:highlight w:val="none"/>
        </w:rPr>
      </w:pPr>
    </w:p>
    <w:p>
      <w:pPr>
        <w:pStyle w:val="10"/>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pPr>
        <w:pStyle w:val="6"/>
        <w:numPr>
          <w:ilvl w:val="0"/>
          <w:numId w:val="2"/>
        </w:numPr>
        <w:rPr>
          <w:color w:val="auto"/>
          <w:highlight w:val="none"/>
        </w:rPr>
      </w:pPr>
      <w:r>
        <w:rPr>
          <w:b w:val="0"/>
          <w:color w:val="auto"/>
          <w:spacing w:val="20"/>
          <w:highlight w:val="none"/>
        </w:rPr>
        <w:br w:type="page"/>
      </w:r>
      <w:bookmarkStart w:id="233" w:name="_Toc11379"/>
      <w:bookmarkStart w:id="234" w:name="_Toc1234"/>
      <w:bookmarkStart w:id="235" w:name="_Toc103592028"/>
      <w:bookmarkStart w:id="236" w:name="_Toc8312"/>
      <w:bookmarkStart w:id="237" w:name="_Toc6191"/>
      <w:bookmarkStart w:id="238" w:name="_Toc24397"/>
      <w:bookmarkStart w:id="239" w:name="_Toc533357319"/>
      <w:r>
        <w:rPr>
          <w:rFonts w:hint="eastAsia"/>
          <w:color w:val="auto"/>
          <w:highlight w:val="none"/>
        </w:rPr>
        <w:t>评标方法</w:t>
      </w:r>
      <w:bookmarkEnd w:id="233"/>
      <w:bookmarkEnd w:id="234"/>
      <w:bookmarkEnd w:id="235"/>
      <w:bookmarkEnd w:id="236"/>
      <w:bookmarkEnd w:id="237"/>
      <w:bookmarkEnd w:id="238"/>
      <w:bookmarkEnd w:id="239"/>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和监测方案得分高的优先；如果检测和监测方案得分也相等，由评标委员会采用记名投票方式，以得票多的优先。</w:t>
      </w:r>
    </w:p>
    <w:p>
      <w:pPr>
        <w:rPr>
          <w:rFonts w:ascii="宋体" w:hAnsi="宋体"/>
          <w:color w:val="auto"/>
          <w:highlight w:val="none"/>
        </w:rPr>
      </w:pPr>
    </w:p>
    <w:p>
      <w:pPr>
        <w:pStyle w:val="6"/>
        <w:rPr>
          <w:color w:val="auto"/>
          <w:highlight w:val="none"/>
        </w:rPr>
      </w:pPr>
      <w:bookmarkStart w:id="240" w:name="bookmark85"/>
      <w:bookmarkEnd w:id="240"/>
      <w:bookmarkStart w:id="241" w:name="_Toc5375"/>
      <w:bookmarkStart w:id="242" w:name="_Toc6755"/>
      <w:bookmarkStart w:id="243" w:name="_Toc6666"/>
      <w:bookmarkStart w:id="244" w:name="_Toc533357320"/>
      <w:bookmarkStart w:id="245" w:name="_Toc103592029"/>
      <w:bookmarkStart w:id="246" w:name="_Toc1424"/>
      <w:bookmarkStart w:id="247" w:name="_Toc7899"/>
      <w:r>
        <w:rPr>
          <w:color w:val="auto"/>
          <w:highlight w:val="none"/>
        </w:rPr>
        <w:t xml:space="preserve">2. </w:t>
      </w:r>
      <w:r>
        <w:rPr>
          <w:rFonts w:hint="eastAsia"/>
          <w:color w:val="auto"/>
          <w:highlight w:val="none"/>
        </w:rPr>
        <w:t>评审标准</w:t>
      </w:r>
      <w:bookmarkEnd w:id="241"/>
      <w:bookmarkEnd w:id="242"/>
      <w:bookmarkEnd w:id="243"/>
      <w:bookmarkEnd w:id="244"/>
      <w:bookmarkEnd w:id="245"/>
      <w:bookmarkEnd w:id="246"/>
      <w:bookmarkEnd w:id="247"/>
    </w:p>
    <w:p>
      <w:pPr>
        <w:pStyle w:val="8"/>
        <w:ind w:firstLine="420"/>
        <w:rPr>
          <w:color w:val="auto"/>
          <w:highlight w:val="none"/>
        </w:rPr>
      </w:pPr>
      <w:bookmarkStart w:id="248" w:name="bookmark86"/>
      <w:bookmarkEnd w:id="248"/>
      <w:r>
        <w:rPr>
          <w:color w:val="auto"/>
          <w:highlight w:val="none"/>
        </w:rPr>
        <w:t xml:space="preserve">2.1 </w:t>
      </w:r>
      <w:r>
        <w:rPr>
          <w:rFonts w:hint="eastAsia"/>
          <w:color w:val="auto"/>
          <w:highlight w:val="none"/>
        </w:rPr>
        <w:t>初步评审标准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pPr>
        <w:rPr>
          <w:rFonts w:ascii="宋体" w:hAnsi="宋体"/>
          <w:color w:val="auto"/>
          <w:highlight w:val="none"/>
        </w:rPr>
      </w:pPr>
    </w:p>
    <w:p>
      <w:pPr>
        <w:pStyle w:val="8"/>
        <w:rPr>
          <w:color w:val="auto"/>
          <w:highlight w:val="none"/>
        </w:rPr>
      </w:pPr>
      <w:bookmarkStart w:id="249" w:name="bookmark87"/>
      <w:bookmarkEnd w:id="249"/>
      <w:r>
        <w:rPr>
          <w:color w:val="auto"/>
          <w:highlight w:val="none"/>
        </w:rPr>
        <w:t xml:space="preserve">2.2 </w:t>
      </w:r>
      <w:r>
        <w:rPr>
          <w:rFonts w:hint="eastAsia"/>
          <w:color w:val="auto"/>
          <w:highlight w:val="none"/>
        </w:rPr>
        <w:t>分值构成与评分标准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）其他因素部分：见评标办法前附表。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评标参考价计算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评标参考价计算方法：见评标办法前附表。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pPr>
        <w:pStyle w:val="6"/>
        <w:rPr>
          <w:color w:val="auto"/>
          <w:highlight w:val="none"/>
        </w:rPr>
      </w:pPr>
      <w:bookmarkStart w:id="250" w:name="bookmark88"/>
      <w:bookmarkEnd w:id="250"/>
      <w:bookmarkStart w:id="251" w:name="_Toc7420"/>
      <w:bookmarkStart w:id="252" w:name="_Toc31829"/>
      <w:bookmarkStart w:id="253" w:name="_Toc8572"/>
      <w:bookmarkStart w:id="254" w:name="_Toc533357321"/>
      <w:bookmarkStart w:id="255" w:name="_Toc207"/>
      <w:bookmarkStart w:id="256" w:name="_Toc14257"/>
      <w:bookmarkStart w:id="257" w:name="_Toc103592030"/>
      <w:r>
        <w:rPr>
          <w:color w:val="auto"/>
          <w:highlight w:val="none"/>
        </w:rPr>
        <w:t xml:space="preserve">3. </w:t>
      </w:r>
      <w:r>
        <w:rPr>
          <w:rFonts w:hint="eastAsia"/>
          <w:color w:val="auto"/>
          <w:highlight w:val="none"/>
        </w:rPr>
        <w:t>评标程序</w:t>
      </w:r>
      <w:bookmarkEnd w:id="251"/>
      <w:bookmarkEnd w:id="252"/>
      <w:bookmarkEnd w:id="253"/>
      <w:bookmarkEnd w:id="254"/>
      <w:bookmarkEnd w:id="255"/>
      <w:bookmarkEnd w:id="256"/>
      <w:bookmarkEnd w:id="257"/>
    </w:p>
    <w:p>
      <w:pPr>
        <w:pStyle w:val="8"/>
        <w:rPr>
          <w:color w:val="auto"/>
          <w:highlight w:val="none"/>
        </w:rPr>
      </w:pPr>
      <w:bookmarkStart w:id="258" w:name="bookmark89"/>
      <w:bookmarkEnd w:id="258"/>
      <w:r>
        <w:rPr>
          <w:color w:val="auto"/>
          <w:highlight w:val="none"/>
        </w:rPr>
        <w:t xml:space="preserve">3.1 </w:t>
      </w:r>
      <w:r>
        <w:rPr>
          <w:rFonts w:hint="eastAsia"/>
          <w:color w:val="auto"/>
          <w:highlight w:val="none"/>
        </w:rPr>
        <w:t>初步评审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）总价金额与单价金额不一致的，以单价金额为准，但单价金额小数点有明显错误的除外。</w:t>
      </w:r>
    </w:p>
    <w:p>
      <w:pPr>
        <w:rPr>
          <w:rFonts w:ascii="宋体" w:hAnsi="宋体"/>
          <w:color w:val="auto"/>
          <w:highlight w:val="none"/>
        </w:rPr>
      </w:pPr>
    </w:p>
    <w:p>
      <w:pPr>
        <w:pStyle w:val="8"/>
        <w:rPr>
          <w:color w:val="auto"/>
          <w:highlight w:val="none"/>
        </w:rPr>
      </w:pPr>
      <w:bookmarkStart w:id="259" w:name="bookmark90"/>
      <w:bookmarkEnd w:id="259"/>
      <w:r>
        <w:rPr>
          <w:color w:val="auto"/>
          <w:highlight w:val="none"/>
        </w:rPr>
        <w:t xml:space="preserve">3.2 </w:t>
      </w:r>
      <w:r>
        <w:rPr>
          <w:rFonts w:hint="eastAsia"/>
          <w:color w:val="auto"/>
          <w:highlight w:val="none"/>
        </w:rPr>
        <w:t>详细评审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）目规定的评审因素和分值对其他因素部分计算出得分</w:t>
      </w:r>
      <w:r>
        <w:rPr>
          <w:rFonts w:hint="eastAsia" w:ascii="宋体" w:hAnsi="宋体"/>
          <w:b/>
          <w:color w:val="auto"/>
          <w:szCs w:val="21"/>
          <w:highlight w:val="none"/>
        </w:rPr>
        <w:t>D</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color w:val="auto"/>
          <w:highlight w:val="none"/>
        </w:rPr>
      </w:pPr>
    </w:p>
    <w:p>
      <w:pPr>
        <w:pStyle w:val="8"/>
        <w:rPr>
          <w:color w:val="auto"/>
          <w:highlight w:val="none"/>
        </w:rPr>
      </w:pPr>
      <w:bookmarkStart w:id="260" w:name="bookmark91"/>
      <w:bookmarkEnd w:id="260"/>
      <w:r>
        <w:rPr>
          <w:color w:val="auto"/>
          <w:highlight w:val="none"/>
        </w:rPr>
        <w:t xml:space="preserve">3.3 </w:t>
      </w:r>
      <w:r>
        <w:rPr>
          <w:rFonts w:hint="eastAsia"/>
          <w:color w:val="auto"/>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pPr>
        <w:rPr>
          <w:rFonts w:ascii="宋体" w:hAnsi="宋体"/>
          <w:color w:val="auto"/>
          <w:highlight w:val="none"/>
        </w:rPr>
      </w:pPr>
    </w:p>
    <w:p>
      <w:pPr>
        <w:pStyle w:val="8"/>
        <w:rPr>
          <w:color w:val="auto"/>
          <w:highlight w:val="none"/>
        </w:rPr>
      </w:pPr>
      <w:bookmarkStart w:id="261" w:name="bookmark92"/>
      <w:bookmarkEnd w:id="261"/>
      <w:r>
        <w:rPr>
          <w:color w:val="auto"/>
          <w:highlight w:val="none"/>
        </w:rPr>
        <w:t xml:space="preserve">3.4 </w:t>
      </w:r>
      <w:r>
        <w:rPr>
          <w:rFonts w:hint="eastAsia"/>
          <w:color w:val="auto"/>
          <w:highlight w:val="none"/>
        </w:rPr>
        <w:t>评标结果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pPr>
        <w:adjustRightInd w:val="0"/>
        <w:snapToGrid w:val="0"/>
        <w:spacing w:line="360" w:lineRule="auto"/>
        <w:jc w:val="center"/>
        <w:rPr>
          <w:rFonts w:ascii="宋体" w:hAnsi="宋体"/>
          <w:b/>
          <w:color w:val="auto"/>
          <w:sz w:val="36"/>
          <w:szCs w:val="36"/>
          <w:highlight w:val="none"/>
        </w:rPr>
      </w:pPr>
    </w:p>
    <w:p>
      <w:pPr>
        <w:pStyle w:val="4"/>
        <w:rPr>
          <w:color w:val="auto"/>
          <w:highlight w:val="none"/>
        </w:rPr>
      </w:pPr>
      <w:r>
        <w:rPr>
          <w:color w:val="auto"/>
          <w:sz w:val="24"/>
          <w:szCs w:val="24"/>
          <w:highlight w:val="none"/>
        </w:rPr>
        <w:br w:type="page"/>
      </w:r>
      <w:bookmarkStart w:id="262" w:name="_Toc533357322"/>
      <w:r>
        <w:rPr>
          <w:rFonts w:hint="eastAsia"/>
          <w:color w:val="auto"/>
          <w:sz w:val="24"/>
          <w:szCs w:val="24"/>
          <w:highlight w:val="none"/>
        </w:rPr>
        <w:t xml:space="preserve">          </w:t>
      </w:r>
      <w:bookmarkStart w:id="263" w:name="_Toc23453"/>
      <w:bookmarkStart w:id="264" w:name="_Toc6942"/>
      <w:bookmarkStart w:id="265" w:name="_Toc27357"/>
      <w:bookmarkStart w:id="266" w:name="_Toc23322"/>
      <w:bookmarkStart w:id="267" w:name="_Toc9846"/>
      <w:bookmarkStart w:id="268" w:name="_Toc103592031"/>
      <w:r>
        <w:rPr>
          <w:rFonts w:hint="eastAsia"/>
          <w:color w:val="auto"/>
          <w:highlight w:val="none"/>
        </w:rPr>
        <w:t>第四章  合同条款及格式</w:t>
      </w:r>
      <w:bookmarkEnd w:id="262"/>
      <w:bookmarkEnd w:id="263"/>
      <w:bookmarkEnd w:id="264"/>
      <w:bookmarkEnd w:id="265"/>
      <w:bookmarkEnd w:id="266"/>
      <w:bookmarkEnd w:id="267"/>
      <w:bookmarkEnd w:id="268"/>
      <w:bookmarkStart w:id="269" w:name="_Toc533357324"/>
    </w:p>
    <w:p>
      <w:pPr>
        <w:spacing w:line="560" w:lineRule="exact"/>
        <w:ind w:firstLine="4337" w:firstLineChars="1200"/>
        <w:rPr>
          <w:rFonts w:ascii="仿宋" w:hAnsi="仿宋" w:eastAsia="仿宋"/>
          <w:color w:val="auto"/>
          <w:sz w:val="24"/>
          <w:szCs w:val="24"/>
          <w:highlight w:val="none"/>
        </w:rPr>
      </w:pPr>
      <w:r>
        <w:rPr>
          <w:rFonts w:hint="eastAsia" w:ascii="宋体" w:hAnsi="宋体"/>
          <w:b/>
          <w:color w:val="auto"/>
          <w:kern w:val="44"/>
          <w:sz w:val="36"/>
          <w:szCs w:val="16"/>
          <w:highlight w:val="none"/>
        </w:rPr>
        <w:t>（另册）</w:t>
      </w:r>
      <w:r>
        <w:rPr>
          <w:rFonts w:hint="eastAsia" w:ascii="仿宋" w:hAnsi="仿宋" w:eastAsia="仿宋"/>
          <w:color w:val="auto"/>
          <w:sz w:val="24"/>
          <w:szCs w:val="24"/>
          <w:highlight w:val="none"/>
        </w:rPr>
        <w:t xml:space="preserve">          </w:t>
      </w:r>
    </w:p>
    <w:p>
      <w:pPr>
        <w:spacing w:line="560" w:lineRule="exact"/>
        <w:ind w:firstLine="560" w:firstLineChars="200"/>
        <w:rPr>
          <w:rFonts w:ascii="仿宋" w:hAnsi="仿宋" w:eastAsia="仿宋"/>
          <w:color w:val="auto"/>
          <w:szCs w:val="21"/>
          <w:highlight w:val="none"/>
        </w:rPr>
      </w:pPr>
      <w:r>
        <w:rPr>
          <w:rFonts w:hint="eastAsia" w:ascii="楷体_GB2312" w:eastAsia="楷体_GB2312"/>
          <w:color w:val="auto"/>
          <w:sz w:val="28"/>
          <w:szCs w:val="28"/>
          <w:highlight w:val="none"/>
        </w:rPr>
        <w:t xml:space="preserve"> </w:t>
      </w:r>
    </w:p>
    <w:p>
      <w:pPr>
        <w:rPr>
          <w:color w:val="auto"/>
          <w:highlight w:val="none"/>
        </w:rPr>
      </w:pPr>
    </w:p>
    <w:p>
      <w:pPr>
        <w:pStyle w:val="4"/>
        <w:rPr>
          <w:color w:val="auto"/>
          <w:highlight w:val="none"/>
        </w:rPr>
      </w:pPr>
      <w:r>
        <w:rPr>
          <w:rFonts w:hint="eastAsia"/>
          <w:color w:val="auto"/>
          <w:highlight w:val="none"/>
        </w:rPr>
        <w:br w:type="page"/>
      </w:r>
      <w:bookmarkStart w:id="270" w:name="_Toc3448"/>
      <w:bookmarkStart w:id="271" w:name="_Toc103592032"/>
      <w:bookmarkStart w:id="272" w:name="_Toc7002"/>
      <w:bookmarkStart w:id="273" w:name="_Toc9227"/>
      <w:bookmarkStart w:id="274" w:name="_Toc4544"/>
      <w:bookmarkStart w:id="275" w:name="_Toc26034"/>
      <w:r>
        <w:rPr>
          <w:rFonts w:hint="eastAsia"/>
          <w:color w:val="auto"/>
          <w:highlight w:val="none"/>
        </w:rPr>
        <w:t>第二卷</w:t>
      </w:r>
      <w:bookmarkEnd w:id="270"/>
      <w:bookmarkEnd w:id="271"/>
      <w:bookmarkEnd w:id="272"/>
      <w:bookmarkEnd w:id="273"/>
      <w:bookmarkEnd w:id="274"/>
      <w:bookmarkEnd w:id="275"/>
    </w:p>
    <w:p>
      <w:pPr>
        <w:pStyle w:val="4"/>
        <w:numPr>
          <w:ilvl w:val="0"/>
          <w:numId w:val="3"/>
        </w:numPr>
        <w:rPr>
          <w:color w:val="auto"/>
          <w:highlight w:val="none"/>
        </w:rPr>
      </w:pPr>
      <w:r>
        <w:rPr>
          <w:rFonts w:hint="eastAsia"/>
          <w:color w:val="auto"/>
          <w:highlight w:val="none"/>
        </w:rPr>
        <w:t xml:space="preserve"> </w:t>
      </w:r>
      <w:bookmarkStart w:id="276" w:name="_Toc13263"/>
      <w:bookmarkStart w:id="277" w:name="_Toc20"/>
      <w:bookmarkStart w:id="278" w:name="_Toc103592033"/>
      <w:bookmarkStart w:id="279" w:name="_Toc8883"/>
      <w:bookmarkStart w:id="280" w:name="_Toc606"/>
      <w:bookmarkStart w:id="281" w:name="_Toc24943"/>
      <w:r>
        <w:rPr>
          <w:rFonts w:hint="eastAsia"/>
          <w:color w:val="auto"/>
          <w:highlight w:val="none"/>
        </w:rPr>
        <w:t>委托人要求</w:t>
      </w:r>
      <w:bookmarkEnd w:id="276"/>
      <w:bookmarkEnd w:id="277"/>
      <w:bookmarkEnd w:id="278"/>
      <w:bookmarkEnd w:id="279"/>
      <w:bookmarkEnd w:id="280"/>
      <w:bookmarkEnd w:id="281"/>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olor w:val="auto"/>
          <w:sz w:val="24"/>
          <w:szCs w:val="24"/>
          <w:highlight w:val="none"/>
        </w:rPr>
        <w:t>1.1项目名称：</w:t>
      </w:r>
      <w:r>
        <w:rPr>
          <w:rFonts w:hint="eastAsia" w:ascii="宋体" w:hAnsi="宋体" w:cs="宋体"/>
          <w:color w:val="auto"/>
          <w:sz w:val="24"/>
          <w:szCs w:val="24"/>
          <w:highlight w:val="none"/>
          <w:u w:val="single"/>
          <w:lang w:eastAsia="zh-CN"/>
        </w:rPr>
        <w:t>正源湾区智慧工程检验检测基地项目第三方检测和监测</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olor w:val="auto"/>
          <w:sz w:val="24"/>
          <w:szCs w:val="24"/>
          <w:highlight w:val="none"/>
          <w:u w:val="single"/>
        </w:rPr>
        <w:t>项目选址地块性质为M1一类工业用地，总用地面积约13541.98平方米，规划建设用地面积约10898.09平方米。项目拟建总建筑面积为31256.61平方米，总计容面积为24655.13平方米。地上容积率不大于4.0，绿地率不大于20%，建筑密度不小于35%（具体建设指标以正式项目规划报批文件为准）</w:t>
      </w:r>
      <w:r>
        <w:rPr>
          <w:rFonts w:hint="eastAsia" w:ascii="宋体" w:hAnsi="宋体" w:cs="宋体"/>
          <w:color w:val="auto"/>
          <w:sz w:val="24"/>
          <w:szCs w:val="24"/>
          <w:highlight w:val="none"/>
          <w:u w:val="single"/>
        </w:rPr>
        <w:t>。</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1.3建设地点：</w:t>
      </w:r>
      <w:r>
        <w:rPr>
          <w:rFonts w:hint="eastAsia" w:ascii="宋体" w:hAnsi="宋体"/>
          <w:color w:val="auto"/>
          <w:sz w:val="24"/>
          <w:szCs w:val="24"/>
          <w:highlight w:val="none"/>
          <w:u w:val="single"/>
          <w:lang w:eastAsia="zh-CN"/>
        </w:rPr>
        <w:t>广州市增城区荔湖街外环路接驳荔新公路附近，增城区委党校和清燕小学旁</w:t>
      </w:r>
      <w:r>
        <w:rPr>
          <w:rFonts w:hint="eastAsia" w:ascii="宋体" w:hAnsi="宋体" w:cs="宋体"/>
          <w:color w:val="auto"/>
          <w:sz w:val="24"/>
          <w:szCs w:val="24"/>
          <w:highlight w:val="none"/>
          <w:u w:val="single"/>
        </w:rPr>
        <w:t>。</w:t>
      </w:r>
    </w:p>
    <w:p>
      <w:pPr>
        <w:autoSpaceDE w:val="0"/>
        <w:autoSpaceDN w:val="0"/>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u w:val="single"/>
        </w:rPr>
        <w:t>项目估算总投资</w:t>
      </w:r>
      <w:r>
        <w:rPr>
          <w:rFonts w:hint="eastAsia" w:ascii="宋体" w:hAnsi="宋体" w:cs="宋体"/>
          <w:color w:val="auto"/>
          <w:sz w:val="24"/>
          <w:szCs w:val="24"/>
          <w:highlight w:val="none"/>
          <w:u w:val="single"/>
          <w:lang w:val="en-US" w:eastAsia="zh-CN"/>
        </w:rPr>
        <w:t>约</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7818</w:t>
      </w:r>
      <w:r>
        <w:rPr>
          <w:rFonts w:hint="eastAsia" w:ascii="宋体" w:hAnsi="宋体" w:cs="宋体"/>
          <w:color w:val="auto"/>
          <w:sz w:val="24"/>
          <w:szCs w:val="24"/>
          <w:highlight w:val="none"/>
          <w:u w:val="single"/>
        </w:rPr>
        <w:t>万元。</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1.5本次招标服务期：</w:t>
      </w:r>
      <w:r>
        <w:rPr>
          <w:rFonts w:hint="eastAsia" w:ascii="宋体" w:hAnsi="宋体" w:cs="宋体"/>
          <w:color w:val="auto"/>
          <w:sz w:val="24"/>
          <w:szCs w:val="24"/>
          <w:highlight w:val="none"/>
          <w:u w:val="single"/>
        </w:rPr>
        <w:t>自本合同签订之日起至所有服务项目完成且结清检测和监测费用之日止。从乙方进场至完成所有检测和监测项目且技术成果通过审批，服务周期必须满足实际施工及验收要求，且甲方有权根据工程实际需要调整工期及验收时间，乙方需配合甲方的调整作出相应的执行计划。</w:t>
      </w:r>
    </w:p>
    <w:p>
      <w:pPr>
        <w:autoSpaceDE w:val="0"/>
        <w:autoSpaceDN w:val="0"/>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s="宋体"/>
          <w:color w:val="auto"/>
          <w:sz w:val="24"/>
          <w:szCs w:val="24"/>
          <w:highlight w:val="none"/>
          <w:u w:val="single"/>
        </w:rPr>
        <w:t>符合国家及省、市有关检测标准。</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2.检测和监测范围及内容：</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次检测和检测的范围及内容为建设行政主管部门、监督部门要求的，由业主指定的具有质量监控作用的见证取样检测、地基基础检测、主体结构检测、节能工程检测、室内环境检测、防雷检测、消防检测、智能化检测、道路检测、园林绿化检测和基坑监测、主体沉降观测、高支模监测等按规范和验收要求必须检测和监测的项目，以及为工程验收提供依据的检测和监测项目。服务范围除以上工程检测和监测、试验工作外，还包括：</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（2）在进行检测和监测任务的过程中与该工程相关的施工单位、监理单位、设计单位、建设主管部门等相关单位的协调工作。</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（3）检测和监测数据的有关信息根据监管部门要求通过市住建监管系统进行传输报送。</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（4）根据相关规范和标准、主管部门文件的规定以及设计图纸的有关要求，结合工程实际情况编制相关项目的《检测和监测方案》，并报质监部门备案（如需要）。</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（5）负责检测和监测的工程质量需符合《建设工程质量管理条例》等国家相关管理要求。</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（6）除建设行政主管部门、监督部门及现行法律法规要求必须由第三方单位检测和监测项目外，招标人另有要求的检测和监测项目且投标人有资质的，仍属于本次招标范围内。</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（具体以招标文件、施工图纸、检测和监测方案为准）。</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3.检测和监测标准：</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（1）《建筑工程施工质量验收统一标准》（GB50300-2013）；</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（2）《混凝土结构工程施工质量验收规范》（GB50204-2015）</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（3）《砌体工程施工质量验收规范》（GB50203-2011）</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（4）《屋面工程质量验收规范》（GB50207-2012）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（5）《给水排水管道工程施工及验收规范》（GB50268-2008）</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（6）《建筑地面工程施工质量验收规范》（GB50209-2002）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（7）《建筑装饰装修工程质量验收规范》（GB50300-2018）；</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（8）《广东省建筑节能工程施工质量验收规范》DBJ15-65-2009；</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（9）《建筑节能工程施工质量验收规范》GB50411；</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（10）《民用建筑工程室内环境污染控制规范》GB50325-2010；</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（11）《通风与空调工程施工质量验收规范》GB50243；</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（12）《建筑电气工程施工质量验收规范》GB50303；</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（13）《公共建筑节能检测标准》JGJ/T177；</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（14）《居住建筑节能检测标准》JGJ/T132；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（15）《照明测量方法》GB/T5700；</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（16）《风机盘管机组》GB/T19232；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（17）广东省标准《广东城市绿化工程施工和验收规范》DB44/T581-2009</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（18）行业标准《园林绿化木本苗》</w:t>
      </w:r>
      <w:r>
        <w:rPr>
          <w:rFonts w:ascii="宋体" w:hAnsi="宋体"/>
          <w:color w:val="auto"/>
          <w:sz w:val="24"/>
          <w:szCs w:val="24"/>
          <w:highlight w:val="none"/>
        </w:rPr>
        <w:t>CJ/T24-</w:t>
      </w:r>
      <w:r>
        <w:rPr>
          <w:rFonts w:hint="eastAsia" w:ascii="宋体" w:hAnsi="宋体"/>
          <w:color w:val="auto"/>
          <w:sz w:val="24"/>
          <w:szCs w:val="24"/>
          <w:highlight w:val="none"/>
        </w:rPr>
        <w:t>2018</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 xml:space="preserve">（19）国家和广东省、广州市、增城区其他有关检测和监测的法律、法规、规章、规范及标准。 </w:t>
      </w:r>
    </w:p>
    <w:p>
      <w:pPr>
        <w:spacing w:line="360" w:lineRule="auto"/>
        <w:ind w:firstLine="426" w:firstLineChars="177"/>
        <w:rPr>
          <w:rFonts w:ascii="宋体" w:hAnsi="宋体"/>
          <w:color w:val="auto"/>
          <w:sz w:val="24"/>
          <w:szCs w:val="24"/>
          <w:highlight w:val="none"/>
        </w:rPr>
      </w:pPr>
      <w:r>
        <w:rPr>
          <w:rFonts w:hint="eastAsia" w:ascii="宋体" w:hAnsi="宋体"/>
          <w:b/>
          <w:color w:val="auto"/>
          <w:sz w:val="24"/>
          <w:szCs w:val="24"/>
          <w:highlight w:val="none"/>
        </w:rPr>
        <w:t>4.服务要求：</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（1）符合法律、行政法规及部门规章；</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（2）符合本工程有关的规范、标准、规程。</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按照《中华人民共和国建筑法》、《建设工程质量检测管理办法》中华人民共和国行业标准及其它相关等规范进行检测、监测和判定，出具完整检测和监测报告。检测和监测报告应经检测和监测人员签字、检测和监测机构法定代表人或者其授权的签字人签署，并加盖检测和监测机构公章或者检测和监测专用章。</w:t>
      </w:r>
    </w:p>
    <w:p>
      <w:pPr>
        <w:spacing w:line="360" w:lineRule="auto"/>
        <w:ind w:firstLine="426" w:firstLineChars="177"/>
        <w:rPr>
          <w:rFonts w:ascii="宋体" w:hAnsi="宋体"/>
          <w:b/>
          <w:color w:val="auto"/>
          <w:sz w:val="24"/>
          <w:szCs w:val="24"/>
          <w:highlight w:val="none"/>
        </w:rPr>
      </w:pPr>
      <w:bookmarkStart w:id="282" w:name="_Toc24882"/>
      <w:bookmarkStart w:id="283" w:name="_Toc9843"/>
      <w:bookmarkStart w:id="284" w:name="_Toc511557119"/>
      <w:r>
        <w:rPr>
          <w:rFonts w:hint="eastAsia" w:ascii="宋体" w:hAnsi="宋体"/>
          <w:b/>
          <w:color w:val="auto"/>
          <w:sz w:val="24"/>
          <w:szCs w:val="24"/>
          <w:highlight w:val="none"/>
        </w:rPr>
        <w:t>5.委托人的其他要求</w:t>
      </w:r>
      <w:bookmarkEnd w:id="282"/>
      <w:bookmarkEnd w:id="283"/>
      <w:bookmarkEnd w:id="284"/>
      <w:r>
        <w:rPr>
          <w:rFonts w:hint="eastAsia" w:ascii="宋体" w:hAnsi="宋体"/>
          <w:b/>
          <w:color w:val="auto"/>
          <w:sz w:val="24"/>
          <w:szCs w:val="24"/>
          <w:highlight w:val="none"/>
        </w:rPr>
        <w:t>：</w:t>
      </w:r>
    </w:p>
    <w:p>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1.本项目实施期间，如果因本项目施工质量抽查监督及验收需要，按规范和经批准的检测</w:t>
      </w:r>
      <w:r>
        <w:rPr>
          <w:rFonts w:hint="eastAsia" w:ascii="宋体" w:hAnsi="宋体"/>
          <w:color w:val="auto"/>
          <w:sz w:val="24"/>
          <w:szCs w:val="24"/>
          <w:highlight w:val="none"/>
        </w:rPr>
        <w:t>和监测</w:t>
      </w:r>
      <w:r>
        <w:rPr>
          <w:rFonts w:hint="eastAsia" w:ascii="宋体" w:hAnsi="宋体"/>
          <w:color w:val="auto"/>
          <w:sz w:val="24"/>
          <w:highlight w:val="none"/>
        </w:rPr>
        <w:t>方案，经招标人确认需增加检测</w:t>
      </w:r>
      <w:r>
        <w:rPr>
          <w:rFonts w:hint="eastAsia" w:ascii="宋体" w:hAnsi="宋体"/>
          <w:color w:val="auto"/>
          <w:sz w:val="24"/>
          <w:szCs w:val="24"/>
          <w:highlight w:val="none"/>
        </w:rPr>
        <w:t>和监测</w:t>
      </w:r>
      <w:r>
        <w:rPr>
          <w:rFonts w:hint="eastAsia" w:ascii="宋体" w:hAnsi="宋体"/>
          <w:color w:val="auto"/>
          <w:sz w:val="24"/>
          <w:highlight w:val="none"/>
        </w:rPr>
        <w:t>项目，且投标人也具备相应资质，则投标人不得以任何原因拒绝为招标人提供检测</w:t>
      </w:r>
      <w:r>
        <w:rPr>
          <w:rFonts w:hint="eastAsia" w:ascii="宋体" w:hAnsi="宋体"/>
          <w:color w:val="auto"/>
          <w:sz w:val="24"/>
          <w:szCs w:val="24"/>
          <w:highlight w:val="none"/>
        </w:rPr>
        <w:t>和监测</w:t>
      </w:r>
      <w:r>
        <w:rPr>
          <w:rFonts w:hint="eastAsia" w:ascii="宋体" w:hAnsi="宋体"/>
          <w:color w:val="auto"/>
          <w:sz w:val="24"/>
          <w:highlight w:val="none"/>
        </w:rPr>
        <w:t>，并按要求出具符合验收要求的检测</w:t>
      </w:r>
      <w:r>
        <w:rPr>
          <w:rFonts w:hint="eastAsia" w:ascii="宋体" w:hAnsi="宋体"/>
          <w:color w:val="auto"/>
          <w:sz w:val="24"/>
          <w:szCs w:val="24"/>
          <w:highlight w:val="none"/>
        </w:rPr>
        <w:t>和监测</w:t>
      </w:r>
      <w:r>
        <w:rPr>
          <w:rFonts w:hint="eastAsia" w:ascii="宋体" w:hAnsi="宋体"/>
          <w:color w:val="auto"/>
          <w:sz w:val="24"/>
          <w:highlight w:val="none"/>
        </w:rPr>
        <w:t>报告。投标人检测</w:t>
      </w:r>
      <w:r>
        <w:rPr>
          <w:rFonts w:hint="eastAsia" w:ascii="宋体" w:hAnsi="宋体"/>
          <w:color w:val="auto"/>
          <w:sz w:val="24"/>
          <w:szCs w:val="24"/>
          <w:highlight w:val="none"/>
        </w:rPr>
        <w:t>和监测</w:t>
      </w:r>
      <w:r>
        <w:rPr>
          <w:rFonts w:hint="eastAsia" w:ascii="宋体" w:hAnsi="宋体"/>
          <w:color w:val="auto"/>
          <w:sz w:val="24"/>
          <w:highlight w:val="none"/>
        </w:rPr>
        <w:t>资质不能涵盖的项目报招标人批准后，由投标人委托具有相应资质的第三方实施，投标人应对该第三方出具的结果负责，并取得相应管理部门的确认。</w:t>
      </w:r>
    </w:p>
    <w:p>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2.检测</w:t>
      </w:r>
      <w:r>
        <w:rPr>
          <w:rFonts w:hint="eastAsia" w:ascii="宋体" w:hAnsi="宋体"/>
          <w:color w:val="auto"/>
          <w:sz w:val="24"/>
          <w:szCs w:val="24"/>
          <w:highlight w:val="none"/>
        </w:rPr>
        <w:t>和监测</w:t>
      </w:r>
      <w:r>
        <w:rPr>
          <w:rFonts w:hint="eastAsia" w:ascii="宋体" w:hAnsi="宋体"/>
          <w:color w:val="auto"/>
          <w:sz w:val="24"/>
          <w:highlight w:val="none"/>
        </w:rPr>
        <w:t>方案及工作量：在施工过程中，检测</w:t>
      </w:r>
      <w:r>
        <w:rPr>
          <w:rFonts w:hint="eastAsia" w:ascii="宋体" w:hAnsi="宋体"/>
          <w:color w:val="auto"/>
          <w:sz w:val="24"/>
          <w:szCs w:val="24"/>
          <w:highlight w:val="none"/>
        </w:rPr>
        <w:t>和监测</w:t>
      </w:r>
      <w:r>
        <w:rPr>
          <w:rFonts w:hint="eastAsia" w:ascii="宋体" w:hAnsi="宋体"/>
          <w:color w:val="auto"/>
          <w:sz w:val="24"/>
          <w:highlight w:val="none"/>
        </w:rPr>
        <w:t>服务单位依据施工图及相关检测</w:t>
      </w:r>
      <w:r>
        <w:rPr>
          <w:rFonts w:hint="eastAsia" w:ascii="宋体" w:hAnsi="宋体"/>
          <w:color w:val="auto"/>
          <w:sz w:val="24"/>
          <w:szCs w:val="24"/>
          <w:highlight w:val="none"/>
        </w:rPr>
        <w:t>和监测</w:t>
      </w:r>
      <w:r>
        <w:rPr>
          <w:rFonts w:hint="eastAsia" w:ascii="宋体" w:hAnsi="宋体"/>
          <w:color w:val="auto"/>
          <w:sz w:val="24"/>
          <w:highlight w:val="none"/>
        </w:rPr>
        <w:t>验收规范，编制检测</w:t>
      </w:r>
      <w:r>
        <w:rPr>
          <w:rFonts w:hint="eastAsia" w:ascii="宋体" w:hAnsi="宋体"/>
          <w:color w:val="auto"/>
          <w:sz w:val="24"/>
          <w:szCs w:val="24"/>
          <w:highlight w:val="none"/>
        </w:rPr>
        <w:t>和监测</w:t>
      </w:r>
      <w:r>
        <w:rPr>
          <w:rFonts w:hint="eastAsia" w:ascii="宋体" w:hAnsi="宋体"/>
          <w:color w:val="auto"/>
          <w:sz w:val="24"/>
          <w:highlight w:val="none"/>
        </w:rPr>
        <w:t>方案和工程量清单，以满足施工质量抽查监督、各单项竣工验收、竣工验收备案及区质检站等政府职能部门要求为前提，合理编制，不可擅自虚增检测</w:t>
      </w:r>
      <w:r>
        <w:rPr>
          <w:rFonts w:hint="eastAsia" w:ascii="宋体" w:hAnsi="宋体"/>
          <w:color w:val="auto"/>
          <w:sz w:val="24"/>
          <w:szCs w:val="24"/>
          <w:highlight w:val="none"/>
        </w:rPr>
        <w:t>和监测</w:t>
      </w:r>
      <w:r>
        <w:rPr>
          <w:rFonts w:hint="eastAsia" w:ascii="宋体" w:hAnsi="宋体"/>
          <w:color w:val="auto"/>
          <w:sz w:val="24"/>
          <w:highlight w:val="none"/>
        </w:rPr>
        <w:t>项目和工作量，否则不予结算。检测</w:t>
      </w:r>
      <w:r>
        <w:rPr>
          <w:rFonts w:hint="eastAsia" w:ascii="宋体" w:hAnsi="宋体"/>
          <w:color w:val="auto"/>
          <w:sz w:val="24"/>
          <w:szCs w:val="24"/>
          <w:highlight w:val="none"/>
        </w:rPr>
        <w:t>和监测</w:t>
      </w:r>
      <w:r>
        <w:rPr>
          <w:rFonts w:hint="eastAsia" w:ascii="宋体" w:hAnsi="宋体"/>
          <w:color w:val="auto"/>
          <w:sz w:val="24"/>
          <w:highlight w:val="none"/>
        </w:rPr>
        <w:t>方案需报施工单位、监理单位、设计单位、勘察单位、代建单位（如有）和建设业主审核确认后方可实施，检测</w:t>
      </w:r>
      <w:r>
        <w:rPr>
          <w:rFonts w:hint="eastAsia" w:ascii="宋体" w:hAnsi="宋体"/>
          <w:color w:val="auto"/>
          <w:sz w:val="24"/>
          <w:szCs w:val="24"/>
          <w:highlight w:val="none"/>
        </w:rPr>
        <w:t>和监测</w:t>
      </w:r>
      <w:r>
        <w:rPr>
          <w:rFonts w:hint="eastAsia" w:ascii="宋体" w:hAnsi="宋体"/>
          <w:color w:val="auto"/>
          <w:sz w:val="24"/>
          <w:highlight w:val="none"/>
        </w:rPr>
        <w:t>项目及工作量按实结算。</w:t>
      </w:r>
    </w:p>
    <w:p>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3.其他详见本招标文件的第一章投标人须知和本工程委托检测</w:t>
      </w:r>
      <w:r>
        <w:rPr>
          <w:rFonts w:hint="eastAsia" w:ascii="宋体" w:hAnsi="宋体"/>
          <w:color w:val="auto"/>
          <w:sz w:val="24"/>
          <w:szCs w:val="24"/>
          <w:highlight w:val="none"/>
        </w:rPr>
        <w:t>和监测</w:t>
      </w:r>
      <w:r>
        <w:rPr>
          <w:rFonts w:hint="eastAsia" w:ascii="宋体" w:hAnsi="宋体"/>
          <w:color w:val="auto"/>
          <w:sz w:val="24"/>
          <w:highlight w:val="none"/>
        </w:rPr>
        <w:t>合同的相关约定。</w:t>
      </w:r>
    </w:p>
    <w:p>
      <w:pPr>
        <w:pStyle w:val="4"/>
        <w:rPr>
          <w:color w:val="auto"/>
          <w:highlight w:val="none"/>
        </w:rPr>
      </w:pPr>
      <w:r>
        <w:rPr>
          <w:color w:val="auto"/>
          <w:highlight w:val="none"/>
        </w:rPr>
        <w:br w:type="page"/>
      </w:r>
      <w:bookmarkStart w:id="285" w:name="_Toc103592034"/>
      <w:bookmarkStart w:id="286" w:name="_Toc18752"/>
      <w:bookmarkStart w:id="287" w:name="_Toc9178"/>
      <w:bookmarkStart w:id="288" w:name="_Toc17960"/>
      <w:bookmarkStart w:id="289" w:name="_Toc30823"/>
      <w:bookmarkStart w:id="290" w:name="_Toc7375"/>
      <w:r>
        <w:rPr>
          <w:rFonts w:hint="eastAsia"/>
          <w:color w:val="auto"/>
          <w:highlight w:val="none"/>
        </w:rPr>
        <w:t>第三卷</w:t>
      </w:r>
      <w:bookmarkEnd w:id="269"/>
      <w:bookmarkEnd w:id="285"/>
      <w:bookmarkEnd w:id="286"/>
      <w:bookmarkEnd w:id="287"/>
      <w:bookmarkEnd w:id="288"/>
      <w:bookmarkEnd w:id="289"/>
      <w:bookmarkEnd w:id="290"/>
    </w:p>
    <w:p>
      <w:pPr>
        <w:pStyle w:val="4"/>
        <w:rPr>
          <w:color w:val="auto"/>
          <w:highlight w:val="none"/>
        </w:rPr>
      </w:pPr>
      <w:bookmarkStart w:id="291" w:name="_Toc25377"/>
      <w:bookmarkStart w:id="292" w:name="_Toc533357327"/>
      <w:bookmarkStart w:id="293" w:name="_Toc26280"/>
      <w:bookmarkStart w:id="294" w:name="_Toc426"/>
      <w:bookmarkStart w:id="295" w:name="_Toc10121"/>
      <w:bookmarkStart w:id="296" w:name="_Toc103592035"/>
      <w:bookmarkStart w:id="297" w:name="_Toc25468"/>
      <w:r>
        <w:rPr>
          <w:rFonts w:hint="eastAsia"/>
          <w:color w:val="auto"/>
          <w:highlight w:val="none"/>
        </w:rPr>
        <w:t>第六章  投标文件格式</w:t>
      </w:r>
      <w:bookmarkEnd w:id="291"/>
      <w:bookmarkEnd w:id="292"/>
      <w:bookmarkEnd w:id="293"/>
      <w:bookmarkEnd w:id="294"/>
      <w:bookmarkEnd w:id="295"/>
      <w:bookmarkEnd w:id="296"/>
      <w:bookmarkEnd w:id="297"/>
    </w:p>
    <w:p>
      <w:pPr>
        <w:rPr>
          <w:color w:val="auto"/>
          <w:highlight w:val="none"/>
        </w:rPr>
      </w:pPr>
    </w:p>
    <w:p>
      <w:pPr>
        <w:spacing w:line="265" w:lineRule="auto"/>
        <w:ind w:left="10" w:hanging="10"/>
        <w:jc w:val="center"/>
        <w:rPr>
          <w:rFonts w:ascii="宋体" w:hAnsi="宋体" w:cs="宋体"/>
          <w:color w:val="auto"/>
          <w:highlight w:val="none"/>
        </w:rPr>
      </w:pPr>
      <w:r>
        <w:rPr>
          <w:rFonts w:hint="eastAsia" w:ascii="宋体" w:hAnsi="宋体" w:cs="宋体"/>
          <w:color w:val="auto"/>
          <w:sz w:val="28"/>
          <w:highlight w:val="none"/>
          <w:u w:val="single" w:color="000000"/>
        </w:rPr>
        <w:t xml:space="preserve">        </w:t>
      </w:r>
      <w:bookmarkStart w:id="298" w:name="_Toc20579_WPSOffice_Level1"/>
      <w:bookmarkStart w:id="299" w:name="_Toc17711_WPSOffice_Level1"/>
      <w:r>
        <w:rPr>
          <w:rFonts w:hint="eastAsia" w:ascii="宋体" w:hAnsi="宋体" w:cs="宋体"/>
          <w:color w:val="auto"/>
          <w:sz w:val="28"/>
          <w:highlight w:val="none"/>
        </w:rPr>
        <w:t>（项目名称）项目</w:t>
      </w:r>
      <w:bookmarkEnd w:id="298"/>
      <w:bookmarkEnd w:id="299"/>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0"/>
          <w:highlight w:val="none"/>
        </w:rPr>
        <w:t xml:space="preserve"> </w:t>
      </w:r>
    </w:p>
    <w:p>
      <w:pPr>
        <w:spacing w:after="254"/>
        <w:rPr>
          <w:rFonts w:ascii="宋体" w:hAnsi="宋体" w:cs="宋体"/>
          <w:color w:val="auto"/>
          <w:highlight w:val="none"/>
        </w:rPr>
      </w:pPr>
      <w:r>
        <w:rPr>
          <w:rFonts w:hint="eastAsia" w:ascii="宋体" w:hAnsi="宋体" w:cs="宋体"/>
          <w:color w:val="auto"/>
          <w:sz w:val="20"/>
          <w:highlight w:val="none"/>
        </w:rPr>
        <w:t xml:space="preserve"> </w:t>
      </w:r>
    </w:p>
    <w:p>
      <w:pPr>
        <w:jc w:val="center"/>
        <w:rPr>
          <w:rFonts w:ascii="宋体" w:hAnsi="宋体" w:cs="宋体"/>
          <w:color w:val="auto"/>
          <w:highlight w:val="none"/>
        </w:rPr>
      </w:pPr>
      <w:bookmarkStart w:id="300" w:name="_Toc24750_WPSOffice_Level2"/>
      <w:bookmarkStart w:id="301" w:name="_Toc31449_WPSOffice_Level2"/>
      <w:r>
        <w:rPr>
          <w:rFonts w:hint="eastAsia" w:ascii="宋体" w:hAnsi="宋体" w:cs="宋体"/>
          <w:color w:val="auto"/>
          <w:sz w:val="44"/>
          <w:highlight w:val="none"/>
        </w:rPr>
        <w:t>投 标 文 件</w:t>
      </w:r>
      <w:bookmarkEnd w:id="300"/>
      <w:bookmarkEnd w:id="301"/>
      <w:r>
        <w:rPr>
          <w:rFonts w:hint="eastAsia" w:ascii="宋体" w:hAnsi="宋体" w:cs="宋体"/>
          <w:color w:val="auto"/>
          <w:sz w:val="44"/>
          <w:highlight w:val="none"/>
        </w:rPr>
        <w:t xml:space="preserve"> </w:t>
      </w:r>
    </w:p>
    <w:p>
      <w:pPr>
        <w:jc w:val="center"/>
        <w:rPr>
          <w:rFonts w:ascii="宋体" w:hAnsi="宋体" w:cs="宋体"/>
          <w:color w:val="auto"/>
          <w:highlight w:val="none"/>
        </w:rPr>
      </w:pPr>
      <w:r>
        <w:rPr>
          <w:rFonts w:hint="eastAsia" w:ascii="宋体" w:hAnsi="宋体" w:cs="宋体"/>
          <w:color w:val="auto"/>
          <w:sz w:val="44"/>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spacing w:after="38"/>
        <w:rPr>
          <w:rFonts w:ascii="宋体" w:hAnsi="宋体" w:cs="宋体"/>
          <w:color w:val="auto"/>
          <w:highlight w:val="none"/>
        </w:rPr>
      </w:pPr>
      <w:r>
        <w:rPr>
          <w:rFonts w:hint="eastAsia" w:ascii="宋体" w:hAnsi="宋体" w:cs="宋体"/>
          <w:color w:val="auto"/>
          <w:sz w:val="28"/>
          <w:highlight w:val="none"/>
        </w:rPr>
        <w:t xml:space="preserve"> </w:t>
      </w:r>
    </w:p>
    <w:p>
      <w:pPr>
        <w:spacing w:line="379" w:lineRule="auto"/>
        <w:ind w:left="1079" w:leftChars="514" w:firstLine="700" w:firstLineChars="250"/>
        <w:rPr>
          <w:rFonts w:ascii="宋体" w:hAnsi="宋体" w:cs="宋体"/>
          <w:color w:val="auto"/>
          <w:sz w:val="28"/>
          <w:highlight w:val="none"/>
        </w:rPr>
      </w:pPr>
      <w:bookmarkStart w:id="302" w:name="_Toc2136_WPSOffice_Level2"/>
      <w:bookmarkStart w:id="303" w:name="_Toc439_WPSOffice_Level2"/>
      <w:r>
        <w:rPr>
          <w:rFonts w:hint="eastAsia" w:ascii="宋体" w:hAnsi="宋体" w:cs="宋体"/>
          <w:color w:val="auto"/>
          <w:sz w:val="28"/>
          <w:highlight w:val="none"/>
        </w:rPr>
        <w:t>投标人：</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（盖单位章）</w:t>
      </w:r>
      <w:bookmarkEnd w:id="302"/>
      <w:bookmarkEnd w:id="303"/>
    </w:p>
    <w:p>
      <w:pPr>
        <w:spacing w:line="379" w:lineRule="auto"/>
        <w:ind w:left="1079" w:leftChars="514" w:firstLine="700" w:firstLineChars="250"/>
        <w:rPr>
          <w:rFonts w:ascii="宋体" w:hAnsi="宋体" w:cs="宋体"/>
          <w:color w:val="auto"/>
          <w:highlight w:val="none"/>
        </w:rPr>
      </w:pPr>
      <w:bookmarkStart w:id="304" w:name="_Toc26506_WPSOffice_Level2"/>
      <w:bookmarkStart w:id="305" w:name="_Toc23768_WPSOffice_Level2"/>
      <w:r>
        <w:rPr>
          <w:rFonts w:hint="eastAsia" w:ascii="宋体" w:hAnsi="宋体" w:cs="宋体"/>
          <w:color w:val="auto"/>
          <w:sz w:val="28"/>
          <w:highlight w:val="none"/>
        </w:rPr>
        <w:t>法定代表人或其委托代理人：</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（签字或盖章）</w:t>
      </w:r>
      <w:bookmarkEnd w:id="304"/>
      <w:bookmarkEnd w:id="305"/>
      <w:r>
        <w:rPr>
          <w:rFonts w:hint="eastAsia" w:ascii="宋体" w:hAnsi="宋体" w:cs="宋体"/>
          <w:color w:val="auto"/>
          <w:sz w:val="28"/>
          <w:highlight w:val="none"/>
        </w:rPr>
        <w:t xml:space="preserve"> </w:t>
      </w:r>
    </w:p>
    <w:p>
      <w:pPr>
        <w:spacing w:after="73"/>
        <w:jc w:val="center"/>
        <w:rPr>
          <w:rFonts w:ascii="宋体" w:hAnsi="宋体" w:cs="宋体"/>
          <w:color w:val="auto"/>
          <w:highlight w:val="none"/>
        </w:rPr>
      </w:pPr>
      <w:r>
        <w:rPr>
          <w:rFonts w:hint="eastAsia" w:ascii="宋体" w:hAnsi="宋体" w:cs="宋体"/>
          <w:color w:val="auto"/>
          <w:sz w:val="28"/>
          <w:highlight w:val="none"/>
        </w:rPr>
        <w:t xml:space="preserve"> </w:t>
      </w:r>
    </w:p>
    <w:p>
      <w:pPr>
        <w:tabs>
          <w:tab w:val="center" w:pos="4320"/>
          <w:tab w:val="center" w:pos="8723"/>
        </w:tabs>
        <w:spacing w:after="127"/>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 xml:space="preserve">         </w:t>
      </w:r>
      <w:r>
        <w:rPr>
          <w:rFonts w:hint="eastAsia" w:ascii="宋体" w:hAnsi="宋体" w:cs="宋体"/>
          <w:color w:val="auto"/>
          <w:highlight w:val="none"/>
          <w:u w:val="single" w:color="000000"/>
        </w:rPr>
        <w:t xml:space="preserve">       </w:t>
      </w:r>
      <w:bookmarkStart w:id="306" w:name="_Toc3852_WPSOffice_Level2"/>
      <w:bookmarkStart w:id="307" w:name="_Toc24383_WPSOffice_Level2"/>
      <w:r>
        <w:rPr>
          <w:rFonts w:hint="eastAsia" w:ascii="宋体" w:hAnsi="宋体" w:cs="宋体"/>
          <w:color w:val="auto"/>
          <w:sz w:val="28"/>
          <w:highlight w:val="none"/>
        </w:rPr>
        <w:t>年</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月</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日</w:t>
      </w:r>
      <w:bookmarkEnd w:id="306"/>
      <w:bookmarkEnd w:id="307"/>
      <w:r>
        <w:rPr>
          <w:rFonts w:hint="eastAsia" w:ascii="宋体" w:hAnsi="宋体" w:cs="宋体"/>
          <w:color w:val="auto"/>
          <w:highlight w:val="none"/>
        </w:rPr>
        <w:t xml:space="preserve"> </w:t>
      </w:r>
    </w:p>
    <w:p>
      <w:pPr>
        <w:pStyle w:val="2"/>
        <w:rPr>
          <w:color w:val="auto"/>
          <w:highlight w:val="none"/>
        </w:rPr>
        <w:sectPr>
          <w:headerReference r:id="rId10" w:type="default"/>
          <w:footerReference r:id="rId11" w:type="default"/>
          <w:pgSz w:w="11906" w:h="16838"/>
          <w:pgMar w:top="1440" w:right="1080" w:bottom="1440" w:left="1080" w:header="851" w:footer="1021" w:gutter="0"/>
          <w:pgNumType w:fmt="decimal"/>
          <w:cols w:space="720" w:num="1"/>
          <w:docGrid w:type="lines" w:linePitch="312" w:charSpace="0"/>
        </w:sectPr>
      </w:pPr>
    </w:p>
    <w:p>
      <w:pPr>
        <w:pStyle w:val="2"/>
        <w:rPr>
          <w:color w:val="auto"/>
          <w:highlight w:val="none"/>
        </w:rPr>
      </w:pPr>
    </w:p>
    <w:p>
      <w:pPr>
        <w:pStyle w:val="2"/>
        <w:rPr>
          <w:rFonts w:ascii="Calibri" w:hAnsi="Calibri"/>
          <w:color w:val="auto"/>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目  录</w:t>
      </w:r>
    </w:p>
    <w:p>
      <w:pPr>
        <w:pStyle w:val="27"/>
        <w:tabs>
          <w:tab w:val="left" w:pos="960"/>
        </w:tabs>
        <w:spacing w:line="440" w:lineRule="exact"/>
        <w:ind w:left="960"/>
        <w:rPr>
          <w:rFonts w:ascii="宋体" w:hAnsi="宋体"/>
          <w:color w:val="auto"/>
          <w:sz w:val="24"/>
          <w:highlight w:val="none"/>
        </w:rPr>
      </w:pPr>
      <w:bookmarkStart w:id="308" w:name="_Toc390704763"/>
      <w:bookmarkStart w:id="309" w:name="_Toc266373528"/>
      <w:r>
        <w:rPr>
          <w:rFonts w:hint="eastAsia" w:ascii="宋体" w:hAnsi="宋体"/>
          <w:color w:val="auto"/>
          <w:sz w:val="24"/>
          <w:highlight w:val="none"/>
        </w:rPr>
        <w:t>一、投标函及其附表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、投标报价书</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、资格审查资料</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五</w:t>
      </w:r>
      <w:r>
        <w:rPr>
          <w:rFonts w:hint="eastAsia" w:ascii="宋体" w:hAnsi="宋体"/>
          <w:color w:val="auto"/>
          <w:sz w:val="24"/>
          <w:highlight w:val="none"/>
        </w:rPr>
        <w:t>、类似项目情况表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六</w:t>
      </w:r>
      <w:r>
        <w:rPr>
          <w:rFonts w:hint="eastAsia" w:ascii="宋体" w:hAnsi="宋体"/>
          <w:color w:val="auto"/>
          <w:sz w:val="24"/>
          <w:highlight w:val="none"/>
        </w:rPr>
        <w:t>、拟投入本项目的检测和监测人员一览表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七</w:t>
      </w:r>
      <w:r>
        <w:rPr>
          <w:rFonts w:hint="eastAsia" w:ascii="宋体" w:hAnsi="宋体"/>
          <w:color w:val="auto"/>
          <w:sz w:val="24"/>
          <w:highlight w:val="none"/>
        </w:rPr>
        <w:t>、拟投入本项目的检测和监测人员简历表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、拟投入本项目的主要仪器设备一览表</w:t>
      </w:r>
    </w:p>
    <w:p>
      <w:pPr>
        <w:pStyle w:val="27"/>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lang w:val="en-US" w:eastAsia="zh-CN"/>
        </w:rPr>
        <w:t>九</w:t>
      </w:r>
      <w:r>
        <w:rPr>
          <w:rFonts w:hint="eastAsia" w:ascii="宋体" w:hAnsi="宋体"/>
          <w:color w:val="auto"/>
          <w:sz w:val="24"/>
          <w:highlight w:val="none"/>
        </w:rPr>
        <w:t>、检测和监测方案</w:t>
      </w:r>
    </w:p>
    <w:p>
      <w:pPr>
        <w:pStyle w:val="27"/>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十、其他资料</w:t>
      </w:r>
      <w:r>
        <w:rPr>
          <w:rFonts w:ascii="宋体" w:hAnsi="宋体"/>
          <w:color w:val="auto"/>
          <w:sz w:val="24"/>
          <w:highlight w:val="none"/>
        </w:rPr>
        <w:br w:type="page"/>
      </w:r>
      <w:bookmarkEnd w:id="308"/>
    </w:p>
    <w:p>
      <w:pPr>
        <w:pStyle w:val="6"/>
        <w:ind w:firstLine="3534"/>
        <w:rPr>
          <w:color w:val="auto"/>
          <w:highlight w:val="none"/>
        </w:rPr>
      </w:pPr>
      <w:bookmarkStart w:id="310" w:name="_Toc23401"/>
      <w:bookmarkStart w:id="311" w:name="_Toc2917"/>
      <w:bookmarkStart w:id="312" w:name="_Toc103592036"/>
      <w:bookmarkStart w:id="313" w:name="_Toc6105"/>
      <w:bookmarkStart w:id="314" w:name="_Toc24760"/>
      <w:bookmarkStart w:id="315" w:name="_Toc18638"/>
      <w:bookmarkStart w:id="316" w:name="_Toc533334219"/>
      <w:bookmarkStart w:id="317" w:name="_Toc390704764"/>
      <w:bookmarkStart w:id="318" w:name="_Toc533357328"/>
      <w:bookmarkStart w:id="319" w:name="_Toc11434"/>
      <w:r>
        <w:rPr>
          <w:rFonts w:hint="eastAsia"/>
          <w:color w:val="auto"/>
          <w:highlight w:val="none"/>
        </w:rPr>
        <w:t>一、</w:t>
      </w:r>
      <w:bookmarkStart w:id="320" w:name="_Toc352691656"/>
      <w:bookmarkStart w:id="321" w:name="_Toc6931"/>
      <w:bookmarkStart w:id="322" w:name="_Toc369531692"/>
      <w:r>
        <w:rPr>
          <w:rFonts w:hint="eastAsia"/>
          <w:color w:val="auto"/>
          <w:highlight w:val="none"/>
        </w:rPr>
        <w:t>投标函及其附表</w:t>
      </w:r>
      <w:bookmarkEnd w:id="310"/>
      <w:bookmarkEnd w:id="311"/>
      <w:bookmarkEnd w:id="312"/>
      <w:bookmarkEnd w:id="313"/>
      <w:bookmarkEnd w:id="314"/>
      <w:bookmarkEnd w:id="315"/>
      <w:bookmarkEnd w:id="316"/>
    </w:p>
    <w:bookmarkEnd w:id="320"/>
    <w:bookmarkEnd w:id="321"/>
    <w:bookmarkEnd w:id="322"/>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pPr>
        <w:pStyle w:val="14"/>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如果贵单位接受我方的投标，我方保证按合同规定的期限内开始本工程的检测和监测工作并按投标书中规定的期限内完成合同规定的全部任务。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pPr>
        <w:rPr>
          <w:rFonts w:ascii="宋体" w:hAnsi="宋体"/>
          <w:color w:val="auto"/>
          <w:highlight w:val="none"/>
        </w:rPr>
      </w:pPr>
    </w:p>
    <w:p>
      <w:pPr>
        <w:spacing w:line="440" w:lineRule="exact"/>
        <w:ind w:firstLine="2520" w:firstLineChars="1200"/>
        <w:jc w:val="left"/>
        <w:rPr>
          <w:rFonts w:ascii="宋体" w:hAnsi="宋体"/>
          <w:color w:val="auto"/>
          <w:szCs w:val="21"/>
          <w:highlight w:val="none"/>
        </w:rPr>
      </w:pPr>
    </w:p>
    <w:p>
      <w:pPr>
        <w:pStyle w:val="14"/>
        <w:tabs>
          <w:tab w:val="left" w:pos="7321"/>
        </w:tabs>
        <w:spacing w:before="36"/>
        <w:ind w:left="2701"/>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rPr>
          <w:rFonts w:ascii="宋体" w:hAnsi="宋体" w:cs="宋体"/>
          <w:color w:val="auto"/>
          <w:sz w:val="9"/>
          <w:szCs w:val="9"/>
          <w:highlight w:val="none"/>
        </w:rPr>
      </w:pPr>
    </w:p>
    <w:p>
      <w:pPr>
        <w:pStyle w:val="14"/>
        <w:tabs>
          <w:tab w:val="left" w:pos="6481"/>
        </w:tabs>
        <w:spacing w:before="36"/>
        <w:ind w:left="2701"/>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w:t>
      </w:r>
    </w:p>
    <w:p>
      <w:pPr>
        <w:spacing w:before="10"/>
        <w:rPr>
          <w:rFonts w:ascii="宋体" w:hAnsi="宋体" w:cs="宋体"/>
          <w:color w:val="auto"/>
          <w:sz w:val="9"/>
          <w:szCs w:val="9"/>
          <w:highlight w:val="none"/>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地    址：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r>
        <w:rPr>
          <w:rFonts w:hint="eastAsia" w:ascii="宋体" w:hAnsi="宋体"/>
          <w:color w:val="auto"/>
          <w:highlight w:val="none"/>
          <w:u w:val="single" w:color="000000"/>
        </w:rPr>
        <w:tab/>
      </w:r>
    </w:p>
    <w:p>
      <w:pPr>
        <w:spacing w:line="440" w:lineRule="exact"/>
        <w:ind w:firstLine="2730" w:firstLineChars="1300"/>
        <w:rPr>
          <w:rFonts w:ascii="宋体" w:hAnsi="宋体"/>
          <w:color w:val="auto"/>
          <w:highlight w:val="none"/>
          <w:u w:val="single" w:color="000000"/>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电    话：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p>
    <w:p>
      <w:pPr>
        <w:spacing w:line="440" w:lineRule="exact"/>
        <w:ind w:firstLine="4725" w:firstLineChars="2250"/>
        <w:jc w:val="right"/>
        <w:rPr>
          <w:rFonts w:ascii="宋体" w:hAnsi="宋体"/>
          <w:color w:val="auto"/>
          <w:highlight w:val="none"/>
          <w:u w:val="single" w:color="000000"/>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传    真：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p>
    <w:p>
      <w:pPr>
        <w:spacing w:line="440" w:lineRule="exact"/>
        <w:ind w:firstLine="2730" w:firstLineChars="1300"/>
        <w:rPr>
          <w:rFonts w:ascii="宋体" w:hAnsi="宋体"/>
          <w:color w:val="auto"/>
          <w:highlight w:val="none"/>
          <w:u w:val="single" w:color="000000"/>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邮政编码：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r>
        <w:rPr>
          <w:rFonts w:ascii="宋体" w:hAnsi="宋体"/>
          <w:color w:val="auto"/>
          <w:highlight w:val="none"/>
          <w:u w:val="single" w:color="000000"/>
        </w:rPr>
        <w:tab/>
      </w:r>
    </w:p>
    <w:p>
      <w:pPr>
        <w:spacing w:line="440" w:lineRule="exact"/>
        <w:ind w:firstLine="2730" w:firstLineChars="1300"/>
        <w:rPr>
          <w:rFonts w:ascii="宋体" w:hAnsi="宋体"/>
          <w:color w:val="auto"/>
          <w:highlight w:val="none"/>
          <w:u w:val="single" w:color="000000"/>
        </w:rPr>
      </w:pPr>
    </w:p>
    <w:p>
      <w:pPr>
        <w:spacing w:line="440" w:lineRule="exact"/>
        <w:ind w:firstLine="2730" w:firstLineChars="1300"/>
        <w:rPr>
          <w:rFonts w:ascii="宋体" w:hAnsi="宋体"/>
          <w:color w:val="auto"/>
          <w:szCs w:val="21"/>
          <w:highlight w:val="none"/>
        </w:rPr>
      </w:pPr>
      <w:r>
        <w:rPr>
          <w:rFonts w:ascii="宋体" w:hAnsi="宋体"/>
          <w:color w:val="auto"/>
          <w:highlight w:val="none"/>
          <w:u w:val="single" w:color="000000"/>
        </w:rPr>
        <w:tab/>
      </w:r>
      <w:r>
        <w:rPr>
          <w:rFonts w:hint="eastAsia" w:ascii="宋体" w:hAnsi="宋体"/>
          <w:color w:val="auto"/>
          <w:highlight w:val="none"/>
          <w:u w:val="single" w:color="000000"/>
        </w:rPr>
        <w:t xml:space="preserve"> </w:t>
      </w:r>
      <w:r>
        <w:rPr>
          <w:rFonts w:ascii="宋体" w:hAnsi="宋体"/>
          <w:color w:val="auto"/>
          <w:highlight w:val="none"/>
          <w:u w:val="single" w:color="000000"/>
        </w:rPr>
        <w:t xml:space="preserve"> </w:t>
      </w:r>
      <w:r>
        <w:rPr>
          <w:rFonts w:hint="eastAsia" w:ascii="宋体" w:hAnsi="宋体"/>
          <w:color w:val="auto"/>
          <w:highlight w:val="none"/>
        </w:rPr>
        <w:t xml:space="preserve">年  </w:t>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spacing w:line="360" w:lineRule="auto"/>
        <w:ind w:firstLine="422" w:firstLineChars="200"/>
        <w:jc w:val="center"/>
        <w:rPr>
          <w:rFonts w:ascii="宋体" w:hAnsi="宋体"/>
          <w:b/>
          <w:bCs/>
          <w:color w:val="auto"/>
          <w:sz w:val="24"/>
          <w:szCs w:val="24"/>
          <w:highlight w:val="none"/>
        </w:rPr>
      </w:pPr>
      <w:bookmarkStart w:id="323" w:name="_Toc533334220"/>
      <w:bookmarkStart w:id="324" w:name="_Toc391394112"/>
      <w:bookmarkStart w:id="325" w:name="_Toc482188652"/>
      <w:bookmarkStart w:id="326" w:name="_Toc359594236"/>
      <w:bookmarkStart w:id="327" w:name="_Toc385943066"/>
      <w:bookmarkStart w:id="328" w:name="_Toc370676427"/>
      <w:bookmarkStart w:id="329" w:name="_Toc532390635"/>
      <w:bookmarkStart w:id="330" w:name="_Toc13516"/>
      <w:bookmarkStart w:id="331" w:name="_Toc528170356"/>
      <w:r>
        <w:rPr>
          <w:rFonts w:ascii="宋体" w:hAnsi="宋体"/>
          <w:b/>
          <w:color w:val="auto"/>
          <w:szCs w:val="21"/>
          <w:highlight w:val="none"/>
        </w:rPr>
        <w:br w:type="page"/>
      </w:r>
      <w:r>
        <w:rPr>
          <w:rFonts w:hint="eastAsia" w:ascii="宋体" w:hAnsi="宋体"/>
          <w:b/>
          <w:bCs/>
          <w:color w:val="auto"/>
          <w:sz w:val="24"/>
          <w:szCs w:val="24"/>
          <w:highlight w:val="none"/>
        </w:rPr>
        <w:t>（二）投标函附</w:t>
      </w:r>
      <w:bookmarkEnd w:id="323"/>
      <w:bookmarkEnd w:id="324"/>
      <w:bookmarkEnd w:id="325"/>
      <w:bookmarkEnd w:id="326"/>
      <w:bookmarkEnd w:id="327"/>
      <w:bookmarkEnd w:id="328"/>
      <w:bookmarkEnd w:id="329"/>
      <w:bookmarkEnd w:id="330"/>
      <w:bookmarkEnd w:id="331"/>
      <w:r>
        <w:rPr>
          <w:rFonts w:hint="eastAsia" w:ascii="宋体" w:hAnsi="宋体"/>
          <w:b/>
          <w:bCs/>
          <w:color w:val="auto"/>
          <w:sz w:val="24"/>
          <w:szCs w:val="24"/>
          <w:highlight w:val="none"/>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27"/>
        <w:gridCol w:w="488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color w:val="auto"/>
                <w:sz w:val="24"/>
                <w:szCs w:val="24"/>
                <w:highlight w:val="none"/>
              </w:rPr>
            </w:pPr>
            <w:r>
              <w:rPr>
                <w:rFonts w:hint="eastAsia"/>
                <w:color w:val="auto"/>
                <w:sz w:val="24"/>
                <w:szCs w:val="24"/>
                <w:highlight w:val="none"/>
              </w:rPr>
              <w:t>姓    名：</w:t>
            </w:r>
            <w:r>
              <w:rPr>
                <w:rFonts w:hint="eastAsia" w:ascii="宋体" w:hAnsi="宋体" w:cs="宋体"/>
                <w:bCs/>
                <w:color w:val="auto"/>
                <w:sz w:val="24"/>
                <w:szCs w:val="24"/>
                <w:highlight w:val="none"/>
                <w:u w:val="single"/>
              </w:rPr>
              <w:t xml:space="preserve">        </w:t>
            </w:r>
            <w:r>
              <w:rPr>
                <w:rFonts w:hint="eastAsia"/>
                <w:color w:val="auto"/>
                <w:sz w:val="24"/>
                <w:szCs w:val="24"/>
                <w:highlight w:val="none"/>
              </w:rPr>
              <w:t xml:space="preserve">           </w:t>
            </w:r>
          </w:p>
          <w:p>
            <w:pPr>
              <w:jc w:val="left"/>
              <w:rPr>
                <w:color w:val="auto"/>
                <w:sz w:val="24"/>
                <w:szCs w:val="24"/>
                <w:highlight w:val="none"/>
              </w:rPr>
            </w:pPr>
            <w:r>
              <w:rPr>
                <w:rFonts w:hint="eastAsia"/>
                <w:color w:val="auto"/>
                <w:sz w:val="24"/>
                <w:szCs w:val="24"/>
                <w:highlight w:val="none"/>
              </w:rPr>
              <w:t>技术职称：</w:t>
            </w:r>
            <w:r>
              <w:rPr>
                <w:rFonts w:hint="eastAsia" w:ascii="宋体" w:hAnsi="宋体" w:cs="宋体"/>
                <w:bCs/>
                <w:color w:val="auto"/>
                <w:sz w:val="24"/>
                <w:szCs w:val="24"/>
                <w:highlight w:val="none"/>
                <w:u w:val="single"/>
              </w:rPr>
              <w:t xml:space="preserve">        </w:t>
            </w:r>
            <w:r>
              <w:rPr>
                <w:rFonts w:hint="eastAsia"/>
                <w:color w:val="auto"/>
                <w:sz w:val="24"/>
                <w:szCs w:val="24"/>
                <w:highlight w:val="none"/>
              </w:rPr>
              <w:t xml:space="preserve">           </w:t>
            </w:r>
          </w:p>
          <w:p>
            <w:pPr>
              <w:jc w:val="left"/>
              <w:rPr>
                <w:color w:val="auto"/>
                <w:sz w:val="24"/>
                <w:szCs w:val="24"/>
                <w:highlight w:val="none"/>
              </w:rPr>
            </w:pPr>
            <w:r>
              <w:rPr>
                <w:rFonts w:hint="eastAsia"/>
                <w:color w:val="auto"/>
                <w:sz w:val="24"/>
                <w:szCs w:val="24"/>
                <w:highlight w:val="none"/>
              </w:rPr>
              <w:t>专    业：</w:t>
            </w:r>
            <w:r>
              <w:rPr>
                <w:rFonts w:hint="eastAsia" w:ascii="宋体" w:hAnsi="宋体" w:cs="宋体"/>
                <w:bCs/>
                <w:color w:val="auto"/>
                <w:sz w:val="24"/>
                <w:szCs w:val="24"/>
                <w:highlight w:val="none"/>
                <w:u w:val="single"/>
              </w:rPr>
              <w:t xml:space="preserve">        </w:t>
            </w:r>
            <w:r>
              <w:rPr>
                <w:rFonts w:hint="eastAsia"/>
                <w:color w:val="auto"/>
                <w:sz w:val="24"/>
                <w:szCs w:val="24"/>
                <w:highlight w:val="none"/>
              </w:rPr>
              <w:t xml:space="preserve">           </w:t>
            </w:r>
          </w:p>
          <w:p>
            <w:pPr>
              <w:pStyle w:val="16"/>
              <w:rPr>
                <w:color w:val="auto"/>
                <w:highlight w:val="none"/>
              </w:rPr>
            </w:pPr>
            <w:r>
              <w:rPr>
                <w:rFonts w:hint="eastAsia"/>
                <w:color w:val="auto"/>
                <w:sz w:val="24"/>
                <w:szCs w:val="24"/>
                <w:highlight w:val="none"/>
              </w:rPr>
              <w:t>技术证书编号：</w:t>
            </w:r>
            <w:r>
              <w:rPr>
                <w:rFonts w:hint="eastAsia"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合格</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rPr>
            </w:pP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（1-投标报价/最高投标限价）*100%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ascii="宋体" w:hAnsi="宋体" w:cs="宋体"/>
                <w:color w:val="auto"/>
                <w:sz w:val="24"/>
                <w:szCs w:val="24"/>
                <w:highlight w:val="none"/>
              </w:rPr>
              <w:t>7</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CMA计量认证合格证或检验检测机构资质认定证书书号</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r>
              <w:rPr>
                <w:rFonts w:hint="eastAsia"/>
                <w:color w:val="auto"/>
                <w:sz w:val="24"/>
                <w:szCs w:val="24"/>
                <w:highlight w:val="none"/>
              </w:rPr>
              <w:t>证书号：</w:t>
            </w:r>
            <w:r>
              <w:rPr>
                <w:rFonts w:ascii="宋体" w:hAnsi="宋体" w:cs="宋体"/>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bl>
    <w:p>
      <w:pPr>
        <w:pStyle w:val="14"/>
        <w:tabs>
          <w:tab w:val="left" w:pos="7321"/>
        </w:tabs>
        <w:adjustRightInd w:val="0"/>
        <w:snapToGrid w:val="0"/>
        <w:spacing w:line="360" w:lineRule="auto"/>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pPr>
        <w:pStyle w:val="14"/>
        <w:tabs>
          <w:tab w:val="left" w:pos="6481"/>
        </w:tabs>
        <w:adjustRightInd w:val="0"/>
        <w:snapToGrid w:val="0"/>
        <w:spacing w:line="360" w:lineRule="auto"/>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pPr>
        <w:adjustRightInd w:val="0"/>
        <w:snapToGrid w:val="0"/>
        <w:spacing w:line="360" w:lineRule="auto"/>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317"/>
      <w:bookmarkEnd w:id="318"/>
      <w:bookmarkEnd w:id="319"/>
      <w:bookmarkStart w:id="332" w:name="_Toc374536213"/>
      <w:bookmarkStart w:id="333" w:name="_Toc390704765"/>
      <w:bookmarkStart w:id="334" w:name="_Toc533357330"/>
      <w:bookmarkStart w:id="335" w:name="_Toc21863"/>
      <w:bookmarkStart w:id="336" w:name="_Toc333829918"/>
    </w:p>
    <w:bookmarkEnd w:id="309"/>
    <w:bookmarkEnd w:id="332"/>
    <w:bookmarkEnd w:id="333"/>
    <w:bookmarkEnd w:id="334"/>
    <w:bookmarkEnd w:id="335"/>
    <w:bookmarkEnd w:id="336"/>
    <w:p>
      <w:pPr>
        <w:pStyle w:val="6"/>
        <w:rPr>
          <w:color w:val="auto"/>
          <w:highlight w:val="none"/>
        </w:rPr>
      </w:pPr>
      <w:bookmarkStart w:id="337" w:name="_Toc29139"/>
      <w:bookmarkStart w:id="338" w:name="_Toc11108"/>
      <w:bookmarkStart w:id="339" w:name="_Toc103592037"/>
      <w:bookmarkStart w:id="340" w:name="_Toc31037"/>
      <w:bookmarkStart w:id="341" w:name="_Toc13100"/>
      <w:bookmarkStart w:id="342" w:name="_Toc18685"/>
      <w:r>
        <w:rPr>
          <w:rFonts w:hint="eastAsia"/>
          <w:color w:val="auto"/>
          <w:highlight w:val="none"/>
        </w:rPr>
        <w:t>二、法定代表人证明书及授权委托书</w:t>
      </w:r>
      <w:bookmarkEnd w:id="337"/>
      <w:bookmarkEnd w:id="338"/>
      <w:bookmarkEnd w:id="339"/>
      <w:bookmarkEnd w:id="340"/>
      <w:bookmarkEnd w:id="341"/>
      <w:bookmarkEnd w:id="342"/>
    </w:p>
    <w:p>
      <w:pPr>
        <w:spacing w:before="120" w:beforeLines="50"/>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pPr>
                                <w:spacing w:before="120"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20"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pPr>
        <w:spacing w:before="120" w:beforeLines="50"/>
        <w:ind w:firstLine="482" w:firstLineChars="200"/>
        <w:jc w:val="center"/>
        <w:rPr>
          <w:rFonts w:ascii="宋体" w:hAnsi="宋体" w:cs="宋体"/>
          <w:b/>
          <w:color w:val="auto"/>
          <w:sz w:val="24"/>
          <w:szCs w:val="24"/>
          <w:highlight w:val="none"/>
        </w:rPr>
      </w:pPr>
    </w:p>
    <w:p>
      <w:pPr>
        <w:spacing w:before="120" w:beforeLines="50"/>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pPr>
        <w:spacing w:line="360" w:lineRule="auto"/>
        <w:rPr>
          <w:rFonts w:ascii="宋体" w:hAnsi="宋体"/>
          <w:color w:val="auto"/>
          <w:highlight w:val="none"/>
        </w:rPr>
      </w:pPr>
      <w:r>
        <w:rPr>
          <w:color w:val="auto"/>
          <w:highlight w:val="none"/>
        </w:rPr>
        <w:br w:type="page"/>
      </w:r>
    </w:p>
    <w:p>
      <w:pPr>
        <w:pStyle w:val="16"/>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中小企业声明函</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本企业郑重声明，根据《关于印发中小企业划型标准规定的通知》（工信部联企业〔2011〕300号）的规定，本企业具体情况如下：</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本企业属于建筑业行业；营业收入为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万元，资产总额为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万元，属于</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（中型企业、小型企业、微型企业）；</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本企业对上述声明内容的真实性负责。如有虚假，将依法承担相应责任。 </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pStyle w:val="16"/>
        <w:spacing w:line="560" w:lineRule="exact"/>
        <w:ind w:firstLine="4800" w:firstLineChars="15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企业名称（盖章）：</w:t>
      </w:r>
    </w:p>
    <w:p>
      <w:pPr>
        <w:pStyle w:val="16"/>
        <w:spacing w:line="560" w:lineRule="exact"/>
        <w:ind w:firstLine="5120" w:firstLineChars="16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日 期：</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注：</w:t>
      </w:r>
    </w:p>
    <w:p>
      <w:pPr>
        <w:pStyle w:val="16"/>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1、营业收入、资产总额填报上一年度数据，无上一年度数据的新成立企业可不填报。</w:t>
      </w:r>
    </w:p>
    <w:p>
      <w:pPr>
        <w:pStyle w:val="16"/>
        <w:spacing w:line="560" w:lineRule="exact"/>
        <w:ind w:firstLine="640" w:firstLineChars="200"/>
        <w:rPr>
          <w:rFonts w:ascii="Times New Roman" w:hAnsi="Times New Roman"/>
          <w:color w:val="auto"/>
          <w:highlight w:val="none"/>
        </w:rPr>
      </w:pPr>
      <w:r>
        <w:rPr>
          <w:rFonts w:hint="eastAsia" w:ascii="仿宋_GB2312" w:hAnsi="Times New Roman" w:eastAsia="仿宋_GB2312"/>
          <w:color w:val="auto"/>
          <w:sz w:val="32"/>
          <w:szCs w:val="32"/>
          <w:highlight w:val="none"/>
          <w:lang w:val="en-US" w:eastAsia="zh-CN"/>
        </w:rPr>
        <w:t>2</w:t>
      </w:r>
      <w:r>
        <w:rPr>
          <w:rFonts w:hint="eastAsia" w:ascii="仿宋_GB2312" w:hAnsi="Times New Roman" w:eastAsia="仿宋_GB2312"/>
          <w:color w:val="auto"/>
          <w:sz w:val="32"/>
          <w:szCs w:val="32"/>
          <w:highlight w:val="none"/>
        </w:rPr>
        <w:t>、招标人、招标代理机构将按有关规定公开《中小企业声明函》。</w:t>
      </w:r>
    </w:p>
    <w:p>
      <w:pPr>
        <w:widowControl/>
        <w:jc w:val="left"/>
        <w:rPr>
          <w:color w:val="auto"/>
          <w:highlight w:val="none"/>
        </w:rPr>
      </w:pPr>
      <w:r>
        <w:rPr>
          <w:color w:val="auto"/>
          <w:highlight w:val="none"/>
        </w:rPr>
        <w:br w:type="page"/>
      </w:r>
    </w:p>
    <w:p>
      <w:pPr>
        <w:pStyle w:val="6"/>
        <w:rPr>
          <w:color w:val="auto"/>
          <w:highlight w:val="none"/>
        </w:rPr>
      </w:pPr>
      <w:bookmarkStart w:id="343" w:name="_Toc320"/>
      <w:bookmarkStart w:id="344" w:name="_Toc533357333"/>
      <w:bookmarkStart w:id="345" w:name="_Toc19639"/>
      <w:bookmarkStart w:id="346" w:name="_Toc7627"/>
      <w:bookmarkStart w:id="347" w:name="_Toc11644"/>
      <w:bookmarkStart w:id="348" w:name="_Toc103592039"/>
      <w:bookmarkStart w:id="349" w:name="_Toc11199"/>
      <w:bookmarkStart w:id="350" w:name="_Toc13515"/>
      <w:r>
        <w:rPr>
          <w:rFonts w:hint="eastAsia"/>
          <w:color w:val="auto"/>
          <w:szCs w:val="32"/>
          <w:highlight w:val="none"/>
          <w:lang w:val="en-US" w:eastAsia="zh-CN"/>
        </w:rPr>
        <w:t>三</w:t>
      </w:r>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343"/>
      <w:bookmarkEnd w:id="344"/>
      <w:bookmarkEnd w:id="345"/>
      <w:bookmarkEnd w:id="346"/>
      <w:bookmarkEnd w:id="347"/>
      <w:bookmarkEnd w:id="348"/>
      <w:bookmarkEnd w:id="349"/>
      <w:bookmarkEnd w:id="350"/>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pPr>
        <w:spacing w:line="500" w:lineRule="exact"/>
        <w:jc w:val="center"/>
        <w:rPr>
          <w:rFonts w:hint="eastAsia" w:ascii="宋体" w:hAnsi="宋体" w:eastAsia="宋体"/>
          <w:b/>
          <w:bCs/>
          <w:color w:val="auto"/>
          <w:sz w:val="30"/>
          <w:highlight w:val="none"/>
          <w:lang w:eastAsia="zh-CN"/>
        </w:rPr>
      </w:pPr>
      <w:r>
        <w:rPr>
          <w:rFonts w:hint="eastAsia" w:ascii="宋体" w:hAnsi="宋体"/>
          <w:b/>
          <w:bCs/>
          <w:color w:val="auto"/>
          <w:sz w:val="30"/>
          <w:highlight w:val="none"/>
          <w:lang w:eastAsia="zh-CN"/>
        </w:rPr>
        <w:t>正源湾区智慧工程检验检测基地项目第三方检测和监测</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600" w:lineRule="exact"/>
        <w:jc w:val="center"/>
        <w:rPr>
          <w:rFonts w:ascii="宋体" w:hAnsi="宋体"/>
          <w:b/>
          <w:bCs/>
          <w:color w:val="auto"/>
          <w:sz w:val="52"/>
          <w:highlight w:val="none"/>
        </w:rPr>
      </w:pPr>
      <w:r>
        <w:rPr>
          <w:rFonts w:hint="eastAsia" w:ascii="宋体" w:hAnsi="宋体"/>
          <w:b/>
          <w:bCs/>
          <w:color w:val="auto"/>
          <w:sz w:val="52"/>
          <w:highlight w:val="none"/>
        </w:rPr>
        <w:t>报</w:t>
      </w:r>
      <w:r>
        <w:rPr>
          <w:rFonts w:ascii="宋体" w:hAnsi="宋体"/>
          <w:b/>
          <w:bCs/>
          <w:color w:val="auto"/>
          <w:sz w:val="52"/>
          <w:highlight w:val="none"/>
        </w:rPr>
        <w:t xml:space="preserve">  </w:t>
      </w:r>
      <w:r>
        <w:rPr>
          <w:rFonts w:hint="eastAsia" w:ascii="宋体" w:hAnsi="宋体"/>
          <w:b/>
          <w:bCs/>
          <w:color w:val="auto"/>
          <w:sz w:val="52"/>
          <w:highlight w:val="none"/>
        </w:rPr>
        <w:t>价</w:t>
      </w:r>
      <w:r>
        <w:rPr>
          <w:rFonts w:ascii="宋体" w:hAnsi="宋体"/>
          <w:b/>
          <w:bCs/>
          <w:color w:val="auto"/>
          <w:sz w:val="52"/>
          <w:highlight w:val="none"/>
        </w:rPr>
        <w:t xml:space="preserve">  </w:t>
      </w:r>
      <w:r>
        <w:rPr>
          <w:rFonts w:hint="eastAsia" w:ascii="宋体" w:hAnsi="宋体"/>
          <w:b/>
          <w:bCs/>
          <w:color w:val="auto"/>
          <w:sz w:val="52"/>
          <w:highlight w:val="none"/>
        </w:rPr>
        <w:t>书</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b/>
          <w:bCs/>
          <w:color w:val="auto"/>
          <w:sz w:val="30"/>
          <w:highlight w:val="none"/>
        </w:rPr>
      </w:pPr>
    </w:p>
    <w:p>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color w:val="auto"/>
          <w:szCs w:val="21"/>
          <w:highlight w:val="none"/>
        </w:rPr>
        <w:sectPr>
          <w:pgSz w:w="11906" w:h="16838"/>
          <w:pgMar w:top="1440" w:right="1080" w:bottom="1440" w:left="1080" w:header="851" w:footer="1021" w:gutter="0"/>
          <w:pgNumType w:fmt="decimal"/>
          <w:cols w:space="720" w:num="1"/>
          <w:docGrid w:type="lines" w:linePitch="312" w:charSpace="0"/>
        </w:sectPr>
      </w:pPr>
    </w:p>
    <w:p>
      <w:pPr>
        <w:tabs>
          <w:tab w:val="left" w:pos="5560"/>
          <w:tab w:val="left" w:pos="6940"/>
        </w:tabs>
        <w:spacing w:line="480" w:lineRule="auto"/>
        <w:ind w:right="85" w:firstLine="3213" w:firstLineChars="1000"/>
        <w:jc w:val="left"/>
        <w:rPr>
          <w:rFonts w:ascii="宋体" w:hAnsi="宋体"/>
          <w:b/>
          <w:color w:val="auto"/>
          <w:sz w:val="32"/>
          <w:szCs w:val="28"/>
          <w:highlight w:val="none"/>
        </w:rPr>
      </w:pPr>
      <w:r>
        <w:rPr>
          <w:rFonts w:hint="eastAsia" w:ascii="宋体" w:hAnsi="宋体"/>
          <w:b/>
          <w:color w:val="auto"/>
          <w:sz w:val="32"/>
          <w:szCs w:val="28"/>
          <w:highlight w:val="none"/>
        </w:rPr>
        <w:t>投标报价汇总表</w:t>
      </w:r>
    </w:p>
    <w:p>
      <w:pPr>
        <w:pStyle w:val="2"/>
        <w:rPr>
          <w:rFonts w:ascii="Calibri" w:hAnsi="Calibri"/>
          <w:color w:val="auto"/>
          <w:highlight w:val="none"/>
        </w:rPr>
      </w:pPr>
    </w:p>
    <w:p>
      <w:pPr>
        <w:pStyle w:val="27"/>
        <w:ind w:firstLine="0"/>
        <w:rPr>
          <w:rFonts w:hint="eastAsia" w:ascii="宋体" w:hAnsi="宋体" w:eastAsia="宋体"/>
          <w:bCs/>
          <w:color w:val="auto"/>
          <w:sz w:val="24"/>
          <w:highlight w:val="none"/>
          <w:lang w:eastAsia="zh-CN"/>
        </w:rPr>
      </w:pPr>
      <w:r>
        <w:rPr>
          <w:rFonts w:hint="eastAsia" w:ascii="宋体" w:hAnsi="宋体"/>
          <w:bCs/>
          <w:color w:val="auto"/>
          <w:sz w:val="24"/>
          <w:highlight w:val="none"/>
        </w:rPr>
        <w:t>项</w:t>
      </w:r>
      <w:r>
        <w:rPr>
          <w:rFonts w:hint="eastAsia" w:ascii="宋体" w:hAnsi="宋体" w:cs="宋体"/>
          <w:color w:val="auto"/>
          <w:sz w:val="24"/>
          <w:highlight w:val="none"/>
          <w:u w:val="single"/>
        </w:rPr>
        <w:t>目名称：</w:t>
      </w:r>
      <w:r>
        <w:rPr>
          <w:rFonts w:hint="eastAsia" w:ascii="宋体" w:hAnsi="宋体" w:cs="宋体"/>
          <w:color w:val="auto"/>
          <w:sz w:val="24"/>
          <w:highlight w:val="none"/>
          <w:u w:val="single"/>
          <w:lang w:eastAsia="zh-CN"/>
        </w:rPr>
        <w:t>正源湾区智慧工程检验检测基地项目第三方检测和监测</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2"/>
        <w:gridCol w:w="277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772"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标段名称</w:t>
            </w:r>
          </w:p>
        </w:tc>
        <w:tc>
          <w:tcPr>
            <w:tcW w:w="2770" w:type="dxa"/>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w:t>
            </w:r>
          </w:p>
          <w:p>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977"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772" w:type="dxa"/>
            <w:vAlign w:val="center"/>
          </w:tcPr>
          <w:p>
            <w:pPr>
              <w:jc w:val="center"/>
              <w:rPr>
                <w:rFonts w:hint="eastAsia" w:ascii="宋体" w:hAnsi="宋体" w:eastAsia="宋体" w:cs="华文楷体"/>
                <w:bCs/>
                <w:color w:val="auto"/>
                <w:kern w:val="0"/>
                <w:sz w:val="24"/>
                <w:szCs w:val="24"/>
                <w:highlight w:val="none"/>
                <w:lang w:eastAsia="zh-CN" w:bidi="ar"/>
              </w:rPr>
            </w:pPr>
            <w:r>
              <w:rPr>
                <w:rFonts w:hint="eastAsia" w:ascii="宋体" w:hAnsi="宋体" w:cs="华文楷体"/>
                <w:bCs/>
                <w:color w:val="auto"/>
                <w:kern w:val="0"/>
                <w:sz w:val="24"/>
                <w:szCs w:val="24"/>
                <w:highlight w:val="none"/>
                <w:lang w:eastAsia="zh-CN" w:bidi="ar"/>
              </w:rPr>
              <w:t>正源湾区智慧工程检验检测基地项目第三方检测和监测</w:t>
            </w:r>
          </w:p>
        </w:tc>
        <w:tc>
          <w:tcPr>
            <w:tcW w:w="2770" w:type="dxa"/>
            <w:vAlign w:val="center"/>
          </w:tcPr>
          <w:p>
            <w:pPr>
              <w:widowControl/>
              <w:jc w:val="center"/>
              <w:textAlignment w:val="center"/>
              <w:rPr>
                <w:rFonts w:ascii="宋体" w:hAnsi="宋体" w:cs="华文楷体"/>
                <w:b/>
                <w:color w:val="auto"/>
                <w:kern w:val="0"/>
                <w:sz w:val="24"/>
                <w:szCs w:val="24"/>
                <w:highlight w:val="none"/>
                <w:lang w:bidi="ar"/>
              </w:rPr>
            </w:pPr>
          </w:p>
        </w:tc>
        <w:tc>
          <w:tcPr>
            <w:tcW w:w="1977" w:type="dxa"/>
            <w:vAlign w:val="center"/>
          </w:tcPr>
          <w:p>
            <w:pPr>
              <w:jc w:val="center"/>
              <w:rPr>
                <w:rFonts w:ascii="宋体" w:hAnsi="宋体" w:cs="华文楷体"/>
                <w:b/>
                <w:color w:val="auto"/>
                <w:kern w:val="0"/>
                <w:sz w:val="24"/>
                <w:szCs w:val="24"/>
                <w:highlight w:val="none"/>
                <w:lang w:bidi="ar"/>
              </w:rPr>
            </w:pPr>
          </w:p>
        </w:tc>
      </w:tr>
    </w:tbl>
    <w:p>
      <w:pPr>
        <w:rPr>
          <w:rFonts w:ascii="宋体" w:hAnsi="宋体"/>
          <w:color w:val="auto"/>
          <w:highlight w:val="none"/>
        </w:rPr>
      </w:pPr>
      <w:bookmarkStart w:id="351" w:name="_Toc266373531"/>
      <w:bookmarkStart w:id="352" w:name="_Toc390704770"/>
      <w:bookmarkStart w:id="353" w:name="_Toc333829923"/>
      <w:bookmarkStart w:id="354" w:name="_Toc374610687"/>
      <w:bookmarkStart w:id="355" w:name="_Toc374536218"/>
      <w:bookmarkStart w:id="356" w:name="_Toc31556"/>
    </w:p>
    <w:p>
      <w:pPr>
        <w:pStyle w:val="2"/>
        <w:ind w:firstLine="422"/>
        <w:rPr>
          <w:rFonts w:ascii="Calibri" w:hAnsi="Calibri"/>
          <w:b/>
          <w:color w:val="auto"/>
          <w:highlight w:val="none"/>
          <w:u w:val="single"/>
        </w:rPr>
      </w:pPr>
      <w:r>
        <w:rPr>
          <w:rFonts w:hint="eastAsia" w:ascii="Calibri" w:hAnsi="Calibri"/>
          <w:b/>
          <w:color w:val="auto"/>
          <w:highlight w:val="none"/>
          <w:u w:val="single"/>
        </w:rPr>
        <w:t>注：</w:t>
      </w:r>
    </w:p>
    <w:p>
      <w:pPr>
        <w:pStyle w:val="2"/>
        <w:ind w:firstLine="422"/>
        <w:rPr>
          <w:rFonts w:ascii="Calibri" w:hAnsi="Calibri"/>
          <w:b/>
          <w:color w:val="auto"/>
          <w:highlight w:val="none"/>
          <w:u w:val="single"/>
        </w:rPr>
      </w:pPr>
      <w:r>
        <w:rPr>
          <w:rFonts w:hint="eastAsia" w:ascii="Calibri" w:hAnsi="Calibri"/>
          <w:b/>
          <w:color w:val="auto"/>
          <w:highlight w:val="none"/>
          <w:u w:val="single"/>
        </w:rPr>
        <w:t>1、投标下浮率=（1-投标报价/最高投标限价）*100%。</w:t>
      </w:r>
    </w:p>
    <w:p>
      <w:pPr>
        <w:pStyle w:val="2"/>
        <w:ind w:firstLine="422"/>
        <w:rPr>
          <w:rFonts w:ascii="Calibri" w:hAnsi="Calibri"/>
          <w:b/>
          <w:color w:val="auto"/>
          <w:highlight w:val="none"/>
          <w:u w:val="single"/>
        </w:rPr>
      </w:pPr>
      <w:r>
        <w:rPr>
          <w:rFonts w:hint="eastAsia" w:ascii="Calibri" w:hAnsi="Calibri"/>
          <w:b/>
          <w:color w:val="auto"/>
          <w:highlight w:val="none"/>
          <w:u w:val="single"/>
        </w:rPr>
        <w:t>2、精确到小数点后2位。</w:t>
      </w:r>
    </w:p>
    <w:p>
      <w:pPr>
        <w:pStyle w:val="2"/>
        <w:rPr>
          <w:rFonts w:ascii="Calibri" w:hAnsi="Calibri"/>
          <w:color w:val="auto"/>
          <w:highlight w:val="none"/>
        </w:rPr>
      </w:pPr>
    </w:p>
    <w:p>
      <w:pPr>
        <w:pStyle w:val="2"/>
        <w:rPr>
          <w:rFonts w:ascii="Calibri" w:hAnsi="Calibri"/>
          <w:color w:val="auto"/>
          <w:highlight w:val="none"/>
        </w:rPr>
      </w:pPr>
    </w:p>
    <w:p>
      <w:pPr>
        <w:pStyle w:val="2"/>
        <w:rPr>
          <w:rFonts w:ascii="Calibri" w:hAnsi="Calibri"/>
          <w:color w:val="auto"/>
          <w:highlight w:val="none"/>
        </w:rPr>
      </w:pPr>
    </w:p>
    <w:p>
      <w:pPr>
        <w:pStyle w:val="14"/>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jc w:val="right"/>
        <w:rPr>
          <w:rFonts w:ascii="宋体" w:hAnsi="宋体" w:cs="宋体"/>
          <w:color w:val="auto"/>
          <w:sz w:val="9"/>
          <w:szCs w:val="9"/>
          <w:highlight w:val="none"/>
        </w:rPr>
      </w:pPr>
    </w:p>
    <w:p>
      <w:pPr>
        <w:pStyle w:val="14"/>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pPr>
        <w:spacing w:before="10"/>
        <w:jc w:val="right"/>
        <w:rPr>
          <w:rFonts w:ascii="宋体" w:hAnsi="宋体" w:cs="宋体"/>
          <w:color w:val="auto"/>
          <w:sz w:val="9"/>
          <w:szCs w:val="9"/>
          <w:highlight w:val="none"/>
        </w:rPr>
      </w:pPr>
    </w:p>
    <w:p>
      <w:pPr>
        <w:pStyle w:val="2"/>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pStyle w:val="6"/>
        <w:rPr>
          <w:color w:val="auto"/>
          <w:highlight w:val="none"/>
        </w:rPr>
      </w:pPr>
      <w:r>
        <w:rPr>
          <w:color w:val="auto"/>
          <w:highlight w:val="none"/>
        </w:rPr>
        <w:br w:type="page"/>
      </w:r>
      <w:bookmarkEnd w:id="351"/>
      <w:bookmarkEnd w:id="352"/>
      <w:bookmarkEnd w:id="353"/>
      <w:bookmarkEnd w:id="354"/>
      <w:bookmarkEnd w:id="355"/>
      <w:bookmarkEnd w:id="356"/>
      <w:bookmarkStart w:id="357" w:name="_Toc103592040"/>
      <w:bookmarkStart w:id="358" w:name="_Toc4016"/>
      <w:bookmarkStart w:id="359" w:name="_Toc1251"/>
      <w:bookmarkStart w:id="360" w:name="_Toc17072"/>
      <w:bookmarkStart w:id="361" w:name="_Toc4448"/>
      <w:bookmarkStart w:id="362" w:name="_Toc9422"/>
      <w:r>
        <w:rPr>
          <w:rFonts w:hint="eastAsia"/>
          <w:color w:val="auto"/>
          <w:highlight w:val="none"/>
          <w:lang w:val="en-US" w:eastAsia="zh-CN"/>
        </w:rPr>
        <w:t>四</w:t>
      </w:r>
      <w:r>
        <w:rPr>
          <w:rFonts w:hint="eastAsia"/>
          <w:color w:val="auto"/>
          <w:highlight w:val="none"/>
        </w:rPr>
        <w:t>、资格审查资料</w:t>
      </w:r>
      <w:bookmarkEnd w:id="357"/>
      <w:bookmarkEnd w:id="358"/>
      <w:bookmarkEnd w:id="359"/>
      <w:bookmarkEnd w:id="360"/>
      <w:bookmarkEnd w:id="361"/>
      <w:bookmarkEnd w:id="362"/>
    </w:p>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（一）投标人基本情况表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bl>
    <w:p>
      <w:pPr>
        <w:snapToGrid w:val="0"/>
        <w:rPr>
          <w:rFonts w:ascii="宋体" w:hAnsi="宋体"/>
          <w:color w:val="auto"/>
          <w:spacing w:val="-5"/>
          <w:szCs w:val="21"/>
          <w:highlight w:val="none"/>
        </w:rPr>
      </w:pPr>
    </w:p>
    <w:p>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pPr>
        <w:snapToGrid w:val="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、本表后须附投标单位的营业执照副本或事业单位法人证书副本、建设行政主管部门颁发的建设工程质量检测机构资质证书、检验检测机构资质认定证书（CMA计量认证合格证书）以及其他相关证明材料。</w:t>
      </w:r>
    </w:p>
    <w:p>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pPr>
        <w:adjustRightInd w:val="0"/>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highlight w:val="none"/>
        </w:rPr>
        <w:t xml:space="preserve">  （按招标公告附件一格式提供）</w:t>
      </w:r>
    </w:p>
    <w:p>
      <w:pPr>
        <w:widowControl/>
        <w:jc w:val="center"/>
        <w:rPr>
          <w:rFonts w:ascii="宋体" w:hAnsi="宋体" w:cs="宋体"/>
          <w:b/>
          <w:bCs/>
          <w:color w:val="auto"/>
          <w:kern w:val="0"/>
          <w:szCs w:val="21"/>
          <w:highlight w:val="none"/>
        </w:rPr>
      </w:pPr>
    </w:p>
    <w:p>
      <w:pPr>
        <w:widowControl/>
        <w:rPr>
          <w:rFonts w:ascii="宋体" w:hAnsi="宋体" w:cs="宋体"/>
          <w:b/>
          <w:bCs/>
          <w:color w:val="auto"/>
          <w:kern w:val="0"/>
          <w:szCs w:val="21"/>
          <w:highlight w:val="none"/>
        </w:rPr>
      </w:pPr>
    </w:p>
    <w:p>
      <w:pPr>
        <w:widowControl/>
        <w:jc w:val="center"/>
        <w:rPr>
          <w:color w:val="auto"/>
          <w:highlight w:val="none"/>
        </w:rPr>
        <w:sectPr>
          <w:headerReference r:id="rId12" w:type="default"/>
          <w:pgSz w:w="11906" w:h="16838"/>
          <w:pgMar w:top="1440" w:right="1080" w:bottom="1440" w:left="1080" w:header="851" w:footer="1021" w:gutter="0"/>
          <w:pgNumType w:fmt="decimal"/>
          <w:cols w:space="720" w:num="1"/>
          <w:docGrid w:type="lines" w:linePitch="312" w:charSpace="0"/>
        </w:sectPr>
      </w:pPr>
      <w:r>
        <w:rPr>
          <w:color w:val="auto"/>
          <w:highlight w:val="none"/>
        </w:rPr>
        <w:br w:type="page"/>
      </w:r>
    </w:p>
    <w:p>
      <w:pPr>
        <w:pStyle w:val="7"/>
        <w:rPr>
          <w:rFonts w:ascii="宋体" w:hAnsi="宋体" w:cs="宋体"/>
          <w:color w:val="auto"/>
          <w:highlight w:val="none"/>
        </w:rPr>
      </w:pPr>
      <w:r>
        <w:rPr>
          <w:rFonts w:hint="eastAsia" w:ascii="宋体" w:hAnsi="宋体" w:cs="宋体"/>
          <w:color w:val="auto"/>
          <w:highlight w:val="none"/>
        </w:rPr>
        <w:t>（三）投标人廉洁承诺书</w:t>
      </w:r>
    </w:p>
    <w:p>
      <w:pPr>
        <w:spacing w:line="400" w:lineRule="exact"/>
        <w:ind w:right="529" w:rightChars="252"/>
        <w:jc w:val="center"/>
        <w:rPr>
          <w:rFonts w:ascii="宋体" w:hAnsi="宋体" w:cs="宋体"/>
          <w:color w:val="auto"/>
          <w:sz w:val="28"/>
          <w:szCs w:val="28"/>
          <w:highlight w:val="none"/>
        </w:rPr>
      </w:pPr>
      <w:bookmarkStart w:id="363" w:name="_Toc15263_WPSOffice_Level2"/>
      <w:bookmarkStart w:id="364" w:name="_Toc11945_WPSOffice_Level2"/>
      <w:r>
        <w:rPr>
          <w:rFonts w:hint="eastAsia" w:ascii="宋体" w:hAnsi="宋体" w:cs="宋体"/>
          <w:color w:val="auto"/>
          <w:sz w:val="28"/>
          <w:szCs w:val="28"/>
          <w:highlight w:val="none"/>
        </w:rPr>
        <w:t>投标人廉洁承诺书</w:t>
      </w:r>
      <w:bookmarkEnd w:id="363"/>
      <w:bookmarkEnd w:id="364"/>
      <w:bookmarkStart w:id="365" w:name="_Toc513825431"/>
    </w:p>
    <w:p>
      <w:pPr>
        <w:spacing w:line="400" w:lineRule="exact"/>
        <w:ind w:right="529" w:rightChars="252"/>
        <w:jc w:val="center"/>
        <w:rPr>
          <w:rFonts w:ascii="宋体" w:hAnsi="宋体" w:cs="宋体"/>
          <w:color w:val="auto"/>
          <w:szCs w:val="21"/>
          <w:highlight w:val="none"/>
        </w:rPr>
      </w:pPr>
    </w:p>
    <w:p>
      <w:pPr>
        <w:spacing w:line="400" w:lineRule="exact"/>
        <w:ind w:right="529" w:rightChars="252"/>
        <w:rPr>
          <w:rFonts w:ascii="宋体" w:hAnsi="宋体" w:cs="宋体"/>
          <w:color w:val="auto"/>
          <w:szCs w:val="21"/>
          <w:highlight w:val="none"/>
        </w:rPr>
      </w:pPr>
      <w:r>
        <w:rPr>
          <w:rFonts w:hint="eastAsia" w:ascii="宋体" w:hAnsi="宋体" w:cs="宋体"/>
          <w:color w:val="auto"/>
          <w:szCs w:val="21"/>
          <w:highlight w:val="none"/>
        </w:rPr>
        <w:t>本招标项目招标人及招标监管机构：</w:t>
      </w:r>
      <w:bookmarkEnd w:id="365"/>
    </w:p>
    <w:p>
      <w:pPr>
        <w:spacing w:line="400" w:lineRule="exact"/>
        <w:ind w:right="529" w:rightChars="252"/>
        <w:rPr>
          <w:rFonts w:ascii="宋体" w:hAnsi="宋体" w:cs="宋体"/>
          <w:color w:val="auto"/>
          <w:szCs w:val="21"/>
          <w:highlight w:val="none"/>
        </w:rPr>
      </w:pPr>
    </w:p>
    <w:p>
      <w:pPr>
        <w:pStyle w:val="64"/>
        <w:spacing w:before="0" w:after="0" w:line="400" w:lineRule="exact"/>
        <w:ind w:right="529" w:rightChars="252" w:firstLine="525" w:firstLineChars="250"/>
        <w:rPr>
          <w:color w:val="auto"/>
          <w:sz w:val="21"/>
          <w:szCs w:val="21"/>
          <w:highlight w:val="none"/>
        </w:rPr>
      </w:pPr>
      <w:bookmarkStart w:id="366" w:name="_Toc513825432"/>
      <w:r>
        <w:rPr>
          <w:rFonts w:hint="eastAsia"/>
          <w:color w:val="auto"/>
          <w:sz w:val="21"/>
          <w:szCs w:val="21"/>
          <w:highlight w:val="none"/>
        </w:rPr>
        <w:t>本公司参加了</w:t>
      </w:r>
      <w:r>
        <w:rPr>
          <w:rFonts w:hint="eastAsia"/>
          <w:color w:val="auto"/>
          <w:sz w:val="21"/>
          <w:szCs w:val="21"/>
          <w:highlight w:val="none"/>
          <w:u w:val="single"/>
        </w:rPr>
        <w:t xml:space="preserve">   （项目名称/标段名称）   </w:t>
      </w:r>
      <w:r>
        <w:rPr>
          <w:rFonts w:hint="eastAsia"/>
          <w:color w:val="auto"/>
          <w:sz w:val="21"/>
          <w:szCs w:val="21"/>
          <w:highlight w:val="none"/>
        </w:rPr>
        <w:t xml:space="preserve"> 投标， 为确保招标工作的公平、公正、公开、有序进行，我们保证遵守《中华人民共和国招标投标法》、《中华人民共和国招标投标法实施条例》、《广东省实施&lt;中华人民共和国招标投标法&gt;办法》等法律法规，特承诺如下事项：</w:t>
      </w:r>
      <w:bookmarkEnd w:id="366"/>
    </w:p>
    <w:p>
      <w:pPr>
        <w:pStyle w:val="64"/>
        <w:spacing w:before="0" w:after="0" w:line="400" w:lineRule="exact"/>
        <w:ind w:right="529" w:rightChars="252" w:firstLine="525" w:firstLineChars="250"/>
        <w:rPr>
          <w:color w:val="auto"/>
          <w:sz w:val="21"/>
          <w:szCs w:val="21"/>
          <w:highlight w:val="none"/>
        </w:rPr>
      </w:pPr>
      <w:bookmarkStart w:id="367" w:name="_Toc513825433"/>
      <w:r>
        <w:rPr>
          <w:rFonts w:hint="eastAsia"/>
          <w:color w:val="auto"/>
          <w:sz w:val="21"/>
          <w:szCs w:val="21"/>
          <w:highlight w:val="none"/>
        </w:rPr>
        <w:t>一、自觉遵守国家有关法律法规及廉洁规定。</w:t>
      </w:r>
      <w:bookmarkEnd w:id="367"/>
    </w:p>
    <w:p>
      <w:pPr>
        <w:pStyle w:val="64"/>
        <w:spacing w:before="0" w:after="0" w:line="400" w:lineRule="exact"/>
        <w:ind w:right="529" w:rightChars="252" w:firstLine="525" w:firstLineChars="250"/>
        <w:rPr>
          <w:color w:val="auto"/>
          <w:sz w:val="21"/>
          <w:szCs w:val="21"/>
          <w:highlight w:val="none"/>
        </w:rPr>
      </w:pPr>
      <w:bookmarkStart w:id="368" w:name="_Toc513825434"/>
      <w:r>
        <w:rPr>
          <w:rFonts w:hint="eastAsia"/>
          <w:color w:val="auto"/>
          <w:sz w:val="21"/>
          <w:szCs w:val="21"/>
          <w:highlight w:val="none"/>
        </w:rPr>
        <w:t>二、不与招标单位工作人员串通投标，损害国家利益、企业利益以及他人的合法利益；</w:t>
      </w:r>
      <w:bookmarkEnd w:id="368"/>
    </w:p>
    <w:p>
      <w:pPr>
        <w:pStyle w:val="64"/>
        <w:spacing w:before="0" w:after="0" w:line="400" w:lineRule="exact"/>
        <w:ind w:right="529" w:rightChars="252" w:firstLine="525" w:firstLineChars="250"/>
        <w:rPr>
          <w:color w:val="auto"/>
          <w:sz w:val="21"/>
          <w:szCs w:val="21"/>
          <w:highlight w:val="none"/>
        </w:rPr>
      </w:pPr>
      <w:bookmarkStart w:id="369" w:name="_Toc513825435"/>
      <w:r>
        <w:rPr>
          <w:rFonts w:hint="eastAsia"/>
          <w:color w:val="auto"/>
          <w:sz w:val="21"/>
          <w:szCs w:val="21"/>
          <w:highlight w:val="none"/>
        </w:rPr>
        <w:t>三、不与其他单位围标、串标，不出让投标资格，不向招标人或评标委员会成员行贿。</w:t>
      </w:r>
      <w:bookmarkEnd w:id="369"/>
    </w:p>
    <w:p>
      <w:pPr>
        <w:pStyle w:val="64"/>
        <w:spacing w:before="0" w:after="0" w:line="400" w:lineRule="exact"/>
        <w:ind w:right="529" w:rightChars="252" w:firstLine="525" w:firstLineChars="250"/>
        <w:rPr>
          <w:color w:val="auto"/>
          <w:sz w:val="21"/>
          <w:szCs w:val="21"/>
          <w:highlight w:val="none"/>
        </w:rPr>
      </w:pPr>
      <w:bookmarkStart w:id="370" w:name="_Toc513825436"/>
      <w:r>
        <w:rPr>
          <w:rFonts w:hint="eastAsia"/>
          <w:color w:val="auto"/>
          <w:sz w:val="21"/>
          <w:szCs w:val="21"/>
          <w:highlight w:val="none"/>
        </w:rPr>
        <w:t>四、不以任何名义向参与招标、评标工作的有关人员提供高消费宴请及娱乐活动和赠送回扣、红包、礼金、购物卡、有价证券、贵重物品和好处费、感谢费等；</w:t>
      </w:r>
      <w:bookmarkEnd w:id="370"/>
      <w:r>
        <w:rPr>
          <w:rFonts w:hint="eastAsia"/>
          <w:color w:val="auto"/>
          <w:sz w:val="21"/>
          <w:szCs w:val="21"/>
          <w:highlight w:val="none"/>
        </w:rPr>
        <w:t xml:space="preserve"> </w:t>
      </w:r>
    </w:p>
    <w:p>
      <w:pPr>
        <w:pStyle w:val="64"/>
        <w:spacing w:before="0" w:after="0" w:line="400" w:lineRule="exact"/>
        <w:ind w:right="529" w:rightChars="252" w:firstLine="525" w:firstLineChars="250"/>
        <w:rPr>
          <w:color w:val="auto"/>
          <w:sz w:val="21"/>
          <w:szCs w:val="21"/>
          <w:highlight w:val="none"/>
        </w:rPr>
      </w:pPr>
      <w:bookmarkStart w:id="371" w:name="_Toc513825437"/>
      <w:r>
        <w:rPr>
          <w:rFonts w:hint="eastAsia"/>
          <w:color w:val="auto"/>
          <w:sz w:val="21"/>
          <w:szCs w:val="21"/>
          <w:highlight w:val="none"/>
        </w:rPr>
        <w:t>五、不以任何名义为参与招标、评标工作的有关人员装修住房、婚丧嫁娶、配偶子女的工作安排以及境内外旅游等提供方便；</w:t>
      </w:r>
      <w:bookmarkEnd w:id="371"/>
    </w:p>
    <w:p>
      <w:pPr>
        <w:pStyle w:val="64"/>
        <w:spacing w:before="0" w:after="0" w:line="400" w:lineRule="exact"/>
        <w:ind w:right="529" w:rightChars="252" w:firstLine="525" w:firstLineChars="250"/>
        <w:rPr>
          <w:color w:val="auto"/>
          <w:sz w:val="21"/>
          <w:szCs w:val="21"/>
          <w:highlight w:val="none"/>
        </w:rPr>
      </w:pPr>
      <w:bookmarkStart w:id="372" w:name="_Toc513825438"/>
      <w:r>
        <w:rPr>
          <w:rFonts w:hint="eastAsia"/>
          <w:color w:val="auto"/>
          <w:sz w:val="21"/>
          <w:szCs w:val="21"/>
          <w:highlight w:val="none"/>
        </w:rPr>
        <w:t>六、不以谋取非正当利益为目的，擅自与参与招标、评标工作的有关人员就业务问题进行私下商谈或者达成利益默契；</w:t>
      </w:r>
      <w:bookmarkEnd w:id="372"/>
    </w:p>
    <w:p>
      <w:pPr>
        <w:pStyle w:val="64"/>
        <w:spacing w:before="0" w:after="0" w:line="400" w:lineRule="exact"/>
        <w:ind w:right="529" w:rightChars="252" w:firstLine="525" w:firstLineChars="250"/>
        <w:rPr>
          <w:color w:val="auto"/>
          <w:sz w:val="21"/>
          <w:szCs w:val="21"/>
          <w:highlight w:val="none"/>
        </w:rPr>
      </w:pPr>
      <w:bookmarkStart w:id="373" w:name="_Toc513825439"/>
      <w:r>
        <w:rPr>
          <w:rFonts w:hint="eastAsia"/>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bookmarkEnd w:id="373"/>
    </w:p>
    <w:p>
      <w:pPr>
        <w:pStyle w:val="64"/>
        <w:spacing w:before="0" w:after="0" w:line="400" w:lineRule="exact"/>
        <w:ind w:right="529" w:rightChars="252" w:firstLine="525" w:firstLineChars="250"/>
        <w:rPr>
          <w:color w:val="auto"/>
          <w:sz w:val="21"/>
          <w:szCs w:val="21"/>
          <w:highlight w:val="none"/>
        </w:rPr>
      </w:pPr>
      <w:bookmarkStart w:id="374" w:name="_Toc513825440"/>
    </w:p>
    <w:p>
      <w:pPr>
        <w:pStyle w:val="64"/>
        <w:spacing w:before="0" w:after="0" w:line="400" w:lineRule="exact"/>
        <w:ind w:right="529" w:rightChars="252" w:firstLine="525" w:firstLineChars="250"/>
        <w:rPr>
          <w:color w:val="auto"/>
          <w:sz w:val="21"/>
          <w:szCs w:val="21"/>
          <w:highlight w:val="none"/>
        </w:rPr>
      </w:pPr>
      <w:r>
        <w:rPr>
          <w:rFonts w:hint="eastAsia"/>
          <w:color w:val="auto"/>
          <w:sz w:val="21"/>
          <w:szCs w:val="21"/>
          <w:highlight w:val="none"/>
        </w:rPr>
        <w:t>特此承诺</w:t>
      </w:r>
      <w:bookmarkEnd w:id="374"/>
      <w:r>
        <w:rPr>
          <w:rFonts w:hint="eastAsia"/>
          <w:color w:val="auto"/>
          <w:sz w:val="21"/>
          <w:szCs w:val="21"/>
          <w:highlight w:val="none"/>
        </w:rPr>
        <w:t xml:space="preserve">                                          </w:t>
      </w:r>
    </w:p>
    <w:p>
      <w:pPr>
        <w:pStyle w:val="64"/>
        <w:spacing w:before="0" w:after="0" w:line="400" w:lineRule="exact"/>
        <w:ind w:right="529" w:rightChars="252"/>
        <w:rPr>
          <w:color w:val="auto"/>
          <w:sz w:val="21"/>
          <w:szCs w:val="21"/>
          <w:highlight w:val="none"/>
        </w:rPr>
      </w:pPr>
    </w:p>
    <w:p>
      <w:pPr>
        <w:pStyle w:val="64"/>
        <w:spacing w:before="0" w:after="0" w:line="400" w:lineRule="exact"/>
        <w:ind w:right="529" w:rightChars="252"/>
        <w:jc w:val="right"/>
        <w:rPr>
          <w:color w:val="auto"/>
          <w:sz w:val="21"/>
          <w:szCs w:val="21"/>
          <w:highlight w:val="none"/>
        </w:rPr>
      </w:pPr>
      <w:bookmarkStart w:id="375" w:name="_Toc513825441"/>
      <w:r>
        <w:rPr>
          <w:rFonts w:hint="eastAsia"/>
          <w:color w:val="auto"/>
          <w:sz w:val="21"/>
          <w:szCs w:val="21"/>
          <w:highlight w:val="none"/>
        </w:rPr>
        <w:t>承诺企业：</w:t>
      </w:r>
      <w:bookmarkEnd w:id="375"/>
      <w:r>
        <w:rPr>
          <w:rFonts w:hint="eastAsia"/>
          <w:color w:val="auto"/>
          <w:sz w:val="21"/>
          <w:szCs w:val="21"/>
          <w:highlight w:val="none"/>
        </w:rPr>
        <w:t xml:space="preserve">      </w:t>
      </w:r>
    </w:p>
    <w:p>
      <w:pPr>
        <w:pStyle w:val="64"/>
        <w:spacing w:before="0" w:after="0" w:line="400" w:lineRule="exact"/>
        <w:ind w:right="529" w:rightChars="252"/>
        <w:jc w:val="right"/>
        <w:rPr>
          <w:color w:val="auto"/>
          <w:sz w:val="21"/>
          <w:szCs w:val="21"/>
          <w:highlight w:val="none"/>
        </w:rPr>
      </w:pPr>
      <w:bookmarkStart w:id="376" w:name="_Toc513825442"/>
      <w:r>
        <w:rPr>
          <w:rFonts w:hint="eastAsia"/>
          <w:color w:val="auto"/>
          <w:sz w:val="21"/>
          <w:szCs w:val="21"/>
          <w:highlight w:val="none"/>
        </w:rPr>
        <w:t>年   月   日</w:t>
      </w:r>
      <w:bookmarkEnd w:id="376"/>
    </w:p>
    <w:p>
      <w:pPr>
        <w:pStyle w:val="64"/>
        <w:spacing w:before="0" w:after="0" w:line="400" w:lineRule="exact"/>
        <w:ind w:right="529" w:rightChars="252"/>
        <w:jc w:val="right"/>
        <w:rPr>
          <w:color w:val="auto"/>
          <w:sz w:val="21"/>
          <w:szCs w:val="21"/>
          <w:highlight w:val="none"/>
        </w:rPr>
      </w:pPr>
    </w:p>
    <w:p>
      <w:pPr>
        <w:pStyle w:val="64"/>
        <w:spacing w:before="0" w:after="0" w:line="400" w:lineRule="exact"/>
        <w:ind w:right="529" w:rightChars="252"/>
        <w:jc w:val="right"/>
        <w:rPr>
          <w:color w:val="auto"/>
          <w:sz w:val="21"/>
          <w:szCs w:val="21"/>
          <w:highlight w:val="none"/>
        </w:rPr>
      </w:pPr>
    </w:p>
    <w:p>
      <w:pPr>
        <w:pStyle w:val="64"/>
        <w:spacing w:before="0" w:after="0" w:line="400" w:lineRule="exact"/>
        <w:ind w:right="529" w:rightChars="252"/>
        <w:jc w:val="right"/>
        <w:rPr>
          <w:color w:val="auto"/>
          <w:sz w:val="21"/>
          <w:szCs w:val="21"/>
          <w:highlight w:val="none"/>
        </w:rPr>
      </w:pPr>
      <w:bookmarkStart w:id="377" w:name="_Toc513825443"/>
      <w:r>
        <w:rPr>
          <w:rFonts w:hint="eastAsia"/>
          <w:color w:val="auto"/>
          <w:sz w:val="21"/>
          <w:szCs w:val="21"/>
          <w:highlight w:val="none"/>
        </w:rPr>
        <w:t>法定代表人签字：</w:t>
      </w:r>
      <w:bookmarkEnd w:id="377"/>
      <w:r>
        <w:rPr>
          <w:rFonts w:hint="eastAsia"/>
          <w:color w:val="auto"/>
          <w:sz w:val="21"/>
          <w:szCs w:val="21"/>
          <w:highlight w:val="none"/>
        </w:rPr>
        <w:t xml:space="preserve">                  </w:t>
      </w:r>
    </w:p>
    <w:p>
      <w:pPr>
        <w:pStyle w:val="64"/>
        <w:spacing w:before="0" w:after="0" w:line="400" w:lineRule="exact"/>
        <w:ind w:right="529" w:rightChars="252"/>
        <w:jc w:val="right"/>
        <w:rPr>
          <w:color w:val="auto"/>
          <w:sz w:val="21"/>
          <w:szCs w:val="21"/>
          <w:highlight w:val="none"/>
        </w:rPr>
      </w:pPr>
      <w:bookmarkStart w:id="378" w:name="_Toc513825444"/>
      <w:r>
        <w:rPr>
          <w:rFonts w:hint="eastAsia"/>
          <w:color w:val="auto"/>
          <w:sz w:val="21"/>
          <w:szCs w:val="21"/>
          <w:highlight w:val="none"/>
        </w:rPr>
        <w:t>（企业公章）</w:t>
      </w:r>
      <w:bookmarkEnd w:id="378"/>
    </w:p>
    <w:p>
      <w:pPr>
        <w:pStyle w:val="5"/>
        <w:spacing w:after="176"/>
        <w:rPr>
          <w:rFonts w:ascii="宋体" w:hAnsi="宋体" w:cs="宋体"/>
          <w:color w:val="auto"/>
          <w:sz w:val="32"/>
          <w:highlight w:val="none"/>
        </w:rPr>
      </w:pPr>
    </w:p>
    <w:p>
      <w:pPr>
        <w:widowControl/>
        <w:jc w:val="center"/>
        <w:rPr>
          <w:rFonts w:ascii="宋体" w:hAnsi="宋体" w:cs="宋体"/>
          <w:b/>
          <w:bCs/>
          <w:color w:val="auto"/>
          <w:kern w:val="0"/>
          <w:sz w:val="28"/>
          <w:szCs w:val="28"/>
          <w:highlight w:val="none"/>
        </w:rPr>
        <w:sectPr>
          <w:pgSz w:w="11906" w:h="16838"/>
          <w:pgMar w:top="1440" w:right="1080" w:bottom="1440" w:left="1080" w:header="851" w:footer="1021" w:gutter="0"/>
          <w:pgNumType w:fmt="decimal"/>
          <w:cols w:space="720" w:num="1"/>
          <w:docGrid w:type="lines" w:linePitch="312" w:charSpace="0"/>
        </w:sectPr>
      </w:pP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（三）联合体协议书（联合体投标的提供）</w:t>
      </w:r>
    </w:p>
    <w:p>
      <w:pPr>
        <w:rPr>
          <w:color w:val="auto"/>
          <w:highlight w:val="none"/>
        </w:rPr>
      </w:pP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（四）其他符合第二章第1.4.1条款规定的证明</w:t>
      </w:r>
    </w:p>
    <w:p>
      <w:pPr>
        <w:pStyle w:val="2"/>
        <w:ind w:left="0" w:leftChars="0" w:firstLine="0" w:firstLineChars="0"/>
        <w:jc w:val="center"/>
        <w:rPr>
          <w:rFonts w:ascii="宋体" w:hAnsi="宋体" w:cs="宋体"/>
          <w:b/>
          <w:bCs/>
          <w:color w:val="auto"/>
          <w:kern w:val="0"/>
          <w:szCs w:val="21"/>
          <w:highlight w:val="none"/>
        </w:rPr>
      </w:pPr>
    </w:p>
    <w:p>
      <w:pPr>
        <w:pStyle w:val="2"/>
        <w:ind w:left="0" w:leftChars="0" w:firstLine="0" w:firstLineChars="0"/>
        <w:jc w:val="center"/>
        <w:rPr>
          <w:rFonts w:ascii="宋体" w:hAnsi="宋体" w:cs="宋体"/>
          <w:b/>
          <w:bCs/>
          <w:color w:val="auto"/>
          <w:kern w:val="0"/>
          <w:szCs w:val="21"/>
          <w:highlight w:val="none"/>
        </w:rPr>
      </w:pPr>
    </w:p>
    <w:p>
      <w:pPr>
        <w:pStyle w:val="2"/>
        <w:ind w:left="0" w:leftChars="0" w:firstLine="0" w:firstLineChars="0"/>
        <w:jc w:val="center"/>
        <w:rPr>
          <w:rFonts w:ascii="宋体" w:hAnsi="宋体" w:cs="宋体"/>
          <w:b/>
          <w:bCs/>
          <w:color w:val="auto"/>
          <w:kern w:val="0"/>
          <w:szCs w:val="21"/>
          <w:highlight w:val="none"/>
        </w:rPr>
      </w:pPr>
    </w:p>
    <w:p>
      <w:pPr>
        <w:pStyle w:val="6"/>
        <w:rPr>
          <w:color w:val="auto"/>
          <w:highlight w:val="none"/>
        </w:rPr>
      </w:pPr>
      <w:r>
        <w:rPr>
          <w:color w:val="auto"/>
          <w:highlight w:val="none"/>
        </w:rPr>
        <w:br w:type="page"/>
      </w:r>
      <w:bookmarkStart w:id="379" w:name="_Toc17051"/>
      <w:bookmarkStart w:id="380" w:name="_Toc103592041"/>
      <w:bookmarkStart w:id="381" w:name="_Toc25031"/>
      <w:bookmarkStart w:id="382" w:name="_Toc5664"/>
      <w:bookmarkStart w:id="383" w:name="_Toc5872"/>
      <w:bookmarkStart w:id="384" w:name="_Toc22838"/>
      <w:bookmarkStart w:id="385" w:name="_Toc533357334"/>
      <w:bookmarkStart w:id="386" w:name="_Toc20625"/>
      <w:r>
        <w:rPr>
          <w:rFonts w:hint="eastAsia"/>
          <w:color w:val="auto"/>
          <w:highlight w:val="none"/>
          <w:lang w:val="en-US" w:eastAsia="zh-CN"/>
        </w:rPr>
        <w:t>五</w:t>
      </w:r>
      <w:r>
        <w:rPr>
          <w:rFonts w:hint="eastAsia"/>
          <w:color w:val="auto"/>
          <w:highlight w:val="none"/>
        </w:rPr>
        <w:t>、类似项目业绩表</w:t>
      </w:r>
      <w:bookmarkEnd w:id="379"/>
      <w:bookmarkEnd w:id="380"/>
      <w:bookmarkEnd w:id="381"/>
      <w:bookmarkEnd w:id="382"/>
      <w:bookmarkEnd w:id="383"/>
      <w:bookmarkEnd w:id="38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41"/>
        <w:gridCol w:w="1054"/>
        <w:gridCol w:w="1356"/>
        <w:gridCol w:w="932"/>
        <w:gridCol w:w="182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2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741"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870"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bl>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pPr>
        <w:pStyle w:val="27"/>
        <w:ind w:firstLine="0"/>
        <w:rPr>
          <w:rFonts w:ascii="宋体" w:hAnsi="宋体" w:cs="宋体"/>
          <w:b/>
          <w:bCs/>
          <w:color w:val="auto"/>
          <w:kern w:val="0"/>
          <w:szCs w:val="21"/>
          <w:highlight w:val="none"/>
        </w:rPr>
      </w:pPr>
    </w:p>
    <w:bookmarkEnd w:id="385"/>
    <w:bookmarkEnd w:id="386"/>
    <w:p>
      <w:pPr>
        <w:rPr>
          <w:rFonts w:ascii="宋体" w:hAnsi="宋体"/>
          <w:color w:val="auto"/>
          <w:sz w:val="24"/>
          <w:highlight w:val="none"/>
        </w:rPr>
        <w:sectPr>
          <w:pgSz w:w="11906" w:h="16838"/>
          <w:pgMar w:top="1440" w:right="1080" w:bottom="1440" w:left="1080" w:header="851" w:footer="1021" w:gutter="0"/>
          <w:pgNumType w:fmt="decimal"/>
          <w:cols w:space="720" w:num="1"/>
          <w:docGrid w:type="lines" w:linePitch="312" w:charSpace="0"/>
        </w:sectPr>
      </w:pPr>
    </w:p>
    <w:p>
      <w:pPr>
        <w:pStyle w:val="6"/>
        <w:rPr>
          <w:color w:val="auto"/>
          <w:highlight w:val="none"/>
        </w:rPr>
      </w:pPr>
      <w:bookmarkStart w:id="387" w:name="_Toc103592042"/>
      <w:bookmarkStart w:id="388" w:name="_Toc22537"/>
      <w:bookmarkStart w:id="389" w:name="_Toc23309"/>
      <w:bookmarkStart w:id="390" w:name="_Toc9400"/>
      <w:bookmarkStart w:id="391" w:name="_Toc29219"/>
      <w:bookmarkStart w:id="392" w:name="_Toc4014"/>
      <w:r>
        <w:rPr>
          <w:rFonts w:hint="eastAsia"/>
          <w:color w:val="auto"/>
          <w:highlight w:val="none"/>
          <w:lang w:val="en-US" w:eastAsia="zh-CN"/>
        </w:rPr>
        <w:t>六</w:t>
      </w:r>
      <w:r>
        <w:rPr>
          <w:rFonts w:hint="eastAsia"/>
          <w:color w:val="auto"/>
          <w:highlight w:val="none"/>
        </w:rPr>
        <w:t>、拟投入本项目的检测和监测人员一览表</w:t>
      </w:r>
      <w:bookmarkEnd w:id="387"/>
      <w:bookmarkEnd w:id="388"/>
      <w:bookmarkEnd w:id="389"/>
      <w:bookmarkEnd w:id="390"/>
      <w:bookmarkEnd w:id="391"/>
      <w:bookmarkEnd w:id="39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939"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从事检测或监测工作年限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bl>
    <w:p>
      <w:pPr>
        <w:ind w:firstLine="480" w:firstLineChars="200"/>
        <w:rPr>
          <w:rFonts w:ascii="宋体" w:hAnsi="宋体"/>
          <w:color w:val="auto"/>
          <w:sz w:val="24"/>
          <w:highlight w:val="none"/>
        </w:rPr>
      </w:pPr>
    </w:p>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spacing w:line="440" w:lineRule="exact"/>
        <w:jc w:val="left"/>
        <w:rPr>
          <w:rFonts w:ascii="宋体" w:hAnsi="宋体"/>
          <w:color w:val="auto"/>
          <w:highlight w:val="none"/>
        </w:rPr>
      </w:pPr>
    </w:p>
    <w:p>
      <w:pPr>
        <w:rPr>
          <w:rFonts w:ascii="宋体" w:hAnsi="宋体"/>
          <w:color w:val="auto"/>
          <w:highlight w:val="none"/>
        </w:rPr>
      </w:pPr>
      <w:r>
        <w:rPr>
          <w:rFonts w:ascii="宋体" w:hAnsi="宋体"/>
          <w:color w:val="auto"/>
          <w:sz w:val="24"/>
          <w:highlight w:val="none"/>
        </w:rPr>
        <w:br w:type="page"/>
      </w:r>
    </w:p>
    <w:p>
      <w:pPr>
        <w:pStyle w:val="6"/>
        <w:rPr>
          <w:color w:val="auto"/>
          <w:highlight w:val="none"/>
        </w:rPr>
      </w:pPr>
      <w:bookmarkStart w:id="393" w:name="_Toc29328"/>
      <w:bookmarkStart w:id="394" w:name="_Toc7896"/>
      <w:bookmarkStart w:id="395" w:name="_Toc3779"/>
      <w:bookmarkStart w:id="396" w:name="_Toc103592043"/>
      <w:bookmarkStart w:id="397" w:name="_Toc17685"/>
      <w:bookmarkStart w:id="398" w:name="_Toc18650"/>
      <w:r>
        <w:rPr>
          <w:rFonts w:hint="eastAsia"/>
          <w:color w:val="auto"/>
          <w:highlight w:val="none"/>
          <w:lang w:val="en-US" w:eastAsia="zh-CN"/>
        </w:rPr>
        <w:t>七</w:t>
      </w:r>
      <w:r>
        <w:rPr>
          <w:rFonts w:hint="eastAsia"/>
          <w:color w:val="auto"/>
          <w:highlight w:val="none"/>
        </w:rPr>
        <w:t>、拟投入本项目的检测和监测人员简历表</w:t>
      </w:r>
      <w:bookmarkEnd w:id="393"/>
      <w:bookmarkEnd w:id="394"/>
      <w:bookmarkEnd w:id="395"/>
      <w:bookmarkEnd w:id="396"/>
      <w:bookmarkEnd w:id="397"/>
      <w:bookmarkEnd w:id="398"/>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从事检测或监测工作年限</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bl>
    <w:p>
      <w:pPr>
        <w:widowControl/>
        <w:jc w:val="left"/>
        <w:rPr>
          <w:rFonts w:ascii="宋体" w:hAnsi="宋体"/>
          <w:color w:val="auto"/>
          <w:sz w:val="24"/>
          <w:highlight w:val="none"/>
        </w:rPr>
      </w:pPr>
    </w:p>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rPr>
          <w:rFonts w:ascii="宋体" w:hAnsi="宋体"/>
          <w:color w:val="auto"/>
          <w:sz w:val="24"/>
          <w:highlight w:val="none"/>
        </w:rPr>
      </w:pPr>
    </w:p>
    <w:p>
      <w:pPr>
        <w:pStyle w:val="6"/>
        <w:rPr>
          <w:color w:val="auto"/>
          <w:highlight w:val="none"/>
        </w:rPr>
      </w:pPr>
      <w:r>
        <w:rPr>
          <w:color w:val="auto"/>
          <w:sz w:val="24"/>
          <w:highlight w:val="none"/>
        </w:rPr>
        <w:br w:type="page"/>
      </w:r>
      <w:bookmarkStart w:id="399" w:name="_Toc103592044"/>
      <w:bookmarkStart w:id="400" w:name="_Toc1677"/>
      <w:bookmarkStart w:id="401" w:name="_Toc26194"/>
      <w:bookmarkStart w:id="402" w:name="_Toc6527"/>
      <w:bookmarkStart w:id="403" w:name="_Toc5805"/>
      <w:bookmarkStart w:id="404" w:name="_Toc20473"/>
      <w:r>
        <w:rPr>
          <w:rFonts w:hint="eastAsia"/>
          <w:color w:val="auto"/>
          <w:highlight w:val="none"/>
          <w:lang w:val="en-US" w:eastAsia="zh-CN"/>
        </w:rPr>
        <w:t>八</w:t>
      </w:r>
      <w:r>
        <w:rPr>
          <w:rFonts w:hint="eastAsia"/>
          <w:color w:val="auto"/>
          <w:highlight w:val="none"/>
        </w:rPr>
        <w:t>、拟投入本项目的主要仪器设备一览表</w:t>
      </w:r>
      <w:bookmarkEnd w:id="399"/>
      <w:bookmarkEnd w:id="400"/>
      <w:bookmarkEnd w:id="401"/>
      <w:bookmarkEnd w:id="402"/>
      <w:bookmarkEnd w:id="403"/>
      <w:bookmarkEnd w:id="40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4"/>
        <w:gridCol w:w="1241"/>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1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544"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设备名称</w:t>
            </w:r>
          </w:p>
        </w:tc>
        <w:tc>
          <w:tcPr>
            <w:tcW w:w="6563"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jc w:val="center"/>
              <w:rPr>
                <w:rFonts w:ascii="宋体" w:hAnsi="宋体"/>
                <w:color w:val="auto"/>
                <w:szCs w:val="21"/>
                <w:highlight w:val="none"/>
              </w:rPr>
            </w:pPr>
          </w:p>
        </w:tc>
        <w:tc>
          <w:tcPr>
            <w:tcW w:w="1544" w:type="dxa"/>
            <w:vMerge w:val="continue"/>
            <w:vAlign w:val="center"/>
          </w:tcPr>
          <w:p>
            <w:pPr>
              <w:jc w:val="center"/>
              <w:rPr>
                <w:rFonts w:ascii="宋体" w:hAnsi="宋体"/>
                <w:color w:val="auto"/>
                <w:szCs w:val="21"/>
                <w:highlight w:val="none"/>
              </w:rPr>
            </w:pPr>
          </w:p>
        </w:tc>
        <w:tc>
          <w:tcPr>
            <w:tcW w:w="1241" w:type="dxa"/>
            <w:vAlign w:val="center"/>
          </w:tcPr>
          <w:p>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bl>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snapToGrid w:val="0"/>
        <w:spacing w:line="360" w:lineRule="auto"/>
        <w:ind w:right="-97" w:rightChars="-46"/>
        <w:rPr>
          <w:rFonts w:ascii="宋体" w:hAnsi="宋体"/>
          <w:color w:val="auto"/>
          <w:sz w:val="24"/>
          <w:highlight w:val="none"/>
        </w:rPr>
      </w:pPr>
    </w:p>
    <w:p>
      <w:pPr>
        <w:pStyle w:val="6"/>
        <w:rPr>
          <w:color w:val="auto"/>
          <w:highlight w:val="none"/>
        </w:rPr>
      </w:pPr>
      <w:r>
        <w:rPr>
          <w:color w:val="auto"/>
          <w:highlight w:val="none"/>
        </w:rPr>
        <w:br w:type="page"/>
      </w:r>
      <w:bookmarkStart w:id="405" w:name="_Toc20161"/>
      <w:bookmarkStart w:id="406" w:name="_Toc533334237"/>
      <w:bookmarkStart w:id="407" w:name="_Toc532390645"/>
      <w:bookmarkStart w:id="408" w:name="_Toc528170367"/>
      <w:bookmarkStart w:id="409" w:name="_Toc103592045"/>
      <w:bookmarkStart w:id="410" w:name="_Toc21758"/>
      <w:bookmarkStart w:id="411" w:name="_Toc28145"/>
      <w:bookmarkStart w:id="412" w:name="_Toc12869"/>
      <w:bookmarkStart w:id="413" w:name="_Toc14451"/>
      <w:bookmarkStart w:id="414" w:name="_Toc27715"/>
      <w:r>
        <w:rPr>
          <w:rFonts w:hint="eastAsia"/>
          <w:color w:val="auto"/>
          <w:highlight w:val="none"/>
          <w:lang w:val="en-US" w:eastAsia="zh-CN"/>
        </w:rPr>
        <w:t>九</w:t>
      </w:r>
      <w:r>
        <w:rPr>
          <w:rFonts w:hint="eastAsia"/>
          <w:color w:val="auto"/>
          <w:highlight w:val="none"/>
        </w:rPr>
        <w:t>、</w:t>
      </w:r>
      <w:bookmarkEnd w:id="405"/>
      <w:bookmarkEnd w:id="406"/>
      <w:bookmarkEnd w:id="407"/>
      <w:bookmarkEnd w:id="408"/>
      <w:r>
        <w:rPr>
          <w:rFonts w:hint="eastAsia"/>
          <w:color w:val="auto"/>
          <w:highlight w:val="none"/>
        </w:rPr>
        <w:t>检测和监测方案</w:t>
      </w:r>
      <w:bookmarkEnd w:id="409"/>
      <w:bookmarkEnd w:id="410"/>
      <w:bookmarkEnd w:id="411"/>
      <w:bookmarkEnd w:id="412"/>
      <w:bookmarkEnd w:id="413"/>
      <w:bookmarkEnd w:id="414"/>
    </w:p>
    <w:p>
      <w:pPr>
        <w:spacing w:line="360" w:lineRule="auto"/>
        <w:rPr>
          <w:rFonts w:ascii="宋体" w:hAnsi="宋体"/>
          <w:color w:val="auto"/>
          <w:sz w:val="24"/>
          <w:szCs w:val="24"/>
          <w:highlight w:val="none"/>
        </w:rPr>
      </w:pPr>
      <w:r>
        <w:rPr>
          <w:rFonts w:hint="eastAsia" w:ascii="宋体" w:hAnsi="宋体"/>
          <w:color w:val="auto"/>
          <w:sz w:val="24"/>
          <w:szCs w:val="24"/>
          <w:highlight w:val="none"/>
        </w:rPr>
        <w:t>检测和监测方案应包括（但不限于）下列内容：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一、检测和监测工程概况；</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二、检测和监测范围、检测内容；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三、检测和监测依据、检测工作目标；</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四、检测和监测机构设置（框图）、岗位职责；</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五、检测和监测工作程序、方法和制度、检测措施；</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六、项目管理；</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七、拟投入的检测和监测人员、仪器设备；</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八、对本工程检测和监测的合理化建议。</w:t>
      </w:r>
    </w:p>
    <w:p>
      <w:pPr>
        <w:pStyle w:val="6"/>
        <w:rPr>
          <w:color w:val="auto"/>
          <w:highlight w:val="none"/>
        </w:rPr>
      </w:pPr>
      <w:bookmarkStart w:id="415" w:name="_Toc533334238"/>
      <w:r>
        <w:rPr>
          <w:color w:val="auto"/>
          <w:highlight w:val="none"/>
        </w:rPr>
        <w:br w:type="page"/>
      </w:r>
      <w:bookmarkStart w:id="416" w:name="_Toc5749"/>
      <w:bookmarkStart w:id="417" w:name="_Toc103592046"/>
      <w:bookmarkStart w:id="418" w:name="_Toc9522"/>
      <w:bookmarkStart w:id="419" w:name="_Toc3896"/>
      <w:bookmarkStart w:id="420" w:name="_Toc9686"/>
      <w:bookmarkStart w:id="421" w:name="_Toc18811"/>
      <w:r>
        <w:rPr>
          <w:rFonts w:hint="eastAsia"/>
          <w:color w:val="auto"/>
          <w:highlight w:val="none"/>
        </w:rPr>
        <w:t>十、其他资料</w:t>
      </w:r>
      <w:bookmarkEnd w:id="415"/>
      <w:bookmarkEnd w:id="416"/>
      <w:bookmarkEnd w:id="417"/>
      <w:bookmarkEnd w:id="418"/>
      <w:bookmarkEnd w:id="419"/>
      <w:bookmarkEnd w:id="420"/>
      <w:bookmarkEnd w:id="421"/>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pPr>
        <w:snapToGrid w:val="0"/>
        <w:spacing w:line="360" w:lineRule="auto"/>
        <w:ind w:right="-97" w:rightChars="-46"/>
        <w:rPr>
          <w:rFonts w:ascii="宋体" w:hAnsi="宋体"/>
          <w:color w:val="auto"/>
          <w:sz w:val="24"/>
          <w:szCs w:val="18"/>
          <w:highlight w:val="none"/>
        </w:rPr>
      </w:pPr>
    </w:p>
    <w:p/>
    <w:p/>
    <w:sectPr>
      <w:pgSz w:w="11906" w:h="16838"/>
      <w:pgMar w:top="1440" w:right="1080" w:bottom="1440" w:left="1080" w:header="851"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JtOi8kJAgAAAwQAAA4AAAAAAAAAAQAgAAAAHwEAAGRy&#10;cy9lMm9Eb2MueG1sUEsFBgAAAAAGAAYAWQEAAJo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635" r="635" b="254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Chl5NtCgIAAAIEAAAOAAAAAAAAAAEAIAAAAB8BAABk&#10;cnMvZTJvRG9jLnhtbFBLBQYAAAAABgAGAFkBAACb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5CB56"/>
    <w:multiLevelType w:val="singleLevel"/>
    <w:tmpl w:val="E8E5CB56"/>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o～">
    <w15:presenceInfo w15:providerId="WPS Office" w15:userId="1961366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00FE62DA"/>
    <w:rsid w:val="000370FD"/>
    <w:rsid w:val="000437CD"/>
    <w:rsid w:val="000D04B6"/>
    <w:rsid w:val="000D61AF"/>
    <w:rsid w:val="00140AED"/>
    <w:rsid w:val="001E1A34"/>
    <w:rsid w:val="0021631A"/>
    <w:rsid w:val="002E284A"/>
    <w:rsid w:val="00375260"/>
    <w:rsid w:val="0040035E"/>
    <w:rsid w:val="0043335B"/>
    <w:rsid w:val="004F2A48"/>
    <w:rsid w:val="004F3ABC"/>
    <w:rsid w:val="00515F47"/>
    <w:rsid w:val="005811E9"/>
    <w:rsid w:val="005C75CA"/>
    <w:rsid w:val="005F7D52"/>
    <w:rsid w:val="00706D0C"/>
    <w:rsid w:val="00747123"/>
    <w:rsid w:val="00792626"/>
    <w:rsid w:val="008E09FB"/>
    <w:rsid w:val="00906C51"/>
    <w:rsid w:val="00971213"/>
    <w:rsid w:val="009C0F99"/>
    <w:rsid w:val="009E2DC0"/>
    <w:rsid w:val="00AB5909"/>
    <w:rsid w:val="00AE2A01"/>
    <w:rsid w:val="00B57D0B"/>
    <w:rsid w:val="00B707A4"/>
    <w:rsid w:val="00BE025C"/>
    <w:rsid w:val="00BF1296"/>
    <w:rsid w:val="00C243D2"/>
    <w:rsid w:val="00CE7AF8"/>
    <w:rsid w:val="00D14A10"/>
    <w:rsid w:val="00DD14D5"/>
    <w:rsid w:val="00DF190D"/>
    <w:rsid w:val="00E96224"/>
    <w:rsid w:val="00F91A5D"/>
    <w:rsid w:val="00FD61C0"/>
    <w:rsid w:val="00FE62DA"/>
    <w:rsid w:val="01356BE4"/>
    <w:rsid w:val="02F50323"/>
    <w:rsid w:val="03BA175E"/>
    <w:rsid w:val="04754F73"/>
    <w:rsid w:val="04831BA2"/>
    <w:rsid w:val="056B1749"/>
    <w:rsid w:val="05B435B3"/>
    <w:rsid w:val="06460FD8"/>
    <w:rsid w:val="06793AD9"/>
    <w:rsid w:val="06C52C93"/>
    <w:rsid w:val="07AF3996"/>
    <w:rsid w:val="0849753D"/>
    <w:rsid w:val="0D8A4386"/>
    <w:rsid w:val="0D9C676A"/>
    <w:rsid w:val="0E1E5522"/>
    <w:rsid w:val="0E2E6302"/>
    <w:rsid w:val="0EA92906"/>
    <w:rsid w:val="0EB0506B"/>
    <w:rsid w:val="0EEC306B"/>
    <w:rsid w:val="0F4127D6"/>
    <w:rsid w:val="0F766BF7"/>
    <w:rsid w:val="0FF22FB9"/>
    <w:rsid w:val="10576945"/>
    <w:rsid w:val="10FA3DBA"/>
    <w:rsid w:val="13B26572"/>
    <w:rsid w:val="14341374"/>
    <w:rsid w:val="15EF6700"/>
    <w:rsid w:val="16D65984"/>
    <w:rsid w:val="18475FDE"/>
    <w:rsid w:val="18961C31"/>
    <w:rsid w:val="1A374A79"/>
    <w:rsid w:val="1D286EF2"/>
    <w:rsid w:val="1E6A3A5C"/>
    <w:rsid w:val="2014177F"/>
    <w:rsid w:val="213A0CBF"/>
    <w:rsid w:val="227A4473"/>
    <w:rsid w:val="23623B5A"/>
    <w:rsid w:val="23F558FB"/>
    <w:rsid w:val="24062738"/>
    <w:rsid w:val="25E36393"/>
    <w:rsid w:val="27AE6AD6"/>
    <w:rsid w:val="285C53A6"/>
    <w:rsid w:val="2A4429C0"/>
    <w:rsid w:val="2A5C72C7"/>
    <w:rsid w:val="2ADD35CD"/>
    <w:rsid w:val="2B4126FD"/>
    <w:rsid w:val="2B715282"/>
    <w:rsid w:val="2B7A4E97"/>
    <w:rsid w:val="2CC80B4D"/>
    <w:rsid w:val="2D105343"/>
    <w:rsid w:val="2D312307"/>
    <w:rsid w:val="2EBB3C30"/>
    <w:rsid w:val="2FCD4968"/>
    <w:rsid w:val="304376CD"/>
    <w:rsid w:val="31545FEA"/>
    <w:rsid w:val="31A47133"/>
    <w:rsid w:val="328540BC"/>
    <w:rsid w:val="33AF7717"/>
    <w:rsid w:val="34E459E0"/>
    <w:rsid w:val="36AC587C"/>
    <w:rsid w:val="393A2629"/>
    <w:rsid w:val="3962755D"/>
    <w:rsid w:val="3C1479D0"/>
    <w:rsid w:val="3C4F3097"/>
    <w:rsid w:val="3D15647B"/>
    <w:rsid w:val="3D9E2EB7"/>
    <w:rsid w:val="3DF94C6B"/>
    <w:rsid w:val="3EB37CCD"/>
    <w:rsid w:val="3F023231"/>
    <w:rsid w:val="3FA9301C"/>
    <w:rsid w:val="3FC25C55"/>
    <w:rsid w:val="406E1875"/>
    <w:rsid w:val="407C403F"/>
    <w:rsid w:val="40A0208E"/>
    <w:rsid w:val="41425BE6"/>
    <w:rsid w:val="41A02A30"/>
    <w:rsid w:val="41A63A30"/>
    <w:rsid w:val="42D57E5E"/>
    <w:rsid w:val="439B2F38"/>
    <w:rsid w:val="45022C1A"/>
    <w:rsid w:val="457D104F"/>
    <w:rsid w:val="457E617A"/>
    <w:rsid w:val="45F8297B"/>
    <w:rsid w:val="465E4A52"/>
    <w:rsid w:val="48135B10"/>
    <w:rsid w:val="48D21EE8"/>
    <w:rsid w:val="49291A0B"/>
    <w:rsid w:val="494D4EDC"/>
    <w:rsid w:val="496F25E0"/>
    <w:rsid w:val="49AC18EE"/>
    <w:rsid w:val="4B166E79"/>
    <w:rsid w:val="4B2623CD"/>
    <w:rsid w:val="4C010367"/>
    <w:rsid w:val="4DE217D0"/>
    <w:rsid w:val="4E141DEB"/>
    <w:rsid w:val="4ECA61FC"/>
    <w:rsid w:val="4FF12E21"/>
    <w:rsid w:val="51714231"/>
    <w:rsid w:val="519C386C"/>
    <w:rsid w:val="527A49E6"/>
    <w:rsid w:val="53F93AA5"/>
    <w:rsid w:val="558E7BCD"/>
    <w:rsid w:val="55F935FB"/>
    <w:rsid w:val="56CA7B0E"/>
    <w:rsid w:val="574C7B1D"/>
    <w:rsid w:val="577C2556"/>
    <w:rsid w:val="57E76D17"/>
    <w:rsid w:val="5ACF7CF2"/>
    <w:rsid w:val="5AE21CEF"/>
    <w:rsid w:val="5AF76F84"/>
    <w:rsid w:val="5B292C66"/>
    <w:rsid w:val="5B491F2D"/>
    <w:rsid w:val="5B6471D2"/>
    <w:rsid w:val="5B9938B6"/>
    <w:rsid w:val="5D945EB8"/>
    <w:rsid w:val="605D1C94"/>
    <w:rsid w:val="6063182B"/>
    <w:rsid w:val="60C6363E"/>
    <w:rsid w:val="60EE3133"/>
    <w:rsid w:val="610F0176"/>
    <w:rsid w:val="61616C24"/>
    <w:rsid w:val="61F27A53"/>
    <w:rsid w:val="62CA5ADD"/>
    <w:rsid w:val="633E6D93"/>
    <w:rsid w:val="65350701"/>
    <w:rsid w:val="65764C68"/>
    <w:rsid w:val="65F00D5D"/>
    <w:rsid w:val="671E33C4"/>
    <w:rsid w:val="68471168"/>
    <w:rsid w:val="68654E88"/>
    <w:rsid w:val="68CA0FEF"/>
    <w:rsid w:val="69081CF4"/>
    <w:rsid w:val="692F681B"/>
    <w:rsid w:val="69721913"/>
    <w:rsid w:val="6A3E77F1"/>
    <w:rsid w:val="6D595CEA"/>
    <w:rsid w:val="6E731B6A"/>
    <w:rsid w:val="6E974A97"/>
    <w:rsid w:val="6EB95180"/>
    <w:rsid w:val="6F2E11B9"/>
    <w:rsid w:val="6F9C6AB0"/>
    <w:rsid w:val="72950CF9"/>
    <w:rsid w:val="729A0E13"/>
    <w:rsid w:val="732B0E40"/>
    <w:rsid w:val="73C55381"/>
    <w:rsid w:val="745364DE"/>
    <w:rsid w:val="74A11093"/>
    <w:rsid w:val="74D9437C"/>
    <w:rsid w:val="75EA3264"/>
    <w:rsid w:val="77714D9C"/>
    <w:rsid w:val="78A22F5A"/>
    <w:rsid w:val="7A960398"/>
    <w:rsid w:val="7B1555BE"/>
    <w:rsid w:val="7B56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36"/>
    <w:qFormat/>
    <w:uiPriority w:val="0"/>
    <w:pPr>
      <w:keepNext/>
      <w:keepLines/>
      <w:spacing w:line="576" w:lineRule="auto"/>
      <w:jc w:val="center"/>
      <w:outlineLvl w:val="0"/>
    </w:pPr>
    <w:rPr>
      <w:rFonts w:ascii="宋体" w:hAnsi="宋体"/>
      <w:b/>
      <w:kern w:val="44"/>
      <w:sz w:val="44"/>
      <w:szCs w:val="20"/>
    </w:rPr>
  </w:style>
  <w:style w:type="paragraph" w:styleId="5">
    <w:name w:val="heading 2"/>
    <w:basedOn w:val="1"/>
    <w:next w:val="1"/>
    <w:link w:val="37"/>
    <w:qFormat/>
    <w:uiPriority w:val="0"/>
    <w:pPr>
      <w:keepNext/>
      <w:keepLines/>
      <w:spacing w:line="412" w:lineRule="auto"/>
      <w:jc w:val="center"/>
      <w:outlineLvl w:val="1"/>
    </w:pPr>
    <w:rPr>
      <w:rFonts w:ascii="Arial" w:hAnsi="Arial"/>
      <w:b/>
      <w:sz w:val="24"/>
      <w:szCs w:val="20"/>
    </w:rPr>
  </w:style>
  <w:style w:type="paragraph" w:styleId="6">
    <w:name w:val="heading 3"/>
    <w:basedOn w:val="1"/>
    <w:next w:val="1"/>
    <w:link w:val="38"/>
    <w:qFormat/>
    <w:uiPriority w:val="0"/>
    <w:pPr>
      <w:keepNext/>
      <w:keepLines/>
      <w:spacing w:line="360" w:lineRule="auto"/>
      <w:jc w:val="left"/>
      <w:outlineLvl w:val="2"/>
    </w:pPr>
    <w:rPr>
      <w:rFonts w:ascii="宋体" w:hAnsi="宋体"/>
      <w:b/>
      <w:sz w:val="28"/>
      <w:szCs w:val="28"/>
    </w:rPr>
  </w:style>
  <w:style w:type="paragraph" w:styleId="7">
    <w:name w:val="heading 4"/>
    <w:basedOn w:val="1"/>
    <w:next w:val="1"/>
    <w:link w:val="39"/>
    <w:qFormat/>
    <w:uiPriority w:val="0"/>
    <w:pPr>
      <w:keepNext/>
      <w:keepLines/>
      <w:jc w:val="center"/>
      <w:outlineLvl w:val="3"/>
    </w:pPr>
    <w:rPr>
      <w:rFonts w:ascii="Cambria" w:hAnsi="Cambria"/>
      <w:b/>
      <w:bCs/>
      <w:sz w:val="28"/>
      <w:szCs w:val="28"/>
    </w:rPr>
  </w:style>
  <w:style w:type="paragraph" w:styleId="8">
    <w:name w:val="heading 5"/>
    <w:basedOn w:val="1"/>
    <w:next w:val="1"/>
    <w:link w:val="40"/>
    <w:qFormat/>
    <w:uiPriority w:val="0"/>
    <w:pPr>
      <w:keepNext/>
      <w:keepLines/>
      <w:spacing w:line="376" w:lineRule="auto"/>
      <w:outlineLvl w:val="4"/>
    </w:pPr>
    <w:rPr>
      <w:b/>
      <w:bCs/>
      <w:sz w:val="24"/>
      <w:szCs w:val="24"/>
    </w:rPr>
  </w:style>
  <w:style w:type="paragraph" w:styleId="9">
    <w:name w:val="heading 7"/>
    <w:basedOn w:val="1"/>
    <w:next w:val="10"/>
    <w:link w:val="41"/>
    <w:qFormat/>
    <w:uiPriority w:val="0"/>
    <w:pPr>
      <w:keepNext/>
      <w:keepLines/>
      <w:spacing w:before="240" w:after="64" w:line="320" w:lineRule="auto"/>
      <w:outlineLvl w:val="6"/>
    </w:pPr>
    <w:rPr>
      <w:b/>
      <w:kern w:val="0"/>
      <w:sz w:val="24"/>
      <w:szCs w:val="20"/>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5"/>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paragraph" w:styleId="3">
    <w:name w:val="Body Text Indent"/>
    <w:basedOn w:val="1"/>
    <w:link w:val="48"/>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0">
    <w:name w:val="Normal Indent"/>
    <w:basedOn w:val="1"/>
    <w:next w:val="1"/>
    <w:qFormat/>
    <w:uiPriority w:val="0"/>
    <w:pPr>
      <w:ind w:firstLine="420"/>
    </w:pPr>
    <w:rPr>
      <w:rFonts w:ascii="Calibri" w:hAnsi="Calibri"/>
    </w:rPr>
  </w:style>
  <w:style w:type="paragraph" w:styleId="11">
    <w:name w:val="Document Map"/>
    <w:basedOn w:val="1"/>
    <w:link w:val="44"/>
    <w:qFormat/>
    <w:uiPriority w:val="0"/>
    <w:rPr>
      <w:rFonts w:ascii="宋体" w:hAnsi="Calibri"/>
      <w:sz w:val="18"/>
      <w:szCs w:val="18"/>
    </w:rPr>
  </w:style>
  <w:style w:type="paragraph" w:styleId="12">
    <w:name w:val="annotation text"/>
    <w:basedOn w:val="1"/>
    <w:link w:val="45"/>
    <w:qFormat/>
    <w:uiPriority w:val="0"/>
    <w:pPr>
      <w:jc w:val="left"/>
    </w:pPr>
    <w:rPr>
      <w:rFonts w:ascii="Calibri" w:hAnsi="Calibri"/>
    </w:rPr>
  </w:style>
  <w:style w:type="paragraph" w:styleId="13">
    <w:name w:val="Body Text 3"/>
    <w:basedOn w:val="1"/>
    <w:link w:val="46"/>
    <w:qFormat/>
    <w:uiPriority w:val="0"/>
    <w:rPr>
      <w:rFonts w:ascii="宋体" w:hAnsi="Calibri"/>
      <w:sz w:val="24"/>
    </w:rPr>
  </w:style>
  <w:style w:type="paragraph" w:styleId="14">
    <w:name w:val="Body Text"/>
    <w:basedOn w:val="1"/>
    <w:next w:val="1"/>
    <w:link w:val="47"/>
    <w:qFormat/>
    <w:uiPriority w:val="0"/>
    <w:rPr>
      <w:szCs w:val="20"/>
    </w:rPr>
  </w:style>
  <w:style w:type="paragraph" w:styleId="15">
    <w:name w:val="toc 3"/>
    <w:basedOn w:val="1"/>
    <w:next w:val="1"/>
    <w:qFormat/>
    <w:uiPriority w:val="39"/>
    <w:pPr>
      <w:ind w:left="840" w:leftChars="400"/>
    </w:pPr>
    <w:rPr>
      <w:rFonts w:ascii="Calibri" w:hAnsi="Calibri"/>
    </w:rPr>
  </w:style>
  <w:style w:type="paragraph" w:styleId="16">
    <w:name w:val="Plain Text"/>
    <w:basedOn w:val="1"/>
    <w:next w:val="1"/>
    <w:link w:val="49"/>
    <w:qFormat/>
    <w:uiPriority w:val="0"/>
    <w:rPr>
      <w:rFonts w:ascii="宋体" w:hAnsi="Calibri"/>
      <w:sz w:val="22"/>
    </w:rPr>
  </w:style>
  <w:style w:type="paragraph" w:styleId="17">
    <w:name w:val="Date"/>
    <w:basedOn w:val="1"/>
    <w:next w:val="1"/>
    <w:link w:val="50"/>
    <w:qFormat/>
    <w:uiPriority w:val="0"/>
    <w:pPr>
      <w:ind w:left="100" w:leftChars="2500"/>
    </w:pPr>
    <w:rPr>
      <w:rFonts w:ascii="Calibri" w:hAnsi="Calibri"/>
    </w:rPr>
  </w:style>
  <w:style w:type="paragraph" w:styleId="18">
    <w:name w:val="Body Text Indent 2"/>
    <w:basedOn w:val="1"/>
    <w:link w:val="51"/>
    <w:qFormat/>
    <w:uiPriority w:val="0"/>
    <w:pPr>
      <w:spacing w:line="480" w:lineRule="auto"/>
      <w:ind w:left="420" w:leftChars="200"/>
    </w:pPr>
    <w:rPr>
      <w:szCs w:val="24"/>
    </w:rPr>
  </w:style>
  <w:style w:type="paragraph" w:styleId="19">
    <w:name w:val="Balloon Text"/>
    <w:basedOn w:val="1"/>
    <w:link w:val="52"/>
    <w:qFormat/>
    <w:uiPriority w:val="0"/>
    <w:rPr>
      <w:rFonts w:ascii="Calibri" w:hAnsi="Calibri"/>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cs="Arial"/>
    </w:rPr>
  </w:style>
  <w:style w:type="paragraph" w:styleId="22">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ascii="Calibri" w:hAnsi="Calibri"/>
    </w:rPr>
  </w:style>
  <w:style w:type="paragraph" w:styleId="2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5">
    <w:name w:val="toc 2"/>
    <w:basedOn w:val="1"/>
    <w:next w:val="1"/>
    <w:qFormat/>
    <w:uiPriority w:val="39"/>
    <w:pPr>
      <w:ind w:left="420" w:leftChars="200"/>
    </w:pPr>
    <w:rPr>
      <w:rFonts w:ascii="Calibri" w:hAnsi="Calibri"/>
    </w:rPr>
  </w:style>
  <w:style w:type="paragraph" w:styleId="26">
    <w:name w:val="annotation subject"/>
    <w:basedOn w:val="12"/>
    <w:next w:val="12"/>
    <w:link w:val="53"/>
    <w:qFormat/>
    <w:uiPriority w:val="0"/>
    <w:rPr>
      <w:b/>
      <w:bCs/>
    </w:rPr>
  </w:style>
  <w:style w:type="paragraph" w:styleId="27">
    <w:name w:val="Body Text First Indent"/>
    <w:basedOn w:val="14"/>
    <w:link w:val="54"/>
    <w:qFormat/>
    <w:uiPriority w:val="0"/>
    <w:pPr>
      <w:spacing w:line="312" w:lineRule="auto"/>
      <w:ind w:firstLine="420"/>
    </w:pPr>
    <w:rPr>
      <w:rFonts w:ascii="Calibri" w:hAnsi="Calibri"/>
      <w:szCs w:val="24"/>
    </w:rPr>
  </w:style>
  <w:style w:type="character" w:styleId="30">
    <w:name w:val="page number"/>
    <w:qFormat/>
    <w:uiPriority w:val="0"/>
    <w:rPr>
      <w:rFonts w:ascii="Calibri" w:hAnsi="Calibri" w:eastAsia="宋体" w:cs="Times New Roman"/>
    </w:rPr>
  </w:style>
  <w:style w:type="character" w:styleId="31">
    <w:name w:val="FollowedHyperlink"/>
    <w:qFormat/>
    <w:uiPriority w:val="0"/>
    <w:rPr>
      <w:rFonts w:ascii="Times New Roman" w:hAnsi="Times New Roman" w:eastAsia="楷体_GB2312" w:cs="Times New Roman"/>
      <w:color w:val="000000"/>
      <w:u w:val="none"/>
    </w:rPr>
  </w:style>
  <w:style w:type="character" w:styleId="32">
    <w:name w:val="Hyperlink"/>
    <w:qFormat/>
    <w:uiPriority w:val="99"/>
    <w:rPr>
      <w:rFonts w:ascii="Calibri" w:hAnsi="Calibri" w:eastAsia="宋体" w:cs="Times New Roman"/>
      <w:color w:val="0000FF"/>
      <w:u w:val="single"/>
    </w:rPr>
  </w:style>
  <w:style w:type="character" w:styleId="33">
    <w:name w:val="annotation reference"/>
    <w:qFormat/>
    <w:uiPriority w:val="0"/>
    <w:rPr>
      <w:rFonts w:ascii="Calibri" w:hAnsi="Calibri" w:eastAsia="宋体" w:cs="Times New Roman"/>
      <w:sz w:val="21"/>
      <w:szCs w:val="21"/>
    </w:rPr>
  </w:style>
  <w:style w:type="paragraph" w:customStyle="1" w:styleId="34">
    <w:name w:val="样式 宋体 行距: 1.5 倍行距"/>
    <w:basedOn w:val="1"/>
    <w:qFormat/>
    <w:uiPriority w:val="0"/>
    <w:pPr>
      <w:jc w:val="center"/>
    </w:pPr>
    <w:rPr>
      <w:rFonts w:ascii="Calibri" w:hAnsi="Calibri"/>
      <w:b/>
    </w:rPr>
  </w:style>
  <w:style w:type="paragraph" w:customStyle="1" w:styleId="35">
    <w:name w:val="Default"/>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标题 1 Char"/>
    <w:basedOn w:val="29"/>
    <w:link w:val="4"/>
    <w:qFormat/>
    <w:uiPriority w:val="0"/>
    <w:rPr>
      <w:rFonts w:ascii="宋体" w:hAnsi="宋体" w:eastAsia="宋体" w:cs="Times New Roman"/>
      <w:b/>
      <w:kern w:val="44"/>
      <w:sz w:val="44"/>
      <w:szCs w:val="20"/>
    </w:rPr>
  </w:style>
  <w:style w:type="character" w:customStyle="1" w:styleId="37">
    <w:name w:val="标题 2 Char"/>
    <w:basedOn w:val="29"/>
    <w:link w:val="5"/>
    <w:qFormat/>
    <w:uiPriority w:val="0"/>
    <w:rPr>
      <w:rFonts w:ascii="Arial" w:hAnsi="Arial" w:eastAsia="宋体" w:cs="Times New Roman"/>
      <w:b/>
      <w:sz w:val="24"/>
      <w:szCs w:val="20"/>
    </w:rPr>
  </w:style>
  <w:style w:type="character" w:customStyle="1" w:styleId="38">
    <w:name w:val="标题 3 Char"/>
    <w:basedOn w:val="29"/>
    <w:link w:val="6"/>
    <w:qFormat/>
    <w:uiPriority w:val="0"/>
    <w:rPr>
      <w:rFonts w:ascii="宋体" w:hAnsi="宋体" w:eastAsia="宋体" w:cs="Times New Roman"/>
      <w:b/>
      <w:sz w:val="28"/>
      <w:szCs w:val="28"/>
    </w:rPr>
  </w:style>
  <w:style w:type="character" w:customStyle="1" w:styleId="39">
    <w:name w:val="标题 4 Char"/>
    <w:basedOn w:val="29"/>
    <w:link w:val="7"/>
    <w:qFormat/>
    <w:uiPriority w:val="0"/>
    <w:rPr>
      <w:rFonts w:ascii="Cambria" w:hAnsi="Cambria" w:eastAsia="宋体" w:cs="Times New Roman"/>
      <w:b/>
      <w:bCs/>
      <w:sz w:val="28"/>
      <w:szCs w:val="28"/>
    </w:rPr>
  </w:style>
  <w:style w:type="character" w:customStyle="1" w:styleId="40">
    <w:name w:val="标题 5 Char"/>
    <w:basedOn w:val="29"/>
    <w:link w:val="8"/>
    <w:qFormat/>
    <w:uiPriority w:val="0"/>
    <w:rPr>
      <w:rFonts w:ascii="Times New Roman" w:hAnsi="Times New Roman" w:eastAsia="宋体" w:cs="Times New Roman"/>
      <w:b/>
      <w:bCs/>
      <w:sz w:val="24"/>
      <w:szCs w:val="24"/>
    </w:rPr>
  </w:style>
  <w:style w:type="character" w:customStyle="1" w:styleId="41">
    <w:name w:val="标题 7 Char"/>
    <w:basedOn w:val="29"/>
    <w:link w:val="9"/>
    <w:qFormat/>
    <w:uiPriority w:val="0"/>
    <w:rPr>
      <w:rFonts w:ascii="Times New Roman" w:hAnsi="Times New Roman" w:eastAsia="宋体" w:cs="Times New Roman"/>
      <w:b/>
      <w:kern w:val="0"/>
      <w:sz w:val="24"/>
      <w:szCs w:val="20"/>
    </w:rPr>
  </w:style>
  <w:style w:type="character" w:customStyle="1" w:styleId="42">
    <w:name w:val="页眉 Char"/>
    <w:basedOn w:val="29"/>
    <w:link w:val="22"/>
    <w:qFormat/>
    <w:uiPriority w:val="0"/>
    <w:rPr>
      <w:rFonts w:ascii="Times New Roman" w:hAnsi="Times New Roman" w:eastAsia="宋体" w:cs="Times New Roman"/>
      <w:sz w:val="18"/>
      <w:szCs w:val="18"/>
    </w:rPr>
  </w:style>
  <w:style w:type="character" w:customStyle="1" w:styleId="43">
    <w:name w:val="页脚 Char"/>
    <w:basedOn w:val="29"/>
    <w:link w:val="20"/>
    <w:qFormat/>
    <w:uiPriority w:val="99"/>
    <w:rPr>
      <w:rFonts w:ascii="Times New Roman" w:hAnsi="Times New Roman" w:eastAsia="宋体" w:cs="Times New Roman"/>
      <w:sz w:val="18"/>
      <w:szCs w:val="18"/>
    </w:rPr>
  </w:style>
  <w:style w:type="character" w:customStyle="1" w:styleId="44">
    <w:name w:val="文档结构图 Char"/>
    <w:basedOn w:val="29"/>
    <w:link w:val="11"/>
    <w:qFormat/>
    <w:uiPriority w:val="0"/>
    <w:rPr>
      <w:rFonts w:ascii="宋体" w:hAnsi="Calibri" w:eastAsia="宋体" w:cs="Times New Roman"/>
      <w:sz w:val="18"/>
      <w:szCs w:val="18"/>
    </w:rPr>
  </w:style>
  <w:style w:type="character" w:customStyle="1" w:styleId="45">
    <w:name w:val="批注文字 Char"/>
    <w:basedOn w:val="29"/>
    <w:link w:val="12"/>
    <w:qFormat/>
    <w:uiPriority w:val="0"/>
    <w:rPr>
      <w:rFonts w:ascii="Calibri" w:hAnsi="Calibri" w:eastAsia="宋体" w:cs="Times New Roman"/>
    </w:rPr>
  </w:style>
  <w:style w:type="character" w:customStyle="1" w:styleId="46">
    <w:name w:val="正文文本 3 Char"/>
    <w:basedOn w:val="29"/>
    <w:link w:val="13"/>
    <w:qFormat/>
    <w:uiPriority w:val="0"/>
    <w:rPr>
      <w:rFonts w:ascii="宋体" w:hAnsi="Calibri" w:eastAsia="宋体" w:cs="Times New Roman"/>
      <w:sz w:val="24"/>
    </w:rPr>
  </w:style>
  <w:style w:type="character" w:customStyle="1" w:styleId="47">
    <w:name w:val="正文文本 Char"/>
    <w:basedOn w:val="29"/>
    <w:link w:val="14"/>
    <w:qFormat/>
    <w:uiPriority w:val="0"/>
    <w:rPr>
      <w:rFonts w:ascii="Times New Roman" w:hAnsi="Times New Roman" w:eastAsia="宋体" w:cs="Times New Roman"/>
      <w:szCs w:val="20"/>
    </w:rPr>
  </w:style>
  <w:style w:type="character" w:customStyle="1" w:styleId="48">
    <w:name w:val="正文文本缩进 Char"/>
    <w:basedOn w:val="29"/>
    <w:link w:val="3"/>
    <w:qFormat/>
    <w:uiPriority w:val="0"/>
    <w:rPr>
      <w:rFonts w:ascii="宋体" w:hAnsi="宋体" w:eastAsia="宋体" w:cs="Times New Roman"/>
      <w:color w:val="000000"/>
      <w:kern w:val="0"/>
      <w:sz w:val="20"/>
      <w:szCs w:val="24"/>
    </w:rPr>
  </w:style>
  <w:style w:type="character" w:customStyle="1" w:styleId="49">
    <w:name w:val="纯文本 Char"/>
    <w:basedOn w:val="29"/>
    <w:link w:val="16"/>
    <w:qFormat/>
    <w:uiPriority w:val="0"/>
    <w:rPr>
      <w:rFonts w:ascii="宋体" w:hAnsi="Calibri" w:eastAsia="宋体" w:cs="Times New Roman"/>
      <w:sz w:val="22"/>
    </w:rPr>
  </w:style>
  <w:style w:type="character" w:customStyle="1" w:styleId="50">
    <w:name w:val="日期 Char"/>
    <w:basedOn w:val="29"/>
    <w:link w:val="17"/>
    <w:qFormat/>
    <w:uiPriority w:val="0"/>
    <w:rPr>
      <w:rFonts w:ascii="Calibri" w:hAnsi="Calibri" w:eastAsia="宋体" w:cs="Times New Roman"/>
    </w:rPr>
  </w:style>
  <w:style w:type="character" w:customStyle="1" w:styleId="51">
    <w:name w:val="正文文本缩进 2 Char"/>
    <w:basedOn w:val="29"/>
    <w:link w:val="18"/>
    <w:qFormat/>
    <w:uiPriority w:val="0"/>
    <w:rPr>
      <w:rFonts w:ascii="Times New Roman" w:hAnsi="Times New Roman" w:eastAsia="宋体" w:cs="Times New Roman"/>
      <w:szCs w:val="24"/>
    </w:rPr>
  </w:style>
  <w:style w:type="character" w:customStyle="1" w:styleId="52">
    <w:name w:val="批注框文本 Char"/>
    <w:basedOn w:val="29"/>
    <w:link w:val="19"/>
    <w:qFormat/>
    <w:uiPriority w:val="0"/>
    <w:rPr>
      <w:rFonts w:ascii="Calibri" w:hAnsi="Calibri" w:eastAsia="宋体" w:cs="Times New Roman"/>
      <w:sz w:val="18"/>
      <w:szCs w:val="18"/>
    </w:rPr>
  </w:style>
  <w:style w:type="character" w:customStyle="1" w:styleId="53">
    <w:name w:val="批注主题 Char"/>
    <w:basedOn w:val="45"/>
    <w:link w:val="26"/>
    <w:qFormat/>
    <w:uiPriority w:val="0"/>
    <w:rPr>
      <w:rFonts w:ascii="Calibri" w:hAnsi="Calibri" w:eastAsia="宋体" w:cs="Times New Roman"/>
      <w:b/>
      <w:bCs/>
    </w:rPr>
  </w:style>
  <w:style w:type="character" w:customStyle="1" w:styleId="54">
    <w:name w:val="正文首行缩进 Char"/>
    <w:basedOn w:val="47"/>
    <w:link w:val="27"/>
    <w:qFormat/>
    <w:uiPriority w:val="0"/>
    <w:rPr>
      <w:rFonts w:ascii="Calibri" w:hAnsi="Calibri" w:eastAsia="宋体" w:cs="Times New Roman"/>
      <w:szCs w:val="24"/>
    </w:rPr>
  </w:style>
  <w:style w:type="character" w:customStyle="1" w:styleId="55">
    <w:name w:val="正文首行缩进 2 Char"/>
    <w:basedOn w:val="48"/>
    <w:link w:val="2"/>
    <w:qFormat/>
    <w:uiPriority w:val="0"/>
    <w:rPr>
      <w:rFonts w:ascii="Times New Roman" w:hAnsi="Times New Roman" w:eastAsia="宋体" w:cs="Times New Roman"/>
      <w:color w:val="000000"/>
      <w:kern w:val="0"/>
      <w:sz w:val="20"/>
      <w:szCs w:val="24"/>
    </w:rPr>
  </w:style>
  <w:style w:type="character" w:customStyle="1" w:styleId="56">
    <w:name w:val="datagrid-sort-icon3"/>
    <w:basedOn w:val="29"/>
    <w:qFormat/>
    <w:uiPriority w:val="0"/>
    <w:rPr>
      <w:rFonts w:ascii="Calibri" w:hAnsi="Calibri" w:eastAsia="宋体" w:cs="Times New Roman"/>
    </w:rPr>
  </w:style>
  <w:style w:type="paragraph" w:customStyle="1" w:styleId="57">
    <w:name w:val="_Style 3"/>
    <w:basedOn w:val="1"/>
    <w:qFormat/>
    <w:uiPriority w:val="0"/>
    <w:pPr>
      <w:spacing w:line="360" w:lineRule="auto"/>
      <w:jc w:val="center"/>
    </w:pPr>
    <w:rPr>
      <w:szCs w:val="20"/>
    </w:rPr>
  </w:style>
  <w:style w:type="paragraph" w:customStyle="1" w:styleId="58">
    <w:name w:val="列出段落1"/>
    <w:basedOn w:val="1"/>
    <w:qFormat/>
    <w:uiPriority w:val="0"/>
    <w:pPr>
      <w:ind w:firstLine="420" w:firstLineChars="200"/>
    </w:pPr>
    <w:rPr>
      <w:szCs w:val="24"/>
    </w:rPr>
  </w:style>
  <w:style w:type="paragraph" w:customStyle="1" w:styleId="59">
    <w:name w:val="列表段落1"/>
    <w:basedOn w:val="1"/>
    <w:qFormat/>
    <w:uiPriority w:val="0"/>
    <w:pPr>
      <w:ind w:firstLine="420" w:firstLineChars="200"/>
    </w:pPr>
    <w:rPr>
      <w:szCs w:val="24"/>
    </w:rPr>
  </w:style>
  <w:style w:type="paragraph" w:customStyle="1" w:styleId="6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修订1"/>
    <w:qFormat/>
    <w:uiPriority w:val="0"/>
    <w:rPr>
      <w:rFonts w:ascii="Times New Roman" w:hAnsi="Times New Roman" w:eastAsia="宋体" w:cs="Times New Roman"/>
      <w:kern w:val="2"/>
      <w:sz w:val="21"/>
      <w:szCs w:val="22"/>
      <w:lang w:val="en-US" w:eastAsia="zh-CN" w:bidi="ar-SA"/>
    </w:rPr>
  </w:style>
  <w:style w:type="paragraph" w:customStyle="1" w:styleId="6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3">
    <w:name w:val="CM39"/>
    <w:basedOn w:val="35"/>
    <w:next w:val="35"/>
    <w:qFormat/>
    <w:uiPriority w:val="0"/>
    <w:rPr>
      <w:color w:val="auto"/>
    </w:rPr>
  </w:style>
  <w:style w:type="paragraph" w:customStyle="1" w:styleId="64">
    <w:name w:val="p0"/>
    <w:basedOn w:val="1"/>
    <w:qFormat/>
    <w:uiPriority w:val="0"/>
    <w:pPr>
      <w:spacing w:before="75" w:after="75"/>
    </w:pPr>
    <w:rPr>
      <w:rFonts w:ascii="宋体" w:hAnsi="宋体" w:cs="宋体"/>
      <w:kern w:val="0"/>
      <w:sz w:val="24"/>
      <w:szCs w:val="24"/>
    </w:rPr>
  </w:style>
  <w:style w:type="character" w:customStyle="1" w:styleId="65">
    <w:name w:val="Span_underline"/>
    <w:qFormat/>
    <w:uiPriority w:val="0"/>
    <w:rPr>
      <w:u w:val="single"/>
    </w:rPr>
  </w:style>
  <w:style w:type="paragraph" w:customStyle="1" w:styleId="66">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6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26411</Words>
  <Characters>28232</Characters>
  <Lines>241</Lines>
  <Paragraphs>67</Paragraphs>
  <TotalTime>0</TotalTime>
  <ScaleCrop>false</ScaleCrop>
  <LinksUpToDate>false</LinksUpToDate>
  <CharactersWithSpaces>29196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2023-04-14T04:01:00Z</dcterms:created>
  <dc:creator>Admin</dc:creator>
  <cp:lastModifiedBy>zho～</cp:lastModifiedBy>
  <cp:lastPrinted>2023-05-11T07:12:00Z</cp:lastPrinted>
  <dcterms:modified xsi:type="dcterms:W3CDTF">2023-09-20T07:18:53Z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446FFFE3BB4E4DA58BB54738A4411969_13</vt:lpwstr>
  </property>
</Properties>
</file>